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3819C3" w:rsidRDefault="001A6223" w:rsidP="007866BE">
      <w:pPr>
        <w:pStyle w:val="Heading1"/>
        <w:widowControl/>
        <w:rPr>
          <w:sz w:val="28"/>
        </w:rPr>
      </w:pPr>
      <w:bookmarkStart w:id="0" w:name="_Toc419731752"/>
      <w:bookmarkStart w:id="1" w:name="_GoBack"/>
      <w:bookmarkEnd w:id="1"/>
      <w:r w:rsidRPr="003819C3">
        <w:rPr>
          <w:sz w:val="28"/>
        </w:rPr>
        <w:t>5</w:t>
      </w:r>
      <w:r w:rsidR="00433044" w:rsidRPr="003819C3">
        <w:rPr>
          <w:sz w:val="28"/>
        </w:rPr>
        <w:t>.</w:t>
      </w:r>
      <w:r w:rsidR="00D41969" w:rsidRPr="003819C3">
        <w:rPr>
          <w:sz w:val="28"/>
        </w:rPr>
        <w:t>0</w:t>
      </w:r>
      <w:r w:rsidRPr="003819C3">
        <w:rPr>
          <w:sz w:val="28"/>
        </w:rPr>
        <w:t>8</w:t>
      </w:r>
      <w:r w:rsidR="00B60939" w:rsidRPr="003819C3">
        <w:rPr>
          <w:sz w:val="28"/>
        </w:rPr>
        <w:tab/>
      </w:r>
      <w:r w:rsidR="00020328" w:rsidRPr="003819C3">
        <w:rPr>
          <w:sz w:val="28"/>
        </w:rPr>
        <w:t>insulin glargine</w:t>
      </w:r>
      <w:r w:rsidR="00B60939" w:rsidRPr="003819C3">
        <w:rPr>
          <w:sz w:val="28"/>
        </w:rPr>
        <w:t xml:space="preserve">, </w:t>
      </w:r>
      <w:r w:rsidR="00020328" w:rsidRPr="003819C3">
        <w:rPr>
          <w:caps w:val="0"/>
          <w:sz w:val="28"/>
        </w:rPr>
        <w:t>injection</w:t>
      </w:r>
      <w:r w:rsidR="00B60939" w:rsidRPr="003819C3">
        <w:rPr>
          <w:sz w:val="28"/>
        </w:rPr>
        <w:t xml:space="preserve">, </w:t>
      </w:r>
      <w:r w:rsidR="00020328" w:rsidRPr="003819C3">
        <w:rPr>
          <w:caps w:val="0"/>
          <w:sz w:val="28"/>
        </w:rPr>
        <w:t>300 units per mL</w:t>
      </w:r>
      <w:r w:rsidR="00B60939" w:rsidRPr="003819C3">
        <w:rPr>
          <w:sz w:val="28"/>
        </w:rPr>
        <w:t xml:space="preserve">, </w:t>
      </w:r>
      <w:r w:rsidR="00020328" w:rsidRPr="003819C3">
        <w:rPr>
          <w:caps w:val="0"/>
          <w:sz w:val="28"/>
        </w:rPr>
        <w:t>Toujeo</w:t>
      </w:r>
      <w:r w:rsidR="00B60939" w:rsidRPr="003819C3">
        <w:rPr>
          <w:sz w:val="28"/>
          <w:vertAlign w:val="superscript"/>
        </w:rPr>
        <w:t>®</w:t>
      </w:r>
      <w:r w:rsidR="00B60939" w:rsidRPr="003819C3">
        <w:rPr>
          <w:sz w:val="28"/>
        </w:rPr>
        <w:t xml:space="preserve">, </w:t>
      </w:r>
      <w:r w:rsidR="00AB1B94" w:rsidRPr="003819C3">
        <w:rPr>
          <w:caps w:val="0"/>
          <w:sz w:val="28"/>
        </w:rPr>
        <w:t>Sanofi Aventis Australia Pty Ltd</w:t>
      </w:r>
      <w:r w:rsidR="00B60939" w:rsidRPr="003819C3">
        <w:rPr>
          <w:sz w:val="28"/>
        </w:rPr>
        <w:t>.</w:t>
      </w:r>
      <w:bookmarkEnd w:id="0"/>
    </w:p>
    <w:p w:rsidR="00342F1A" w:rsidRPr="003819C3" w:rsidRDefault="00342F1A" w:rsidP="007866BE">
      <w:pPr>
        <w:pStyle w:val="BodyText"/>
        <w:widowControl/>
      </w:pPr>
    </w:p>
    <w:p w:rsidR="00B50DB8" w:rsidRPr="003819C3" w:rsidRDefault="00B50DB8" w:rsidP="007866BE">
      <w:pPr>
        <w:pStyle w:val="Heading2"/>
        <w:widowControl/>
        <w:numPr>
          <w:ilvl w:val="0"/>
          <w:numId w:val="10"/>
        </w:numPr>
        <w:ind w:left="709" w:hanging="709"/>
      </w:pPr>
      <w:bookmarkStart w:id="2" w:name="_Toc419731754"/>
      <w:r w:rsidRPr="003819C3">
        <w:t>Purpose of Application</w:t>
      </w:r>
      <w:bookmarkEnd w:id="2"/>
    </w:p>
    <w:p w:rsidR="00B60939" w:rsidRPr="003819C3" w:rsidRDefault="00B60939" w:rsidP="007866BE">
      <w:pPr>
        <w:widowControl/>
        <w:rPr>
          <w:szCs w:val="22"/>
        </w:rPr>
      </w:pPr>
    </w:p>
    <w:p w:rsidR="002C2775" w:rsidRPr="003819C3" w:rsidRDefault="00990EAC" w:rsidP="007866BE">
      <w:pPr>
        <w:pStyle w:val="ListParagraph"/>
        <w:widowControl/>
        <w:numPr>
          <w:ilvl w:val="1"/>
          <w:numId w:val="10"/>
        </w:numPr>
        <w:rPr>
          <w:szCs w:val="22"/>
        </w:rPr>
      </w:pPr>
      <w:r w:rsidRPr="003819C3">
        <w:t>A</w:t>
      </w:r>
      <w:r w:rsidR="00845083" w:rsidRPr="003819C3">
        <w:t>n u</w:t>
      </w:r>
      <w:r w:rsidR="00020328" w:rsidRPr="003819C3">
        <w:t>nrestricted</w:t>
      </w:r>
      <w:r w:rsidR="001E238E" w:rsidRPr="003819C3">
        <w:t xml:space="preserve"> listing for </w:t>
      </w:r>
      <w:r w:rsidR="00A2133B" w:rsidRPr="003819C3">
        <w:t>insulin glargine 300 units</w:t>
      </w:r>
      <w:r w:rsidR="00020328" w:rsidRPr="003819C3">
        <w:t>/mL</w:t>
      </w:r>
      <w:r w:rsidR="00A2133B" w:rsidRPr="003819C3">
        <w:t xml:space="preserve"> (U300). The </w:t>
      </w:r>
      <w:r w:rsidR="004D0827" w:rsidRPr="003819C3">
        <w:t>ACPM recommended</w:t>
      </w:r>
      <w:r w:rsidR="00CC3BF6" w:rsidRPr="003819C3">
        <w:t xml:space="preserve"> </w:t>
      </w:r>
      <w:r w:rsidR="00A2133B" w:rsidRPr="003819C3">
        <w:t xml:space="preserve">indication is </w:t>
      </w:r>
      <w:r w:rsidR="00744594" w:rsidRPr="003819C3">
        <w:t xml:space="preserve">for </w:t>
      </w:r>
      <w:r w:rsidR="00A2133B" w:rsidRPr="003819C3">
        <w:t>the treatment of adults with diabetes mellitus</w:t>
      </w:r>
      <w:r w:rsidR="001E238E" w:rsidRPr="003819C3">
        <w:t>.</w:t>
      </w:r>
    </w:p>
    <w:p w:rsidR="004E43B2" w:rsidRPr="003819C3" w:rsidRDefault="004E43B2" w:rsidP="007866BE">
      <w:pPr>
        <w:widowControl/>
      </w:pPr>
    </w:p>
    <w:p w:rsidR="00B50DB8" w:rsidRPr="003819C3" w:rsidRDefault="00B50DB8" w:rsidP="007866BE">
      <w:pPr>
        <w:pStyle w:val="Heading2"/>
        <w:widowControl/>
        <w:numPr>
          <w:ilvl w:val="0"/>
          <w:numId w:val="10"/>
        </w:numPr>
        <w:ind w:left="709" w:hanging="709"/>
      </w:pPr>
      <w:bookmarkStart w:id="3" w:name="_Toc419731755"/>
      <w:r w:rsidRPr="003819C3">
        <w:t>Requested listing</w:t>
      </w:r>
      <w:bookmarkEnd w:id="3"/>
    </w:p>
    <w:p w:rsidR="00B60939" w:rsidRPr="003819C3" w:rsidRDefault="00B60939" w:rsidP="007866BE">
      <w:pPr>
        <w:widowControl/>
      </w:pPr>
    </w:p>
    <w:p w:rsidR="00617E12" w:rsidRPr="003819C3" w:rsidRDefault="000076D2" w:rsidP="007866BE">
      <w:pPr>
        <w:pStyle w:val="ListParagraph"/>
        <w:widowControl/>
        <w:numPr>
          <w:ilvl w:val="1"/>
          <w:numId w:val="10"/>
        </w:numPr>
        <w:rPr>
          <w:szCs w:val="22"/>
        </w:rPr>
      </w:pPr>
      <w:r w:rsidRPr="003819C3">
        <w:t>The submission sought the following unrestricted listing:</w:t>
      </w:r>
    </w:p>
    <w:p w:rsidR="00617E12" w:rsidRPr="003819C3" w:rsidRDefault="00617E12" w:rsidP="007866BE">
      <w:pPr>
        <w:widowControl/>
      </w:pPr>
    </w:p>
    <w:tbl>
      <w:tblPr>
        <w:tblW w:w="4604" w:type="pct"/>
        <w:tblInd w:w="737" w:type="dxa"/>
        <w:tblCellMar>
          <w:left w:w="28" w:type="dxa"/>
          <w:right w:w="28" w:type="dxa"/>
        </w:tblCellMar>
        <w:tblLook w:val="0000" w:firstRow="0" w:lastRow="0" w:firstColumn="0" w:lastColumn="0" w:noHBand="0" w:noVBand="0"/>
      </w:tblPr>
      <w:tblGrid>
        <w:gridCol w:w="3112"/>
        <w:gridCol w:w="706"/>
        <w:gridCol w:w="850"/>
        <w:gridCol w:w="1527"/>
        <w:gridCol w:w="668"/>
        <w:gridCol w:w="1500"/>
      </w:tblGrid>
      <w:tr w:rsidR="00B50DB8" w:rsidRPr="003819C3" w:rsidTr="00C20017">
        <w:trPr>
          <w:cantSplit/>
          <w:trHeight w:val="463"/>
        </w:trPr>
        <w:tc>
          <w:tcPr>
            <w:tcW w:w="1861" w:type="pct"/>
            <w:tcBorders>
              <w:bottom w:val="single" w:sz="4" w:space="0" w:color="auto"/>
            </w:tcBorders>
            <w:vAlign w:val="center"/>
          </w:tcPr>
          <w:p w:rsidR="00617E12" w:rsidRPr="003819C3" w:rsidRDefault="00617E12" w:rsidP="007866BE">
            <w:pPr>
              <w:keepNext/>
              <w:widowControl/>
              <w:jc w:val="left"/>
              <w:rPr>
                <w:sz w:val="20"/>
              </w:rPr>
            </w:pPr>
            <w:r w:rsidRPr="003819C3">
              <w:rPr>
                <w:sz w:val="20"/>
              </w:rPr>
              <w:t>Name, Restriction,</w:t>
            </w:r>
          </w:p>
          <w:p w:rsidR="00617E12" w:rsidRPr="003819C3" w:rsidRDefault="00617E12" w:rsidP="007866BE">
            <w:pPr>
              <w:keepNext/>
              <w:widowControl/>
              <w:jc w:val="left"/>
              <w:rPr>
                <w:sz w:val="20"/>
              </w:rPr>
            </w:pPr>
            <w:r w:rsidRPr="003819C3">
              <w:rPr>
                <w:sz w:val="20"/>
              </w:rPr>
              <w:t>Manner of administration and form</w:t>
            </w:r>
          </w:p>
        </w:tc>
        <w:tc>
          <w:tcPr>
            <w:tcW w:w="422" w:type="pct"/>
            <w:tcBorders>
              <w:bottom w:val="single" w:sz="4" w:space="0" w:color="auto"/>
            </w:tcBorders>
            <w:vAlign w:val="center"/>
          </w:tcPr>
          <w:p w:rsidR="00617E12" w:rsidRPr="003819C3" w:rsidRDefault="00617E12" w:rsidP="007866BE">
            <w:pPr>
              <w:keepNext/>
              <w:widowControl/>
              <w:jc w:val="center"/>
              <w:rPr>
                <w:sz w:val="20"/>
              </w:rPr>
            </w:pPr>
            <w:r w:rsidRPr="003819C3">
              <w:rPr>
                <w:sz w:val="20"/>
              </w:rPr>
              <w:t>Max.</w:t>
            </w:r>
          </w:p>
          <w:p w:rsidR="00617E12" w:rsidRPr="003819C3" w:rsidRDefault="00617E12" w:rsidP="007866BE">
            <w:pPr>
              <w:keepNext/>
              <w:widowControl/>
              <w:jc w:val="center"/>
              <w:rPr>
                <w:sz w:val="20"/>
              </w:rPr>
            </w:pPr>
            <w:r w:rsidRPr="003819C3">
              <w:rPr>
                <w:sz w:val="20"/>
              </w:rPr>
              <w:t>Qty</w:t>
            </w:r>
          </w:p>
        </w:tc>
        <w:tc>
          <w:tcPr>
            <w:tcW w:w="508" w:type="pct"/>
            <w:tcBorders>
              <w:bottom w:val="single" w:sz="4" w:space="0" w:color="auto"/>
            </w:tcBorders>
            <w:vAlign w:val="center"/>
          </w:tcPr>
          <w:p w:rsidR="00617E12" w:rsidRPr="003819C3" w:rsidRDefault="00617E12" w:rsidP="007866BE">
            <w:pPr>
              <w:keepNext/>
              <w:widowControl/>
              <w:jc w:val="center"/>
              <w:rPr>
                <w:sz w:val="20"/>
              </w:rPr>
            </w:pPr>
            <w:r w:rsidRPr="003819C3">
              <w:rPr>
                <w:sz w:val="20"/>
              </w:rPr>
              <w:t>№.of</w:t>
            </w:r>
          </w:p>
          <w:p w:rsidR="00617E12" w:rsidRPr="003819C3" w:rsidRDefault="00617E12" w:rsidP="007866BE">
            <w:pPr>
              <w:keepNext/>
              <w:widowControl/>
              <w:jc w:val="center"/>
              <w:rPr>
                <w:sz w:val="20"/>
              </w:rPr>
            </w:pPr>
            <w:r w:rsidRPr="003819C3">
              <w:rPr>
                <w:sz w:val="20"/>
              </w:rPr>
              <w:t>Rpts</w:t>
            </w:r>
          </w:p>
        </w:tc>
        <w:tc>
          <w:tcPr>
            <w:tcW w:w="913" w:type="pct"/>
            <w:tcBorders>
              <w:bottom w:val="single" w:sz="4" w:space="0" w:color="auto"/>
            </w:tcBorders>
            <w:vAlign w:val="center"/>
          </w:tcPr>
          <w:p w:rsidR="00617E12" w:rsidRPr="003819C3" w:rsidRDefault="00312C50" w:rsidP="007866BE">
            <w:pPr>
              <w:keepNext/>
              <w:widowControl/>
              <w:jc w:val="center"/>
              <w:rPr>
                <w:sz w:val="20"/>
              </w:rPr>
            </w:pPr>
            <w:r w:rsidRPr="003819C3">
              <w:rPr>
                <w:sz w:val="20"/>
              </w:rPr>
              <w:t xml:space="preserve">Effective </w:t>
            </w:r>
            <w:r w:rsidR="00617E12" w:rsidRPr="003819C3">
              <w:rPr>
                <w:sz w:val="20"/>
              </w:rPr>
              <w:t>Dispensed Price for Max. Qty</w:t>
            </w:r>
          </w:p>
        </w:tc>
        <w:tc>
          <w:tcPr>
            <w:tcW w:w="1296" w:type="pct"/>
            <w:gridSpan w:val="2"/>
            <w:tcBorders>
              <w:bottom w:val="single" w:sz="4" w:space="0" w:color="auto"/>
            </w:tcBorders>
            <w:vAlign w:val="center"/>
          </w:tcPr>
          <w:p w:rsidR="00617E12" w:rsidRPr="003819C3" w:rsidRDefault="00617E12" w:rsidP="007866BE">
            <w:pPr>
              <w:keepNext/>
              <w:widowControl/>
              <w:jc w:val="center"/>
              <w:rPr>
                <w:sz w:val="20"/>
                <w:lang w:val="fr-FR"/>
              </w:rPr>
            </w:pPr>
            <w:r w:rsidRPr="003819C3">
              <w:rPr>
                <w:sz w:val="20"/>
              </w:rPr>
              <w:t>Proprietary Name and Manufacturer</w:t>
            </w:r>
          </w:p>
        </w:tc>
      </w:tr>
      <w:tr w:rsidR="00B50DB8" w:rsidRPr="003819C3" w:rsidTr="00C20017">
        <w:trPr>
          <w:cantSplit/>
          <w:trHeight w:val="567"/>
        </w:trPr>
        <w:tc>
          <w:tcPr>
            <w:tcW w:w="1861" w:type="pct"/>
            <w:vAlign w:val="center"/>
          </w:tcPr>
          <w:p w:rsidR="00617E12" w:rsidRPr="003819C3" w:rsidRDefault="00845083" w:rsidP="007866BE">
            <w:pPr>
              <w:keepNext/>
              <w:widowControl/>
              <w:jc w:val="left"/>
              <w:rPr>
                <w:sz w:val="20"/>
              </w:rPr>
            </w:pPr>
            <w:r w:rsidRPr="003819C3">
              <w:rPr>
                <w:smallCaps/>
                <w:sz w:val="20"/>
              </w:rPr>
              <w:t>insulin glargine</w:t>
            </w:r>
          </w:p>
          <w:p w:rsidR="00617E12" w:rsidRPr="003819C3" w:rsidRDefault="00845083" w:rsidP="007866BE">
            <w:pPr>
              <w:keepNext/>
              <w:widowControl/>
              <w:jc w:val="left"/>
              <w:rPr>
                <w:sz w:val="20"/>
              </w:rPr>
            </w:pPr>
            <w:r w:rsidRPr="003819C3">
              <w:rPr>
                <w:sz w:val="20"/>
              </w:rPr>
              <w:t>injection, 300 international units/mL, 1 x 1.5 mL cartridge</w:t>
            </w:r>
          </w:p>
        </w:tc>
        <w:tc>
          <w:tcPr>
            <w:tcW w:w="422" w:type="pct"/>
            <w:vAlign w:val="center"/>
          </w:tcPr>
          <w:p w:rsidR="00617E12" w:rsidRPr="003819C3" w:rsidRDefault="00845083" w:rsidP="007866BE">
            <w:pPr>
              <w:keepNext/>
              <w:widowControl/>
              <w:jc w:val="center"/>
              <w:rPr>
                <w:sz w:val="20"/>
              </w:rPr>
            </w:pPr>
            <w:r w:rsidRPr="003819C3">
              <w:rPr>
                <w:sz w:val="20"/>
              </w:rPr>
              <w:t>1</w:t>
            </w:r>
          </w:p>
        </w:tc>
        <w:tc>
          <w:tcPr>
            <w:tcW w:w="508" w:type="pct"/>
            <w:vAlign w:val="center"/>
          </w:tcPr>
          <w:p w:rsidR="00617E12" w:rsidRPr="003819C3" w:rsidRDefault="00845083" w:rsidP="007866BE">
            <w:pPr>
              <w:keepNext/>
              <w:widowControl/>
              <w:jc w:val="center"/>
              <w:rPr>
                <w:sz w:val="20"/>
              </w:rPr>
            </w:pPr>
            <w:r w:rsidRPr="003819C3">
              <w:rPr>
                <w:sz w:val="20"/>
              </w:rPr>
              <w:t>1</w:t>
            </w:r>
          </w:p>
        </w:tc>
        <w:tc>
          <w:tcPr>
            <w:tcW w:w="913" w:type="pct"/>
            <w:vAlign w:val="center"/>
          </w:tcPr>
          <w:p w:rsidR="00617E12" w:rsidRPr="003819C3" w:rsidRDefault="00617E12" w:rsidP="007866BE">
            <w:pPr>
              <w:keepNext/>
              <w:widowControl/>
              <w:jc w:val="center"/>
              <w:rPr>
                <w:sz w:val="20"/>
              </w:rPr>
            </w:pPr>
            <w:r w:rsidRPr="003819C3">
              <w:rPr>
                <w:sz w:val="20"/>
              </w:rPr>
              <w:t>$</w:t>
            </w:r>
            <w:r w:rsidR="00B96A59">
              <w:rPr>
                <w:noProof/>
                <w:color w:val="000000"/>
                <w:sz w:val="20"/>
                <w:highlight w:val="black"/>
              </w:rPr>
              <w:t>''''''''''''''</w:t>
            </w:r>
          </w:p>
        </w:tc>
        <w:tc>
          <w:tcPr>
            <w:tcW w:w="399" w:type="pct"/>
            <w:vAlign w:val="center"/>
          </w:tcPr>
          <w:p w:rsidR="00617E12" w:rsidRPr="003819C3" w:rsidRDefault="000076D2" w:rsidP="007866BE">
            <w:pPr>
              <w:keepNext/>
              <w:widowControl/>
              <w:jc w:val="center"/>
              <w:rPr>
                <w:sz w:val="20"/>
              </w:rPr>
            </w:pPr>
            <w:r w:rsidRPr="003819C3">
              <w:rPr>
                <w:sz w:val="20"/>
              </w:rPr>
              <w:t>Toujeo</w:t>
            </w:r>
          </w:p>
        </w:tc>
        <w:tc>
          <w:tcPr>
            <w:tcW w:w="896" w:type="pct"/>
            <w:vAlign w:val="center"/>
          </w:tcPr>
          <w:p w:rsidR="00617E12" w:rsidRPr="003819C3" w:rsidRDefault="000076D2" w:rsidP="007866BE">
            <w:pPr>
              <w:keepNext/>
              <w:widowControl/>
              <w:jc w:val="center"/>
              <w:rPr>
                <w:sz w:val="20"/>
              </w:rPr>
            </w:pPr>
            <w:r w:rsidRPr="003819C3">
              <w:rPr>
                <w:sz w:val="20"/>
              </w:rPr>
              <w:t>Sanofi</w:t>
            </w:r>
          </w:p>
        </w:tc>
      </w:tr>
      <w:tr w:rsidR="00845083" w:rsidRPr="003819C3" w:rsidTr="00C20017">
        <w:trPr>
          <w:cantSplit/>
          <w:trHeight w:val="567"/>
        </w:trPr>
        <w:tc>
          <w:tcPr>
            <w:tcW w:w="1861" w:type="pct"/>
            <w:vAlign w:val="center"/>
          </w:tcPr>
          <w:p w:rsidR="00845083" w:rsidRPr="003819C3" w:rsidRDefault="00845083" w:rsidP="007866BE">
            <w:pPr>
              <w:keepNext/>
              <w:widowControl/>
              <w:jc w:val="left"/>
              <w:rPr>
                <w:sz w:val="20"/>
              </w:rPr>
            </w:pPr>
            <w:r w:rsidRPr="003819C3">
              <w:rPr>
                <w:smallCaps/>
                <w:sz w:val="20"/>
              </w:rPr>
              <w:t>insulin glargine</w:t>
            </w:r>
          </w:p>
          <w:p w:rsidR="00845083" w:rsidRPr="003819C3" w:rsidRDefault="00845083" w:rsidP="007866BE">
            <w:pPr>
              <w:keepNext/>
              <w:widowControl/>
              <w:jc w:val="left"/>
              <w:rPr>
                <w:smallCaps/>
                <w:sz w:val="20"/>
              </w:rPr>
            </w:pPr>
            <w:r w:rsidRPr="003819C3">
              <w:rPr>
                <w:sz w:val="20"/>
              </w:rPr>
              <w:t>injection, 300 international units/mL, 3 x 1.5 mL cartridge</w:t>
            </w:r>
          </w:p>
        </w:tc>
        <w:tc>
          <w:tcPr>
            <w:tcW w:w="422" w:type="pct"/>
            <w:vAlign w:val="center"/>
          </w:tcPr>
          <w:p w:rsidR="00845083" w:rsidRPr="003819C3" w:rsidRDefault="00845083" w:rsidP="007866BE">
            <w:pPr>
              <w:keepNext/>
              <w:widowControl/>
              <w:jc w:val="center"/>
              <w:rPr>
                <w:sz w:val="20"/>
              </w:rPr>
            </w:pPr>
            <w:r w:rsidRPr="003819C3">
              <w:rPr>
                <w:sz w:val="20"/>
              </w:rPr>
              <w:t>5</w:t>
            </w:r>
          </w:p>
        </w:tc>
        <w:tc>
          <w:tcPr>
            <w:tcW w:w="508" w:type="pct"/>
            <w:vAlign w:val="center"/>
          </w:tcPr>
          <w:p w:rsidR="00845083" w:rsidRPr="003819C3" w:rsidRDefault="00845083" w:rsidP="007866BE">
            <w:pPr>
              <w:keepNext/>
              <w:widowControl/>
              <w:jc w:val="center"/>
              <w:rPr>
                <w:sz w:val="20"/>
              </w:rPr>
            </w:pPr>
            <w:r w:rsidRPr="003819C3">
              <w:rPr>
                <w:sz w:val="20"/>
              </w:rPr>
              <w:t>1</w:t>
            </w:r>
          </w:p>
        </w:tc>
        <w:tc>
          <w:tcPr>
            <w:tcW w:w="913" w:type="pct"/>
            <w:vAlign w:val="center"/>
          </w:tcPr>
          <w:p w:rsidR="00845083" w:rsidRPr="003819C3" w:rsidRDefault="00845083" w:rsidP="007866BE">
            <w:pPr>
              <w:keepNext/>
              <w:widowControl/>
              <w:jc w:val="center"/>
              <w:rPr>
                <w:sz w:val="20"/>
              </w:rPr>
            </w:pPr>
            <w:r w:rsidRPr="003819C3">
              <w:rPr>
                <w:sz w:val="20"/>
              </w:rPr>
              <w:t>$</w:t>
            </w:r>
            <w:r w:rsidR="00B96A59">
              <w:rPr>
                <w:noProof/>
                <w:color w:val="000000"/>
                <w:sz w:val="20"/>
                <w:highlight w:val="black"/>
              </w:rPr>
              <w:t>'''''''''''''''</w:t>
            </w:r>
          </w:p>
        </w:tc>
        <w:tc>
          <w:tcPr>
            <w:tcW w:w="399" w:type="pct"/>
            <w:vAlign w:val="center"/>
          </w:tcPr>
          <w:p w:rsidR="00845083" w:rsidRPr="003819C3" w:rsidRDefault="00845083" w:rsidP="007866BE">
            <w:pPr>
              <w:keepNext/>
              <w:widowControl/>
              <w:jc w:val="center"/>
              <w:rPr>
                <w:sz w:val="20"/>
              </w:rPr>
            </w:pPr>
            <w:r w:rsidRPr="003819C3">
              <w:rPr>
                <w:sz w:val="20"/>
              </w:rPr>
              <w:t>Toujeo</w:t>
            </w:r>
          </w:p>
        </w:tc>
        <w:tc>
          <w:tcPr>
            <w:tcW w:w="896" w:type="pct"/>
            <w:vAlign w:val="center"/>
          </w:tcPr>
          <w:p w:rsidR="00845083" w:rsidRPr="003819C3" w:rsidRDefault="00845083" w:rsidP="007866BE">
            <w:pPr>
              <w:keepNext/>
              <w:widowControl/>
              <w:jc w:val="center"/>
              <w:rPr>
                <w:sz w:val="20"/>
              </w:rPr>
            </w:pPr>
            <w:r w:rsidRPr="003819C3">
              <w:rPr>
                <w:sz w:val="20"/>
              </w:rPr>
              <w:t>Sanofi</w:t>
            </w:r>
          </w:p>
        </w:tc>
      </w:tr>
      <w:tr w:rsidR="00845083" w:rsidRPr="003819C3" w:rsidTr="00C20017">
        <w:trPr>
          <w:cantSplit/>
          <w:trHeight w:val="567"/>
        </w:trPr>
        <w:tc>
          <w:tcPr>
            <w:tcW w:w="1861" w:type="pct"/>
            <w:vAlign w:val="center"/>
          </w:tcPr>
          <w:p w:rsidR="00845083" w:rsidRPr="003819C3" w:rsidRDefault="00845083" w:rsidP="007866BE">
            <w:pPr>
              <w:keepNext/>
              <w:widowControl/>
              <w:jc w:val="left"/>
              <w:rPr>
                <w:sz w:val="20"/>
              </w:rPr>
            </w:pPr>
            <w:r w:rsidRPr="003819C3">
              <w:rPr>
                <w:smallCaps/>
                <w:sz w:val="20"/>
              </w:rPr>
              <w:t>insulin glargine</w:t>
            </w:r>
          </w:p>
          <w:p w:rsidR="00845083" w:rsidRPr="003819C3" w:rsidRDefault="00845083" w:rsidP="007866BE">
            <w:pPr>
              <w:keepNext/>
              <w:widowControl/>
              <w:jc w:val="left"/>
              <w:rPr>
                <w:smallCaps/>
                <w:sz w:val="20"/>
              </w:rPr>
            </w:pPr>
            <w:r w:rsidRPr="003819C3">
              <w:rPr>
                <w:sz w:val="20"/>
              </w:rPr>
              <w:t>injection, 300 international units/mL, 5 x 1.5 mL cartridge</w:t>
            </w:r>
          </w:p>
        </w:tc>
        <w:tc>
          <w:tcPr>
            <w:tcW w:w="422" w:type="pct"/>
            <w:vAlign w:val="center"/>
          </w:tcPr>
          <w:p w:rsidR="00845083" w:rsidRPr="003819C3" w:rsidRDefault="00845083" w:rsidP="007866BE">
            <w:pPr>
              <w:keepNext/>
              <w:widowControl/>
              <w:jc w:val="center"/>
              <w:rPr>
                <w:sz w:val="20"/>
              </w:rPr>
            </w:pPr>
            <w:r w:rsidRPr="003819C3">
              <w:rPr>
                <w:sz w:val="20"/>
              </w:rPr>
              <w:t>5</w:t>
            </w:r>
          </w:p>
        </w:tc>
        <w:tc>
          <w:tcPr>
            <w:tcW w:w="508" w:type="pct"/>
            <w:vAlign w:val="center"/>
          </w:tcPr>
          <w:p w:rsidR="00845083" w:rsidRPr="003819C3" w:rsidRDefault="00845083" w:rsidP="007866BE">
            <w:pPr>
              <w:keepNext/>
              <w:widowControl/>
              <w:jc w:val="center"/>
              <w:rPr>
                <w:sz w:val="20"/>
              </w:rPr>
            </w:pPr>
            <w:r w:rsidRPr="003819C3">
              <w:rPr>
                <w:sz w:val="20"/>
              </w:rPr>
              <w:t>1</w:t>
            </w:r>
          </w:p>
        </w:tc>
        <w:tc>
          <w:tcPr>
            <w:tcW w:w="913" w:type="pct"/>
            <w:vAlign w:val="center"/>
          </w:tcPr>
          <w:p w:rsidR="00845083" w:rsidRPr="003819C3" w:rsidRDefault="00845083" w:rsidP="007866BE">
            <w:pPr>
              <w:keepNext/>
              <w:widowControl/>
              <w:jc w:val="center"/>
              <w:rPr>
                <w:sz w:val="20"/>
              </w:rPr>
            </w:pPr>
            <w:r w:rsidRPr="003819C3">
              <w:rPr>
                <w:sz w:val="20"/>
              </w:rPr>
              <w:t>$</w:t>
            </w:r>
            <w:r w:rsidR="00B96A59">
              <w:rPr>
                <w:noProof/>
                <w:color w:val="000000"/>
                <w:sz w:val="20"/>
                <w:highlight w:val="black"/>
              </w:rPr>
              <w:t>'''''''''''''''''</w:t>
            </w:r>
          </w:p>
        </w:tc>
        <w:tc>
          <w:tcPr>
            <w:tcW w:w="399" w:type="pct"/>
            <w:vAlign w:val="center"/>
          </w:tcPr>
          <w:p w:rsidR="00845083" w:rsidRPr="003819C3" w:rsidRDefault="00845083" w:rsidP="007866BE">
            <w:pPr>
              <w:keepNext/>
              <w:widowControl/>
              <w:jc w:val="center"/>
              <w:rPr>
                <w:sz w:val="20"/>
              </w:rPr>
            </w:pPr>
            <w:r w:rsidRPr="003819C3">
              <w:rPr>
                <w:sz w:val="20"/>
              </w:rPr>
              <w:t>Toujeo</w:t>
            </w:r>
          </w:p>
        </w:tc>
        <w:tc>
          <w:tcPr>
            <w:tcW w:w="896" w:type="pct"/>
            <w:vAlign w:val="center"/>
          </w:tcPr>
          <w:p w:rsidR="00845083" w:rsidRPr="003819C3" w:rsidRDefault="00845083" w:rsidP="007866BE">
            <w:pPr>
              <w:keepNext/>
              <w:widowControl/>
              <w:jc w:val="center"/>
              <w:rPr>
                <w:sz w:val="20"/>
              </w:rPr>
            </w:pPr>
            <w:r w:rsidRPr="003819C3">
              <w:rPr>
                <w:sz w:val="20"/>
              </w:rPr>
              <w:t>Sanofi</w:t>
            </w:r>
          </w:p>
        </w:tc>
      </w:tr>
    </w:tbl>
    <w:p w:rsidR="00B60939" w:rsidRPr="003819C3" w:rsidRDefault="00B60939" w:rsidP="007866BE">
      <w:pPr>
        <w:widowControl/>
      </w:pPr>
    </w:p>
    <w:p w:rsidR="00312C50" w:rsidRPr="003819C3" w:rsidRDefault="00312C50" w:rsidP="007866BE">
      <w:pPr>
        <w:pStyle w:val="ListParagraph"/>
        <w:widowControl/>
        <w:numPr>
          <w:ilvl w:val="1"/>
          <w:numId w:val="10"/>
        </w:numPr>
        <w:rPr>
          <w:szCs w:val="22"/>
        </w:rPr>
      </w:pPr>
      <w:r w:rsidRPr="003819C3">
        <w:rPr>
          <w:szCs w:val="22"/>
        </w:rPr>
        <w:t>The requested price</w:t>
      </w:r>
      <w:r w:rsidR="00744594" w:rsidRPr="003819C3">
        <w:rPr>
          <w:szCs w:val="22"/>
        </w:rPr>
        <w:t xml:space="preserve">s in the submission </w:t>
      </w:r>
      <w:r w:rsidR="005944B3">
        <w:rPr>
          <w:szCs w:val="22"/>
        </w:rPr>
        <w:t>we</w:t>
      </w:r>
      <w:r w:rsidR="00744594" w:rsidRPr="003819C3">
        <w:rPr>
          <w:szCs w:val="22"/>
        </w:rPr>
        <w:t>re stated</w:t>
      </w:r>
      <w:r w:rsidRPr="003819C3">
        <w:rPr>
          <w:szCs w:val="22"/>
        </w:rPr>
        <w:t xml:space="preserve"> to be effective price</w:t>
      </w:r>
      <w:r w:rsidR="00744594" w:rsidRPr="003819C3">
        <w:rPr>
          <w:szCs w:val="22"/>
        </w:rPr>
        <w:t>s.</w:t>
      </w:r>
      <w:r w:rsidRPr="003819C3">
        <w:rPr>
          <w:szCs w:val="22"/>
        </w:rPr>
        <w:t xml:space="preserve"> </w:t>
      </w:r>
      <w:r w:rsidR="00744594" w:rsidRPr="003819C3">
        <w:rPr>
          <w:szCs w:val="22"/>
        </w:rPr>
        <w:t>T</w:t>
      </w:r>
      <w:r w:rsidRPr="003819C3">
        <w:rPr>
          <w:szCs w:val="22"/>
        </w:rPr>
        <w:t>he sponsor intend</w:t>
      </w:r>
      <w:r w:rsidR="005944B3">
        <w:rPr>
          <w:szCs w:val="22"/>
        </w:rPr>
        <w:t>ed</w:t>
      </w:r>
      <w:r w:rsidRPr="003819C3">
        <w:rPr>
          <w:szCs w:val="22"/>
        </w:rPr>
        <w:t xml:space="preserve"> to request a Special Pricing Arrangement for the U300 formulation based on the price for the </w:t>
      </w:r>
      <w:r w:rsidR="00744594" w:rsidRPr="003819C3">
        <w:rPr>
          <w:szCs w:val="22"/>
        </w:rPr>
        <w:t>insulin glargine 100 units/mL (</w:t>
      </w:r>
      <w:r w:rsidRPr="003819C3">
        <w:rPr>
          <w:szCs w:val="22"/>
        </w:rPr>
        <w:t>U100</w:t>
      </w:r>
      <w:r w:rsidR="00744594" w:rsidRPr="003819C3">
        <w:rPr>
          <w:szCs w:val="22"/>
        </w:rPr>
        <w:t xml:space="preserve">; </w:t>
      </w:r>
      <w:r w:rsidRPr="003819C3">
        <w:rPr>
          <w:szCs w:val="22"/>
        </w:rPr>
        <w:t>Lantus) formulation.</w:t>
      </w:r>
    </w:p>
    <w:p w:rsidR="00312C50" w:rsidRPr="003819C3" w:rsidRDefault="00312C50" w:rsidP="007866BE">
      <w:pPr>
        <w:pStyle w:val="ListParagraph"/>
        <w:widowControl/>
        <w:rPr>
          <w:szCs w:val="22"/>
        </w:rPr>
      </w:pPr>
    </w:p>
    <w:p w:rsidR="00F97A78" w:rsidRPr="003819C3" w:rsidRDefault="00671394" w:rsidP="007866BE">
      <w:pPr>
        <w:pStyle w:val="ListParagraph"/>
        <w:widowControl/>
        <w:numPr>
          <w:ilvl w:val="1"/>
          <w:numId w:val="10"/>
        </w:numPr>
        <w:rPr>
          <w:szCs w:val="22"/>
        </w:rPr>
      </w:pPr>
      <w:r w:rsidRPr="003819C3">
        <w:rPr>
          <w:szCs w:val="22"/>
        </w:rPr>
        <w:t>For type 1 diabetes</w:t>
      </w:r>
      <w:r w:rsidR="00A2133B" w:rsidRPr="003819C3">
        <w:rPr>
          <w:szCs w:val="22"/>
        </w:rPr>
        <w:t xml:space="preserve"> mellitus (T1DM)</w:t>
      </w:r>
      <w:r w:rsidRPr="003819C3">
        <w:rPr>
          <w:szCs w:val="22"/>
        </w:rPr>
        <w:t xml:space="preserve"> listing was requested on a cost-minimisation basis comp</w:t>
      </w:r>
      <w:r w:rsidR="00A2133B" w:rsidRPr="003819C3">
        <w:rPr>
          <w:szCs w:val="22"/>
        </w:rPr>
        <w:t>ared with U100</w:t>
      </w:r>
      <w:r w:rsidRPr="003819C3">
        <w:rPr>
          <w:szCs w:val="22"/>
        </w:rPr>
        <w:t>. For type 2 diabetes</w:t>
      </w:r>
      <w:r w:rsidR="00A2133B" w:rsidRPr="003819C3">
        <w:rPr>
          <w:szCs w:val="22"/>
        </w:rPr>
        <w:t xml:space="preserve"> mellitus (T2DM)</w:t>
      </w:r>
      <w:r w:rsidRPr="003819C3">
        <w:rPr>
          <w:szCs w:val="22"/>
        </w:rPr>
        <w:t xml:space="preserve"> listing was requested on a cost-effectiveness basis compared with </w:t>
      </w:r>
      <w:r w:rsidR="00A2133B" w:rsidRPr="003819C3">
        <w:rPr>
          <w:szCs w:val="22"/>
        </w:rPr>
        <w:t>U100</w:t>
      </w:r>
      <w:r w:rsidRPr="003819C3">
        <w:rPr>
          <w:szCs w:val="22"/>
        </w:rPr>
        <w:t>.</w:t>
      </w:r>
      <w:r w:rsidRPr="003819C3">
        <w:rPr>
          <w:color w:val="3366FF"/>
          <w:szCs w:val="22"/>
        </w:rPr>
        <w:t xml:space="preserve"> </w:t>
      </w:r>
    </w:p>
    <w:p w:rsidR="00386B74" w:rsidRPr="003819C3" w:rsidRDefault="00386B74" w:rsidP="007866BE">
      <w:pPr>
        <w:pStyle w:val="ListParagraph"/>
        <w:widowControl/>
        <w:rPr>
          <w:szCs w:val="22"/>
        </w:rPr>
      </w:pPr>
    </w:p>
    <w:p w:rsidR="00386B74" w:rsidRPr="003819C3" w:rsidRDefault="005944B3" w:rsidP="007866BE">
      <w:pPr>
        <w:pStyle w:val="ListParagraph"/>
        <w:widowControl/>
        <w:numPr>
          <w:ilvl w:val="1"/>
          <w:numId w:val="10"/>
        </w:numPr>
        <w:rPr>
          <w:szCs w:val="22"/>
        </w:rPr>
      </w:pPr>
      <w:r>
        <w:rPr>
          <w:szCs w:val="22"/>
        </w:rPr>
        <w:t>An unrestricted listing wa</w:t>
      </w:r>
      <w:r w:rsidR="00386B74" w:rsidRPr="003819C3">
        <w:rPr>
          <w:szCs w:val="22"/>
        </w:rPr>
        <w:t>s proposed for U300 a</w:t>
      </w:r>
      <w:r>
        <w:rPr>
          <w:szCs w:val="22"/>
        </w:rPr>
        <w:t>nd thus the PBS population wa</w:t>
      </w:r>
      <w:r w:rsidR="00386B74" w:rsidRPr="003819C3">
        <w:rPr>
          <w:szCs w:val="22"/>
        </w:rPr>
        <w:t xml:space="preserve">s </w:t>
      </w:r>
      <w:r w:rsidR="003E74A2">
        <w:rPr>
          <w:szCs w:val="22"/>
        </w:rPr>
        <w:t>potentially</w:t>
      </w:r>
      <w:r w:rsidR="00386B74" w:rsidRPr="003819C3">
        <w:rPr>
          <w:szCs w:val="22"/>
        </w:rPr>
        <w:t xml:space="preserve"> broader than the </w:t>
      </w:r>
      <w:r w:rsidR="00386B74" w:rsidRPr="003819C3">
        <w:t>ACPM suggested indication</w:t>
      </w:r>
      <w:r w:rsidR="00083ED8" w:rsidRPr="003819C3">
        <w:t>,</w:t>
      </w:r>
      <w:r w:rsidR="00386B74" w:rsidRPr="003819C3">
        <w:t xml:space="preserve"> in adults</w:t>
      </w:r>
      <w:r w:rsidR="00083ED8" w:rsidRPr="003819C3">
        <w:t>, and</w:t>
      </w:r>
      <w:r w:rsidR="00386B74" w:rsidRPr="003819C3">
        <w:t xml:space="preserve"> </w:t>
      </w:r>
      <w:r w:rsidR="00386B74" w:rsidRPr="003819C3">
        <w:rPr>
          <w:szCs w:val="22"/>
        </w:rPr>
        <w:t>the trial populations. In particular, the PBS population may include patients with an HbA1c &lt;7% and &gt;10%, T1DM patients aged &lt;18 years, insulin naïve T1DM patients and insulin experienced T2DM patients treated with lower doses of basal insulin.</w:t>
      </w:r>
    </w:p>
    <w:p w:rsidR="004E43B2" w:rsidRDefault="004E43B2" w:rsidP="007866BE">
      <w:pPr>
        <w:widowControl/>
      </w:pPr>
    </w:p>
    <w:p w:rsidR="003819C3" w:rsidRPr="003819C3" w:rsidRDefault="003819C3" w:rsidP="007866BE">
      <w:pPr>
        <w:widowControl/>
        <w:ind w:left="709"/>
        <w:rPr>
          <w:i/>
        </w:rPr>
      </w:pPr>
      <w:r w:rsidRPr="003819C3">
        <w:rPr>
          <w:i/>
        </w:rPr>
        <w:t>For more detail on PBAC’s view, see section 7 “PBAC outcome”</w:t>
      </w:r>
    </w:p>
    <w:p w:rsidR="003819C3" w:rsidRPr="003819C3" w:rsidRDefault="003819C3" w:rsidP="007866BE">
      <w:pPr>
        <w:widowControl/>
      </w:pPr>
    </w:p>
    <w:p w:rsidR="0002701F" w:rsidRPr="003819C3" w:rsidRDefault="0002701F" w:rsidP="007866BE">
      <w:pPr>
        <w:widowControl/>
      </w:pPr>
    </w:p>
    <w:p w:rsidR="00B50DB8" w:rsidRPr="003819C3" w:rsidRDefault="00B50DB8" w:rsidP="007866BE">
      <w:pPr>
        <w:pStyle w:val="Heading2"/>
        <w:widowControl/>
        <w:numPr>
          <w:ilvl w:val="0"/>
          <w:numId w:val="10"/>
        </w:numPr>
        <w:ind w:left="709" w:hanging="709"/>
      </w:pPr>
      <w:bookmarkStart w:id="4" w:name="_Toc419731756"/>
      <w:r w:rsidRPr="003819C3">
        <w:t>Background</w:t>
      </w:r>
      <w:bookmarkEnd w:id="4"/>
    </w:p>
    <w:p w:rsidR="00B60939" w:rsidRPr="003819C3" w:rsidRDefault="00B60939" w:rsidP="007866BE">
      <w:pPr>
        <w:widowControl/>
        <w:rPr>
          <w:szCs w:val="22"/>
        </w:rPr>
      </w:pPr>
    </w:p>
    <w:p w:rsidR="00B60939" w:rsidRPr="003819C3" w:rsidRDefault="00B60939" w:rsidP="007866BE">
      <w:pPr>
        <w:pStyle w:val="ListParagraph"/>
        <w:widowControl/>
        <w:numPr>
          <w:ilvl w:val="1"/>
          <w:numId w:val="10"/>
        </w:numPr>
      </w:pPr>
      <w:r w:rsidRPr="003819C3">
        <w:rPr>
          <w:szCs w:val="22"/>
        </w:rPr>
        <w:t xml:space="preserve">TGA status: </w:t>
      </w:r>
      <w:r w:rsidRPr="003819C3">
        <w:t xml:space="preserve">The submission was made under TGA/PBAC Parallel Process. </w:t>
      </w:r>
      <w:r w:rsidR="00BD74E4" w:rsidRPr="00BD74E4">
        <w:t>TOUJEO insulin glargine 300 units/mL solution for injection injector pen</w:t>
      </w:r>
      <w:r w:rsidR="00BD74E4">
        <w:t xml:space="preserve"> was registered on 30 June 2015</w:t>
      </w:r>
      <w:r w:rsidRPr="003819C3">
        <w:t>.</w:t>
      </w:r>
    </w:p>
    <w:p w:rsidR="00B60939" w:rsidRPr="003819C3" w:rsidRDefault="00B60939" w:rsidP="007866BE">
      <w:pPr>
        <w:pStyle w:val="ListParagraph"/>
        <w:widowControl/>
        <w:rPr>
          <w:szCs w:val="22"/>
        </w:rPr>
      </w:pPr>
    </w:p>
    <w:p w:rsidR="002C2775" w:rsidRPr="003819C3" w:rsidRDefault="00852726" w:rsidP="007866BE">
      <w:pPr>
        <w:pStyle w:val="ListParagraph"/>
        <w:widowControl/>
        <w:numPr>
          <w:ilvl w:val="1"/>
          <w:numId w:val="10"/>
        </w:numPr>
      </w:pPr>
      <w:r w:rsidRPr="003819C3">
        <w:rPr>
          <w:szCs w:val="22"/>
        </w:rPr>
        <w:t>U300</w:t>
      </w:r>
      <w:r w:rsidR="00E67D8C" w:rsidRPr="003819C3">
        <w:rPr>
          <w:szCs w:val="22"/>
        </w:rPr>
        <w:t xml:space="preserve"> has not been considered by the PBAC </w:t>
      </w:r>
      <w:r w:rsidR="00E67D8C" w:rsidRPr="003819C3">
        <w:t>previously</w:t>
      </w:r>
      <w:r w:rsidR="00A35D16" w:rsidRPr="003819C3">
        <w:t>.</w:t>
      </w:r>
    </w:p>
    <w:p w:rsidR="00852726" w:rsidRPr="003819C3" w:rsidRDefault="00852726" w:rsidP="007866BE">
      <w:pPr>
        <w:pStyle w:val="ListParagraph"/>
        <w:widowControl/>
      </w:pPr>
    </w:p>
    <w:p w:rsidR="004D7C46" w:rsidRPr="003819C3" w:rsidRDefault="006D38F3" w:rsidP="007866BE">
      <w:pPr>
        <w:pStyle w:val="ListParagraph"/>
        <w:widowControl/>
        <w:numPr>
          <w:ilvl w:val="1"/>
          <w:numId w:val="10"/>
        </w:numPr>
      </w:pPr>
      <w:r w:rsidRPr="003819C3">
        <w:lastRenderedPageBreak/>
        <w:t xml:space="preserve">U100 was recommended for listing as an unrestricted benefit on a cost-effectiveness basis versus insulin NPH at an extraordinary PBAC meeting on 29 March 2006. The recommendation was on the basis of a reduction in hypoglycaemic events with U100 compared with insulin NPH. </w:t>
      </w:r>
      <w:r w:rsidR="005E567B" w:rsidRPr="003819C3">
        <w:t>With U100 the risk of symptomatic hypoglycaemia in T1DM was estimated to be reduced by 10%, from 43.32 to 39.00 events/patient/year (</w:t>
      </w:r>
      <w:r w:rsidR="005E567B" w:rsidRPr="00B96A59">
        <w:t xml:space="preserve">March 2006 PBAC </w:t>
      </w:r>
      <w:r w:rsidR="00EA74E1" w:rsidRPr="00B96A59">
        <w:t>Public Summary Document</w:t>
      </w:r>
      <w:r w:rsidR="00EA74E1">
        <w:t xml:space="preserve"> (PSD)</w:t>
      </w:r>
      <w:r w:rsidR="006D3705">
        <w:t>). The current submission claimed</w:t>
      </w:r>
      <w:r w:rsidR="005E567B" w:rsidRPr="003819C3">
        <w:t xml:space="preserve"> a reduction in hypoglycaemia in T2DM, and the risk of symptomatic hypoglycaemia with U100 in the T2DM trials presented is substantially lower (3.76 to 14.76 events/patient/year).</w:t>
      </w:r>
    </w:p>
    <w:p w:rsidR="005E567B" w:rsidRPr="003819C3" w:rsidRDefault="005E567B" w:rsidP="007866BE">
      <w:pPr>
        <w:pStyle w:val="ListParagraph"/>
        <w:widowControl/>
      </w:pPr>
    </w:p>
    <w:p w:rsidR="004D7C46" w:rsidRPr="003819C3" w:rsidRDefault="00BD74E4" w:rsidP="007866BE">
      <w:pPr>
        <w:pStyle w:val="ListParagraph"/>
        <w:widowControl/>
        <w:numPr>
          <w:ilvl w:val="1"/>
          <w:numId w:val="10"/>
        </w:numPr>
        <w:rPr>
          <w:szCs w:val="22"/>
        </w:rPr>
      </w:pPr>
      <w:r>
        <w:t xml:space="preserve">U300 is supplied in 1.5mL cartridges sealed into a disposable pen injector.  </w:t>
      </w:r>
      <w:r w:rsidR="004D7C46" w:rsidRPr="003819C3">
        <w:rPr>
          <w:szCs w:val="22"/>
        </w:rPr>
        <w:t xml:space="preserve">A single cartridge (1.5 mL) of U300 contains 450 units of insulin glargine. A single cartridge (3.0 mL) of U100 contains 300 units of insulin glargine. </w:t>
      </w:r>
      <w:r w:rsidR="00C4457B" w:rsidRPr="003819C3">
        <w:rPr>
          <w:szCs w:val="22"/>
        </w:rPr>
        <w:t xml:space="preserve">If </w:t>
      </w:r>
      <w:r w:rsidR="00005082" w:rsidRPr="003819C3">
        <w:rPr>
          <w:szCs w:val="22"/>
        </w:rPr>
        <w:t>the</w:t>
      </w:r>
      <w:r w:rsidR="00C4457B" w:rsidRPr="003819C3">
        <w:rPr>
          <w:szCs w:val="22"/>
        </w:rPr>
        <w:t xml:space="preserve"> shelf-life </w:t>
      </w:r>
      <w:r w:rsidR="00005082" w:rsidRPr="003819C3">
        <w:rPr>
          <w:szCs w:val="22"/>
        </w:rPr>
        <w:t>for both products is the same (28 days)</w:t>
      </w:r>
      <w:r w:rsidR="00C4457B" w:rsidRPr="003819C3">
        <w:rPr>
          <w:szCs w:val="22"/>
        </w:rPr>
        <w:t>, t</w:t>
      </w:r>
      <w:r w:rsidR="004D7C46" w:rsidRPr="003819C3">
        <w:t>he increase in the number of units per cartridge may result in increased wastage, especially in T2DM.</w:t>
      </w:r>
      <w:r w:rsidR="00FA66A3" w:rsidRPr="003819C3">
        <w:t xml:space="preserve"> The ACPM was concerned that if a 42-day open shelf life was accepted, then this could cause confusion among diabetes educators and patients because a standard open shelf life of 28 days applied to all the other insulin products. The ACPM noted that a 42 day open shelf life for this product had not been accepted by the EMA or FDA and advised that the open shelf life should be 28 days.</w:t>
      </w:r>
    </w:p>
    <w:p w:rsidR="004D7C46" w:rsidRPr="003819C3" w:rsidRDefault="004D7C46" w:rsidP="007866BE">
      <w:pPr>
        <w:pStyle w:val="ListParagraph"/>
        <w:widowControl/>
        <w:rPr>
          <w:szCs w:val="22"/>
        </w:rPr>
      </w:pPr>
    </w:p>
    <w:p w:rsidR="004D7C46" w:rsidRDefault="00083ED8" w:rsidP="007866BE">
      <w:pPr>
        <w:pStyle w:val="ListParagraph"/>
        <w:widowControl/>
        <w:numPr>
          <w:ilvl w:val="1"/>
          <w:numId w:val="10"/>
        </w:numPr>
        <w:rPr>
          <w:szCs w:val="22"/>
        </w:rPr>
      </w:pPr>
      <w:r w:rsidRPr="003819C3">
        <w:t xml:space="preserve">Three pack sizes (1, 3 and 5 pens) are proposed for the U300 listing. </w:t>
      </w:r>
      <w:r w:rsidR="004D7C46" w:rsidRPr="003819C3">
        <w:rPr>
          <w:szCs w:val="22"/>
        </w:rPr>
        <w:t xml:space="preserve"> One pack size (5 cartridges</w:t>
      </w:r>
      <w:r w:rsidRPr="003819C3">
        <w:rPr>
          <w:szCs w:val="22"/>
        </w:rPr>
        <w:t>/pens</w:t>
      </w:r>
      <w:r w:rsidR="004D7C46" w:rsidRPr="003819C3">
        <w:rPr>
          <w:szCs w:val="22"/>
        </w:rPr>
        <w:t>) is listed for U100.</w:t>
      </w:r>
    </w:p>
    <w:p w:rsidR="00B80EE0" w:rsidRPr="00B80EE0" w:rsidRDefault="00B80EE0" w:rsidP="007866BE">
      <w:pPr>
        <w:pStyle w:val="ListParagraph"/>
        <w:widowControl/>
        <w:rPr>
          <w:szCs w:val="22"/>
        </w:rPr>
      </w:pPr>
    </w:p>
    <w:p w:rsidR="00B80EE0" w:rsidRPr="00FE1081" w:rsidRDefault="00B80EE0" w:rsidP="007866BE">
      <w:pPr>
        <w:pStyle w:val="ListParagraph"/>
        <w:widowControl/>
        <w:numPr>
          <w:ilvl w:val="1"/>
          <w:numId w:val="10"/>
        </w:numPr>
        <w:rPr>
          <w:szCs w:val="22"/>
        </w:rPr>
      </w:pPr>
      <w:r w:rsidRPr="00FE1081">
        <w:rPr>
          <w:szCs w:val="22"/>
        </w:rPr>
        <w:t>The single cartridge pack was intended for patients currently using insulin pump therapy as a back-up supply of basal insulin should there be a malfunction of their insulin pump. In most cases the back-up basal insulin supply is not used, and, once it passes it usable shelf life, is discarded. The availability of a single cartridge pack was to reduce the additional wastage which would occur if only multiple cartridge packs were available. Similarly, the 3 pack was to allow patients who require lower doses to avoid the wastage that would otherwise occur if only a 5 pack was available.</w:t>
      </w:r>
    </w:p>
    <w:p w:rsidR="00B80EE0" w:rsidRDefault="00B80EE0" w:rsidP="007866BE">
      <w:pPr>
        <w:pStyle w:val="ListParagraph"/>
        <w:widowControl/>
        <w:rPr>
          <w:szCs w:val="22"/>
        </w:rPr>
      </w:pPr>
    </w:p>
    <w:p w:rsidR="00E55BB5" w:rsidRPr="003819C3" w:rsidRDefault="00E55BB5" w:rsidP="007866BE">
      <w:pPr>
        <w:widowControl/>
      </w:pPr>
    </w:p>
    <w:p w:rsidR="00B50DB8" w:rsidRPr="003819C3" w:rsidRDefault="00B50DB8" w:rsidP="007866BE">
      <w:pPr>
        <w:pStyle w:val="Heading2"/>
        <w:widowControl/>
        <w:numPr>
          <w:ilvl w:val="0"/>
          <w:numId w:val="10"/>
        </w:numPr>
        <w:ind w:left="709" w:hanging="709"/>
      </w:pPr>
      <w:bookmarkStart w:id="5" w:name="_Toc419731757"/>
      <w:r w:rsidRPr="003819C3">
        <w:t>Clinical place for the proposed therapy</w:t>
      </w:r>
      <w:bookmarkEnd w:id="5"/>
    </w:p>
    <w:p w:rsidR="00B60939" w:rsidRPr="003819C3" w:rsidRDefault="00B60939" w:rsidP="007866BE">
      <w:pPr>
        <w:widowControl/>
        <w:rPr>
          <w:szCs w:val="22"/>
        </w:rPr>
      </w:pPr>
    </w:p>
    <w:p w:rsidR="00B60939" w:rsidRPr="003819C3" w:rsidRDefault="000B1694" w:rsidP="007866BE">
      <w:pPr>
        <w:pStyle w:val="ListParagraph"/>
        <w:widowControl/>
        <w:numPr>
          <w:ilvl w:val="1"/>
          <w:numId w:val="10"/>
        </w:numPr>
        <w:rPr>
          <w:szCs w:val="22"/>
        </w:rPr>
      </w:pPr>
      <w:r w:rsidRPr="003819C3">
        <w:rPr>
          <w:szCs w:val="22"/>
        </w:rPr>
        <w:t>Patients with T1DM cannot produce insulin and require lifelong insulin replacement therapy. Patients with T2DM produce insulin, but may not produce enough of it or cannot use it effectively.</w:t>
      </w:r>
    </w:p>
    <w:p w:rsidR="000B1694" w:rsidRPr="003819C3" w:rsidRDefault="000B1694" w:rsidP="007866BE">
      <w:pPr>
        <w:widowControl/>
        <w:rPr>
          <w:szCs w:val="22"/>
        </w:rPr>
      </w:pPr>
    </w:p>
    <w:p w:rsidR="002C2775" w:rsidRPr="003819C3" w:rsidRDefault="000B1694" w:rsidP="007866BE">
      <w:pPr>
        <w:pStyle w:val="ListParagraph"/>
        <w:widowControl/>
        <w:numPr>
          <w:ilvl w:val="1"/>
          <w:numId w:val="10"/>
        </w:numPr>
        <w:rPr>
          <w:szCs w:val="22"/>
        </w:rPr>
      </w:pPr>
      <w:r w:rsidRPr="003819C3">
        <w:rPr>
          <w:szCs w:val="22"/>
        </w:rPr>
        <w:t xml:space="preserve">The submission proposed U300 as an alternative basil insulin treatment. </w:t>
      </w:r>
      <w:r w:rsidR="00C20017" w:rsidRPr="003819C3">
        <w:rPr>
          <w:szCs w:val="22"/>
        </w:rPr>
        <w:t>A formulation of i</w:t>
      </w:r>
      <w:r w:rsidRPr="003819C3">
        <w:rPr>
          <w:szCs w:val="22"/>
        </w:rPr>
        <w:t xml:space="preserve">nsulin glargine </w:t>
      </w:r>
      <w:r w:rsidR="00C20017" w:rsidRPr="003819C3">
        <w:rPr>
          <w:szCs w:val="22"/>
        </w:rPr>
        <w:t>(</w:t>
      </w:r>
      <w:r w:rsidRPr="003819C3">
        <w:rPr>
          <w:szCs w:val="22"/>
        </w:rPr>
        <w:t>100 units/mL</w:t>
      </w:r>
      <w:r w:rsidR="00C20017" w:rsidRPr="003819C3">
        <w:rPr>
          <w:szCs w:val="22"/>
        </w:rPr>
        <w:t>)</w:t>
      </w:r>
      <w:r w:rsidRPr="003819C3">
        <w:rPr>
          <w:szCs w:val="22"/>
        </w:rPr>
        <w:t xml:space="preserve"> is already PBS listed. U300 is a more concentrated form of insulin glargine (300 units/mL).</w:t>
      </w:r>
    </w:p>
    <w:p w:rsidR="00EA74E1" w:rsidRPr="003819C3" w:rsidRDefault="00EA74E1" w:rsidP="007866BE">
      <w:pPr>
        <w:pStyle w:val="Header"/>
        <w:widowControl/>
        <w:rPr>
          <w:szCs w:val="22"/>
        </w:rPr>
      </w:pPr>
    </w:p>
    <w:p w:rsidR="00B50DB8" w:rsidRPr="003819C3" w:rsidRDefault="00B50DB8" w:rsidP="007866BE">
      <w:pPr>
        <w:pStyle w:val="Heading2"/>
        <w:widowControl/>
        <w:numPr>
          <w:ilvl w:val="0"/>
          <w:numId w:val="10"/>
        </w:numPr>
        <w:ind w:left="709" w:hanging="709"/>
        <w:rPr>
          <w:b w:val="0"/>
          <w:szCs w:val="22"/>
        </w:rPr>
      </w:pPr>
      <w:bookmarkStart w:id="6" w:name="_Toc419731758"/>
      <w:r w:rsidRPr="003819C3">
        <w:rPr>
          <w:szCs w:val="22"/>
        </w:rPr>
        <w:t>Comparator</w:t>
      </w:r>
      <w:bookmarkEnd w:id="6"/>
    </w:p>
    <w:p w:rsidR="00B60939" w:rsidRPr="003819C3" w:rsidRDefault="00B60939" w:rsidP="007866BE">
      <w:pPr>
        <w:widowControl/>
      </w:pPr>
    </w:p>
    <w:p w:rsidR="002C2775" w:rsidRPr="003819C3" w:rsidRDefault="00020328" w:rsidP="007866BE">
      <w:pPr>
        <w:pStyle w:val="ListParagraph"/>
        <w:widowControl/>
        <w:numPr>
          <w:ilvl w:val="1"/>
          <w:numId w:val="10"/>
        </w:numPr>
        <w:rPr>
          <w:szCs w:val="22"/>
        </w:rPr>
      </w:pPr>
      <w:r w:rsidRPr="003819C3">
        <w:t>Insulin glargine 100 units per mL</w:t>
      </w:r>
      <w:r w:rsidR="00083574" w:rsidRPr="003819C3">
        <w:t xml:space="preserve"> (U100)</w:t>
      </w:r>
      <w:r w:rsidR="00F067A2" w:rsidRPr="003819C3">
        <w:t>.</w:t>
      </w:r>
      <w:r w:rsidR="00F067A2" w:rsidRPr="003819C3">
        <w:rPr>
          <w:color w:val="3366FF"/>
        </w:rPr>
        <w:t xml:space="preserve"> </w:t>
      </w:r>
      <w:r w:rsidR="00D2363E" w:rsidRPr="00D2363E">
        <w:t>The ESC considered t</w:t>
      </w:r>
      <w:r w:rsidR="00F067A2" w:rsidRPr="00D2363E">
        <w:t xml:space="preserve">his </w:t>
      </w:r>
      <w:r w:rsidR="00B80EE0">
        <w:t>wa</w:t>
      </w:r>
      <w:r w:rsidR="00F067A2" w:rsidRPr="003819C3">
        <w:t>s the appropriate comparator.</w:t>
      </w:r>
    </w:p>
    <w:p w:rsidR="003819C3" w:rsidRDefault="003819C3" w:rsidP="007866BE">
      <w:pPr>
        <w:pStyle w:val="ListParagraph"/>
        <w:widowControl/>
      </w:pPr>
    </w:p>
    <w:p w:rsidR="003819C3" w:rsidRPr="003819C3" w:rsidRDefault="003819C3" w:rsidP="007866BE">
      <w:pPr>
        <w:widowControl/>
        <w:ind w:left="709"/>
        <w:rPr>
          <w:i/>
        </w:rPr>
      </w:pPr>
      <w:r w:rsidRPr="003819C3">
        <w:rPr>
          <w:i/>
        </w:rPr>
        <w:t>For more detail on PBAC’s view, see section 7 “PBAC outcome”</w:t>
      </w:r>
    </w:p>
    <w:p w:rsidR="001977AA" w:rsidRPr="003819C3" w:rsidRDefault="001977AA" w:rsidP="007866BE">
      <w:pPr>
        <w:pStyle w:val="PBACHeading1"/>
        <w:numPr>
          <w:ilvl w:val="0"/>
          <w:numId w:val="0"/>
        </w:numPr>
        <w:ind w:left="720" w:hanging="720"/>
      </w:pPr>
    </w:p>
    <w:p w:rsidR="00B50DB8" w:rsidRPr="00B80EE0" w:rsidRDefault="00BD6CF3" w:rsidP="007866BE">
      <w:pPr>
        <w:pStyle w:val="Heading2"/>
        <w:widowControl/>
        <w:numPr>
          <w:ilvl w:val="0"/>
          <w:numId w:val="10"/>
        </w:numPr>
        <w:ind w:left="709" w:hanging="709"/>
      </w:pPr>
      <w:bookmarkStart w:id="7" w:name="_Toc419731759"/>
      <w:r w:rsidRPr="00B80EE0">
        <w:t>C</w:t>
      </w:r>
      <w:r w:rsidR="00B50DB8" w:rsidRPr="00B80EE0">
        <w:t>onsideration of the evidence</w:t>
      </w:r>
      <w:bookmarkEnd w:id="7"/>
    </w:p>
    <w:p w:rsidR="00B60939" w:rsidRPr="00B80EE0" w:rsidRDefault="00B60939" w:rsidP="007866BE">
      <w:pPr>
        <w:widowControl/>
      </w:pPr>
    </w:p>
    <w:p w:rsidR="003819C3" w:rsidRPr="00071887" w:rsidRDefault="003819C3" w:rsidP="007866BE">
      <w:pPr>
        <w:pStyle w:val="Heading2"/>
        <w:widowControl/>
        <w:rPr>
          <w:bCs/>
          <w:i/>
        </w:rPr>
      </w:pPr>
      <w:bookmarkStart w:id="8" w:name="_Toc419731760"/>
      <w:r w:rsidRPr="00071887">
        <w:rPr>
          <w:bCs/>
          <w:i/>
        </w:rPr>
        <w:t>Sponsor hearing</w:t>
      </w:r>
    </w:p>
    <w:p w:rsidR="003819C3" w:rsidRPr="00B80EE0" w:rsidRDefault="003819C3" w:rsidP="007866BE">
      <w:pPr>
        <w:widowControl/>
      </w:pPr>
    </w:p>
    <w:p w:rsidR="003819C3" w:rsidRPr="00B80EE0" w:rsidRDefault="003819C3" w:rsidP="007866BE">
      <w:pPr>
        <w:pStyle w:val="Heading2"/>
        <w:widowControl/>
        <w:numPr>
          <w:ilvl w:val="1"/>
          <w:numId w:val="10"/>
        </w:numPr>
        <w:rPr>
          <w:b w:val="0"/>
          <w:bCs/>
        </w:rPr>
      </w:pPr>
      <w:r w:rsidRPr="00B80EE0">
        <w:rPr>
          <w:b w:val="0"/>
          <w:bCs/>
        </w:rPr>
        <w:t>There was no hearing for this item.</w:t>
      </w:r>
    </w:p>
    <w:p w:rsidR="003819C3" w:rsidRPr="00B80EE0" w:rsidRDefault="003819C3" w:rsidP="007866BE">
      <w:pPr>
        <w:pStyle w:val="Heading2"/>
        <w:widowControl/>
        <w:rPr>
          <w:b w:val="0"/>
          <w:bCs/>
        </w:rPr>
      </w:pPr>
    </w:p>
    <w:p w:rsidR="003819C3" w:rsidRPr="00071887" w:rsidRDefault="003819C3" w:rsidP="007866BE">
      <w:pPr>
        <w:pStyle w:val="Heading2"/>
        <w:widowControl/>
        <w:rPr>
          <w:bCs/>
          <w:i/>
        </w:rPr>
      </w:pPr>
      <w:r w:rsidRPr="00071887">
        <w:rPr>
          <w:bCs/>
          <w:i/>
        </w:rPr>
        <w:t>Consumer comments</w:t>
      </w:r>
    </w:p>
    <w:p w:rsidR="003819C3" w:rsidRPr="00D321D1" w:rsidRDefault="003819C3" w:rsidP="007866BE">
      <w:pPr>
        <w:widowControl/>
      </w:pPr>
    </w:p>
    <w:p w:rsidR="00D321D1" w:rsidRPr="00FE1081" w:rsidRDefault="003819C3" w:rsidP="00E9520C">
      <w:pPr>
        <w:ind w:left="720"/>
        <w:rPr>
          <w:bCs/>
        </w:rPr>
      </w:pPr>
      <w:r w:rsidRPr="00E9520C">
        <w:t>The PBAC noted and welcomed the input from individuals (</w:t>
      </w:r>
      <w:r w:rsidR="00D321D1" w:rsidRPr="00E9520C">
        <w:t>2) and</w:t>
      </w:r>
      <w:r w:rsidRPr="00E9520C">
        <w:t xml:space="preserve"> health care professionals (</w:t>
      </w:r>
      <w:r w:rsidR="00D321D1" w:rsidRPr="00E9520C">
        <w:t>4</w:t>
      </w:r>
      <w:r w:rsidRPr="00E9520C">
        <w:t xml:space="preserve">) </w:t>
      </w:r>
      <w:r w:rsidR="00D321D1" w:rsidRPr="00E9520C">
        <w:t>v</w:t>
      </w:r>
      <w:r w:rsidRPr="00E9520C">
        <w:t xml:space="preserve">ia the Consumer Comments facility on the PBS website.  The comments described a range of benefits of treatment with </w:t>
      </w:r>
      <w:r w:rsidR="00D321D1" w:rsidRPr="00E9520C">
        <w:t>U300</w:t>
      </w:r>
      <w:r w:rsidRPr="00E9520C">
        <w:t xml:space="preserve"> including</w:t>
      </w:r>
      <w:r w:rsidR="00166A09" w:rsidRPr="00E9520C">
        <w:t>:</w:t>
      </w:r>
      <w:r w:rsidR="00D321D1" w:rsidRPr="00E9520C">
        <w:t xml:space="preserve"> less nocturnal hypoglycaemia</w:t>
      </w:r>
      <w:r w:rsidR="00166A09" w:rsidRPr="00E9520C">
        <w:t>;</w:t>
      </w:r>
      <w:r w:rsidR="00D321D1" w:rsidRPr="00E9520C">
        <w:t xml:space="preserve"> </w:t>
      </w:r>
      <w:r w:rsidR="00166A09" w:rsidRPr="00E9520C">
        <w:t xml:space="preserve">smaller volumes of insulin required will be more convenient for patients with T2DM with severe insulin resistance requiring large doses of insulin and may mean better compliance; </w:t>
      </w:r>
      <w:r w:rsidR="00D321D1" w:rsidRPr="00E9520C">
        <w:t xml:space="preserve">and insulin expected to last </w:t>
      </w:r>
      <w:r w:rsidR="005B19A5" w:rsidRPr="00E9520C">
        <w:t>beyond 24</w:t>
      </w:r>
      <w:r w:rsidR="00D321D1" w:rsidRPr="00E9520C">
        <w:t xml:space="preserve"> hours may reduce the need for a second daily dose</w:t>
      </w:r>
      <w:r w:rsidR="00D321D1" w:rsidRPr="00FE1081">
        <w:rPr>
          <w:bCs/>
        </w:rPr>
        <w:t>.</w:t>
      </w:r>
    </w:p>
    <w:p w:rsidR="003819C3" w:rsidRPr="00D321D1" w:rsidRDefault="003819C3" w:rsidP="007866BE">
      <w:pPr>
        <w:pStyle w:val="Heading2"/>
        <w:widowControl/>
        <w:rPr>
          <w:b w:val="0"/>
          <w:bCs/>
          <w:highlight w:val="lightGray"/>
        </w:rPr>
      </w:pPr>
    </w:p>
    <w:p w:rsidR="00B60939" w:rsidRPr="00071887" w:rsidRDefault="00B60939" w:rsidP="007866BE">
      <w:pPr>
        <w:pStyle w:val="Heading2"/>
        <w:widowControl/>
        <w:rPr>
          <w:i/>
        </w:rPr>
      </w:pPr>
      <w:r w:rsidRPr="00071887">
        <w:rPr>
          <w:i/>
        </w:rPr>
        <w:t>Clinical trials</w:t>
      </w:r>
      <w:bookmarkEnd w:id="8"/>
    </w:p>
    <w:p w:rsidR="00B60939" w:rsidRPr="003819C3" w:rsidRDefault="00B60939" w:rsidP="007866BE">
      <w:pPr>
        <w:widowControl/>
        <w:rPr>
          <w:szCs w:val="22"/>
        </w:rPr>
      </w:pPr>
    </w:p>
    <w:p w:rsidR="009369E5" w:rsidRPr="003819C3" w:rsidRDefault="005C5D31" w:rsidP="007866BE">
      <w:pPr>
        <w:pStyle w:val="ListParagraph"/>
        <w:widowControl/>
        <w:numPr>
          <w:ilvl w:val="1"/>
          <w:numId w:val="10"/>
        </w:numPr>
        <w:rPr>
          <w:szCs w:val="22"/>
        </w:rPr>
      </w:pPr>
      <w:r w:rsidRPr="003819C3">
        <w:t>The submission wa</w:t>
      </w:r>
      <w:r w:rsidR="00862502" w:rsidRPr="003819C3">
        <w:t xml:space="preserve">s based on </w:t>
      </w:r>
      <w:r w:rsidR="00203AE1" w:rsidRPr="003819C3">
        <w:t>three</w:t>
      </w:r>
      <w:r w:rsidR="00862502" w:rsidRPr="003819C3">
        <w:t xml:space="preserve"> head-to-head trial</w:t>
      </w:r>
      <w:r w:rsidR="00BB0EC4" w:rsidRPr="003819C3">
        <w:t>s</w:t>
      </w:r>
      <w:r w:rsidR="00862502" w:rsidRPr="003819C3">
        <w:t xml:space="preserve"> comparing </w:t>
      </w:r>
      <w:r w:rsidR="00203AE1" w:rsidRPr="003819C3">
        <w:t>U300</w:t>
      </w:r>
      <w:r w:rsidR="00020328" w:rsidRPr="003819C3">
        <w:t xml:space="preserve"> </w:t>
      </w:r>
      <w:r w:rsidR="00862502" w:rsidRPr="003819C3">
        <w:t xml:space="preserve">to </w:t>
      </w:r>
      <w:r w:rsidR="00203AE1" w:rsidRPr="003819C3">
        <w:t>U100</w:t>
      </w:r>
      <w:r w:rsidR="00862502" w:rsidRPr="003819C3">
        <w:t xml:space="preserve"> </w:t>
      </w:r>
      <w:r w:rsidR="00203AE1" w:rsidRPr="003819C3">
        <w:t xml:space="preserve">in T2DM </w:t>
      </w:r>
      <w:r w:rsidR="00862502" w:rsidRPr="003819C3">
        <w:t>(</w:t>
      </w:r>
      <w:r w:rsidR="0092151E" w:rsidRPr="003819C3">
        <w:t>EDITION I</w:t>
      </w:r>
      <w:r w:rsidR="00203AE1" w:rsidRPr="003819C3">
        <w:t>,</w:t>
      </w:r>
      <w:r w:rsidR="0092151E" w:rsidRPr="003819C3">
        <w:t xml:space="preserve"> EDITION II </w:t>
      </w:r>
      <w:r w:rsidR="00203AE1" w:rsidRPr="003819C3">
        <w:t>and</w:t>
      </w:r>
      <w:r w:rsidR="0092151E" w:rsidRPr="003819C3">
        <w:t xml:space="preserve"> EDITION III</w:t>
      </w:r>
      <w:r w:rsidR="00203AE1" w:rsidRPr="003819C3">
        <w:t>) and one head-to-head trial in T1DM</w:t>
      </w:r>
      <w:r w:rsidR="0092151E" w:rsidRPr="003819C3">
        <w:t xml:space="preserve"> </w:t>
      </w:r>
      <w:r w:rsidR="00203AE1" w:rsidRPr="003819C3">
        <w:t>(</w:t>
      </w:r>
      <w:r w:rsidR="0092151E" w:rsidRPr="003819C3">
        <w:t>EDITIO</w:t>
      </w:r>
      <w:r w:rsidR="00203AE1" w:rsidRPr="003819C3">
        <w:t>N IV</w:t>
      </w:r>
      <w:r w:rsidR="00862502" w:rsidRPr="003819C3">
        <w:t>).</w:t>
      </w:r>
      <w:r w:rsidR="00702F8F" w:rsidRPr="003819C3">
        <w:rPr>
          <w:color w:val="3366FF"/>
        </w:rPr>
        <w:t xml:space="preserve"> </w:t>
      </w:r>
    </w:p>
    <w:p w:rsidR="009369E5" w:rsidRPr="003819C3" w:rsidRDefault="009369E5" w:rsidP="007866BE">
      <w:pPr>
        <w:pStyle w:val="ListParagraph"/>
        <w:widowControl/>
        <w:rPr>
          <w:szCs w:val="22"/>
        </w:rPr>
      </w:pPr>
    </w:p>
    <w:p w:rsidR="007F1017" w:rsidRPr="003819C3" w:rsidRDefault="005C5D31" w:rsidP="007866BE">
      <w:pPr>
        <w:pStyle w:val="ListParagraph"/>
        <w:widowControl/>
        <w:numPr>
          <w:ilvl w:val="1"/>
          <w:numId w:val="10"/>
        </w:numPr>
        <w:rPr>
          <w:szCs w:val="22"/>
        </w:rPr>
      </w:pPr>
      <w:r w:rsidRPr="003819C3">
        <w:t xml:space="preserve">Two head-to-head trials of U300 and U100 were excluded from the submission due to </w:t>
      </w:r>
      <w:r w:rsidR="00C20017" w:rsidRPr="003819C3">
        <w:t>being conducted in Japan only</w:t>
      </w:r>
      <w:r w:rsidR="004D7C46" w:rsidRPr="003819C3">
        <w:t xml:space="preserve"> (EDITION JPI and EDITION JPII)</w:t>
      </w:r>
      <w:r w:rsidR="00166A09">
        <w:t>. The submission stated</w:t>
      </w:r>
      <w:r w:rsidRPr="003819C3">
        <w:t xml:space="preserve"> EDITION JPI was similar in design to EDITION IV, and EDITION JPII was similar in design to EDITION II. No results were provided in the submission for the excluded trials. Based on conference abstracts located during the evaluation, the results of the excluded trials appear consistent with those for the included trials</w:t>
      </w:r>
      <w:r w:rsidRPr="003819C3">
        <w:rPr>
          <w:color w:val="3366FF"/>
        </w:rPr>
        <w:t>.</w:t>
      </w:r>
      <w:r w:rsidR="00374699" w:rsidRPr="003819C3">
        <w:rPr>
          <w:color w:val="3366FF"/>
        </w:rPr>
        <w:t xml:space="preserve"> </w:t>
      </w:r>
      <w:r w:rsidR="00374699" w:rsidRPr="003819C3">
        <w:t>The ESC considered the exclusion of these trials may not be appropriate given the EDITION trials included in the submission are multinational.</w:t>
      </w:r>
    </w:p>
    <w:p w:rsidR="00862502" w:rsidRPr="003819C3" w:rsidRDefault="00862502" w:rsidP="007866BE">
      <w:pPr>
        <w:widowControl/>
        <w:rPr>
          <w:szCs w:val="22"/>
        </w:rPr>
      </w:pPr>
    </w:p>
    <w:p w:rsidR="00862502" w:rsidRPr="003819C3" w:rsidRDefault="00862502" w:rsidP="007866BE">
      <w:pPr>
        <w:pStyle w:val="ListParagraph"/>
        <w:widowControl/>
        <w:numPr>
          <w:ilvl w:val="1"/>
          <w:numId w:val="10"/>
        </w:numPr>
        <w:rPr>
          <w:szCs w:val="22"/>
        </w:rPr>
      </w:pPr>
      <w:r w:rsidRPr="003819C3">
        <w:rPr>
          <w:szCs w:val="22"/>
        </w:rPr>
        <w:t>Details of the trials presented in the submission ar</w:t>
      </w:r>
      <w:r w:rsidR="00280BA6" w:rsidRPr="003819C3">
        <w:rPr>
          <w:szCs w:val="22"/>
        </w:rPr>
        <w:t>e provided in the table below.</w:t>
      </w:r>
    </w:p>
    <w:p w:rsidR="00862502" w:rsidRPr="003819C3" w:rsidRDefault="00862502" w:rsidP="007866BE">
      <w:pPr>
        <w:widowControl/>
        <w:rPr>
          <w:szCs w:val="22"/>
        </w:rPr>
      </w:pPr>
    </w:p>
    <w:p w:rsidR="008F120A" w:rsidRPr="003819C3" w:rsidRDefault="008F120A" w:rsidP="007866BE">
      <w:pPr>
        <w:keepNext/>
        <w:widowControl/>
        <w:ind w:firstLine="720"/>
        <w:rPr>
          <w:rStyle w:val="CommentReference"/>
        </w:rPr>
      </w:pPr>
      <w:r w:rsidRPr="003819C3">
        <w:rPr>
          <w:rStyle w:val="CommentReference"/>
        </w:rPr>
        <w:t xml:space="preserve">Table </w:t>
      </w:r>
      <w:r w:rsidR="007471CC" w:rsidRPr="003819C3">
        <w:rPr>
          <w:rStyle w:val="CommentReference"/>
        </w:rPr>
        <w:t>1</w:t>
      </w:r>
      <w:r w:rsidRPr="003819C3">
        <w:rPr>
          <w:rStyle w:val="CommentReference"/>
        </w:rPr>
        <w:t>: Trials and associated reports presented in the submission</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23"/>
        <w:gridCol w:w="6364"/>
        <w:gridCol w:w="1417"/>
      </w:tblGrid>
      <w:tr w:rsidR="00280BA6" w:rsidRPr="003819C3" w:rsidTr="001977AA">
        <w:tc>
          <w:tcPr>
            <w:tcW w:w="425" w:type="pct"/>
          </w:tcPr>
          <w:p w:rsidR="008F120A" w:rsidRPr="003819C3" w:rsidRDefault="008F120A" w:rsidP="007866BE">
            <w:pPr>
              <w:keepNext/>
              <w:widowControl/>
              <w:jc w:val="left"/>
              <w:rPr>
                <w:rFonts w:ascii="Arial Narrow" w:hAnsi="Arial Narrow"/>
                <w:b/>
                <w:sz w:val="20"/>
              </w:rPr>
            </w:pPr>
            <w:r w:rsidRPr="003819C3">
              <w:rPr>
                <w:rFonts w:ascii="Arial Narrow" w:hAnsi="Arial Narrow"/>
                <w:b/>
                <w:sz w:val="20"/>
              </w:rPr>
              <w:t>Trial ID</w:t>
            </w:r>
          </w:p>
        </w:tc>
        <w:tc>
          <w:tcPr>
            <w:tcW w:w="3742" w:type="pct"/>
          </w:tcPr>
          <w:p w:rsidR="008F120A" w:rsidRPr="003819C3" w:rsidRDefault="008F120A" w:rsidP="007866BE">
            <w:pPr>
              <w:keepNext/>
              <w:widowControl/>
              <w:jc w:val="center"/>
              <w:rPr>
                <w:rFonts w:ascii="Arial Narrow" w:hAnsi="Arial Narrow"/>
                <w:b/>
                <w:sz w:val="20"/>
              </w:rPr>
            </w:pPr>
            <w:r w:rsidRPr="003819C3">
              <w:rPr>
                <w:rFonts w:ascii="Arial Narrow" w:hAnsi="Arial Narrow"/>
                <w:b/>
                <w:sz w:val="20"/>
              </w:rPr>
              <w:t>Protocol title/ Publication title</w:t>
            </w:r>
          </w:p>
        </w:tc>
        <w:tc>
          <w:tcPr>
            <w:tcW w:w="833" w:type="pct"/>
          </w:tcPr>
          <w:p w:rsidR="008F120A" w:rsidRPr="003819C3" w:rsidRDefault="008F120A" w:rsidP="007866BE">
            <w:pPr>
              <w:keepNext/>
              <w:widowControl/>
              <w:jc w:val="center"/>
              <w:rPr>
                <w:rFonts w:ascii="Arial Narrow" w:hAnsi="Arial Narrow"/>
                <w:b/>
                <w:sz w:val="20"/>
              </w:rPr>
            </w:pPr>
            <w:r w:rsidRPr="003819C3">
              <w:rPr>
                <w:rFonts w:ascii="Arial Narrow" w:hAnsi="Arial Narrow"/>
                <w:b/>
                <w:sz w:val="20"/>
              </w:rPr>
              <w:t>Publication citation</w:t>
            </w:r>
          </w:p>
        </w:tc>
      </w:tr>
      <w:tr w:rsidR="008F120A" w:rsidRPr="003819C3" w:rsidTr="00280BA6">
        <w:tc>
          <w:tcPr>
            <w:tcW w:w="5000" w:type="pct"/>
            <w:gridSpan w:val="3"/>
            <w:tcBorders>
              <w:bottom w:val="single" w:sz="4" w:space="0" w:color="auto"/>
            </w:tcBorders>
          </w:tcPr>
          <w:p w:rsidR="008F120A" w:rsidRPr="003819C3" w:rsidRDefault="00280BA6" w:rsidP="007866BE">
            <w:pPr>
              <w:widowControl/>
              <w:jc w:val="left"/>
              <w:rPr>
                <w:rFonts w:ascii="Arial Narrow" w:hAnsi="Arial Narrow"/>
                <w:b/>
                <w:sz w:val="20"/>
              </w:rPr>
            </w:pPr>
            <w:r w:rsidRPr="003819C3">
              <w:rPr>
                <w:rFonts w:ascii="Arial Narrow" w:hAnsi="Arial Narrow"/>
                <w:b/>
                <w:sz w:val="20"/>
              </w:rPr>
              <w:t>Direct randomised trial</w:t>
            </w:r>
            <w:r w:rsidR="008F120A" w:rsidRPr="003819C3">
              <w:rPr>
                <w:rFonts w:ascii="Arial Narrow" w:hAnsi="Arial Narrow"/>
                <w:b/>
                <w:sz w:val="20"/>
              </w:rPr>
              <w:t>s</w:t>
            </w:r>
          </w:p>
        </w:tc>
      </w:tr>
      <w:tr w:rsidR="00280BA6" w:rsidRPr="003819C3" w:rsidTr="001977AA">
        <w:tc>
          <w:tcPr>
            <w:tcW w:w="425" w:type="pct"/>
            <w:tcBorders>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EDITION I</w:t>
            </w:r>
          </w:p>
        </w:tc>
        <w:tc>
          <w:tcPr>
            <w:tcW w:w="3742" w:type="pct"/>
            <w:tcBorders>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EFC11628: 6-Month, Multicentre, Randomized, Open-label, Parallel-group Study Comparing the Efficacy and Safety of a New Formulation of Insulin Glargine and Lantus</w:t>
            </w:r>
            <w:r w:rsidRPr="003819C3">
              <w:rPr>
                <w:rFonts w:ascii="Arial Narrow" w:hAnsi="Arial Narrow"/>
                <w:sz w:val="20"/>
                <w:vertAlign w:val="superscript"/>
              </w:rPr>
              <w:t>®</w:t>
            </w:r>
            <w:r w:rsidRPr="003819C3">
              <w:rPr>
                <w:rFonts w:ascii="Arial Narrow" w:hAnsi="Arial Narrow"/>
                <w:sz w:val="20"/>
              </w:rPr>
              <w:t xml:space="preserve"> both plus Mealtime Insulin in Patients with Type 2 Diabetes Mellitus with a 6-month Safety Extension Period</w:t>
            </w:r>
          </w:p>
        </w:tc>
        <w:tc>
          <w:tcPr>
            <w:tcW w:w="833" w:type="pct"/>
            <w:tcBorders>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23 December 2013</w:t>
            </w:r>
          </w:p>
        </w:tc>
      </w:tr>
      <w:tr w:rsidR="00280BA6" w:rsidRPr="003819C3" w:rsidTr="001977AA">
        <w:tc>
          <w:tcPr>
            <w:tcW w:w="425" w:type="pct"/>
            <w:tcBorders>
              <w:top w:val="nil"/>
              <w:bottom w:val="nil"/>
            </w:tcBorders>
          </w:tcPr>
          <w:p w:rsidR="00280BA6" w:rsidRPr="003819C3" w:rsidRDefault="00280BA6" w:rsidP="007866BE">
            <w:pPr>
              <w:widowControl/>
              <w:spacing w:after="60"/>
              <w:jc w:val="left"/>
              <w:rPr>
                <w:rFonts w:ascii="Arial Narrow" w:hAnsi="Arial Narrow"/>
                <w:sz w:val="20"/>
              </w:rPr>
            </w:pPr>
          </w:p>
        </w:tc>
        <w:tc>
          <w:tcPr>
            <w:tcW w:w="3742"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Riddle MC, Bolli GB, Ziemen M, Muehlen-Bartmer I, Bizet F, Home PD, et al. New insulin glargine 300 units/mL versus glargine 100 units/mL in people with type 2 diabetes using basal and mealtime insulin: glucose control and hypoglycemia in a 6-month randomized controlled trial (EDITION 1)</w:t>
            </w:r>
          </w:p>
        </w:tc>
        <w:tc>
          <w:tcPr>
            <w:tcW w:w="833"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Diabetes Care 2014; 37:2755–62</w:t>
            </w:r>
          </w:p>
        </w:tc>
      </w:tr>
      <w:tr w:rsidR="00280BA6" w:rsidRPr="003819C3" w:rsidTr="001977AA">
        <w:tc>
          <w:tcPr>
            <w:tcW w:w="425" w:type="pct"/>
            <w:tcBorders>
              <w:top w:val="nil"/>
              <w:bottom w:val="nil"/>
            </w:tcBorders>
          </w:tcPr>
          <w:p w:rsidR="00280BA6" w:rsidRPr="003819C3" w:rsidRDefault="00280BA6" w:rsidP="007866BE">
            <w:pPr>
              <w:widowControl/>
              <w:spacing w:after="60"/>
              <w:jc w:val="left"/>
              <w:rPr>
                <w:rFonts w:ascii="Arial Narrow" w:hAnsi="Arial Narrow"/>
                <w:sz w:val="20"/>
              </w:rPr>
            </w:pPr>
          </w:p>
        </w:tc>
        <w:tc>
          <w:tcPr>
            <w:tcW w:w="3742"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Riddle MC, Yki-Jarvinen H, Bolli GB, Ziemen M, Muehlen-Bartmer I, Cissokho S, et al. Sustained glycaemic control and less hypoglycaemia with new insulin glargine 300 U/ml vs 100 U/ml: 1-year results in type 2 diabetes with basal and mealtime insulin (EDITION 1)</w:t>
            </w:r>
          </w:p>
        </w:tc>
        <w:tc>
          <w:tcPr>
            <w:tcW w:w="833"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Diabetologia 2014; 57 (Suppl. 1): S402</w:t>
            </w:r>
          </w:p>
        </w:tc>
      </w:tr>
      <w:tr w:rsidR="00280BA6" w:rsidRPr="003819C3" w:rsidTr="00F006F1">
        <w:trPr>
          <w:cantSplit/>
        </w:trPr>
        <w:tc>
          <w:tcPr>
            <w:tcW w:w="425" w:type="pct"/>
            <w:tcBorders>
              <w:top w:val="nil"/>
              <w:bottom w:val="nil"/>
            </w:tcBorders>
          </w:tcPr>
          <w:p w:rsidR="00280BA6" w:rsidRPr="003819C3" w:rsidRDefault="00280BA6" w:rsidP="007866BE">
            <w:pPr>
              <w:widowControl/>
              <w:spacing w:after="60"/>
              <w:jc w:val="left"/>
              <w:rPr>
                <w:rFonts w:ascii="Arial Narrow" w:hAnsi="Arial Narrow"/>
                <w:sz w:val="20"/>
              </w:rPr>
            </w:pPr>
          </w:p>
        </w:tc>
        <w:tc>
          <w:tcPr>
            <w:tcW w:w="3742"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Home PD, Bolli GB, Ziemen M, Muehlen-Bartmer I, Bizet F, Riddle MC. Investigational new insulin glargine U300: Glucose control and hypoglycaemia in people with Type 2 diabetes using a basal plus mealtime insulin regimen (EDITION I)</w:t>
            </w:r>
          </w:p>
        </w:tc>
        <w:tc>
          <w:tcPr>
            <w:tcW w:w="833" w:type="pct"/>
            <w:tcBorders>
              <w:top w:val="nil"/>
              <w:bottom w:val="nil"/>
            </w:tcBorders>
          </w:tcPr>
          <w:p w:rsidR="00280BA6" w:rsidRPr="003819C3" w:rsidRDefault="00280BA6" w:rsidP="007866BE">
            <w:pPr>
              <w:widowControl/>
              <w:autoSpaceDE w:val="0"/>
              <w:autoSpaceDN w:val="0"/>
              <w:adjustRightInd w:val="0"/>
              <w:spacing w:after="60"/>
              <w:jc w:val="left"/>
              <w:rPr>
                <w:rFonts w:ascii="Arial Narrow" w:hAnsi="Arial Narrow"/>
                <w:sz w:val="20"/>
              </w:rPr>
            </w:pPr>
            <w:r w:rsidRPr="003819C3">
              <w:rPr>
                <w:rFonts w:ascii="Arial Narrow" w:hAnsi="Arial Narrow"/>
                <w:sz w:val="20"/>
              </w:rPr>
              <w:t>Diabetic Medicine 2014; 31 (Suppl. 1): 61</w:t>
            </w:r>
          </w:p>
        </w:tc>
      </w:tr>
      <w:tr w:rsidR="00280BA6" w:rsidRPr="003819C3" w:rsidTr="001977AA">
        <w:tc>
          <w:tcPr>
            <w:tcW w:w="425" w:type="pct"/>
            <w:tcBorders>
              <w:top w:val="nil"/>
              <w:bottom w:val="nil"/>
            </w:tcBorders>
          </w:tcPr>
          <w:p w:rsidR="00280BA6" w:rsidRPr="003819C3" w:rsidRDefault="00280BA6" w:rsidP="007866BE">
            <w:pPr>
              <w:widowControl/>
              <w:spacing w:after="60"/>
              <w:jc w:val="left"/>
              <w:rPr>
                <w:rFonts w:ascii="Arial Narrow" w:hAnsi="Arial Narrow"/>
                <w:sz w:val="20"/>
              </w:rPr>
            </w:pPr>
          </w:p>
        </w:tc>
        <w:tc>
          <w:tcPr>
            <w:tcW w:w="3742"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Bolli GB, Home PD, Ziemen M, Muehlen-Bartmer I, Bizet F, Riddle MC. Investigational new insulin glargine U300: Glycaemic control and hypoglycaemia in type 2 diabetes using a mealtime+basal insulin regimen (edition I)</w:t>
            </w:r>
          </w:p>
        </w:tc>
        <w:tc>
          <w:tcPr>
            <w:tcW w:w="833" w:type="pct"/>
            <w:tcBorders>
              <w:top w:val="nil"/>
              <w:bottom w:val="nil"/>
            </w:tcBorders>
          </w:tcPr>
          <w:p w:rsidR="00280BA6" w:rsidRPr="003819C3" w:rsidRDefault="00280BA6" w:rsidP="007866BE">
            <w:pPr>
              <w:widowControl/>
              <w:autoSpaceDE w:val="0"/>
              <w:autoSpaceDN w:val="0"/>
              <w:adjustRightInd w:val="0"/>
              <w:spacing w:after="60"/>
              <w:jc w:val="left"/>
              <w:rPr>
                <w:rFonts w:ascii="Segoe UI" w:hAnsi="Segoe UI" w:cs="Segoe UI"/>
                <w:sz w:val="18"/>
                <w:szCs w:val="18"/>
              </w:rPr>
            </w:pPr>
            <w:r w:rsidRPr="003819C3">
              <w:rPr>
                <w:rFonts w:ascii="Arial Narrow" w:hAnsi="Arial Narrow"/>
                <w:sz w:val="20"/>
              </w:rPr>
              <w:t>Diabetes Technology and Therapeutics 2014; 16: A89</w:t>
            </w:r>
          </w:p>
        </w:tc>
      </w:tr>
      <w:tr w:rsidR="00280BA6" w:rsidRPr="003819C3" w:rsidTr="001977AA">
        <w:tc>
          <w:tcPr>
            <w:tcW w:w="425" w:type="pct"/>
            <w:tcBorders>
              <w:top w:val="nil"/>
              <w:bottom w:val="nil"/>
            </w:tcBorders>
          </w:tcPr>
          <w:p w:rsidR="00280BA6" w:rsidRPr="003819C3" w:rsidRDefault="00280BA6" w:rsidP="007866BE">
            <w:pPr>
              <w:widowControl/>
              <w:spacing w:after="60"/>
              <w:jc w:val="left"/>
              <w:rPr>
                <w:rFonts w:ascii="Arial Narrow" w:hAnsi="Arial Narrow"/>
                <w:sz w:val="20"/>
              </w:rPr>
            </w:pPr>
          </w:p>
        </w:tc>
        <w:tc>
          <w:tcPr>
            <w:tcW w:w="3742"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Riddle MC, Bolli GB, Ziemen M, Muehlen-Bartmer I, Bizet F, Home PD. New insulin glargine formulation: Glucose control and hypoglycaemia in people with type 2 diabetes using basal and mealtime insulin (EDITION I)</w:t>
            </w:r>
          </w:p>
        </w:tc>
        <w:tc>
          <w:tcPr>
            <w:tcW w:w="833" w:type="pct"/>
            <w:tcBorders>
              <w:top w:val="nil"/>
              <w:bottom w:val="nil"/>
            </w:tcBorders>
          </w:tcPr>
          <w:p w:rsidR="00280BA6" w:rsidRPr="003819C3" w:rsidRDefault="00280BA6" w:rsidP="007866BE">
            <w:pPr>
              <w:widowControl/>
              <w:spacing w:after="60"/>
              <w:jc w:val="left"/>
              <w:rPr>
                <w:rFonts w:ascii="Arial Narrow" w:hAnsi="Arial Narrow"/>
                <w:sz w:val="20"/>
                <w:highlight w:val="yellow"/>
              </w:rPr>
            </w:pPr>
            <w:r w:rsidRPr="003819C3">
              <w:rPr>
                <w:rFonts w:ascii="Arial Narrow" w:hAnsi="Arial Narrow"/>
                <w:sz w:val="20"/>
              </w:rPr>
              <w:t>Diabetologia 2013; 56 (Suppl1): S97</w:t>
            </w:r>
          </w:p>
        </w:tc>
      </w:tr>
      <w:tr w:rsidR="00280BA6" w:rsidRPr="003819C3" w:rsidTr="001977AA">
        <w:trPr>
          <w:cantSplit/>
        </w:trPr>
        <w:tc>
          <w:tcPr>
            <w:tcW w:w="425" w:type="pct"/>
            <w:tcBorders>
              <w:top w:val="nil"/>
              <w:bottom w:val="single" w:sz="4" w:space="0" w:color="auto"/>
            </w:tcBorders>
          </w:tcPr>
          <w:p w:rsidR="00280BA6" w:rsidRPr="003819C3" w:rsidRDefault="00280BA6" w:rsidP="007866BE">
            <w:pPr>
              <w:widowControl/>
              <w:spacing w:after="60"/>
              <w:jc w:val="left"/>
              <w:rPr>
                <w:rFonts w:ascii="Arial Narrow" w:hAnsi="Arial Narrow"/>
                <w:sz w:val="20"/>
              </w:rPr>
            </w:pPr>
          </w:p>
        </w:tc>
        <w:tc>
          <w:tcPr>
            <w:tcW w:w="3742" w:type="pct"/>
            <w:tcBorders>
              <w:top w:val="nil"/>
              <w:bottom w:val="single" w:sz="4" w:space="0" w:color="auto"/>
            </w:tcBorders>
          </w:tcPr>
          <w:p w:rsidR="00280BA6" w:rsidRPr="003819C3" w:rsidRDefault="00280BA6" w:rsidP="007866BE">
            <w:pPr>
              <w:keepNext/>
              <w:widowControl/>
              <w:spacing w:after="60"/>
              <w:jc w:val="left"/>
              <w:rPr>
                <w:rFonts w:ascii="Arial Narrow" w:hAnsi="Arial Narrow"/>
                <w:sz w:val="20"/>
              </w:rPr>
            </w:pPr>
            <w:r w:rsidRPr="003819C3">
              <w:rPr>
                <w:rFonts w:ascii="Arial Narrow" w:hAnsi="Arial Narrow"/>
                <w:sz w:val="20"/>
              </w:rPr>
              <w:t>Riddle MC, Yki-Jarvinen H, Bolli GB, Cissokho S, Home PD. Sustained glycemic control and less hypoglycemia with new insulin glargine 300 u/ml vs 100 u/ml: 1-year results in t2dm with basal + mealtime insulin (EDITION 1)</w:t>
            </w:r>
          </w:p>
        </w:tc>
        <w:tc>
          <w:tcPr>
            <w:tcW w:w="833" w:type="pct"/>
            <w:tcBorders>
              <w:top w:val="nil"/>
              <w:bottom w:val="single" w:sz="4" w:space="0" w:color="auto"/>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Diabetes Technology and Therapeutics 2015; 17: A15</w:t>
            </w:r>
          </w:p>
        </w:tc>
      </w:tr>
      <w:tr w:rsidR="00280BA6" w:rsidRPr="003819C3" w:rsidTr="001977AA">
        <w:tc>
          <w:tcPr>
            <w:tcW w:w="425" w:type="pct"/>
            <w:tcBorders>
              <w:top w:val="single" w:sz="4" w:space="0" w:color="auto"/>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EDITION II</w:t>
            </w:r>
          </w:p>
        </w:tc>
        <w:tc>
          <w:tcPr>
            <w:tcW w:w="3742" w:type="pct"/>
            <w:tcBorders>
              <w:top w:val="single" w:sz="4" w:space="0" w:color="auto"/>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EFC11629: 6-Month, Multicentre, Randomized, Open-label, Parallel-group Study Comparing the Efficacy and Safety of a New Formulation of Insulin Glargine and Lantus</w:t>
            </w:r>
            <w:r w:rsidRPr="003819C3">
              <w:rPr>
                <w:rFonts w:ascii="Arial Narrow" w:hAnsi="Arial Narrow"/>
                <w:sz w:val="20"/>
                <w:vertAlign w:val="superscript"/>
              </w:rPr>
              <w:t>®</w:t>
            </w:r>
            <w:r w:rsidRPr="003819C3">
              <w:rPr>
                <w:rFonts w:ascii="Arial Narrow" w:hAnsi="Arial Narrow"/>
                <w:sz w:val="20"/>
              </w:rPr>
              <w:t xml:space="preserve"> both in combination with oral anti hyperglycaemic drug(s) in Patients with Type 2 Diabetes Mellitus with a 6-month Safety Extension Period</w:t>
            </w:r>
          </w:p>
        </w:tc>
        <w:tc>
          <w:tcPr>
            <w:tcW w:w="833" w:type="pct"/>
            <w:tcBorders>
              <w:top w:val="single" w:sz="4" w:space="0" w:color="auto"/>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23 December 2013</w:t>
            </w:r>
          </w:p>
        </w:tc>
      </w:tr>
      <w:tr w:rsidR="00280BA6" w:rsidRPr="003819C3" w:rsidTr="001977AA">
        <w:tc>
          <w:tcPr>
            <w:tcW w:w="425" w:type="pct"/>
            <w:tcBorders>
              <w:top w:val="nil"/>
              <w:bottom w:val="nil"/>
            </w:tcBorders>
          </w:tcPr>
          <w:p w:rsidR="00280BA6" w:rsidRPr="003819C3" w:rsidRDefault="00280BA6" w:rsidP="007866BE">
            <w:pPr>
              <w:widowControl/>
              <w:spacing w:after="60"/>
              <w:jc w:val="left"/>
              <w:rPr>
                <w:rFonts w:ascii="Arial Narrow" w:hAnsi="Arial Narrow"/>
                <w:sz w:val="20"/>
              </w:rPr>
            </w:pPr>
          </w:p>
        </w:tc>
        <w:tc>
          <w:tcPr>
            <w:tcW w:w="3742"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Yki-Jarvinen H, Bergenstal R, Ziemen M, Wardecki M, Muehlen-Bartmer I, Boelle E, et al. New insulin glargine 300 units/mL versus glargine 100 units/mL in people with type 2 diabetes using oral agents and basal insulin: glucose control and hypoglycemia in a 6-month randomized controlled trial (EDITION 2)</w:t>
            </w:r>
          </w:p>
        </w:tc>
        <w:tc>
          <w:tcPr>
            <w:tcW w:w="833"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Diabetes Care 2014; 37 (12): 3235-43</w:t>
            </w:r>
          </w:p>
        </w:tc>
      </w:tr>
      <w:tr w:rsidR="00280BA6" w:rsidRPr="003819C3" w:rsidTr="001977AA">
        <w:tc>
          <w:tcPr>
            <w:tcW w:w="425" w:type="pct"/>
            <w:tcBorders>
              <w:top w:val="nil"/>
              <w:bottom w:val="nil"/>
            </w:tcBorders>
          </w:tcPr>
          <w:p w:rsidR="00280BA6" w:rsidRPr="003819C3" w:rsidRDefault="00280BA6" w:rsidP="007866BE">
            <w:pPr>
              <w:widowControl/>
              <w:spacing w:after="60"/>
              <w:jc w:val="left"/>
              <w:rPr>
                <w:rFonts w:ascii="Arial Narrow" w:hAnsi="Arial Narrow"/>
                <w:sz w:val="20"/>
              </w:rPr>
            </w:pPr>
          </w:p>
        </w:tc>
        <w:tc>
          <w:tcPr>
            <w:tcW w:w="3742"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Yki-Jarvinen H, Bergenstal RM, Bolli GB, Ziemen M, Wardecki M, Muehlen-Bartmer I, et al. Less nocturnal hypoglycaemia and weight gain with new insulin glargine 300 U/ml vs 100 U/ml: 1-year results in people with type 2 diabetes using basal insulin and OADs (EDITION 2)</w:t>
            </w:r>
          </w:p>
        </w:tc>
        <w:tc>
          <w:tcPr>
            <w:tcW w:w="833"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Diabetologia 2014; 57 (Suppl.1): S387</w:t>
            </w:r>
          </w:p>
        </w:tc>
      </w:tr>
      <w:tr w:rsidR="00280BA6" w:rsidRPr="003819C3" w:rsidTr="001977AA">
        <w:tc>
          <w:tcPr>
            <w:tcW w:w="425" w:type="pct"/>
            <w:tcBorders>
              <w:top w:val="nil"/>
              <w:bottom w:val="nil"/>
            </w:tcBorders>
          </w:tcPr>
          <w:p w:rsidR="00280BA6" w:rsidRPr="003819C3" w:rsidRDefault="00280BA6" w:rsidP="007866BE">
            <w:pPr>
              <w:widowControl/>
              <w:autoSpaceDE w:val="0"/>
              <w:autoSpaceDN w:val="0"/>
              <w:adjustRightInd w:val="0"/>
              <w:spacing w:after="60"/>
              <w:jc w:val="left"/>
              <w:rPr>
                <w:rFonts w:ascii="Arial Narrow" w:hAnsi="Arial Narrow"/>
                <w:sz w:val="20"/>
              </w:rPr>
            </w:pPr>
          </w:p>
        </w:tc>
        <w:tc>
          <w:tcPr>
            <w:tcW w:w="3742"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Bergenstal RM, Riddle MC, Ziemen M, Wardecki M, Muehlen-Bartmer I, Boelle E, et al. Investigational new insulin U300: Glucose control and hypoglycaemia in type 2 diabetes people on basal insulin and OADs (EDITION II)</w:t>
            </w:r>
          </w:p>
        </w:tc>
        <w:tc>
          <w:tcPr>
            <w:tcW w:w="833" w:type="pct"/>
            <w:tcBorders>
              <w:top w:val="nil"/>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Diabetes Technology and Therapeutics 2014; 16: A28</w:t>
            </w:r>
          </w:p>
        </w:tc>
      </w:tr>
      <w:tr w:rsidR="00280BA6" w:rsidRPr="003819C3" w:rsidTr="00F006F1">
        <w:tc>
          <w:tcPr>
            <w:tcW w:w="425" w:type="pct"/>
            <w:tcBorders>
              <w:top w:val="nil"/>
              <w:bottom w:val="single" w:sz="4" w:space="0" w:color="auto"/>
            </w:tcBorders>
          </w:tcPr>
          <w:p w:rsidR="00280BA6" w:rsidRPr="003819C3" w:rsidRDefault="00280BA6" w:rsidP="007866BE">
            <w:pPr>
              <w:widowControl/>
              <w:spacing w:after="60"/>
              <w:jc w:val="left"/>
              <w:rPr>
                <w:rFonts w:ascii="Arial Narrow" w:hAnsi="Arial Narrow"/>
                <w:sz w:val="20"/>
              </w:rPr>
            </w:pPr>
          </w:p>
        </w:tc>
        <w:tc>
          <w:tcPr>
            <w:tcW w:w="3742" w:type="pct"/>
            <w:tcBorders>
              <w:top w:val="nil"/>
              <w:bottom w:val="single" w:sz="4" w:space="0" w:color="auto"/>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Yki-Järvinen H, Bergenstal RM, Boll GB, Wardęcki M, Maroccia M and Riddle MC. Less nocturnal hypoglycaemia and weight gain with new insulin glargine 300 U/mL vs 100 U/mL: 1-year results in T2DM using basal insulin+OADs (EDITION 2)</w:t>
            </w:r>
          </w:p>
        </w:tc>
        <w:tc>
          <w:tcPr>
            <w:tcW w:w="833" w:type="pct"/>
            <w:tcBorders>
              <w:top w:val="nil"/>
              <w:bottom w:val="single" w:sz="4" w:space="0" w:color="auto"/>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Conference abstract, citation not provided in submission</w:t>
            </w:r>
          </w:p>
        </w:tc>
      </w:tr>
      <w:tr w:rsidR="00280BA6" w:rsidRPr="003819C3" w:rsidTr="00F006F1">
        <w:tc>
          <w:tcPr>
            <w:tcW w:w="425" w:type="pct"/>
            <w:tcBorders>
              <w:top w:val="single" w:sz="4" w:space="0" w:color="auto"/>
              <w:bottom w:val="nil"/>
              <w:right w:val="single" w:sz="4" w:space="0" w:color="auto"/>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EDITION III</w:t>
            </w:r>
          </w:p>
        </w:tc>
        <w:tc>
          <w:tcPr>
            <w:tcW w:w="3742" w:type="pct"/>
            <w:tcBorders>
              <w:top w:val="single" w:sz="4" w:space="0" w:color="auto"/>
              <w:left w:val="single" w:sz="4" w:space="0" w:color="auto"/>
              <w:bottom w:val="nil"/>
              <w:right w:val="single" w:sz="4" w:space="0" w:color="auto"/>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EFC12347: 6-month, Multicentre, Randomized, Open-label, Parallel-group Study Comparing the Efficacy and Safety of a New Formulation of Insulin Glargine and Lantus</w:t>
            </w:r>
            <w:r w:rsidRPr="003819C3">
              <w:rPr>
                <w:rFonts w:ascii="Arial Narrow" w:hAnsi="Arial Narrow"/>
                <w:sz w:val="20"/>
                <w:vertAlign w:val="superscript"/>
              </w:rPr>
              <w:t>®</w:t>
            </w:r>
            <w:r w:rsidRPr="003819C3">
              <w:rPr>
                <w:rFonts w:ascii="Arial Narrow" w:hAnsi="Arial Narrow"/>
                <w:sz w:val="20"/>
              </w:rPr>
              <w:t xml:space="preserve"> in Insulin-Naïve Patients with Type 2 Diabetes Mellitus not Adequately Controlled with Non-Insulin Anti hyperglycaemic Drugs with a 6-month Safety Extension Period </w:t>
            </w:r>
          </w:p>
        </w:tc>
        <w:tc>
          <w:tcPr>
            <w:tcW w:w="833" w:type="pct"/>
            <w:tcBorders>
              <w:top w:val="single" w:sz="4" w:space="0" w:color="auto"/>
              <w:left w:val="single" w:sz="4" w:space="0" w:color="auto"/>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10 January 2014</w:t>
            </w:r>
          </w:p>
        </w:tc>
      </w:tr>
      <w:tr w:rsidR="00280BA6" w:rsidRPr="003819C3" w:rsidTr="00F006F1">
        <w:tc>
          <w:tcPr>
            <w:tcW w:w="425" w:type="pct"/>
            <w:tcBorders>
              <w:top w:val="nil"/>
              <w:bottom w:val="nil"/>
              <w:right w:val="single" w:sz="4" w:space="0" w:color="auto"/>
            </w:tcBorders>
          </w:tcPr>
          <w:p w:rsidR="00280BA6" w:rsidRPr="003819C3" w:rsidRDefault="00280BA6" w:rsidP="007866BE">
            <w:pPr>
              <w:widowControl/>
              <w:spacing w:after="60"/>
              <w:jc w:val="left"/>
              <w:rPr>
                <w:rFonts w:ascii="Arial Narrow" w:hAnsi="Arial Narrow"/>
                <w:sz w:val="20"/>
              </w:rPr>
            </w:pPr>
          </w:p>
        </w:tc>
        <w:tc>
          <w:tcPr>
            <w:tcW w:w="3742" w:type="pct"/>
            <w:tcBorders>
              <w:top w:val="nil"/>
              <w:left w:val="single" w:sz="4" w:space="0" w:color="auto"/>
              <w:bottom w:val="nil"/>
              <w:right w:val="single" w:sz="4" w:space="0" w:color="auto"/>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Bolli GB, Riddle MC, Bergenstal RM, Ziemen M, Sestakauskas K et al. New insulin glargine 300 U/ml compared with glargine 100 U/ml in insulin-naïve people with type 2 diabetes on oral glucose-lowering drugs: a randomized controlled trial (EDITION 3)</w:t>
            </w:r>
          </w:p>
        </w:tc>
        <w:tc>
          <w:tcPr>
            <w:tcW w:w="833" w:type="pct"/>
            <w:tcBorders>
              <w:top w:val="nil"/>
              <w:left w:val="single" w:sz="4" w:space="0" w:color="auto"/>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Diabetes, Obesity and Metabolism 2015; 17:386-394</w:t>
            </w:r>
          </w:p>
        </w:tc>
      </w:tr>
      <w:tr w:rsidR="00280BA6" w:rsidRPr="003819C3" w:rsidTr="00F006F1">
        <w:tc>
          <w:tcPr>
            <w:tcW w:w="425" w:type="pct"/>
            <w:tcBorders>
              <w:top w:val="nil"/>
              <w:bottom w:val="nil"/>
              <w:right w:val="single" w:sz="4" w:space="0" w:color="auto"/>
            </w:tcBorders>
          </w:tcPr>
          <w:p w:rsidR="00280BA6" w:rsidRPr="003819C3" w:rsidRDefault="00280BA6" w:rsidP="007866BE">
            <w:pPr>
              <w:widowControl/>
              <w:spacing w:after="60"/>
              <w:jc w:val="left"/>
              <w:rPr>
                <w:rFonts w:ascii="Arial Narrow" w:hAnsi="Arial Narrow"/>
                <w:sz w:val="20"/>
              </w:rPr>
            </w:pPr>
          </w:p>
        </w:tc>
        <w:tc>
          <w:tcPr>
            <w:tcW w:w="3742" w:type="pct"/>
            <w:tcBorders>
              <w:top w:val="nil"/>
              <w:left w:val="single" w:sz="4" w:space="0" w:color="auto"/>
              <w:bottom w:val="nil"/>
              <w:right w:val="single" w:sz="4" w:space="0" w:color="auto"/>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Bolli GB, Riddle MC, Bergenstal RM, Ziemen M, Sestakauskas K, Goyeau H, et al. New insulin glargine 300 U/ML: Glycemic control and hypoglycemia in insulin naive people with T2DM (edition 3)</w:t>
            </w:r>
          </w:p>
        </w:tc>
        <w:tc>
          <w:tcPr>
            <w:tcW w:w="833" w:type="pct"/>
            <w:tcBorders>
              <w:top w:val="nil"/>
              <w:left w:val="single" w:sz="4" w:space="0" w:color="auto"/>
              <w:bottom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Diabetes 2014; 63: A19</w:t>
            </w:r>
          </w:p>
        </w:tc>
      </w:tr>
      <w:tr w:rsidR="00280BA6" w:rsidRPr="003819C3" w:rsidTr="00F006F1">
        <w:tc>
          <w:tcPr>
            <w:tcW w:w="425" w:type="pct"/>
            <w:tcBorders>
              <w:top w:val="nil"/>
              <w:right w:val="single" w:sz="4" w:space="0" w:color="auto"/>
            </w:tcBorders>
          </w:tcPr>
          <w:p w:rsidR="00280BA6" w:rsidRPr="003819C3" w:rsidRDefault="00280BA6" w:rsidP="007866BE">
            <w:pPr>
              <w:widowControl/>
              <w:spacing w:after="60"/>
              <w:jc w:val="left"/>
              <w:rPr>
                <w:rFonts w:ascii="Arial Narrow" w:hAnsi="Arial Narrow"/>
                <w:sz w:val="20"/>
              </w:rPr>
            </w:pPr>
          </w:p>
        </w:tc>
        <w:tc>
          <w:tcPr>
            <w:tcW w:w="3742" w:type="pct"/>
            <w:tcBorders>
              <w:top w:val="nil"/>
              <w:left w:val="single" w:sz="4" w:space="0" w:color="auto"/>
              <w:right w:val="single" w:sz="4" w:space="0" w:color="auto"/>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Bolli GB, Riddle MC, Bergenstal RM, Ziemen M, Sestakauskas K, Goyeau H, et al. New insulin glargine 300 U/ml: Glycaemic control and hypoglycaemia in insulin-naive people with type 2 diabetes mellitus (EDITION 3)</w:t>
            </w:r>
          </w:p>
        </w:tc>
        <w:tc>
          <w:tcPr>
            <w:tcW w:w="833" w:type="pct"/>
            <w:tcBorders>
              <w:top w:val="nil"/>
              <w:left w:val="single" w:sz="4" w:space="0" w:color="auto"/>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Diabetologia 2014; 57 (Suppl.1): S387</w:t>
            </w:r>
          </w:p>
        </w:tc>
      </w:tr>
      <w:tr w:rsidR="00280BA6" w:rsidRPr="003819C3" w:rsidTr="001977AA">
        <w:tc>
          <w:tcPr>
            <w:tcW w:w="425" w:type="pct"/>
            <w:tcBorders>
              <w:top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EDITION IV</w:t>
            </w:r>
          </w:p>
        </w:tc>
        <w:tc>
          <w:tcPr>
            <w:tcW w:w="3742" w:type="pct"/>
            <w:tcBorders>
              <w:top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EFC12456: A 6-Month, Multicentre, Randomized, Open-label, Parallel-group Study Comparing the Efficacy and Safety of a New Formulation of Insulin Glargine and Lantus</w:t>
            </w:r>
            <w:r w:rsidRPr="003819C3">
              <w:rPr>
                <w:rFonts w:ascii="Arial Narrow" w:hAnsi="Arial Narrow"/>
                <w:sz w:val="20"/>
                <w:vertAlign w:val="superscript"/>
              </w:rPr>
              <w:t>®</w:t>
            </w:r>
            <w:r w:rsidRPr="003819C3">
              <w:rPr>
                <w:rFonts w:ascii="Arial Narrow" w:hAnsi="Arial Narrow"/>
                <w:sz w:val="20"/>
              </w:rPr>
              <w:t xml:space="preserve"> Injected in the Morning or Evening in Patients with Type 1 Diabetes Mellitus with a 6-month Safety Extension Period</w:t>
            </w:r>
          </w:p>
        </w:tc>
        <w:tc>
          <w:tcPr>
            <w:tcW w:w="833" w:type="pct"/>
            <w:tcBorders>
              <w:top w:val="nil"/>
            </w:tcBorders>
          </w:tcPr>
          <w:p w:rsidR="00280BA6" w:rsidRPr="003819C3" w:rsidRDefault="00280BA6" w:rsidP="007866BE">
            <w:pPr>
              <w:widowControl/>
              <w:spacing w:after="60"/>
              <w:jc w:val="left"/>
              <w:rPr>
                <w:rFonts w:ascii="Arial Narrow" w:hAnsi="Arial Narrow"/>
                <w:sz w:val="20"/>
              </w:rPr>
            </w:pPr>
            <w:r w:rsidRPr="003819C3">
              <w:rPr>
                <w:rFonts w:ascii="Arial Narrow" w:hAnsi="Arial Narrow"/>
                <w:sz w:val="20"/>
              </w:rPr>
              <w:t>4 March 2014</w:t>
            </w:r>
          </w:p>
        </w:tc>
      </w:tr>
    </w:tbl>
    <w:p w:rsidR="00862502" w:rsidRPr="003819C3" w:rsidRDefault="008F120A" w:rsidP="007866BE">
      <w:pPr>
        <w:pStyle w:val="TableFooter"/>
        <w:widowControl/>
        <w:ind w:firstLine="720"/>
        <w:rPr>
          <w:szCs w:val="22"/>
        </w:rPr>
      </w:pPr>
      <w:r w:rsidRPr="003819C3">
        <w:t xml:space="preserve">Source: </w:t>
      </w:r>
      <w:r w:rsidR="00280BA6" w:rsidRPr="003819C3">
        <w:t>Table B.4, p38 of the submission; Attachments 3, 4, 5 and 6 of the submission</w:t>
      </w:r>
    </w:p>
    <w:p w:rsidR="00280BA6" w:rsidRPr="003819C3" w:rsidRDefault="00280BA6" w:rsidP="007866BE">
      <w:pPr>
        <w:widowControl/>
        <w:rPr>
          <w:szCs w:val="22"/>
        </w:rPr>
      </w:pPr>
    </w:p>
    <w:p w:rsidR="00862502" w:rsidRPr="003819C3" w:rsidRDefault="008F120A" w:rsidP="007866BE">
      <w:pPr>
        <w:pStyle w:val="ListParagraph"/>
        <w:widowControl/>
        <w:numPr>
          <w:ilvl w:val="1"/>
          <w:numId w:val="10"/>
        </w:numPr>
        <w:rPr>
          <w:szCs w:val="22"/>
        </w:rPr>
      </w:pPr>
      <w:r w:rsidRPr="003819C3">
        <w:rPr>
          <w:szCs w:val="22"/>
        </w:rPr>
        <w:t>The key features</w:t>
      </w:r>
      <w:r w:rsidR="0092151E" w:rsidRPr="003819C3">
        <w:rPr>
          <w:szCs w:val="22"/>
        </w:rPr>
        <w:t xml:space="preserve"> of the direct randomised trials</w:t>
      </w:r>
      <w:r w:rsidRPr="003819C3">
        <w:rPr>
          <w:szCs w:val="22"/>
        </w:rPr>
        <w:t xml:space="preserve"> are </w:t>
      </w:r>
      <w:r w:rsidR="007B629E" w:rsidRPr="003819C3">
        <w:rPr>
          <w:szCs w:val="22"/>
        </w:rPr>
        <w:t xml:space="preserve">summarised in the </w:t>
      </w:r>
      <w:r w:rsidR="001977AA" w:rsidRPr="003819C3">
        <w:rPr>
          <w:szCs w:val="22"/>
        </w:rPr>
        <w:t>following table</w:t>
      </w:r>
      <w:r w:rsidR="007B629E" w:rsidRPr="003819C3">
        <w:rPr>
          <w:szCs w:val="22"/>
        </w:rPr>
        <w:t>.</w:t>
      </w:r>
    </w:p>
    <w:p w:rsidR="007F1017" w:rsidRPr="003819C3" w:rsidRDefault="007F1017" w:rsidP="007866BE">
      <w:pPr>
        <w:widowControl/>
        <w:rPr>
          <w:szCs w:val="22"/>
        </w:rPr>
      </w:pPr>
    </w:p>
    <w:p w:rsidR="00374699" w:rsidRPr="003819C3" w:rsidRDefault="00374699" w:rsidP="007866BE">
      <w:pPr>
        <w:keepNext/>
        <w:widowControl/>
        <w:ind w:firstLine="720"/>
        <w:rPr>
          <w:rStyle w:val="CommentReference"/>
        </w:rPr>
      </w:pPr>
      <w:r w:rsidRPr="003819C3">
        <w:rPr>
          <w:rStyle w:val="CommentReference"/>
        </w:rPr>
        <w:t>Table 2: Key features of the included evidence</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2"/>
        <w:gridCol w:w="428"/>
        <w:gridCol w:w="1699"/>
        <w:gridCol w:w="709"/>
        <w:gridCol w:w="1841"/>
        <w:gridCol w:w="1420"/>
        <w:gridCol w:w="1397"/>
      </w:tblGrid>
      <w:tr w:rsidR="00374699" w:rsidRPr="003819C3" w:rsidTr="002C37F4">
        <w:tc>
          <w:tcPr>
            <w:tcW w:w="510" w:type="pct"/>
            <w:shd w:val="clear" w:color="auto" w:fill="auto"/>
            <w:vAlign w:val="center"/>
          </w:tcPr>
          <w:p w:rsidR="00374699" w:rsidRPr="003819C3" w:rsidRDefault="00374699" w:rsidP="007866BE">
            <w:pPr>
              <w:keepNext/>
              <w:widowControl/>
              <w:jc w:val="left"/>
              <w:rPr>
                <w:rFonts w:ascii="Arial Narrow" w:hAnsi="Arial Narrow"/>
                <w:b/>
                <w:sz w:val="20"/>
                <w:lang w:val="en-US"/>
              </w:rPr>
            </w:pPr>
            <w:r w:rsidRPr="003819C3">
              <w:rPr>
                <w:rFonts w:ascii="Arial Narrow" w:hAnsi="Arial Narrow"/>
                <w:b/>
                <w:sz w:val="20"/>
                <w:lang w:val="en-US"/>
              </w:rPr>
              <w:t>Trial</w:t>
            </w:r>
          </w:p>
        </w:tc>
        <w:tc>
          <w:tcPr>
            <w:tcW w:w="256" w:type="pct"/>
            <w:shd w:val="clear" w:color="auto" w:fill="auto"/>
            <w:vAlign w:val="center"/>
          </w:tcPr>
          <w:p w:rsidR="00374699" w:rsidRPr="003819C3" w:rsidRDefault="00374699" w:rsidP="007866BE">
            <w:pPr>
              <w:keepNext/>
              <w:widowControl/>
              <w:jc w:val="center"/>
              <w:rPr>
                <w:rFonts w:ascii="Arial Narrow" w:hAnsi="Arial Narrow"/>
                <w:b/>
                <w:sz w:val="20"/>
                <w:lang w:val="en-US"/>
              </w:rPr>
            </w:pPr>
            <w:r w:rsidRPr="003819C3">
              <w:rPr>
                <w:rFonts w:ascii="Arial Narrow" w:hAnsi="Arial Narrow"/>
                <w:b/>
                <w:sz w:val="20"/>
                <w:lang w:val="en-US"/>
              </w:rPr>
              <w:t>N</w:t>
            </w:r>
          </w:p>
        </w:tc>
        <w:tc>
          <w:tcPr>
            <w:tcW w:w="1018" w:type="pct"/>
            <w:shd w:val="clear" w:color="auto" w:fill="auto"/>
            <w:vAlign w:val="center"/>
          </w:tcPr>
          <w:p w:rsidR="00374699" w:rsidRPr="003819C3" w:rsidRDefault="00374699" w:rsidP="007866BE">
            <w:pPr>
              <w:keepNext/>
              <w:widowControl/>
              <w:jc w:val="center"/>
              <w:rPr>
                <w:rFonts w:ascii="Arial Narrow" w:hAnsi="Arial Narrow"/>
                <w:b/>
                <w:sz w:val="20"/>
                <w:lang w:val="en-US"/>
              </w:rPr>
            </w:pPr>
            <w:r w:rsidRPr="003819C3">
              <w:rPr>
                <w:rFonts w:ascii="Arial Narrow" w:hAnsi="Arial Narrow"/>
                <w:b/>
                <w:sz w:val="20"/>
                <w:lang w:val="en-US"/>
              </w:rPr>
              <w:t>Design/ duration/ dosing</w:t>
            </w:r>
          </w:p>
        </w:tc>
        <w:tc>
          <w:tcPr>
            <w:tcW w:w="425" w:type="pct"/>
            <w:shd w:val="clear" w:color="auto" w:fill="auto"/>
            <w:vAlign w:val="center"/>
          </w:tcPr>
          <w:p w:rsidR="00374699" w:rsidRPr="003819C3" w:rsidRDefault="00374699" w:rsidP="007866BE">
            <w:pPr>
              <w:keepNext/>
              <w:widowControl/>
              <w:jc w:val="center"/>
              <w:rPr>
                <w:rFonts w:ascii="Arial Narrow" w:hAnsi="Arial Narrow"/>
                <w:b/>
                <w:sz w:val="20"/>
                <w:lang w:val="en-US"/>
              </w:rPr>
            </w:pPr>
            <w:r w:rsidRPr="003819C3">
              <w:rPr>
                <w:rFonts w:ascii="Arial Narrow" w:hAnsi="Arial Narrow"/>
                <w:b/>
                <w:sz w:val="20"/>
                <w:lang w:val="en-US"/>
              </w:rPr>
              <w:t>Risk of bias</w:t>
            </w:r>
          </w:p>
        </w:tc>
        <w:tc>
          <w:tcPr>
            <w:tcW w:w="1103" w:type="pct"/>
            <w:shd w:val="clear" w:color="auto" w:fill="auto"/>
            <w:vAlign w:val="center"/>
          </w:tcPr>
          <w:p w:rsidR="00374699" w:rsidRPr="003819C3" w:rsidRDefault="00374699" w:rsidP="007866BE">
            <w:pPr>
              <w:keepNext/>
              <w:widowControl/>
              <w:jc w:val="center"/>
              <w:rPr>
                <w:rFonts w:ascii="Arial Narrow" w:hAnsi="Arial Narrow"/>
                <w:b/>
                <w:sz w:val="20"/>
                <w:lang w:val="en-US"/>
              </w:rPr>
            </w:pPr>
            <w:r w:rsidRPr="003819C3">
              <w:rPr>
                <w:rFonts w:ascii="Arial Narrow" w:hAnsi="Arial Narrow"/>
                <w:b/>
                <w:sz w:val="20"/>
                <w:lang w:val="en-US"/>
              </w:rPr>
              <w:t>Patient population</w:t>
            </w:r>
          </w:p>
        </w:tc>
        <w:tc>
          <w:tcPr>
            <w:tcW w:w="851" w:type="pct"/>
            <w:shd w:val="clear" w:color="auto" w:fill="auto"/>
            <w:vAlign w:val="center"/>
          </w:tcPr>
          <w:p w:rsidR="00374699" w:rsidRPr="003819C3" w:rsidRDefault="00374699" w:rsidP="007866BE">
            <w:pPr>
              <w:keepNext/>
              <w:widowControl/>
              <w:jc w:val="center"/>
              <w:rPr>
                <w:rFonts w:ascii="Arial Narrow" w:hAnsi="Arial Narrow"/>
                <w:b/>
                <w:sz w:val="20"/>
                <w:lang w:val="en-US"/>
              </w:rPr>
            </w:pPr>
            <w:r w:rsidRPr="003819C3">
              <w:rPr>
                <w:rFonts w:ascii="Arial Narrow" w:hAnsi="Arial Narrow"/>
                <w:b/>
                <w:sz w:val="20"/>
                <w:lang w:val="en-US"/>
              </w:rPr>
              <w:t>Outcomes</w:t>
            </w:r>
          </w:p>
        </w:tc>
        <w:tc>
          <w:tcPr>
            <w:tcW w:w="838" w:type="pct"/>
            <w:shd w:val="clear" w:color="auto" w:fill="auto"/>
            <w:vAlign w:val="center"/>
          </w:tcPr>
          <w:p w:rsidR="00374699" w:rsidRPr="003819C3" w:rsidRDefault="00374699" w:rsidP="007866BE">
            <w:pPr>
              <w:keepNext/>
              <w:widowControl/>
              <w:jc w:val="center"/>
              <w:rPr>
                <w:rFonts w:ascii="Arial Narrow" w:hAnsi="Arial Narrow"/>
                <w:b/>
                <w:sz w:val="20"/>
                <w:lang w:val="en-US"/>
              </w:rPr>
            </w:pPr>
            <w:r w:rsidRPr="003819C3">
              <w:rPr>
                <w:rFonts w:ascii="Arial Narrow" w:hAnsi="Arial Narrow"/>
                <w:b/>
                <w:sz w:val="20"/>
                <w:lang w:val="en-US"/>
              </w:rPr>
              <w:t>Use in modelled evaluation</w:t>
            </w:r>
          </w:p>
        </w:tc>
      </w:tr>
      <w:tr w:rsidR="00374699" w:rsidRPr="003819C3" w:rsidTr="002C37F4">
        <w:tc>
          <w:tcPr>
            <w:tcW w:w="510" w:type="pct"/>
            <w:shd w:val="clear" w:color="auto" w:fill="auto"/>
            <w:vAlign w:val="center"/>
          </w:tcPr>
          <w:p w:rsidR="00374699" w:rsidRPr="003819C3" w:rsidRDefault="00374699" w:rsidP="007866BE">
            <w:pPr>
              <w:keepNext/>
              <w:widowControl/>
              <w:jc w:val="left"/>
              <w:rPr>
                <w:rFonts w:ascii="Arial Narrow" w:hAnsi="Arial Narrow"/>
                <w:sz w:val="20"/>
                <w:lang w:val="en-US"/>
              </w:rPr>
            </w:pPr>
            <w:r w:rsidRPr="003819C3">
              <w:rPr>
                <w:rFonts w:ascii="Arial Narrow" w:hAnsi="Arial Narrow"/>
                <w:sz w:val="20"/>
                <w:lang w:val="en-US"/>
              </w:rPr>
              <w:t>EDITION I</w:t>
            </w:r>
          </w:p>
        </w:tc>
        <w:tc>
          <w:tcPr>
            <w:tcW w:w="256"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807</w:t>
            </w:r>
          </w:p>
        </w:tc>
        <w:tc>
          <w:tcPr>
            <w:tcW w:w="1018"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R, OL, NI, MC, 6 months, evening dose</w:t>
            </w:r>
          </w:p>
        </w:tc>
        <w:tc>
          <w:tcPr>
            <w:tcW w:w="425"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Low</w:t>
            </w:r>
          </w:p>
        </w:tc>
        <w:tc>
          <w:tcPr>
            <w:tcW w:w="1103"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T2DM treated with basal insulin plus mealtime insulin</w:t>
            </w:r>
          </w:p>
        </w:tc>
        <w:tc>
          <w:tcPr>
            <w:tcW w:w="851" w:type="pct"/>
            <w:vMerge w:val="restar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HbA1c,</w:t>
            </w:r>
          </w:p>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u w:val="single"/>
                <w:lang w:val="en-US"/>
              </w:rPr>
              <w:t>&gt;</w:t>
            </w:r>
            <w:r w:rsidRPr="003819C3">
              <w:rPr>
                <w:rFonts w:ascii="Arial Narrow" w:hAnsi="Arial Narrow"/>
                <w:sz w:val="20"/>
                <w:lang w:val="en-US"/>
              </w:rPr>
              <w:t>1Nocturnal severe and/or confirmed hypoglycaemia</w:t>
            </w:r>
          </w:p>
        </w:tc>
        <w:tc>
          <w:tcPr>
            <w:tcW w:w="838" w:type="pct"/>
            <w:vMerge w:val="restar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Outcomes used in modelled evaluation are symptomatic and severe hypoglycaemia</w:t>
            </w:r>
          </w:p>
        </w:tc>
      </w:tr>
      <w:tr w:rsidR="00374699" w:rsidRPr="003819C3" w:rsidTr="002C37F4">
        <w:tc>
          <w:tcPr>
            <w:tcW w:w="510" w:type="pct"/>
            <w:shd w:val="clear" w:color="auto" w:fill="auto"/>
            <w:vAlign w:val="center"/>
          </w:tcPr>
          <w:p w:rsidR="00374699" w:rsidRPr="003819C3" w:rsidRDefault="00374699" w:rsidP="007866BE">
            <w:pPr>
              <w:keepNext/>
              <w:widowControl/>
              <w:jc w:val="left"/>
              <w:rPr>
                <w:rFonts w:ascii="Arial Narrow" w:hAnsi="Arial Narrow"/>
                <w:sz w:val="20"/>
                <w:lang w:val="en-US"/>
              </w:rPr>
            </w:pPr>
            <w:r w:rsidRPr="003819C3">
              <w:rPr>
                <w:rFonts w:ascii="Arial Narrow" w:hAnsi="Arial Narrow"/>
                <w:sz w:val="20"/>
                <w:lang w:val="en-US"/>
              </w:rPr>
              <w:t>EDITION II</w:t>
            </w:r>
          </w:p>
        </w:tc>
        <w:tc>
          <w:tcPr>
            <w:tcW w:w="256"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811</w:t>
            </w:r>
          </w:p>
        </w:tc>
        <w:tc>
          <w:tcPr>
            <w:tcW w:w="1018"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R, OL, NI, MC, 6 months, evening dose</w:t>
            </w:r>
          </w:p>
        </w:tc>
        <w:tc>
          <w:tcPr>
            <w:tcW w:w="425"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Low</w:t>
            </w:r>
          </w:p>
        </w:tc>
        <w:tc>
          <w:tcPr>
            <w:tcW w:w="1103"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T2DM treated with basal insulin plus OADs</w:t>
            </w:r>
          </w:p>
        </w:tc>
        <w:tc>
          <w:tcPr>
            <w:tcW w:w="851" w:type="pct"/>
            <w:vMerge/>
            <w:shd w:val="clear" w:color="auto" w:fill="auto"/>
            <w:vAlign w:val="center"/>
          </w:tcPr>
          <w:p w:rsidR="00374699" w:rsidRPr="003819C3" w:rsidRDefault="00374699" w:rsidP="007866BE">
            <w:pPr>
              <w:keepNext/>
              <w:widowControl/>
              <w:jc w:val="center"/>
              <w:rPr>
                <w:rFonts w:ascii="Arial Narrow" w:hAnsi="Arial Narrow"/>
                <w:sz w:val="20"/>
                <w:lang w:val="en-US"/>
              </w:rPr>
            </w:pPr>
          </w:p>
        </w:tc>
        <w:tc>
          <w:tcPr>
            <w:tcW w:w="838" w:type="pct"/>
            <w:vMerge/>
            <w:shd w:val="clear" w:color="auto" w:fill="auto"/>
            <w:vAlign w:val="center"/>
          </w:tcPr>
          <w:p w:rsidR="00374699" w:rsidRPr="003819C3" w:rsidRDefault="00374699" w:rsidP="007866BE">
            <w:pPr>
              <w:keepNext/>
              <w:widowControl/>
              <w:jc w:val="center"/>
              <w:rPr>
                <w:rFonts w:ascii="Arial Narrow" w:hAnsi="Arial Narrow"/>
                <w:sz w:val="20"/>
                <w:lang w:val="en-US"/>
              </w:rPr>
            </w:pPr>
          </w:p>
        </w:tc>
      </w:tr>
      <w:tr w:rsidR="00374699" w:rsidRPr="003819C3" w:rsidTr="002C37F4">
        <w:tc>
          <w:tcPr>
            <w:tcW w:w="510" w:type="pct"/>
            <w:shd w:val="clear" w:color="auto" w:fill="auto"/>
            <w:vAlign w:val="center"/>
          </w:tcPr>
          <w:p w:rsidR="00374699" w:rsidRPr="003819C3" w:rsidRDefault="00374699" w:rsidP="007866BE">
            <w:pPr>
              <w:keepNext/>
              <w:widowControl/>
              <w:jc w:val="left"/>
              <w:rPr>
                <w:rFonts w:ascii="Arial Narrow" w:hAnsi="Arial Narrow"/>
                <w:sz w:val="20"/>
                <w:lang w:val="en-US"/>
              </w:rPr>
            </w:pPr>
            <w:r w:rsidRPr="003819C3">
              <w:rPr>
                <w:rFonts w:ascii="Arial Narrow" w:hAnsi="Arial Narrow"/>
                <w:sz w:val="20"/>
                <w:lang w:val="en-US"/>
              </w:rPr>
              <w:t>EDITION III</w:t>
            </w:r>
          </w:p>
        </w:tc>
        <w:tc>
          <w:tcPr>
            <w:tcW w:w="256"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878</w:t>
            </w:r>
          </w:p>
        </w:tc>
        <w:tc>
          <w:tcPr>
            <w:tcW w:w="1018" w:type="pct"/>
            <w:shd w:val="clear" w:color="auto" w:fill="auto"/>
            <w:vAlign w:val="center"/>
          </w:tcPr>
          <w:p w:rsidR="00374699" w:rsidRPr="003819C3" w:rsidRDefault="00374699" w:rsidP="007866BE">
            <w:pPr>
              <w:keepNext/>
              <w:widowControl/>
              <w:jc w:val="center"/>
              <w:rPr>
                <w:rFonts w:ascii="Arial Narrow" w:hAnsi="Arial Narrow"/>
                <w:b/>
                <w:sz w:val="20"/>
                <w:lang w:val="en-US"/>
              </w:rPr>
            </w:pPr>
            <w:r w:rsidRPr="003819C3">
              <w:rPr>
                <w:rFonts w:ascii="Arial Narrow" w:hAnsi="Arial Narrow"/>
                <w:sz w:val="20"/>
                <w:lang w:val="en-US"/>
              </w:rPr>
              <w:t>R, OL, NI, MC, 6 months, evening dose</w:t>
            </w:r>
          </w:p>
        </w:tc>
        <w:tc>
          <w:tcPr>
            <w:tcW w:w="425"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Low</w:t>
            </w:r>
          </w:p>
        </w:tc>
        <w:tc>
          <w:tcPr>
            <w:tcW w:w="1103"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T2DM, insulin naïve, treated with non-insulin antihyperglycaemic drugs</w:t>
            </w:r>
          </w:p>
        </w:tc>
        <w:tc>
          <w:tcPr>
            <w:tcW w:w="851" w:type="pct"/>
            <w:vMerge/>
            <w:shd w:val="clear" w:color="auto" w:fill="auto"/>
            <w:vAlign w:val="center"/>
          </w:tcPr>
          <w:p w:rsidR="00374699" w:rsidRPr="003819C3" w:rsidRDefault="00374699" w:rsidP="007866BE">
            <w:pPr>
              <w:keepNext/>
              <w:widowControl/>
              <w:jc w:val="center"/>
              <w:rPr>
                <w:rFonts w:ascii="Arial Narrow" w:hAnsi="Arial Narrow"/>
                <w:sz w:val="20"/>
                <w:lang w:val="en-US"/>
              </w:rPr>
            </w:pPr>
          </w:p>
        </w:tc>
        <w:tc>
          <w:tcPr>
            <w:tcW w:w="838" w:type="pct"/>
            <w:vMerge/>
            <w:shd w:val="clear" w:color="auto" w:fill="auto"/>
            <w:vAlign w:val="center"/>
          </w:tcPr>
          <w:p w:rsidR="00374699" w:rsidRPr="003819C3" w:rsidRDefault="00374699" w:rsidP="007866BE">
            <w:pPr>
              <w:keepNext/>
              <w:widowControl/>
              <w:jc w:val="center"/>
              <w:rPr>
                <w:rFonts w:ascii="Arial Narrow" w:hAnsi="Arial Narrow"/>
                <w:sz w:val="20"/>
                <w:lang w:val="en-US"/>
              </w:rPr>
            </w:pPr>
          </w:p>
        </w:tc>
      </w:tr>
      <w:tr w:rsidR="00374699" w:rsidRPr="003819C3" w:rsidTr="002C37F4">
        <w:tc>
          <w:tcPr>
            <w:tcW w:w="510" w:type="pct"/>
            <w:shd w:val="clear" w:color="auto" w:fill="auto"/>
            <w:vAlign w:val="center"/>
          </w:tcPr>
          <w:p w:rsidR="00374699" w:rsidRPr="003819C3" w:rsidRDefault="00374699" w:rsidP="007866BE">
            <w:pPr>
              <w:keepNext/>
              <w:widowControl/>
              <w:jc w:val="left"/>
              <w:rPr>
                <w:rFonts w:ascii="Arial Narrow" w:hAnsi="Arial Narrow"/>
                <w:sz w:val="20"/>
                <w:lang w:val="en-US"/>
              </w:rPr>
            </w:pPr>
            <w:r w:rsidRPr="003819C3">
              <w:rPr>
                <w:rFonts w:ascii="Arial Narrow" w:hAnsi="Arial Narrow"/>
                <w:sz w:val="20"/>
                <w:lang w:val="en-US"/>
              </w:rPr>
              <w:t>EDITION IV</w:t>
            </w:r>
          </w:p>
        </w:tc>
        <w:tc>
          <w:tcPr>
            <w:tcW w:w="256"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549</w:t>
            </w:r>
          </w:p>
        </w:tc>
        <w:tc>
          <w:tcPr>
            <w:tcW w:w="1018"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R, OL, NI, MC, 6 months, randomised to morning or evening dose</w:t>
            </w:r>
          </w:p>
        </w:tc>
        <w:tc>
          <w:tcPr>
            <w:tcW w:w="425"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Low</w:t>
            </w:r>
          </w:p>
        </w:tc>
        <w:tc>
          <w:tcPr>
            <w:tcW w:w="1103"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T1DM treated with basal insulin plus mealtime insulin</w:t>
            </w:r>
          </w:p>
        </w:tc>
        <w:tc>
          <w:tcPr>
            <w:tcW w:w="851"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HbA1c,</w:t>
            </w:r>
          </w:p>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u w:val="single"/>
                <w:lang w:val="en-US"/>
              </w:rPr>
              <w:t>&gt;</w:t>
            </w:r>
            <w:r w:rsidRPr="003819C3">
              <w:rPr>
                <w:rFonts w:ascii="Arial Narrow" w:hAnsi="Arial Narrow"/>
                <w:sz w:val="20"/>
                <w:lang w:val="en-US"/>
              </w:rPr>
              <w:t>1 Nocturnal severe and/or confirmed hypoglycaemia</w:t>
            </w:r>
          </w:p>
        </w:tc>
        <w:tc>
          <w:tcPr>
            <w:tcW w:w="838" w:type="pct"/>
            <w:shd w:val="clear" w:color="auto" w:fill="auto"/>
            <w:vAlign w:val="center"/>
          </w:tcPr>
          <w:p w:rsidR="00374699" w:rsidRPr="003819C3" w:rsidRDefault="00374699" w:rsidP="007866BE">
            <w:pPr>
              <w:keepNext/>
              <w:widowControl/>
              <w:jc w:val="center"/>
              <w:rPr>
                <w:rFonts w:ascii="Arial Narrow" w:hAnsi="Arial Narrow"/>
                <w:sz w:val="20"/>
                <w:lang w:val="en-US"/>
              </w:rPr>
            </w:pPr>
            <w:r w:rsidRPr="003819C3">
              <w:rPr>
                <w:rFonts w:ascii="Arial Narrow" w:hAnsi="Arial Narrow"/>
                <w:sz w:val="20"/>
                <w:lang w:val="en-US"/>
              </w:rPr>
              <w:t>NA</w:t>
            </w:r>
          </w:p>
        </w:tc>
      </w:tr>
    </w:tbl>
    <w:p w:rsidR="00374699" w:rsidRPr="003819C3" w:rsidRDefault="00374699" w:rsidP="007866BE">
      <w:pPr>
        <w:pStyle w:val="TableFooter"/>
        <w:keepNext/>
        <w:widowControl/>
        <w:ind w:left="709" w:firstLine="11"/>
      </w:pPr>
      <w:r w:rsidRPr="003819C3">
        <w:t>Abbreviations: HbA1c=glycosylated haemoglobin; MC=multi-centre; OADs=oral anti-diabetic drugs; OL=open label; NA=not applicable; NI = non-inferiority, R=randomised; T1DM=type 1 diabetes mellitus; T2DM=type 2 diabetes mellitus</w:t>
      </w:r>
    </w:p>
    <w:p w:rsidR="00374699" w:rsidRPr="003819C3" w:rsidRDefault="00374699" w:rsidP="007866BE">
      <w:pPr>
        <w:pStyle w:val="TableFooter"/>
        <w:widowControl/>
        <w:ind w:firstLine="720"/>
      </w:pPr>
      <w:r w:rsidRPr="003819C3">
        <w:t>Source: compiled during the evaluation</w:t>
      </w:r>
    </w:p>
    <w:p w:rsidR="007F1017" w:rsidRPr="003819C3" w:rsidRDefault="007F1017" w:rsidP="007866BE">
      <w:pPr>
        <w:widowControl/>
      </w:pPr>
    </w:p>
    <w:p w:rsidR="007F1017" w:rsidRPr="00FE1081" w:rsidRDefault="007B629E" w:rsidP="007866BE">
      <w:pPr>
        <w:pStyle w:val="ListParagraph"/>
        <w:widowControl/>
        <w:numPr>
          <w:ilvl w:val="1"/>
          <w:numId w:val="10"/>
        </w:numPr>
        <w:rPr>
          <w:color w:val="3366FF"/>
        </w:rPr>
      </w:pPr>
      <w:r w:rsidRPr="00FE1081">
        <w:t>The four trials were open-label with no blinding of either investigators or participants. The risk of bias due to lack of blinding is considered low for the primary efficacy outcome of HbA1c. The risk of bias is higher for the hypoglycaemia outcomes</w:t>
      </w:r>
      <w:r w:rsidR="004419F2" w:rsidRPr="00FE1081">
        <w:t xml:space="preserve"> as participants on </w:t>
      </w:r>
      <w:r w:rsidR="00746100" w:rsidRPr="00FE1081">
        <w:t xml:space="preserve">U300 </w:t>
      </w:r>
      <w:r w:rsidR="004419F2" w:rsidRPr="00FE1081">
        <w:t xml:space="preserve">treatment </w:t>
      </w:r>
      <w:r w:rsidR="00746100" w:rsidRPr="00FE1081">
        <w:t>may</w:t>
      </w:r>
      <w:r w:rsidR="004419F2" w:rsidRPr="00FE1081">
        <w:t xml:space="preserve"> be more likely to test for hypoglycaemic events</w:t>
      </w:r>
      <w:r w:rsidRPr="00FE1081">
        <w:t>.</w:t>
      </w:r>
      <w:r w:rsidR="00E1277E" w:rsidRPr="00FE1081">
        <w:t xml:space="preserve"> </w:t>
      </w:r>
      <w:r w:rsidR="00057949" w:rsidRPr="00FE1081">
        <w:rPr>
          <w:szCs w:val="22"/>
        </w:rPr>
        <w:t xml:space="preserve">The </w:t>
      </w:r>
      <w:r w:rsidR="00F006F1">
        <w:rPr>
          <w:szCs w:val="22"/>
        </w:rPr>
        <w:t>p</w:t>
      </w:r>
      <w:r w:rsidR="00057949" w:rsidRPr="00FE1081">
        <w:rPr>
          <w:szCs w:val="22"/>
        </w:rPr>
        <w:t>re-PBAC</w:t>
      </w:r>
      <w:r w:rsidR="00E1277E" w:rsidRPr="00FE1081">
        <w:rPr>
          <w:szCs w:val="22"/>
        </w:rPr>
        <w:t xml:space="preserve"> response </w:t>
      </w:r>
      <w:r w:rsidR="00057949" w:rsidRPr="00FE1081">
        <w:rPr>
          <w:szCs w:val="22"/>
        </w:rPr>
        <w:t>considered i</w:t>
      </w:r>
      <w:r w:rsidR="00E1277E" w:rsidRPr="00FE1081">
        <w:rPr>
          <w:szCs w:val="22"/>
        </w:rPr>
        <w:t>f patients treated with U300 reported a higher rate of hypoglycaemic events due to increased testing, the difference between the U300 and U100 treatment arms would have been underestimated and, consequently, the true benefit of U300 in the reduction of the risk of hypoglycaemia would be underestimated. Any such bias would therefore benefit the comparator rather than U300.</w:t>
      </w:r>
    </w:p>
    <w:p w:rsidR="00203204" w:rsidRPr="003819C3" w:rsidRDefault="00203204" w:rsidP="007866BE">
      <w:pPr>
        <w:pStyle w:val="ListParagraph"/>
        <w:widowControl/>
        <w:rPr>
          <w:color w:val="3366FF"/>
        </w:rPr>
      </w:pPr>
    </w:p>
    <w:p w:rsidR="00203204" w:rsidRPr="003819C3" w:rsidRDefault="00CC3BF6" w:rsidP="007866BE">
      <w:pPr>
        <w:pStyle w:val="ListParagraph"/>
        <w:widowControl/>
        <w:numPr>
          <w:ilvl w:val="1"/>
          <w:numId w:val="10"/>
        </w:numPr>
      </w:pPr>
      <w:r w:rsidRPr="003819C3">
        <w:t>T</w:t>
      </w:r>
      <w:r w:rsidR="00735385" w:rsidRPr="003819C3">
        <w:t>he trial</w:t>
      </w:r>
      <w:r w:rsidR="007866BE">
        <w:t xml:space="preserve"> patie</w:t>
      </w:r>
      <w:r w:rsidRPr="003819C3">
        <w:t>nt</w:t>
      </w:r>
      <w:r w:rsidR="00735385" w:rsidRPr="003819C3">
        <w:t>s were likely to have</w:t>
      </w:r>
      <w:r w:rsidR="00C20017" w:rsidRPr="003819C3">
        <w:t xml:space="preserve"> had</w:t>
      </w:r>
      <w:r w:rsidR="00735385" w:rsidRPr="003819C3">
        <w:t xml:space="preserve"> a higher risk o</w:t>
      </w:r>
      <w:r w:rsidR="00203204" w:rsidRPr="003819C3">
        <w:t>f hypoglycaemia</w:t>
      </w:r>
      <w:r w:rsidR="00735385" w:rsidRPr="003819C3">
        <w:t xml:space="preserve"> compared with patients treated in clinical practice due to </w:t>
      </w:r>
      <w:r w:rsidR="00C20017" w:rsidRPr="003819C3">
        <w:t xml:space="preserve">aiming for </w:t>
      </w:r>
      <w:r w:rsidR="00735385" w:rsidRPr="003819C3">
        <w:t>low</w:t>
      </w:r>
      <w:r w:rsidR="0018416B" w:rsidRPr="003819C3">
        <w:t>er</w:t>
      </w:r>
      <w:r w:rsidR="00735385" w:rsidRPr="003819C3">
        <w:t xml:space="preserve"> glucose targets, and in EDITION I and II</w:t>
      </w:r>
      <w:r w:rsidR="00C20017" w:rsidRPr="003819C3">
        <w:t>,</w:t>
      </w:r>
      <w:r w:rsidR="00735385" w:rsidRPr="003819C3">
        <w:t xml:space="preserve"> </w:t>
      </w:r>
      <w:r w:rsidR="009F70F1" w:rsidRPr="003819C3">
        <w:t xml:space="preserve">due to enrolling patients </w:t>
      </w:r>
      <w:r w:rsidR="0018416B" w:rsidRPr="003819C3">
        <w:t xml:space="preserve">with a long duration of disease and insulin use, and </w:t>
      </w:r>
      <w:r w:rsidR="009F70F1" w:rsidRPr="003819C3">
        <w:t>whose diabetes remained uncontrolled despite being on a high dose of basal insulin.</w:t>
      </w:r>
      <w:r w:rsidR="00735385" w:rsidRPr="003819C3">
        <w:t xml:space="preserve"> </w:t>
      </w:r>
      <w:r w:rsidR="0018416B" w:rsidRPr="003819C3">
        <w:t>Although the PSCR argue</w:t>
      </w:r>
      <w:r w:rsidR="00166A09">
        <w:t>d</w:t>
      </w:r>
      <w:r w:rsidR="0018416B" w:rsidRPr="003819C3">
        <w:t xml:space="preserve"> that the high doses of basal insulin would not result in a higher risk</w:t>
      </w:r>
      <w:r w:rsidR="00746100" w:rsidRPr="003819C3">
        <w:t xml:space="preserve"> of </w:t>
      </w:r>
      <w:r w:rsidR="0018416B" w:rsidRPr="003819C3">
        <w:t>hypoglycaemia, this contradict</w:t>
      </w:r>
      <w:r w:rsidR="00166A09">
        <w:t>ed</w:t>
      </w:r>
      <w:r w:rsidR="0018416B" w:rsidRPr="003819C3">
        <w:t xml:space="preserve"> the submission statement in Section C, page 151, which stated that patients enrolled in the EDITION I and II trials would be expected to have a high risk of hypoglycaemia. This is because the trials enrolled patients with inadequate glycaemic control whilst being treated with basal insulin, and the inadequate control may have been as a result of being unable to optimise the insulin dose due to hypoglycaemia.</w:t>
      </w:r>
    </w:p>
    <w:p w:rsidR="007B629E" w:rsidRPr="003819C3" w:rsidRDefault="007B629E" w:rsidP="007866BE">
      <w:pPr>
        <w:pStyle w:val="ListParagraph"/>
        <w:widowControl/>
      </w:pPr>
    </w:p>
    <w:p w:rsidR="007B629E" w:rsidRPr="003819C3" w:rsidRDefault="007B629E" w:rsidP="007866BE">
      <w:pPr>
        <w:pStyle w:val="ListParagraph"/>
        <w:widowControl/>
        <w:numPr>
          <w:ilvl w:val="1"/>
          <w:numId w:val="10"/>
        </w:numPr>
        <w:rPr>
          <w:color w:val="3366FF"/>
        </w:rPr>
      </w:pPr>
      <w:r w:rsidRPr="003819C3">
        <w:t>Nocturnal severe and/or confirmed hypoglycaemia between the start of week 9 and month 6 was defined as a main secondary endpoint in EDITION I, II and III. A severe event required assistance of another person to actively administer carbohydrate, glucagon or other resuscitative action. A confirmed event required a measured plasma glucose concentration of ≤3.9 mmol/L</w:t>
      </w:r>
      <w:r w:rsidR="00AC46BB" w:rsidRPr="003819C3">
        <w:t xml:space="preserve"> occurring as soon as po</w:t>
      </w:r>
      <w:r w:rsidR="00746100" w:rsidRPr="003819C3">
        <w:t xml:space="preserve">ssible after a patient-recorded </w:t>
      </w:r>
      <w:r w:rsidR="0045011F" w:rsidRPr="003819C3">
        <w:t>hypoglycaemic</w:t>
      </w:r>
      <w:r w:rsidR="00AC46BB" w:rsidRPr="003819C3">
        <w:t xml:space="preserve"> episode</w:t>
      </w:r>
      <w:r w:rsidRPr="003819C3">
        <w:t>, and could be symptomatic or asymptomatic. Nocturnal events occurred between 00:00 and 05:59 hours.</w:t>
      </w:r>
      <w:r w:rsidR="0045011F" w:rsidRPr="003819C3">
        <w:t xml:space="preserve"> Unless severe, this relies on patients being able to detect a hypoglycaemic event and in the case of nocturnal episodes, overnight. </w:t>
      </w:r>
      <w:r w:rsidR="00195C70">
        <w:t>The ESC considered t</w:t>
      </w:r>
      <w:r w:rsidR="0045011F" w:rsidRPr="003819C3">
        <w:t xml:space="preserve">his would possibly overestimate the effectiveness in practice given </w:t>
      </w:r>
      <w:r w:rsidR="00E30648" w:rsidRPr="003819C3">
        <w:t xml:space="preserve">patients with </w:t>
      </w:r>
      <w:r w:rsidR="0045011F" w:rsidRPr="003819C3">
        <w:t>a history of hypoglyc</w:t>
      </w:r>
      <w:r w:rsidR="004B40A9">
        <w:t>a</w:t>
      </w:r>
      <w:r w:rsidR="0045011F" w:rsidRPr="003819C3">
        <w:t xml:space="preserve">emic unawareness </w:t>
      </w:r>
      <w:r w:rsidR="00E30648" w:rsidRPr="003819C3">
        <w:t xml:space="preserve">were </w:t>
      </w:r>
      <w:r w:rsidR="0045011F" w:rsidRPr="003819C3">
        <w:t>excluded</w:t>
      </w:r>
      <w:r w:rsidR="00746100" w:rsidRPr="003819C3">
        <w:t xml:space="preserve"> from the trials</w:t>
      </w:r>
      <w:r w:rsidR="00E30648" w:rsidRPr="003819C3">
        <w:t>.</w:t>
      </w:r>
    </w:p>
    <w:p w:rsidR="00386B74" w:rsidRPr="003819C3" w:rsidRDefault="00386B74" w:rsidP="007866BE">
      <w:pPr>
        <w:widowControl/>
        <w:rPr>
          <w:color w:val="3366FF"/>
        </w:rPr>
      </w:pPr>
    </w:p>
    <w:p w:rsidR="00195C70" w:rsidRPr="003819C3" w:rsidRDefault="00195C70" w:rsidP="007866BE">
      <w:pPr>
        <w:widowControl/>
        <w:ind w:left="709"/>
        <w:rPr>
          <w:i/>
        </w:rPr>
      </w:pPr>
      <w:r w:rsidRPr="003819C3">
        <w:rPr>
          <w:i/>
        </w:rPr>
        <w:t>For more detail on PBAC’s view, see section 7 “PBAC outcome”</w:t>
      </w:r>
    </w:p>
    <w:p w:rsidR="007F1017" w:rsidRPr="003819C3" w:rsidRDefault="007F1017" w:rsidP="007866BE">
      <w:pPr>
        <w:widowControl/>
      </w:pPr>
    </w:p>
    <w:p w:rsidR="00B60939" w:rsidRPr="00071887" w:rsidRDefault="00B60939" w:rsidP="007866BE">
      <w:pPr>
        <w:pStyle w:val="Heading2"/>
        <w:keepNext/>
        <w:widowControl/>
        <w:rPr>
          <w:i/>
        </w:rPr>
      </w:pPr>
      <w:bookmarkStart w:id="9" w:name="_Toc419731761"/>
      <w:r w:rsidRPr="00071887">
        <w:rPr>
          <w:i/>
        </w:rPr>
        <w:t>Comparative effectiveness</w:t>
      </w:r>
      <w:bookmarkEnd w:id="9"/>
    </w:p>
    <w:p w:rsidR="00B60939" w:rsidRPr="003819C3" w:rsidRDefault="00B60939" w:rsidP="007866BE">
      <w:pPr>
        <w:keepNext/>
        <w:widowControl/>
        <w:rPr>
          <w:szCs w:val="22"/>
        </w:rPr>
      </w:pPr>
    </w:p>
    <w:p w:rsidR="002C2775" w:rsidRPr="003819C3" w:rsidRDefault="000317A4" w:rsidP="007866BE">
      <w:pPr>
        <w:pStyle w:val="ListParagraph"/>
        <w:widowControl/>
        <w:numPr>
          <w:ilvl w:val="1"/>
          <w:numId w:val="10"/>
        </w:numPr>
        <w:rPr>
          <w:szCs w:val="22"/>
        </w:rPr>
      </w:pPr>
      <w:r w:rsidRPr="003819C3">
        <w:t>The HbA1c results for the direct randomised trials are summarised below</w:t>
      </w:r>
      <w:r w:rsidR="007F1017" w:rsidRPr="003819C3">
        <w:t>.</w:t>
      </w:r>
    </w:p>
    <w:p w:rsidR="007F1017" w:rsidRPr="003819C3" w:rsidRDefault="007F1017" w:rsidP="007866BE">
      <w:pPr>
        <w:widowControl/>
        <w:rPr>
          <w:szCs w:val="22"/>
        </w:rPr>
      </w:pPr>
    </w:p>
    <w:p w:rsidR="007F1017" w:rsidRPr="003819C3" w:rsidRDefault="007F1017" w:rsidP="007866BE">
      <w:pPr>
        <w:widowControl/>
        <w:ind w:firstLine="720"/>
        <w:rPr>
          <w:rStyle w:val="CommentReference"/>
        </w:rPr>
      </w:pPr>
      <w:r w:rsidRPr="003819C3">
        <w:rPr>
          <w:rStyle w:val="CommentReference"/>
        </w:rPr>
        <w:t xml:space="preserve">Table </w:t>
      </w:r>
      <w:r w:rsidR="007471CC" w:rsidRPr="003819C3">
        <w:rPr>
          <w:rStyle w:val="CommentReference"/>
        </w:rPr>
        <w:t>3</w:t>
      </w:r>
      <w:r w:rsidRPr="003819C3">
        <w:rPr>
          <w:rStyle w:val="CommentReference"/>
        </w:rPr>
        <w:t>:</w:t>
      </w:r>
      <w:r w:rsidR="001F1DD0" w:rsidRPr="003819C3">
        <w:rPr>
          <w:rStyle w:val="CommentReference"/>
        </w:rPr>
        <w:t xml:space="preserve"> Mean change in HbA1c from baseline to month 6 (%)</w:t>
      </w:r>
      <w:r w:rsidRPr="003819C3">
        <w:rPr>
          <w:rStyle w:val="CommentReference"/>
        </w:rPr>
        <w:t xml:space="preserve"> across the direct randomised trials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567"/>
        <w:gridCol w:w="992"/>
        <w:gridCol w:w="1164"/>
        <w:gridCol w:w="679"/>
        <w:gridCol w:w="992"/>
        <w:gridCol w:w="1052"/>
        <w:gridCol w:w="1783"/>
      </w:tblGrid>
      <w:tr w:rsidR="00453E7D" w:rsidRPr="003819C3" w:rsidTr="00453E7D">
        <w:tc>
          <w:tcPr>
            <w:tcW w:w="678" w:type="pct"/>
            <w:vMerge w:val="restart"/>
            <w:shd w:val="clear" w:color="auto" w:fill="auto"/>
            <w:vAlign w:val="center"/>
          </w:tcPr>
          <w:p w:rsidR="00453E7D" w:rsidRPr="003819C3" w:rsidRDefault="00453E7D" w:rsidP="007866BE">
            <w:pPr>
              <w:keepNext/>
              <w:widowControl/>
              <w:jc w:val="left"/>
              <w:rPr>
                <w:rFonts w:ascii="Arial Narrow" w:hAnsi="Arial Narrow"/>
                <w:b/>
                <w:sz w:val="20"/>
                <w:lang w:val="en-US"/>
              </w:rPr>
            </w:pPr>
            <w:r w:rsidRPr="003819C3">
              <w:rPr>
                <w:rFonts w:ascii="Arial Narrow" w:hAnsi="Arial Narrow"/>
                <w:b/>
                <w:sz w:val="20"/>
                <w:lang w:val="en-US"/>
              </w:rPr>
              <w:t>Trial ID</w:t>
            </w:r>
          </w:p>
        </w:tc>
        <w:tc>
          <w:tcPr>
            <w:tcW w:w="1628" w:type="pct"/>
            <w:gridSpan w:val="3"/>
            <w:shd w:val="clear" w:color="auto" w:fill="auto"/>
            <w:vAlign w:val="center"/>
          </w:tcPr>
          <w:p w:rsidR="00453E7D" w:rsidRPr="003819C3" w:rsidRDefault="00453E7D" w:rsidP="007866BE">
            <w:pPr>
              <w:keepNext/>
              <w:widowControl/>
              <w:jc w:val="center"/>
              <w:rPr>
                <w:rFonts w:ascii="Arial Narrow" w:hAnsi="Arial Narrow"/>
                <w:b/>
                <w:sz w:val="20"/>
                <w:lang w:val="en-US"/>
              </w:rPr>
            </w:pPr>
            <w:r w:rsidRPr="003819C3">
              <w:rPr>
                <w:rFonts w:ascii="Arial Narrow" w:hAnsi="Arial Narrow"/>
                <w:b/>
                <w:sz w:val="20"/>
                <w:lang w:val="en-US"/>
              </w:rPr>
              <w:t>U300</w:t>
            </w:r>
          </w:p>
        </w:tc>
        <w:tc>
          <w:tcPr>
            <w:tcW w:w="1628" w:type="pct"/>
            <w:gridSpan w:val="3"/>
            <w:vAlign w:val="center"/>
          </w:tcPr>
          <w:p w:rsidR="00453E7D" w:rsidRPr="003819C3" w:rsidRDefault="00453E7D" w:rsidP="007866BE">
            <w:pPr>
              <w:keepNext/>
              <w:widowControl/>
              <w:jc w:val="center"/>
              <w:rPr>
                <w:rFonts w:ascii="Arial Narrow" w:hAnsi="Arial Narrow"/>
                <w:b/>
                <w:sz w:val="20"/>
                <w:lang w:val="en-US"/>
              </w:rPr>
            </w:pPr>
            <w:r w:rsidRPr="003819C3">
              <w:rPr>
                <w:rFonts w:ascii="Arial Narrow" w:hAnsi="Arial Narrow"/>
                <w:b/>
                <w:sz w:val="20"/>
                <w:lang w:val="en-US"/>
              </w:rPr>
              <w:t>U100</w:t>
            </w:r>
          </w:p>
        </w:tc>
        <w:tc>
          <w:tcPr>
            <w:tcW w:w="1066" w:type="pct"/>
            <w:vMerge w:val="restart"/>
            <w:shd w:val="clear" w:color="auto" w:fill="auto"/>
            <w:vAlign w:val="center"/>
          </w:tcPr>
          <w:p w:rsidR="00453E7D" w:rsidRPr="003819C3" w:rsidRDefault="00453E7D" w:rsidP="007866BE">
            <w:pPr>
              <w:keepNext/>
              <w:widowControl/>
              <w:jc w:val="center"/>
              <w:rPr>
                <w:rFonts w:ascii="Arial Narrow" w:hAnsi="Arial Narrow"/>
                <w:b/>
                <w:sz w:val="20"/>
                <w:lang w:val="en-US"/>
              </w:rPr>
            </w:pPr>
            <w:r w:rsidRPr="003819C3">
              <w:rPr>
                <w:rFonts w:ascii="Arial Narrow" w:hAnsi="Arial Narrow"/>
                <w:b/>
                <w:sz w:val="20"/>
                <w:lang w:val="en-US"/>
              </w:rPr>
              <w:t>LS mean difference (95% CI)</w:t>
            </w:r>
          </w:p>
        </w:tc>
      </w:tr>
      <w:tr w:rsidR="00453E7D" w:rsidRPr="003819C3" w:rsidTr="00453E7D">
        <w:tc>
          <w:tcPr>
            <w:tcW w:w="678" w:type="pct"/>
            <w:vMerge/>
            <w:shd w:val="clear" w:color="auto" w:fill="auto"/>
            <w:vAlign w:val="center"/>
          </w:tcPr>
          <w:p w:rsidR="00453E7D" w:rsidRPr="003819C3" w:rsidRDefault="00453E7D" w:rsidP="007866BE">
            <w:pPr>
              <w:widowControl/>
              <w:rPr>
                <w:rFonts w:ascii="Arial Narrow" w:hAnsi="Arial Narrow"/>
                <w:color w:val="000000"/>
                <w:sz w:val="20"/>
                <w:szCs w:val="18"/>
              </w:rPr>
            </w:pPr>
          </w:p>
        </w:tc>
        <w:tc>
          <w:tcPr>
            <w:tcW w:w="339" w:type="pct"/>
            <w:shd w:val="clear" w:color="auto" w:fill="auto"/>
            <w:vAlign w:val="center"/>
          </w:tcPr>
          <w:p w:rsidR="00453E7D" w:rsidRPr="003819C3" w:rsidRDefault="00453E7D" w:rsidP="007866BE">
            <w:pPr>
              <w:keepNext/>
              <w:widowControl/>
              <w:jc w:val="center"/>
              <w:rPr>
                <w:rFonts w:ascii="Arial Narrow" w:hAnsi="Arial Narrow"/>
                <w:b/>
                <w:sz w:val="20"/>
                <w:lang w:val="en-US"/>
              </w:rPr>
            </w:pPr>
            <w:r w:rsidRPr="003819C3">
              <w:rPr>
                <w:rFonts w:ascii="Arial Narrow" w:hAnsi="Arial Narrow"/>
                <w:b/>
                <w:sz w:val="20"/>
                <w:lang w:val="en-US"/>
              </w:rPr>
              <w:t>N</w:t>
            </w:r>
          </w:p>
        </w:tc>
        <w:tc>
          <w:tcPr>
            <w:tcW w:w="593" w:type="pct"/>
            <w:vAlign w:val="center"/>
          </w:tcPr>
          <w:p w:rsidR="00453E7D" w:rsidRPr="003819C3" w:rsidRDefault="00453E7D" w:rsidP="007866BE">
            <w:pPr>
              <w:keepNext/>
              <w:widowControl/>
              <w:jc w:val="center"/>
              <w:rPr>
                <w:rFonts w:ascii="Arial Narrow" w:hAnsi="Arial Narrow"/>
                <w:b/>
                <w:sz w:val="20"/>
                <w:lang w:val="en-US"/>
              </w:rPr>
            </w:pPr>
            <w:r w:rsidRPr="003819C3">
              <w:rPr>
                <w:rFonts w:ascii="Arial Narrow" w:hAnsi="Arial Narrow"/>
                <w:b/>
                <w:sz w:val="20"/>
                <w:lang w:val="en-US"/>
              </w:rPr>
              <w:t>Baseline, mean (SD)</w:t>
            </w:r>
          </w:p>
        </w:tc>
        <w:tc>
          <w:tcPr>
            <w:tcW w:w="696" w:type="pct"/>
            <w:vAlign w:val="center"/>
          </w:tcPr>
          <w:p w:rsidR="00453E7D" w:rsidRPr="003819C3" w:rsidRDefault="00453E7D" w:rsidP="007866BE">
            <w:pPr>
              <w:keepNext/>
              <w:widowControl/>
              <w:jc w:val="center"/>
              <w:rPr>
                <w:rFonts w:ascii="Arial Narrow" w:hAnsi="Arial Narrow"/>
                <w:b/>
                <w:sz w:val="20"/>
                <w:lang w:val="en-US"/>
              </w:rPr>
            </w:pPr>
            <w:r w:rsidRPr="003819C3">
              <w:rPr>
                <w:rFonts w:ascii="Arial Narrow" w:hAnsi="Arial Narrow"/>
                <w:b/>
                <w:sz w:val="20"/>
                <w:lang w:val="en-US"/>
              </w:rPr>
              <w:t>LS mean change (SE)</w:t>
            </w:r>
          </w:p>
        </w:tc>
        <w:tc>
          <w:tcPr>
            <w:tcW w:w="406" w:type="pct"/>
            <w:vAlign w:val="center"/>
          </w:tcPr>
          <w:p w:rsidR="00453E7D" w:rsidRPr="003819C3" w:rsidRDefault="00453E7D" w:rsidP="007866BE">
            <w:pPr>
              <w:keepNext/>
              <w:widowControl/>
              <w:jc w:val="center"/>
              <w:rPr>
                <w:rFonts w:ascii="Arial Narrow" w:hAnsi="Arial Narrow"/>
                <w:b/>
                <w:sz w:val="20"/>
                <w:lang w:val="en-US"/>
              </w:rPr>
            </w:pPr>
            <w:r w:rsidRPr="003819C3">
              <w:rPr>
                <w:rFonts w:ascii="Arial Narrow" w:hAnsi="Arial Narrow"/>
                <w:b/>
                <w:sz w:val="20"/>
                <w:lang w:val="en-US"/>
              </w:rPr>
              <w:t>N</w:t>
            </w:r>
          </w:p>
        </w:tc>
        <w:tc>
          <w:tcPr>
            <w:tcW w:w="593" w:type="pct"/>
            <w:shd w:val="clear" w:color="auto" w:fill="auto"/>
            <w:vAlign w:val="center"/>
          </w:tcPr>
          <w:p w:rsidR="00453E7D" w:rsidRPr="003819C3" w:rsidRDefault="00453E7D" w:rsidP="007866BE">
            <w:pPr>
              <w:keepNext/>
              <w:widowControl/>
              <w:jc w:val="center"/>
              <w:rPr>
                <w:rFonts w:ascii="Arial Narrow" w:hAnsi="Arial Narrow"/>
                <w:b/>
                <w:sz w:val="20"/>
                <w:lang w:val="en-US"/>
              </w:rPr>
            </w:pPr>
            <w:r w:rsidRPr="003819C3">
              <w:rPr>
                <w:rFonts w:ascii="Arial Narrow" w:hAnsi="Arial Narrow"/>
                <w:b/>
                <w:sz w:val="20"/>
                <w:lang w:val="en-US"/>
              </w:rPr>
              <w:t>Baseline, mean (SD)</w:t>
            </w:r>
          </w:p>
        </w:tc>
        <w:tc>
          <w:tcPr>
            <w:tcW w:w="629" w:type="pct"/>
            <w:shd w:val="clear" w:color="auto" w:fill="auto"/>
          </w:tcPr>
          <w:p w:rsidR="00453E7D" w:rsidRPr="003819C3" w:rsidRDefault="00453E7D" w:rsidP="007866BE">
            <w:pPr>
              <w:keepNext/>
              <w:widowControl/>
              <w:jc w:val="center"/>
              <w:rPr>
                <w:rFonts w:ascii="Arial Narrow" w:hAnsi="Arial Narrow"/>
                <w:b/>
                <w:sz w:val="20"/>
                <w:lang w:val="en-US"/>
              </w:rPr>
            </w:pPr>
            <w:r w:rsidRPr="003819C3">
              <w:rPr>
                <w:rFonts w:ascii="Arial Narrow" w:hAnsi="Arial Narrow"/>
                <w:b/>
                <w:sz w:val="20"/>
                <w:lang w:val="en-US"/>
              </w:rPr>
              <w:t>LS mean change (SE)</w:t>
            </w:r>
          </w:p>
        </w:tc>
        <w:tc>
          <w:tcPr>
            <w:tcW w:w="1066" w:type="pct"/>
            <w:vMerge/>
            <w:shd w:val="clear" w:color="auto" w:fill="auto"/>
            <w:vAlign w:val="center"/>
          </w:tcPr>
          <w:p w:rsidR="00453E7D" w:rsidRPr="003819C3" w:rsidRDefault="00453E7D" w:rsidP="007866BE">
            <w:pPr>
              <w:keepNext/>
              <w:widowControl/>
              <w:jc w:val="center"/>
              <w:rPr>
                <w:rFonts w:ascii="Arial Narrow" w:hAnsi="Arial Narrow"/>
                <w:sz w:val="20"/>
                <w:lang w:val="en-US"/>
              </w:rPr>
            </w:pPr>
          </w:p>
        </w:tc>
      </w:tr>
      <w:tr w:rsidR="00453E7D" w:rsidRPr="003819C3" w:rsidTr="00455577">
        <w:tc>
          <w:tcPr>
            <w:tcW w:w="678" w:type="pct"/>
            <w:shd w:val="clear" w:color="auto" w:fill="auto"/>
            <w:vAlign w:val="center"/>
          </w:tcPr>
          <w:p w:rsidR="00453E7D" w:rsidRPr="003819C3" w:rsidRDefault="00453E7D" w:rsidP="007866BE">
            <w:pPr>
              <w:widowControl/>
              <w:rPr>
                <w:rFonts w:ascii="Arial Narrow" w:hAnsi="Arial Narrow"/>
                <w:color w:val="000000"/>
                <w:sz w:val="20"/>
                <w:szCs w:val="18"/>
              </w:rPr>
            </w:pPr>
            <w:r w:rsidRPr="003819C3">
              <w:rPr>
                <w:rFonts w:ascii="Arial Narrow" w:hAnsi="Arial Narrow"/>
                <w:color w:val="000000"/>
                <w:sz w:val="20"/>
                <w:szCs w:val="18"/>
              </w:rPr>
              <w:t>EDITION I</w:t>
            </w:r>
          </w:p>
        </w:tc>
        <w:tc>
          <w:tcPr>
            <w:tcW w:w="339" w:type="pct"/>
            <w:shd w:val="clear" w:color="auto" w:fill="auto"/>
            <w:vAlign w:val="center"/>
          </w:tcPr>
          <w:p w:rsidR="00453E7D" w:rsidRPr="003819C3" w:rsidRDefault="00453E7D" w:rsidP="007866BE">
            <w:pPr>
              <w:keepNext/>
              <w:widowControl/>
              <w:jc w:val="center"/>
              <w:rPr>
                <w:rFonts w:ascii="Arial Narrow" w:hAnsi="Arial Narrow"/>
                <w:sz w:val="20"/>
                <w:lang w:val="en-US"/>
              </w:rPr>
            </w:pPr>
            <w:r w:rsidRPr="003819C3">
              <w:rPr>
                <w:rFonts w:ascii="Arial Narrow" w:hAnsi="Arial Narrow"/>
                <w:sz w:val="20"/>
                <w:lang w:val="en-US"/>
              </w:rPr>
              <w:t>404</w:t>
            </w:r>
          </w:p>
        </w:tc>
        <w:tc>
          <w:tcPr>
            <w:tcW w:w="593" w:type="pct"/>
            <w:vAlign w:val="center"/>
          </w:tcPr>
          <w:p w:rsidR="00453E7D" w:rsidRPr="003819C3" w:rsidRDefault="005565CB" w:rsidP="007866BE">
            <w:pPr>
              <w:widowControl/>
              <w:jc w:val="center"/>
              <w:rPr>
                <w:rFonts w:ascii="Arial Narrow" w:hAnsi="Arial Narrow"/>
                <w:color w:val="000000"/>
                <w:sz w:val="20"/>
                <w:szCs w:val="18"/>
              </w:rPr>
            </w:pPr>
            <w:r w:rsidRPr="003819C3">
              <w:rPr>
                <w:rFonts w:ascii="Arial Narrow" w:hAnsi="Arial Narrow"/>
                <w:color w:val="000000"/>
                <w:sz w:val="20"/>
                <w:szCs w:val="18"/>
              </w:rPr>
              <w:t>8.14 (0.78)</w:t>
            </w:r>
          </w:p>
        </w:tc>
        <w:tc>
          <w:tcPr>
            <w:tcW w:w="696" w:type="pct"/>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-0.83 (0.060)</w:t>
            </w:r>
          </w:p>
        </w:tc>
        <w:tc>
          <w:tcPr>
            <w:tcW w:w="406" w:type="pct"/>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400</w:t>
            </w:r>
          </w:p>
        </w:tc>
        <w:tc>
          <w:tcPr>
            <w:tcW w:w="593" w:type="pct"/>
            <w:shd w:val="clear" w:color="auto" w:fill="auto"/>
            <w:vAlign w:val="center"/>
          </w:tcPr>
          <w:p w:rsidR="00453E7D" w:rsidRPr="003819C3" w:rsidRDefault="005565CB" w:rsidP="007866BE">
            <w:pPr>
              <w:widowControl/>
              <w:jc w:val="center"/>
              <w:rPr>
                <w:rFonts w:ascii="Arial Narrow" w:hAnsi="Arial Narrow"/>
                <w:color w:val="000000"/>
                <w:sz w:val="20"/>
                <w:szCs w:val="18"/>
              </w:rPr>
            </w:pPr>
            <w:r w:rsidRPr="003819C3">
              <w:rPr>
                <w:rFonts w:ascii="Arial Narrow" w:hAnsi="Arial Narrow"/>
                <w:color w:val="000000"/>
                <w:sz w:val="20"/>
                <w:szCs w:val="18"/>
              </w:rPr>
              <w:t>8.14 (0.76)</w:t>
            </w:r>
          </w:p>
        </w:tc>
        <w:tc>
          <w:tcPr>
            <w:tcW w:w="629" w:type="pct"/>
            <w:shd w:val="clear" w:color="auto" w:fill="auto"/>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-0.83 (0.061)</w:t>
            </w:r>
          </w:p>
        </w:tc>
        <w:tc>
          <w:tcPr>
            <w:tcW w:w="1066" w:type="pct"/>
            <w:shd w:val="clear" w:color="auto" w:fill="auto"/>
            <w:vAlign w:val="center"/>
          </w:tcPr>
          <w:p w:rsidR="00453E7D" w:rsidRPr="003819C3" w:rsidRDefault="00453E7D" w:rsidP="007866BE">
            <w:pPr>
              <w:widowControl/>
              <w:jc w:val="center"/>
              <w:rPr>
                <w:rFonts w:ascii="Arial Narrow" w:hAnsi="Arial Narrow"/>
                <w:sz w:val="20"/>
                <w:szCs w:val="18"/>
              </w:rPr>
            </w:pPr>
            <w:r w:rsidRPr="003819C3">
              <w:rPr>
                <w:rFonts w:ascii="Arial Narrow" w:hAnsi="Arial Narrow"/>
                <w:sz w:val="20"/>
                <w:szCs w:val="18"/>
              </w:rPr>
              <w:t>-0.00 (-0.112, 0.107)</w:t>
            </w:r>
          </w:p>
        </w:tc>
      </w:tr>
      <w:tr w:rsidR="00453E7D" w:rsidRPr="003819C3" w:rsidTr="00455577">
        <w:tc>
          <w:tcPr>
            <w:tcW w:w="678" w:type="pct"/>
            <w:shd w:val="clear" w:color="auto" w:fill="auto"/>
            <w:vAlign w:val="center"/>
          </w:tcPr>
          <w:p w:rsidR="00453E7D" w:rsidRPr="003819C3" w:rsidRDefault="00453E7D" w:rsidP="007866BE">
            <w:pPr>
              <w:widowControl/>
              <w:rPr>
                <w:rFonts w:ascii="Arial Narrow" w:hAnsi="Arial Narrow"/>
                <w:color w:val="000000"/>
                <w:sz w:val="20"/>
                <w:szCs w:val="18"/>
              </w:rPr>
            </w:pPr>
            <w:r w:rsidRPr="003819C3">
              <w:rPr>
                <w:rFonts w:ascii="Arial Narrow" w:hAnsi="Arial Narrow"/>
                <w:color w:val="000000"/>
                <w:sz w:val="20"/>
                <w:szCs w:val="18"/>
              </w:rPr>
              <w:t>EDITION II</w:t>
            </w:r>
          </w:p>
        </w:tc>
        <w:tc>
          <w:tcPr>
            <w:tcW w:w="339" w:type="pct"/>
            <w:shd w:val="clear" w:color="auto" w:fill="auto"/>
            <w:vAlign w:val="center"/>
          </w:tcPr>
          <w:p w:rsidR="00453E7D" w:rsidRPr="003819C3" w:rsidRDefault="00453E7D" w:rsidP="007866BE">
            <w:pPr>
              <w:keepNext/>
              <w:widowControl/>
              <w:jc w:val="center"/>
              <w:rPr>
                <w:rFonts w:ascii="Arial Narrow" w:hAnsi="Arial Narrow"/>
                <w:sz w:val="20"/>
                <w:lang w:val="en-US"/>
              </w:rPr>
            </w:pPr>
            <w:r w:rsidRPr="003819C3">
              <w:rPr>
                <w:rFonts w:ascii="Arial Narrow" w:hAnsi="Arial Narrow"/>
                <w:sz w:val="20"/>
                <w:lang w:val="en-US"/>
              </w:rPr>
              <w:t>403</w:t>
            </w:r>
          </w:p>
        </w:tc>
        <w:tc>
          <w:tcPr>
            <w:tcW w:w="593" w:type="pct"/>
            <w:vAlign w:val="center"/>
          </w:tcPr>
          <w:p w:rsidR="00453E7D" w:rsidRPr="003819C3" w:rsidRDefault="005565CB" w:rsidP="007866BE">
            <w:pPr>
              <w:widowControl/>
              <w:jc w:val="center"/>
              <w:rPr>
                <w:rFonts w:ascii="Arial Narrow" w:hAnsi="Arial Narrow"/>
                <w:color w:val="000000"/>
                <w:sz w:val="20"/>
                <w:szCs w:val="18"/>
              </w:rPr>
            </w:pPr>
            <w:r w:rsidRPr="003819C3">
              <w:rPr>
                <w:rFonts w:ascii="Arial Narrow" w:hAnsi="Arial Narrow"/>
                <w:color w:val="000000"/>
                <w:sz w:val="20"/>
                <w:szCs w:val="18"/>
              </w:rPr>
              <w:t>8.28 (0.87)</w:t>
            </w:r>
          </w:p>
        </w:tc>
        <w:tc>
          <w:tcPr>
            <w:tcW w:w="696" w:type="pct"/>
            <w:vAlign w:val="center"/>
          </w:tcPr>
          <w:p w:rsidR="00453E7D" w:rsidRPr="003819C3" w:rsidRDefault="00D81983" w:rsidP="007866BE">
            <w:pPr>
              <w:widowControl/>
              <w:jc w:val="center"/>
              <w:rPr>
                <w:rFonts w:ascii="Arial Narrow" w:hAnsi="Arial Narrow"/>
                <w:color w:val="000000"/>
                <w:sz w:val="20"/>
                <w:szCs w:val="18"/>
              </w:rPr>
            </w:pPr>
            <w:r w:rsidRPr="003819C3">
              <w:rPr>
                <w:rFonts w:ascii="Arial Narrow" w:hAnsi="Arial Narrow"/>
                <w:color w:val="000000"/>
                <w:sz w:val="20"/>
                <w:szCs w:val="18"/>
              </w:rPr>
              <w:t>-0.57 (0.0</w:t>
            </w:r>
            <w:r w:rsidR="00453E7D" w:rsidRPr="003819C3">
              <w:rPr>
                <w:rFonts w:ascii="Arial Narrow" w:hAnsi="Arial Narrow"/>
                <w:color w:val="000000"/>
                <w:sz w:val="20"/>
                <w:szCs w:val="18"/>
              </w:rPr>
              <w:t>9</w:t>
            </w:r>
            <w:r w:rsidRPr="003819C3">
              <w:rPr>
                <w:rFonts w:ascii="Arial Narrow" w:hAnsi="Arial Narrow"/>
                <w:color w:val="000000"/>
                <w:sz w:val="20"/>
                <w:szCs w:val="18"/>
              </w:rPr>
              <w:t>4</w:t>
            </w:r>
            <w:r w:rsidR="00453E7D" w:rsidRPr="003819C3">
              <w:rPr>
                <w:rFonts w:ascii="Arial Narrow" w:hAnsi="Arial Narrow"/>
                <w:color w:val="000000"/>
                <w:sz w:val="20"/>
                <w:szCs w:val="18"/>
              </w:rPr>
              <w:t>)</w:t>
            </w:r>
          </w:p>
        </w:tc>
        <w:tc>
          <w:tcPr>
            <w:tcW w:w="406" w:type="pct"/>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405</w:t>
            </w:r>
          </w:p>
        </w:tc>
        <w:tc>
          <w:tcPr>
            <w:tcW w:w="593" w:type="pct"/>
            <w:shd w:val="clear" w:color="auto" w:fill="auto"/>
            <w:vAlign w:val="center"/>
          </w:tcPr>
          <w:p w:rsidR="00453E7D" w:rsidRPr="003819C3" w:rsidRDefault="005565CB" w:rsidP="007866BE">
            <w:pPr>
              <w:widowControl/>
              <w:jc w:val="center"/>
              <w:rPr>
                <w:rFonts w:ascii="Arial Narrow" w:hAnsi="Arial Narrow"/>
                <w:color w:val="000000"/>
                <w:sz w:val="20"/>
                <w:szCs w:val="18"/>
              </w:rPr>
            </w:pPr>
            <w:r w:rsidRPr="003819C3">
              <w:rPr>
                <w:rFonts w:ascii="Arial Narrow" w:hAnsi="Arial Narrow"/>
                <w:color w:val="000000"/>
                <w:sz w:val="20"/>
                <w:szCs w:val="18"/>
              </w:rPr>
              <w:t>8.22 (0.77)</w:t>
            </w:r>
          </w:p>
        </w:tc>
        <w:tc>
          <w:tcPr>
            <w:tcW w:w="629" w:type="pct"/>
            <w:shd w:val="clear" w:color="auto" w:fill="auto"/>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-0.56 (0.093)</w:t>
            </w:r>
          </w:p>
        </w:tc>
        <w:tc>
          <w:tcPr>
            <w:tcW w:w="1066" w:type="pct"/>
            <w:shd w:val="clear" w:color="auto" w:fill="auto"/>
            <w:vAlign w:val="center"/>
          </w:tcPr>
          <w:p w:rsidR="00453E7D" w:rsidRPr="003819C3" w:rsidRDefault="00453E7D" w:rsidP="007866BE">
            <w:pPr>
              <w:widowControl/>
              <w:jc w:val="center"/>
              <w:rPr>
                <w:rFonts w:ascii="Arial Narrow" w:hAnsi="Arial Narrow"/>
                <w:sz w:val="20"/>
                <w:szCs w:val="18"/>
              </w:rPr>
            </w:pPr>
            <w:r w:rsidRPr="003819C3">
              <w:rPr>
                <w:rFonts w:ascii="Arial Narrow" w:hAnsi="Arial Narrow"/>
                <w:sz w:val="20"/>
                <w:szCs w:val="18"/>
              </w:rPr>
              <w:t>-0.01 (-0.139, 0.119)</w:t>
            </w:r>
          </w:p>
        </w:tc>
      </w:tr>
      <w:tr w:rsidR="00453E7D" w:rsidRPr="003819C3" w:rsidTr="00455577">
        <w:tc>
          <w:tcPr>
            <w:tcW w:w="678" w:type="pct"/>
            <w:shd w:val="clear" w:color="auto" w:fill="auto"/>
            <w:vAlign w:val="center"/>
          </w:tcPr>
          <w:p w:rsidR="00453E7D" w:rsidRPr="003819C3" w:rsidRDefault="00453E7D" w:rsidP="007866BE">
            <w:pPr>
              <w:widowControl/>
              <w:rPr>
                <w:rFonts w:ascii="Arial Narrow" w:hAnsi="Arial Narrow"/>
                <w:color w:val="000000"/>
                <w:sz w:val="20"/>
                <w:szCs w:val="18"/>
              </w:rPr>
            </w:pPr>
            <w:r w:rsidRPr="003819C3">
              <w:rPr>
                <w:rFonts w:ascii="Arial Narrow" w:hAnsi="Arial Narrow"/>
                <w:color w:val="000000"/>
                <w:sz w:val="20"/>
                <w:szCs w:val="18"/>
              </w:rPr>
              <w:t>EDITION III</w:t>
            </w:r>
          </w:p>
        </w:tc>
        <w:tc>
          <w:tcPr>
            <w:tcW w:w="339" w:type="pct"/>
            <w:shd w:val="clear" w:color="auto" w:fill="auto"/>
            <w:vAlign w:val="center"/>
          </w:tcPr>
          <w:p w:rsidR="00453E7D" w:rsidRPr="003819C3" w:rsidRDefault="00453E7D" w:rsidP="007866BE">
            <w:pPr>
              <w:keepNext/>
              <w:widowControl/>
              <w:jc w:val="center"/>
              <w:rPr>
                <w:rFonts w:ascii="Arial Narrow" w:hAnsi="Arial Narrow"/>
                <w:sz w:val="20"/>
                <w:lang w:val="en-US"/>
              </w:rPr>
            </w:pPr>
            <w:r w:rsidRPr="003819C3">
              <w:rPr>
                <w:rFonts w:ascii="Arial Narrow" w:hAnsi="Arial Narrow"/>
                <w:sz w:val="20"/>
                <w:lang w:val="en-US"/>
              </w:rPr>
              <w:t>402</w:t>
            </w:r>
          </w:p>
        </w:tc>
        <w:tc>
          <w:tcPr>
            <w:tcW w:w="593" w:type="pct"/>
            <w:vAlign w:val="center"/>
          </w:tcPr>
          <w:p w:rsidR="00453E7D" w:rsidRPr="003819C3" w:rsidRDefault="005565CB" w:rsidP="007866BE">
            <w:pPr>
              <w:widowControl/>
              <w:jc w:val="center"/>
              <w:rPr>
                <w:rFonts w:ascii="Arial Narrow" w:hAnsi="Arial Narrow"/>
                <w:color w:val="000000"/>
                <w:sz w:val="20"/>
                <w:szCs w:val="18"/>
              </w:rPr>
            </w:pPr>
            <w:r w:rsidRPr="003819C3">
              <w:rPr>
                <w:rFonts w:ascii="Arial Narrow" w:hAnsi="Arial Narrow"/>
                <w:color w:val="000000"/>
                <w:sz w:val="20"/>
                <w:szCs w:val="18"/>
              </w:rPr>
              <w:t>8.49 (1.04)</w:t>
            </w:r>
          </w:p>
        </w:tc>
        <w:tc>
          <w:tcPr>
            <w:tcW w:w="696" w:type="pct"/>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-1.42 (0.047)</w:t>
            </w:r>
          </w:p>
        </w:tc>
        <w:tc>
          <w:tcPr>
            <w:tcW w:w="406" w:type="pct"/>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394</w:t>
            </w:r>
          </w:p>
        </w:tc>
        <w:tc>
          <w:tcPr>
            <w:tcW w:w="593" w:type="pct"/>
            <w:shd w:val="clear" w:color="auto" w:fill="auto"/>
            <w:vAlign w:val="center"/>
          </w:tcPr>
          <w:p w:rsidR="00453E7D" w:rsidRPr="003819C3" w:rsidRDefault="005565CB" w:rsidP="007866BE">
            <w:pPr>
              <w:widowControl/>
              <w:jc w:val="center"/>
              <w:rPr>
                <w:rFonts w:ascii="Arial Narrow" w:hAnsi="Arial Narrow"/>
                <w:color w:val="000000"/>
                <w:sz w:val="20"/>
                <w:szCs w:val="18"/>
              </w:rPr>
            </w:pPr>
            <w:r w:rsidRPr="003819C3">
              <w:rPr>
                <w:rFonts w:ascii="Arial Narrow" w:hAnsi="Arial Narrow"/>
                <w:color w:val="000000"/>
                <w:sz w:val="20"/>
                <w:szCs w:val="18"/>
              </w:rPr>
              <w:t>8.58 (1.07)</w:t>
            </w:r>
          </w:p>
        </w:tc>
        <w:tc>
          <w:tcPr>
            <w:tcW w:w="629" w:type="pct"/>
            <w:shd w:val="clear" w:color="auto" w:fill="auto"/>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-1.46 (0.048)</w:t>
            </w:r>
          </w:p>
        </w:tc>
        <w:tc>
          <w:tcPr>
            <w:tcW w:w="1066" w:type="pct"/>
            <w:shd w:val="clear" w:color="auto" w:fill="auto"/>
            <w:vAlign w:val="center"/>
          </w:tcPr>
          <w:p w:rsidR="00453E7D" w:rsidRPr="003819C3" w:rsidRDefault="00453E7D" w:rsidP="007866BE">
            <w:pPr>
              <w:widowControl/>
              <w:jc w:val="center"/>
              <w:rPr>
                <w:rFonts w:ascii="Arial Narrow" w:hAnsi="Arial Narrow"/>
                <w:sz w:val="20"/>
                <w:szCs w:val="18"/>
              </w:rPr>
            </w:pPr>
            <w:r w:rsidRPr="003819C3">
              <w:rPr>
                <w:rFonts w:ascii="Arial Narrow" w:hAnsi="Arial Narrow"/>
                <w:sz w:val="20"/>
                <w:szCs w:val="18"/>
              </w:rPr>
              <w:t>0.04 (-0.090, 0.174)</w:t>
            </w:r>
          </w:p>
        </w:tc>
      </w:tr>
      <w:tr w:rsidR="00453E7D" w:rsidRPr="003819C3" w:rsidTr="00455577">
        <w:tc>
          <w:tcPr>
            <w:tcW w:w="678" w:type="pct"/>
            <w:shd w:val="clear" w:color="auto" w:fill="auto"/>
            <w:vAlign w:val="center"/>
          </w:tcPr>
          <w:p w:rsidR="00453E7D" w:rsidRPr="003819C3" w:rsidRDefault="00453E7D" w:rsidP="007866BE">
            <w:pPr>
              <w:widowControl/>
              <w:rPr>
                <w:rFonts w:ascii="Arial Narrow" w:hAnsi="Arial Narrow"/>
                <w:color w:val="000000"/>
                <w:sz w:val="20"/>
                <w:szCs w:val="18"/>
              </w:rPr>
            </w:pPr>
            <w:r w:rsidRPr="003819C3">
              <w:rPr>
                <w:rFonts w:ascii="Arial Narrow" w:hAnsi="Arial Narrow"/>
                <w:color w:val="000000"/>
                <w:sz w:val="20"/>
                <w:szCs w:val="18"/>
              </w:rPr>
              <w:t>EDITION IV</w:t>
            </w:r>
          </w:p>
        </w:tc>
        <w:tc>
          <w:tcPr>
            <w:tcW w:w="339" w:type="pct"/>
            <w:shd w:val="clear" w:color="auto" w:fill="auto"/>
            <w:vAlign w:val="center"/>
          </w:tcPr>
          <w:p w:rsidR="00453E7D" w:rsidRPr="003819C3" w:rsidRDefault="00453E7D" w:rsidP="007866BE">
            <w:pPr>
              <w:keepNext/>
              <w:widowControl/>
              <w:jc w:val="center"/>
              <w:rPr>
                <w:rFonts w:ascii="Arial Narrow" w:hAnsi="Arial Narrow"/>
                <w:sz w:val="20"/>
                <w:lang w:val="en-US"/>
              </w:rPr>
            </w:pPr>
            <w:r w:rsidRPr="003819C3">
              <w:rPr>
                <w:rFonts w:ascii="Arial Narrow" w:hAnsi="Arial Narrow"/>
                <w:sz w:val="20"/>
                <w:lang w:val="en-US"/>
              </w:rPr>
              <w:t>273</w:t>
            </w:r>
          </w:p>
        </w:tc>
        <w:tc>
          <w:tcPr>
            <w:tcW w:w="593" w:type="pct"/>
            <w:vAlign w:val="center"/>
          </w:tcPr>
          <w:p w:rsidR="00453E7D" w:rsidRPr="003819C3" w:rsidRDefault="005565CB" w:rsidP="007866BE">
            <w:pPr>
              <w:widowControl/>
              <w:jc w:val="center"/>
              <w:rPr>
                <w:rFonts w:ascii="Arial Narrow" w:hAnsi="Arial Narrow"/>
                <w:color w:val="000000"/>
                <w:sz w:val="20"/>
                <w:szCs w:val="18"/>
              </w:rPr>
            </w:pPr>
            <w:r w:rsidRPr="003819C3">
              <w:rPr>
                <w:rFonts w:ascii="Arial Narrow" w:hAnsi="Arial Narrow"/>
                <w:color w:val="000000"/>
                <w:sz w:val="20"/>
                <w:szCs w:val="18"/>
              </w:rPr>
              <w:t>8.13 (0.77)</w:t>
            </w:r>
          </w:p>
        </w:tc>
        <w:tc>
          <w:tcPr>
            <w:tcW w:w="696" w:type="pct"/>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-0.40 (0.051)</w:t>
            </w:r>
          </w:p>
        </w:tc>
        <w:tc>
          <w:tcPr>
            <w:tcW w:w="406" w:type="pct"/>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273</w:t>
            </w:r>
          </w:p>
        </w:tc>
        <w:tc>
          <w:tcPr>
            <w:tcW w:w="593" w:type="pct"/>
            <w:shd w:val="clear" w:color="auto" w:fill="auto"/>
            <w:vAlign w:val="center"/>
          </w:tcPr>
          <w:p w:rsidR="00453E7D" w:rsidRPr="003819C3" w:rsidRDefault="005565CB" w:rsidP="007866BE">
            <w:pPr>
              <w:widowControl/>
              <w:jc w:val="center"/>
              <w:rPr>
                <w:rFonts w:ascii="Arial Narrow" w:hAnsi="Arial Narrow"/>
                <w:color w:val="000000"/>
                <w:sz w:val="20"/>
                <w:szCs w:val="18"/>
              </w:rPr>
            </w:pPr>
            <w:r w:rsidRPr="003819C3">
              <w:rPr>
                <w:rFonts w:ascii="Arial Narrow" w:hAnsi="Arial Narrow"/>
                <w:color w:val="000000"/>
                <w:sz w:val="20"/>
                <w:szCs w:val="18"/>
              </w:rPr>
              <w:t>8.12 (0.79)</w:t>
            </w:r>
          </w:p>
        </w:tc>
        <w:tc>
          <w:tcPr>
            <w:tcW w:w="629" w:type="pct"/>
            <w:shd w:val="clear" w:color="auto" w:fill="auto"/>
            <w:vAlign w:val="center"/>
          </w:tcPr>
          <w:p w:rsidR="00453E7D" w:rsidRPr="003819C3" w:rsidRDefault="00453E7D" w:rsidP="007866BE">
            <w:pPr>
              <w:widowControl/>
              <w:jc w:val="center"/>
              <w:rPr>
                <w:rFonts w:ascii="Arial Narrow" w:hAnsi="Arial Narrow"/>
                <w:color w:val="000000"/>
                <w:sz w:val="20"/>
                <w:szCs w:val="18"/>
              </w:rPr>
            </w:pPr>
            <w:r w:rsidRPr="003819C3">
              <w:rPr>
                <w:rFonts w:ascii="Arial Narrow" w:hAnsi="Arial Narrow"/>
                <w:color w:val="000000"/>
                <w:sz w:val="20"/>
                <w:szCs w:val="18"/>
              </w:rPr>
              <w:t>-0.44 (0.051)</w:t>
            </w:r>
          </w:p>
        </w:tc>
        <w:tc>
          <w:tcPr>
            <w:tcW w:w="1066" w:type="pct"/>
            <w:shd w:val="clear" w:color="auto" w:fill="auto"/>
            <w:vAlign w:val="center"/>
          </w:tcPr>
          <w:p w:rsidR="00453E7D" w:rsidRPr="003819C3" w:rsidRDefault="00453E7D" w:rsidP="007866BE">
            <w:pPr>
              <w:widowControl/>
              <w:jc w:val="center"/>
              <w:rPr>
                <w:rFonts w:ascii="Arial Narrow" w:hAnsi="Arial Narrow"/>
                <w:sz w:val="20"/>
                <w:szCs w:val="18"/>
              </w:rPr>
            </w:pPr>
            <w:r w:rsidRPr="003819C3">
              <w:rPr>
                <w:rFonts w:ascii="Arial Narrow" w:hAnsi="Arial Narrow"/>
                <w:sz w:val="20"/>
                <w:szCs w:val="18"/>
              </w:rPr>
              <w:t>0.04 (-0.098, 0.185)</w:t>
            </w:r>
          </w:p>
        </w:tc>
      </w:tr>
    </w:tbl>
    <w:p w:rsidR="004D7C46" w:rsidRPr="003819C3" w:rsidRDefault="004D7C46" w:rsidP="007866BE">
      <w:pPr>
        <w:pStyle w:val="TableFooter"/>
        <w:keepNext/>
        <w:keepLines/>
        <w:widowControl/>
        <w:ind w:firstLine="720"/>
      </w:pPr>
      <w:r w:rsidRPr="003819C3">
        <w:t>Abbreviations: CI=confidence interval; LS=least squares; SD=standard deviation; SE=standard error</w:t>
      </w:r>
    </w:p>
    <w:p w:rsidR="007F1017" w:rsidRPr="003819C3" w:rsidRDefault="007F1017" w:rsidP="007866BE">
      <w:pPr>
        <w:pStyle w:val="TableFooter"/>
        <w:widowControl/>
        <w:ind w:firstLine="720"/>
      </w:pPr>
      <w:r w:rsidRPr="003819C3">
        <w:t xml:space="preserve">Source: </w:t>
      </w:r>
      <w:r w:rsidR="00453E7D" w:rsidRPr="003819C3">
        <w:t>Table B.19, p63</w:t>
      </w:r>
      <w:r w:rsidRPr="003819C3">
        <w:t xml:space="preserve"> of the submission</w:t>
      </w:r>
    </w:p>
    <w:p w:rsidR="00B60939" w:rsidRPr="003819C3" w:rsidRDefault="00B60939" w:rsidP="007866BE">
      <w:pPr>
        <w:widowControl/>
        <w:rPr>
          <w:szCs w:val="22"/>
        </w:rPr>
      </w:pPr>
    </w:p>
    <w:p w:rsidR="000317A4" w:rsidRPr="003819C3" w:rsidRDefault="000317A4" w:rsidP="007866BE">
      <w:pPr>
        <w:pStyle w:val="ListParagraph"/>
        <w:widowControl/>
        <w:numPr>
          <w:ilvl w:val="1"/>
          <w:numId w:val="10"/>
        </w:numPr>
        <w:rPr>
          <w:szCs w:val="22"/>
        </w:rPr>
      </w:pPr>
      <w:r w:rsidRPr="003819C3">
        <w:rPr>
          <w:szCs w:val="22"/>
        </w:rPr>
        <w:t xml:space="preserve">For the four </w:t>
      </w:r>
      <w:r w:rsidRPr="003819C3">
        <w:t>trials</w:t>
      </w:r>
      <w:r w:rsidRPr="003819C3">
        <w:rPr>
          <w:szCs w:val="22"/>
        </w:rPr>
        <w:t xml:space="preserve"> the upper 95% confidence limit for the difference between the treatment groups </w:t>
      </w:r>
      <w:r w:rsidR="00CC3BF6" w:rsidRPr="003819C3">
        <w:rPr>
          <w:szCs w:val="22"/>
        </w:rPr>
        <w:t>wa</w:t>
      </w:r>
      <w:r w:rsidRPr="003819C3">
        <w:rPr>
          <w:szCs w:val="22"/>
        </w:rPr>
        <w:t>s below the 0.3%</w:t>
      </w:r>
      <w:r w:rsidR="00FD5984" w:rsidRPr="003819C3">
        <w:rPr>
          <w:szCs w:val="22"/>
        </w:rPr>
        <w:t>-0.4%</w:t>
      </w:r>
      <w:r w:rsidRPr="003819C3">
        <w:rPr>
          <w:szCs w:val="22"/>
        </w:rPr>
        <w:t xml:space="preserve"> non-inferiority margin</w:t>
      </w:r>
      <w:r w:rsidR="00FD5984" w:rsidRPr="003819C3">
        <w:rPr>
          <w:szCs w:val="22"/>
        </w:rPr>
        <w:t xml:space="preserve"> previously used by the PBAC</w:t>
      </w:r>
      <w:r w:rsidR="00FA16A7" w:rsidRPr="003819C3">
        <w:rPr>
          <w:szCs w:val="22"/>
        </w:rPr>
        <w:t>.</w:t>
      </w:r>
    </w:p>
    <w:p w:rsidR="000317A4" w:rsidRPr="003819C3" w:rsidRDefault="000317A4" w:rsidP="007866BE">
      <w:pPr>
        <w:widowControl/>
        <w:rPr>
          <w:szCs w:val="22"/>
        </w:rPr>
      </w:pPr>
    </w:p>
    <w:p w:rsidR="003819C3" w:rsidRPr="003819C3" w:rsidRDefault="003819C3" w:rsidP="007866BE">
      <w:pPr>
        <w:widowControl/>
        <w:ind w:left="709"/>
        <w:rPr>
          <w:i/>
        </w:rPr>
      </w:pPr>
      <w:bookmarkStart w:id="10" w:name="_Toc419731762"/>
      <w:r w:rsidRPr="003819C3">
        <w:rPr>
          <w:i/>
        </w:rPr>
        <w:t>For more detail on PBAC’s view, see section 7 “PBAC outcome”</w:t>
      </w:r>
    </w:p>
    <w:p w:rsidR="00CD3CF2" w:rsidRPr="003819C3" w:rsidRDefault="00CD3CF2" w:rsidP="007866BE">
      <w:pPr>
        <w:widowControl/>
        <w:jc w:val="left"/>
        <w:rPr>
          <w:b/>
        </w:rPr>
      </w:pPr>
      <w:r w:rsidRPr="003819C3">
        <w:br w:type="page"/>
      </w:r>
    </w:p>
    <w:p w:rsidR="00B60939" w:rsidRPr="00071887" w:rsidRDefault="00B60939" w:rsidP="007866BE">
      <w:pPr>
        <w:pStyle w:val="Heading2"/>
        <w:widowControl/>
        <w:rPr>
          <w:i/>
        </w:rPr>
      </w:pPr>
      <w:r w:rsidRPr="00071887">
        <w:rPr>
          <w:i/>
        </w:rPr>
        <w:t>Comparative harms</w:t>
      </w:r>
      <w:bookmarkEnd w:id="10"/>
    </w:p>
    <w:p w:rsidR="00B60939" w:rsidRPr="003819C3" w:rsidRDefault="00B60939" w:rsidP="007866BE">
      <w:pPr>
        <w:widowControl/>
        <w:ind w:left="720" w:hanging="720"/>
        <w:rPr>
          <w:szCs w:val="22"/>
        </w:rPr>
      </w:pPr>
    </w:p>
    <w:p w:rsidR="00B60939" w:rsidRPr="003819C3" w:rsidRDefault="003F2A56" w:rsidP="007866BE">
      <w:pPr>
        <w:pStyle w:val="ListParagraph"/>
        <w:widowControl/>
        <w:numPr>
          <w:ilvl w:val="1"/>
          <w:numId w:val="10"/>
        </w:numPr>
        <w:rPr>
          <w:szCs w:val="22"/>
        </w:rPr>
      </w:pPr>
      <w:r w:rsidRPr="003819C3">
        <w:rPr>
          <w:szCs w:val="22"/>
        </w:rPr>
        <w:t>In the four trials a slightly higher proportion of patients treated with U300 had a treatment emergent adverse event compared with patients treated with U100 (</w:t>
      </w:r>
      <w:r w:rsidR="006230EB" w:rsidRPr="003819C3">
        <w:rPr>
          <w:szCs w:val="22"/>
        </w:rPr>
        <w:t>the difference was</w:t>
      </w:r>
      <w:r w:rsidR="00B35177" w:rsidRPr="003819C3">
        <w:rPr>
          <w:szCs w:val="22"/>
        </w:rPr>
        <w:t xml:space="preserve"> statistically significant in</w:t>
      </w:r>
      <w:r w:rsidR="006230EB" w:rsidRPr="003819C3">
        <w:rPr>
          <w:szCs w:val="22"/>
        </w:rPr>
        <w:t xml:space="preserve"> EDITION II only; </w:t>
      </w:r>
      <w:r w:rsidRPr="003819C3">
        <w:rPr>
          <w:szCs w:val="22"/>
        </w:rPr>
        <w:t>see Table 4 below). Most of the events were non-specific (e.g. viral infections and gastrointestinal disorders) and were not considered to be related to treatment</w:t>
      </w:r>
      <w:r w:rsidR="00FA16A7" w:rsidRPr="003819C3">
        <w:rPr>
          <w:szCs w:val="22"/>
        </w:rPr>
        <w:t>.</w:t>
      </w:r>
    </w:p>
    <w:p w:rsidR="00C21718" w:rsidRPr="003819C3" w:rsidRDefault="00C21718" w:rsidP="007866BE">
      <w:pPr>
        <w:pStyle w:val="ListParagraph"/>
        <w:widowControl/>
        <w:rPr>
          <w:szCs w:val="22"/>
        </w:rPr>
      </w:pPr>
    </w:p>
    <w:p w:rsidR="00C21718" w:rsidRPr="003819C3" w:rsidRDefault="00C21718" w:rsidP="007866BE">
      <w:pPr>
        <w:pStyle w:val="ListParagraph"/>
        <w:widowControl/>
        <w:numPr>
          <w:ilvl w:val="1"/>
          <w:numId w:val="10"/>
        </w:numPr>
        <w:rPr>
          <w:szCs w:val="22"/>
        </w:rPr>
      </w:pPr>
      <w:r w:rsidRPr="003819C3">
        <w:rPr>
          <w:szCs w:val="22"/>
        </w:rPr>
        <w:t xml:space="preserve">In EDITION IV </w:t>
      </w:r>
      <w:r w:rsidR="00C20017" w:rsidRPr="003819C3">
        <w:rPr>
          <w:szCs w:val="22"/>
        </w:rPr>
        <w:t>(</w:t>
      </w:r>
      <w:r w:rsidRPr="003819C3">
        <w:rPr>
          <w:szCs w:val="22"/>
        </w:rPr>
        <w:t>T1DM</w:t>
      </w:r>
      <w:r w:rsidR="00C20017" w:rsidRPr="003819C3">
        <w:rPr>
          <w:szCs w:val="22"/>
        </w:rPr>
        <w:t>)</w:t>
      </w:r>
      <w:r w:rsidRPr="003819C3">
        <w:rPr>
          <w:szCs w:val="22"/>
        </w:rPr>
        <w:t xml:space="preserve"> the incidence of hypoglycaemia was similar </w:t>
      </w:r>
      <w:r w:rsidR="00E57264" w:rsidRPr="003819C3">
        <w:rPr>
          <w:szCs w:val="22"/>
        </w:rPr>
        <w:t>with U300 and U100</w:t>
      </w:r>
      <w:r w:rsidRPr="003819C3">
        <w:rPr>
          <w:szCs w:val="22"/>
        </w:rPr>
        <w:t xml:space="preserve">. </w:t>
      </w:r>
    </w:p>
    <w:p w:rsidR="00C21718" w:rsidRPr="003819C3" w:rsidRDefault="00C21718" w:rsidP="007866BE">
      <w:pPr>
        <w:pStyle w:val="ListParagraph"/>
        <w:widowControl/>
        <w:rPr>
          <w:szCs w:val="22"/>
        </w:rPr>
      </w:pPr>
    </w:p>
    <w:p w:rsidR="00C21718" w:rsidRPr="003819C3" w:rsidRDefault="00C21718" w:rsidP="007866BE">
      <w:pPr>
        <w:pStyle w:val="ListParagraph"/>
        <w:widowControl/>
        <w:numPr>
          <w:ilvl w:val="1"/>
          <w:numId w:val="10"/>
        </w:numPr>
        <w:rPr>
          <w:szCs w:val="22"/>
        </w:rPr>
      </w:pPr>
      <w:r w:rsidRPr="003819C3">
        <w:rPr>
          <w:szCs w:val="22"/>
        </w:rPr>
        <w:t xml:space="preserve">In </w:t>
      </w:r>
      <w:r w:rsidR="00C20017" w:rsidRPr="003819C3">
        <w:rPr>
          <w:szCs w:val="22"/>
        </w:rPr>
        <w:t>EDITION I, II and III</w:t>
      </w:r>
      <w:r w:rsidRPr="003819C3">
        <w:rPr>
          <w:szCs w:val="22"/>
        </w:rPr>
        <w:t xml:space="preserve"> </w:t>
      </w:r>
      <w:r w:rsidR="00C20017" w:rsidRPr="003819C3">
        <w:rPr>
          <w:szCs w:val="22"/>
        </w:rPr>
        <w:t>(</w:t>
      </w:r>
      <w:r w:rsidRPr="003819C3">
        <w:rPr>
          <w:szCs w:val="22"/>
        </w:rPr>
        <w:t>T2DM</w:t>
      </w:r>
      <w:r w:rsidR="00C20017" w:rsidRPr="003819C3">
        <w:rPr>
          <w:szCs w:val="22"/>
        </w:rPr>
        <w:t>)</w:t>
      </w:r>
      <w:r w:rsidRPr="003819C3">
        <w:rPr>
          <w:szCs w:val="22"/>
        </w:rPr>
        <w:t xml:space="preserve"> there was a </w:t>
      </w:r>
      <w:r w:rsidR="00746100" w:rsidRPr="003819C3">
        <w:rPr>
          <w:szCs w:val="22"/>
        </w:rPr>
        <w:t xml:space="preserve">non-statistically significant </w:t>
      </w:r>
      <w:r w:rsidRPr="003819C3">
        <w:rPr>
          <w:szCs w:val="22"/>
        </w:rPr>
        <w:t xml:space="preserve">trend for </w:t>
      </w:r>
      <w:r w:rsidR="007A7AEE" w:rsidRPr="003819C3">
        <w:rPr>
          <w:szCs w:val="22"/>
        </w:rPr>
        <w:t>a lower incidence of</w:t>
      </w:r>
      <w:r w:rsidRPr="003819C3">
        <w:rPr>
          <w:szCs w:val="22"/>
        </w:rPr>
        <w:t xml:space="preserve"> hypoglycaemia in patients treated with U300. The difference between the treatment groups was generally larger for nocturnal events. The reduction in nocturnal events may be associated with the evening dosing and slower release of insulin glargine from the U300 formulation compared with the U100 formulation. </w:t>
      </w:r>
      <w:r w:rsidR="00031560" w:rsidRPr="003819C3">
        <w:rPr>
          <w:szCs w:val="22"/>
        </w:rPr>
        <w:t xml:space="preserve">The ACPM noted that the claimed reduction in </w:t>
      </w:r>
      <w:r w:rsidR="009830FE" w:rsidRPr="003819C3">
        <w:rPr>
          <w:szCs w:val="22"/>
        </w:rPr>
        <w:t>severe and/or confirmed nocturnal hypoglycaemia was only in a subgroup of the target population (T2DM, evening dose).</w:t>
      </w:r>
    </w:p>
    <w:p w:rsidR="00C21718" w:rsidRPr="003819C3" w:rsidRDefault="00C21718" w:rsidP="007866BE">
      <w:pPr>
        <w:pStyle w:val="ListParagraph"/>
        <w:widowControl/>
        <w:rPr>
          <w:szCs w:val="22"/>
        </w:rPr>
      </w:pPr>
    </w:p>
    <w:p w:rsidR="00C21718" w:rsidRPr="003819C3" w:rsidRDefault="00C21718" w:rsidP="007866BE">
      <w:pPr>
        <w:pStyle w:val="ListParagraph"/>
        <w:widowControl/>
        <w:numPr>
          <w:ilvl w:val="1"/>
          <w:numId w:val="10"/>
        </w:numPr>
        <w:rPr>
          <w:szCs w:val="22"/>
        </w:rPr>
      </w:pPr>
      <w:r w:rsidRPr="003819C3">
        <w:rPr>
          <w:szCs w:val="22"/>
        </w:rPr>
        <w:t>In the four trials the incidence of severe hypoglycaemi</w:t>
      </w:r>
      <w:r w:rsidR="004D7C46" w:rsidRPr="003819C3">
        <w:rPr>
          <w:szCs w:val="22"/>
        </w:rPr>
        <w:t>a</w:t>
      </w:r>
      <w:r w:rsidRPr="003819C3">
        <w:rPr>
          <w:szCs w:val="22"/>
        </w:rPr>
        <w:t xml:space="preserve"> was low and similar for both treatment groups.</w:t>
      </w:r>
    </w:p>
    <w:p w:rsidR="00B60939" w:rsidRDefault="00B60939" w:rsidP="007866BE">
      <w:pPr>
        <w:pStyle w:val="ListParagraph"/>
        <w:widowControl/>
        <w:ind w:left="0"/>
        <w:rPr>
          <w:szCs w:val="22"/>
        </w:rPr>
      </w:pPr>
    </w:p>
    <w:p w:rsidR="003819C3" w:rsidRPr="003819C3" w:rsidRDefault="003819C3" w:rsidP="007866BE">
      <w:pPr>
        <w:widowControl/>
        <w:ind w:left="709"/>
        <w:rPr>
          <w:i/>
        </w:rPr>
      </w:pPr>
      <w:r w:rsidRPr="003819C3">
        <w:rPr>
          <w:i/>
        </w:rPr>
        <w:t>For more detail on PBAC’s view, see section 7 “PBAC outcome”</w:t>
      </w:r>
    </w:p>
    <w:p w:rsidR="003819C3" w:rsidRPr="003819C3" w:rsidRDefault="003819C3" w:rsidP="007866BE">
      <w:pPr>
        <w:pStyle w:val="ListParagraph"/>
        <w:widowControl/>
        <w:ind w:left="0"/>
        <w:rPr>
          <w:szCs w:val="22"/>
        </w:rPr>
      </w:pPr>
    </w:p>
    <w:p w:rsidR="007F1017" w:rsidRPr="00071887" w:rsidRDefault="007F1017" w:rsidP="007866BE">
      <w:pPr>
        <w:pStyle w:val="Heading2"/>
        <w:widowControl/>
        <w:rPr>
          <w:i/>
        </w:rPr>
      </w:pPr>
      <w:bookmarkStart w:id="11" w:name="_Toc419731763"/>
      <w:r w:rsidRPr="00071887">
        <w:rPr>
          <w:i/>
        </w:rPr>
        <w:t>Benefits/harms</w:t>
      </w:r>
      <w:bookmarkEnd w:id="11"/>
    </w:p>
    <w:p w:rsidR="001977AA" w:rsidRPr="003819C3" w:rsidRDefault="001977AA" w:rsidP="007866BE">
      <w:pPr>
        <w:widowControl/>
      </w:pPr>
    </w:p>
    <w:p w:rsidR="0005492D" w:rsidRPr="003819C3" w:rsidRDefault="00EC00C9" w:rsidP="007866BE">
      <w:pPr>
        <w:pStyle w:val="ListParagraph"/>
        <w:widowControl/>
        <w:numPr>
          <w:ilvl w:val="1"/>
          <w:numId w:val="10"/>
        </w:numPr>
        <w:rPr>
          <w:rFonts w:ascii="Arial Narrow" w:hAnsi="Arial Narrow"/>
          <w:b/>
          <w:sz w:val="20"/>
          <w:szCs w:val="16"/>
        </w:rPr>
      </w:pPr>
      <w:r w:rsidRPr="003819C3">
        <w:rPr>
          <w:szCs w:val="22"/>
        </w:rPr>
        <w:t xml:space="preserve">A summary of the comparative benefits and harms for </w:t>
      </w:r>
      <w:r w:rsidR="0006189B" w:rsidRPr="003819C3">
        <w:rPr>
          <w:szCs w:val="22"/>
        </w:rPr>
        <w:t>U300</w:t>
      </w:r>
      <w:r w:rsidRPr="003819C3">
        <w:rPr>
          <w:szCs w:val="22"/>
        </w:rPr>
        <w:t xml:space="preserve"> versus</w:t>
      </w:r>
      <w:r w:rsidR="0006189B" w:rsidRPr="003819C3">
        <w:rPr>
          <w:szCs w:val="22"/>
        </w:rPr>
        <w:t xml:space="preserve"> U100 </w:t>
      </w:r>
      <w:r w:rsidRPr="003819C3">
        <w:rPr>
          <w:szCs w:val="22"/>
        </w:rPr>
        <w:t>is presented in the</w:t>
      </w:r>
      <w:r w:rsidR="0060355F">
        <w:rPr>
          <w:szCs w:val="22"/>
        </w:rPr>
        <w:t xml:space="preserve"> following</w:t>
      </w:r>
      <w:r w:rsidRPr="003819C3">
        <w:rPr>
          <w:szCs w:val="22"/>
        </w:rPr>
        <w:t xml:space="preserve"> table.</w:t>
      </w:r>
    </w:p>
    <w:p w:rsidR="0005492D" w:rsidRPr="003819C3" w:rsidRDefault="0005492D" w:rsidP="007866BE">
      <w:pPr>
        <w:widowControl/>
        <w:ind w:firstLine="720"/>
        <w:rPr>
          <w:rStyle w:val="CommentReference"/>
        </w:rPr>
      </w:pPr>
    </w:p>
    <w:p w:rsidR="00B62715" w:rsidRPr="003819C3" w:rsidRDefault="007471CC" w:rsidP="007866BE">
      <w:pPr>
        <w:keepNext/>
        <w:widowControl/>
        <w:ind w:firstLine="720"/>
        <w:rPr>
          <w:rStyle w:val="CommentReference"/>
        </w:rPr>
      </w:pPr>
      <w:r w:rsidRPr="003819C3">
        <w:rPr>
          <w:rStyle w:val="CommentReference"/>
        </w:rPr>
        <w:t>Table 4</w:t>
      </w:r>
      <w:r w:rsidR="00B62715" w:rsidRPr="003819C3">
        <w:rPr>
          <w:rStyle w:val="CommentReference"/>
        </w:rPr>
        <w:t xml:space="preserve">: Summary of comparative benefits and harms for </w:t>
      </w:r>
      <w:r w:rsidR="00744594" w:rsidRPr="003819C3">
        <w:rPr>
          <w:rStyle w:val="CommentReference"/>
        </w:rPr>
        <w:t>U300</w:t>
      </w:r>
      <w:r w:rsidR="00B62715" w:rsidRPr="003819C3">
        <w:rPr>
          <w:rStyle w:val="CommentReference"/>
        </w:rPr>
        <w:t xml:space="preserve"> and </w:t>
      </w:r>
      <w:r w:rsidR="00744594" w:rsidRPr="003819C3">
        <w:rPr>
          <w:rStyle w:val="CommentReference"/>
        </w:rPr>
        <w:t>U100</w:t>
      </w:r>
    </w:p>
    <w:tbl>
      <w:tblPr>
        <w:tblStyle w:val="TableGrid"/>
        <w:tblW w:w="4599" w:type="pct"/>
        <w:jc w:val="right"/>
        <w:tblLayout w:type="fixed"/>
        <w:tblCellMar>
          <w:left w:w="28" w:type="dxa"/>
          <w:right w:w="28" w:type="dxa"/>
        </w:tblCellMar>
        <w:tblLook w:val="04A0" w:firstRow="1" w:lastRow="0" w:firstColumn="1" w:lastColumn="0" w:noHBand="0" w:noVBand="1"/>
        <w:tblCaption w:val="comparative benefits "/>
      </w:tblPr>
      <w:tblGrid>
        <w:gridCol w:w="851"/>
        <w:gridCol w:w="708"/>
        <w:gridCol w:w="8"/>
        <w:gridCol w:w="12"/>
        <w:gridCol w:w="687"/>
        <w:gridCol w:w="17"/>
        <w:gridCol w:w="443"/>
        <w:gridCol w:w="959"/>
        <w:gridCol w:w="13"/>
        <w:gridCol w:w="45"/>
        <w:gridCol w:w="850"/>
        <w:gridCol w:w="446"/>
        <w:gridCol w:w="67"/>
        <w:gridCol w:w="488"/>
        <w:gridCol w:w="792"/>
        <w:gridCol w:w="195"/>
        <w:gridCol w:w="1773"/>
      </w:tblGrid>
      <w:tr w:rsidR="00B62715" w:rsidRPr="003819C3" w:rsidTr="00E9520C">
        <w:trPr>
          <w:tblHeader/>
          <w:jc w:val="right"/>
        </w:trPr>
        <w:tc>
          <w:tcPr>
            <w:tcW w:w="5000" w:type="pct"/>
            <w:gridSpan w:val="17"/>
            <w:shd w:val="clear" w:color="auto" w:fill="auto"/>
            <w:vAlign w:val="center"/>
          </w:tcPr>
          <w:p w:rsidR="00B62715" w:rsidRPr="003819C3" w:rsidRDefault="00B62715" w:rsidP="007866BE">
            <w:pPr>
              <w:keepNext/>
              <w:keepLines/>
              <w:widowControl/>
              <w:rPr>
                <w:rFonts w:ascii="Arial Narrow" w:hAnsi="Arial Narrow"/>
                <w:b/>
                <w:color w:val="000000"/>
                <w:sz w:val="20"/>
                <w:szCs w:val="18"/>
              </w:rPr>
            </w:pPr>
            <w:r w:rsidRPr="003819C3">
              <w:rPr>
                <w:rFonts w:ascii="Arial Narrow" w:hAnsi="Arial Narrow"/>
                <w:b/>
                <w:color w:val="000000"/>
                <w:sz w:val="20"/>
                <w:szCs w:val="18"/>
              </w:rPr>
              <w:t>Benefits</w:t>
            </w:r>
          </w:p>
        </w:tc>
      </w:tr>
      <w:tr w:rsidR="00613CC3" w:rsidRPr="003819C3" w:rsidTr="0060355F">
        <w:trPr>
          <w:jc w:val="right"/>
        </w:trPr>
        <w:tc>
          <w:tcPr>
            <w:tcW w:w="5000" w:type="pct"/>
            <w:gridSpan w:val="17"/>
            <w:tcBorders>
              <w:top w:val="double" w:sz="4" w:space="0" w:color="auto"/>
            </w:tcBorders>
            <w:shd w:val="clear" w:color="auto" w:fill="auto"/>
            <w:vAlign w:val="center"/>
          </w:tcPr>
          <w:p w:rsidR="00613CC3" w:rsidRPr="003819C3" w:rsidRDefault="00613CC3" w:rsidP="007866BE">
            <w:pPr>
              <w:keepNext/>
              <w:keepLines/>
              <w:widowControl/>
              <w:rPr>
                <w:rFonts w:ascii="Arial Narrow" w:hAnsi="Arial Narrow"/>
                <w:b/>
                <w:color w:val="000000"/>
                <w:sz w:val="20"/>
                <w:szCs w:val="18"/>
              </w:rPr>
            </w:pPr>
            <w:r w:rsidRPr="003819C3">
              <w:rPr>
                <w:rFonts w:ascii="Arial Narrow" w:hAnsi="Arial Narrow"/>
                <w:b/>
                <w:color w:val="000000"/>
                <w:sz w:val="20"/>
                <w:szCs w:val="18"/>
              </w:rPr>
              <w:t>Change from baseline to month 6 in HbA1c (%)</w:t>
            </w:r>
          </w:p>
        </w:tc>
      </w:tr>
      <w:tr w:rsidR="00BA7DE4" w:rsidRPr="003819C3" w:rsidTr="0060355F">
        <w:trPr>
          <w:trHeight w:val="225"/>
          <w:jc w:val="right"/>
        </w:trPr>
        <w:tc>
          <w:tcPr>
            <w:tcW w:w="509" w:type="pct"/>
            <w:vMerge w:val="restart"/>
            <w:shd w:val="clear" w:color="auto" w:fill="auto"/>
            <w:vAlign w:val="center"/>
          </w:tcPr>
          <w:p w:rsidR="00613CC3" w:rsidRPr="003819C3" w:rsidRDefault="00255A35" w:rsidP="007866BE">
            <w:pPr>
              <w:keepNext/>
              <w:keepLines/>
              <w:widowControl/>
              <w:rPr>
                <w:rFonts w:ascii="Arial Narrow" w:hAnsi="Arial Narrow"/>
                <w:b/>
                <w:color w:val="000000"/>
                <w:sz w:val="20"/>
                <w:szCs w:val="18"/>
              </w:rPr>
            </w:pPr>
            <w:r w:rsidRPr="003819C3">
              <w:rPr>
                <w:rFonts w:ascii="Arial Narrow" w:hAnsi="Arial Narrow"/>
                <w:b/>
                <w:color w:val="000000"/>
                <w:sz w:val="20"/>
                <w:szCs w:val="18"/>
              </w:rPr>
              <w:t>Trial</w:t>
            </w:r>
          </w:p>
        </w:tc>
        <w:tc>
          <w:tcPr>
            <w:tcW w:w="1730" w:type="pct"/>
            <w:gridSpan w:val="9"/>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b/>
                <w:color w:val="000000"/>
                <w:sz w:val="20"/>
                <w:szCs w:val="18"/>
              </w:rPr>
              <w:t>U300</w:t>
            </w:r>
          </w:p>
        </w:tc>
        <w:tc>
          <w:tcPr>
            <w:tcW w:w="1699" w:type="pct"/>
            <w:gridSpan w:val="6"/>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b/>
                <w:color w:val="000000"/>
                <w:sz w:val="20"/>
                <w:szCs w:val="18"/>
              </w:rPr>
              <w:t>U100</w:t>
            </w:r>
          </w:p>
        </w:tc>
        <w:tc>
          <w:tcPr>
            <w:tcW w:w="1062" w:type="pct"/>
            <w:vMerge w:val="restart"/>
            <w:vAlign w:val="center"/>
          </w:tcPr>
          <w:p w:rsidR="00613CC3" w:rsidRPr="003819C3" w:rsidRDefault="00C21718" w:rsidP="007866BE">
            <w:pPr>
              <w:keepNext/>
              <w:keepLines/>
              <w:widowControl/>
              <w:jc w:val="center"/>
              <w:rPr>
                <w:rFonts w:ascii="Arial Narrow" w:hAnsi="Arial Narrow"/>
                <w:b/>
                <w:sz w:val="20"/>
                <w:szCs w:val="18"/>
              </w:rPr>
            </w:pPr>
            <w:r w:rsidRPr="003819C3">
              <w:rPr>
                <w:rFonts w:ascii="Arial Narrow" w:hAnsi="Arial Narrow"/>
                <w:b/>
                <w:sz w:val="20"/>
                <w:szCs w:val="18"/>
              </w:rPr>
              <w:t>Mean difference</w:t>
            </w:r>
            <w:r w:rsidR="00613CC3" w:rsidRPr="003819C3">
              <w:rPr>
                <w:rFonts w:ascii="Arial Narrow" w:hAnsi="Arial Narrow"/>
                <w:b/>
                <w:sz w:val="20"/>
                <w:szCs w:val="18"/>
              </w:rPr>
              <w:t xml:space="preserve">: </w:t>
            </w:r>
          </w:p>
          <w:p w:rsidR="00613CC3" w:rsidRPr="003819C3" w:rsidRDefault="00613CC3" w:rsidP="007866BE">
            <w:pPr>
              <w:keepNext/>
              <w:keepLines/>
              <w:widowControl/>
              <w:jc w:val="center"/>
              <w:rPr>
                <w:rFonts w:ascii="Arial Narrow" w:hAnsi="Arial Narrow"/>
                <w:b/>
                <w:sz w:val="20"/>
                <w:szCs w:val="18"/>
              </w:rPr>
            </w:pPr>
            <w:r w:rsidRPr="003819C3">
              <w:rPr>
                <w:rFonts w:ascii="Arial Narrow" w:hAnsi="Arial Narrow"/>
                <w:b/>
                <w:sz w:val="20"/>
                <w:szCs w:val="18"/>
              </w:rPr>
              <w:t>U300 vs. U100</w:t>
            </w:r>
          </w:p>
          <w:p w:rsidR="00613CC3" w:rsidRPr="003819C3" w:rsidRDefault="00613CC3" w:rsidP="007866BE">
            <w:pPr>
              <w:keepNext/>
              <w:keepLines/>
              <w:widowControl/>
              <w:jc w:val="center"/>
              <w:rPr>
                <w:rFonts w:ascii="Arial Narrow" w:hAnsi="Arial Narrow"/>
                <w:b/>
                <w:sz w:val="20"/>
                <w:szCs w:val="18"/>
              </w:rPr>
            </w:pPr>
            <w:r w:rsidRPr="003819C3">
              <w:rPr>
                <w:rFonts w:ascii="Arial Narrow" w:hAnsi="Arial Narrow"/>
                <w:b/>
                <w:sz w:val="20"/>
                <w:szCs w:val="18"/>
              </w:rPr>
              <w:t>(95% CI)</w:t>
            </w:r>
          </w:p>
        </w:tc>
      </w:tr>
      <w:tr w:rsidR="00325E80" w:rsidRPr="003819C3" w:rsidTr="0060355F">
        <w:trPr>
          <w:trHeight w:val="225"/>
          <w:jc w:val="right"/>
        </w:trPr>
        <w:tc>
          <w:tcPr>
            <w:tcW w:w="509" w:type="pct"/>
            <w:vMerge/>
            <w:shd w:val="clear" w:color="auto" w:fill="auto"/>
            <w:vAlign w:val="center"/>
          </w:tcPr>
          <w:p w:rsidR="00613CC3" w:rsidRPr="003819C3" w:rsidRDefault="00613CC3" w:rsidP="007866BE">
            <w:pPr>
              <w:keepNext/>
              <w:keepLines/>
              <w:widowControl/>
              <w:rPr>
                <w:rFonts w:ascii="Arial Narrow" w:hAnsi="Arial Narrow"/>
                <w:color w:val="000000"/>
                <w:sz w:val="20"/>
                <w:szCs w:val="18"/>
              </w:rPr>
            </w:pPr>
          </w:p>
        </w:tc>
        <w:tc>
          <w:tcPr>
            <w:tcW w:w="436" w:type="pct"/>
            <w:gridSpan w:val="3"/>
            <w:vAlign w:val="center"/>
          </w:tcPr>
          <w:p w:rsidR="00613CC3" w:rsidRPr="003819C3" w:rsidRDefault="00613CC3"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n</w:t>
            </w:r>
          </w:p>
        </w:tc>
        <w:tc>
          <w:tcPr>
            <w:tcW w:w="686" w:type="pct"/>
            <w:gridSpan w:val="3"/>
            <w:vAlign w:val="center"/>
          </w:tcPr>
          <w:p w:rsidR="00613CC3" w:rsidRPr="003819C3" w:rsidRDefault="00613CC3" w:rsidP="007866BE">
            <w:pPr>
              <w:keepNext/>
              <w:keepLines/>
              <w:widowControl/>
              <w:jc w:val="center"/>
              <w:rPr>
                <w:rFonts w:ascii="Arial Narrow" w:hAnsi="Arial Narrow"/>
                <w:b/>
                <w:sz w:val="20"/>
                <w:szCs w:val="18"/>
              </w:rPr>
            </w:pPr>
            <w:r w:rsidRPr="003819C3">
              <w:rPr>
                <w:rFonts w:ascii="Arial Narrow" w:hAnsi="Arial Narrow"/>
                <w:b/>
                <w:sz w:val="20"/>
                <w:szCs w:val="18"/>
              </w:rPr>
              <w:t>Mean ∆ baseline</w:t>
            </w:r>
          </w:p>
        </w:tc>
        <w:tc>
          <w:tcPr>
            <w:tcW w:w="609" w:type="pct"/>
            <w:gridSpan w:val="3"/>
            <w:vAlign w:val="center"/>
          </w:tcPr>
          <w:p w:rsidR="00613CC3" w:rsidRPr="003819C3" w:rsidRDefault="00613CC3" w:rsidP="007866BE">
            <w:pPr>
              <w:keepNext/>
              <w:keepLines/>
              <w:widowControl/>
              <w:jc w:val="center"/>
              <w:rPr>
                <w:rFonts w:ascii="Arial Narrow" w:hAnsi="Arial Narrow"/>
                <w:b/>
                <w:sz w:val="20"/>
                <w:szCs w:val="18"/>
              </w:rPr>
            </w:pPr>
            <w:r w:rsidRPr="003819C3">
              <w:rPr>
                <w:rFonts w:ascii="Arial Narrow" w:hAnsi="Arial Narrow"/>
                <w:b/>
                <w:sz w:val="20"/>
                <w:szCs w:val="18"/>
              </w:rPr>
              <w:t>SE</w:t>
            </w:r>
          </w:p>
        </w:tc>
        <w:tc>
          <w:tcPr>
            <w:tcW w:w="509" w:type="pct"/>
            <w:vAlign w:val="center"/>
          </w:tcPr>
          <w:p w:rsidR="00613CC3" w:rsidRPr="003819C3" w:rsidRDefault="00613CC3"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n</w:t>
            </w:r>
          </w:p>
        </w:tc>
        <w:tc>
          <w:tcPr>
            <w:tcW w:w="599" w:type="pct"/>
            <w:gridSpan w:val="3"/>
            <w:vAlign w:val="center"/>
          </w:tcPr>
          <w:p w:rsidR="00613CC3" w:rsidRPr="003819C3" w:rsidRDefault="00613CC3" w:rsidP="007866BE">
            <w:pPr>
              <w:keepNext/>
              <w:keepLines/>
              <w:widowControl/>
              <w:jc w:val="center"/>
              <w:rPr>
                <w:rFonts w:ascii="Arial Narrow" w:hAnsi="Arial Narrow"/>
                <w:b/>
                <w:sz w:val="20"/>
                <w:szCs w:val="18"/>
              </w:rPr>
            </w:pPr>
            <w:r w:rsidRPr="003819C3">
              <w:rPr>
                <w:rFonts w:ascii="Arial Narrow" w:hAnsi="Arial Narrow"/>
                <w:b/>
                <w:sz w:val="20"/>
                <w:szCs w:val="18"/>
              </w:rPr>
              <w:t xml:space="preserve">Mean ∆ baseline </w:t>
            </w:r>
          </w:p>
        </w:tc>
        <w:tc>
          <w:tcPr>
            <w:tcW w:w="591" w:type="pct"/>
            <w:gridSpan w:val="2"/>
            <w:vAlign w:val="center"/>
          </w:tcPr>
          <w:p w:rsidR="00613CC3" w:rsidRPr="003819C3" w:rsidRDefault="00613CC3" w:rsidP="007866BE">
            <w:pPr>
              <w:keepNext/>
              <w:keepLines/>
              <w:widowControl/>
              <w:jc w:val="center"/>
              <w:rPr>
                <w:rFonts w:ascii="Arial Narrow" w:hAnsi="Arial Narrow"/>
                <w:b/>
                <w:sz w:val="20"/>
                <w:szCs w:val="18"/>
              </w:rPr>
            </w:pPr>
            <w:r w:rsidRPr="003819C3">
              <w:rPr>
                <w:rFonts w:ascii="Arial Narrow" w:hAnsi="Arial Narrow"/>
                <w:b/>
                <w:sz w:val="20"/>
                <w:szCs w:val="18"/>
              </w:rPr>
              <w:t>SE</w:t>
            </w:r>
          </w:p>
        </w:tc>
        <w:tc>
          <w:tcPr>
            <w:tcW w:w="1062" w:type="pct"/>
            <w:vMerge/>
            <w:vAlign w:val="center"/>
          </w:tcPr>
          <w:p w:rsidR="00613CC3" w:rsidRPr="003819C3" w:rsidRDefault="00613CC3" w:rsidP="007866BE">
            <w:pPr>
              <w:keepNext/>
              <w:keepLines/>
              <w:widowControl/>
              <w:jc w:val="center"/>
              <w:rPr>
                <w:rFonts w:ascii="Arial Narrow" w:hAnsi="Arial Narrow"/>
                <w:b/>
                <w:sz w:val="20"/>
                <w:szCs w:val="18"/>
              </w:rPr>
            </w:pPr>
          </w:p>
        </w:tc>
      </w:tr>
      <w:tr w:rsidR="00325E80" w:rsidRPr="003819C3" w:rsidTr="0060355F">
        <w:trPr>
          <w:jc w:val="right"/>
        </w:trPr>
        <w:tc>
          <w:tcPr>
            <w:tcW w:w="509" w:type="pct"/>
            <w:tcBorders>
              <w:bottom w:val="single" w:sz="4" w:space="0" w:color="auto"/>
            </w:tcBorders>
            <w:shd w:val="clear" w:color="auto" w:fill="auto"/>
            <w:vAlign w:val="center"/>
          </w:tcPr>
          <w:p w:rsidR="00613CC3" w:rsidRPr="003819C3" w:rsidRDefault="00613CC3"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w:t>
            </w:r>
          </w:p>
        </w:tc>
        <w:tc>
          <w:tcPr>
            <w:tcW w:w="436" w:type="pct"/>
            <w:gridSpan w:val="3"/>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404</w:t>
            </w:r>
          </w:p>
        </w:tc>
        <w:tc>
          <w:tcPr>
            <w:tcW w:w="686" w:type="pct"/>
            <w:gridSpan w:val="3"/>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-0.83</w:t>
            </w:r>
          </w:p>
        </w:tc>
        <w:tc>
          <w:tcPr>
            <w:tcW w:w="609" w:type="pct"/>
            <w:gridSpan w:val="3"/>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0.060</w:t>
            </w:r>
          </w:p>
        </w:tc>
        <w:tc>
          <w:tcPr>
            <w:tcW w:w="509" w:type="pct"/>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400</w:t>
            </w:r>
          </w:p>
        </w:tc>
        <w:tc>
          <w:tcPr>
            <w:tcW w:w="599" w:type="pct"/>
            <w:gridSpan w:val="3"/>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-0.83</w:t>
            </w:r>
          </w:p>
        </w:tc>
        <w:tc>
          <w:tcPr>
            <w:tcW w:w="591" w:type="pct"/>
            <w:gridSpan w:val="2"/>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0.061</w:t>
            </w:r>
          </w:p>
        </w:tc>
        <w:tc>
          <w:tcPr>
            <w:tcW w:w="1062" w:type="pct"/>
            <w:tcBorders>
              <w:bottom w:val="single" w:sz="4" w:space="0" w:color="auto"/>
            </w:tcBorders>
            <w:vAlign w:val="center"/>
          </w:tcPr>
          <w:p w:rsidR="00613CC3" w:rsidRPr="003819C3" w:rsidRDefault="00613CC3" w:rsidP="007866BE">
            <w:pPr>
              <w:keepNext/>
              <w:keepLines/>
              <w:widowControl/>
              <w:jc w:val="center"/>
              <w:rPr>
                <w:rFonts w:ascii="Arial Narrow" w:hAnsi="Arial Narrow"/>
                <w:sz w:val="20"/>
                <w:szCs w:val="18"/>
              </w:rPr>
            </w:pPr>
            <w:r w:rsidRPr="003819C3">
              <w:rPr>
                <w:rFonts w:ascii="Arial Narrow" w:hAnsi="Arial Narrow"/>
                <w:sz w:val="20"/>
                <w:szCs w:val="18"/>
              </w:rPr>
              <w:t>-0.00 (-0.112, 0.107)</w:t>
            </w:r>
          </w:p>
        </w:tc>
      </w:tr>
      <w:tr w:rsidR="00325E80" w:rsidRPr="003819C3" w:rsidTr="0060355F">
        <w:trPr>
          <w:jc w:val="right"/>
        </w:trPr>
        <w:tc>
          <w:tcPr>
            <w:tcW w:w="509" w:type="pct"/>
            <w:tcBorders>
              <w:bottom w:val="single" w:sz="4" w:space="0" w:color="auto"/>
            </w:tcBorders>
            <w:shd w:val="clear" w:color="auto" w:fill="auto"/>
            <w:vAlign w:val="center"/>
          </w:tcPr>
          <w:p w:rsidR="00613CC3" w:rsidRPr="003819C3" w:rsidRDefault="00613CC3"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w:t>
            </w:r>
          </w:p>
        </w:tc>
        <w:tc>
          <w:tcPr>
            <w:tcW w:w="436" w:type="pct"/>
            <w:gridSpan w:val="3"/>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403</w:t>
            </w:r>
          </w:p>
        </w:tc>
        <w:tc>
          <w:tcPr>
            <w:tcW w:w="686" w:type="pct"/>
            <w:gridSpan w:val="3"/>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-0.57</w:t>
            </w:r>
          </w:p>
        </w:tc>
        <w:tc>
          <w:tcPr>
            <w:tcW w:w="609" w:type="pct"/>
            <w:gridSpan w:val="3"/>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w:t>
            </w:r>
            <w:r w:rsidR="00D81983" w:rsidRPr="003819C3">
              <w:rPr>
                <w:rFonts w:ascii="Arial Narrow" w:hAnsi="Arial Narrow"/>
                <w:color w:val="000000"/>
                <w:sz w:val="20"/>
                <w:szCs w:val="18"/>
              </w:rPr>
              <w:t>94</w:t>
            </w:r>
          </w:p>
        </w:tc>
        <w:tc>
          <w:tcPr>
            <w:tcW w:w="509" w:type="pct"/>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405</w:t>
            </w:r>
          </w:p>
        </w:tc>
        <w:tc>
          <w:tcPr>
            <w:tcW w:w="599" w:type="pct"/>
            <w:gridSpan w:val="3"/>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-0.56</w:t>
            </w:r>
          </w:p>
        </w:tc>
        <w:tc>
          <w:tcPr>
            <w:tcW w:w="591" w:type="pct"/>
            <w:gridSpan w:val="2"/>
            <w:tcBorders>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0.093</w:t>
            </w:r>
          </w:p>
        </w:tc>
        <w:tc>
          <w:tcPr>
            <w:tcW w:w="1062" w:type="pct"/>
            <w:tcBorders>
              <w:bottom w:val="single" w:sz="4" w:space="0" w:color="auto"/>
            </w:tcBorders>
            <w:vAlign w:val="center"/>
          </w:tcPr>
          <w:p w:rsidR="00613CC3" w:rsidRPr="003819C3" w:rsidRDefault="00613CC3" w:rsidP="007866BE">
            <w:pPr>
              <w:keepNext/>
              <w:keepLines/>
              <w:widowControl/>
              <w:jc w:val="center"/>
              <w:rPr>
                <w:rFonts w:ascii="Arial Narrow" w:hAnsi="Arial Narrow"/>
                <w:sz w:val="20"/>
                <w:szCs w:val="18"/>
              </w:rPr>
            </w:pPr>
            <w:r w:rsidRPr="003819C3">
              <w:rPr>
                <w:rFonts w:ascii="Arial Narrow" w:hAnsi="Arial Narrow"/>
                <w:sz w:val="20"/>
                <w:szCs w:val="18"/>
              </w:rPr>
              <w:t>-0.01 (-0.139, 0.119)</w:t>
            </w:r>
          </w:p>
        </w:tc>
      </w:tr>
      <w:tr w:rsidR="00325E80" w:rsidRPr="003819C3" w:rsidTr="0060355F">
        <w:trPr>
          <w:jc w:val="right"/>
        </w:trPr>
        <w:tc>
          <w:tcPr>
            <w:tcW w:w="509" w:type="pct"/>
            <w:tcBorders>
              <w:top w:val="single" w:sz="4" w:space="0" w:color="auto"/>
              <w:bottom w:val="single" w:sz="4" w:space="0" w:color="auto"/>
            </w:tcBorders>
            <w:shd w:val="clear" w:color="auto" w:fill="auto"/>
            <w:vAlign w:val="center"/>
          </w:tcPr>
          <w:p w:rsidR="00613CC3" w:rsidRPr="003819C3" w:rsidRDefault="00613CC3"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III</w:t>
            </w:r>
          </w:p>
        </w:tc>
        <w:tc>
          <w:tcPr>
            <w:tcW w:w="436" w:type="pct"/>
            <w:gridSpan w:val="3"/>
            <w:tcBorders>
              <w:top w:val="single" w:sz="4" w:space="0" w:color="auto"/>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402</w:t>
            </w:r>
          </w:p>
        </w:tc>
        <w:tc>
          <w:tcPr>
            <w:tcW w:w="686" w:type="pct"/>
            <w:gridSpan w:val="3"/>
            <w:tcBorders>
              <w:top w:val="single" w:sz="4" w:space="0" w:color="auto"/>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-1.42</w:t>
            </w:r>
          </w:p>
        </w:tc>
        <w:tc>
          <w:tcPr>
            <w:tcW w:w="609" w:type="pct"/>
            <w:gridSpan w:val="3"/>
            <w:tcBorders>
              <w:top w:val="single" w:sz="4" w:space="0" w:color="auto"/>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0.047</w:t>
            </w:r>
          </w:p>
        </w:tc>
        <w:tc>
          <w:tcPr>
            <w:tcW w:w="509" w:type="pct"/>
            <w:tcBorders>
              <w:top w:val="single" w:sz="4" w:space="0" w:color="auto"/>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394</w:t>
            </w:r>
          </w:p>
        </w:tc>
        <w:tc>
          <w:tcPr>
            <w:tcW w:w="599" w:type="pct"/>
            <w:gridSpan w:val="3"/>
            <w:tcBorders>
              <w:top w:val="single" w:sz="4" w:space="0" w:color="auto"/>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-1.46</w:t>
            </w:r>
          </w:p>
        </w:tc>
        <w:tc>
          <w:tcPr>
            <w:tcW w:w="591" w:type="pct"/>
            <w:gridSpan w:val="2"/>
            <w:tcBorders>
              <w:top w:val="single" w:sz="4" w:space="0" w:color="auto"/>
              <w:bottom w:val="sing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0.048</w:t>
            </w:r>
          </w:p>
        </w:tc>
        <w:tc>
          <w:tcPr>
            <w:tcW w:w="1062" w:type="pct"/>
            <w:tcBorders>
              <w:top w:val="single" w:sz="4" w:space="0" w:color="auto"/>
              <w:bottom w:val="single" w:sz="4" w:space="0" w:color="auto"/>
            </w:tcBorders>
            <w:vAlign w:val="center"/>
          </w:tcPr>
          <w:p w:rsidR="00613CC3" w:rsidRPr="003819C3" w:rsidRDefault="00613CC3" w:rsidP="007866BE">
            <w:pPr>
              <w:keepNext/>
              <w:keepLines/>
              <w:widowControl/>
              <w:jc w:val="center"/>
              <w:rPr>
                <w:rFonts w:ascii="Arial Narrow" w:hAnsi="Arial Narrow"/>
                <w:sz w:val="20"/>
                <w:szCs w:val="18"/>
              </w:rPr>
            </w:pPr>
            <w:r w:rsidRPr="003819C3">
              <w:rPr>
                <w:rFonts w:ascii="Arial Narrow" w:hAnsi="Arial Narrow"/>
                <w:sz w:val="20"/>
                <w:szCs w:val="18"/>
              </w:rPr>
              <w:t>0.04 (-0.090, 0.174)</w:t>
            </w:r>
          </w:p>
        </w:tc>
      </w:tr>
      <w:tr w:rsidR="00325E80" w:rsidRPr="003819C3" w:rsidTr="0060355F">
        <w:trPr>
          <w:jc w:val="right"/>
        </w:trPr>
        <w:tc>
          <w:tcPr>
            <w:tcW w:w="509" w:type="pct"/>
            <w:tcBorders>
              <w:top w:val="single" w:sz="4" w:space="0" w:color="auto"/>
              <w:bottom w:val="double" w:sz="4" w:space="0" w:color="auto"/>
            </w:tcBorders>
            <w:shd w:val="clear" w:color="auto" w:fill="auto"/>
            <w:vAlign w:val="center"/>
          </w:tcPr>
          <w:p w:rsidR="00613CC3" w:rsidRPr="003819C3" w:rsidRDefault="00613CC3"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IV</w:t>
            </w:r>
          </w:p>
        </w:tc>
        <w:tc>
          <w:tcPr>
            <w:tcW w:w="436" w:type="pct"/>
            <w:gridSpan w:val="3"/>
            <w:tcBorders>
              <w:top w:val="single" w:sz="4" w:space="0" w:color="auto"/>
              <w:bottom w:val="doub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273</w:t>
            </w:r>
          </w:p>
        </w:tc>
        <w:tc>
          <w:tcPr>
            <w:tcW w:w="686" w:type="pct"/>
            <w:gridSpan w:val="3"/>
            <w:tcBorders>
              <w:top w:val="single" w:sz="4" w:space="0" w:color="auto"/>
              <w:bottom w:val="doub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-0.40</w:t>
            </w:r>
          </w:p>
        </w:tc>
        <w:tc>
          <w:tcPr>
            <w:tcW w:w="609" w:type="pct"/>
            <w:gridSpan w:val="3"/>
            <w:tcBorders>
              <w:top w:val="single" w:sz="4" w:space="0" w:color="auto"/>
              <w:bottom w:val="doub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0.051</w:t>
            </w:r>
          </w:p>
        </w:tc>
        <w:tc>
          <w:tcPr>
            <w:tcW w:w="509" w:type="pct"/>
            <w:tcBorders>
              <w:top w:val="single" w:sz="4" w:space="0" w:color="auto"/>
              <w:bottom w:val="doub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273</w:t>
            </w:r>
          </w:p>
        </w:tc>
        <w:tc>
          <w:tcPr>
            <w:tcW w:w="599" w:type="pct"/>
            <w:gridSpan w:val="3"/>
            <w:tcBorders>
              <w:top w:val="single" w:sz="4" w:space="0" w:color="auto"/>
              <w:bottom w:val="doub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-0.44</w:t>
            </w:r>
          </w:p>
        </w:tc>
        <w:tc>
          <w:tcPr>
            <w:tcW w:w="591" w:type="pct"/>
            <w:gridSpan w:val="2"/>
            <w:tcBorders>
              <w:top w:val="single" w:sz="4" w:space="0" w:color="auto"/>
              <w:bottom w:val="double" w:sz="4" w:space="0" w:color="auto"/>
            </w:tcBorders>
            <w:vAlign w:val="center"/>
          </w:tcPr>
          <w:p w:rsidR="00613CC3" w:rsidRPr="003819C3" w:rsidRDefault="00613CC3"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0.051</w:t>
            </w:r>
          </w:p>
        </w:tc>
        <w:tc>
          <w:tcPr>
            <w:tcW w:w="1062" w:type="pct"/>
            <w:tcBorders>
              <w:top w:val="single" w:sz="4" w:space="0" w:color="auto"/>
              <w:bottom w:val="double" w:sz="4" w:space="0" w:color="auto"/>
            </w:tcBorders>
            <w:vAlign w:val="center"/>
          </w:tcPr>
          <w:p w:rsidR="00613CC3" w:rsidRPr="003819C3" w:rsidRDefault="00613CC3" w:rsidP="007866BE">
            <w:pPr>
              <w:keepNext/>
              <w:keepLines/>
              <w:widowControl/>
              <w:jc w:val="center"/>
              <w:rPr>
                <w:rFonts w:ascii="Arial Narrow" w:hAnsi="Arial Narrow"/>
                <w:sz w:val="20"/>
                <w:szCs w:val="18"/>
              </w:rPr>
            </w:pPr>
            <w:r w:rsidRPr="003819C3">
              <w:rPr>
                <w:rFonts w:ascii="Arial Narrow" w:hAnsi="Arial Narrow"/>
                <w:sz w:val="20"/>
                <w:szCs w:val="18"/>
              </w:rPr>
              <w:t>0.04 (-0.098, 0.185)</w:t>
            </w:r>
          </w:p>
        </w:tc>
      </w:tr>
      <w:tr w:rsidR="00B62715" w:rsidRPr="003819C3" w:rsidTr="0060355F">
        <w:trPr>
          <w:jc w:val="right"/>
        </w:trPr>
        <w:tc>
          <w:tcPr>
            <w:tcW w:w="5000" w:type="pct"/>
            <w:gridSpan w:val="17"/>
            <w:shd w:val="clear" w:color="auto" w:fill="auto"/>
            <w:vAlign w:val="center"/>
          </w:tcPr>
          <w:p w:rsidR="00B62715" w:rsidRPr="003819C3" w:rsidRDefault="00613CC3" w:rsidP="007866BE">
            <w:pPr>
              <w:keepNext/>
              <w:keepLines/>
              <w:widowControl/>
              <w:rPr>
                <w:rFonts w:ascii="Arial Narrow" w:hAnsi="Arial Narrow"/>
                <w:b/>
                <w:color w:val="000000"/>
                <w:sz w:val="20"/>
                <w:szCs w:val="18"/>
              </w:rPr>
            </w:pPr>
            <w:r w:rsidRPr="003819C3">
              <w:rPr>
                <w:rFonts w:ascii="Arial Narrow" w:hAnsi="Arial Narrow"/>
                <w:b/>
                <w:color w:val="000000"/>
                <w:sz w:val="20"/>
                <w:szCs w:val="18"/>
              </w:rPr>
              <w:t>Proportion of patients with at least 1 severe and/or confirmed nocturnal hypoglycaemic event</w:t>
            </w:r>
            <w:r w:rsidR="00255A35" w:rsidRPr="003819C3">
              <w:rPr>
                <w:rFonts w:ascii="Arial Narrow" w:hAnsi="Arial Narrow"/>
                <w:b/>
                <w:color w:val="000000"/>
                <w:sz w:val="20"/>
                <w:szCs w:val="18"/>
              </w:rPr>
              <w:t xml:space="preserve"> between the start of week 9 and month 6</w:t>
            </w:r>
          </w:p>
        </w:tc>
      </w:tr>
      <w:tr w:rsidR="00325E80" w:rsidRPr="003819C3" w:rsidTr="0060355F">
        <w:trPr>
          <w:trHeight w:val="150"/>
          <w:jc w:val="right"/>
        </w:trPr>
        <w:tc>
          <w:tcPr>
            <w:tcW w:w="509" w:type="pct"/>
            <w:vMerge w:val="restart"/>
            <w:shd w:val="clear" w:color="auto" w:fill="auto"/>
            <w:vAlign w:val="center"/>
          </w:tcPr>
          <w:p w:rsidR="00325E80" w:rsidRPr="003819C3" w:rsidRDefault="00325E80" w:rsidP="007866BE">
            <w:pPr>
              <w:keepNext/>
              <w:keepLines/>
              <w:widowControl/>
              <w:rPr>
                <w:rFonts w:ascii="Arial Narrow" w:hAnsi="Arial Narrow"/>
                <w:b/>
                <w:color w:val="000000"/>
                <w:sz w:val="20"/>
                <w:szCs w:val="18"/>
              </w:rPr>
            </w:pPr>
            <w:r w:rsidRPr="003819C3">
              <w:rPr>
                <w:rFonts w:ascii="Arial Narrow" w:hAnsi="Arial Narrow"/>
                <w:b/>
                <w:color w:val="000000"/>
                <w:sz w:val="20"/>
                <w:szCs w:val="18"/>
              </w:rPr>
              <w:t>Trial</w:t>
            </w:r>
          </w:p>
        </w:tc>
        <w:tc>
          <w:tcPr>
            <w:tcW w:w="436" w:type="pct"/>
            <w:gridSpan w:val="3"/>
            <w:vMerge w:val="restart"/>
            <w:vAlign w:val="center"/>
          </w:tcPr>
          <w:p w:rsidR="00325E80"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U300</w:t>
            </w:r>
          </w:p>
        </w:tc>
        <w:tc>
          <w:tcPr>
            <w:tcW w:w="421" w:type="pct"/>
            <w:gridSpan w:val="2"/>
            <w:vMerge w:val="restart"/>
            <w:vAlign w:val="center"/>
          </w:tcPr>
          <w:p w:rsidR="00325E80"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U100</w:t>
            </w:r>
          </w:p>
        </w:tc>
        <w:tc>
          <w:tcPr>
            <w:tcW w:w="847" w:type="pct"/>
            <w:gridSpan w:val="3"/>
            <w:vMerge w:val="restart"/>
            <w:vAlign w:val="center"/>
          </w:tcPr>
          <w:p w:rsidR="00325E80"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RR (95% CI)</w:t>
            </w:r>
          </w:p>
        </w:tc>
        <w:tc>
          <w:tcPr>
            <w:tcW w:w="1609" w:type="pct"/>
            <w:gridSpan w:val="6"/>
            <w:vAlign w:val="center"/>
          </w:tcPr>
          <w:p w:rsidR="00325E80"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 xml:space="preserve">Event rate/100 pts per 6 months </w:t>
            </w:r>
          </w:p>
        </w:tc>
        <w:tc>
          <w:tcPr>
            <w:tcW w:w="1178" w:type="pct"/>
            <w:gridSpan w:val="2"/>
            <w:vMerge w:val="restart"/>
            <w:vAlign w:val="center"/>
          </w:tcPr>
          <w:p w:rsidR="00325E80"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RD (95% CI)</w:t>
            </w:r>
          </w:p>
        </w:tc>
      </w:tr>
      <w:tr w:rsidR="00325E80" w:rsidRPr="003819C3" w:rsidTr="0060355F">
        <w:trPr>
          <w:jc w:val="right"/>
        </w:trPr>
        <w:tc>
          <w:tcPr>
            <w:tcW w:w="509" w:type="pct"/>
            <w:vMerge/>
            <w:shd w:val="clear" w:color="auto" w:fill="auto"/>
            <w:vAlign w:val="center"/>
          </w:tcPr>
          <w:p w:rsidR="00325E80" w:rsidRPr="003819C3" w:rsidRDefault="00325E80" w:rsidP="007866BE">
            <w:pPr>
              <w:keepNext/>
              <w:keepLines/>
              <w:widowControl/>
              <w:rPr>
                <w:rFonts w:ascii="Arial Narrow" w:hAnsi="Arial Narrow"/>
                <w:color w:val="000000"/>
                <w:sz w:val="20"/>
                <w:szCs w:val="18"/>
              </w:rPr>
            </w:pPr>
          </w:p>
        </w:tc>
        <w:tc>
          <w:tcPr>
            <w:tcW w:w="436" w:type="pct"/>
            <w:gridSpan w:val="3"/>
            <w:vMerge/>
            <w:vAlign w:val="center"/>
          </w:tcPr>
          <w:p w:rsidR="00325E80" w:rsidRPr="003819C3" w:rsidRDefault="00325E80" w:rsidP="007866BE">
            <w:pPr>
              <w:keepNext/>
              <w:keepLines/>
              <w:widowControl/>
              <w:jc w:val="center"/>
              <w:rPr>
                <w:rFonts w:ascii="Arial Narrow" w:hAnsi="Arial Narrow"/>
                <w:sz w:val="20"/>
                <w:lang w:val="en-US"/>
              </w:rPr>
            </w:pPr>
          </w:p>
        </w:tc>
        <w:tc>
          <w:tcPr>
            <w:tcW w:w="421" w:type="pct"/>
            <w:gridSpan w:val="2"/>
            <w:vMerge/>
            <w:vAlign w:val="center"/>
          </w:tcPr>
          <w:p w:rsidR="00325E80" w:rsidRPr="003819C3" w:rsidRDefault="00325E80" w:rsidP="007866BE">
            <w:pPr>
              <w:keepNext/>
              <w:keepLines/>
              <w:widowControl/>
              <w:jc w:val="center"/>
              <w:rPr>
                <w:rFonts w:ascii="Arial Narrow" w:hAnsi="Arial Narrow"/>
                <w:sz w:val="20"/>
                <w:lang w:val="en-US"/>
              </w:rPr>
            </w:pPr>
          </w:p>
        </w:tc>
        <w:tc>
          <w:tcPr>
            <w:tcW w:w="847" w:type="pct"/>
            <w:gridSpan w:val="3"/>
            <w:vMerge/>
            <w:vAlign w:val="center"/>
          </w:tcPr>
          <w:p w:rsidR="00325E80" w:rsidRPr="003819C3" w:rsidRDefault="00325E80" w:rsidP="007866BE">
            <w:pPr>
              <w:keepNext/>
              <w:keepLines/>
              <w:widowControl/>
              <w:jc w:val="center"/>
              <w:rPr>
                <w:rFonts w:ascii="Arial Narrow" w:hAnsi="Arial Narrow"/>
                <w:sz w:val="20"/>
                <w:lang w:val="en-US"/>
              </w:rPr>
            </w:pPr>
          </w:p>
        </w:tc>
        <w:tc>
          <w:tcPr>
            <w:tcW w:w="803" w:type="pct"/>
            <w:gridSpan w:val="3"/>
            <w:vAlign w:val="center"/>
          </w:tcPr>
          <w:p w:rsidR="00325E80"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U300</w:t>
            </w:r>
          </w:p>
        </w:tc>
        <w:tc>
          <w:tcPr>
            <w:tcW w:w="806" w:type="pct"/>
            <w:gridSpan w:val="3"/>
            <w:vAlign w:val="center"/>
          </w:tcPr>
          <w:p w:rsidR="00325E80"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U100</w:t>
            </w:r>
          </w:p>
        </w:tc>
        <w:tc>
          <w:tcPr>
            <w:tcW w:w="1178" w:type="pct"/>
            <w:gridSpan w:val="2"/>
            <w:vMerge/>
            <w:vAlign w:val="center"/>
          </w:tcPr>
          <w:p w:rsidR="00325E80" w:rsidRPr="003819C3" w:rsidRDefault="00325E80" w:rsidP="007866BE">
            <w:pPr>
              <w:keepNext/>
              <w:keepLines/>
              <w:widowControl/>
              <w:jc w:val="center"/>
              <w:rPr>
                <w:rFonts w:ascii="Arial Narrow" w:hAnsi="Arial Narrow"/>
                <w:sz w:val="20"/>
                <w:lang w:val="en-US"/>
              </w:rPr>
            </w:pPr>
          </w:p>
        </w:tc>
      </w:tr>
      <w:tr w:rsidR="00325E80" w:rsidRPr="003819C3" w:rsidTr="0060355F">
        <w:trPr>
          <w:jc w:val="right"/>
        </w:trPr>
        <w:tc>
          <w:tcPr>
            <w:tcW w:w="509" w:type="pct"/>
            <w:shd w:val="clear" w:color="auto" w:fill="auto"/>
            <w:vAlign w:val="center"/>
          </w:tcPr>
          <w:p w:rsidR="00255A35" w:rsidRPr="003819C3" w:rsidRDefault="00255A35"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w:t>
            </w:r>
          </w:p>
        </w:tc>
        <w:tc>
          <w:tcPr>
            <w:tcW w:w="436" w:type="pct"/>
            <w:gridSpan w:val="3"/>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146/404</w:t>
            </w:r>
          </w:p>
        </w:tc>
        <w:tc>
          <w:tcPr>
            <w:tcW w:w="421" w:type="pct"/>
            <w:gridSpan w:val="2"/>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184/400</w:t>
            </w:r>
          </w:p>
        </w:tc>
        <w:tc>
          <w:tcPr>
            <w:tcW w:w="847" w:type="pct"/>
            <w:gridSpan w:val="3"/>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0.79 (0.67, 0.93)</w:t>
            </w:r>
          </w:p>
        </w:tc>
        <w:tc>
          <w:tcPr>
            <w:tcW w:w="803" w:type="pct"/>
            <w:gridSpan w:val="3"/>
            <w:vAlign w:val="center"/>
          </w:tcPr>
          <w:p w:rsidR="00255A35" w:rsidRPr="003819C3" w:rsidRDefault="00255A35"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36.1</w:t>
            </w:r>
          </w:p>
        </w:tc>
        <w:tc>
          <w:tcPr>
            <w:tcW w:w="806" w:type="pct"/>
            <w:gridSpan w:val="3"/>
            <w:vAlign w:val="center"/>
          </w:tcPr>
          <w:p w:rsidR="00255A35" w:rsidRPr="003819C3" w:rsidRDefault="00255A35"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46.0</w:t>
            </w:r>
          </w:p>
        </w:tc>
        <w:tc>
          <w:tcPr>
            <w:tcW w:w="1178" w:type="pct"/>
            <w:gridSpan w:val="2"/>
            <w:vAlign w:val="center"/>
          </w:tcPr>
          <w:p w:rsidR="00255A35" w:rsidRPr="003819C3" w:rsidRDefault="00255A35" w:rsidP="007866BE">
            <w:pPr>
              <w:keepNext/>
              <w:keepLines/>
              <w:widowControl/>
              <w:jc w:val="center"/>
              <w:rPr>
                <w:rFonts w:ascii="Arial Narrow" w:hAnsi="Arial Narrow"/>
                <w:b/>
                <w:sz w:val="20"/>
                <w:lang w:val="en-US"/>
              </w:rPr>
            </w:pPr>
            <w:r w:rsidRPr="003819C3">
              <w:rPr>
                <w:rFonts w:ascii="Arial Narrow" w:hAnsi="Arial Narrow"/>
                <w:b/>
                <w:sz w:val="20"/>
                <w:lang w:val="en-US"/>
              </w:rPr>
              <w:t>-0.099 (-0.165, -0.031)</w:t>
            </w:r>
          </w:p>
        </w:tc>
      </w:tr>
      <w:tr w:rsidR="00325E80" w:rsidRPr="003819C3" w:rsidTr="0060355F">
        <w:trPr>
          <w:jc w:val="right"/>
        </w:trPr>
        <w:tc>
          <w:tcPr>
            <w:tcW w:w="509" w:type="pct"/>
            <w:shd w:val="clear" w:color="auto" w:fill="auto"/>
            <w:vAlign w:val="center"/>
          </w:tcPr>
          <w:p w:rsidR="00255A35" w:rsidRPr="003819C3" w:rsidRDefault="00255A35"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w:t>
            </w:r>
          </w:p>
        </w:tc>
        <w:tc>
          <w:tcPr>
            <w:tcW w:w="436" w:type="pct"/>
            <w:gridSpan w:val="3"/>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87/403</w:t>
            </w:r>
          </w:p>
        </w:tc>
        <w:tc>
          <w:tcPr>
            <w:tcW w:w="421" w:type="pct"/>
            <w:gridSpan w:val="2"/>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113/405</w:t>
            </w:r>
          </w:p>
        </w:tc>
        <w:tc>
          <w:tcPr>
            <w:tcW w:w="847" w:type="pct"/>
            <w:gridSpan w:val="3"/>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0.77 (0.61, 0.99)</w:t>
            </w:r>
          </w:p>
        </w:tc>
        <w:tc>
          <w:tcPr>
            <w:tcW w:w="803" w:type="pct"/>
            <w:gridSpan w:val="3"/>
            <w:vAlign w:val="center"/>
          </w:tcPr>
          <w:p w:rsidR="00255A35" w:rsidRPr="003819C3" w:rsidRDefault="00255A35"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21.6</w:t>
            </w:r>
          </w:p>
        </w:tc>
        <w:tc>
          <w:tcPr>
            <w:tcW w:w="806" w:type="pct"/>
            <w:gridSpan w:val="3"/>
            <w:vAlign w:val="center"/>
          </w:tcPr>
          <w:p w:rsidR="00255A35" w:rsidRPr="003819C3" w:rsidRDefault="00255A35"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27.9</w:t>
            </w:r>
          </w:p>
        </w:tc>
        <w:tc>
          <w:tcPr>
            <w:tcW w:w="1178" w:type="pct"/>
            <w:gridSpan w:val="2"/>
            <w:vAlign w:val="center"/>
          </w:tcPr>
          <w:p w:rsidR="00255A35" w:rsidRPr="003819C3" w:rsidRDefault="00255A35" w:rsidP="007866BE">
            <w:pPr>
              <w:keepNext/>
              <w:keepLines/>
              <w:widowControl/>
              <w:jc w:val="center"/>
              <w:rPr>
                <w:rFonts w:ascii="Arial Narrow" w:hAnsi="Arial Narrow"/>
                <w:b/>
                <w:sz w:val="20"/>
                <w:lang w:val="en-US"/>
              </w:rPr>
            </w:pPr>
            <w:r w:rsidRPr="003819C3">
              <w:rPr>
                <w:rFonts w:ascii="Arial Narrow" w:hAnsi="Arial Narrow"/>
                <w:b/>
                <w:sz w:val="20"/>
                <w:lang w:val="en-US"/>
              </w:rPr>
              <w:t>-0.063 (-0.122, -0.004)</w:t>
            </w:r>
          </w:p>
        </w:tc>
      </w:tr>
      <w:tr w:rsidR="00325E80" w:rsidRPr="003819C3" w:rsidTr="0060355F">
        <w:trPr>
          <w:jc w:val="right"/>
        </w:trPr>
        <w:tc>
          <w:tcPr>
            <w:tcW w:w="509" w:type="pct"/>
            <w:shd w:val="clear" w:color="auto" w:fill="auto"/>
            <w:vAlign w:val="center"/>
          </w:tcPr>
          <w:p w:rsidR="00255A35" w:rsidRPr="003819C3" w:rsidRDefault="00255A35"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III</w:t>
            </w:r>
          </w:p>
        </w:tc>
        <w:tc>
          <w:tcPr>
            <w:tcW w:w="436" w:type="pct"/>
            <w:gridSpan w:val="3"/>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67/432</w:t>
            </w:r>
          </w:p>
        </w:tc>
        <w:tc>
          <w:tcPr>
            <w:tcW w:w="421" w:type="pct"/>
            <w:gridSpan w:val="2"/>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75/430</w:t>
            </w:r>
          </w:p>
        </w:tc>
        <w:tc>
          <w:tcPr>
            <w:tcW w:w="847" w:type="pct"/>
            <w:gridSpan w:val="3"/>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0.89 (0.66, 1.20)</w:t>
            </w:r>
          </w:p>
        </w:tc>
        <w:tc>
          <w:tcPr>
            <w:tcW w:w="803" w:type="pct"/>
            <w:gridSpan w:val="3"/>
            <w:vAlign w:val="center"/>
          </w:tcPr>
          <w:p w:rsidR="00255A35" w:rsidRPr="003819C3" w:rsidRDefault="00255A35"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15.5</w:t>
            </w:r>
          </w:p>
        </w:tc>
        <w:tc>
          <w:tcPr>
            <w:tcW w:w="806" w:type="pct"/>
            <w:gridSpan w:val="3"/>
            <w:vAlign w:val="center"/>
          </w:tcPr>
          <w:p w:rsidR="00255A35" w:rsidRPr="003819C3" w:rsidRDefault="00255A35"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17.4</w:t>
            </w:r>
          </w:p>
        </w:tc>
        <w:tc>
          <w:tcPr>
            <w:tcW w:w="1178" w:type="pct"/>
            <w:gridSpan w:val="2"/>
            <w:vAlign w:val="center"/>
          </w:tcPr>
          <w:p w:rsidR="00255A35" w:rsidRPr="003819C3" w:rsidRDefault="005565CB" w:rsidP="007866BE">
            <w:pPr>
              <w:keepNext/>
              <w:keepLines/>
              <w:widowControl/>
              <w:jc w:val="center"/>
              <w:rPr>
                <w:rFonts w:ascii="Arial Narrow" w:hAnsi="Arial Narrow"/>
                <w:sz w:val="20"/>
                <w:lang w:val="en-US"/>
              </w:rPr>
            </w:pPr>
            <w:r w:rsidRPr="003819C3">
              <w:rPr>
                <w:rFonts w:ascii="Arial Narrow" w:hAnsi="Arial Narrow"/>
                <w:sz w:val="20"/>
                <w:lang w:val="en-US"/>
              </w:rPr>
              <w:t>-0.019 (-0.069, 0.030</w:t>
            </w:r>
            <w:r w:rsidR="00255A35" w:rsidRPr="003819C3">
              <w:rPr>
                <w:rFonts w:ascii="Arial Narrow" w:hAnsi="Arial Narrow"/>
                <w:sz w:val="20"/>
                <w:lang w:val="en-US"/>
              </w:rPr>
              <w:t>)</w:t>
            </w:r>
          </w:p>
        </w:tc>
      </w:tr>
      <w:tr w:rsidR="00325E80" w:rsidRPr="003819C3" w:rsidTr="0060355F">
        <w:trPr>
          <w:jc w:val="right"/>
        </w:trPr>
        <w:tc>
          <w:tcPr>
            <w:tcW w:w="509" w:type="pct"/>
            <w:shd w:val="clear" w:color="auto" w:fill="auto"/>
            <w:vAlign w:val="center"/>
          </w:tcPr>
          <w:p w:rsidR="00255A35" w:rsidRPr="003819C3" w:rsidRDefault="00255A35"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IV</w:t>
            </w:r>
          </w:p>
        </w:tc>
        <w:tc>
          <w:tcPr>
            <w:tcW w:w="435" w:type="pct"/>
            <w:gridSpan w:val="3"/>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162/273</w:t>
            </w:r>
          </w:p>
        </w:tc>
        <w:tc>
          <w:tcPr>
            <w:tcW w:w="421" w:type="pct"/>
            <w:gridSpan w:val="2"/>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153/273</w:t>
            </w:r>
          </w:p>
        </w:tc>
        <w:tc>
          <w:tcPr>
            <w:tcW w:w="847" w:type="pct"/>
            <w:gridSpan w:val="3"/>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1.06 (0.92, 1.23)</w:t>
            </w:r>
          </w:p>
        </w:tc>
        <w:tc>
          <w:tcPr>
            <w:tcW w:w="803" w:type="pct"/>
            <w:gridSpan w:val="3"/>
            <w:vAlign w:val="center"/>
          </w:tcPr>
          <w:p w:rsidR="00255A35" w:rsidRPr="003819C3" w:rsidRDefault="00255A35"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59.3</w:t>
            </w:r>
          </w:p>
        </w:tc>
        <w:tc>
          <w:tcPr>
            <w:tcW w:w="806" w:type="pct"/>
            <w:gridSpan w:val="3"/>
            <w:vAlign w:val="center"/>
          </w:tcPr>
          <w:p w:rsidR="00255A35" w:rsidRPr="003819C3" w:rsidRDefault="00255A35"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56.0</w:t>
            </w:r>
          </w:p>
        </w:tc>
        <w:tc>
          <w:tcPr>
            <w:tcW w:w="1179" w:type="pct"/>
            <w:gridSpan w:val="2"/>
            <w:vAlign w:val="center"/>
          </w:tcPr>
          <w:p w:rsidR="00255A35" w:rsidRPr="003819C3" w:rsidRDefault="00255A35" w:rsidP="007866BE">
            <w:pPr>
              <w:keepNext/>
              <w:keepLines/>
              <w:widowControl/>
              <w:jc w:val="center"/>
              <w:rPr>
                <w:rFonts w:ascii="Arial Narrow" w:hAnsi="Arial Narrow"/>
                <w:sz w:val="20"/>
                <w:lang w:val="en-US"/>
              </w:rPr>
            </w:pPr>
            <w:r w:rsidRPr="003819C3">
              <w:rPr>
                <w:rFonts w:ascii="Arial Narrow" w:hAnsi="Arial Narrow"/>
                <w:sz w:val="20"/>
                <w:lang w:val="en-US"/>
              </w:rPr>
              <w:t>0.033 (-0.050, 0.115)</w:t>
            </w:r>
          </w:p>
        </w:tc>
      </w:tr>
      <w:tr w:rsidR="00255A35" w:rsidRPr="003819C3" w:rsidTr="0060355F">
        <w:trPr>
          <w:jc w:val="right"/>
        </w:trPr>
        <w:tc>
          <w:tcPr>
            <w:tcW w:w="5000" w:type="pct"/>
            <w:gridSpan w:val="17"/>
            <w:tcBorders>
              <w:top w:val="double" w:sz="4" w:space="0" w:color="auto"/>
            </w:tcBorders>
            <w:shd w:val="clear" w:color="auto" w:fill="auto"/>
            <w:vAlign w:val="center"/>
          </w:tcPr>
          <w:p w:rsidR="00255A35" w:rsidRPr="003819C3" w:rsidRDefault="00255A35" w:rsidP="007866BE">
            <w:pPr>
              <w:keepNext/>
              <w:keepLines/>
              <w:widowControl/>
              <w:rPr>
                <w:rFonts w:ascii="Arial Narrow" w:hAnsi="Arial Narrow"/>
                <w:b/>
                <w:color w:val="000000"/>
                <w:sz w:val="20"/>
                <w:szCs w:val="18"/>
              </w:rPr>
            </w:pPr>
            <w:r w:rsidRPr="003819C3">
              <w:rPr>
                <w:rFonts w:ascii="Arial Narrow" w:hAnsi="Arial Narrow"/>
                <w:b/>
                <w:color w:val="000000"/>
                <w:sz w:val="20"/>
                <w:szCs w:val="18"/>
              </w:rPr>
              <w:t xml:space="preserve">Harms </w:t>
            </w:r>
          </w:p>
        </w:tc>
      </w:tr>
      <w:tr w:rsidR="00325E80" w:rsidRPr="003819C3" w:rsidTr="0060355F">
        <w:trPr>
          <w:trHeight w:val="70"/>
          <w:jc w:val="right"/>
        </w:trPr>
        <w:tc>
          <w:tcPr>
            <w:tcW w:w="509" w:type="pct"/>
            <w:vMerge w:val="restart"/>
            <w:shd w:val="clear" w:color="auto" w:fill="auto"/>
            <w:vAlign w:val="center"/>
          </w:tcPr>
          <w:p w:rsidR="00255A35" w:rsidRPr="003819C3" w:rsidRDefault="009273BA" w:rsidP="007866BE">
            <w:pPr>
              <w:keepNext/>
              <w:keepLines/>
              <w:widowControl/>
              <w:rPr>
                <w:rFonts w:ascii="Arial Narrow" w:hAnsi="Arial Narrow"/>
                <w:b/>
                <w:color w:val="000000"/>
                <w:sz w:val="20"/>
                <w:szCs w:val="18"/>
              </w:rPr>
            </w:pPr>
            <w:r w:rsidRPr="003819C3">
              <w:rPr>
                <w:rFonts w:ascii="Arial Narrow" w:hAnsi="Arial Narrow"/>
                <w:b/>
                <w:color w:val="000000"/>
                <w:sz w:val="20"/>
                <w:szCs w:val="18"/>
              </w:rPr>
              <w:t>Trial</w:t>
            </w:r>
          </w:p>
        </w:tc>
        <w:tc>
          <w:tcPr>
            <w:tcW w:w="429" w:type="pct"/>
            <w:gridSpan w:val="2"/>
            <w:vMerge w:val="restart"/>
            <w:vAlign w:val="center"/>
          </w:tcPr>
          <w:p w:rsidR="00255A35" w:rsidRPr="003819C3" w:rsidRDefault="00255A35"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U300</w:t>
            </w:r>
          </w:p>
        </w:tc>
        <w:tc>
          <w:tcPr>
            <w:tcW w:w="427" w:type="pct"/>
            <w:gridSpan w:val="3"/>
            <w:vMerge w:val="restart"/>
            <w:vAlign w:val="center"/>
          </w:tcPr>
          <w:p w:rsidR="00255A35" w:rsidRPr="003819C3" w:rsidRDefault="00255A35"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U100</w:t>
            </w:r>
          </w:p>
        </w:tc>
        <w:tc>
          <w:tcPr>
            <w:tcW w:w="847" w:type="pct"/>
            <w:gridSpan w:val="3"/>
            <w:vMerge w:val="restart"/>
            <w:vAlign w:val="center"/>
          </w:tcPr>
          <w:p w:rsidR="00255A35" w:rsidRPr="003819C3" w:rsidRDefault="00255A35"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RR</w:t>
            </w:r>
            <w:r w:rsidR="00325E80" w:rsidRPr="003819C3">
              <w:rPr>
                <w:rFonts w:ascii="Arial Narrow" w:hAnsi="Arial Narrow"/>
                <w:b/>
                <w:color w:val="000000"/>
                <w:sz w:val="20"/>
                <w:szCs w:val="18"/>
              </w:rPr>
              <w:t xml:space="preserve"> </w:t>
            </w:r>
            <w:r w:rsidRPr="003819C3">
              <w:rPr>
                <w:rFonts w:ascii="Arial Narrow" w:hAnsi="Arial Narrow"/>
                <w:b/>
                <w:color w:val="000000"/>
                <w:sz w:val="20"/>
                <w:szCs w:val="18"/>
              </w:rPr>
              <w:t>(95% CI)</w:t>
            </w:r>
          </w:p>
        </w:tc>
        <w:tc>
          <w:tcPr>
            <w:tcW w:w="1609" w:type="pct"/>
            <w:gridSpan w:val="6"/>
            <w:vAlign w:val="center"/>
          </w:tcPr>
          <w:p w:rsidR="00255A35"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Event rate/100 p</w:t>
            </w:r>
            <w:r w:rsidR="00255A35" w:rsidRPr="003819C3">
              <w:rPr>
                <w:rFonts w:ascii="Arial Narrow" w:hAnsi="Arial Narrow"/>
                <w:b/>
                <w:color w:val="000000"/>
                <w:sz w:val="20"/>
                <w:szCs w:val="18"/>
              </w:rPr>
              <w:t>ts</w:t>
            </w:r>
            <w:r w:rsidRPr="003819C3">
              <w:rPr>
                <w:rFonts w:ascii="Arial Narrow" w:hAnsi="Arial Narrow"/>
                <w:b/>
                <w:color w:val="000000"/>
                <w:sz w:val="20"/>
                <w:szCs w:val="18"/>
              </w:rPr>
              <w:t xml:space="preserve"> per 6 months</w:t>
            </w:r>
            <w:r w:rsidR="00255A35" w:rsidRPr="003819C3">
              <w:rPr>
                <w:rFonts w:ascii="Arial Narrow" w:hAnsi="Arial Narrow"/>
                <w:b/>
                <w:color w:val="000000"/>
                <w:sz w:val="20"/>
                <w:szCs w:val="18"/>
              </w:rPr>
              <w:t xml:space="preserve"> </w:t>
            </w:r>
          </w:p>
        </w:tc>
        <w:tc>
          <w:tcPr>
            <w:tcW w:w="1179" w:type="pct"/>
            <w:gridSpan w:val="2"/>
            <w:vMerge w:val="restart"/>
            <w:vAlign w:val="center"/>
          </w:tcPr>
          <w:p w:rsidR="00255A35" w:rsidRPr="003819C3" w:rsidRDefault="00255A35"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RD</w:t>
            </w:r>
            <w:r w:rsidR="00325E80" w:rsidRPr="003819C3">
              <w:rPr>
                <w:rFonts w:ascii="Arial Narrow" w:hAnsi="Arial Narrow"/>
                <w:b/>
                <w:color w:val="000000"/>
                <w:sz w:val="20"/>
                <w:szCs w:val="18"/>
              </w:rPr>
              <w:t xml:space="preserve"> </w:t>
            </w:r>
            <w:r w:rsidRPr="003819C3">
              <w:rPr>
                <w:rFonts w:ascii="Arial Narrow" w:hAnsi="Arial Narrow"/>
                <w:b/>
                <w:color w:val="000000"/>
                <w:sz w:val="20"/>
                <w:szCs w:val="18"/>
              </w:rPr>
              <w:t>(95% CI)</w:t>
            </w:r>
          </w:p>
        </w:tc>
      </w:tr>
      <w:tr w:rsidR="00325E80" w:rsidRPr="003819C3" w:rsidTr="0060355F">
        <w:trPr>
          <w:trHeight w:val="231"/>
          <w:jc w:val="right"/>
        </w:trPr>
        <w:tc>
          <w:tcPr>
            <w:tcW w:w="509" w:type="pct"/>
            <w:vMerge/>
            <w:shd w:val="clear" w:color="auto" w:fill="auto"/>
            <w:vAlign w:val="center"/>
          </w:tcPr>
          <w:p w:rsidR="00325E80" w:rsidRPr="003819C3" w:rsidRDefault="00325E80" w:rsidP="007866BE">
            <w:pPr>
              <w:keepNext/>
              <w:keepLines/>
              <w:widowControl/>
              <w:rPr>
                <w:rFonts w:ascii="Arial Narrow" w:hAnsi="Arial Narrow"/>
                <w:b/>
                <w:color w:val="000000"/>
                <w:sz w:val="20"/>
                <w:szCs w:val="18"/>
              </w:rPr>
            </w:pPr>
          </w:p>
        </w:tc>
        <w:tc>
          <w:tcPr>
            <w:tcW w:w="429" w:type="pct"/>
            <w:gridSpan w:val="2"/>
            <w:vMerge/>
            <w:vAlign w:val="center"/>
          </w:tcPr>
          <w:p w:rsidR="00325E80" w:rsidRPr="003819C3" w:rsidRDefault="00325E80" w:rsidP="007866BE">
            <w:pPr>
              <w:keepNext/>
              <w:keepLines/>
              <w:widowControl/>
              <w:jc w:val="center"/>
              <w:rPr>
                <w:rFonts w:ascii="Arial Narrow" w:hAnsi="Arial Narrow"/>
                <w:b/>
                <w:color w:val="000000"/>
                <w:sz w:val="20"/>
                <w:szCs w:val="18"/>
              </w:rPr>
            </w:pPr>
          </w:p>
        </w:tc>
        <w:tc>
          <w:tcPr>
            <w:tcW w:w="427" w:type="pct"/>
            <w:gridSpan w:val="3"/>
            <w:vMerge/>
            <w:vAlign w:val="center"/>
          </w:tcPr>
          <w:p w:rsidR="00325E80" w:rsidRPr="003819C3" w:rsidRDefault="00325E80" w:rsidP="007866BE">
            <w:pPr>
              <w:keepNext/>
              <w:keepLines/>
              <w:widowControl/>
              <w:jc w:val="center"/>
              <w:rPr>
                <w:rFonts w:ascii="Arial Narrow" w:hAnsi="Arial Narrow"/>
                <w:b/>
                <w:color w:val="000000"/>
                <w:sz w:val="20"/>
                <w:szCs w:val="18"/>
              </w:rPr>
            </w:pPr>
          </w:p>
        </w:tc>
        <w:tc>
          <w:tcPr>
            <w:tcW w:w="847" w:type="pct"/>
            <w:gridSpan w:val="3"/>
            <w:vMerge/>
            <w:vAlign w:val="center"/>
          </w:tcPr>
          <w:p w:rsidR="00325E80" w:rsidRPr="003819C3" w:rsidRDefault="00325E80" w:rsidP="007866BE">
            <w:pPr>
              <w:keepNext/>
              <w:keepLines/>
              <w:widowControl/>
              <w:jc w:val="center"/>
              <w:rPr>
                <w:rFonts w:ascii="Arial Narrow" w:hAnsi="Arial Narrow"/>
                <w:b/>
                <w:color w:val="000000"/>
                <w:sz w:val="20"/>
                <w:szCs w:val="18"/>
              </w:rPr>
            </w:pPr>
          </w:p>
        </w:tc>
        <w:tc>
          <w:tcPr>
            <w:tcW w:w="843" w:type="pct"/>
            <w:gridSpan w:val="4"/>
            <w:vAlign w:val="center"/>
          </w:tcPr>
          <w:p w:rsidR="00325E80"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U300</w:t>
            </w:r>
          </w:p>
        </w:tc>
        <w:tc>
          <w:tcPr>
            <w:tcW w:w="766" w:type="pct"/>
            <w:gridSpan w:val="2"/>
            <w:vAlign w:val="center"/>
          </w:tcPr>
          <w:p w:rsidR="00325E80" w:rsidRPr="003819C3" w:rsidRDefault="00325E80"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U100</w:t>
            </w:r>
          </w:p>
        </w:tc>
        <w:tc>
          <w:tcPr>
            <w:tcW w:w="1179" w:type="pct"/>
            <w:gridSpan w:val="2"/>
            <w:vMerge/>
            <w:vAlign w:val="center"/>
          </w:tcPr>
          <w:p w:rsidR="00325E80" w:rsidRPr="003819C3" w:rsidRDefault="00325E80" w:rsidP="007866BE">
            <w:pPr>
              <w:keepNext/>
              <w:keepLines/>
              <w:widowControl/>
              <w:jc w:val="center"/>
              <w:rPr>
                <w:rFonts w:ascii="Arial Narrow" w:hAnsi="Arial Narrow"/>
                <w:b/>
                <w:color w:val="000000"/>
                <w:sz w:val="20"/>
                <w:szCs w:val="18"/>
              </w:rPr>
            </w:pPr>
          </w:p>
        </w:tc>
      </w:tr>
      <w:tr w:rsidR="00255A35" w:rsidRPr="003819C3" w:rsidTr="0060355F">
        <w:trPr>
          <w:jc w:val="right"/>
        </w:trPr>
        <w:tc>
          <w:tcPr>
            <w:tcW w:w="5000" w:type="pct"/>
            <w:gridSpan w:val="17"/>
            <w:shd w:val="clear" w:color="auto" w:fill="auto"/>
            <w:vAlign w:val="center"/>
          </w:tcPr>
          <w:p w:rsidR="00255A35" w:rsidRPr="003819C3" w:rsidRDefault="00325E80" w:rsidP="007866BE">
            <w:pPr>
              <w:keepNext/>
              <w:keepLines/>
              <w:widowControl/>
              <w:rPr>
                <w:rFonts w:ascii="Arial Narrow" w:hAnsi="Arial Narrow"/>
                <w:b/>
                <w:color w:val="000000"/>
                <w:sz w:val="20"/>
                <w:szCs w:val="18"/>
              </w:rPr>
            </w:pPr>
            <w:r w:rsidRPr="003819C3">
              <w:rPr>
                <w:rFonts w:ascii="Arial Narrow" w:hAnsi="Arial Narrow"/>
                <w:b/>
                <w:color w:val="000000"/>
                <w:sz w:val="20"/>
                <w:szCs w:val="18"/>
              </w:rPr>
              <w:t>Any treatment emergent adverse event (TEAE)</w:t>
            </w:r>
          </w:p>
        </w:tc>
      </w:tr>
      <w:tr w:rsidR="00325E80" w:rsidRPr="003819C3" w:rsidTr="0060355F">
        <w:trPr>
          <w:jc w:val="right"/>
        </w:trPr>
        <w:tc>
          <w:tcPr>
            <w:tcW w:w="509" w:type="pct"/>
            <w:shd w:val="clear" w:color="auto" w:fill="auto"/>
            <w:vAlign w:val="center"/>
          </w:tcPr>
          <w:p w:rsidR="00325E80" w:rsidRPr="003819C3" w:rsidRDefault="00325E80"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w:t>
            </w:r>
          </w:p>
        </w:tc>
        <w:tc>
          <w:tcPr>
            <w:tcW w:w="424" w:type="pct"/>
          </w:tcPr>
          <w:p w:rsidR="00325E80" w:rsidRPr="003819C3" w:rsidRDefault="00325E80" w:rsidP="007866BE">
            <w:pPr>
              <w:keepNext/>
              <w:keepLines/>
              <w:widowControl/>
              <w:jc w:val="center"/>
              <w:rPr>
                <w:rFonts w:ascii="Arial Narrow" w:hAnsi="Arial Narrow"/>
                <w:sz w:val="20"/>
                <w:lang w:val="en-US"/>
              </w:rPr>
            </w:pPr>
            <w:r w:rsidRPr="003819C3">
              <w:rPr>
                <w:rFonts w:ascii="Arial Narrow" w:hAnsi="Arial Narrow"/>
                <w:sz w:val="20"/>
                <w:lang w:val="en-US"/>
              </w:rPr>
              <w:t>228/404</w:t>
            </w:r>
          </w:p>
        </w:tc>
        <w:tc>
          <w:tcPr>
            <w:tcW w:w="423" w:type="pct"/>
            <w:gridSpan w:val="3"/>
          </w:tcPr>
          <w:p w:rsidR="00325E80" w:rsidRPr="003819C3" w:rsidRDefault="00325E80" w:rsidP="007866BE">
            <w:pPr>
              <w:keepNext/>
              <w:keepLines/>
              <w:widowControl/>
              <w:jc w:val="center"/>
              <w:rPr>
                <w:rFonts w:ascii="Arial Narrow" w:hAnsi="Arial Narrow"/>
                <w:sz w:val="20"/>
                <w:lang w:val="en-US"/>
              </w:rPr>
            </w:pPr>
            <w:r w:rsidRPr="003819C3">
              <w:rPr>
                <w:rFonts w:ascii="Arial Narrow" w:hAnsi="Arial Narrow"/>
                <w:sz w:val="20"/>
                <w:lang w:val="en-US"/>
              </w:rPr>
              <w:t>218/402</w:t>
            </w:r>
          </w:p>
        </w:tc>
        <w:tc>
          <w:tcPr>
            <w:tcW w:w="849" w:type="pct"/>
            <w:gridSpan w:val="3"/>
            <w:vAlign w:val="center"/>
          </w:tcPr>
          <w:p w:rsidR="00325E80" w:rsidRPr="003819C3" w:rsidRDefault="009273BA"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1.04 (0.92, 1.18)</w:t>
            </w:r>
          </w:p>
        </w:tc>
        <w:tc>
          <w:tcPr>
            <w:tcW w:w="850" w:type="pct"/>
            <w:gridSpan w:val="5"/>
            <w:vAlign w:val="center"/>
          </w:tcPr>
          <w:p w:rsidR="00325E80" w:rsidRPr="003819C3" w:rsidRDefault="00325E80"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56.4</w:t>
            </w:r>
          </w:p>
        </w:tc>
        <w:tc>
          <w:tcPr>
            <w:tcW w:w="766" w:type="pct"/>
            <w:gridSpan w:val="2"/>
            <w:vAlign w:val="center"/>
          </w:tcPr>
          <w:p w:rsidR="00325E80" w:rsidRPr="003819C3" w:rsidRDefault="00325E80"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54.2</w:t>
            </w:r>
          </w:p>
        </w:tc>
        <w:tc>
          <w:tcPr>
            <w:tcW w:w="1179" w:type="pct"/>
            <w:gridSpan w:val="2"/>
            <w:vAlign w:val="center"/>
          </w:tcPr>
          <w:p w:rsidR="00325E80" w:rsidRPr="003819C3" w:rsidRDefault="009273BA"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0.02 (-0.05, 0.09)</w:t>
            </w:r>
          </w:p>
        </w:tc>
      </w:tr>
      <w:tr w:rsidR="00325E80" w:rsidRPr="003819C3" w:rsidTr="0060355F">
        <w:trPr>
          <w:jc w:val="right"/>
        </w:trPr>
        <w:tc>
          <w:tcPr>
            <w:tcW w:w="509" w:type="pct"/>
            <w:shd w:val="clear" w:color="auto" w:fill="auto"/>
            <w:vAlign w:val="center"/>
          </w:tcPr>
          <w:p w:rsidR="00325E80" w:rsidRPr="003819C3" w:rsidRDefault="00325E80"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w:t>
            </w:r>
          </w:p>
        </w:tc>
        <w:tc>
          <w:tcPr>
            <w:tcW w:w="424" w:type="pct"/>
          </w:tcPr>
          <w:p w:rsidR="00325E80" w:rsidRPr="003819C3" w:rsidRDefault="00325E80" w:rsidP="007866BE">
            <w:pPr>
              <w:keepNext/>
              <w:keepLines/>
              <w:widowControl/>
              <w:jc w:val="center"/>
              <w:rPr>
                <w:rFonts w:ascii="Arial Narrow" w:hAnsi="Arial Narrow"/>
                <w:sz w:val="20"/>
                <w:lang w:val="en-US"/>
              </w:rPr>
            </w:pPr>
            <w:r w:rsidRPr="003819C3">
              <w:rPr>
                <w:rFonts w:ascii="Arial Narrow" w:hAnsi="Arial Narrow"/>
                <w:sz w:val="20"/>
                <w:lang w:val="en-US"/>
              </w:rPr>
              <w:t>237/403</w:t>
            </w:r>
          </w:p>
        </w:tc>
        <w:tc>
          <w:tcPr>
            <w:tcW w:w="423" w:type="pct"/>
            <w:gridSpan w:val="3"/>
          </w:tcPr>
          <w:p w:rsidR="00325E80" w:rsidRPr="003819C3" w:rsidRDefault="00325E80" w:rsidP="007866BE">
            <w:pPr>
              <w:keepNext/>
              <w:keepLines/>
              <w:widowControl/>
              <w:jc w:val="center"/>
              <w:rPr>
                <w:rFonts w:ascii="Arial Narrow" w:hAnsi="Arial Narrow"/>
                <w:sz w:val="20"/>
                <w:lang w:val="en-US"/>
              </w:rPr>
            </w:pPr>
            <w:r w:rsidRPr="003819C3">
              <w:rPr>
                <w:rFonts w:ascii="Arial Narrow" w:hAnsi="Arial Narrow"/>
                <w:sz w:val="20"/>
                <w:lang w:val="en-US"/>
              </w:rPr>
              <w:t>206/406</w:t>
            </w:r>
          </w:p>
        </w:tc>
        <w:tc>
          <w:tcPr>
            <w:tcW w:w="849" w:type="pct"/>
            <w:gridSpan w:val="3"/>
            <w:vAlign w:val="center"/>
          </w:tcPr>
          <w:p w:rsidR="00325E80" w:rsidRPr="003819C3" w:rsidRDefault="009273BA"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1.16 (1.02, 1.31)</w:t>
            </w:r>
          </w:p>
        </w:tc>
        <w:tc>
          <w:tcPr>
            <w:tcW w:w="850" w:type="pct"/>
            <w:gridSpan w:val="5"/>
            <w:vAlign w:val="center"/>
          </w:tcPr>
          <w:p w:rsidR="00325E80" w:rsidRPr="003819C3" w:rsidRDefault="00325E80"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58.8</w:t>
            </w:r>
          </w:p>
        </w:tc>
        <w:tc>
          <w:tcPr>
            <w:tcW w:w="766" w:type="pct"/>
            <w:gridSpan w:val="2"/>
            <w:vAlign w:val="center"/>
          </w:tcPr>
          <w:p w:rsidR="00325E80" w:rsidRPr="003819C3" w:rsidRDefault="00325E80"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50.7</w:t>
            </w:r>
          </w:p>
        </w:tc>
        <w:tc>
          <w:tcPr>
            <w:tcW w:w="1179" w:type="pct"/>
            <w:gridSpan w:val="2"/>
            <w:vAlign w:val="center"/>
          </w:tcPr>
          <w:p w:rsidR="00325E80" w:rsidRPr="003819C3" w:rsidRDefault="00866CA9"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0.08 (0.01, 0.15)</w:t>
            </w:r>
          </w:p>
        </w:tc>
      </w:tr>
      <w:tr w:rsidR="00325E80" w:rsidRPr="003819C3" w:rsidTr="0060355F">
        <w:trPr>
          <w:jc w:val="right"/>
        </w:trPr>
        <w:tc>
          <w:tcPr>
            <w:tcW w:w="509" w:type="pct"/>
            <w:shd w:val="clear" w:color="auto" w:fill="auto"/>
            <w:vAlign w:val="center"/>
          </w:tcPr>
          <w:p w:rsidR="00325E80" w:rsidRPr="003819C3" w:rsidRDefault="00325E80"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III</w:t>
            </w:r>
          </w:p>
        </w:tc>
        <w:tc>
          <w:tcPr>
            <w:tcW w:w="424" w:type="pct"/>
          </w:tcPr>
          <w:p w:rsidR="00325E80" w:rsidRPr="003819C3" w:rsidRDefault="00325E80" w:rsidP="007866BE">
            <w:pPr>
              <w:keepNext/>
              <w:keepLines/>
              <w:widowControl/>
              <w:jc w:val="center"/>
              <w:rPr>
                <w:rFonts w:ascii="Arial Narrow" w:hAnsi="Arial Narrow"/>
                <w:sz w:val="20"/>
                <w:lang w:val="en-US"/>
              </w:rPr>
            </w:pPr>
            <w:r w:rsidRPr="003819C3">
              <w:rPr>
                <w:rFonts w:ascii="Arial Narrow" w:hAnsi="Arial Narrow"/>
                <w:sz w:val="20"/>
                <w:lang w:val="en-US"/>
              </w:rPr>
              <w:t>247/435</w:t>
            </w:r>
          </w:p>
        </w:tc>
        <w:tc>
          <w:tcPr>
            <w:tcW w:w="423" w:type="pct"/>
            <w:gridSpan w:val="3"/>
          </w:tcPr>
          <w:p w:rsidR="00325E80" w:rsidRPr="003819C3" w:rsidRDefault="00325E80" w:rsidP="007866BE">
            <w:pPr>
              <w:keepNext/>
              <w:keepLines/>
              <w:widowControl/>
              <w:jc w:val="center"/>
              <w:rPr>
                <w:rFonts w:ascii="Arial Narrow" w:hAnsi="Arial Narrow"/>
                <w:sz w:val="20"/>
                <w:lang w:val="en-US"/>
              </w:rPr>
            </w:pPr>
            <w:r w:rsidRPr="003819C3">
              <w:rPr>
                <w:rFonts w:ascii="Arial Narrow" w:hAnsi="Arial Narrow"/>
                <w:sz w:val="20"/>
                <w:lang w:val="en-US"/>
              </w:rPr>
              <w:t>245/438</w:t>
            </w:r>
          </w:p>
        </w:tc>
        <w:tc>
          <w:tcPr>
            <w:tcW w:w="849" w:type="pct"/>
            <w:gridSpan w:val="3"/>
            <w:vAlign w:val="center"/>
          </w:tcPr>
          <w:p w:rsidR="00325E80" w:rsidRPr="003819C3" w:rsidRDefault="009273BA"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1.02 (0.90, 1.14)</w:t>
            </w:r>
          </w:p>
        </w:tc>
        <w:tc>
          <w:tcPr>
            <w:tcW w:w="850" w:type="pct"/>
            <w:gridSpan w:val="5"/>
            <w:vAlign w:val="center"/>
          </w:tcPr>
          <w:p w:rsidR="00325E80" w:rsidRPr="003819C3" w:rsidRDefault="00325E80"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56.8</w:t>
            </w:r>
          </w:p>
        </w:tc>
        <w:tc>
          <w:tcPr>
            <w:tcW w:w="766" w:type="pct"/>
            <w:gridSpan w:val="2"/>
            <w:vAlign w:val="center"/>
          </w:tcPr>
          <w:p w:rsidR="00325E80" w:rsidRPr="003819C3" w:rsidRDefault="00325E80"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55.9</w:t>
            </w:r>
          </w:p>
        </w:tc>
        <w:tc>
          <w:tcPr>
            <w:tcW w:w="1179" w:type="pct"/>
            <w:gridSpan w:val="2"/>
            <w:vAlign w:val="center"/>
          </w:tcPr>
          <w:p w:rsidR="00325E80" w:rsidRPr="003819C3" w:rsidRDefault="00866CA9"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0.01 (-0.06, 0.07)</w:t>
            </w:r>
          </w:p>
        </w:tc>
      </w:tr>
      <w:tr w:rsidR="00325E80" w:rsidRPr="003819C3" w:rsidTr="0060355F">
        <w:trPr>
          <w:jc w:val="right"/>
        </w:trPr>
        <w:tc>
          <w:tcPr>
            <w:tcW w:w="509" w:type="pct"/>
            <w:shd w:val="clear" w:color="auto" w:fill="auto"/>
            <w:vAlign w:val="center"/>
          </w:tcPr>
          <w:p w:rsidR="00325E80" w:rsidRPr="003819C3" w:rsidRDefault="00325E80"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IV</w:t>
            </w:r>
          </w:p>
        </w:tc>
        <w:tc>
          <w:tcPr>
            <w:tcW w:w="424" w:type="pct"/>
          </w:tcPr>
          <w:p w:rsidR="00325E80" w:rsidRPr="003819C3" w:rsidRDefault="00325E80" w:rsidP="007866BE">
            <w:pPr>
              <w:keepNext/>
              <w:keepLines/>
              <w:widowControl/>
              <w:jc w:val="center"/>
              <w:rPr>
                <w:rFonts w:ascii="Arial Narrow" w:hAnsi="Arial Narrow"/>
                <w:sz w:val="20"/>
                <w:lang w:val="en-US"/>
              </w:rPr>
            </w:pPr>
            <w:r w:rsidRPr="003819C3">
              <w:rPr>
                <w:rFonts w:ascii="Arial Narrow" w:hAnsi="Arial Narrow"/>
                <w:sz w:val="20"/>
                <w:lang w:val="en-US"/>
              </w:rPr>
              <w:t>167/274</w:t>
            </w:r>
          </w:p>
        </w:tc>
        <w:tc>
          <w:tcPr>
            <w:tcW w:w="423" w:type="pct"/>
            <w:gridSpan w:val="3"/>
          </w:tcPr>
          <w:p w:rsidR="00325E80" w:rsidRPr="003819C3" w:rsidRDefault="00325E80" w:rsidP="007866BE">
            <w:pPr>
              <w:keepNext/>
              <w:keepLines/>
              <w:widowControl/>
              <w:jc w:val="center"/>
              <w:rPr>
                <w:rFonts w:ascii="Arial Narrow" w:hAnsi="Arial Narrow"/>
                <w:sz w:val="20"/>
                <w:lang w:val="en-US"/>
              </w:rPr>
            </w:pPr>
            <w:r w:rsidRPr="003819C3">
              <w:rPr>
                <w:rFonts w:ascii="Arial Narrow" w:hAnsi="Arial Narrow"/>
                <w:sz w:val="20"/>
                <w:lang w:val="en-US"/>
              </w:rPr>
              <w:t>160/275</w:t>
            </w:r>
          </w:p>
        </w:tc>
        <w:tc>
          <w:tcPr>
            <w:tcW w:w="849" w:type="pct"/>
            <w:gridSpan w:val="3"/>
            <w:vAlign w:val="center"/>
          </w:tcPr>
          <w:p w:rsidR="00325E80" w:rsidRPr="003819C3" w:rsidRDefault="009273BA"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1.05 (0.91, 1.20)</w:t>
            </w:r>
          </w:p>
        </w:tc>
        <w:tc>
          <w:tcPr>
            <w:tcW w:w="850" w:type="pct"/>
            <w:gridSpan w:val="5"/>
            <w:vAlign w:val="center"/>
          </w:tcPr>
          <w:p w:rsidR="00325E80" w:rsidRPr="003819C3" w:rsidRDefault="00325E80"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60.9</w:t>
            </w:r>
          </w:p>
        </w:tc>
        <w:tc>
          <w:tcPr>
            <w:tcW w:w="766" w:type="pct"/>
            <w:gridSpan w:val="2"/>
            <w:vAlign w:val="center"/>
          </w:tcPr>
          <w:p w:rsidR="00325E80" w:rsidRPr="003819C3" w:rsidRDefault="00325E80"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58.2</w:t>
            </w:r>
          </w:p>
        </w:tc>
        <w:tc>
          <w:tcPr>
            <w:tcW w:w="1179" w:type="pct"/>
            <w:gridSpan w:val="2"/>
            <w:vAlign w:val="center"/>
          </w:tcPr>
          <w:p w:rsidR="00325E80" w:rsidRPr="003819C3" w:rsidRDefault="00866CA9"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0.03 (-0.05, 0.11)</w:t>
            </w:r>
          </w:p>
        </w:tc>
      </w:tr>
      <w:tr w:rsidR="00325E80" w:rsidRPr="003819C3" w:rsidTr="0060355F">
        <w:trPr>
          <w:jc w:val="right"/>
        </w:trPr>
        <w:tc>
          <w:tcPr>
            <w:tcW w:w="5000" w:type="pct"/>
            <w:gridSpan w:val="17"/>
            <w:shd w:val="clear" w:color="auto" w:fill="auto"/>
            <w:vAlign w:val="center"/>
          </w:tcPr>
          <w:p w:rsidR="00325E80" w:rsidRPr="003819C3" w:rsidRDefault="00287018" w:rsidP="007866BE">
            <w:pPr>
              <w:keepNext/>
              <w:keepLines/>
              <w:widowControl/>
              <w:rPr>
                <w:rFonts w:ascii="Arial Narrow" w:hAnsi="Arial Narrow"/>
                <w:b/>
                <w:color w:val="000000"/>
                <w:sz w:val="20"/>
                <w:szCs w:val="18"/>
              </w:rPr>
            </w:pPr>
            <w:r w:rsidRPr="003819C3">
              <w:rPr>
                <w:rFonts w:ascii="Arial Narrow" w:hAnsi="Arial Narrow"/>
                <w:b/>
                <w:color w:val="000000"/>
                <w:sz w:val="20"/>
                <w:szCs w:val="18"/>
              </w:rPr>
              <w:t>Documented symptomatic hypoglycaemia (≤3.9 mmol/L)</w:t>
            </w:r>
          </w:p>
        </w:tc>
      </w:tr>
      <w:tr w:rsidR="00BA7DE4" w:rsidRPr="003819C3" w:rsidTr="0060355F">
        <w:trPr>
          <w:jc w:val="right"/>
        </w:trPr>
        <w:tc>
          <w:tcPr>
            <w:tcW w:w="509" w:type="pct"/>
            <w:shd w:val="clear" w:color="auto" w:fill="auto"/>
            <w:vAlign w:val="center"/>
          </w:tcPr>
          <w:p w:rsidR="00287018" w:rsidRPr="003819C3" w:rsidRDefault="00287018"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w:t>
            </w:r>
          </w:p>
        </w:tc>
        <w:tc>
          <w:tcPr>
            <w:tcW w:w="424" w:type="pct"/>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283/404</w:t>
            </w:r>
          </w:p>
        </w:tc>
        <w:tc>
          <w:tcPr>
            <w:tcW w:w="423" w:type="pct"/>
            <w:gridSpan w:val="3"/>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313/402</w:t>
            </w:r>
          </w:p>
        </w:tc>
        <w:tc>
          <w:tcPr>
            <w:tcW w:w="849" w:type="pct"/>
            <w:gridSpan w:val="3"/>
            <w:vAlign w:val="center"/>
          </w:tcPr>
          <w:p w:rsidR="00287018" w:rsidRPr="003819C3" w:rsidRDefault="00287018" w:rsidP="007866BE">
            <w:pPr>
              <w:keepNext/>
              <w:keepLines/>
              <w:widowControl/>
              <w:jc w:val="center"/>
              <w:rPr>
                <w:rFonts w:ascii="Arial Narrow" w:hAnsi="Arial Narrow"/>
                <w:color w:val="000000"/>
                <w:sz w:val="20"/>
                <w:szCs w:val="18"/>
              </w:rPr>
            </w:pPr>
            <w:r w:rsidRPr="003819C3">
              <w:rPr>
                <w:rFonts w:ascii="Arial Narrow" w:hAnsi="Arial Narrow"/>
                <w:sz w:val="20"/>
                <w:lang w:val="en-US"/>
              </w:rPr>
              <w:t>0.90 (0.83, 0.98)</w:t>
            </w:r>
          </w:p>
        </w:tc>
        <w:tc>
          <w:tcPr>
            <w:tcW w:w="850" w:type="pct"/>
            <w:gridSpan w:val="5"/>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70.0</w:t>
            </w:r>
          </w:p>
        </w:tc>
        <w:tc>
          <w:tcPr>
            <w:tcW w:w="766" w:type="pct"/>
            <w:gridSpan w:val="2"/>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77.9</w:t>
            </w:r>
          </w:p>
        </w:tc>
        <w:tc>
          <w:tcPr>
            <w:tcW w:w="1179" w:type="pct"/>
            <w:gridSpan w:val="2"/>
            <w:vAlign w:val="center"/>
          </w:tcPr>
          <w:p w:rsidR="00287018" w:rsidRPr="003819C3" w:rsidRDefault="004B5F06"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-0.08 (-0.14, -0.02)</w:t>
            </w:r>
          </w:p>
        </w:tc>
      </w:tr>
      <w:tr w:rsidR="00287018" w:rsidRPr="003819C3" w:rsidTr="0060355F">
        <w:trPr>
          <w:jc w:val="right"/>
        </w:trPr>
        <w:tc>
          <w:tcPr>
            <w:tcW w:w="509" w:type="pct"/>
            <w:shd w:val="clear" w:color="auto" w:fill="auto"/>
            <w:vAlign w:val="center"/>
          </w:tcPr>
          <w:p w:rsidR="00287018" w:rsidRPr="003819C3" w:rsidRDefault="00287018"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w:t>
            </w:r>
          </w:p>
        </w:tc>
        <w:tc>
          <w:tcPr>
            <w:tcW w:w="424" w:type="pct"/>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200/403</w:t>
            </w:r>
          </w:p>
        </w:tc>
        <w:tc>
          <w:tcPr>
            <w:tcW w:w="423" w:type="pct"/>
            <w:gridSpan w:val="3"/>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233/406</w:t>
            </w:r>
          </w:p>
        </w:tc>
        <w:tc>
          <w:tcPr>
            <w:tcW w:w="849" w:type="pct"/>
            <w:gridSpan w:val="3"/>
            <w:vAlign w:val="center"/>
          </w:tcPr>
          <w:p w:rsidR="00287018" w:rsidRPr="003819C3" w:rsidRDefault="00287018" w:rsidP="007866BE">
            <w:pPr>
              <w:keepNext/>
              <w:keepLines/>
              <w:widowControl/>
              <w:jc w:val="center"/>
              <w:rPr>
                <w:rFonts w:ascii="Arial Narrow" w:hAnsi="Arial Narrow"/>
                <w:color w:val="000000"/>
                <w:sz w:val="20"/>
                <w:szCs w:val="18"/>
              </w:rPr>
            </w:pPr>
            <w:r w:rsidRPr="003819C3">
              <w:rPr>
                <w:rFonts w:ascii="Arial Narrow" w:hAnsi="Arial Narrow"/>
                <w:sz w:val="20"/>
                <w:lang w:val="en-US"/>
              </w:rPr>
              <w:t>0.86 (0.76, 0.89)</w:t>
            </w:r>
          </w:p>
        </w:tc>
        <w:tc>
          <w:tcPr>
            <w:tcW w:w="850" w:type="pct"/>
            <w:gridSpan w:val="5"/>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49.6</w:t>
            </w:r>
          </w:p>
        </w:tc>
        <w:tc>
          <w:tcPr>
            <w:tcW w:w="766" w:type="pct"/>
            <w:gridSpan w:val="2"/>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57.4</w:t>
            </w:r>
          </w:p>
        </w:tc>
        <w:tc>
          <w:tcPr>
            <w:tcW w:w="1179" w:type="pct"/>
            <w:gridSpan w:val="2"/>
            <w:vAlign w:val="center"/>
          </w:tcPr>
          <w:p w:rsidR="00287018" w:rsidRPr="003819C3" w:rsidRDefault="004B5F06" w:rsidP="007866BE">
            <w:pPr>
              <w:keepNext/>
              <w:keepLines/>
              <w:widowControl/>
              <w:jc w:val="center"/>
              <w:rPr>
                <w:rFonts w:ascii="Arial Narrow" w:hAnsi="Arial Narrow"/>
                <w:b/>
                <w:color w:val="000000"/>
                <w:sz w:val="20"/>
                <w:szCs w:val="18"/>
              </w:rPr>
            </w:pPr>
            <w:r w:rsidRPr="003819C3">
              <w:rPr>
                <w:rFonts w:ascii="Arial Narrow" w:hAnsi="Arial Narrow"/>
                <w:b/>
                <w:color w:val="000000"/>
                <w:sz w:val="20"/>
                <w:szCs w:val="18"/>
              </w:rPr>
              <w:t>-0.08 (-0.15, -0.01)</w:t>
            </w:r>
          </w:p>
        </w:tc>
      </w:tr>
      <w:tr w:rsidR="00287018" w:rsidRPr="003819C3" w:rsidTr="0060355F">
        <w:trPr>
          <w:jc w:val="right"/>
        </w:trPr>
        <w:tc>
          <w:tcPr>
            <w:tcW w:w="509" w:type="pct"/>
            <w:shd w:val="clear" w:color="auto" w:fill="auto"/>
            <w:vAlign w:val="center"/>
          </w:tcPr>
          <w:p w:rsidR="00287018" w:rsidRPr="003819C3" w:rsidRDefault="00287018"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III</w:t>
            </w:r>
          </w:p>
        </w:tc>
        <w:tc>
          <w:tcPr>
            <w:tcW w:w="424" w:type="pct"/>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133/435</w:t>
            </w:r>
          </w:p>
        </w:tc>
        <w:tc>
          <w:tcPr>
            <w:tcW w:w="423" w:type="pct"/>
            <w:gridSpan w:val="3"/>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157/438</w:t>
            </w:r>
          </w:p>
        </w:tc>
        <w:tc>
          <w:tcPr>
            <w:tcW w:w="849" w:type="pct"/>
            <w:gridSpan w:val="3"/>
            <w:vAlign w:val="center"/>
          </w:tcPr>
          <w:p w:rsidR="00287018" w:rsidRPr="003819C3" w:rsidRDefault="00287018" w:rsidP="007866BE">
            <w:pPr>
              <w:keepNext/>
              <w:keepLines/>
              <w:widowControl/>
              <w:jc w:val="center"/>
              <w:rPr>
                <w:rFonts w:ascii="Arial Narrow" w:hAnsi="Arial Narrow"/>
                <w:color w:val="000000"/>
                <w:sz w:val="20"/>
                <w:szCs w:val="18"/>
              </w:rPr>
            </w:pPr>
            <w:r w:rsidRPr="003819C3">
              <w:rPr>
                <w:rFonts w:ascii="Arial Narrow" w:hAnsi="Arial Narrow"/>
                <w:sz w:val="20"/>
                <w:lang w:val="en-US"/>
              </w:rPr>
              <w:t>0.85 (0.71, 1.03)</w:t>
            </w:r>
          </w:p>
        </w:tc>
        <w:tc>
          <w:tcPr>
            <w:tcW w:w="850" w:type="pct"/>
            <w:gridSpan w:val="5"/>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30.6</w:t>
            </w:r>
          </w:p>
        </w:tc>
        <w:tc>
          <w:tcPr>
            <w:tcW w:w="766" w:type="pct"/>
            <w:gridSpan w:val="2"/>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35.8</w:t>
            </w:r>
          </w:p>
        </w:tc>
        <w:tc>
          <w:tcPr>
            <w:tcW w:w="1179" w:type="pct"/>
            <w:gridSpan w:val="2"/>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-0.05 (-0.11, 0.01)</w:t>
            </w:r>
          </w:p>
        </w:tc>
      </w:tr>
      <w:tr w:rsidR="00287018" w:rsidRPr="003819C3" w:rsidTr="0060355F">
        <w:trPr>
          <w:jc w:val="right"/>
        </w:trPr>
        <w:tc>
          <w:tcPr>
            <w:tcW w:w="509" w:type="pct"/>
            <w:shd w:val="clear" w:color="auto" w:fill="auto"/>
            <w:vAlign w:val="center"/>
          </w:tcPr>
          <w:p w:rsidR="00287018" w:rsidRPr="003819C3" w:rsidRDefault="00287018"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IV</w:t>
            </w:r>
          </w:p>
        </w:tc>
        <w:tc>
          <w:tcPr>
            <w:tcW w:w="424" w:type="pct"/>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233/274</w:t>
            </w:r>
          </w:p>
        </w:tc>
        <w:tc>
          <w:tcPr>
            <w:tcW w:w="423" w:type="pct"/>
            <w:gridSpan w:val="3"/>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230/275</w:t>
            </w:r>
          </w:p>
        </w:tc>
        <w:tc>
          <w:tcPr>
            <w:tcW w:w="849" w:type="pct"/>
            <w:gridSpan w:val="3"/>
            <w:vAlign w:val="center"/>
          </w:tcPr>
          <w:p w:rsidR="00287018" w:rsidRPr="003819C3" w:rsidRDefault="00287018" w:rsidP="007866BE">
            <w:pPr>
              <w:keepNext/>
              <w:keepLines/>
              <w:widowControl/>
              <w:jc w:val="center"/>
              <w:rPr>
                <w:rFonts w:ascii="Arial Narrow" w:hAnsi="Arial Narrow"/>
                <w:color w:val="000000"/>
                <w:sz w:val="20"/>
                <w:szCs w:val="18"/>
              </w:rPr>
            </w:pPr>
            <w:r w:rsidRPr="003819C3">
              <w:rPr>
                <w:rFonts w:ascii="Arial Narrow" w:hAnsi="Arial Narrow"/>
                <w:sz w:val="20"/>
                <w:lang w:val="en-US"/>
              </w:rPr>
              <w:t>1.02 (0.95, 1.09)</w:t>
            </w:r>
          </w:p>
        </w:tc>
        <w:tc>
          <w:tcPr>
            <w:tcW w:w="850" w:type="pct"/>
            <w:gridSpan w:val="5"/>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85.0</w:t>
            </w:r>
          </w:p>
        </w:tc>
        <w:tc>
          <w:tcPr>
            <w:tcW w:w="766" w:type="pct"/>
            <w:gridSpan w:val="2"/>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83.6</w:t>
            </w:r>
          </w:p>
        </w:tc>
        <w:tc>
          <w:tcPr>
            <w:tcW w:w="1179" w:type="pct"/>
            <w:gridSpan w:val="2"/>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0.01 (-0.05, 0.08)</w:t>
            </w:r>
          </w:p>
        </w:tc>
      </w:tr>
      <w:tr w:rsidR="00325E80" w:rsidRPr="003819C3" w:rsidTr="0060355F">
        <w:trPr>
          <w:jc w:val="right"/>
        </w:trPr>
        <w:tc>
          <w:tcPr>
            <w:tcW w:w="5000" w:type="pct"/>
            <w:gridSpan w:val="17"/>
            <w:shd w:val="clear" w:color="auto" w:fill="auto"/>
            <w:vAlign w:val="center"/>
          </w:tcPr>
          <w:p w:rsidR="00325E80" w:rsidRPr="003819C3" w:rsidRDefault="00287018" w:rsidP="007866BE">
            <w:pPr>
              <w:keepNext/>
              <w:keepLines/>
              <w:widowControl/>
              <w:rPr>
                <w:rFonts w:ascii="Arial Narrow" w:hAnsi="Arial Narrow"/>
                <w:color w:val="000000"/>
                <w:sz w:val="20"/>
                <w:szCs w:val="18"/>
              </w:rPr>
            </w:pPr>
            <w:r w:rsidRPr="003819C3">
              <w:rPr>
                <w:rFonts w:ascii="Arial Narrow" w:hAnsi="Arial Narrow"/>
                <w:b/>
                <w:color w:val="000000"/>
                <w:sz w:val="20"/>
                <w:szCs w:val="18"/>
              </w:rPr>
              <w:t>Severe hypoglycaemia</w:t>
            </w:r>
          </w:p>
        </w:tc>
      </w:tr>
      <w:tr w:rsidR="00BA7DE4" w:rsidRPr="003819C3" w:rsidTr="0060355F">
        <w:trPr>
          <w:jc w:val="right"/>
        </w:trPr>
        <w:tc>
          <w:tcPr>
            <w:tcW w:w="509" w:type="pct"/>
            <w:shd w:val="clear" w:color="auto" w:fill="auto"/>
            <w:vAlign w:val="center"/>
          </w:tcPr>
          <w:p w:rsidR="00287018" w:rsidRPr="003819C3" w:rsidRDefault="00287018"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w:t>
            </w:r>
          </w:p>
        </w:tc>
        <w:tc>
          <w:tcPr>
            <w:tcW w:w="424" w:type="pct"/>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20/404</w:t>
            </w:r>
          </w:p>
        </w:tc>
        <w:tc>
          <w:tcPr>
            <w:tcW w:w="423" w:type="pct"/>
            <w:gridSpan w:val="3"/>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23/402</w:t>
            </w:r>
          </w:p>
        </w:tc>
        <w:tc>
          <w:tcPr>
            <w:tcW w:w="849" w:type="pct"/>
            <w:gridSpan w:val="3"/>
            <w:vAlign w:val="center"/>
          </w:tcPr>
          <w:p w:rsidR="00287018" w:rsidRPr="003819C3" w:rsidRDefault="00287018" w:rsidP="007866BE">
            <w:pPr>
              <w:keepNext/>
              <w:keepLines/>
              <w:widowControl/>
              <w:jc w:val="center"/>
              <w:rPr>
                <w:rFonts w:ascii="Arial Narrow" w:hAnsi="Arial Narrow"/>
                <w:color w:val="000000"/>
                <w:sz w:val="20"/>
                <w:szCs w:val="18"/>
              </w:rPr>
            </w:pPr>
            <w:r w:rsidRPr="003819C3">
              <w:rPr>
                <w:rFonts w:ascii="Arial Narrow" w:hAnsi="Arial Narrow"/>
                <w:sz w:val="20"/>
                <w:lang w:val="en-US"/>
              </w:rPr>
              <w:t>0.87 (0.48, 1.55)</w:t>
            </w:r>
          </w:p>
        </w:tc>
        <w:tc>
          <w:tcPr>
            <w:tcW w:w="850" w:type="pct"/>
            <w:gridSpan w:val="5"/>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5.0</w:t>
            </w:r>
          </w:p>
        </w:tc>
        <w:tc>
          <w:tcPr>
            <w:tcW w:w="766" w:type="pct"/>
            <w:gridSpan w:val="2"/>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5.7</w:t>
            </w:r>
          </w:p>
        </w:tc>
        <w:tc>
          <w:tcPr>
            <w:tcW w:w="1179" w:type="pct"/>
            <w:gridSpan w:val="2"/>
            <w:vAlign w:val="center"/>
          </w:tcPr>
          <w:p w:rsidR="00287018" w:rsidRPr="003819C3" w:rsidRDefault="004B5F06" w:rsidP="007866BE">
            <w:pPr>
              <w:keepNext/>
              <w:keepLines/>
              <w:widowControl/>
              <w:jc w:val="center"/>
              <w:rPr>
                <w:rFonts w:ascii="Arial Narrow" w:hAnsi="Arial Narrow"/>
                <w:color w:val="000000"/>
                <w:sz w:val="20"/>
                <w:szCs w:val="18"/>
              </w:rPr>
            </w:pPr>
            <w:r w:rsidRPr="003819C3">
              <w:rPr>
                <w:rFonts w:ascii="Arial Narrow" w:hAnsi="Arial Narrow"/>
                <w:color w:val="000000"/>
                <w:sz w:val="20"/>
                <w:szCs w:val="18"/>
              </w:rPr>
              <w:t>-0.01 (-0.04, 0.02)</w:t>
            </w:r>
          </w:p>
        </w:tc>
      </w:tr>
      <w:tr w:rsidR="00287018" w:rsidRPr="003819C3" w:rsidTr="0060355F">
        <w:trPr>
          <w:jc w:val="right"/>
        </w:trPr>
        <w:tc>
          <w:tcPr>
            <w:tcW w:w="509" w:type="pct"/>
            <w:shd w:val="clear" w:color="auto" w:fill="auto"/>
            <w:vAlign w:val="center"/>
          </w:tcPr>
          <w:p w:rsidR="00287018" w:rsidRPr="003819C3" w:rsidRDefault="00287018"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w:t>
            </w:r>
          </w:p>
        </w:tc>
        <w:tc>
          <w:tcPr>
            <w:tcW w:w="424" w:type="pct"/>
            <w:vAlign w:val="center"/>
          </w:tcPr>
          <w:p w:rsidR="00287018" w:rsidRPr="003819C3" w:rsidRDefault="004B5F06" w:rsidP="007866BE">
            <w:pPr>
              <w:keepNext/>
              <w:keepLines/>
              <w:widowControl/>
              <w:jc w:val="center"/>
              <w:rPr>
                <w:rFonts w:ascii="Arial Narrow" w:hAnsi="Arial Narrow"/>
                <w:color w:val="000000"/>
                <w:sz w:val="20"/>
              </w:rPr>
            </w:pPr>
            <w:r w:rsidRPr="003819C3">
              <w:rPr>
                <w:rFonts w:ascii="Arial Narrow" w:hAnsi="Arial Narrow"/>
                <w:color w:val="000000"/>
                <w:sz w:val="20"/>
              </w:rPr>
              <w:t>4/403</w:t>
            </w:r>
          </w:p>
        </w:tc>
        <w:tc>
          <w:tcPr>
            <w:tcW w:w="423" w:type="pct"/>
            <w:gridSpan w:val="3"/>
            <w:vAlign w:val="center"/>
          </w:tcPr>
          <w:p w:rsidR="00287018" w:rsidRPr="003819C3" w:rsidRDefault="004B5F06" w:rsidP="007866BE">
            <w:pPr>
              <w:keepNext/>
              <w:keepLines/>
              <w:widowControl/>
              <w:jc w:val="center"/>
              <w:rPr>
                <w:rFonts w:ascii="Arial Narrow" w:hAnsi="Arial Narrow"/>
                <w:color w:val="000000"/>
                <w:sz w:val="20"/>
              </w:rPr>
            </w:pPr>
            <w:r w:rsidRPr="003819C3">
              <w:rPr>
                <w:rFonts w:ascii="Arial Narrow" w:hAnsi="Arial Narrow"/>
                <w:color w:val="000000"/>
                <w:sz w:val="20"/>
              </w:rPr>
              <w:t>6/406</w:t>
            </w:r>
          </w:p>
        </w:tc>
        <w:tc>
          <w:tcPr>
            <w:tcW w:w="849" w:type="pct"/>
            <w:gridSpan w:val="3"/>
            <w:vAlign w:val="center"/>
          </w:tcPr>
          <w:p w:rsidR="00287018" w:rsidRPr="003819C3" w:rsidRDefault="00287018" w:rsidP="007866BE">
            <w:pPr>
              <w:keepNext/>
              <w:keepLines/>
              <w:widowControl/>
              <w:jc w:val="center"/>
              <w:rPr>
                <w:rFonts w:ascii="Arial Narrow" w:hAnsi="Arial Narrow"/>
                <w:color w:val="000000"/>
                <w:sz w:val="20"/>
              </w:rPr>
            </w:pPr>
            <w:r w:rsidRPr="003819C3">
              <w:rPr>
                <w:rFonts w:ascii="Arial Narrow" w:hAnsi="Arial Narrow"/>
                <w:sz w:val="20"/>
                <w:lang w:val="en-US"/>
              </w:rPr>
              <w:t>0.67 (0.19, 2.37)</w:t>
            </w:r>
          </w:p>
        </w:tc>
        <w:tc>
          <w:tcPr>
            <w:tcW w:w="850" w:type="pct"/>
            <w:gridSpan w:val="5"/>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1.0</w:t>
            </w:r>
          </w:p>
        </w:tc>
        <w:tc>
          <w:tcPr>
            <w:tcW w:w="766" w:type="pct"/>
            <w:gridSpan w:val="2"/>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1.5</w:t>
            </w:r>
          </w:p>
        </w:tc>
        <w:tc>
          <w:tcPr>
            <w:tcW w:w="1179" w:type="pct"/>
            <w:gridSpan w:val="2"/>
            <w:vAlign w:val="center"/>
          </w:tcPr>
          <w:p w:rsidR="00287018" w:rsidRPr="003819C3" w:rsidRDefault="004B5F06" w:rsidP="007866BE">
            <w:pPr>
              <w:keepNext/>
              <w:keepLines/>
              <w:widowControl/>
              <w:jc w:val="center"/>
              <w:rPr>
                <w:rFonts w:ascii="Arial Narrow" w:hAnsi="Arial Narrow"/>
                <w:color w:val="000000"/>
                <w:sz w:val="20"/>
              </w:rPr>
            </w:pPr>
            <w:r w:rsidRPr="003819C3">
              <w:rPr>
                <w:rFonts w:ascii="Arial Narrow" w:hAnsi="Arial Narrow"/>
                <w:color w:val="000000"/>
                <w:sz w:val="20"/>
              </w:rPr>
              <w:t>-0.00 (-0.02, 0.01)</w:t>
            </w:r>
          </w:p>
        </w:tc>
      </w:tr>
      <w:tr w:rsidR="00287018" w:rsidRPr="003819C3" w:rsidTr="0060355F">
        <w:trPr>
          <w:jc w:val="right"/>
        </w:trPr>
        <w:tc>
          <w:tcPr>
            <w:tcW w:w="509" w:type="pct"/>
            <w:shd w:val="clear" w:color="auto" w:fill="auto"/>
            <w:vAlign w:val="center"/>
          </w:tcPr>
          <w:p w:rsidR="00287018" w:rsidRPr="003819C3" w:rsidRDefault="00287018"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III</w:t>
            </w:r>
          </w:p>
        </w:tc>
        <w:tc>
          <w:tcPr>
            <w:tcW w:w="424" w:type="pct"/>
            <w:vAlign w:val="center"/>
          </w:tcPr>
          <w:p w:rsidR="00287018" w:rsidRPr="003819C3" w:rsidRDefault="004B5F06" w:rsidP="007866BE">
            <w:pPr>
              <w:keepNext/>
              <w:keepLines/>
              <w:widowControl/>
              <w:jc w:val="center"/>
              <w:rPr>
                <w:rFonts w:ascii="Arial Narrow" w:hAnsi="Arial Narrow"/>
                <w:color w:val="000000"/>
                <w:sz w:val="20"/>
              </w:rPr>
            </w:pPr>
            <w:r w:rsidRPr="003819C3">
              <w:rPr>
                <w:rFonts w:ascii="Arial Narrow" w:hAnsi="Arial Narrow"/>
                <w:color w:val="000000"/>
                <w:sz w:val="20"/>
              </w:rPr>
              <w:t>4/435</w:t>
            </w:r>
          </w:p>
        </w:tc>
        <w:tc>
          <w:tcPr>
            <w:tcW w:w="423" w:type="pct"/>
            <w:gridSpan w:val="3"/>
            <w:vAlign w:val="center"/>
          </w:tcPr>
          <w:p w:rsidR="00287018" w:rsidRPr="003819C3" w:rsidRDefault="004B5F06" w:rsidP="007866BE">
            <w:pPr>
              <w:keepNext/>
              <w:keepLines/>
              <w:widowControl/>
              <w:jc w:val="center"/>
              <w:rPr>
                <w:rFonts w:ascii="Arial Narrow" w:hAnsi="Arial Narrow"/>
                <w:color w:val="000000"/>
                <w:sz w:val="20"/>
              </w:rPr>
            </w:pPr>
            <w:r w:rsidRPr="003819C3">
              <w:rPr>
                <w:rFonts w:ascii="Arial Narrow" w:hAnsi="Arial Narrow"/>
                <w:color w:val="000000"/>
                <w:sz w:val="20"/>
              </w:rPr>
              <w:t>4/438</w:t>
            </w:r>
          </w:p>
        </w:tc>
        <w:tc>
          <w:tcPr>
            <w:tcW w:w="849" w:type="pct"/>
            <w:gridSpan w:val="3"/>
            <w:vAlign w:val="center"/>
          </w:tcPr>
          <w:p w:rsidR="00287018" w:rsidRPr="003819C3" w:rsidRDefault="00287018" w:rsidP="007866BE">
            <w:pPr>
              <w:keepNext/>
              <w:keepLines/>
              <w:widowControl/>
              <w:jc w:val="center"/>
              <w:rPr>
                <w:rFonts w:ascii="Arial Narrow" w:hAnsi="Arial Narrow"/>
                <w:color w:val="000000"/>
                <w:sz w:val="20"/>
              </w:rPr>
            </w:pPr>
            <w:r w:rsidRPr="003819C3">
              <w:rPr>
                <w:rFonts w:ascii="Arial Narrow" w:hAnsi="Arial Narrow"/>
                <w:sz w:val="20"/>
                <w:lang w:val="en-US"/>
              </w:rPr>
              <w:t>1.00 (0.31, 3.23)</w:t>
            </w:r>
          </w:p>
        </w:tc>
        <w:tc>
          <w:tcPr>
            <w:tcW w:w="850" w:type="pct"/>
            <w:gridSpan w:val="5"/>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0.9</w:t>
            </w:r>
          </w:p>
        </w:tc>
        <w:tc>
          <w:tcPr>
            <w:tcW w:w="766" w:type="pct"/>
            <w:gridSpan w:val="2"/>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0.9</w:t>
            </w:r>
          </w:p>
        </w:tc>
        <w:tc>
          <w:tcPr>
            <w:tcW w:w="1179" w:type="pct"/>
            <w:gridSpan w:val="2"/>
            <w:vAlign w:val="center"/>
          </w:tcPr>
          <w:p w:rsidR="00287018" w:rsidRPr="003819C3" w:rsidRDefault="004B5F06" w:rsidP="007866BE">
            <w:pPr>
              <w:keepNext/>
              <w:keepLines/>
              <w:widowControl/>
              <w:jc w:val="center"/>
              <w:rPr>
                <w:rFonts w:ascii="Arial Narrow" w:hAnsi="Arial Narrow"/>
                <w:color w:val="000000"/>
                <w:sz w:val="20"/>
              </w:rPr>
            </w:pPr>
            <w:r w:rsidRPr="003819C3">
              <w:rPr>
                <w:rFonts w:ascii="Arial Narrow" w:hAnsi="Arial Narrow"/>
                <w:color w:val="000000"/>
                <w:sz w:val="20"/>
              </w:rPr>
              <w:t>0.00 (-0.02, 0.02)</w:t>
            </w:r>
          </w:p>
        </w:tc>
      </w:tr>
      <w:tr w:rsidR="00287018" w:rsidRPr="003819C3" w:rsidTr="0060355F">
        <w:trPr>
          <w:jc w:val="right"/>
        </w:trPr>
        <w:tc>
          <w:tcPr>
            <w:tcW w:w="509" w:type="pct"/>
            <w:shd w:val="clear" w:color="auto" w:fill="auto"/>
            <w:vAlign w:val="center"/>
          </w:tcPr>
          <w:p w:rsidR="00287018" w:rsidRPr="003819C3" w:rsidRDefault="00287018" w:rsidP="007866BE">
            <w:pPr>
              <w:keepNext/>
              <w:keepLines/>
              <w:widowControl/>
              <w:rPr>
                <w:rFonts w:ascii="Arial Narrow" w:hAnsi="Arial Narrow"/>
                <w:color w:val="000000"/>
                <w:sz w:val="20"/>
                <w:szCs w:val="18"/>
              </w:rPr>
            </w:pPr>
            <w:r w:rsidRPr="003819C3">
              <w:rPr>
                <w:rFonts w:ascii="Arial Narrow" w:hAnsi="Arial Narrow"/>
                <w:color w:val="000000"/>
                <w:sz w:val="20"/>
                <w:szCs w:val="18"/>
              </w:rPr>
              <w:t>EDITION IV</w:t>
            </w:r>
          </w:p>
        </w:tc>
        <w:tc>
          <w:tcPr>
            <w:tcW w:w="424" w:type="pct"/>
            <w:vAlign w:val="center"/>
          </w:tcPr>
          <w:p w:rsidR="00287018" w:rsidRPr="003819C3" w:rsidRDefault="004B5F06" w:rsidP="007866BE">
            <w:pPr>
              <w:keepNext/>
              <w:keepLines/>
              <w:widowControl/>
              <w:jc w:val="center"/>
              <w:rPr>
                <w:rFonts w:ascii="Arial Narrow" w:hAnsi="Arial Narrow"/>
                <w:color w:val="000000"/>
                <w:sz w:val="20"/>
              </w:rPr>
            </w:pPr>
            <w:r w:rsidRPr="003819C3">
              <w:rPr>
                <w:rFonts w:ascii="Arial Narrow" w:hAnsi="Arial Narrow"/>
                <w:color w:val="000000"/>
                <w:sz w:val="20"/>
              </w:rPr>
              <w:t>18/274</w:t>
            </w:r>
          </w:p>
        </w:tc>
        <w:tc>
          <w:tcPr>
            <w:tcW w:w="423" w:type="pct"/>
            <w:gridSpan w:val="3"/>
            <w:vAlign w:val="center"/>
          </w:tcPr>
          <w:p w:rsidR="00287018" w:rsidRPr="003819C3" w:rsidRDefault="004B5F06" w:rsidP="007866BE">
            <w:pPr>
              <w:keepNext/>
              <w:keepLines/>
              <w:widowControl/>
              <w:jc w:val="center"/>
              <w:rPr>
                <w:rFonts w:ascii="Arial Narrow" w:hAnsi="Arial Narrow"/>
                <w:color w:val="000000"/>
                <w:sz w:val="20"/>
              </w:rPr>
            </w:pPr>
            <w:r w:rsidRPr="003819C3">
              <w:rPr>
                <w:rFonts w:ascii="Arial Narrow" w:hAnsi="Arial Narrow"/>
                <w:color w:val="000000"/>
                <w:sz w:val="20"/>
              </w:rPr>
              <w:t>26/275</w:t>
            </w:r>
          </w:p>
        </w:tc>
        <w:tc>
          <w:tcPr>
            <w:tcW w:w="849" w:type="pct"/>
            <w:gridSpan w:val="3"/>
            <w:vAlign w:val="center"/>
          </w:tcPr>
          <w:p w:rsidR="00287018" w:rsidRPr="003819C3" w:rsidRDefault="00287018" w:rsidP="007866BE">
            <w:pPr>
              <w:keepNext/>
              <w:keepLines/>
              <w:widowControl/>
              <w:jc w:val="center"/>
              <w:rPr>
                <w:rFonts w:ascii="Arial Narrow" w:hAnsi="Arial Narrow"/>
                <w:color w:val="000000"/>
                <w:sz w:val="20"/>
              </w:rPr>
            </w:pPr>
            <w:r w:rsidRPr="003819C3">
              <w:rPr>
                <w:rFonts w:ascii="Arial Narrow" w:hAnsi="Arial Narrow"/>
                <w:sz w:val="20"/>
                <w:lang w:val="en-US"/>
              </w:rPr>
              <w:t>0.71 (0.41, 1.24)</w:t>
            </w:r>
          </w:p>
        </w:tc>
        <w:tc>
          <w:tcPr>
            <w:tcW w:w="850" w:type="pct"/>
            <w:gridSpan w:val="5"/>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6.6</w:t>
            </w:r>
          </w:p>
        </w:tc>
        <w:tc>
          <w:tcPr>
            <w:tcW w:w="766" w:type="pct"/>
            <w:gridSpan w:val="2"/>
          </w:tcPr>
          <w:p w:rsidR="00287018" w:rsidRPr="003819C3" w:rsidRDefault="00287018" w:rsidP="007866BE">
            <w:pPr>
              <w:keepNext/>
              <w:keepLines/>
              <w:widowControl/>
              <w:jc w:val="center"/>
              <w:rPr>
                <w:rFonts w:ascii="Arial Narrow" w:hAnsi="Arial Narrow"/>
                <w:sz w:val="20"/>
                <w:lang w:val="en-US"/>
              </w:rPr>
            </w:pPr>
            <w:r w:rsidRPr="003819C3">
              <w:rPr>
                <w:rFonts w:ascii="Arial Narrow" w:hAnsi="Arial Narrow"/>
                <w:sz w:val="20"/>
                <w:lang w:val="en-US"/>
              </w:rPr>
              <w:t>9.5</w:t>
            </w:r>
          </w:p>
        </w:tc>
        <w:tc>
          <w:tcPr>
            <w:tcW w:w="1179" w:type="pct"/>
            <w:gridSpan w:val="2"/>
            <w:vAlign w:val="center"/>
          </w:tcPr>
          <w:p w:rsidR="00287018" w:rsidRPr="003819C3" w:rsidRDefault="008F2707" w:rsidP="007866BE">
            <w:pPr>
              <w:keepNext/>
              <w:keepLines/>
              <w:widowControl/>
              <w:jc w:val="center"/>
              <w:rPr>
                <w:rFonts w:ascii="Arial Narrow" w:hAnsi="Arial Narrow"/>
                <w:color w:val="000000"/>
                <w:sz w:val="20"/>
              </w:rPr>
            </w:pPr>
            <w:r w:rsidRPr="003819C3">
              <w:rPr>
                <w:rFonts w:ascii="Arial Narrow" w:hAnsi="Arial Narrow"/>
                <w:color w:val="000000"/>
                <w:sz w:val="20"/>
              </w:rPr>
              <w:t>-0.03 (-0.08, 0.02)</w:t>
            </w:r>
          </w:p>
        </w:tc>
      </w:tr>
    </w:tbl>
    <w:p w:rsidR="00B62715" w:rsidRPr="003819C3" w:rsidRDefault="0060355F" w:rsidP="007866BE">
      <w:pPr>
        <w:pStyle w:val="TableFooter"/>
        <w:keepNext/>
        <w:keepLines/>
        <w:widowControl/>
        <w:ind w:left="709" w:firstLine="11"/>
      </w:pPr>
      <w:r>
        <w:t>Ab</w:t>
      </w:r>
      <w:r w:rsidRPr="003819C3">
        <w:t>breviations</w:t>
      </w:r>
      <w:r w:rsidR="00AC46BB" w:rsidRPr="003819C3">
        <w:t>: CI=confidence interval; RD=risk difference; RR=risk ratio; SE=standard error</w:t>
      </w:r>
      <w:r>
        <w:t xml:space="preserve">. </w:t>
      </w:r>
      <w:r w:rsidR="00AC46BB" w:rsidRPr="003819C3">
        <w:t>Source: Table B.19, p63; Table B.20, p65; Table B.33, p86; Table B.39, p119; Table B.42, p124; Table B.45, 128; Table B.48, p132 of the submission.</w:t>
      </w:r>
    </w:p>
    <w:p w:rsidR="0060355F" w:rsidRPr="0060355F" w:rsidRDefault="0060355F" w:rsidP="007866BE">
      <w:pPr>
        <w:pStyle w:val="ListParagraph"/>
        <w:widowControl/>
        <w:rPr>
          <w:szCs w:val="22"/>
        </w:rPr>
      </w:pPr>
    </w:p>
    <w:p w:rsidR="00AF4F65" w:rsidRPr="003819C3" w:rsidRDefault="00AF4F65" w:rsidP="007866BE">
      <w:pPr>
        <w:pStyle w:val="ListParagraph"/>
        <w:widowControl/>
        <w:numPr>
          <w:ilvl w:val="1"/>
          <w:numId w:val="10"/>
        </w:numPr>
        <w:rPr>
          <w:szCs w:val="22"/>
        </w:rPr>
      </w:pPr>
      <w:r w:rsidRPr="003819C3">
        <w:t>On the basis of one head-to-head trial (EDITION IV) presented in the submission, U300 appears to have the same effect as U100 in the treatment of T1DM. On the basis of three head-to-head trials (EDITION I, II and III), U300 appears to have the same effect as U100 in the treatment of T2DM. For T1DM and T2DM, the outcome assessed was glycosylated haemoglobin.</w:t>
      </w:r>
    </w:p>
    <w:p w:rsidR="00AF4F65" w:rsidRPr="003819C3" w:rsidRDefault="00AF4F65" w:rsidP="007866BE">
      <w:pPr>
        <w:pStyle w:val="ListParagraph"/>
        <w:widowControl/>
        <w:rPr>
          <w:szCs w:val="22"/>
        </w:rPr>
      </w:pPr>
      <w:r w:rsidRPr="003819C3">
        <w:t xml:space="preserve"> </w:t>
      </w:r>
    </w:p>
    <w:p w:rsidR="00AF4F65" w:rsidRPr="003819C3" w:rsidRDefault="00AF4F65" w:rsidP="007866BE">
      <w:pPr>
        <w:pStyle w:val="ListParagraph"/>
        <w:widowControl/>
        <w:numPr>
          <w:ilvl w:val="1"/>
          <w:numId w:val="10"/>
        </w:numPr>
        <w:rPr>
          <w:szCs w:val="22"/>
        </w:rPr>
      </w:pPr>
      <w:r w:rsidRPr="003819C3">
        <w:rPr>
          <w:szCs w:val="22"/>
        </w:rPr>
        <w:t xml:space="preserve">On the basis of one head-to-head trial </w:t>
      </w:r>
      <w:r w:rsidRPr="003819C3">
        <w:t>(EDITION IV)</w:t>
      </w:r>
      <w:r w:rsidRPr="003819C3">
        <w:rPr>
          <w:szCs w:val="22"/>
        </w:rPr>
        <w:t>, the frequency of adverse events appears to be the same for U300 and U100 in the treatment of T1DM.</w:t>
      </w:r>
    </w:p>
    <w:p w:rsidR="00AF4F65" w:rsidRPr="003819C3" w:rsidRDefault="00AF4F65" w:rsidP="007866BE">
      <w:pPr>
        <w:pStyle w:val="ListParagraph"/>
        <w:widowControl/>
        <w:rPr>
          <w:szCs w:val="22"/>
        </w:rPr>
      </w:pPr>
    </w:p>
    <w:p w:rsidR="00C21718" w:rsidRPr="003819C3" w:rsidRDefault="00AF4F65" w:rsidP="007866BE">
      <w:pPr>
        <w:pStyle w:val="ListParagraph"/>
        <w:widowControl/>
        <w:numPr>
          <w:ilvl w:val="1"/>
          <w:numId w:val="10"/>
        </w:numPr>
        <w:rPr>
          <w:szCs w:val="22"/>
        </w:rPr>
      </w:pPr>
      <w:r w:rsidRPr="003819C3">
        <w:rPr>
          <w:szCs w:val="22"/>
        </w:rPr>
        <w:t xml:space="preserve">On the basis of three head-to-head trials </w:t>
      </w:r>
      <w:r w:rsidRPr="003819C3">
        <w:t>(EDITION I, II and III)</w:t>
      </w:r>
      <w:r w:rsidRPr="003819C3">
        <w:rPr>
          <w:szCs w:val="22"/>
        </w:rPr>
        <w:t xml:space="preserve">, with the possible exception of hypoglycaemia, the frequency of adverse events appears to be the same for U300 and U100 in the treatment of T2DM. Based on two of the trials in patients previously treated with insulin (EDITION I and II), U300 </w:t>
      </w:r>
      <w:r w:rsidR="00FF79F1">
        <w:rPr>
          <w:szCs w:val="22"/>
        </w:rPr>
        <w:t xml:space="preserve">given at night </w:t>
      </w:r>
      <w:r w:rsidR="00B77E8B" w:rsidRPr="003819C3">
        <w:rPr>
          <w:szCs w:val="22"/>
        </w:rPr>
        <w:t xml:space="preserve">appears </w:t>
      </w:r>
      <w:r w:rsidRPr="003819C3">
        <w:rPr>
          <w:szCs w:val="22"/>
        </w:rPr>
        <w:t>less likely to cause hypoglycaemia</w:t>
      </w:r>
      <w:r w:rsidR="00CB1CE1">
        <w:rPr>
          <w:szCs w:val="22"/>
        </w:rPr>
        <w:t xml:space="preserve"> during the night</w:t>
      </w:r>
      <w:r w:rsidR="00FF79F1">
        <w:rPr>
          <w:szCs w:val="22"/>
        </w:rPr>
        <w:t xml:space="preserve"> compared to night-time dosing of U100</w:t>
      </w:r>
      <w:r w:rsidRPr="003819C3">
        <w:rPr>
          <w:szCs w:val="22"/>
        </w:rPr>
        <w:t xml:space="preserve">. Per 100 patients treated, 6-10 are less likely to have </w:t>
      </w:r>
      <w:r w:rsidR="00AC46BB" w:rsidRPr="003819C3">
        <w:rPr>
          <w:szCs w:val="22"/>
        </w:rPr>
        <w:t xml:space="preserve">severe and/or confirmed </w:t>
      </w:r>
      <w:r w:rsidRPr="003819C3">
        <w:rPr>
          <w:szCs w:val="22"/>
        </w:rPr>
        <w:t>hypoglycaemia during the night over a maximum duration of follow-up of 6 months.</w:t>
      </w:r>
      <w:r w:rsidR="00E0292E">
        <w:rPr>
          <w:szCs w:val="22"/>
        </w:rPr>
        <w:t xml:space="preserve"> However, there was no evidence of a difference in severe hypoglycaemia in EDITION I and II.</w:t>
      </w:r>
      <w:r w:rsidRPr="003819C3">
        <w:rPr>
          <w:szCs w:val="22"/>
        </w:rPr>
        <w:t xml:space="preserve"> Based on the third trial in patients not previously treated with insulin (EDITION III), the frequency of </w:t>
      </w:r>
      <w:r w:rsidR="00AC46BB" w:rsidRPr="003819C3">
        <w:rPr>
          <w:szCs w:val="22"/>
        </w:rPr>
        <w:t xml:space="preserve">severe and/or confirmed </w:t>
      </w:r>
      <w:r w:rsidRPr="003819C3">
        <w:rPr>
          <w:szCs w:val="22"/>
        </w:rPr>
        <w:t>hypoglycaemic events was similar for U300 and U100.</w:t>
      </w:r>
    </w:p>
    <w:p w:rsidR="00666B9F" w:rsidRPr="003819C3" w:rsidRDefault="00666B9F" w:rsidP="007866BE">
      <w:pPr>
        <w:pStyle w:val="ListParagraph"/>
        <w:widowControl/>
        <w:rPr>
          <w:szCs w:val="22"/>
        </w:rPr>
      </w:pPr>
    </w:p>
    <w:p w:rsidR="00666B9F" w:rsidRPr="003819C3" w:rsidRDefault="00666B9F" w:rsidP="007866BE">
      <w:pPr>
        <w:pStyle w:val="ListParagraph"/>
        <w:widowControl/>
        <w:numPr>
          <w:ilvl w:val="1"/>
          <w:numId w:val="10"/>
        </w:numPr>
        <w:rPr>
          <w:szCs w:val="22"/>
        </w:rPr>
      </w:pPr>
      <w:r w:rsidRPr="003819C3">
        <w:rPr>
          <w:szCs w:val="22"/>
        </w:rPr>
        <w:t xml:space="preserve">On the basis of three head-to-head trials </w:t>
      </w:r>
      <w:r w:rsidRPr="003819C3">
        <w:t>(EDITION I, II and III), the</w:t>
      </w:r>
      <w:r w:rsidR="00620FAE" w:rsidRPr="003819C3">
        <w:t xml:space="preserve"> frequency of</w:t>
      </w:r>
      <w:r w:rsidRPr="003819C3">
        <w:t xml:space="preserve"> severe hypoglycaemic events, defined as an event requiring assistance from another person to actively administer carbohydrate, glucagon or other resuscitative action</w:t>
      </w:r>
      <w:r w:rsidR="00620FAE" w:rsidRPr="003819C3">
        <w:t>, appears to be the same for U300 and U100</w:t>
      </w:r>
      <w:r w:rsidRPr="003819C3">
        <w:t>.</w:t>
      </w:r>
    </w:p>
    <w:p w:rsidR="00B60939" w:rsidRDefault="00B60939" w:rsidP="007866BE">
      <w:pPr>
        <w:widowControl/>
      </w:pPr>
    </w:p>
    <w:p w:rsidR="003819C3" w:rsidRPr="003819C3" w:rsidRDefault="003819C3" w:rsidP="007866BE">
      <w:pPr>
        <w:widowControl/>
        <w:ind w:left="709"/>
        <w:rPr>
          <w:i/>
        </w:rPr>
      </w:pPr>
      <w:r w:rsidRPr="003819C3">
        <w:rPr>
          <w:i/>
        </w:rPr>
        <w:t>For more detail on PBAC’s view, see section 7 “PBAC outcome”</w:t>
      </w:r>
    </w:p>
    <w:p w:rsidR="003819C3" w:rsidRPr="003819C3" w:rsidRDefault="003819C3" w:rsidP="007866BE">
      <w:pPr>
        <w:widowControl/>
      </w:pPr>
    </w:p>
    <w:p w:rsidR="00B60939" w:rsidRPr="00857E0E" w:rsidRDefault="00B60939" w:rsidP="007866BE">
      <w:pPr>
        <w:pStyle w:val="Heading2"/>
        <w:widowControl/>
        <w:rPr>
          <w:i/>
        </w:rPr>
      </w:pPr>
      <w:bookmarkStart w:id="12" w:name="_Toc419731764"/>
      <w:r w:rsidRPr="00857E0E">
        <w:rPr>
          <w:i/>
        </w:rPr>
        <w:t>Clinical claim</w:t>
      </w:r>
      <w:bookmarkEnd w:id="12"/>
    </w:p>
    <w:p w:rsidR="00B60939" w:rsidRPr="003819C3" w:rsidRDefault="00B60939" w:rsidP="007866BE">
      <w:pPr>
        <w:widowControl/>
        <w:ind w:left="720" w:hanging="720"/>
        <w:rPr>
          <w:szCs w:val="22"/>
        </w:rPr>
      </w:pPr>
    </w:p>
    <w:p w:rsidR="00C81957" w:rsidRPr="006178B9" w:rsidRDefault="00C81957" w:rsidP="007866BE">
      <w:pPr>
        <w:pStyle w:val="ListParagraph"/>
        <w:widowControl/>
        <w:numPr>
          <w:ilvl w:val="1"/>
          <w:numId w:val="10"/>
        </w:numPr>
        <w:rPr>
          <w:szCs w:val="22"/>
        </w:rPr>
      </w:pPr>
      <w:r w:rsidRPr="003819C3">
        <w:t>For the treatment of T1DM the submission describes U300 as non-inferior in terms of comparative effectiveness and comparative safety over U100. Th</w:t>
      </w:r>
      <w:r w:rsidR="002079CE">
        <w:t>e ESC considered this</w:t>
      </w:r>
      <w:r w:rsidRPr="003819C3">
        <w:t xml:space="preserve"> claim </w:t>
      </w:r>
      <w:r w:rsidR="002079CE">
        <w:t>wa</w:t>
      </w:r>
      <w:r w:rsidRPr="003819C3">
        <w:t>s adequately supported.</w:t>
      </w:r>
    </w:p>
    <w:p w:rsidR="006178B9" w:rsidRPr="006178B9" w:rsidRDefault="006178B9" w:rsidP="007866BE">
      <w:pPr>
        <w:pStyle w:val="ListParagraph"/>
        <w:widowControl/>
        <w:rPr>
          <w:szCs w:val="22"/>
        </w:rPr>
      </w:pPr>
    </w:p>
    <w:p w:rsidR="006178B9" w:rsidRPr="00FE1081" w:rsidRDefault="006178B9" w:rsidP="007866BE">
      <w:pPr>
        <w:pStyle w:val="ListParagraph"/>
        <w:widowControl/>
        <w:numPr>
          <w:ilvl w:val="1"/>
          <w:numId w:val="10"/>
        </w:numPr>
        <w:rPr>
          <w:szCs w:val="22"/>
        </w:rPr>
      </w:pPr>
      <w:r w:rsidRPr="00FE1081">
        <w:rPr>
          <w:szCs w:val="22"/>
        </w:rPr>
        <w:t>The PBAC considered that the claim of non-inferior comparative effectiveness was reasonable.</w:t>
      </w:r>
    </w:p>
    <w:p w:rsidR="006178B9" w:rsidRPr="00FE1081" w:rsidRDefault="006178B9" w:rsidP="007866BE">
      <w:pPr>
        <w:pStyle w:val="ListParagraph"/>
        <w:widowControl/>
        <w:rPr>
          <w:szCs w:val="22"/>
        </w:rPr>
      </w:pPr>
    </w:p>
    <w:p w:rsidR="006178B9" w:rsidRPr="00FE1081" w:rsidRDefault="006178B9" w:rsidP="007866BE">
      <w:pPr>
        <w:pStyle w:val="ListParagraph"/>
        <w:widowControl/>
        <w:numPr>
          <w:ilvl w:val="1"/>
          <w:numId w:val="10"/>
        </w:numPr>
        <w:rPr>
          <w:szCs w:val="22"/>
        </w:rPr>
      </w:pPr>
      <w:r w:rsidRPr="00FE1081">
        <w:rPr>
          <w:szCs w:val="22"/>
        </w:rPr>
        <w:t>The PBAC considered that the claim of non-inferior comparative safety was reasonable.</w:t>
      </w:r>
    </w:p>
    <w:p w:rsidR="006178B9" w:rsidRDefault="006178B9" w:rsidP="007866BE">
      <w:pPr>
        <w:pStyle w:val="ListParagraph"/>
        <w:widowControl/>
        <w:rPr>
          <w:szCs w:val="22"/>
        </w:rPr>
      </w:pPr>
    </w:p>
    <w:p w:rsidR="00325991" w:rsidRPr="003819C3" w:rsidRDefault="00325991" w:rsidP="007866BE">
      <w:pPr>
        <w:pStyle w:val="ListParagraph"/>
        <w:widowControl/>
        <w:numPr>
          <w:ilvl w:val="1"/>
          <w:numId w:val="10"/>
        </w:numPr>
        <w:rPr>
          <w:szCs w:val="22"/>
        </w:rPr>
      </w:pPr>
      <w:r w:rsidRPr="003819C3">
        <w:t xml:space="preserve">For the treatment of T2DM the submission describes U300 as non-inferior in terms of comparative effectiveness and superior in terms of comparative safety (reduced risk of hypoglycaemia) over U100. </w:t>
      </w:r>
      <w:r w:rsidR="005B19A5">
        <w:t>The ESC considered t</w:t>
      </w:r>
      <w:r w:rsidRPr="003819C3">
        <w:t>he claim of non-inferiority</w:t>
      </w:r>
      <w:r w:rsidR="005B19A5">
        <w:t xml:space="preserve"> for comparative effectiveness wa</w:t>
      </w:r>
      <w:r w:rsidRPr="003819C3">
        <w:t xml:space="preserve">s adequately supported. </w:t>
      </w:r>
      <w:r w:rsidR="00432729" w:rsidRPr="003819C3">
        <w:t>The ESC considered t</w:t>
      </w:r>
      <w:r w:rsidRPr="003819C3">
        <w:t xml:space="preserve">he clinical significance of the claimed reduction in hypoglycaemia </w:t>
      </w:r>
      <w:r w:rsidR="00432729" w:rsidRPr="003819C3">
        <w:t>wa</w:t>
      </w:r>
      <w:r w:rsidR="00746100" w:rsidRPr="003819C3">
        <w:t xml:space="preserve">s questionable </w:t>
      </w:r>
      <w:r w:rsidRPr="003819C3">
        <w:t>given:</w:t>
      </w:r>
    </w:p>
    <w:p w:rsidR="00325991" w:rsidRPr="003819C3" w:rsidRDefault="00325991" w:rsidP="007866BE">
      <w:pPr>
        <w:widowControl/>
        <w:numPr>
          <w:ilvl w:val="1"/>
          <w:numId w:val="28"/>
        </w:numPr>
        <w:tabs>
          <w:tab w:val="clear" w:pos="1569"/>
        </w:tabs>
        <w:ind w:left="993" w:hanging="284"/>
      </w:pPr>
      <w:r w:rsidRPr="003819C3">
        <w:t xml:space="preserve">A statistically significant reduction in the proportion of patients with at least one nocturnal severe and/or confirmed hypoglycaemic event between the start of week 9 and month 6 was observed with U300 in EDITION I and II but not EDITION III. </w:t>
      </w:r>
    </w:p>
    <w:p w:rsidR="00325991" w:rsidRPr="003819C3" w:rsidRDefault="00325991" w:rsidP="007866BE">
      <w:pPr>
        <w:widowControl/>
        <w:numPr>
          <w:ilvl w:val="1"/>
          <w:numId w:val="28"/>
        </w:numPr>
        <w:tabs>
          <w:tab w:val="clear" w:pos="1569"/>
        </w:tabs>
        <w:ind w:left="993" w:hanging="284"/>
      </w:pPr>
      <w:r w:rsidRPr="003819C3">
        <w:t>In the three trials patients were dosed in the evening, and a reduction in nocturnal hypoglycaemia with U300 may not be observed for patients dosed at other times of the day.</w:t>
      </w:r>
      <w:r w:rsidR="00AC46BB" w:rsidRPr="003819C3">
        <w:t xml:space="preserve"> Evidence comparing the impact of the time of injection on the occurrence of hypoglycaemia in T2DM is not available (PSCR)</w:t>
      </w:r>
      <w:r w:rsidRPr="003819C3">
        <w:t xml:space="preserve"> </w:t>
      </w:r>
    </w:p>
    <w:p w:rsidR="00325991" w:rsidRPr="003819C3" w:rsidRDefault="006230EB" w:rsidP="007866BE">
      <w:pPr>
        <w:widowControl/>
        <w:numPr>
          <w:ilvl w:val="1"/>
          <w:numId w:val="28"/>
        </w:numPr>
        <w:tabs>
          <w:tab w:val="clear" w:pos="1569"/>
        </w:tabs>
        <w:ind w:left="993" w:hanging="284"/>
      </w:pPr>
      <w:r w:rsidRPr="003819C3">
        <w:t xml:space="preserve">The incidence of hypoglycaemia in the trials may be higher than in clinical practice due to the aggressive glucose targets, and in EDITION I and II, due to enrolling patients </w:t>
      </w:r>
      <w:r w:rsidR="00AC46BB" w:rsidRPr="003819C3">
        <w:t xml:space="preserve">with a range of risk factors for hypoglycaemia (e.g. uncontrolled diabetes despite high doses of basal insulin, long duration of disease, long duration of insulin therapy). Additionally, patients with a history of </w:t>
      </w:r>
      <w:r w:rsidR="00315836" w:rsidRPr="003819C3">
        <w:t>hypoglycaemic</w:t>
      </w:r>
      <w:r w:rsidR="00AC46BB" w:rsidRPr="003819C3">
        <w:t xml:space="preserve"> unawareness were excluded from the trial</w:t>
      </w:r>
      <w:r w:rsidR="00E30648" w:rsidRPr="003819C3">
        <w:t>s</w:t>
      </w:r>
      <w:r w:rsidR="00AC46BB" w:rsidRPr="003819C3">
        <w:t>.</w:t>
      </w:r>
    </w:p>
    <w:p w:rsidR="00C81957" w:rsidRPr="006178B9" w:rsidRDefault="00325991" w:rsidP="007866BE">
      <w:pPr>
        <w:widowControl/>
        <w:numPr>
          <w:ilvl w:val="1"/>
          <w:numId w:val="28"/>
        </w:numPr>
        <w:tabs>
          <w:tab w:val="clear" w:pos="1569"/>
        </w:tabs>
        <w:ind w:left="993" w:hanging="284"/>
        <w:rPr>
          <w:szCs w:val="22"/>
        </w:rPr>
      </w:pPr>
      <w:r w:rsidRPr="003819C3">
        <w:t>A reduction in the incidence of severe hypoglycaemia was not observed with U300 in any of the trials</w:t>
      </w:r>
      <w:r w:rsidR="00AC46BB" w:rsidRPr="003819C3">
        <w:t xml:space="preserve">, noting that the EDITION trials were not powered to detect a </w:t>
      </w:r>
      <w:r w:rsidR="00AC46BB" w:rsidRPr="006178B9">
        <w:t>difference in severe events alone</w:t>
      </w:r>
      <w:r w:rsidR="00EC2B1D" w:rsidRPr="006178B9">
        <w:t>.</w:t>
      </w:r>
    </w:p>
    <w:p w:rsidR="00C81957" w:rsidRPr="006178B9" w:rsidRDefault="00C81957" w:rsidP="007866BE">
      <w:pPr>
        <w:widowControl/>
      </w:pPr>
    </w:p>
    <w:p w:rsidR="006178B9" w:rsidRPr="00FE1081" w:rsidRDefault="006178B9" w:rsidP="007866BE">
      <w:pPr>
        <w:pStyle w:val="ListParagraph"/>
        <w:widowControl/>
        <w:numPr>
          <w:ilvl w:val="1"/>
          <w:numId w:val="10"/>
        </w:numPr>
        <w:rPr>
          <w:bCs/>
          <w:szCs w:val="22"/>
        </w:rPr>
      </w:pPr>
      <w:r w:rsidRPr="00FE1081">
        <w:rPr>
          <w:bCs/>
          <w:szCs w:val="22"/>
        </w:rPr>
        <w:t>The PBAC considered that the claim of non-inferior comparative effectiveness was reasonable.</w:t>
      </w:r>
    </w:p>
    <w:p w:rsidR="006178B9" w:rsidRPr="00FE1081" w:rsidRDefault="006178B9" w:rsidP="007866BE">
      <w:pPr>
        <w:pStyle w:val="ListParagraph"/>
        <w:widowControl/>
        <w:ind w:left="1080"/>
        <w:jc w:val="left"/>
        <w:rPr>
          <w:bCs/>
          <w:szCs w:val="22"/>
        </w:rPr>
      </w:pPr>
    </w:p>
    <w:p w:rsidR="006178B9" w:rsidRPr="00FE1081" w:rsidRDefault="006178B9" w:rsidP="007866BE">
      <w:pPr>
        <w:pStyle w:val="ListParagraph"/>
        <w:widowControl/>
        <w:numPr>
          <w:ilvl w:val="1"/>
          <w:numId w:val="10"/>
        </w:numPr>
        <w:rPr>
          <w:szCs w:val="22"/>
        </w:rPr>
      </w:pPr>
      <w:r w:rsidRPr="00FE1081">
        <w:rPr>
          <w:szCs w:val="22"/>
        </w:rPr>
        <w:t>The PBAC considered that the claim of superior comparative safety was not adequately supported by the data.</w:t>
      </w:r>
    </w:p>
    <w:p w:rsidR="006178B9" w:rsidRDefault="006178B9" w:rsidP="007866BE">
      <w:pPr>
        <w:widowControl/>
      </w:pPr>
    </w:p>
    <w:p w:rsidR="003819C3" w:rsidRPr="003819C3" w:rsidRDefault="003819C3" w:rsidP="007866BE">
      <w:pPr>
        <w:widowControl/>
        <w:ind w:left="709"/>
        <w:rPr>
          <w:i/>
        </w:rPr>
      </w:pPr>
      <w:r w:rsidRPr="003819C3">
        <w:rPr>
          <w:i/>
        </w:rPr>
        <w:t>For more detail on PBAC’s view, see section 7 “PBAC outcome”</w:t>
      </w:r>
    </w:p>
    <w:p w:rsidR="003819C3" w:rsidRPr="003819C3" w:rsidRDefault="003819C3" w:rsidP="007866BE">
      <w:pPr>
        <w:widowControl/>
      </w:pPr>
    </w:p>
    <w:p w:rsidR="00B60939" w:rsidRPr="00857E0E" w:rsidRDefault="00B60939" w:rsidP="007866BE">
      <w:pPr>
        <w:pStyle w:val="Heading2"/>
        <w:widowControl/>
        <w:rPr>
          <w:i/>
        </w:rPr>
      </w:pPr>
      <w:bookmarkStart w:id="13" w:name="_Toc419731765"/>
      <w:r w:rsidRPr="00857E0E">
        <w:rPr>
          <w:i/>
        </w:rPr>
        <w:t>Economic analysis</w:t>
      </w:r>
      <w:bookmarkEnd w:id="13"/>
      <w:r w:rsidR="00491B3A" w:rsidRPr="00857E0E">
        <w:rPr>
          <w:i/>
        </w:rPr>
        <w:t xml:space="preserve"> </w:t>
      </w:r>
    </w:p>
    <w:p w:rsidR="00B60939" w:rsidRPr="003819C3" w:rsidRDefault="00B60939" w:rsidP="007866BE">
      <w:pPr>
        <w:widowControl/>
        <w:ind w:left="720" w:hanging="720"/>
        <w:rPr>
          <w:szCs w:val="22"/>
        </w:rPr>
      </w:pPr>
    </w:p>
    <w:p w:rsidR="00C059DA" w:rsidRPr="003819C3" w:rsidRDefault="00C059DA" w:rsidP="007866BE">
      <w:pPr>
        <w:pStyle w:val="ListParagraph"/>
        <w:widowControl/>
        <w:numPr>
          <w:ilvl w:val="1"/>
          <w:numId w:val="10"/>
        </w:numPr>
        <w:rPr>
          <w:szCs w:val="22"/>
        </w:rPr>
      </w:pPr>
      <w:r w:rsidRPr="003819C3">
        <w:t>Cost-minimisation analysis for T1DM:</w:t>
      </w:r>
      <w:r w:rsidRPr="003819C3">
        <w:rPr>
          <w:color w:val="3366FF"/>
        </w:rPr>
        <w:t xml:space="preserve"> </w:t>
      </w:r>
      <w:r w:rsidR="00240A42" w:rsidRPr="003819C3">
        <w:t xml:space="preserve">The submission estimated that </w:t>
      </w:r>
      <w:r w:rsidRPr="003819C3">
        <w:t xml:space="preserve">U300 40.46 units daily and U100 34.12 units daily </w:t>
      </w:r>
      <w:r w:rsidR="00240A42" w:rsidRPr="003819C3">
        <w:t xml:space="preserve">were </w:t>
      </w:r>
      <w:r w:rsidRPr="003819C3">
        <w:t xml:space="preserve">equi-effective (i.e. 1 unit of U300 is equivalent to 0.84 units of U100). The equi-effective doses </w:t>
      </w:r>
      <w:r w:rsidR="00E57264" w:rsidRPr="003819C3">
        <w:t>were</w:t>
      </w:r>
      <w:r w:rsidRPr="003819C3">
        <w:t xml:space="preserve"> based on the mean doses at 6 months in EDITION IV. The equi-effective doses differed for morning </w:t>
      </w:r>
      <w:r w:rsidR="00F818C5" w:rsidRPr="003819C3">
        <w:t>versus</w:t>
      </w:r>
      <w:r w:rsidRPr="003819C3">
        <w:t xml:space="preserve"> evening dosing. For patients dosed </w:t>
      </w:r>
      <w:r w:rsidR="00E57264" w:rsidRPr="003819C3">
        <w:t>in the morning, 1 unit of U300 wa</w:t>
      </w:r>
      <w:r w:rsidRPr="003819C3">
        <w:t xml:space="preserve">s equivalent to 0.90 units of U100. For patients dosed </w:t>
      </w:r>
      <w:r w:rsidR="00E57264" w:rsidRPr="003819C3">
        <w:t>in the evening, 1 unit of U300 wa</w:t>
      </w:r>
      <w:r w:rsidRPr="003819C3">
        <w:t xml:space="preserve">s equivalent to 0.78 units of U100. </w:t>
      </w:r>
      <w:r w:rsidR="00E57264" w:rsidRPr="003819C3">
        <w:t xml:space="preserve">In </w:t>
      </w:r>
      <w:r w:rsidRPr="003819C3">
        <w:t>EDITION IV approximately 50% of patients were dosed in the evening and 50% in the morning.</w:t>
      </w:r>
      <w:r w:rsidR="005B19A5">
        <w:t xml:space="preserve"> The PSCR stated</w:t>
      </w:r>
      <w:r w:rsidR="00F80BEF" w:rsidRPr="003819C3">
        <w:t xml:space="preserve"> that data on the relative proportions of patients dosing at different times of the day i</w:t>
      </w:r>
      <w:r w:rsidR="00EB758E">
        <w:t>n Australian clinical practice we</w:t>
      </w:r>
      <w:r w:rsidR="00F80BEF" w:rsidRPr="003819C3">
        <w:t>re not available.</w:t>
      </w:r>
    </w:p>
    <w:p w:rsidR="00C059DA" w:rsidRPr="003819C3" w:rsidRDefault="00C059DA" w:rsidP="007866BE">
      <w:pPr>
        <w:pStyle w:val="ListParagraph"/>
        <w:widowControl/>
        <w:rPr>
          <w:szCs w:val="22"/>
        </w:rPr>
      </w:pPr>
    </w:p>
    <w:p w:rsidR="009036E9" w:rsidRPr="003819C3" w:rsidRDefault="009036E9" w:rsidP="007866BE">
      <w:pPr>
        <w:pStyle w:val="ListParagraph"/>
        <w:widowControl/>
        <w:numPr>
          <w:ilvl w:val="1"/>
          <w:numId w:val="10"/>
        </w:numPr>
        <w:rPr>
          <w:szCs w:val="22"/>
        </w:rPr>
      </w:pPr>
      <w:r w:rsidRPr="003819C3">
        <w:rPr>
          <w:szCs w:val="22"/>
        </w:rPr>
        <w:t xml:space="preserve">In </w:t>
      </w:r>
      <w:r w:rsidRPr="003819C3">
        <w:t>EDITION</w:t>
      </w:r>
      <w:r w:rsidRPr="003819C3">
        <w:rPr>
          <w:szCs w:val="22"/>
        </w:rPr>
        <w:t xml:space="preserve"> IV, at month 6 the mean daily mealtime insulin dose was higher for patients randomised to U300 compared with U100 (28.66 vs 27.11 units)</w:t>
      </w:r>
      <w:r w:rsidR="00F818C5" w:rsidRPr="003819C3">
        <w:rPr>
          <w:szCs w:val="22"/>
        </w:rPr>
        <w:t>. The cost of mealtime insulin wa</w:t>
      </w:r>
      <w:r w:rsidRPr="003819C3">
        <w:rPr>
          <w:szCs w:val="22"/>
        </w:rPr>
        <w:t>s not included in the T1DM economic analysis. Including the cost of mealtime insulin reduces the cost-minimisation ex-manufacturer price for U300 from $</w:t>
      </w:r>
      <w:r w:rsidR="00B96A59">
        <w:rPr>
          <w:noProof/>
          <w:color w:val="000000"/>
          <w:szCs w:val="22"/>
          <w:highlight w:val="black"/>
        </w:rPr>
        <w:t>''''''''''''''</w:t>
      </w:r>
      <w:r w:rsidRPr="003819C3">
        <w:rPr>
          <w:szCs w:val="22"/>
        </w:rPr>
        <w:t xml:space="preserve"> to approximately $</w:t>
      </w:r>
      <w:r w:rsidR="00B96A59">
        <w:rPr>
          <w:noProof/>
          <w:color w:val="000000"/>
          <w:szCs w:val="22"/>
          <w:highlight w:val="black"/>
        </w:rPr>
        <w:t>'''''''''''''</w:t>
      </w:r>
      <w:r w:rsidRPr="003819C3">
        <w:rPr>
          <w:szCs w:val="22"/>
        </w:rPr>
        <w:t xml:space="preserve"> per 450 unit pen.</w:t>
      </w:r>
    </w:p>
    <w:p w:rsidR="009036E9" w:rsidRPr="003819C3" w:rsidRDefault="009036E9" w:rsidP="007866BE">
      <w:pPr>
        <w:pStyle w:val="ListParagraph"/>
        <w:widowControl/>
        <w:rPr>
          <w:szCs w:val="22"/>
        </w:rPr>
      </w:pPr>
    </w:p>
    <w:p w:rsidR="00616334" w:rsidRPr="003819C3" w:rsidRDefault="00C059DA" w:rsidP="007866BE">
      <w:pPr>
        <w:pStyle w:val="ListParagraph"/>
        <w:widowControl/>
        <w:numPr>
          <w:ilvl w:val="1"/>
          <w:numId w:val="10"/>
        </w:numPr>
        <w:rPr>
          <w:szCs w:val="22"/>
        </w:rPr>
      </w:pPr>
      <w:r w:rsidRPr="003819C3">
        <w:t>Cost-effectiveness analysis for T2DM</w:t>
      </w:r>
      <w:r w:rsidR="009A0FFF" w:rsidRPr="003819C3">
        <w:t>:</w:t>
      </w:r>
      <w:r w:rsidR="00E53CA4" w:rsidRPr="003819C3">
        <w:t xml:space="preserve"> </w:t>
      </w:r>
      <w:r w:rsidR="000055AF" w:rsidRPr="003819C3">
        <w:t xml:space="preserve">In the submission each of the EDITION trials were modelled separately and sequentially (i.e. EDITION III followed by EDITION II followed by EDITION I). </w:t>
      </w:r>
      <w:r w:rsidR="00C81957" w:rsidRPr="003819C3">
        <w:t xml:space="preserve">The models presented </w:t>
      </w:r>
      <w:r w:rsidR="003F44EC" w:rsidRPr="003819C3">
        <w:t>were</w:t>
      </w:r>
      <w:r w:rsidR="00C81957" w:rsidRPr="003819C3">
        <w:t xml:space="preserve"> an adaption of the model included in the March 2006 U100 PBAC submission</w:t>
      </w:r>
      <w:r w:rsidR="003F44EC" w:rsidRPr="003819C3">
        <w:t xml:space="preserve"> in which a disutility wa</w:t>
      </w:r>
      <w:r w:rsidR="00E53CA4" w:rsidRPr="003819C3">
        <w:t>s applied for symptomatic and severe hypoglycaemic events</w:t>
      </w:r>
      <w:r w:rsidR="00F818C5" w:rsidRPr="003819C3">
        <w:t xml:space="preserve"> and for</w:t>
      </w:r>
      <w:r w:rsidR="00E53CA4" w:rsidRPr="003819C3">
        <w:t xml:space="preserve"> fear of future events.</w:t>
      </w:r>
      <w:r w:rsidR="00C81957" w:rsidRPr="003819C3">
        <w:t xml:space="preserve"> In the clinical trials symptomatic and severe hypoglycaemia were safety endpoints. The difference between the U300 and U100 treatment groups was not statistically significant (in post-hoc analyses) for symptomatic events in EDITION I and II and for severe events in the three trials.</w:t>
      </w:r>
      <w:r w:rsidR="00616334" w:rsidRPr="003819C3">
        <w:t xml:space="preserve"> </w:t>
      </w:r>
      <w:r w:rsidR="00C20017" w:rsidRPr="003819C3">
        <w:t>In the trials there was n</w:t>
      </w:r>
      <w:r w:rsidR="00616334" w:rsidRPr="003819C3">
        <w:t xml:space="preserve">o difference between the treatment groups in </w:t>
      </w:r>
      <w:r w:rsidR="00F818C5" w:rsidRPr="003819C3">
        <w:t xml:space="preserve">the </w:t>
      </w:r>
      <w:r w:rsidR="00616334" w:rsidRPr="003819C3">
        <w:t>perceived frequency of hypoglycaemia, fear of hypoglycaemia or EQ-5D utility scores.</w:t>
      </w:r>
    </w:p>
    <w:p w:rsidR="00616334" w:rsidRPr="003819C3" w:rsidRDefault="00616334" w:rsidP="007866BE">
      <w:pPr>
        <w:pStyle w:val="ListParagraph"/>
        <w:widowControl/>
        <w:rPr>
          <w:color w:val="3366FF"/>
        </w:rPr>
      </w:pPr>
    </w:p>
    <w:p w:rsidR="00B60939" w:rsidRPr="00FE1081" w:rsidRDefault="00616334" w:rsidP="007866BE">
      <w:pPr>
        <w:pStyle w:val="ListParagraph"/>
        <w:widowControl/>
        <w:numPr>
          <w:ilvl w:val="1"/>
          <w:numId w:val="10"/>
        </w:numPr>
        <w:rPr>
          <w:szCs w:val="22"/>
        </w:rPr>
      </w:pPr>
      <w:r w:rsidRPr="003819C3">
        <w:t xml:space="preserve">The </w:t>
      </w:r>
      <w:r w:rsidR="00C20017" w:rsidRPr="003819C3">
        <w:t xml:space="preserve">Public Summary Document for the March 2006 </w:t>
      </w:r>
      <w:r w:rsidR="00F818C5" w:rsidRPr="003819C3">
        <w:t xml:space="preserve">U100 </w:t>
      </w:r>
      <w:r w:rsidR="00C20017" w:rsidRPr="003819C3">
        <w:t xml:space="preserve">submission notes that the </w:t>
      </w:r>
      <w:r w:rsidRPr="003819C3">
        <w:t>PBAC</w:t>
      </w:r>
      <w:r w:rsidRPr="003819C3">
        <w:rPr>
          <w:color w:val="3366FF"/>
        </w:rPr>
        <w:t xml:space="preserve"> </w:t>
      </w:r>
      <w:r w:rsidRPr="003819C3">
        <w:t>had a number of major concerns with the economic model for the listing of U100</w:t>
      </w:r>
      <w:r w:rsidR="00C20017" w:rsidRPr="003819C3">
        <w:t>,</w:t>
      </w:r>
      <w:r w:rsidRPr="003819C3">
        <w:t xml:space="preserve"> and the PBAC’s recommendation did not rely on the model presented. </w:t>
      </w:r>
      <w:r w:rsidR="000E1FB9" w:rsidRPr="003819C3">
        <w:t xml:space="preserve">The following PBAC concerns </w:t>
      </w:r>
      <w:r w:rsidR="00E1277E">
        <w:t>were</w:t>
      </w:r>
      <w:r w:rsidR="00E1277E" w:rsidRPr="003819C3">
        <w:t xml:space="preserve"> </w:t>
      </w:r>
      <w:r w:rsidR="000E1FB9" w:rsidRPr="003819C3">
        <w:t xml:space="preserve">not addressed in </w:t>
      </w:r>
      <w:r w:rsidR="00E1277E">
        <w:t>this</w:t>
      </w:r>
      <w:r w:rsidR="000E1FB9" w:rsidRPr="003819C3">
        <w:t xml:space="preserve"> submission</w:t>
      </w:r>
      <w:r w:rsidRPr="00FE1081">
        <w:t>:</w:t>
      </w:r>
    </w:p>
    <w:p w:rsidR="004D7EBB" w:rsidRPr="00FE1081" w:rsidRDefault="000E1FB9" w:rsidP="007866BE">
      <w:pPr>
        <w:widowControl/>
        <w:numPr>
          <w:ilvl w:val="0"/>
          <w:numId w:val="5"/>
        </w:numPr>
        <w:tabs>
          <w:tab w:val="clear" w:pos="720"/>
          <w:tab w:val="num" w:pos="1134"/>
        </w:tabs>
        <w:ind w:left="1134" w:hanging="425"/>
      </w:pPr>
      <w:r w:rsidRPr="00FE1081">
        <w:t>The utility gain associated with a reduction in fear of future events may only arise in a small subset of patients with a directly perceptible reduction in hypoglycaemic e</w:t>
      </w:r>
      <w:r w:rsidR="00EB758E" w:rsidRPr="00FE1081">
        <w:t>vents. The PSCR disagreed</w:t>
      </w:r>
      <w:r w:rsidRPr="00FE1081">
        <w:t xml:space="preserve"> and suggest</w:t>
      </w:r>
      <w:r w:rsidR="00EB758E" w:rsidRPr="00FE1081">
        <w:t>ed</w:t>
      </w:r>
      <w:r w:rsidRPr="00FE1081">
        <w:t xml:space="preserve"> that all patients in the trials who experienced hypoglycaemic events were at risk of fear of hypoglycaemia, and the risk increased with repeated episodes, and likewise decreased as the number of events reduced. However, the ESC considered the argument that there was a significant difference in reduced fear of hypoglycaemia between treatment groups to be flawed given the data collected in the EDITION trials suggest</w:t>
      </w:r>
      <w:r w:rsidR="00EB758E" w:rsidRPr="00FE1081">
        <w:t>ed</w:t>
      </w:r>
      <w:r w:rsidRPr="00FE1081">
        <w:t xml:space="preserve"> there is no difference between the U300 and U100 treatment groups in perceived frequency of hypoglycaemia, fear of hypoglycaemia or EQ-5D utility scores. </w:t>
      </w:r>
      <w:r w:rsidR="004D7EBB" w:rsidRPr="00FE1081">
        <w:t>The PBAC agreed with the ESC that this was a significant issue with the model and did not believe the argument in the pre-PBAC response that the lack of a significant difference in fear of hypoglycaemia in the trials was due to the fact that majority of patients had experienced a hypoglycaemic event and therefore most patients were at risk of fear of hypoglycaemia.</w:t>
      </w:r>
    </w:p>
    <w:p w:rsidR="000E1FB9" w:rsidRPr="00FE1081" w:rsidRDefault="000E1FB9" w:rsidP="007866BE">
      <w:pPr>
        <w:widowControl/>
        <w:numPr>
          <w:ilvl w:val="0"/>
          <w:numId w:val="5"/>
        </w:numPr>
        <w:tabs>
          <w:tab w:val="clear" w:pos="720"/>
          <w:tab w:val="num" w:pos="1134"/>
        </w:tabs>
        <w:ind w:left="1134" w:hanging="425"/>
      </w:pPr>
      <w:r w:rsidRPr="00FE1081">
        <w:t xml:space="preserve">The health states used for the time trade off </w:t>
      </w:r>
      <w:r w:rsidR="00EB758E" w:rsidRPr="00FE1081">
        <w:t xml:space="preserve">(TTO) </w:t>
      </w:r>
      <w:r w:rsidRPr="00FE1081">
        <w:t>study described a typical week and did not capture the chronic nature of the disease, in which there will be considerable variability in symptoms over time.</w:t>
      </w:r>
    </w:p>
    <w:p w:rsidR="000E1FB9" w:rsidRPr="003819C3" w:rsidRDefault="000E1FB9" w:rsidP="007866BE">
      <w:pPr>
        <w:widowControl/>
        <w:numPr>
          <w:ilvl w:val="0"/>
          <w:numId w:val="5"/>
        </w:numPr>
        <w:tabs>
          <w:tab w:val="clear" w:pos="720"/>
          <w:tab w:val="num" w:pos="1134"/>
        </w:tabs>
        <w:ind w:left="1134" w:hanging="425"/>
      </w:pPr>
      <w:r w:rsidRPr="00FE1081">
        <w:t>The assumption inherent in the disutilities for fear of hypoglycaemia</w:t>
      </w:r>
      <w:r w:rsidRPr="003819C3">
        <w:t xml:space="preserve"> is that hypoglycaemic events disappear upon treatment with U300 (based on the way the disutilities from the TTO study have been calculated), whereas in reality these events occur at a reduced rate. </w:t>
      </w:r>
    </w:p>
    <w:p w:rsidR="000E1FB9" w:rsidRPr="003819C3" w:rsidRDefault="000E1FB9" w:rsidP="007866BE">
      <w:pPr>
        <w:widowControl/>
        <w:numPr>
          <w:ilvl w:val="0"/>
          <w:numId w:val="5"/>
        </w:numPr>
        <w:tabs>
          <w:tab w:val="clear" w:pos="720"/>
          <w:tab w:val="num" w:pos="1134"/>
        </w:tabs>
        <w:ind w:left="1134" w:hanging="425"/>
      </w:pPr>
      <w:r w:rsidRPr="003819C3">
        <w:t>The model is independent of the time horizon due to the event rates, costs and disutilities being the same for every 3 month cycle.</w:t>
      </w:r>
    </w:p>
    <w:p w:rsidR="000055AF" w:rsidRPr="003819C3" w:rsidRDefault="000055AF" w:rsidP="007866BE">
      <w:pPr>
        <w:widowControl/>
      </w:pPr>
    </w:p>
    <w:p w:rsidR="00666C30" w:rsidRPr="00FE1081" w:rsidRDefault="00D74146" w:rsidP="007866BE">
      <w:pPr>
        <w:pStyle w:val="ListParagraph"/>
        <w:widowControl/>
        <w:numPr>
          <w:ilvl w:val="1"/>
          <w:numId w:val="10"/>
        </w:numPr>
        <w:rPr>
          <w:szCs w:val="22"/>
        </w:rPr>
      </w:pPr>
      <w:r w:rsidRPr="003819C3">
        <w:t xml:space="preserve">In the </w:t>
      </w:r>
      <w:r w:rsidR="00D568B4" w:rsidRPr="00666C30">
        <w:rPr>
          <w:szCs w:val="22"/>
        </w:rPr>
        <w:t>sequential model the hypoglycaemi</w:t>
      </w:r>
      <w:r w:rsidR="00EA7CB2">
        <w:rPr>
          <w:szCs w:val="22"/>
        </w:rPr>
        <w:t>c</w:t>
      </w:r>
      <w:r w:rsidR="00D568B4" w:rsidRPr="00666C30">
        <w:rPr>
          <w:szCs w:val="22"/>
        </w:rPr>
        <w:t xml:space="preserve"> event rates </w:t>
      </w:r>
      <w:r w:rsidR="00147F43" w:rsidRPr="00666C30">
        <w:rPr>
          <w:szCs w:val="22"/>
        </w:rPr>
        <w:t xml:space="preserve">from EDITION III </w:t>
      </w:r>
      <w:r w:rsidRPr="00666C30">
        <w:rPr>
          <w:szCs w:val="22"/>
        </w:rPr>
        <w:t>were</w:t>
      </w:r>
      <w:r w:rsidR="00147F43" w:rsidRPr="00666C30">
        <w:rPr>
          <w:szCs w:val="22"/>
        </w:rPr>
        <w:t xml:space="preserve"> applied for </w:t>
      </w:r>
      <w:r w:rsidR="00D568B4" w:rsidRPr="00666C30">
        <w:rPr>
          <w:szCs w:val="22"/>
        </w:rPr>
        <w:t>3.75</w:t>
      </w:r>
      <w:r w:rsidR="00147F43" w:rsidRPr="00666C30">
        <w:rPr>
          <w:szCs w:val="22"/>
        </w:rPr>
        <w:t xml:space="preserve"> years, the rates from EDITION II for </w:t>
      </w:r>
      <w:r w:rsidR="00D568B4" w:rsidRPr="00666C30">
        <w:rPr>
          <w:szCs w:val="22"/>
        </w:rPr>
        <w:t>2.75 years</w:t>
      </w:r>
      <w:r w:rsidR="00147F43" w:rsidRPr="00666C30">
        <w:rPr>
          <w:szCs w:val="22"/>
        </w:rPr>
        <w:t xml:space="preserve"> and the rates from EDITION I for 13.5 years</w:t>
      </w:r>
      <w:r w:rsidR="00D568B4" w:rsidRPr="00666C30">
        <w:rPr>
          <w:szCs w:val="22"/>
        </w:rPr>
        <w:t>. The three trials enrolled distinct patient populations based on diabetes treatments received</w:t>
      </w:r>
      <w:r w:rsidR="00666C30" w:rsidRPr="00666C30">
        <w:rPr>
          <w:szCs w:val="22"/>
        </w:rPr>
        <w:t>.</w:t>
      </w:r>
      <w:r w:rsidR="00D568B4" w:rsidRPr="00666C30">
        <w:rPr>
          <w:szCs w:val="22"/>
        </w:rPr>
        <w:t xml:space="preserve"> </w:t>
      </w:r>
      <w:r w:rsidR="00666C30" w:rsidRPr="00FE1081">
        <w:t>The PBAC noted the Pre-PBAC response</w:t>
      </w:r>
      <w:r w:rsidR="00EA7CB2" w:rsidRPr="00FE1081">
        <w:t xml:space="preserve"> continued to argue</w:t>
      </w:r>
      <w:r w:rsidR="00666C30" w:rsidRPr="00FE1081">
        <w:t xml:space="preserve"> </w:t>
      </w:r>
      <w:r w:rsidR="00EA7CB2" w:rsidRPr="00FE1081">
        <w:t xml:space="preserve">the </w:t>
      </w:r>
      <w:r w:rsidR="00EA7CB2" w:rsidRPr="00FE1081">
        <w:rPr>
          <w:szCs w:val="22"/>
        </w:rPr>
        <w:t xml:space="preserve">differences in the patient populations made them appropriate for use in the </w:t>
      </w:r>
      <w:r w:rsidR="00EA7CB2" w:rsidRPr="00FE1081">
        <w:t>sequential model</w:t>
      </w:r>
      <w:r w:rsidR="000F32E7" w:rsidRPr="00FE1081">
        <w:t>,</w:t>
      </w:r>
      <w:r w:rsidR="00EA7CB2" w:rsidRPr="00FE1081">
        <w:t xml:space="preserve"> </w:t>
      </w:r>
      <w:r w:rsidR="00666C30" w:rsidRPr="00FE1081">
        <w:t xml:space="preserve">but </w:t>
      </w:r>
      <w:r w:rsidR="00EA7CB2" w:rsidRPr="00FE1081">
        <w:t xml:space="preserve">the Committee </w:t>
      </w:r>
      <w:r w:rsidR="00666C30" w:rsidRPr="00FE1081">
        <w:t xml:space="preserve">agreed with the ESC that </w:t>
      </w:r>
      <w:r w:rsidR="00666C30" w:rsidRPr="00FE1081">
        <w:rPr>
          <w:szCs w:val="22"/>
        </w:rPr>
        <w:t>the patient populations in the EDITION I, II and III trials do not reflect the continuum of disease progression. Thus, the sequential model does not appropriately address the concern regarding the use of constant event rates and is not a reliable construct for the economic evaluation.</w:t>
      </w:r>
    </w:p>
    <w:p w:rsidR="00D568B4" w:rsidRPr="003819C3" w:rsidRDefault="00D568B4" w:rsidP="007866BE">
      <w:pPr>
        <w:pStyle w:val="ListParagraph"/>
        <w:widowControl/>
        <w:ind w:left="1440"/>
        <w:rPr>
          <w:rStyle w:val="CommentReference"/>
        </w:rPr>
      </w:pPr>
    </w:p>
    <w:p w:rsidR="00275C5A" w:rsidRPr="003819C3" w:rsidRDefault="00275C5A" w:rsidP="007866BE">
      <w:pPr>
        <w:keepNext/>
        <w:widowControl/>
        <w:ind w:firstLine="720"/>
        <w:rPr>
          <w:rStyle w:val="CommentReference"/>
        </w:rPr>
      </w:pPr>
      <w:r w:rsidRPr="003819C3">
        <w:rPr>
          <w:rStyle w:val="CommentReference"/>
        </w:rPr>
        <w:t xml:space="preserve">Table </w:t>
      </w:r>
      <w:r w:rsidR="007471CC" w:rsidRPr="003819C3">
        <w:rPr>
          <w:rStyle w:val="CommentReference"/>
        </w:rPr>
        <w:t>5</w:t>
      </w:r>
      <w:r w:rsidRPr="003819C3">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275C5A" w:rsidRPr="003819C3" w:rsidTr="005D044D">
        <w:trPr>
          <w:tblHeader/>
        </w:trPr>
        <w:tc>
          <w:tcPr>
            <w:tcW w:w="1529" w:type="pct"/>
            <w:shd w:val="clear" w:color="auto" w:fill="auto"/>
            <w:vAlign w:val="center"/>
          </w:tcPr>
          <w:p w:rsidR="00275C5A" w:rsidRPr="003819C3" w:rsidRDefault="00275C5A" w:rsidP="007866BE">
            <w:pPr>
              <w:keepNext/>
              <w:widowControl/>
              <w:jc w:val="left"/>
              <w:rPr>
                <w:rFonts w:ascii="Arial Narrow" w:hAnsi="Arial Narrow"/>
                <w:b/>
                <w:sz w:val="20"/>
              </w:rPr>
            </w:pPr>
            <w:r w:rsidRPr="003819C3">
              <w:rPr>
                <w:rFonts w:ascii="Arial Narrow" w:hAnsi="Arial Narrow"/>
                <w:b/>
                <w:sz w:val="20"/>
              </w:rPr>
              <w:t>Component</w:t>
            </w:r>
          </w:p>
        </w:tc>
        <w:tc>
          <w:tcPr>
            <w:tcW w:w="3471" w:type="pct"/>
            <w:shd w:val="clear" w:color="auto" w:fill="auto"/>
            <w:vAlign w:val="center"/>
          </w:tcPr>
          <w:p w:rsidR="00275C5A" w:rsidRPr="003819C3" w:rsidRDefault="00275C5A" w:rsidP="007866BE">
            <w:pPr>
              <w:keepNext/>
              <w:widowControl/>
              <w:jc w:val="center"/>
              <w:rPr>
                <w:rFonts w:ascii="Arial Narrow" w:hAnsi="Arial Narrow"/>
                <w:b/>
                <w:sz w:val="20"/>
              </w:rPr>
            </w:pPr>
            <w:r w:rsidRPr="003819C3">
              <w:rPr>
                <w:rFonts w:ascii="Arial Narrow" w:hAnsi="Arial Narrow"/>
                <w:b/>
                <w:sz w:val="20"/>
              </w:rPr>
              <w:t>Summary</w:t>
            </w:r>
          </w:p>
        </w:tc>
      </w:tr>
      <w:tr w:rsidR="00C059DA" w:rsidRPr="003819C3" w:rsidTr="00613CC3">
        <w:tc>
          <w:tcPr>
            <w:tcW w:w="1529" w:type="pct"/>
            <w:shd w:val="clear" w:color="auto" w:fill="auto"/>
            <w:vAlign w:val="center"/>
          </w:tcPr>
          <w:p w:rsidR="00C059DA" w:rsidRPr="003819C3" w:rsidRDefault="00C059DA" w:rsidP="007866BE">
            <w:pPr>
              <w:keepNext/>
              <w:widowControl/>
              <w:jc w:val="left"/>
              <w:rPr>
                <w:rFonts w:ascii="Arial Narrow" w:hAnsi="Arial Narrow"/>
                <w:sz w:val="20"/>
              </w:rPr>
            </w:pPr>
            <w:r w:rsidRPr="003819C3">
              <w:rPr>
                <w:rFonts w:ascii="Arial Narrow" w:hAnsi="Arial Narrow"/>
                <w:sz w:val="20"/>
              </w:rPr>
              <w:t>Time horizon</w:t>
            </w:r>
          </w:p>
        </w:tc>
        <w:tc>
          <w:tcPr>
            <w:tcW w:w="3471" w:type="pct"/>
            <w:shd w:val="clear" w:color="auto" w:fill="auto"/>
          </w:tcPr>
          <w:p w:rsidR="00C059DA" w:rsidRPr="003819C3" w:rsidRDefault="00C059DA" w:rsidP="007866BE">
            <w:pPr>
              <w:keepNext/>
              <w:widowControl/>
              <w:rPr>
                <w:rFonts w:ascii="Arial Narrow" w:hAnsi="Arial Narrow"/>
                <w:color w:val="3366FF"/>
                <w:sz w:val="20"/>
              </w:rPr>
            </w:pPr>
            <w:r w:rsidRPr="003819C3">
              <w:rPr>
                <w:rFonts w:ascii="Arial Narrow" w:hAnsi="Arial Narrow"/>
                <w:sz w:val="20"/>
              </w:rPr>
              <w:t>20 years in the model base case versus 6 months in trials. The individual trial models are independent of the time horizon.</w:t>
            </w:r>
          </w:p>
        </w:tc>
      </w:tr>
      <w:tr w:rsidR="00C059DA" w:rsidRPr="003819C3" w:rsidTr="00613CC3">
        <w:tc>
          <w:tcPr>
            <w:tcW w:w="1529" w:type="pct"/>
            <w:shd w:val="clear" w:color="auto" w:fill="auto"/>
            <w:vAlign w:val="center"/>
          </w:tcPr>
          <w:p w:rsidR="00C059DA" w:rsidRPr="003819C3" w:rsidRDefault="00C059DA" w:rsidP="007866BE">
            <w:pPr>
              <w:keepNext/>
              <w:widowControl/>
              <w:jc w:val="left"/>
              <w:rPr>
                <w:rFonts w:ascii="Arial Narrow" w:hAnsi="Arial Narrow"/>
                <w:sz w:val="20"/>
              </w:rPr>
            </w:pPr>
            <w:r w:rsidRPr="003819C3">
              <w:rPr>
                <w:rFonts w:ascii="Arial Narrow" w:hAnsi="Arial Narrow"/>
                <w:sz w:val="20"/>
              </w:rPr>
              <w:t>Outcomes</w:t>
            </w:r>
          </w:p>
        </w:tc>
        <w:tc>
          <w:tcPr>
            <w:tcW w:w="3471" w:type="pct"/>
            <w:shd w:val="clear" w:color="auto" w:fill="auto"/>
          </w:tcPr>
          <w:p w:rsidR="00C059DA" w:rsidRPr="003819C3" w:rsidRDefault="00C059DA" w:rsidP="007866BE">
            <w:pPr>
              <w:keepNext/>
              <w:widowControl/>
              <w:rPr>
                <w:rFonts w:ascii="Arial Narrow" w:hAnsi="Arial Narrow"/>
                <w:sz w:val="20"/>
              </w:rPr>
            </w:pPr>
            <w:r w:rsidRPr="003819C3">
              <w:rPr>
                <w:rFonts w:ascii="Arial Narrow" w:hAnsi="Arial Narrow"/>
                <w:sz w:val="20"/>
              </w:rPr>
              <w:t>QALYs</w:t>
            </w:r>
          </w:p>
        </w:tc>
      </w:tr>
      <w:tr w:rsidR="00C059DA" w:rsidRPr="003819C3" w:rsidTr="00613CC3">
        <w:tc>
          <w:tcPr>
            <w:tcW w:w="1529" w:type="pct"/>
            <w:shd w:val="clear" w:color="auto" w:fill="auto"/>
            <w:vAlign w:val="center"/>
          </w:tcPr>
          <w:p w:rsidR="00C059DA" w:rsidRPr="003819C3" w:rsidRDefault="00C059DA" w:rsidP="007866BE">
            <w:pPr>
              <w:keepNext/>
              <w:widowControl/>
              <w:jc w:val="left"/>
              <w:rPr>
                <w:rFonts w:ascii="Arial Narrow" w:hAnsi="Arial Narrow"/>
                <w:sz w:val="20"/>
              </w:rPr>
            </w:pPr>
            <w:r w:rsidRPr="003819C3">
              <w:rPr>
                <w:rFonts w:ascii="Arial Narrow" w:hAnsi="Arial Narrow"/>
                <w:sz w:val="20"/>
              </w:rPr>
              <w:t>Methods used to generate results</w:t>
            </w:r>
          </w:p>
        </w:tc>
        <w:tc>
          <w:tcPr>
            <w:tcW w:w="3471" w:type="pct"/>
            <w:shd w:val="clear" w:color="auto" w:fill="auto"/>
          </w:tcPr>
          <w:p w:rsidR="00C059DA" w:rsidRPr="003819C3" w:rsidRDefault="00C059DA" w:rsidP="007866BE">
            <w:pPr>
              <w:keepNext/>
              <w:widowControl/>
              <w:rPr>
                <w:rFonts w:ascii="Arial Narrow" w:hAnsi="Arial Narrow"/>
                <w:sz w:val="20"/>
              </w:rPr>
            </w:pPr>
            <w:r w:rsidRPr="003819C3">
              <w:rPr>
                <w:rFonts w:ascii="Arial Narrow" w:hAnsi="Arial Narrow"/>
                <w:sz w:val="20"/>
              </w:rPr>
              <w:t>Cohort expected value analysis</w:t>
            </w:r>
            <w:r w:rsidR="00147F43" w:rsidRPr="003819C3">
              <w:rPr>
                <w:rFonts w:ascii="Arial Narrow" w:hAnsi="Arial Narrow"/>
                <w:sz w:val="20"/>
              </w:rPr>
              <w:t>, Markov model</w:t>
            </w:r>
            <w:r w:rsidRPr="003819C3">
              <w:rPr>
                <w:rFonts w:ascii="Arial Narrow" w:hAnsi="Arial Narrow"/>
                <w:sz w:val="20"/>
              </w:rPr>
              <w:t xml:space="preserve"> </w:t>
            </w:r>
          </w:p>
        </w:tc>
      </w:tr>
      <w:tr w:rsidR="00C059DA" w:rsidRPr="003819C3" w:rsidTr="00613CC3">
        <w:tc>
          <w:tcPr>
            <w:tcW w:w="1529" w:type="pct"/>
            <w:shd w:val="clear" w:color="auto" w:fill="auto"/>
            <w:vAlign w:val="center"/>
          </w:tcPr>
          <w:p w:rsidR="00C059DA" w:rsidRPr="003819C3" w:rsidRDefault="00C059DA" w:rsidP="007866BE">
            <w:pPr>
              <w:keepNext/>
              <w:widowControl/>
              <w:jc w:val="left"/>
              <w:rPr>
                <w:rFonts w:ascii="Arial Narrow" w:hAnsi="Arial Narrow"/>
                <w:sz w:val="20"/>
              </w:rPr>
            </w:pPr>
            <w:r w:rsidRPr="003819C3">
              <w:rPr>
                <w:rFonts w:ascii="Arial Narrow" w:hAnsi="Arial Narrow"/>
                <w:sz w:val="20"/>
              </w:rPr>
              <w:t>Health states</w:t>
            </w:r>
          </w:p>
        </w:tc>
        <w:tc>
          <w:tcPr>
            <w:tcW w:w="3471" w:type="pct"/>
            <w:shd w:val="clear" w:color="auto" w:fill="auto"/>
          </w:tcPr>
          <w:p w:rsidR="00C059DA" w:rsidRPr="003819C3" w:rsidRDefault="00C059DA" w:rsidP="007866BE">
            <w:pPr>
              <w:keepNext/>
              <w:widowControl/>
              <w:rPr>
                <w:rFonts w:ascii="Arial Narrow" w:hAnsi="Arial Narrow"/>
                <w:sz w:val="20"/>
              </w:rPr>
            </w:pPr>
            <w:r w:rsidRPr="003819C3">
              <w:rPr>
                <w:rFonts w:ascii="Arial Narrow" w:hAnsi="Arial Narrow"/>
                <w:sz w:val="20"/>
              </w:rPr>
              <w:t>Alive and dead</w:t>
            </w:r>
          </w:p>
        </w:tc>
      </w:tr>
      <w:tr w:rsidR="00C059DA" w:rsidRPr="003819C3" w:rsidTr="00613CC3">
        <w:tc>
          <w:tcPr>
            <w:tcW w:w="1529" w:type="pct"/>
            <w:shd w:val="clear" w:color="auto" w:fill="auto"/>
            <w:vAlign w:val="center"/>
          </w:tcPr>
          <w:p w:rsidR="00C059DA" w:rsidRPr="003819C3" w:rsidRDefault="00C059DA" w:rsidP="007866BE">
            <w:pPr>
              <w:keepNext/>
              <w:widowControl/>
              <w:jc w:val="left"/>
              <w:rPr>
                <w:rFonts w:ascii="Arial Narrow" w:hAnsi="Arial Narrow"/>
                <w:sz w:val="20"/>
              </w:rPr>
            </w:pPr>
            <w:r w:rsidRPr="003819C3">
              <w:rPr>
                <w:rFonts w:ascii="Arial Narrow" w:hAnsi="Arial Narrow"/>
                <w:sz w:val="20"/>
              </w:rPr>
              <w:t>Cycle length</w:t>
            </w:r>
          </w:p>
        </w:tc>
        <w:tc>
          <w:tcPr>
            <w:tcW w:w="3471" w:type="pct"/>
            <w:shd w:val="clear" w:color="auto" w:fill="auto"/>
          </w:tcPr>
          <w:p w:rsidR="00C059DA" w:rsidRPr="003819C3" w:rsidRDefault="00C059DA" w:rsidP="007866BE">
            <w:pPr>
              <w:keepNext/>
              <w:widowControl/>
              <w:rPr>
                <w:rFonts w:ascii="Arial Narrow" w:hAnsi="Arial Narrow"/>
                <w:sz w:val="20"/>
              </w:rPr>
            </w:pPr>
            <w:r w:rsidRPr="003819C3">
              <w:rPr>
                <w:rFonts w:ascii="Arial Narrow" w:hAnsi="Arial Narrow"/>
                <w:sz w:val="20"/>
              </w:rPr>
              <w:t>3 months. The individual trial models are independent of the cycle length.</w:t>
            </w:r>
          </w:p>
        </w:tc>
      </w:tr>
      <w:tr w:rsidR="00C059DA" w:rsidRPr="003819C3" w:rsidTr="00613CC3">
        <w:tc>
          <w:tcPr>
            <w:tcW w:w="1529" w:type="pct"/>
            <w:shd w:val="clear" w:color="auto" w:fill="auto"/>
            <w:vAlign w:val="center"/>
          </w:tcPr>
          <w:p w:rsidR="00C059DA" w:rsidRPr="003819C3" w:rsidRDefault="00C059DA" w:rsidP="007866BE">
            <w:pPr>
              <w:keepNext/>
              <w:widowControl/>
              <w:jc w:val="left"/>
              <w:rPr>
                <w:rFonts w:ascii="Arial Narrow" w:hAnsi="Arial Narrow"/>
                <w:sz w:val="20"/>
              </w:rPr>
            </w:pPr>
            <w:r w:rsidRPr="003819C3">
              <w:rPr>
                <w:rFonts w:ascii="Arial Narrow" w:hAnsi="Arial Narrow"/>
                <w:sz w:val="20"/>
              </w:rPr>
              <w:t>Transition from alive to dead</w:t>
            </w:r>
          </w:p>
        </w:tc>
        <w:tc>
          <w:tcPr>
            <w:tcW w:w="3471" w:type="pct"/>
            <w:shd w:val="clear" w:color="auto" w:fill="auto"/>
          </w:tcPr>
          <w:p w:rsidR="00C059DA" w:rsidRPr="003819C3" w:rsidRDefault="00C059DA" w:rsidP="007866BE">
            <w:pPr>
              <w:keepNext/>
              <w:widowControl/>
              <w:rPr>
                <w:rFonts w:ascii="Arial Narrow" w:hAnsi="Arial Narrow"/>
                <w:color w:val="3366FF"/>
                <w:sz w:val="20"/>
              </w:rPr>
            </w:pPr>
            <w:r w:rsidRPr="003819C3">
              <w:rPr>
                <w:rFonts w:ascii="Arial Narrow" w:hAnsi="Arial Narrow"/>
                <w:sz w:val="20"/>
              </w:rPr>
              <w:t>31/100,000 population</w:t>
            </w:r>
            <w:r w:rsidR="00EE169D" w:rsidRPr="003819C3">
              <w:rPr>
                <w:rFonts w:ascii="Arial Narrow" w:hAnsi="Arial Narrow"/>
                <w:sz w:val="20"/>
              </w:rPr>
              <w:t xml:space="preserve"> per year</w:t>
            </w:r>
            <w:r w:rsidRPr="003819C3">
              <w:rPr>
                <w:rFonts w:ascii="Arial Narrow" w:hAnsi="Arial Narrow"/>
                <w:sz w:val="20"/>
              </w:rPr>
              <w:t xml:space="preserve">. The same constant death rate is assumed for </w:t>
            </w:r>
            <w:r w:rsidR="00D74146" w:rsidRPr="003819C3">
              <w:rPr>
                <w:rFonts w:ascii="Arial Narrow" w:hAnsi="Arial Narrow"/>
                <w:sz w:val="20"/>
              </w:rPr>
              <w:t>U300 and U100</w:t>
            </w:r>
            <w:r w:rsidRPr="003819C3">
              <w:rPr>
                <w:rFonts w:ascii="Arial Narrow" w:hAnsi="Arial Narrow"/>
                <w:sz w:val="20"/>
              </w:rPr>
              <w:t xml:space="preserve">. </w:t>
            </w:r>
            <w:r w:rsidR="00D74146" w:rsidRPr="003819C3">
              <w:rPr>
                <w:rFonts w:ascii="Arial Narrow" w:hAnsi="Arial Narrow"/>
                <w:sz w:val="20"/>
              </w:rPr>
              <w:t>T</w:t>
            </w:r>
            <w:r w:rsidRPr="003819C3">
              <w:rPr>
                <w:rFonts w:ascii="Arial Narrow" w:hAnsi="Arial Narrow"/>
                <w:sz w:val="20"/>
              </w:rPr>
              <w:t>he individual trial models are independent of the death rate.</w:t>
            </w:r>
          </w:p>
        </w:tc>
      </w:tr>
      <w:tr w:rsidR="00C059DA" w:rsidRPr="003819C3" w:rsidTr="00613CC3">
        <w:tc>
          <w:tcPr>
            <w:tcW w:w="1529" w:type="pct"/>
            <w:shd w:val="clear" w:color="auto" w:fill="auto"/>
          </w:tcPr>
          <w:p w:rsidR="00C059DA" w:rsidRPr="003819C3" w:rsidRDefault="00C059DA" w:rsidP="007866BE">
            <w:pPr>
              <w:keepNext/>
              <w:widowControl/>
              <w:rPr>
                <w:rFonts w:ascii="Arial Narrow" w:hAnsi="Arial Narrow"/>
                <w:sz w:val="20"/>
              </w:rPr>
            </w:pPr>
            <w:r w:rsidRPr="003819C3">
              <w:rPr>
                <w:rFonts w:ascii="Arial Narrow" w:hAnsi="Arial Narrow"/>
                <w:sz w:val="20"/>
              </w:rPr>
              <w:t>Hypoglycaemic event rates</w:t>
            </w:r>
          </w:p>
        </w:tc>
        <w:tc>
          <w:tcPr>
            <w:tcW w:w="3471" w:type="pct"/>
            <w:shd w:val="clear" w:color="auto" w:fill="auto"/>
          </w:tcPr>
          <w:p w:rsidR="00C059DA" w:rsidRPr="003819C3" w:rsidRDefault="00C059DA" w:rsidP="007866BE">
            <w:pPr>
              <w:keepNext/>
              <w:widowControl/>
              <w:rPr>
                <w:rFonts w:ascii="Arial Narrow" w:hAnsi="Arial Narrow"/>
                <w:sz w:val="20"/>
              </w:rPr>
            </w:pPr>
            <w:r w:rsidRPr="003819C3">
              <w:rPr>
                <w:rFonts w:ascii="Arial Narrow" w:hAnsi="Arial Narrow"/>
                <w:sz w:val="20"/>
              </w:rPr>
              <w:t>Rate of symptomatic and severe events from EDITION I, II and III</w:t>
            </w:r>
          </w:p>
        </w:tc>
      </w:tr>
      <w:tr w:rsidR="00C059DA" w:rsidRPr="003819C3" w:rsidTr="00613CC3">
        <w:tc>
          <w:tcPr>
            <w:tcW w:w="1529" w:type="pct"/>
            <w:shd w:val="clear" w:color="auto" w:fill="auto"/>
          </w:tcPr>
          <w:p w:rsidR="00C059DA" w:rsidRPr="003819C3" w:rsidRDefault="00C059DA" w:rsidP="007866BE">
            <w:pPr>
              <w:keepNext/>
              <w:widowControl/>
              <w:rPr>
                <w:rFonts w:ascii="Arial Narrow" w:hAnsi="Arial Narrow"/>
                <w:sz w:val="20"/>
              </w:rPr>
            </w:pPr>
            <w:r w:rsidRPr="003819C3">
              <w:rPr>
                <w:rFonts w:ascii="Arial Narrow" w:hAnsi="Arial Narrow"/>
                <w:sz w:val="20"/>
              </w:rPr>
              <w:t>Costs</w:t>
            </w:r>
          </w:p>
        </w:tc>
        <w:tc>
          <w:tcPr>
            <w:tcW w:w="3471" w:type="pct"/>
            <w:shd w:val="clear" w:color="auto" w:fill="auto"/>
          </w:tcPr>
          <w:p w:rsidR="00C059DA" w:rsidRPr="003819C3" w:rsidRDefault="00C059DA" w:rsidP="007866BE">
            <w:pPr>
              <w:keepNext/>
              <w:widowControl/>
              <w:rPr>
                <w:rFonts w:ascii="Arial Narrow" w:hAnsi="Arial Narrow"/>
                <w:sz w:val="20"/>
              </w:rPr>
            </w:pPr>
            <w:r w:rsidRPr="003819C3">
              <w:rPr>
                <w:rFonts w:ascii="Arial Narrow" w:hAnsi="Arial Narrow"/>
                <w:sz w:val="20"/>
              </w:rPr>
              <w:t>U300 or U100, mealtime insulin and treatment of severe hypoglycaemia events</w:t>
            </w:r>
          </w:p>
        </w:tc>
      </w:tr>
    </w:tbl>
    <w:p w:rsidR="00275C5A" w:rsidRPr="003819C3" w:rsidRDefault="00275C5A" w:rsidP="007866BE">
      <w:pPr>
        <w:pStyle w:val="TableFooter"/>
        <w:widowControl/>
        <w:ind w:firstLine="720"/>
      </w:pPr>
      <w:r w:rsidRPr="003819C3">
        <w:t>Source: compiled during the evaluation</w:t>
      </w:r>
    </w:p>
    <w:p w:rsidR="00C81957" w:rsidRPr="003819C3" w:rsidRDefault="00C81957" w:rsidP="007866BE">
      <w:pPr>
        <w:widowControl/>
      </w:pPr>
    </w:p>
    <w:p w:rsidR="00275C5A" w:rsidRPr="003819C3" w:rsidRDefault="009A0FFF" w:rsidP="007866BE">
      <w:pPr>
        <w:pStyle w:val="ListParagraph"/>
        <w:widowControl/>
        <w:numPr>
          <w:ilvl w:val="1"/>
          <w:numId w:val="10"/>
        </w:numPr>
      </w:pPr>
      <w:r w:rsidRPr="003819C3">
        <w:t>The key model</w:t>
      </w:r>
      <w:r w:rsidR="001977AA" w:rsidRPr="003819C3">
        <w:t xml:space="preserve"> drivers are summarised in the following table</w:t>
      </w:r>
      <w:r w:rsidRPr="003819C3">
        <w:t>.</w:t>
      </w:r>
    </w:p>
    <w:p w:rsidR="00275C5A" w:rsidRPr="003819C3" w:rsidRDefault="00275C5A" w:rsidP="007866BE">
      <w:pPr>
        <w:widowControl/>
        <w:rPr>
          <w:szCs w:val="22"/>
        </w:rPr>
      </w:pPr>
    </w:p>
    <w:p w:rsidR="00D110BD" w:rsidRPr="003819C3" w:rsidRDefault="00D110BD" w:rsidP="007866BE">
      <w:pPr>
        <w:keepNext/>
        <w:widowControl/>
        <w:ind w:firstLine="720"/>
        <w:rPr>
          <w:rStyle w:val="CommentReference"/>
        </w:rPr>
      </w:pPr>
      <w:r w:rsidRPr="003819C3">
        <w:rPr>
          <w:rStyle w:val="CommentReference"/>
        </w:rPr>
        <w:t xml:space="preserve">Table </w:t>
      </w:r>
      <w:r w:rsidR="007471CC" w:rsidRPr="003819C3">
        <w:rPr>
          <w:rStyle w:val="CommentReference"/>
        </w:rPr>
        <w:t>6</w:t>
      </w:r>
      <w:r w:rsidRPr="003819C3">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4"/>
        <w:gridCol w:w="5246"/>
        <w:gridCol w:w="1115"/>
      </w:tblGrid>
      <w:tr w:rsidR="00D110BD" w:rsidRPr="003819C3" w:rsidTr="00455296">
        <w:trPr>
          <w:tblHeader/>
        </w:trPr>
        <w:tc>
          <w:tcPr>
            <w:tcW w:w="1189" w:type="pct"/>
            <w:shd w:val="clear" w:color="auto" w:fill="auto"/>
            <w:vAlign w:val="center"/>
          </w:tcPr>
          <w:p w:rsidR="00D110BD" w:rsidRPr="003819C3" w:rsidRDefault="00D110BD" w:rsidP="007866BE">
            <w:pPr>
              <w:keepNext/>
              <w:widowControl/>
              <w:jc w:val="left"/>
              <w:rPr>
                <w:rFonts w:ascii="Arial Narrow" w:hAnsi="Arial Narrow"/>
                <w:b/>
                <w:sz w:val="20"/>
                <w:lang w:val="en-US"/>
              </w:rPr>
            </w:pPr>
            <w:r w:rsidRPr="003819C3">
              <w:rPr>
                <w:rFonts w:ascii="Arial Narrow" w:hAnsi="Arial Narrow"/>
                <w:b/>
                <w:sz w:val="20"/>
                <w:lang w:val="en-US"/>
              </w:rPr>
              <w:t>Description</w:t>
            </w:r>
          </w:p>
        </w:tc>
        <w:tc>
          <w:tcPr>
            <w:tcW w:w="3143" w:type="pct"/>
            <w:shd w:val="clear" w:color="auto" w:fill="auto"/>
            <w:vAlign w:val="center"/>
          </w:tcPr>
          <w:p w:rsidR="00D110BD" w:rsidRPr="003819C3" w:rsidRDefault="00D110BD" w:rsidP="007866BE">
            <w:pPr>
              <w:keepNext/>
              <w:widowControl/>
              <w:jc w:val="center"/>
              <w:rPr>
                <w:rFonts w:ascii="Arial Narrow" w:hAnsi="Arial Narrow"/>
                <w:b/>
                <w:sz w:val="20"/>
                <w:lang w:val="en-US"/>
              </w:rPr>
            </w:pPr>
            <w:r w:rsidRPr="003819C3">
              <w:rPr>
                <w:rFonts w:ascii="Arial Narrow" w:hAnsi="Arial Narrow"/>
                <w:b/>
                <w:sz w:val="20"/>
                <w:lang w:val="en-US"/>
              </w:rPr>
              <w:t>Method/Value</w:t>
            </w:r>
          </w:p>
        </w:tc>
        <w:tc>
          <w:tcPr>
            <w:tcW w:w="669" w:type="pct"/>
            <w:shd w:val="clear" w:color="auto" w:fill="auto"/>
            <w:vAlign w:val="center"/>
          </w:tcPr>
          <w:p w:rsidR="00D110BD" w:rsidRPr="003819C3" w:rsidRDefault="00D110BD" w:rsidP="007866BE">
            <w:pPr>
              <w:keepNext/>
              <w:widowControl/>
              <w:jc w:val="center"/>
              <w:rPr>
                <w:rFonts w:ascii="Arial Narrow" w:hAnsi="Arial Narrow"/>
                <w:b/>
                <w:sz w:val="20"/>
                <w:lang w:val="en-US"/>
              </w:rPr>
            </w:pPr>
            <w:r w:rsidRPr="003819C3">
              <w:rPr>
                <w:rFonts w:ascii="Arial Narrow" w:hAnsi="Arial Narrow"/>
                <w:b/>
                <w:sz w:val="20"/>
                <w:lang w:val="en-US"/>
              </w:rPr>
              <w:t>Impact</w:t>
            </w:r>
          </w:p>
        </w:tc>
      </w:tr>
      <w:tr w:rsidR="00D110BD" w:rsidRPr="003819C3" w:rsidTr="00455296">
        <w:tc>
          <w:tcPr>
            <w:tcW w:w="1189" w:type="pct"/>
            <w:shd w:val="clear" w:color="auto" w:fill="auto"/>
            <w:vAlign w:val="center"/>
          </w:tcPr>
          <w:p w:rsidR="00D110BD" w:rsidRPr="003819C3" w:rsidRDefault="009A0FFF" w:rsidP="007866BE">
            <w:pPr>
              <w:keepNext/>
              <w:widowControl/>
              <w:jc w:val="left"/>
              <w:rPr>
                <w:rFonts w:ascii="Arial Narrow" w:hAnsi="Arial Narrow"/>
                <w:sz w:val="20"/>
                <w:lang w:val="en-US"/>
              </w:rPr>
            </w:pPr>
            <w:r w:rsidRPr="003819C3">
              <w:rPr>
                <w:rFonts w:ascii="Arial Narrow" w:hAnsi="Arial Narrow"/>
                <w:sz w:val="20"/>
                <w:lang w:val="en-US"/>
              </w:rPr>
              <w:t>Risk of hypoglycaemia with U100 (baseline risk)</w:t>
            </w:r>
          </w:p>
        </w:tc>
        <w:tc>
          <w:tcPr>
            <w:tcW w:w="3143" w:type="pct"/>
            <w:shd w:val="clear" w:color="auto" w:fill="auto"/>
            <w:vAlign w:val="center"/>
          </w:tcPr>
          <w:p w:rsidR="00D110BD" w:rsidRPr="003819C3" w:rsidRDefault="009A0FFF" w:rsidP="007866BE">
            <w:pPr>
              <w:keepNext/>
              <w:widowControl/>
              <w:jc w:val="left"/>
              <w:rPr>
                <w:rFonts w:ascii="Arial Narrow" w:hAnsi="Arial Narrow"/>
                <w:sz w:val="20"/>
                <w:lang w:val="en-US"/>
              </w:rPr>
            </w:pPr>
            <w:r w:rsidRPr="003819C3">
              <w:rPr>
                <w:rFonts w:ascii="Arial Narrow" w:hAnsi="Arial Narrow"/>
                <w:sz w:val="20"/>
                <w:lang w:val="en-US"/>
              </w:rPr>
              <w:t>Sourced from the EDITION I, II and III trials. Trial patients likely to have higher risk of events compared with PBS patients.</w:t>
            </w:r>
          </w:p>
        </w:tc>
        <w:tc>
          <w:tcPr>
            <w:tcW w:w="669" w:type="pct"/>
            <w:shd w:val="clear" w:color="auto" w:fill="auto"/>
            <w:vAlign w:val="center"/>
          </w:tcPr>
          <w:p w:rsidR="00D110BD" w:rsidRPr="003819C3" w:rsidRDefault="00D110BD" w:rsidP="007866BE">
            <w:pPr>
              <w:keepNext/>
              <w:widowControl/>
              <w:jc w:val="center"/>
              <w:rPr>
                <w:rFonts w:ascii="Arial Narrow" w:hAnsi="Arial Narrow"/>
                <w:sz w:val="20"/>
                <w:lang w:val="en-US"/>
              </w:rPr>
            </w:pPr>
            <w:r w:rsidRPr="003819C3">
              <w:rPr>
                <w:rFonts w:ascii="Arial Narrow" w:hAnsi="Arial Narrow"/>
                <w:sz w:val="20"/>
                <w:lang w:val="en-US"/>
              </w:rPr>
              <w:t>High, favours</w:t>
            </w:r>
            <w:r w:rsidR="009A0FFF" w:rsidRPr="003819C3">
              <w:rPr>
                <w:rFonts w:ascii="Arial Narrow" w:hAnsi="Arial Narrow"/>
                <w:sz w:val="20"/>
                <w:lang w:val="en-US"/>
              </w:rPr>
              <w:t xml:space="preserve"> U300</w:t>
            </w:r>
          </w:p>
        </w:tc>
      </w:tr>
      <w:tr w:rsidR="00D110BD" w:rsidRPr="003819C3" w:rsidTr="00455296">
        <w:tc>
          <w:tcPr>
            <w:tcW w:w="1189" w:type="pct"/>
            <w:shd w:val="clear" w:color="auto" w:fill="auto"/>
            <w:vAlign w:val="center"/>
          </w:tcPr>
          <w:p w:rsidR="00D110BD" w:rsidRPr="003819C3" w:rsidRDefault="009A0FFF" w:rsidP="007866BE">
            <w:pPr>
              <w:keepNext/>
              <w:widowControl/>
              <w:jc w:val="left"/>
              <w:rPr>
                <w:rFonts w:ascii="Arial Narrow" w:hAnsi="Arial Narrow"/>
                <w:sz w:val="20"/>
                <w:lang w:val="en-US"/>
              </w:rPr>
            </w:pPr>
            <w:r w:rsidRPr="003819C3">
              <w:rPr>
                <w:rFonts w:ascii="Arial Narrow" w:hAnsi="Arial Narrow"/>
                <w:sz w:val="20"/>
                <w:lang w:val="en-US"/>
              </w:rPr>
              <w:t>Reduction in risk of hypoglycaemia with U300</w:t>
            </w:r>
          </w:p>
        </w:tc>
        <w:tc>
          <w:tcPr>
            <w:tcW w:w="3143" w:type="pct"/>
            <w:shd w:val="clear" w:color="auto" w:fill="auto"/>
            <w:vAlign w:val="center"/>
          </w:tcPr>
          <w:p w:rsidR="00D110BD" w:rsidRPr="003819C3" w:rsidRDefault="009A0FFF" w:rsidP="007866BE">
            <w:pPr>
              <w:keepNext/>
              <w:widowControl/>
              <w:jc w:val="left"/>
              <w:rPr>
                <w:rFonts w:ascii="Arial Narrow" w:hAnsi="Arial Narrow"/>
                <w:sz w:val="20"/>
                <w:lang w:val="en-US"/>
              </w:rPr>
            </w:pPr>
            <w:r w:rsidRPr="003819C3">
              <w:rPr>
                <w:rFonts w:ascii="Arial Narrow" w:hAnsi="Arial Narrow"/>
                <w:sz w:val="20"/>
                <w:lang w:val="en-US"/>
              </w:rPr>
              <w:t xml:space="preserve">Sourced from the EDITION I, II and III trials. </w:t>
            </w:r>
            <w:r w:rsidR="00D74146" w:rsidRPr="003819C3">
              <w:rPr>
                <w:rFonts w:ascii="Arial Narrow" w:hAnsi="Arial Narrow"/>
                <w:sz w:val="20"/>
                <w:lang w:val="en-US"/>
              </w:rPr>
              <w:t>Reduction</w:t>
            </w:r>
            <w:r w:rsidRPr="003819C3">
              <w:rPr>
                <w:rFonts w:ascii="Arial Narrow" w:hAnsi="Arial Narrow"/>
                <w:sz w:val="20"/>
                <w:lang w:val="en-US"/>
              </w:rPr>
              <w:t xml:space="preserve"> not statistically significant for symptomatic events in EDITION I and II, and for severe events in the 3 trials.</w:t>
            </w:r>
          </w:p>
        </w:tc>
        <w:tc>
          <w:tcPr>
            <w:tcW w:w="669" w:type="pct"/>
            <w:shd w:val="clear" w:color="auto" w:fill="auto"/>
            <w:vAlign w:val="center"/>
          </w:tcPr>
          <w:p w:rsidR="00D110BD" w:rsidRPr="003819C3" w:rsidRDefault="009A0FFF" w:rsidP="007866BE">
            <w:pPr>
              <w:keepNext/>
              <w:widowControl/>
              <w:jc w:val="center"/>
              <w:rPr>
                <w:rFonts w:ascii="Arial Narrow" w:hAnsi="Arial Narrow"/>
                <w:sz w:val="20"/>
                <w:lang w:val="en-US"/>
              </w:rPr>
            </w:pPr>
            <w:r w:rsidRPr="003819C3">
              <w:rPr>
                <w:rFonts w:ascii="Arial Narrow" w:hAnsi="Arial Narrow"/>
                <w:sz w:val="20"/>
                <w:lang w:val="en-US"/>
              </w:rPr>
              <w:t>High, favours U300</w:t>
            </w:r>
          </w:p>
        </w:tc>
      </w:tr>
      <w:tr w:rsidR="00D110BD" w:rsidRPr="003819C3" w:rsidTr="00455296">
        <w:tc>
          <w:tcPr>
            <w:tcW w:w="1189" w:type="pct"/>
            <w:shd w:val="clear" w:color="auto" w:fill="auto"/>
            <w:vAlign w:val="center"/>
          </w:tcPr>
          <w:p w:rsidR="00D110BD" w:rsidRPr="003819C3" w:rsidRDefault="009A0FFF" w:rsidP="007866BE">
            <w:pPr>
              <w:keepNext/>
              <w:widowControl/>
              <w:jc w:val="left"/>
              <w:rPr>
                <w:rFonts w:ascii="Arial Narrow" w:hAnsi="Arial Narrow"/>
                <w:sz w:val="20"/>
                <w:lang w:val="en-US"/>
              </w:rPr>
            </w:pPr>
            <w:r w:rsidRPr="003819C3">
              <w:rPr>
                <w:rFonts w:ascii="Arial Narrow" w:hAnsi="Arial Narrow"/>
                <w:sz w:val="20"/>
                <w:lang w:val="en-US"/>
              </w:rPr>
              <w:t>Disutility values for hypoglycaemia events</w:t>
            </w:r>
          </w:p>
        </w:tc>
        <w:tc>
          <w:tcPr>
            <w:tcW w:w="3143" w:type="pct"/>
            <w:shd w:val="clear" w:color="auto" w:fill="auto"/>
            <w:vAlign w:val="center"/>
          </w:tcPr>
          <w:p w:rsidR="00D110BD" w:rsidRPr="003819C3" w:rsidRDefault="009A0FFF" w:rsidP="007866BE">
            <w:pPr>
              <w:keepNext/>
              <w:widowControl/>
              <w:jc w:val="left"/>
              <w:rPr>
                <w:rFonts w:ascii="Arial Narrow" w:hAnsi="Arial Narrow"/>
                <w:sz w:val="20"/>
                <w:lang w:val="en-US"/>
              </w:rPr>
            </w:pPr>
            <w:r w:rsidRPr="003819C3">
              <w:rPr>
                <w:rFonts w:ascii="Arial Narrow" w:hAnsi="Arial Narrow"/>
                <w:sz w:val="20"/>
                <w:lang w:val="en-US"/>
              </w:rPr>
              <w:t xml:space="preserve">Values sourced from U100 March 2006 PBAC submission. </w:t>
            </w:r>
            <w:r w:rsidRPr="003819C3">
              <w:rPr>
                <w:rFonts w:ascii="Arial Narrow" w:hAnsi="Arial Narrow" w:cs="Times New Roman"/>
                <w:sz w:val="20"/>
              </w:rPr>
              <w:t>In March 2006 the PBAC had a number of concerns regarding the utility values (see above) and data collected in the EDITION trials suggests no difference between the treatment groups in the perceived frequency of hypoglycaemia, fear of hypoglycaemia or health utility scores.</w:t>
            </w:r>
          </w:p>
        </w:tc>
        <w:tc>
          <w:tcPr>
            <w:tcW w:w="669" w:type="pct"/>
            <w:shd w:val="clear" w:color="auto" w:fill="auto"/>
            <w:vAlign w:val="center"/>
          </w:tcPr>
          <w:p w:rsidR="00D110BD" w:rsidRPr="003819C3" w:rsidRDefault="009A0FFF" w:rsidP="007866BE">
            <w:pPr>
              <w:keepNext/>
              <w:widowControl/>
              <w:jc w:val="center"/>
              <w:rPr>
                <w:rFonts w:ascii="Arial Narrow" w:hAnsi="Arial Narrow"/>
                <w:sz w:val="20"/>
                <w:lang w:val="en-US"/>
              </w:rPr>
            </w:pPr>
            <w:r w:rsidRPr="003819C3">
              <w:rPr>
                <w:rFonts w:ascii="Arial Narrow" w:hAnsi="Arial Narrow"/>
                <w:sz w:val="20"/>
                <w:lang w:val="en-US"/>
              </w:rPr>
              <w:t>High, favours U300</w:t>
            </w:r>
          </w:p>
        </w:tc>
      </w:tr>
    </w:tbl>
    <w:p w:rsidR="00D110BD" w:rsidRPr="003819C3" w:rsidRDefault="00D110BD" w:rsidP="007866BE">
      <w:pPr>
        <w:pStyle w:val="TableFooter"/>
        <w:widowControl/>
        <w:ind w:firstLine="720"/>
      </w:pPr>
      <w:r w:rsidRPr="003819C3">
        <w:t>Source: compiled during the evaluation</w:t>
      </w:r>
    </w:p>
    <w:p w:rsidR="00D110BD" w:rsidRPr="003819C3" w:rsidRDefault="00D110BD" w:rsidP="007866BE">
      <w:pPr>
        <w:widowControl/>
        <w:rPr>
          <w:szCs w:val="22"/>
        </w:rPr>
      </w:pPr>
    </w:p>
    <w:p w:rsidR="00275C5A" w:rsidRPr="003819C3" w:rsidRDefault="009A0FFF" w:rsidP="007866BE">
      <w:pPr>
        <w:pStyle w:val="ListParagraph"/>
        <w:widowControl/>
        <w:numPr>
          <w:ilvl w:val="1"/>
          <w:numId w:val="10"/>
        </w:numPr>
      </w:pPr>
      <w:r w:rsidRPr="003819C3">
        <w:t xml:space="preserve">The results of the stepped economic evaluation are presented </w:t>
      </w:r>
      <w:r w:rsidR="000055AF" w:rsidRPr="003819C3">
        <w:t xml:space="preserve">in the </w:t>
      </w:r>
      <w:r w:rsidR="00857E0E">
        <w:t xml:space="preserve">following </w:t>
      </w:r>
      <w:r w:rsidR="001977AA" w:rsidRPr="003819C3">
        <w:t>table</w:t>
      </w:r>
      <w:r w:rsidR="00D110BD" w:rsidRPr="003819C3">
        <w:t>.</w:t>
      </w:r>
    </w:p>
    <w:p w:rsidR="00D110BD" w:rsidRPr="003819C3" w:rsidRDefault="00D110BD" w:rsidP="007866BE">
      <w:pPr>
        <w:widowControl/>
        <w:rPr>
          <w:szCs w:val="22"/>
        </w:rPr>
      </w:pPr>
    </w:p>
    <w:p w:rsidR="00D110BD" w:rsidRPr="003819C3" w:rsidRDefault="007471CC" w:rsidP="007866BE">
      <w:pPr>
        <w:keepNext/>
        <w:widowControl/>
        <w:ind w:firstLine="720"/>
        <w:rPr>
          <w:rStyle w:val="CommentReference"/>
        </w:rPr>
      </w:pPr>
      <w:r w:rsidRPr="003819C3">
        <w:rPr>
          <w:rStyle w:val="CommentReference"/>
        </w:rPr>
        <w:t>Table 7</w:t>
      </w:r>
      <w:r w:rsidR="00D110BD" w:rsidRPr="003819C3">
        <w:rPr>
          <w:rStyle w:val="CommentReference"/>
        </w:rPr>
        <w:t>: Results of the stepped economic evaluation</w:t>
      </w:r>
    </w:p>
    <w:tbl>
      <w:tblPr>
        <w:tblW w:w="477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91"/>
        <w:gridCol w:w="713"/>
        <w:gridCol w:w="830"/>
        <w:gridCol w:w="904"/>
        <w:gridCol w:w="714"/>
        <w:gridCol w:w="691"/>
        <w:gridCol w:w="904"/>
        <w:gridCol w:w="708"/>
        <w:gridCol w:w="682"/>
        <w:gridCol w:w="844"/>
      </w:tblGrid>
      <w:tr w:rsidR="00E53CA4" w:rsidRPr="003819C3" w:rsidTr="00F970C8">
        <w:tc>
          <w:tcPr>
            <w:tcW w:w="979" w:type="pct"/>
            <w:vMerge w:val="restart"/>
            <w:vAlign w:val="center"/>
          </w:tcPr>
          <w:p w:rsidR="00E53CA4" w:rsidRPr="003819C3" w:rsidRDefault="00E53CA4" w:rsidP="007866BE">
            <w:pPr>
              <w:keepNext/>
              <w:widowControl/>
              <w:jc w:val="left"/>
              <w:rPr>
                <w:rFonts w:ascii="Arial Narrow" w:hAnsi="Arial Narrow" w:cs="Times New Roman"/>
                <w:b/>
                <w:sz w:val="20"/>
              </w:rPr>
            </w:pPr>
            <w:r w:rsidRPr="003819C3">
              <w:rPr>
                <w:rFonts w:ascii="Arial Narrow" w:hAnsi="Arial Narrow" w:cs="Times New Roman"/>
                <w:b/>
                <w:sz w:val="20"/>
              </w:rPr>
              <w:t>Step and component</w:t>
            </w:r>
          </w:p>
        </w:tc>
        <w:tc>
          <w:tcPr>
            <w:tcW w:w="1420" w:type="pct"/>
            <w:gridSpan w:val="3"/>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EDITION I</w:t>
            </w:r>
          </w:p>
        </w:tc>
        <w:tc>
          <w:tcPr>
            <w:tcW w:w="1304" w:type="pct"/>
            <w:gridSpan w:val="3"/>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EDITION II</w:t>
            </w:r>
          </w:p>
        </w:tc>
        <w:tc>
          <w:tcPr>
            <w:tcW w:w="1297" w:type="pct"/>
            <w:gridSpan w:val="3"/>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EDITION III</w:t>
            </w:r>
          </w:p>
        </w:tc>
      </w:tr>
      <w:tr w:rsidR="00E53CA4" w:rsidRPr="003819C3" w:rsidTr="00F970C8">
        <w:tc>
          <w:tcPr>
            <w:tcW w:w="979" w:type="pct"/>
            <w:vMerge/>
            <w:vAlign w:val="center"/>
          </w:tcPr>
          <w:p w:rsidR="00E53CA4" w:rsidRPr="003819C3" w:rsidRDefault="00E53CA4" w:rsidP="007866BE">
            <w:pPr>
              <w:keepNext/>
              <w:widowControl/>
              <w:jc w:val="left"/>
              <w:rPr>
                <w:rFonts w:ascii="Arial Narrow" w:hAnsi="Arial Narrow" w:cs="Times New Roman"/>
                <w:b/>
                <w:sz w:val="20"/>
              </w:rPr>
            </w:pPr>
          </w:p>
        </w:tc>
        <w:tc>
          <w:tcPr>
            <w:tcW w:w="416"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U300</w:t>
            </w:r>
          </w:p>
        </w:tc>
        <w:tc>
          <w:tcPr>
            <w:tcW w:w="483"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U100</w:t>
            </w: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Increment</w:t>
            </w:r>
          </w:p>
        </w:tc>
        <w:tc>
          <w:tcPr>
            <w:tcW w:w="374"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U300</w:t>
            </w:r>
          </w:p>
        </w:tc>
        <w:tc>
          <w:tcPr>
            <w:tcW w:w="408"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U100</w:t>
            </w: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Increment</w:t>
            </w:r>
          </w:p>
        </w:tc>
        <w:tc>
          <w:tcPr>
            <w:tcW w:w="416"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U300</w:t>
            </w:r>
          </w:p>
        </w:tc>
        <w:tc>
          <w:tcPr>
            <w:tcW w:w="390"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U100</w:t>
            </w:r>
          </w:p>
        </w:tc>
        <w:tc>
          <w:tcPr>
            <w:tcW w:w="49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Increment</w:t>
            </w:r>
          </w:p>
        </w:tc>
      </w:tr>
      <w:tr w:rsidR="00E53CA4" w:rsidRPr="003819C3" w:rsidTr="00F970C8">
        <w:tc>
          <w:tcPr>
            <w:tcW w:w="5000" w:type="pct"/>
            <w:gridSpan w:val="10"/>
            <w:vAlign w:val="center"/>
          </w:tcPr>
          <w:p w:rsidR="00E53CA4" w:rsidRPr="003819C3" w:rsidRDefault="00E53CA4" w:rsidP="007866BE">
            <w:pPr>
              <w:keepNext/>
              <w:widowControl/>
              <w:jc w:val="left"/>
              <w:rPr>
                <w:rFonts w:ascii="Arial Narrow" w:hAnsi="Arial Narrow" w:cs="Arial Narrow"/>
                <w:b/>
                <w:bCs/>
                <w:sz w:val="20"/>
              </w:rPr>
            </w:pPr>
            <w:r w:rsidRPr="003819C3">
              <w:rPr>
                <w:rFonts w:ascii="Arial Narrow" w:hAnsi="Arial Narrow" w:cs="Arial Narrow"/>
                <w:b/>
                <w:bCs/>
                <w:sz w:val="20"/>
              </w:rPr>
              <w:t>Step 1: trial-based costs and outcomes</w:t>
            </w:r>
            <w:r w:rsidR="00D74146" w:rsidRPr="003819C3">
              <w:rPr>
                <w:rFonts w:ascii="Arial Narrow" w:hAnsi="Arial Narrow" w:cs="Arial Narrow"/>
                <w:b/>
                <w:bCs/>
                <w:sz w:val="20"/>
              </w:rPr>
              <w:t xml:space="preserve"> (6 month time horizon)</w:t>
            </w: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Costs</w:t>
            </w:r>
          </w:p>
        </w:tc>
        <w:tc>
          <w:tcPr>
            <w:tcW w:w="416"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83"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374"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08"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16"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390"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9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Symptomatic + severe hypoglycaemia events</w:t>
            </w:r>
          </w:p>
        </w:tc>
        <w:tc>
          <w:tcPr>
            <w:tcW w:w="416"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6.92</w:t>
            </w:r>
          </w:p>
        </w:tc>
        <w:tc>
          <w:tcPr>
            <w:tcW w:w="483"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7.50</w:t>
            </w:r>
          </w:p>
        </w:tc>
        <w:tc>
          <w:tcPr>
            <w:tcW w:w="521"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-0.58</w:t>
            </w:r>
          </w:p>
        </w:tc>
        <w:tc>
          <w:tcPr>
            <w:tcW w:w="374"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3.09</w:t>
            </w:r>
          </w:p>
        </w:tc>
        <w:tc>
          <w:tcPr>
            <w:tcW w:w="408"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4.09</w:t>
            </w:r>
          </w:p>
        </w:tc>
        <w:tc>
          <w:tcPr>
            <w:tcW w:w="521"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0.99</w:t>
            </w:r>
          </w:p>
        </w:tc>
        <w:tc>
          <w:tcPr>
            <w:tcW w:w="416"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1.04</w:t>
            </w:r>
          </w:p>
        </w:tc>
        <w:tc>
          <w:tcPr>
            <w:tcW w:w="390" w:type="pct"/>
            <w:vAlign w:val="center"/>
          </w:tcPr>
          <w:p w:rsidR="00E53CA4" w:rsidRPr="003819C3" w:rsidRDefault="00E53CA4" w:rsidP="007866BE">
            <w:pPr>
              <w:keepNext/>
              <w:widowControl/>
              <w:jc w:val="center"/>
              <w:rPr>
                <w:rFonts w:ascii="Arial Narrow" w:hAnsi="Arial Narrow" w:cs="Times New Roman"/>
                <w:sz w:val="20"/>
                <w:vertAlign w:val="superscript"/>
              </w:rPr>
            </w:pPr>
            <w:r w:rsidRPr="003819C3">
              <w:rPr>
                <w:rFonts w:ascii="Arial Narrow" w:hAnsi="Arial Narrow" w:cs="Times New Roman"/>
                <w:sz w:val="20"/>
              </w:rPr>
              <w:t>1.89</w:t>
            </w:r>
          </w:p>
        </w:tc>
        <w:tc>
          <w:tcPr>
            <w:tcW w:w="491"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0.85</w:t>
            </w:r>
          </w:p>
        </w:tc>
      </w:tr>
      <w:tr w:rsidR="00E53CA4" w:rsidRPr="003819C3" w:rsidTr="00F970C8">
        <w:tc>
          <w:tcPr>
            <w:tcW w:w="1878" w:type="pct"/>
            <w:gridSpan w:val="3"/>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b/>
                <w:snapToGrid/>
                <w:sz w:val="20"/>
              </w:rPr>
              <w:t>Incremental cost/event avoided</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374" w:type="pct"/>
          </w:tcPr>
          <w:p w:rsidR="00E53CA4" w:rsidRPr="003819C3" w:rsidRDefault="00E53CA4" w:rsidP="007866BE">
            <w:pPr>
              <w:keepNext/>
              <w:widowControl/>
              <w:jc w:val="center"/>
              <w:rPr>
                <w:rFonts w:ascii="Arial Narrow" w:hAnsi="Arial Narrow" w:cs="Times New Roman"/>
                <w:b/>
                <w:sz w:val="20"/>
              </w:rPr>
            </w:pPr>
          </w:p>
        </w:tc>
        <w:tc>
          <w:tcPr>
            <w:tcW w:w="408" w:type="pct"/>
          </w:tcPr>
          <w:p w:rsidR="00E53CA4" w:rsidRPr="003819C3" w:rsidRDefault="00E53CA4" w:rsidP="007866BE">
            <w:pPr>
              <w:keepNext/>
              <w:widowControl/>
              <w:jc w:val="center"/>
              <w:rPr>
                <w:rFonts w:ascii="Arial Narrow" w:hAnsi="Arial Narrow" w:cs="Times New Roman"/>
                <w:b/>
                <w:sz w:val="20"/>
              </w:rPr>
            </w:pP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416" w:type="pct"/>
          </w:tcPr>
          <w:p w:rsidR="00E53CA4" w:rsidRPr="003819C3" w:rsidRDefault="00E53CA4" w:rsidP="007866BE">
            <w:pPr>
              <w:keepNext/>
              <w:widowControl/>
              <w:jc w:val="center"/>
              <w:rPr>
                <w:rFonts w:ascii="Arial Narrow" w:hAnsi="Arial Narrow" w:cs="Times New Roman"/>
                <w:b/>
                <w:sz w:val="20"/>
              </w:rPr>
            </w:pPr>
          </w:p>
        </w:tc>
        <w:tc>
          <w:tcPr>
            <w:tcW w:w="390" w:type="pct"/>
          </w:tcPr>
          <w:p w:rsidR="00E53CA4" w:rsidRPr="003819C3" w:rsidRDefault="00E53CA4" w:rsidP="007866BE">
            <w:pPr>
              <w:keepNext/>
              <w:widowControl/>
              <w:jc w:val="center"/>
              <w:rPr>
                <w:rFonts w:ascii="Arial Narrow" w:hAnsi="Arial Narrow" w:cs="Times New Roman"/>
                <w:b/>
                <w:sz w:val="20"/>
              </w:rPr>
            </w:pPr>
          </w:p>
        </w:tc>
        <w:tc>
          <w:tcPr>
            <w:tcW w:w="49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r>
      <w:tr w:rsidR="00E53CA4" w:rsidRPr="003819C3" w:rsidTr="00F970C8">
        <w:tc>
          <w:tcPr>
            <w:tcW w:w="1878" w:type="pct"/>
            <w:gridSpan w:val="3"/>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b/>
                <w:snapToGrid/>
                <w:sz w:val="20"/>
              </w:rPr>
              <w:t>Upper 95% CL of differences in outcome</w:t>
            </w:r>
          </w:p>
        </w:tc>
        <w:tc>
          <w:tcPr>
            <w:tcW w:w="521" w:type="pct"/>
          </w:tcPr>
          <w:p w:rsidR="00E53CA4" w:rsidRPr="003819C3" w:rsidRDefault="00E53CA4" w:rsidP="007866BE">
            <w:pPr>
              <w:keepNext/>
              <w:widowControl/>
              <w:rPr>
                <w:rFonts w:ascii="Arial Narrow" w:hAnsi="Arial Narrow" w:cs="Times New Roman"/>
                <w:sz w:val="20"/>
              </w:rPr>
            </w:pPr>
            <w:r w:rsidRPr="003819C3">
              <w:rPr>
                <w:rFonts w:ascii="Arial Narrow" w:hAnsi="Arial Narrow" w:cs="Times New Roman"/>
                <w:b/>
                <w:sz w:val="20"/>
              </w:rPr>
              <w:t>Dominated</w:t>
            </w:r>
          </w:p>
        </w:tc>
        <w:tc>
          <w:tcPr>
            <w:tcW w:w="374" w:type="pct"/>
          </w:tcPr>
          <w:p w:rsidR="00E53CA4" w:rsidRPr="003819C3" w:rsidRDefault="00E53CA4" w:rsidP="007866BE">
            <w:pPr>
              <w:keepNext/>
              <w:widowControl/>
              <w:jc w:val="center"/>
              <w:rPr>
                <w:rFonts w:ascii="Arial Narrow" w:hAnsi="Arial Narrow" w:cs="Times New Roman"/>
                <w:b/>
                <w:sz w:val="20"/>
              </w:rPr>
            </w:pPr>
          </w:p>
        </w:tc>
        <w:tc>
          <w:tcPr>
            <w:tcW w:w="408" w:type="pct"/>
          </w:tcPr>
          <w:p w:rsidR="00E53CA4" w:rsidRPr="003819C3" w:rsidRDefault="00E53CA4" w:rsidP="007866BE">
            <w:pPr>
              <w:keepNext/>
              <w:widowControl/>
              <w:jc w:val="center"/>
              <w:rPr>
                <w:rFonts w:ascii="Arial Narrow" w:hAnsi="Arial Narrow" w:cs="Times New Roman"/>
                <w:b/>
                <w:sz w:val="20"/>
              </w:rPr>
            </w:pP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Dominated</w:t>
            </w:r>
          </w:p>
        </w:tc>
        <w:tc>
          <w:tcPr>
            <w:tcW w:w="416" w:type="pct"/>
          </w:tcPr>
          <w:p w:rsidR="00E53CA4" w:rsidRPr="003819C3" w:rsidRDefault="00E53CA4" w:rsidP="007866BE">
            <w:pPr>
              <w:keepNext/>
              <w:widowControl/>
              <w:jc w:val="center"/>
              <w:rPr>
                <w:rFonts w:ascii="Arial Narrow" w:hAnsi="Arial Narrow" w:cs="Times New Roman"/>
                <w:b/>
                <w:sz w:val="20"/>
              </w:rPr>
            </w:pPr>
          </w:p>
        </w:tc>
        <w:tc>
          <w:tcPr>
            <w:tcW w:w="390" w:type="pct"/>
          </w:tcPr>
          <w:p w:rsidR="00E53CA4" w:rsidRPr="003819C3" w:rsidRDefault="00E53CA4" w:rsidP="007866BE">
            <w:pPr>
              <w:keepNext/>
              <w:widowControl/>
              <w:jc w:val="center"/>
              <w:rPr>
                <w:rFonts w:ascii="Arial Narrow" w:hAnsi="Arial Narrow" w:cs="Times New Roman"/>
                <w:b/>
                <w:sz w:val="20"/>
              </w:rPr>
            </w:pPr>
          </w:p>
        </w:tc>
        <w:tc>
          <w:tcPr>
            <w:tcW w:w="49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r>
      <w:tr w:rsidR="00E53CA4" w:rsidRPr="003819C3" w:rsidTr="00F970C8">
        <w:tc>
          <w:tcPr>
            <w:tcW w:w="1878" w:type="pct"/>
            <w:gridSpan w:val="3"/>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b/>
                <w:snapToGrid/>
                <w:sz w:val="20"/>
              </w:rPr>
              <w:t>Lower 95% CL of differences in outcome</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374" w:type="pct"/>
          </w:tcPr>
          <w:p w:rsidR="00E53CA4" w:rsidRPr="003819C3" w:rsidRDefault="00E53CA4" w:rsidP="007866BE">
            <w:pPr>
              <w:keepNext/>
              <w:widowControl/>
              <w:jc w:val="center"/>
              <w:rPr>
                <w:rFonts w:ascii="Arial Narrow" w:hAnsi="Arial Narrow" w:cs="Times New Roman"/>
                <w:b/>
                <w:sz w:val="20"/>
              </w:rPr>
            </w:pPr>
          </w:p>
        </w:tc>
        <w:tc>
          <w:tcPr>
            <w:tcW w:w="408" w:type="pct"/>
          </w:tcPr>
          <w:p w:rsidR="00E53CA4" w:rsidRPr="003819C3" w:rsidRDefault="00E53CA4" w:rsidP="007866BE">
            <w:pPr>
              <w:keepNext/>
              <w:widowControl/>
              <w:jc w:val="center"/>
              <w:rPr>
                <w:rFonts w:ascii="Arial Narrow" w:hAnsi="Arial Narrow" w:cs="Times New Roman"/>
                <w:b/>
                <w:sz w:val="20"/>
              </w:rPr>
            </w:pP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416" w:type="pct"/>
          </w:tcPr>
          <w:p w:rsidR="00E53CA4" w:rsidRPr="003819C3" w:rsidRDefault="00E53CA4" w:rsidP="007866BE">
            <w:pPr>
              <w:keepNext/>
              <w:widowControl/>
              <w:jc w:val="center"/>
              <w:rPr>
                <w:rFonts w:ascii="Arial Narrow" w:hAnsi="Arial Narrow" w:cs="Times New Roman"/>
                <w:b/>
                <w:sz w:val="20"/>
              </w:rPr>
            </w:pPr>
          </w:p>
        </w:tc>
        <w:tc>
          <w:tcPr>
            <w:tcW w:w="390" w:type="pct"/>
          </w:tcPr>
          <w:p w:rsidR="00E53CA4" w:rsidRPr="003819C3" w:rsidRDefault="00E53CA4" w:rsidP="007866BE">
            <w:pPr>
              <w:keepNext/>
              <w:widowControl/>
              <w:jc w:val="center"/>
              <w:rPr>
                <w:rFonts w:ascii="Arial Narrow" w:hAnsi="Arial Narrow" w:cs="Times New Roman"/>
                <w:b/>
                <w:sz w:val="20"/>
              </w:rPr>
            </w:pPr>
          </w:p>
        </w:tc>
        <w:tc>
          <w:tcPr>
            <w:tcW w:w="49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r>
      <w:tr w:rsidR="00E53CA4" w:rsidRPr="003819C3" w:rsidTr="00F970C8">
        <w:tc>
          <w:tcPr>
            <w:tcW w:w="5000" w:type="pct"/>
            <w:gridSpan w:val="10"/>
            <w:vAlign w:val="center"/>
          </w:tcPr>
          <w:p w:rsidR="00E53CA4" w:rsidRPr="003819C3" w:rsidRDefault="00E53CA4" w:rsidP="007866BE">
            <w:pPr>
              <w:keepNext/>
              <w:widowControl/>
              <w:jc w:val="left"/>
              <w:rPr>
                <w:rFonts w:ascii="Arial Narrow" w:hAnsi="Arial Narrow" w:cs="Arial Narrow"/>
                <w:b/>
                <w:bCs/>
                <w:sz w:val="20"/>
              </w:rPr>
            </w:pPr>
            <w:r w:rsidRPr="003819C3">
              <w:rPr>
                <w:rFonts w:ascii="Arial Narrow" w:hAnsi="Arial Narrow" w:cs="Arial Narrow"/>
                <w:b/>
                <w:bCs/>
                <w:sz w:val="20"/>
              </w:rPr>
              <w:t>Step 2: trial results and premodelling (extrapolation to 20 year time horizon, inclusion of cost of mealtime insulin (EDITION I), undiscounted)</w:t>
            </w: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Costs</w:t>
            </w:r>
          </w:p>
        </w:tc>
        <w:tc>
          <w:tcPr>
            <w:tcW w:w="416"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83"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374"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08"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16"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390"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9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Symptomatic + severe hypoglycaemia events</w:t>
            </w:r>
          </w:p>
        </w:tc>
        <w:tc>
          <w:tcPr>
            <w:tcW w:w="416"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276</w:t>
            </w:r>
          </w:p>
        </w:tc>
        <w:tc>
          <w:tcPr>
            <w:tcW w:w="483"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299</w:t>
            </w:r>
          </w:p>
        </w:tc>
        <w:tc>
          <w:tcPr>
            <w:tcW w:w="521"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-22.97</w:t>
            </w:r>
          </w:p>
        </w:tc>
        <w:tc>
          <w:tcPr>
            <w:tcW w:w="374"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123</w:t>
            </w:r>
          </w:p>
        </w:tc>
        <w:tc>
          <w:tcPr>
            <w:tcW w:w="408"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163</w:t>
            </w:r>
          </w:p>
        </w:tc>
        <w:tc>
          <w:tcPr>
            <w:tcW w:w="521"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-39.50</w:t>
            </w:r>
          </w:p>
        </w:tc>
        <w:tc>
          <w:tcPr>
            <w:tcW w:w="416"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4</w:t>
            </w:r>
            <w:r w:rsidR="002506F6" w:rsidRPr="003819C3">
              <w:rPr>
                <w:rFonts w:ascii="Arial Narrow" w:hAnsi="Arial Narrow" w:cs="Times New Roman"/>
                <w:sz w:val="20"/>
              </w:rPr>
              <w:t>2</w:t>
            </w:r>
          </w:p>
        </w:tc>
        <w:tc>
          <w:tcPr>
            <w:tcW w:w="390"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75</w:t>
            </w:r>
          </w:p>
        </w:tc>
        <w:tc>
          <w:tcPr>
            <w:tcW w:w="491"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33.74</w:t>
            </w:r>
          </w:p>
        </w:tc>
      </w:tr>
      <w:tr w:rsidR="00E53CA4" w:rsidRPr="003819C3" w:rsidTr="00F970C8">
        <w:trPr>
          <w:trHeight w:val="70"/>
        </w:trPr>
        <w:tc>
          <w:tcPr>
            <w:tcW w:w="1878" w:type="pct"/>
            <w:gridSpan w:val="3"/>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b/>
                <w:snapToGrid/>
                <w:sz w:val="20"/>
              </w:rPr>
              <w:t>Incremental cost/event avoided</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374" w:type="pct"/>
          </w:tcPr>
          <w:p w:rsidR="00E53CA4" w:rsidRPr="003819C3" w:rsidRDefault="00E53CA4" w:rsidP="007866BE">
            <w:pPr>
              <w:keepNext/>
              <w:widowControl/>
              <w:jc w:val="center"/>
              <w:rPr>
                <w:rFonts w:ascii="Arial Narrow" w:hAnsi="Arial Narrow" w:cs="Times New Roman"/>
                <w:b/>
                <w:sz w:val="20"/>
              </w:rPr>
            </w:pPr>
          </w:p>
        </w:tc>
        <w:tc>
          <w:tcPr>
            <w:tcW w:w="408" w:type="pct"/>
          </w:tcPr>
          <w:p w:rsidR="00E53CA4" w:rsidRPr="003819C3" w:rsidRDefault="00E53CA4" w:rsidP="007866BE">
            <w:pPr>
              <w:keepNext/>
              <w:widowControl/>
              <w:jc w:val="center"/>
              <w:rPr>
                <w:rFonts w:ascii="Arial Narrow" w:hAnsi="Arial Narrow" w:cs="Times New Roman"/>
                <w:b/>
                <w:sz w:val="20"/>
              </w:rPr>
            </w:pP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416" w:type="pct"/>
          </w:tcPr>
          <w:p w:rsidR="00E53CA4" w:rsidRPr="003819C3" w:rsidRDefault="00E53CA4" w:rsidP="007866BE">
            <w:pPr>
              <w:keepNext/>
              <w:widowControl/>
              <w:jc w:val="center"/>
              <w:rPr>
                <w:rFonts w:ascii="Arial Narrow" w:hAnsi="Arial Narrow" w:cs="Times New Roman"/>
                <w:b/>
                <w:sz w:val="20"/>
              </w:rPr>
            </w:pPr>
          </w:p>
        </w:tc>
        <w:tc>
          <w:tcPr>
            <w:tcW w:w="390" w:type="pct"/>
          </w:tcPr>
          <w:p w:rsidR="00E53CA4" w:rsidRPr="003819C3" w:rsidRDefault="00E53CA4" w:rsidP="007866BE">
            <w:pPr>
              <w:keepNext/>
              <w:widowControl/>
              <w:jc w:val="center"/>
              <w:rPr>
                <w:rFonts w:ascii="Arial Narrow" w:hAnsi="Arial Narrow" w:cs="Times New Roman"/>
                <w:b/>
                <w:sz w:val="20"/>
              </w:rPr>
            </w:pPr>
          </w:p>
        </w:tc>
        <w:tc>
          <w:tcPr>
            <w:tcW w:w="491" w:type="pct"/>
          </w:tcPr>
          <w:p w:rsidR="00E53CA4" w:rsidRPr="003819C3" w:rsidRDefault="002506F6"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r>
      <w:tr w:rsidR="00E53CA4" w:rsidRPr="003819C3" w:rsidTr="00F970C8">
        <w:tc>
          <w:tcPr>
            <w:tcW w:w="5000" w:type="pct"/>
            <w:gridSpan w:val="10"/>
            <w:vAlign w:val="center"/>
          </w:tcPr>
          <w:p w:rsidR="00E53CA4" w:rsidRPr="003819C3" w:rsidRDefault="00E53CA4" w:rsidP="007866BE">
            <w:pPr>
              <w:keepNext/>
              <w:widowControl/>
              <w:jc w:val="left"/>
              <w:rPr>
                <w:rFonts w:ascii="Arial Narrow" w:hAnsi="Arial Narrow" w:cs="Arial Narrow"/>
                <w:b/>
                <w:bCs/>
                <w:sz w:val="20"/>
              </w:rPr>
            </w:pPr>
            <w:r w:rsidRPr="003819C3">
              <w:rPr>
                <w:rFonts w:ascii="Arial Narrow" w:hAnsi="Arial Narrow" w:cs="Arial Narrow"/>
                <w:b/>
                <w:bCs/>
                <w:sz w:val="20"/>
              </w:rPr>
              <w:t>Step 3: modelled evaluation (inclusion of cost for treating severe hypoglycaemic events, undiscounted)</w:t>
            </w: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Costs</w:t>
            </w:r>
          </w:p>
        </w:tc>
        <w:tc>
          <w:tcPr>
            <w:tcW w:w="416"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83"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374"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08"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16"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390"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9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Symptomatic + severe hypoglycaemia events</w:t>
            </w:r>
          </w:p>
        </w:tc>
        <w:tc>
          <w:tcPr>
            <w:tcW w:w="416"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276</w:t>
            </w:r>
          </w:p>
        </w:tc>
        <w:tc>
          <w:tcPr>
            <w:tcW w:w="483"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299</w:t>
            </w:r>
          </w:p>
        </w:tc>
        <w:tc>
          <w:tcPr>
            <w:tcW w:w="521"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-22.97</w:t>
            </w:r>
          </w:p>
        </w:tc>
        <w:tc>
          <w:tcPr>
            <w:tcW w:w="374"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123</w:t>
            </w:r>
          </w:p>
        </w:tc>
        <w:tc>
          <w:tcPr>
            <w:tcW w:w="408"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163</w:t>
            </w:r>
          </w:p>
        </w:tc>
        <w:tc>
          <w:tcPr>
            <w:tcW w:w="521"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-39.50</w:t>
            </w:r>
          </w:p>
        </w:tc>
        <w:tc>
          <w:tcPr>
            <w:tcW w:w="416" w:type="pct"/>
            <w:vAlign w:val="center"/>
          </w:tcPr>
          <w:p w:rsidR="00E53CA4" w:rsidRPr="003819C3" w:rsidRDefault="002506F6" w:rsidP="007866BE">
            <w:pPr>
              <w:keepNext/>
              <w:widowControl/>
              <w:jc w:val="center"/>
              <w:rPr>
                <w:rFonts w:ascii="Arial Narrow" w:hAnsi="Arial Narrow" w:cs="Times New Roman"/>
                <w:sz w:val="20"/>
              </w:rPr>
            </w:pPr>
            <w:r w:rsidRPr="003819C3">
              <w:rPr>
                <w:rFonts w:ascii="Arial Narrow" w:hAnsi="Arial Narrow" w:cs="Times New Roman"/>
                <w:sz w:val="20"/>
              </w:rPr>
              <w:t>42</w:t>
            </w:r>
          </w:p>
        </w:tc>
        <w:tc>
          <w:tcPr>
            <w:tcW w:w="390"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75</w:t>
            </w:r>
          </w:p>
        </w:tc>
        <w:tc>
          <w:tcPr>
            <w:tcW w:w="491"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33.74</w:t>
            </w:r>
          </w:p>
        </w:tc>
      </w:tr>
      <w:tr w:rsidR="00E53CA4" w:rsidRPr="003819C3" w:rsidTr="00F970C8">
        <w:tc>
          <w:tcPr>
            <w:tcW w:w="1878" w:type="pct"/>
            <w:gridSpan w:val="3"/>
            <w:vAlign w:val="center"/>
          </w:tcPr>
          <w:p w:rsidR="00E53CA4" w:rsidRPr="003819C3" w:rsidRDefault="00E53CA4" w:rsidP="007866BE">
            <w:pPr>
              <w:keepNext/>
              <w:widowControl/>
              <w:jc w:val="left"/>
              <w:rPr>
                <w:rFonts w:ascii="Arial Narrow" w:hAnsi="Arial Narrow" w:cs="Times New Roman"/>
                <w:b/>
                <w:sz w:val="20"/>
              </w:rPr>
            </w:pPr>
            <w:r w:rsidRPr="003819C3">
              <w:rPr>
                <w:rFonts w:ascii="Arial Narrow" w:hAnsi="Arial Narrow" w:cs="Times New Roman"/>
                <w:b/>
                <w:sz w:val="20"/>
              </w:rPr>
              <w:t>Incremental cost/event avoided</w:t>
            </w: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374" w:type="pct"/>
          </w:tcPr>
          <w:p w:rsidR="00E53CA4" w:rsidRPr="003819C3" w:rsidRDefault="00E53CA4" w:rsidP="007866BE">
            <w:pPr>
              <w:keepNext/>
              <w:widowControl/>
              <w:jc w:val="center"/>
              <w:rPr>
                <w:rFonts w:ascii="Arial Narrow" w:hAnsi="Arial Narrow" w:cs="Times New Roman"/>
                <w:b/>
                <w:sz w:val="20"/>
              </w:rPr>
            </w:pPr>
          </w:p>
        </w:tc>
        <w:tc>
          <w:tcPr>
            <w:tcW w:w="408" w:type="pct"/>
          </w:tcPr>
          <w:p w:rsidR="00E53CA4" w:rsidRPr="003819C3" w:rsidRDefault="00E53CA4" w:rsidP="007866BE">
            <w:pPr>
              <w:keepNext/>
              <w:widowControl/>
              <w:jc w:val="center"/>
              <w:rPr>
                <w:rFonts w:ascii="Arial Narrow" w:hAnsi="Arial Narrow" w:cs="Times New Roman"/>
                <w:b/>
                <w:sz w:val="20"/>
              </w:rPr>
            </w:pP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416" w:type="pct"/>
          </w:tcPr>
          <w:p w:rsidR="00E53CA4" w:rsidRPr="003819C3" w:rsidRDefault="00E53CA4" w:rsidP="007866BE">
            <w:pPr>
              <w:keepNext/>
              <w:widowControl/>
              <w:jc w:val="center"/>
              <w:rPr>
                <w:rFonts w:ascii="Arial Narrow" w:hAnsi="Arial Narrow" w:cs="Times New Roman"/>
                <w:b/>
                <w:sz w:val="20"/>
              </w:rPr>
            </w:pPr>
          </w:p>
        </w:tc>
        <w:tc>
          <w:tcPr>
            <w:tcW w:w="390" w:type="pct"/>
          </w:tcPr>
          <w:p w:rsidR="00E53CA4" w:rsidRPr="003819C3" w:rsidRDefault="00E53CA4" w:rsidP="007866BE">
            <w:pPr>
              <w:keepNext/>
              <w:widowControl/>
              <w:jc w:val="center"/>
              <w:rPr>
                <w:rFonts w:ascii="Arial Narrow" w:hAnsi="Arial Narrow" w:cs="Times New Roman"/>
                <w:b/>
                <w:sz w:val="20"/>
              </w:rPr>
            </w:pPr>
          </w:p>
        </w:tc>
        <w:tc>
          <w:tcPr>
            <w:tcW w:w="49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r>
      <w:tr w:rsidR="00E53CA4" w:rsidRPr="003819C3" w:rsidTr="00F970C8">
        <w:tc>
          <w:tcPr>
            <w:tcW w:w="5000" w:type="pct"/>
            <w:gridSpan w:val="10"/>
            <w:vAlign w:val="center"/>
          </w:tcPr>
          <w:p w:rsidR="00E53CA4" w:rsidRPr="003819C3" w:rsidRDefault="00E53CA4" w:rsidP="007866BE">
            <w:pPr>
              <w:keepNext/>
              <w:widowControl/>
              <w:jc w:val="left"/>
              <w:rPr>
                <w:rFonts w:ascii="Arial Narrow" w:hAnsi="Arial Narrow" w:cs="Arial Narrow"/>
                <w:b/>
                <w:bCs/>
                <w:sz w:val="20"/>
              </w:rPr>
            </w:pPr>
            <w:r w:rsidRPr="003819C3">
              <w:rPr>
                <w:rFonts w:ascii="Arial Narrow" w:hAnsi="Arial Narrow" w:cs="Arial Narrow"/>
                <w:b/>
                <w:bCs/>
                <w:sz w:val="20"/>
              </w:rPr>
              <w:t>Step 4: modelled evaluation (transformation to QALYs gained, discounted)</w:t>
            </w: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Costs</w:t>
            </w:r>
          </w:p>
        </w:tc>
        <w:tc>
          <w:tcPr>
            <w:tcW w:w="416"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83"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374"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08"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16"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390"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9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QALYs</w:t>
            </w:r>
          </w:p>
        </w:tc>
        <w:tc>
          <w:tcPr>
            <w:tcW w:w="416"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483" w:type="pct"/>
            <w:vAlign w:val="center"/>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21"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374"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408"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21"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416"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390"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491"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E53CA4" w:rsidRPr="003819C3" w:rsidTr="00F970C8">
        <w:tc>
          <w:tcPr>
            <w:tcW w:w="1878" w:type="pct"/>
            <w:gridSpan w:val="3"/>
            <w:vAlign w:val="center"/>
          </w:tcPr>
          <w:p w:rsidR="00E53CA4" w:rsidRPr="003819C3" w:rsidRDefault="00E53CA4" w:rsidP="007866BE">
            <w:pPr>
              <w:keepNext/>
              <w:widowControl/>
              <w:jc w:val="left"/>
              <w:rPr>
                <w:rFonts w:ascii="Arial Narrow" w:hAnsi="Arial Narrow" w:cs="Times New Roman"/>
                <w:b/>
                <w:sz w:val="20"/>
              </w:rPr>
            </w:pPr>
            <w:r w:rsidRPr="003819C3">
              <w:rPr>
                <w:rFonts w:ascii="Arial Narrow" w:hAnsi="Arial Narrow" w:cs="Times New Roman"/>
                <w:b/>
                <w:sz w:val="20"/>
              </w:rPr>
              <w:t>Incremental cost/extra QALY gained</w:t>
            </w: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374" w:type="pct"/>
          </w:tcPr>
          <w:p w:rsidR="00E53CA4" w:rsidRPr="003819C3" w:rsidRDefault="00E53CA4" w:rsidP="007866BE">
            <w:pPr>
              <w:keepNext/>
              <w:widowControl/>
              <w:jc w:val="center"/>
              <w:rPr>
                <w:rFonts w:ascii="Arial Narrow" w:hAnsi="Arial Narrow" w:cs="Times New Roman"/>
                <w:b/>
                <w:sz w:val="20"/>
              </w:rPr>
            </w:pPr>
          </w:p>
        </w:tc>
        <w:tc>
          <w:tcPr>
            <w:tcW w:w="408" w:type="pct"/>
          </w:tcPr>
          <w:p w:rsidR="00E53CA4" w:rsidRPr="003819C3" w:rsidRDefault="00E53CA4" w:rsidP="007866BE">
            <w:pPr>
              <w:keepNext/>
              <w:widowControl/>
              <w:jc w:val="center"/>
              <w:rPr>
                <w:rFonts w:ascii="Arial Narrow" w:hAnsi="Arial Narrow" w:cs="Times New Roman"/>
                <w:b/>
                <w:sz w:val="20"/>
              </w:rPr>
            </w:pPr>
          </w:p>
        </w:tc>
        <w:tc>
          <w:tcPr>
            <w:tcW w:w="521" w:type="pct"/>
          </w:tcPr>
          <w:p w:rsidR="00E53CA4" w:rsidRPr="003819C3" w:rsidRDefault="002506F6"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416" w:type="pct"/>
          </w:tcPr>
          <w:p w:rsidR="00E53CA4" w:rsidRPr="003819C3" w:rsidRDefault="00E53CA4" w:rsidP="007866BE">
            <w:pPr>
              <w:keepNext/>
              <w:widowControl/>
              <w:jc w:val="center"/>
              <w:rPr>
                <w:rFonts w:ascii="Arial Narrow" w:hAnsi="Arial Narrow" w:cs="Times New Roman"/>
                <w:b/>
                <w:sz w:val="20"/>
              </w:rPr>
            </w:pPr>
          </w:p>
        </w:tc>
        <w:tc>
          <w:tcPr>
            <w:tcW w:w="390" w:type="pct"/>
          </w:tcPr>
          <w:p w:rsidR="00E53CA4" w:rsidRPr="003819C3" w:rsidRDefault="00E53CA4" w:rsidP="007866BE">
            <w:pPr>
              <w:keepNext/>
              <w:widowControl/>
              <w:jc w:val="center"/>
              <w:rPr>
                <w:rFonts w:ascii="Arial Narrow" w:hAnsi="Arial Narrow" w:cs="Times New Roman"/>
                <w:b/>
                <w:sz w:val="20"/>
              </w:rPr>
            </w:pPr>
          </w:p>
        </w:tc>
        <w:tc>
          <w:tcPr>
            <w:tcW w:w="49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r>
      <w:tr w:rsidR="00E53CA4" w:rsidRPr="003819C3" w:rsidTr="00F970C8">
        <w:tc>
          <w:tcPr>
            <w:tcW w:w="5000" w:type="pct"/>
            <w:gridSpan w:val="10"/>
            <w:vAlign w:val="center"/>
          </w:tcPr>
          <w:p w:rsidR="00E53CA4" w:rsidRPr="003819C3" w:rsidRDefault="00E53CA4" w:rsidP="007866BE">
            <w:pPr>
              <w:keepNext/>
              <w:widowControl/>
              <w:jc w:val="left"/>
              <w:rPr>
                <w:rFonts w:ascii="Arial Narrow" w:hAnsi="Arial Narrow" w:cs="Arial Narrow"/>
                <w:b/>
                <w:bCs/>
                <w:sz w:val="20"/>
              </w:rPr>
            </w:pPr>
            <w:r w:rsidRPr="003819C3">
              <w:rPr>
                <w:rFonts w:ascii="Arial Narrow" w:hAnsi="Arial Narrow" w:cs="Arial Narrow"/>
                <w:b/>
                <w:bCs/>
                <w:sz w:val="20"/>
              </w:rPr>
              <w:t>Step 5: modelled evaluation (sequential model, EDITION III → EDITION II → EDITION I)</w:t>
            </w: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p>
        </w:tc>
        <w:tc>
          <w:tcPr>
            <w:tcW w:w="1420" w:type="pct"/>
            <w:gridSpan w:val="3"/>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Sequential model</w:t>
            </w:r>
          </w:p>
        </w:tc>
        <w:tc>
          <w:tcPr>
            <w:tcW w:w="2601" w:type="pct"/>
            <w:gridSpan w:val="6"/>
            <w:vMerge w:val="restart"/>
          </w:tcPr>
          <w:p w:rsidR="00E53CA4" w:rsidRPr="003819C3" w:rsidRDefault="00E53CA4" w:rsidP="007866BE">
            <w:pPr>
              <w:keepNext/>
              <w:widowControl/>
              <w:jc w:val="center"/>
              <w:rPr>
                <w:rFonts w:ascii="Arial Narrow" w:hAnsi="Arial Narrow" w:cs="Times New Roman"/>
                <w:sz w:val="20"/>
              </w:rPr>
            </w:pP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Costs</w:t>
            </w:r>
          </w:p>
        </w:tc>
        <w:tc>
          <w:tcPr>
            <w:tcW w:w="416"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483" w:type="pct"/>
            <w:vAlign w:val="center"/>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521" w:type="pct"/>
          </w:tcPr>
          <w:p w:rsidR="00E53CA4" w:rsidRPr="003819C3" w:rsidRDefault="00E53CA4" w:rsidP="007866BE">
            <w:pPr>
              <w:keepNext/>
              <w:widowControl/>
              <w:jc w:val="center"/>
              <w:rPr>
                <w:rFonts w:ascii="Arial Narrow" w:hAnsi="Arial Narrow" w:cs="Times New Roman"/>
                <w:sz w:val="20"/>
              </w:rPr>
            </w:pPr>
            <w:r w:rsidRPr="003819C3">
              <w:rPr>
                <w:rFonts w:ascii="Arial Narrow" w:hAnsi="Arial Narrow" w:cs="Times New Roman"/>
                <w:sz w:val="20"/>
              </w:rPr>
              <w:t>$</w:t>
            </w:r>
            <w:r w:rsidR="00B96A59">
              <w:rPr>
                <w:rFonts w:ascii="Arial Narrow" w:hAnsi="Arial Narrow" w:cs="Times New Roman"/>
                <w:noProof/>
                <w:color w:val="000000"/>
                <w:sz w:val="20"/>
                <w:highlight w:val="black"/>
              </w:rPr>
              <w:t>''''''''''''</w:t>
            </w:r>
          </w:p>
        </w:tc>
        <w:tc>
          <w:tcPr>
            <w:tcW w:w="2601" w:type="pct"/>
            <w:gridSpan w:val="6"/>
            <w:vMerge/>
          </w:tcPr>
          <w:p w:rsidR="00E53CA4" w:rsidRPr="003819C3" w:rsidRDefault="00E53CA4" w:rsidP="007866BE">
            <w:pPr>
              <w:keepNext/>
              <w:widowControl/>
              <w:jc w:val="center"/>
              <w:rPr>
                <w:rFonts w:ascii="Arial Narrow" w:hAnsi="Arial Narrow" w:cs="Times New Roman"/>
                <w:sz w:val="20"/>
              </w:rPr>
            </w:pPr>
          </w:p>
        </w:tc>
      </w:tr>
      <w:tr w:rsidR="00E53CA4" w:rsidRPr="003819C3" w:rsidTr="00F970C8">
        <w:tc>
          <w:tcPr>
            <w:tcW w:w="979" w:type="pct"/>
            <w:vAlign w:val="center"/>
          </w:tcPr>
          <w:p w:rsidR="00E53CA4" w:rsidRPr="003819C3" w:rsidRDefault="00E53CA4" w:rsidP="007866BE">
            <w:pPr>
              <w:keepNext/>
              <w:widowControl/>
              <w:jc w:val="left"/>
              <w:rPr>
                <w:rFonts w:ascii="Arial Narrow" w:hAnsi="Arial Narrow" w:cs="Times New Roman"/>
                <w:sz w:val="20"/>
              </w:rPr>
            </w:pPr>
            <w:r w:rsidRPr="003819C3">
              <w:rPr>
                <w:rFonts w:ascii="Arial Narrow" w:hAnsi="Arial Narrow" w:cs="Times New Roman"/>
                <w:sz w:val="20"/>
              </w:rPr>
              <w:t>QALYs</w:t>
            </w:r>
          </w:p>
        </w:tc>
        <w:tc>
          <w:tcPr>
            <w:tcW w:w="416"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483" w:type="pct"/>
            <w:vAlign w:val="center"/>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21" w:type="pct"/>
          </w:tcPr>
          <w:p w:rsidR="00E53CA4" w:rsidRPr="00B96A59" w:rsidRDefault="00B96A59" w:rsidP="007866BE">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2601" w:type="pct"/>
            <w:gridSpan w:val="6"/>
            <w:vMerge/>
          </w:tcPr>
          <w:p w:rsidR="00E53CA4" w:rsidRPr="003819C3" w:rsidRDefault="00E53CA4" w:rsidP="007866BE">
            <w:pPr>
              <w:keepNext/>
              <w:widowControl/>
              <w:jc w:val="center"/>
              <w:rPr>
                <w:rFonts w:ascii="Arial Narrow" w:hAnsi="Arial Narrow" w:cs="Times New Roman"/>
                <w:sz w:val="20"/>
              </w:rPr>
            </w:pPr>
          </w:p>
        </w:tc>
      </w:tr>
      <w:tr w:rsidR="00E53CA4" w:rsidRPr="003819C3" w:rsidTr="00F970C8">
        <w:tc>
          <w:tcPr>
            <w:tcW w:w="1878" w:type="pct"/>
            <w:gridSpan w:val="3"/>
            <w:vAlign w:val="center"/>
          </w:tcPr>
          <w:p w:rsidR="00E53CA4" w:rsidRPr="003819C3" w:rsidRDefault="00E53CA4" w:rsidP="007866BE">
            <w:pPr>
              <w:keepNext/>
              <w:widowControl/>
              <w:jc w:val="left"/>
              <w:rPr>
                <w:rFonts w:ascii="Arial Narrow" w:hAnsi="Arial Narrow" w:cs="Times New Roman"/>
                <w:b/>
                <w:sz w:val="20"/>
              </w:rPr>
            </w:pPr>
            <w:r w:rsidRPr="003819C3">
              <w:rPr>
                <w:rFonts w:ascii="Arial Narrow" w:hAnsi="Arial Narrow" w:cs="Times New Roman"/>
                <w:b/>
                <w:sz w:val="20"/>
              </w:rPr>
              <w:t>Incremental cost/extra QALY gained</w:t>
            </w:r>
          </w:p>
        </w:tc>
        <w:tc>
          <w:tcPr>
            <w:tcW w:w="521" w:type="pct"/>
          </w:tcPr>
          <w:p w:rsidR="00E53CA4" w:rsidRPr="003819C3" w:rsidRDefault="00E53CA4" w:rsidP="007866BE">
            <w:pPr>
              <w:keepNext/>
              <w:widowControl/>
              <w:jc w:val="center"/>
              <w:rPr>
                <w:rFonts w:ascii="Arial Narrow" w:hAnsi="Arial Narrow" w:cs="Times New Roman"/>
                <w:b/>
                <w:sz w:val="20"/>
              </w:rPr>
            </w:pPr>
            <w:r w:rsidRPr="003819C3">
              <w:rPr>
                <w:rFonts w:ascii="Arial Narrow" w:hAnsi="Arial Narrow" w:cs="Times New Roman"/>
                <w:b/>
                <w:sz w:val="20"/>
              </w:rPr>
              <w:t>$</w:t>
            </w:r>
            <w:r w:rsidR="00B96A59">
              <w:rPr>
                <w:rFonts w:ascii="Arial Narrow" w:hAnsi="Arial Narrow" w:cs="Times New Roman"/>
                <w:b/>
                <w:noProof/>
                <w:color w:val="000000"/>
                <w:sz w:val="20"/>
                <w:highlight w:val="black"/>
              </w:rPr>
              <w:t>'''''''''''''''</w:t>
            </w:r>
          </w:p>
        </w:tc>
        <w:tc>
          <w:tcPr>
            <w:tcW w:w="2601" w:type="pct"/>
            <w:gridSpan w:val="6"/>
            <w:vMerge/>
          </w:tcPr>
          <w:p w:rsidR="00E53CA4" w:rsidRPr="003819C3" w:rsidRDefault="00E53CA4" w:rsidP="007866BE">
            <w:pPr>
              <w:keepNext/>
              <w:widowControl/>
              <w:jc w:val="center"/>
              <w:rPr>
                <w:rFonts w:ascii="Arial Narrow" w:hAnsi="Arial Narrow" w:cs="Times New Roman"/>
                <w:b/>
                <w:sz w:val="20"/>
              </w:rPr>
            </w:pPr>
          </w:p>
        </w:tc>
      </w:tr>
    </w:tbl>
    <w:p w:rsidR="00E53CA4" w:rsidRPr="003819C3" w:rsidRDefault="00E53CA4" w:rsidP="007866BE">
      <w:pPr>
        <w:pStyle w:val="TableFooter"/>
        <w:widowControl/>
        <w:ind w:left="709"/>
      </w:pPr>
      <w:r w:rsidRPr="003819C3">
        <w:t>Source: Table D.20, p179 of the submission; values in italics corrected during the evaluation</w:t>
      </w:r>
      <w:r w:rsidR="00D66267" w:rsidRPr="003819C3">
        <w:t>.</w:t>
      </w:r>
    </w:p>
    <w:p w:rsidR="00E53CA4" w:rsidRPr="003819C3" w:rsidRDefault="00E53CA4" w:rsidP="007866BE">
      <w:pPr>
        <w:widowControl/>
        <w:rPr>
          <w:szCs w:val="22"/>
        </w:rPr>
      </w:pPr>
    </w:p>
    <w:p w:rsidR="00D75DEB" w:rsidRPr="003819C3" w:rsidRDefault="00D66267" w:rsidP="007866BE">
      <w:pPr>
        <w:pStyle w:val="ListParagraph"/>
        <w:widowControl/>
        <w:numPr>
          <w:ilvl w:val="1"/>
          <w:numId w:val="10"/>
        </w:numPr>
        <w:rPr>
          <w:szCs w:val="22"/>
        </w:rPr>
      </w:pPr>
      <w:r w:rsidRPr="003819C3">
        <w:t>The T2</w:t>
      </w:r>
      <w:r w:rsidR="00EA7CB2">
        <w:t>DM cost-effectiveness analysis wa</w:t>
      </w:r>
      <w:r w:rsidRPr="003819C3">
        <w:t xml:space="preserve">s based on a reduction in symptomatic and severe hypoglycaemia. These were safety endpoints in the trials. </w:t>
      </w:r>
    </w:p>
    <w:p w:rsidR="00D75DEB" w:rsidRPr="003819C3" w:rsidRDefault="00D75DEB" w:rsidP="007866BE">
      <w:pPr>
        <w:pStyle w:val="ListParagraph"/>
        <w:widowControl/>
        <w:rPr>
          <w:szCs w:val="22"/>
        </w:rPr>
      </w:pPr>
    </w:p>
    <w:p w:rsidR="00D75DEB" w:rsidRPr="003819C3" w:rsidRDefault="00D66267" w:rsidP="007866BE">
      <w:pPr>
        <w:pStyle w:val="ListParagraph"/>
        <w:widowControl/>
        <w:numPr>
          <w:ilvl w:val="1"/>
          <w:numId w:val="10"/>
        </w:numPr>
        <w:rPr>
          <w:szCs w:val="22"/>
        </w:rPr>
      </w:pPr>
      <w:r w:rsidRPr="003819C3">
        <w:t xml:space="preserve">The difference between the U300 and U100 treatment groups in symptomatic events was not statistically significant in EDITION I and II. </w:t>
      </w:r>
      <w:r w:rsidR="00D75DEB" w:rsidRPr="003819C3">
        <w:rPr>
          <w:szCs w:val="22"/>
        </w:rPr>
        <w:t>The lower event rate reduction with U300 in EDITION I (0.08) compared with EDITION II (0.24) and III (0.45) resulted in higher ICERs despite the higher baseline risk of events (EDITION I: 14.76; EDITION II: 8.11; EDITION III: 3.76 per patient year).</w:t>
      </w:r>
      <w:r w:rsidR="00D75DEB" w:rsidRPr="003819C3">
        <w:t xml:space="preserve"> </w:t>
      </w:r>
    </w:p>
    <w:p w:rsidR="00D75DEB" w:rsidRPr="003819C3" w:rsidRDefault="00D75DEB" w:rsidP="007866BE">
      <w:pPr>
        <w:pStyle w:val="ListParagraph"/>
        <w:widowControl/>
        <w:rPr>
          <w:szCs w:val="22"/>
        </w:rPr>
      </w:pPr>
    </w:p>
    <w:p w:rsidR="00EC0F0D" w:rsidRPr="00FE1081" w:rsidRDefault="00D66267" w:rsidP="007866BE">
      <w:pPr>
        <w:pStyle w:val="ListParagraph"/>
        <w:widowControl/>
        <w:numPr>
          <w:ilvl w:val="1"/>
          <w:numId w:val="10"/>
        </w:numPr>
        <w:rPr>
          <w:szCs w:val="22"/>
        </w:rPr>
      </w:pPr>
      <w:r w:rsidRPr="003819C3">
        <w:t xml:space="preserve">The difference in severe events was not statistically significant in any of the trials. </w:t>
      </w:r>
      <w:r w:rsidR="00EA7CB2">
        <w:t>The PSCR argued</w:t>
      </w:r>
      <w:r w:rsidR="00F80BEF" w:rsidRPr="003819C3">
        <w:t xml:space="preserve"> that the trials were not powered to detect a difference in these outcomes, but there was a consistent numeric reduction in events and thus the model accurately reflects the treatment benefits. The ESC remained concerned that by using the point estimates in the model, the base case essentially assumes that these are statistically significant and clinically meaningful differences. The sensitivity analyses in the evaluation using the upper 95% confidence intervals show that U300 could be dominated by U100</w:t>
      </w:r>
      <w:r w:rsidR="00F80BEF" w:rsidRPr="00FE1081">
        <w:t>.</w:t>
      </w:r>
      <w:r w:rsidR="00EA7CB2" w:rsidRPr="00FE1081">
        <w:t xml:space="preserve"> The PBAC considered the use of these non-statistically significant differences in the model to be problematic.</w:t>
      </w:r>
    </w:p>
    <w:p w:rsidR="00D66267" w:rsidRPr="003819C3" w:rsidRDefault="00D66267" w:rsidP="007866BE">
      <w:pPr>
        <w:pStyle w:val="ListParagraph"/>
        <w:widowControl/>
        <w:rPr>
          <w:szCs w:val="22"/>
        </w:rPr>
      </w:pPr>
    </w:p>
    <w:p w:rsidR="00315836" w:rsidRDefault="00E53CA4" w:rsidP="007866BE">
      <w:pPr>
        <w:pStyle w:val="ListParagraph"/>
        <w:widowControl/>
        <w:numPr>
          <w:ilvl w:val="1"/>
          <w:numId w:val="10"/>
        </w:numPr>
        <w:rPr>
          <w:szCs w:val="22"/>
        </w:rPr>
      </w:pPr>
      <w:r w:rsidRPr="003819C3">
        <w:rPr>
          <w:szCs w:val="22"/>
        </w:rPr>
        <w:t xml:space="preserve">The results of </w:t>
      </w:r>
      <w:r w:rsidR="00D568B4" w:rsidRPr="003819C3">
        <w:rPr>
          <w:szCs w:val="22"/>
        </w:rPr>
        <w:t>univariate</w:t>
      </w:r>
      <w:r w:rsidRPr="003819C3">
        <w:rPr>
          <w:szCs w:val="22"/>
        </w:rPr>
        <w:t xml:space="preserve"> sensitivity analyses indicate that the model </w:t>
      </w:r>
      <w:r w:rsidR="00D943B2">
        <w:rPr>
          <w:szCs w:val="22"/>
        </w:rPr>
        <w:t>wa</w:t>
      </w:r>
      <w:r w:rsidRPr="003819C3">
        <w:rPr>
          <w:szCs w:val="22"/>
        </w:rPr>
        <w:t xml:space="preserve">s </w:t>
      </w:r>
      <w:r w:rsidR="00F970C8" w:rsidRPr="003819C3">
        <w:rPr>
          <w:szCs w:val="22"/>
        </w:rPr>
        <w:t>also</w:t>
      </w:r>
      <w:r w:rsidRPr="003819C3">
        <w:rPr>
          <w:szCs w:val="22"/>
        </w:rPr>
        <w:t xml:space="preserve"> sensitive to</w:t>
      </w:r>
      <w:r w:rsidR="00F970C8" w:rsidRPr="003819C3">
        <w:rPr>
          <w:szCs w:val="22"/>
        </w:rPr>
        <w:t xml:space="preserve"> </w:t>
      </w:r>
      <w:r w:rsidRPr="003819C3">
        <w:rPr>
          <w:szCs w:val="22"/>
        </w:rPr>
        <w:t>the disutilities for fear of future symptomatic hyperglyca</w:t>
      </w:r>
      <w:r w:rsidR="00F970C8" w:rsidRPr="003819C3">
        <w:rPr>
          <w:szCs w:val="22"/>
        </w:rPr>
        <w:t>emic events</w:t>
      </w:r>
      <w:r w:rsidRPr="003819C3">
        <w:rPr>
          <w:szCs w:val="22"/>
        </w:rPr>
        <w:t>.</w:t>
      </w:r>
      <w:r w:rsidR="00D568B4" w:rsidRPr="003819C3">
        <w:rPr>
          <w:szCs w:val="22"/>
        </w:rPr>
        <w:t xml:space="preserve"> </w:t>
      </w:r>
      <w:r w:rsidR="00315836" w:rsidRPr="003819C3">
        <w:rPr>
          <w:szCs w:val="22"/>
        </w:rPr>
        <w:t>If the disutility for fea</w:t>
      </w:r>
      <w:r w:rsidR="00D943B2">
        <w:rPr>
          <w:szCs w:val="22"/>
        </w:rPr>
        <w:t>r of future symptomatic events wa</w:t>
      </w:r>
      <w:r w:rsidR="00315836" w:rsidRPr="003819C3">
        <w:rPr>
          <w:szCs w:val="22"/>
        </w:rPr>
        <w:t>s removed</w:t>
      </w:r>
      <w:r w:rsidR="00D943B2">
        <w:rPr>
          <w:szCs w:val="22"/>
        </w:rPr>
        <w:t>, for the EDITION I model U300 wa</w:t>
      </w:r>
      <w:r w:rsidR="00315836" w:rsidRPr="003819C3">
        <w:rPr>
          <w:szCs w:val="22"/>
        </w:rPr>
        <w:t xml:space="preserve">s dominated by U100 (i.e. is less effective and more costly), and for the EDITION II and III models the cost/QALY gained </w:t>
      </w:r>
      <w:r w:rsidR="00E13849">
        <w:rPr>
          <w:szCs w:val="22"/>
        </w:rPr>
        <w:t>was $75,000/QALY - $105,000/QALY</w:t>
      </w:r>
      <w:r w:rsidR="00315836" w:rsidRPr="003819C3">
        <w:rPr>
          <w:szCs w:val="22"/>
        </w:rPr>
        <w:t xml:space="preserve"> and </w:t>
      </w:r>
      <w:r w:rsidR="00E13849">
        <w:rPr>
          <w:szCs w:val="22"/>
        </w:rPr>
        <w:t xml:space="preserve">more than </w:t>
      </w:r>
      <w:r w:rsidR="00315836" w:rsidRPr="003819C3">
        <w:rPr>
          <w:szCs w:val="22"/>
        </w:rPr>
        <w:t>$</w:t>
      </w:r>
      <w:r w:rsidR="00E13849">
        <w:rPr>
          <w:szCs w:val="22"/>
        </w:rPr>
        <w:t>200,000/QALY</w:t>
      </w:r>
      <w:r w:rsidR="00315836" w:rsidRPr="003819C3">
        <w:rPr>
          <w:szCs w:val="22"/>
        </w:rPr>
        <w:t>, respectively.</w:t>
      </w:r>
    </w:p>
    <w:p w:rsidR="00666C30" w:rsidRPr="00666C30" w:rsidRDefault="00666C30" w:rsidP="007866BE">
      <w:pPr>
        <w:pStyle w:val="ListParagraph"/>
        <w:widowControl/>
        <w:rPr>
          <w:szCs w:val="22"/>
        </w:rPr>
      </w:pPr>
    </w:p>
    <w:p w:rsidR="00666C30" w:rsidRPr="00FE1081" w:rsidRDefault="00666C30" w:rsidP="007866BE">
      <w:pPr>
        <w:widowControl/>
        <w:numPr>
          <w:ilvl w:val="1"/>
          <w:numId w:val="10"/>
        </w:numPr>
      </w:pPr>
      <w:r w:rsidRPr="00FE1081">
        <w:t>As was the case in 2006, the disutility for fear of hypoglycaemia was a key driver of the model, with sensitivity analyses showing the ICERs for each trial dramatically changed with the removal of this disutility.</w:t>
      </w:r>
    </w:p>
    <w:p w:rsidR="00666C30" w:rsidRPr="00FE1081" w:rsidRDefault="00666C30" w:rsidP="007866BE">
      <w:pPr>
        <w:pStyle w:val="ListParagraph"/>
        <w:widowControl/>
      </w:pPr>
    </w:p>
    <w:p w:rsidR="00666C30" w:rsidRPr="00FE1081" w:rsidRDefault="00666C30" w:rsidP="007866BE">
      <w:pPr>
        <w:widowControl/>
        <w:numPr>
          <w:ilvl w:val="1"/>
          <w:numId w:val="10"/>
        </w:numPr>
      </w:pPr>
      <w:r w:rsidRPr="00FE1081">
        <w:t xml:space="preserve">The PBAC considered that the fear of an event such as hypoglycaemia would be real, but the fear of having a particular event would exist for most conditions. Without clear evidence that treatment with the intervention would eliminate this fear, this is not a health state which should be modelled. </w:t>
      </w:r>
    </w:p>
    <w:p w:rsidR="00D66267" w:rsidRPr="00FE1081" w:rsidRDefault="00D66267" w:rsidP="007866BE">
      <w:pPr>
        <w:pStyle w:val="ListParagraph"/>
        <w:widowControl/>
        <w:rPr>
          <w:szCs w:val="22"/>
        </w:rPr>
      </w:pPr>
    </w:p>
    <w:p w:rsidR="00D110BD" w:rsidRPr="003819C3" w:rsidRDefault="00F970C8" w:rsidP="007866BE">
      <w:pPr>
        <w:pStyle w:val="ListParagraph"/>
        <w:widowControl/>
        <w:numPr>
          <w:ilvl w:val="1"/>
          <w:numId w:val="10"/>
        </w:numPr>
        <w:rPr>
          <w:szCs w:val="22"/>
        </w:rPr>
      </w:pPr>
      <w:r w:rsidRPr="00FE1081">
        <w:rPr>
          <w:szCs w:val="22"/>
        </w:rPr>
        <w:t>A biosimilar for insulin glargine 100 units/mL (Basaglar) was recommended for listing at the March 2015 PBAC meeting. Movement of insulin</w:t>
      </w:r>
      <w:r w:rsidRPr="003819C3">
        <w:rPr>
          <w:szCs w:val="22"/>
        </w:rPr>
        <w:t xml:space="preserve"> glargine 100 units/mL to the F2 formulary would trigger a 16% price cut. </w:t>
      </w:r>
      <w:r w:rsidR="00D568B4" w:rsidRPr="003819C3">
        <w:rPr>
          <w:szCs w:val="22"/>
        </w:rPr>
        <w:t>Reducing the price of U100 by 16% increases the cost/QALY gained to $</w:t>
      </w:r>
      <w:r w:rsidR="00312412">
        <w:rPr>
          <w:szCs w:val="22"/>
        </w:rPr>
        <w:t>75,000/QALY - $105,000/QALY</w:t>
      </w:r>
      <w:r w:rsidR="00312412" w:rsidRPr="003819C3">
        <w:rPr>
          <w:szCs w:val="22"/>
        </w:rPr>
        <w:t xml:space="preserve"> </w:t>
      </w:r>
      <w:r w:rsidRPr="003819C3">
        <w:rPr>
          <w:szCs w:val="22"/>
        </w:rPr>
        <w:t>for EDITION I</w:t>
      </w:r>
      <w:r w:rsidR="00D568B4" w:rsidRPr="003819C3">
        <w:rPr>
          <w:szCs w:val="22"/>
        </w:rPr>
        <w:t>, $</w:t>
      </w:r>
      <w:r w:rsidR="00312412">
        <w:rPr>
          <w:szCs w:val="22"/>
        </w:rPr>
        <w:t>15,000/QALY - $45,000/QALY</w:t>
      </w:r>
      <w:r w:rsidR="00312412" w:rsidRPr="003819C3">
        <w:rPr>
          <w:szCs w:val="22"/>
        </w:rPr>
        <w:t xml:space="preserve"> </w:t>
      </w:r>
      <w:r w:rsidRPr="003819C3">
        <w:rPr>
          <w:szCs w:val="22"/>
        </w:rPr>
        <w:t>for EDITION II</w:t>
      </w:r>
      <w:r w:rsidR="00D568B4" w:rsidRPr="003819C3">
        <w:rPr>
          <w:szCs w:val="22"/>
        </w:rPr>
        <w:t xml:space="preserve"> and $</w:t>
      </w:r>
      <w:r w:rsidR="00312412">
        <w:rPr>
          <w:szCs w:val="22"/>
        </w:rPr>
        <w:t>15,000/QALY - $45,000/QALY</w:t>
      </w:r>
      <w:r w:rsidRPr="003819C3">
        <w:rPr>
          <w:szCs w:val="22"/>
        </w:rPr>
        <w:t xml:space="preserve"> for EDITION III</w:t>
      </w:r>
      <w:r w:rsidR="00D568B4" w:rsidRPr="003819C3">
        <w:rPr>
          <w:szCs w:val="22"/>
        </w:rPr>
        <w:t>.</w:t>
      </w:r>
      <w:r w:rsidR="00E53CA4" w:rsidRPr="003819C3">
        <w:rPr>
          <w:color w:val="3366FF"/>
        </w:rPr>
        <w:t xml:space="preserve"> </w:t>
      </w:r>
    </w:p>
    <w:p w:rsidR="00D66267" w:rsidRPr="003819C3" w:rsidRDefault="00D66267" w:rsidP="007866BE">
      <w:pPr>
        <w:pStyle w:val="ListParagraph"/>
        <w:widowControl/>
        <w:rPr>
          <w:szCs w:val="22"/>
        </w:rPr>
      </w:pPr>
    </w:p>
    <w:p w:rsidR="00EC0F0D" w:rsidRPr="003819C3" w:rsidRDefault="009A5652" w:rsidP="007866BE">
      <w:pPr>
        <w:pStyle w:val="ListParagraph"/>
        <w:widowControl/>
        <w:numPr>
          <w:ilvl w:val="1"/>
          <w:numId w:val="10"/>
        </w:numPr>
        <w:rPr>
          <w:szCs w:val="22"/>
        </w:rPr>
      </w:pPr>
      <w:r>
        <w:rPr>
          <w:szCs w:val="22"/>
        </w:rPr>
        <w:t>The ESC proposed t</w:t>
      </w:r>
      <w:r w:rsidR="00EC0F0D" w:rsidRPr="003819C3">
        <w:rPr>
          <w:szCs w:val="22"/>
        </w:rPr>
        <w:t>he following equi-effective doses in T2DM would be valid if the model was rejected and non-inferiority with U100 was accepted:</w:t>
      </w:r>
    </w:p>
    <w:p w:rsidR="00EC0F0D" w:rsidRPr="003819C3" w:rsidRDefault="00EC0F0D" w:rsidP="007866BE">
      <w:pPr>
        <w:pStyle w:val="ListParagraph"/>
        <w:widowControl/>
        <w:numPr>
          <w:ilvl w:val="0"/>
          <w:numId w:val="30"/>
        </w:numPr>
        <w:rPr>
          <w:szCs w:val="22"/>
        </w:rPr>
      </w:pPr>
      <w:r w:rsidRPr="003819C3">
        <w:rPr>
          <w:szCs w:val="22"/>
        </w:rPr>
        <w:t>Based on EDITION I: 103.29 units of U300 and 93.64 units of U100 i.e. 1 unit of U300 is equivalent to 0.91 units of U100</w:t>
      </w:r>
    </w:p>
    <w:p w:rsidR="00EC0F0D" w:rsidRPr="003819C3" w:rsidRDefault="00EC0F0D" w:rsidP="007866BE">
      <w:pPr>
        <w:pStyle w:val="ListParagraph"/>
        <w:widowControl/>
        <w:numPr>
          <w:ilvl w:val="0"/>
          <w:numId w:val="30"/>
        </w:numPr>
        <w:rPr>
          <w:szCs w:val="22"/>
        </w:rPr>
      </w:pPr>
      <w:r w:rsidRPr="003819C3">
        <w:rPr>
          <w:szCs w:val="22"/>
        </w:rPr>
        <w:t>Based on EDITION II: 91.02 units of U300 and 81.88 units of U100 i.e. 1 unit of U300 is equivalent to 0.90 units of U100</w:t>
      </w:r>
    </w:p>
    <w:p w:rsidR="00EC0F0D" w:rsidRPr="003819C3" w:rsidRDefault="00EC0F0D" w:rsidP="007866BE">
      <w:pPr>
        <w:pStyle w:val="ListParagraph"/>
        <w:widowControl/>
        <w:numPr>
          <w:ilvl w:val="0"/>
          <w:numId w:val="30"/>
        </w:numPr>
        <w:rPr>
          <w:szCs w:val="22"/>
        </w:rPr>
      </w:pPr>
      <w:r w:rsidRPr="003819C3">
        <w:rPr>
          <w:szCs w:val="22"/>
        </w:rPr>
        <w:t>Based on EDITION I:  59.37 units of U300 and 52.03 units of U100 i.e. 1 unit of U300 is equivalent to 0.88 units of U100.</w:t>
      </w:r>
    </w:p>
    <w:p w:rsidR="00EC0F0D" w:rsidRPr="003819C3" w:rsidRDefault="00EC0F0D" w:rsidP="007866BE">
      <w:pPr>
        <w:pStyle w:val="ListParagraph"/>
        <w:widowControl/>
      </w:pPr>
    </w:p>
    <w:p w:rsidR="00C25D9C" w:rsidRPr="003819C3" w:rsidRDefault="008E5774" w:rsidP="007866BE">
      <w:pPr>
        <w:pStyle w:val="ListParagraph"/>
        <w:widowControl/>
        <w:numPr>
          <w:ilvl w:val="1"/>
          <w:numId w:val="10"/>
        </w:numPr>
        <w:rPr>
          <w:szCs w:val="22"/>
        </w:rPr>
      </w:pPr>
      <w:r w:rsidRPr="003819C3">
        <w:t xml:space="preserve">The proposed price for U300 is based </w:t>
      </w:r>
      <w:r w:rsidRPr="00014A67">
        <w:t xml:space="preserve">on </w:t>
      </w:r>
      <w:r w:rsidR="00B96A59">
        <w:rPr>
          <w:noProof/>
          <w:color w:val="000000"/>
          <w:highlight w:val="black"/>
        </w:rPr>
        <w:t>''''''</w:t>
      </w:r>
      <w:r w:rsidRPr="00014A67">
        <w:t xml:space="preserve">% use in T1DM and </w:t>
      </w:r>
      <w:r w:rsidR="00B96A59">
        <w:rPr>
          <w:noProof/>
          <w:color w:val="000000"/>
          <w:highlight w:val="black"/>
        </w:rPr>
        <w:t>''''''</w:t>
      </w:r>
      <w:r w:rsidRPr="00014A67">
        <w:t>%</w:t>
      </w:r>
      <w:r w:rsidRPr="003819C3">
        <w:t xml:space="preserve"> use in T2DM.</w:t>
      </w:r>
      <w:r w:rsidRPr="003819C3">
        <w:rPr>
          <w:color w:val="3366FF"/>
        </w:rPr>
        <w:t xml:space="preserve"> </w:t>
      </w:r>
      <w:r w:rsidRPr="003819C3">
        <w:t>The proportions are based on an analysis of the 10% PBS sample</w:t>
      </w:r>
      <w:r w:rsidR="00F970C8" w:rsidRPr="003819C3">
        <w:t>.</w:t>
      </w:r>
      <w:r w:rsidRPr="003819C3">
        <w:t xml:space="preserve"> </w:t>
      </w:r>
      <w:r w:rsidR="00F970C8" w:rsidRPr="003819C3">
        <w:t>P</w:t>
      </w:r>
      <w:r w:rsidRPr="003819C3">
        <w:rPr>
          <w:szCs w:val="22"/>
        </w:rPr>
        <w:t xml:space="preserve">atients </w:t>
      </w:r>
      <w:r w:rsidR="00F970C8" w:rsidRPr="003819C3">
        <w:rPr>
          <w:szCs w:val="22"/>
        </w:rPr>
        <w:t>dispensed</w:t>
      </w:r>
      <w:r w:rsidRPr="003819C3">
        <w:rPr>
          <w:szCs w:val="22"/>
        </w:rPr>
        <w:t xml:space="preserve"> a basal insulin with a history of oral antidiabetic therapy were identified as T2DM patients whilst patients with no history of oral antidiabetic therapy were identified as being T1DM patients. Limited details of the analysis were provided and the reliability of the estimate</w:t>
      </w:r>
      <w:r w:rsidR="00F970C8" w:rsidRPr="003819C3">
        <w:rPr>
          <w:szCs w:val="22"/>
        </w:rPr>
        <w:t xml:space="preserve">s </w:t>
      </w:r>
      <w:r w:rsidRPr="003819C3">
        <w:rPr>
          <w:szCs w:val="22"/>
        </w:rPr>
        <w:t>could not be verified.</w:t>
      </w:r>
    </w:p>
    <w:p w:rsidR="008E5774" w:rsidRDefault="008E5774" w:rsidP="007866BE">
      <w:pPr>
        <w:widowControl/>
        <w:rPr>
          <w:szCs w:val="22"/>
        </w:rPr>
      </w:pPr>
    </w:p>
    <w:p w:rsidR="003819C3" w:rsidRPr="003819C3" w:rsidRDefault="003819C3" w:rsidP="007866BE">
      <w:pPr>
        <w:widowControl/>
        <w:ind w:left="709"/>
        <w:rPr>
          <w:i/>
        </w:rPr>
      </w:pPr>
      <w:r w:rsidRPr="003819C3">
        <w:rPr>
          <w:i/>
        </w:rPr>
        <w:t>For more detail on PBAC’s view, see section 7 “PBAC outcome”</w:t>
      </w:r>
    </w:p>
    <w:p w:rsidR="003819C3" w:rsidRPr="003819C3" w:rsidRDefault="003819C3" w:rsidP="007866BE">
      <w:pPr>
        <w:widowControl/>
        <w:rPr>
          <w:szCs w:val="22"/>
        </w:rPr>
      </w:pPr>
    </w:p>
    <w:p w:rsidR="00C25D9C" w:rsidRPr="00857E0E" w:rsidRDefault="00924E3F" w:rsidP="007866BE">
      <w:pPr>
        <w:pStyle w:val="Heading2"/>
        <w:widowControl/>
        <w:rPr>
          <w:i/>
          <w:szCs w:val="22"/>
        </w:rPr>
      </w:pPr>
      <w:bookmarkStart w:id="14" w:name="_Toc419731766"/>
      <w:r w:rsidRPr="00857E0E">
        <w:rPr>
          <w:i/>
        </w:rPr>
        <w:t>Drug cost/patient/</w:t>
      </w:r>
      <w:r w:rsidR="00C25D9C" w:rsidRPr="00857E0E">
        <w:rPr>
          <w:i/>
        </w:rPr>
        <w:t>year</w:t>
      </w:r>
      <w:bookmarkEnd w:id="14"/>
    </w:p>
    <w:p w:rsidR="00C25D9C" w:rsidRPr="003819C3" w:rsidRDefault="00C25D9C" w:rsidP="007866BE">
      <w:pPr>
        <w:widowControl/>
        <w:rPr>
          <w:szCs w:val="22"/>
        </w:rPr>
      </w:pPr>
    </w:p>
    <w:p w:rsidR="00A86E8B" w:rsidRPr="003819C3" w:rsidRDefault="005E1F3C" w:rsidP="007866BE">
      <w:pPr>
        <w:pStyle w:val="ListParagraph"/>
        <w:widowControl/>
        <w:numPr>
          <w:ilvl w:val="1"/>
          <w:numId w:val="10"/>
        </w:numPr>
        <w:rPr>
          <w:szCs w:val="22"/>
        </w:rPr>
      </w:pPr>
      <w:r w:rsidRPr="003819C3">
        <w:rPr>
          <w:szCs w:val="22"/>
        </w:rPr>
        <w:t xml:space="preserve">Treatment with U300 is ongoing and doses are titrated based on blood glucose levels. The mean dose of U300 </w:t>
      </w:r>
      <w:r w:rsidR="008C11B1" w:rsidRPr="003819C3">
        <w:rPr>
          <w:szCs w:val="22"/>
        </w:rPr>
        <w:t xml:space="preserve">in the trials </w:t>
      </w:r>
      <w:r w:rsidRPr="003819C3">
        <w:rPr>
          <w:szCs w:val="22"/>
        </w:rPr>
        <w:t>at 6 months ranged from 40 to 103 units. Assuming an average dose of 70 units</w:t>
      </w:r>
      <w:r w:rsidR="00455577" w:rsidRPr="003819C3">
        <w:rPr>
          <w:szCs w:val="22"/>
        </w:rPr>
        <w:t>,</w:t>
      </w:r>
      <w:r w:rsidRPr="003819C3">
        <w:rPr>
          <w:szCs w:val="22"/>
        </w:rPr>
        <w:t xml:space="preserve"> and </w:t>
      </w:r>
      <w:r w:rsidR="00B96A59">
        <w:rPr>
          <w:noProof/>
          <w:color w:val="000000"/>
          <w:szCs w:val="22"/>
          <w:highlight w:val="black"/>
        </w:rPr>
        <w:t>''''''</w:t>
      </w:r>
      <w:r w:rsidRPr="00D666DA">
        <w:rPr>
          <w:szCs w:val="22"/>
        </w:rPr>
        <w:t xml:space="preserve">% use of the 5 pack of U300 and </w:t>
      </w:r>
      <w:r w:rsidR="00B96A59">
        <w:rPr>
          <w:noProof/>
          <w:color w:val="000000"/>
          <w:szCs w:val="22"/>
          <w:highlight w:val="black"/>
        </w:rPr>
        <w:t>'''''''</w:t>
      </w:r>
      <w:r w:rsidRPr="00D666DA">
        <w:rPr>
          <w:szCs w:val="22"/>
        </w:rPr>
        <w:t>%</w:t>
      </w:r>
      <w:r w:rsidRPr="003819C3">
        <w:rPr>
          <w:szCs w:val="22"/>
        </w:rPr>
        <w:t xml:space="preserve"> use of the 3 pack, the monthly and yearly cost of U300 is</w:t>
      </w:r>
      <w:r w:rsidRPr="003819C3">
        <w:rPr>
          <w:color w:val="3366FF"/>
          <w:szCs w:val="22"/>
        </w:rPr>
        <w:t xml:space="preserve"> </w:t>
      </w:r>
      <w:r w:rsidR="00455577" w:rsidRPr="003819C3">
        <w:rPr>
          <w:szCs w:val="22"/>
        </w:rPr>
        <w:t>$</w:t>
      </w:r>
      <w:r w:rsidR="00B96A59">
        <w:rPr>
          <w:noProof/>
          <w:color w:val="000000"/>
          <w:szCs w:val="22"/>
          <w:highlight w:val="black"/>
        </w:rPr>
        <w:t>''''''''''''</w:t>
      </w:r>
      <w:r w:rsidR="00455577" w:rsidRPr="003819C3">
        <w:rPr>
          <w:szCs w:val="22"/>
        </w:rPr>
        <w:t xml:space="preserve"> ($</w:t>
      </w:r>
      <w:r w:rsidR="00B96A59">
        <w:rPr>
          <w:noProof/>
          <w:color w:val="000000"/>
          <w:szCs w:val="22"/>
          <w:highlight w:val="black"/>
        </w:rPr>
        <w:t>'''''''''''''''''</w:t>
      </w:r>
      <w:r w:rsidR="00455577" w:rsidRPr="003819C3">
        <w:rPr>
          <w:rStyle w:val="FootnoteReference"/>
          <w:szCs w:val="22"/>
        </w:rPr>
        <w:footnoteReference w:id="1"/>
      </w:r>
      <w:r w:rsidR="00455577" w:rsidRPr="003819C3">
        <w:rPr>
          <w:szCs w:val="22"/>
        </w:rPr>
        <w:t xml:space="preserve"> x 30 x 70) and $</w:t>
      </w:r>
      <w:r w:rsidR="00B96A59">
        <w:rPr>
          <w:noProof/>
          <w:color w:val="000000"/>
          <w:szCs w:val="22"/>
          <w:highlight w:val="black"/>
        </w:rPr>
        <w:t>''''''''''''''''''</w:t>
      </w:r>
      <w:r w:rsidR="00455577" w:rsidRPr="003819C3">
        <w:rPr>
          <w:szCs w:val="22"/>
        </w:rPr>
        <w:t xml:space="preserve"> ($</w:t>
      </w:r>
      <w:r w:rsidR="00B96A59">
        <w:rPr>
          <w:noProof/>
          <w:color w:val="000000"/>
          <w:szCs w:val="22"/>
          <w:highlight w:val="black"/>
        </w:rPr>
        <w:t>''''''''''''''''</w:t>
      </w:r>
      <w:r w:rsidR="00455577" w:rsidRPr="00312412">
        <w:rPr>
          <w:szCs w:val="22"/>
        </w:rPr>
        <w:t xml:space="preserve"> </w:t>
      </w:r>
      <w:r w:rsidR="00455577" w:rsidRPr="003819C3">
        <w:rPr>
          <w:szCs w:val="22"/>
        </w:rPr>
        <w:t>x 365 x 70)</w:t>
      </w:r>
      <w:r w:rsidR="00F818C5" w:rsidRPr="003819C3">
        <w:rPr>
          <w:szCs w:val="22"/>
        </w:rPr>
        <w:t>, respectively</w:t>
      </w:r>
      <w:r w:rsidR="00455577" w:rsidRPr="003819C3">
        <w:rPr>
          <w:szCs w:val="22"/>
        </w:rPr>
        <w:t>.</w:t>
      </w:r>
    </w:p>
    <w:p w:rsidR="008E5774" w:rsidRPr="003819C3" w:rsidRDefault="008E5774" w:rsidP="007866BE">
      <w:pPr>
        <w:widowControl/>
        <w:rPr>
          <w:szCs w:val="22"/>
        </w:rPr>
      </w:pPr>
    </w:p>
    <w:p w:rsidR="008E5774" w:rsidRPr="003819C3" w:rsidRDefault="008E5774" w:rsidP="007866BE">
      <w:pPr>
        <w:pStyle w:val="ListParagraph"/>
        <w:widowControl/>
        <w:numPr>
          <w:ilvl w:val="1"/>
          <w:numId w:val="10"/>
        </w:numPr>
        <w:rPr>
          <w:szCs w:val="22"/>
        </w:rPr>
      </w:pPr>
      <w:r w:rsidRPr="003819C3">
        <w:rPr>
          <w:szCs w:val="22"/>
        </w:rPr>
        <w:t>The effective ex-manufacturer price for 25 x 300 unit pens of U100 is $</w:t>
      </w:r>
      <w:r w:rsidR="00B96A59">
        <w:rPr>
          <w:noProof/>
          <w:color w:val="000000"/>
          <w:szCs w:val="22"/>
          <w:highlight w:val="black"/>
        </w:rPr>
        <w:t>'''''''''''''''''</w:t>
      </w:r>
      <w:r w:rsidRPr="003819C3">
        <w:rPr>
          <w:szCs w:val="22"/>
        </w:rPr>
        <w:t xml:space="preserve"> or $</w:t>
      </w:r>
      <w:r w:rsidR="00B96A59">
        <w:rPr>
          <w:noProof/>
          <w:color w:val="000000"/>
          <w:szCs w:val="22"/>
          <w:highlight w:val="black"/>
        </w:rPr>
        <w:t>'''''''''''</w:t>
      </w:r>
      <w:r w:rsidRPr="003819C3">
        <w:rPr>
          <w:szCs w:val="22"/>
        </w:rPr>
        <w:t xml:space="preserve"> per 300 unit pen. This is equivalent to $</w:t>
      </w:r>
      <w:r w:rsidR="00B96A59">
        <w:rPr>
          <w:noProof/>
          <w:color w:val="000000"/>
          <w:szCs w:val="22"/>
          <w:highlight w:val="black"/>
        </w:rPr>
        <w:t>''''''''''''''</w:t>
      </w:r>
      <w:r w:rsidRPr="003819C3">
        <w:rPr>
          <w:szCs w:val="22"/>
        </w:rPr>
        <w:t xml:space="preserve"> per 450 units of insulin glargine. </w:t>
      </w:r>
    </w:p>
    <w:p w:rsidR="008E5774" w:rsidRPr="003819C3" w:rsidRDefault="00455577" w:rsidP="007866BE">
      <w:pPr>
        <w:widowControl/>
        <w:numPr>
          <w:ilvl w:val="1"/>
          <w:numId w:val="28"/>
        </w:numPr>
        <w:tabs>
          <w:tab w:val="clear" w:pos="1569"/>
        </w:tabs>
        <w:ind w:left="993" w:hanging="284"/>
      </w:pPr>
      <w:r w:rsidRPr="003819C3">
        <w:t>For T1DM a</w:t>
      </w:r>
      <w:r w:rsidR="008E5774" w:rsidRPr="003819C3">
        <w:t xml:space="preserve"> lower unit price</w:t>
      </w:r>
      <w:r w:rsidRPr="003819C3">
        <w:t xml:space="preserve"> is</w:t>
      </w:r>
      <w:r w:rsidR="008E5774" w:rsidRPr="003819C3">
        <w:t xml:space="preserve"> requested for U300 ($</w:t>
      </w:r>
      <w:r w:rsidR="00B96A59">
        <w:rPr>
          <w:noProof/>
          <w:color w:val="000000"/>
          <w:highlight w:val="black"/>
        </w:rPr>
        <w:t>'''''''''''''</w:t>
      </w:r>
      <w:r w:rsidR="008E5774" w:rsidRPr="003819C3">
        <w:t xml:space="preserve"> per 450 units of insulin glargine)</w:t>
      </w:r>
      <w:r w:rsidRPr="003819C3">
        <w:t>. This is because of</w:t>
      </w:r>
      <w:r w:rsidR="008E5774" w:rsidRPr="003819C3">
        <w:t xml:space="preserve"> the requirement for an 18.6% higher unit dose </w:t>
      </w:r>
      <w:r w:rsidRPr="003819C3">
        <w:t xml:space="preserve">with U300 </w:t>
      </w:r>
      <w:r w:rsidR="008E5774" w:rsidRPr="003819C3">
        <w:t xml:space="preserve">compared with U100 (i.e. </w:t>
      </w:r>
      <w:r w:rsidR="00B96A59">
        <w:rPr>
          <w:noProof/>
          <w:color w:val="000000"/>
          <w:highlight w:val="black"/>
        </w:rPr>
        <w:t>''''''''''''''</w:t>
      </w:r>
      <w:r w:rsidR="008E5774" w:rsidRPr="003819C3">
        <w:t xml:space="preserve"> x 1.186 = $</w:t>
      </w:r>
      <w:r w:rsidR="00B96A59">
        <w:rPr>
          <w:noProof/>
          <w:color w:val="000000"/>
          <w:highlight w:val="black"/>
        </w:rPr>
        <w:t>''''''''''''''</w:t>
      </w:r>
      <w:r w:rsidR="008E5774" w:rsidRPr="003819C3">
        <w:t xml:space="preserve">). </w:t>
      </w:r>
    </w:p>
    <w:p w:rsidR="00B60939" w:rsidRPr="003819C3" w:rsidRDefault="00455577" w:rsidP="007866BE">
      <w:pPr>
        <w:widowControl/>
        <w:numPr>
          <w:ilvl w:val="1"/>
          <w:numId w:val="28"/>
        </w:numPr>
        <w:tabs>
          <w:tab w:val="clear" w:pos="1569"/>
        </w:tabs>
        <w:ind w:left="993" w:hanging="284"/>
        <w:rPr>
          <w:szCs w:val="22"/>
        </w:rPr>
      </w:pPr>
      <w:r w:rsidRPr="003819C3">
        <w:t>For T2DM t</w:t>
      </w:r>
      <w:r w:rsidR="008E5774" w:rsidRPr="003819C3">
        <w:t>he same</w:t>
      </w:r>
      <w:r w:rsidR="007471CC" w:rsidRPr="003819C3">
        <w:t xml:space="preserve"> unit </w:t>
      </w:r>
      <w:r w:rsidR="008E5774" w:rsidRPr="003819C3">
        <w:t>price is requested for U300</w:t>
      </w:r>
      <w:r w:rsidRPr="003819C3">
        <w:t>.</w:t>
      </w:r>
      <w:r w:rsidR="008E5774" w:rsidRPr="003819C3">
        <w:t xml:space="preserve"> However, a 10.3-14.1% higher</w:t>
      </w:r>
      <w:r w:rsidR="008E5774" w:rsidRPr="003819C3">
        <w:rPr>
          <w:szCs w:val="22"/>
        </w:rPr>
        <w:t xml:space="preserve"> unit dose is required with U300</w:t>
      </w:r>
      <w:r w:rsidRPr="003819C3">
        <w:rPr>
          <w:szCs w:val="22"/>
        </w:rPr>
        <w:t xml:space="preserve"> compared with U100</w:t>
      </w:r>
      <w:r w:rsidR="008E5774" w:rsidRPr="003819C3">
        <w:rPr>
          <w:szCs w:val="22"/>
        </w:rPr>
        <w:t>. Adjusting for the higher dose, a premium of between $</w:t>
      </w:r>
      <w:r w:rsidR="00B96A59">
        <w:rPr>
          <w:noProof/>
          <w:color w:val="000000"/>
          <w:szCs w:val="22"/>
          <w:highlight w:val="black"/>
        </w:rPr>
        <w:t>''''''''''''</w:t>
      </w:r>
      <w:r w:rsidR="00464C17" w:rsidRPr="003819C3">
        <w:rPr>
          <w:rStyle w:val="FootnoteReference"/>
          <w:szCs w:val="22"/>
        </w:rPr>
        <w:footnoteReference w:id="2"/>
      </w:r>
      <w:r w:rsidR="008E5774" w:rsidRPr="003819C3">
        <w:rPr>
          <w:szCs w:val="22"/>
        </w:rPr>
        <w:t xml:space="preserve"> (</w:t>
      </w:r>
      <w:r w:rsidR="00B96A59">
        <w:rPr>
          <w:noProof/>
          <w:color w:val="000000"/>
          <w:szCs w:val="22"/>
          <w:highlight w:val="black"/>
        </w:rPr>
        <w:t>'''''''''''</w:t>
      </w:r>
      <w:r w:rsidR="008E5774" w:rsidRPr="003819C3">
        <w:rPr>
          <w:szCs w:val="22"/>
        </w:rPr>
        <w:t>%) and $</w:t>
      </w:r>
      <w:r w:rsidR="00B96A59">
        <w:rPr>
          <w:noProof/>
          <w:color w:val="000000"/>
          <w:szCs w:val="22"/>
          <w:highlight w:val="black"/>
        </w:rPr>
        <w:t>'''''''''''</w:t>
      </w:r>
      <w:r w:rsidR="00464C17" w:rsidRPr="003819C3">
        <w:rPr>
          <w:rStyle w:val="FootnoteReference"/>
          <w:szCs w:val="22"/>
        </w:rPr>
        <w:footnoteReference w:id="3"/>
      </w:r>
      <w:r w:rsidR="008E5774" w:rsidRPr="003819C3">
        <w:rPr>
          <w:szCs w:val="22"/>
        </w:rPr>
        <w:t xml:space="preserve"> (</w:t>
      </w:r>
      <w:r w:rsidR="00B96A59">
        <w:rPr>
          <w:noProof/>
          <w:color w:val="000000"/>
          <w:szCs w:val="22"/>
          <w:highlight w:val="black"/>
        </w:rPr>
        <w:t>''''''''''</w:t>
      </w:r>
      <w:r w:rsidR="008E5774" w:rsidRPr="003819C3">
        <w:rPr>
          <w:szCs w:val="22"/>
        </w:rPr>
        <w:t>%) per pen (450 units) is requested for U300.</w:t>
      </w:r>
    </w:p>
    <w:p w:rsidR="008E5774" w:rsidRPr="003819C3" w:rsidRDefault="008E5774" w:rsidP="007866BE">
      <w:pPr>
        <w:pStyle w:val="BodyText"/>
        <w:widowControl/>
      </w:pPr>
    </w:p>
    <w:p w:rsidR="00B60939" w:rsidRPr="00857E0E" w:rsidRDefault="00B60939" w:rsidP="007866BE">
      <w:pPr>
        <w:pStyle w:val="Heading2"/>
        <w:widowControl/>
        <w:rPr>
          <w:i/>
        </w:rPr>
      </w:pPr>
      <w:bookmarkStart w:id="15" w:name="_Toc419731767"/>
      <w:r w:rsidRPr="00857E0E">
        <w:rPr>
          <w:i/>
        </w:rPr>
        <w:t>Estimated PBS usage &amp; financial implications</w:t>
      </w:r>
      <w:bookmarkEnd w:id="15"/>
    </w:p>
    <w:p w:rsidR="00B60939" w:rsidRPr="003819C3" w:rsidRDefault="00B60939" w:rsidP="007866BE">
      <w:pPr>
        <w:widowControl/>
        <w:ind w:left="720" w:hanging="720"/>
        <w:rPr>
          <w:b/>
          <w:szCs w:val="22"/>
        </w:rPr>
      </w:pPr>
    </w:p>
    <w:p w:rsidR="00C25D9C" w:rsidRPr="003819C3" w:rsidRDefault="00C25D9C" w:rsidP="007866BE">
      <w:pPr>
        <w:pStyle w:val="ListParagraph"/>
        <w:widowControl/>
        <w:numPr>
          <w:ilvl w:val="1"/>
          <w:numId w:val="10"/>
        </w:numPr>
        <w:ind w:left="709"/>
        <w:rPr>
          <w:szCs w:val="22"/>
        </w:rPr>
      </w:pPr>
      <w:r w:rsidRPr="003819C3">
        <w:t xml:space="preserve">This submission </w:t>
      </w:r>
      <w:r w:rsidR="00342F1A" w:rsidRPr="003819C3">
        <w:t>was not</w:t>
      </w:r>
      <w:r w:rsidRPr="003819C3">
        <w:t xml:space="preserve"> considered by DUSC</w:t>
      </w:r>
      <w:r w:rsidRPr="003819C3">
        <w:rPr>
          <w:color w:val="0070C0"/>
        </w:rPr>
        <w:t>.</w:t>
      </w:r>
      <w:r w:rsidR="006466EE" w:rsidRPr="003819C3">
        <w:rPr>
          <w:color w:val="0070C0"/>
        </w:rPr>
        <w:t xml:space="preserve"> </w:t>
      </w:r>
      <w:r w:rsidR="00F3061B" w:rsidRPr="003819C3">
        <w:t>A market share approach with U3</w:t>
      </w:r>
      <w:r w:rsidR="006466EE" w:rsidRPr="003819C3">
        <w:t>00 replacing U100 was used in the submission.</w:t>
      </w:r>
    </w:p>
    <w:p w:rsidR="00C25D9C" w:rsidRPr="003819C3" w:rsidRDefault="00C25D9C" w:rsidP="007866BE">
      <w:pPr>
        <w:widowControl/>
        <w:rPr>
          <w:szCs w:val="22"/>
        </w:rPr>
      </w:pPr>
    </w:p>
    <w:p w:rsidR="00C25D9C" w:rsidRPr="003819C3" w:rsidRDefault="00C25D9C" w:rsidP="007866BE">
      <w:pPr>
        <w:keepNext/>
        <w:widowControl/>
        <w:ind w:firstLine="709"/>
        <w:rPr>
          <w:rStyle w:val="CommentReference"/>
        </w:rPr>
      </w:pPr>
      <w:r w:rsidRPr="003819C3">
        <w:rPr>
          <w:rStyle w:val="CommentReference"/>
        </w:rPr>
        <w:t xml:space="preserve">Table </w:t>
      </w:r>
      <w:r w:rsidR="007471CC" w:rsidRPr="003819C3">
        <w:rPr>
          <w:rStyle w:val="CommentReference"/>
        </w:rPr>
        <w:t>8</w:t>
      </w:r>
      <w:r w:rsidRPr="003819C3">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36"/>
        <w:gridCol w:w="997"/>
        <w:gridCol w:w="965"/>
        <w:gridCol w:w="1060"/>
        <w:gridCol w:w="1060"/>
        <w:gridCol w:w="1028"/>
      </w:tblGrid>
      <w:tr w:rsidR="00F3061B" w:rsidRPr="003819C3" w:rsidTr="00F3061B">
        <w:trPr>
          <w:tblHeader/>
        </w:trPr>
        <w:tc>
          <w:tcPr>
            <w:tcW w:w="2038" w:type="pct"/>
            <w:shd w:val="clear" w:color="auto" w:fill="auto"/>
            <w:vAlign w:val="center"/>
          </w:tcPr>
          <w:p w:rsidR="00F3061B" w:rsidRPr="003819C3" w:rsidRDefault="00F3061B" w:rsidP="007866BE">
            <w:pPr>
              <w:keepNext/>
              <w:widowControl/>
              <w:jc w:val="center"/>
              <w:rPr>
                <w:rFonts w:ascii="Arial Narrow" w:hAnsi="Arial Narrow"/>
                <w:b/>
                <w:sz w:val="20"/>
              </w:rPr>
            </w:pPr>
          </w:p>
        </w:tc>
        <w:tc>
          <w:tcPr>
            <w:tcW w:w="594" w:type="pct"/>
            <w:shd w:val="clear" w:color="auto" w:fill="auto"/>
            <w:vAlign w:val="center"/>
          </w:tcPr>
          <w:p w:rsidR="00F3061B" w:rsidRPr="003819C3" w:rsidRDefault="00F3061B" w:rsidP="007866BE">
            <w:pPr>
              <w:keepNext/>
              <w:widowControl/>
              <w:jc w:val="center"/>
              <w:rPr>
                <w:rFonts w:ascii="Arial Narrow" w:hAnsi="Arial Narrow"/>
                <w:b/>
                <w:sz w:val="20"/>
              </w:rPr>
            </w:pPr>
            <w:r w:rsidRPr="003819C3">
              <w:rPr>
                <w:rFonts w:ascii="Arial Narrow" w:hAnsi="Arial Narrow"/>
                <w:b/>
                <w:sz w:val="20"/>
              </w:rPr>
              <w:t>Year 1</w:t>
            </w:r>
          </w:p>
        </w:tc>
        <w:tc>
          <w:tcPr>
            <w:tcW w:w="595" w:type="pct"/>
            <w:shd w:val="clear" w:color="auto" w:fill="auto"/>
            <w:vAlign w:val="center"/>
          </w:tcPr>
          <w:p w:rsidR="00F3061B" w:rsidRPr="003819C3" w:rsidRDefault="00F3061B" w:rsidP="007866BE">
            <w:pPr>
              <w:keepNext/>
              <w:widowControl/>
              <w:jc w:val="center"/>
              <w:rPr>
                <w:rFonts w:ascii="Arial Narrow" w:hAnsi="Arial Narrow"/>
                <w:b/>
                <w:sz w:val="20"/>
              </w:rPr>
            </w:pPr>
            <w:r w:rsidRPr="003819C3">
              <w:rPr>
                <w:rFonts w:ascii="Arial Narrow" w:hAnsi="Arial Narrow"/>
                <w:b/>
                <w:sz w:val="20"/>
              </w:rPr>
              <w:t>Year 2</w:t>
            </w:r>
          </w:p>
        </w:tc>
        <w:tc>
          <w:tcPr>
            <w:tcW w:w="594" w:type="pct"/>
            <w:shd w:val="clear" w:color="auto" w:fill="auto"/>
            <w:vAlign w:val="center"/>
          </w:tcPr>
          <w:p w:rsidR="00F3061B" w:rsidRPr="003819C3" w:rsidRDefault="00F3061B" w:rsidP="007866BE">
            <w:pPr>
              <w:keepNext/>
              <w:widowControl/>
              <w:jc w:val="center"/>
              <w:rPr>
                <w:rFonts w:ascii="Arial Narrow" w:hAnsi="Arial Narrow"/>
                <w:b/>
                <w:sz w:val="20"/>
              </w:rPr>
            </w:pPr>
            <w:r w:rsidRPr="003819C3">
              <w:rPr>
                <w:rFonts w:ascii="Arial Narrow" w:hAnsi="Arial Narrow"/>
                <w:b/>
                <w:sz w:val="20"/>
              </w:rPr>
              <w:t>Year 3</w:t>
            </w:r>
          </w:p>
        </w:tc>
        <w:tc>
          <w:tcPr>
            <w:tcW w:w="595" w:type="pct"/>
            <w:shd w:val="clear" w:color="auto" w:fill="auto"/>
            <w:vAlign w:val="center"/>
          </w:tcPr>
          <w:p w:rsidR="00F3061B" w:rsidRPr="003819C3" w:rsidRDefault="00F3061B" w:rsidP="007866BE">
            <w:pPr>
              <w:keepNext/>
              <w:widowControl/>
              <w:jc w:val="center"/>
              <w:rPr>
                <w:rFonts w:ascii="Arial Narrow" w:hAnsi="Arial Narrow"/>
                <w:b/>
                <w:sz w:val="20"/>
              </w:rPr>
            </w:pPr>
            <w:r w:rsidRPr="003819C3">
              <w:rPr>
                <w:rFonts w:ascii="Arial Narrow" w:hAnsi="Arial Narrow"/>
                <w:b/>
                <w:sz w:val="20"/>
              </w:rPr>
              <w:t>Year 4</w:t>
            </w:r>
          </w:p>
        </w:tc>
        <w:tc>
          <w:tcPr>
            <w:tcW w:w="584" w:type="pct"/>
            <w:shd w:val="clear" w:color="auto" w:fill="auto"/>
            <w:vAlign w:val="center"/>
          </w:tcPr>
          <w:p w:rsidR="00F3061B" w:rsidRPr="003819C3" w:rsidRDefault="00F3061B" w:rsidP="007866BE">
            <w:pPr>
              <w:keepNext/>
              <w:widowControl/>
              <w:jc w:val="center"/>
              <w:rPr>
                <w:rFonts w:ascii="Arial Narrow" w:hAnsi="Arial Narrow"/>
                <w:b/>
                <w:sz w:val="20"/>
              </w:rPr>
            </w:pPr>
            <w:r w:rsidRPr="003819C3">
              <w:rPr>
                <w:rFonts w:ascii="Arial Narrow" w:hAnsi="Arial Narrow"/>
                <w:b/>
                <w:sz w:val="20"/>
              </w:rPr>
              <w:t>Year 5</w:t>
            </w:r>
          </w:p>
        </w:tc>
      </w:tr>
      <w:tr w:rsidR="00C25D9C" w:rsidRPr="003819C3" w:rsidTr="005D044D">
        <w:tc>
          <w:tcPr>
            <w:tcW w:w="5000" w:type="pct"/>
            <w:gridSpan w:val="6"/>
            <w:shd w:val="clear" w:color="auto" w:fill="auto"/>
            <w:vAlign w:val="center"/>
          </w:tcPr>
          <w:p w:rsidR="00C25D9C" w:rsidRPr="003819C3" w:rsidRDefault="00C25D9C" w:rsidP="007866BE">
            <w:pPr>
              <w:keepNext/>
              <w:widowControl/>
              <w:jc w:val="left"/>
              <w:rPr>
                <w:rFonts w:ascii="Arial Narrow" w:hAnsi="Arial Narrow"/>
                <w:b/>
                <w:bCs/>
                <w:color w:val="000000"/>
                <w:sz w:val="20"/>
              </w:rPr>
            </w:pPr>
            <w:r w:rsidRPr="003819C3">
              <w:rPr>
                <w:rFonts w:ascii="Arial Narrow" w:hAnsi="Arial Narrow"/>
                <w:b/>
                <w:bCs/>
                <w:color w:val="000000"/>
                <w:sz w:val="20"/>
              </w:rPr>
              <w:t>Estimated extent of use</w:t>
            </w:r>
          </w:p>
        </w:tc>
      </w:tr>
      <w:tr w:rsidR="00983D58" w:rsidRPr="003819C3" w:rsidTr="00F3061B">
        <w:tc>
          <w:tcPr>
            <w:tcW w:w="2038" w:type="pct"/>
            <w:shd w:val="clear" w:color="auto" w:fill="auto"/>
            <w:vAlign w:val="center"/>
          </w:tcPr>
          <w:p w:rsidR="00983D58" w:rsidRPr="003819C3" w:rsidRDefault="00983D58" w:rsidP="007866BE">
            <w:pPr>
              <w:keepNext/>
              <w:widowControl/>
              <w:tabs>
                <w:tab w:val="left" w:pos="142"/>
              </w:tabs>
              <w:jc w:val="left"/>
              <w:rPr>
                <w:rFonts w:ascii="Arial Narrow" w:hAnsi="Arial Narrow"/>
                <w:sz w:val="20"/>
              </w:rPr>
            </w:pPr>
            <w:r w:rsidRPr="003819C3">
              <w:rPr>
                <w:rFonts w:ascii="Arial Narrow" w:hAnsi="Arial Narrow"/>
                <w:sz w:val="20"/>
              </w:rPr>
              <w:t>U100 prescriptions</w:t>
            </w:r>
            <w:r w:rsidR="00F3061B" w:rsidRPr="003819C3">
              <w:rPr>
                <w:rFonts w:ascii="Arial Narrow" w:hAnsi="Arial Narrow"/>
                <w:sz w:val="20"/>
              </w:rPr>
              <w:t>, 5 pack</w:t>
            </w:r>
          </w:p>
        </w:tc>
        <w:tc>
          <w:tcPr>
            <w:tcW w:w="594" w:type="pct"/>
            <w:shd w:val="clear" w:color="auto" w:fill="auto"/>
            <w:vAlign w:val="bottom"/>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vAlign w:val="bottom"/>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vAlign w:val="bottom"/>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vAlign w:val="bottom"/>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84" w:type="pct"/>
            <w:shd w:val="clear" w:color="auto" w:fill="auto"/>
            <w:vAlign w:val="bottom"/>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83D58" w:rsidRPr="003819C3" w:rsidTr="00F3061B">
        <w:tc>
          <w:tcPr>
            <w:tcW w:w="2038" w:type="pct"/>
            <w:shd w:val="clear" w:color="auto" w:fill="auto"/>
            <w:vAlign w:val="center"/>
          </w:tcPr>
          <w:p w:rsidR="00983D58" w:rsidRPr="003819C3" w:rsidRDefault="00983D58" w:rsidP="007866BE">
            <w:pPr>
              <w:keepNext/>
              <w:widowControl/>
              <w:tabs>
                <w:tab w:val="left" w:pos="142"/>
              </w:tabs>
              <w:jc w:val="left"/>
              <w:rPr>
                <w:rFonts w:ascii="Arial Narrow" w:hAnsi="Arial Narrow"/>
                <w:sz w:val="20"/>
              </w:rPr>
            </w:pPr>
            <w:r w:rsidRPr="003819C3">
              <w:rPr>
                <w:rFonts w:ascii="Arial Narrow" w:hAnsi="Arial Narrow"/>
                <w:sz w:val="20"/>
              </w:rPr>
              <w:t>Uptake T1DM/T2DM</w:t>
            </w:r>
          </w:p>
        </w:tc>
        <w:tc>
          <w:tcPr>
            <w:tcW w:w="594" w:type="pct"/>
            <w:shd w:val="clear" w:color="auto" w:fill="auto"/>
            <w:vAlign w:val="center"/>
          </w:tcPr>
          <w:p w:rsidR="00983D58" w:rsidRPr="00B96A59" w:rsidRDefault="00B96A59" w:rsidP="007866BE">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5" w:type="pct"/>
            <w:shd w:val="clear" w:color="auto" w:fill="auto"/>
            <w:vAlign w:val="center"/>
          </w:tcPr>
          <w:p w:rsidR="00983D58" w:rsidRPr="00B96A59" w:rsidRDefault="00B96A59" w:rsidP="007866BE">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4" w:type="pct"/>
            <w:shd w:val="clear" w:color="auto" w:fill="auto"/>
            <w:vAlign w:val="center"/>
          </w:tcPr>
          <w:p w:rsidR="00983D58" w:rsidRPr="00B96A59" w:rsidRDefault="00B96A59" w:rsidP="007866BE">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5" w:type="pct"/>
            <w:shd w:val="clear" w:color="auto" w:fill="auto"/>
            <w:vAlign w:val="center"/>
          </w:tcPr>
          <w:p w:rsidR="00983D58" w:rsidRPr="00B96A59" w:rsidRDefault="00B96A59" w:rsidP="007866BE">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4" w:type="pct"/>
            <w:shd w:val="clear" w:color="auto" w:fill="auto"/>
            <w:vAlign w:val="center"/>
          </w:tcPr>
          <w:p w:rsidR="00983D58" w:rsidRPr="00B96A59" w:rsidRDefault="00B96A59" w:rsidP="007866BE">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983D58" w:rsidRPr="003819C3" w:rsidTr="00F3061B">
        <w:tc>
          <w:tcPr>
            <w:tcW w:w="2038" w:type="pct"/>
            <w:shd w:val="clear" w:color="auto" w:fill="auto"/>
            <w:vAlign w:val="center"/>
          </w:tcPr>
          <w:p w:rsidR="00983D58" w:rsidRPr="003819C3" w:rsidRDefault="00983D58" w:rsidP="007866BE">
            <w:pPr>
              <w:keepNext/>
              <w:widowControl/>
              <w:tabs>
                <w:tab w:val="left" w:pos="142"/>
              </w:tabs>
              <w:jc w:val="left"/>
              <w:rPr>
                <w:rFonts w:ascii="Arial Narrow" w:hAnsi="Arial Narrow"/>
                <w:sz w:val="20"/>
              </w:rPr>
            </w:pPr>
            <w:r w:rsidRPr="003819C3">
              <w:rPr>
                <w:rFonts w:ascii="Arial Narrow" w:hAnsi="Arial Narrow"/>
                <w:sz w:val="20"/>
              </w:rPr>
              <w:t>U300 prescriptions</w:t>
            </w:r>
          </w:p>
        </w:tc>
        <w:tc>
          <w:tcPr>
            <w:tcW w:w="594" w:type="pct"/>
            <w:shd w:val="clear" w:color="auto" w:fill="auto"/>
            <w:vAlign w:val="center"/>
          </w:tcPr>
          <w:p w:rsidR="00983D58" w:rsidRPr="003819C3" w:rsidRDefault="00983D58" w:rsidP="007866BE">
            <w:pPr>
              <w:keepNext/>
              <w:widowControl/>
              <w:jc w:val="center"/>
              <w:rPr>
                <w:rFonts w:ascii="Arial Narrow" w:hAnsi="Arial Narrow"/>
                <w:bCs/>
                <w:color w:val="000000"/>
                <w:sz w:val="20"/>
              </w:rPr>
            </w:pPr>
          </w:p>
        </w:tc>
        <w:tc>
          <w:tcPr>
            <w:tcW w:w="595" w:type="pct"/>
            <w:shd w:val="clear" w:color="auto" w:fill="auto"/>
            <w:vAlign w:val="center"/>
          </w:tcPr>
          <w:p w:rsidR="00983D58" w:rsidRPr="003819C3" w:rsidRDefault="00983D58" w:rsidP="007866BE">
            <w:pPr>
              <w:keepNext/>
              <w:widowControl/>
              <w:jc w:val="center"/>
              <w:rPr>
                <w:rFonts w:ascii="Arial Narrow" w:hAnsi="Arial Narrow"/>
                <w:bCs/>
                <w:color w:val="000000"/>
                <w:sz w:val="20"/>
              </w:rPr>
            </w:pPr>
          </w:p>
        </w:tc>
        <w:tc>
          <w:tcPr>
            <w:tcW w:w="594" w:type="pct"/>
            <w:shd w:val="clear" w:color="auto" w:fill="auto"/>
            <w:vAlign w:val="center"/>
          </w:tcPr>
          <w:p w:rsidR="00983D58" w:rsidRPr="003819C3" w:rsidRDefault="00983D58" w:rsidP="007866BE">
            <w:pPr>
              <w:keepNext/>
              <w:widowControl/>
              <w:jc w:val="center"/>
              <w:rPr>
                <w:rFonts w:ascii="Arial Narrow" w:hAnsi="Arial Narrow"/>
                <w:bCs/>
                <w:color w:val="000000"/>
                <w:sz w:val="20"/>
              </w:rPr>
            </w:pPr>
          </w:p>
        </w:tc>
        <w:tc>
          <w:tcPr>
            <w:tcW w:w="595" w:type="pct"/>
            <w:shd w:val="clear" w:color="auto" w:fill="auto"/>
            <w:vAlign w:val="center"/>
          </w:tcPr>
          <w:p w:rsidR="00983D58" w:rsidRPr="003819C3" w:rsidRDefault="00983D58" w:rsidP="007866BE">
            <w:pPr>
              <w:keepNext/>
              <w:widowControl/>
              <w:jc w:val="center"/>
              <w:rPr>
                <w:rFonts w:ascii="Arial Narrow" w:hAnsi="Arial Narrow"/>
                <w:bCs/>
                <w:color w:val="000000"/>
                <w:sz w:val="20"/>
              </w:rPr>
            </w:pPr>
          </w:p>
        </w:tc>
        <w:tc>
          <w:tcPr>
            <w:tcW w:w="584" w:type="pct"/>
            <w:shd w:val="clear" w:color="auto" w:fill="auto"/>
            <w:vAlign w:val="center"/>
          </w:tcPr>
          <w:p w:rsidR="00983D58" w:rsidRPr="003819C3" w:rsidRDefault="00983D58" w:rsidP="007866BE">
            <w:pPr>
              <w:keepNext/>
              <w:widowControl/>
              <w:jc w:val="center"/>
              <w:rPr>
                <w:rFonts w:ascii="Arial Narrow" w:hAnsi="Arial Narrow"/>
                <w:bCs/>
                <w:color w:val="000000"/>
                <w:sz w:val="20"/>
              </w:rPr>
            </w:pPr>
          </w:p>
        </w:tc>
      </w:tr>
      <w:tr w:rsidR="00983D58" w:rsidRPr="003819C3" w:rsidTr="00F3061B">
        <w:tc>
          <w:tcPr>
            <w:tcW w:w="2038" w:type="pct"/>
            <w:shd w:val="clear" w:color="auto" w:fill="auto"/>
            <w:vAlign w:val="center"/>
          </w:tcPr>
          <w:p w:rsidR="00983D58" w:rsidRPr="003819C3" w:rsidRDefault="00983D58" w:rsidP="007866BE">
            <w:pPr>
              <w:keepNext/>
              <w:widowControl/>
              <w:tabs>
                <w:tab w:val="left" w:pos="142"/>
              </w:tabs>
              <w:jc w:val="left"/>
              <w:rPr>
                <w:rFonts w:ascii="Arial Narrow" w:hAnsi="Arial Narrow"/>
                <w:sz w:val="20"/>
              </w:rPr>
            </w:pPr>
            <w:r w:rsidRPr="003819C3">
              <w:rPr>
                <w:rFonts w:ascii="Arial Narrow" w:hAnsi="Arial Narrow"/>
                <w:sz w:val="20"/>
              </w:rPr>
              <w:tab/>
              <w:t>1 pack</w:t>
            </w:r>
          </w:p>
        </w:tc>
        <w:tc>
          <w:tcPr>
            <w:tcW w:w="594"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84"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83D58" w:rsidRPr="003819C3" w:rsidTr="00F3061B">
        <w:tc>
          <w:tcPr>
            <w:tcW w:w="2038" w:type="pct"/>
            <w:shd w:val="clear" w:color="auto" w:fill="auto"/>
            <w:vAlign w:val="center"/>
          </w:tcPr>
          <w:p w:rsidR="00983D58" w:rsidRPr="003819C3" w:rsidRDefault="00983D58" w:rsidP="007866BE">
            <w:pPr>
              <w:keepNext/>
              <w:widowControl/>
              <w:tabs>
                <w:tab w:val="left" w:pos="142"/>
              </w:tabs>
              <w:jc w:val="left"/>
              <w:rPr>
                <w:rFonts w:ascii="Arial Narrow" w:hAnsi="Arial Narrow"/>
                <w:sz w:val="20"/>
              </w:rPr>
            </w:pPr>
            <w:r w:rsidRPr="003819C3">
              <w:rPr>
                <w:rFonts w:ascii="Arial Narrow" w:hAnsi="Arial Narrow"/>
                <w:sz w:val="20"/>
              </w:rPr>
              <w:tab/>
              <w:t>3 pack</w:t>
            </w:r>
          </w:p>
        </w:tc>
        <w:tc>
          <w:tcPr>
            <w:tcW w:w="594"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84"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83D58" w:rsidRPr="003819C3" w:rsidTr="00F3061B">
        <w:tc>
          <w:tcPr>
            <w:tcW w:w="2038" w:type="pct"/>
            <w:shd w:val="clear" w:color="auto" w:fill="auto"/>
            <w:vAlign w:val="center"/>
          </w:tcPr>
          <w:p w:rsidR="00983D58" w:rsidRPr="003819C3" w:rsidRDefault="00983D58" w:rsidP="007866BE">
            <w:pPr>
              <w:keepNext/>
              <w:widowControl/>
              <w:tabs>
                <w:tab w:val="left" w:pos="142"/>
              </w:tabs>
              <w:jc w:val="left"/>
              <w:rPr>
                <w:rFonts w:ascii="Arial Narrow" w:hAnsi="Arial Narrow"/>
                <w:sz w:val="20"/>
              </w:rPr>
            </w:pPr>
            <w:r w:rsidRPr="003819C3">
              <w:rPr>
                <w:rFonts w:ascii="Arial Narrow" w:hAnsi="Arial Narrow"/>
                <w:sz w:val="20"/>
              </w:rPr>
              <w:tab/>
              <w:t>5 pack</w:t>
            </w:r>
          </w:p>
        </w:tc>
        <w:tc>
          <w:tcPr>
            <w:tcW w:w="594"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4"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95"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84" w:type="pct"/>
            <w:shd w:val="clear" w:color="auto" w:fill="auto"/>
          </w:tcPr>
          <w:p w:rsidR="00983D58" w:rsidRPr="00B96A59" w:rsidRDefault="00B96A59" w:rsidP="007866BE">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C25D9C" w:rsidRPr="003819C3" w:rsidTr="005D044D">
        <w:tc>
          <w:tcPr>
            <w:tcW w:w="5000" w:type="pct"/>
            <w:gridSpan w:val="6"/>
            <w:shd w:val="clear" w:color="auto" w:fill="auto"/>
            <w:vAlign w:val="center"/>
          </w:tcPr>
          <w:p w:rsidR="00C25D9C" w:rsidRPr="003819C3" w:rsidRDefault="00C25D9C" w:rsidP="007866BE">
            <w:pPr>
              <w:keepNext/>
              <w:widowControl/>
              <w:jc w:val="left"/>
              <w:rPr>
                <w:rFonts w:ascii="Arial Narrow" w:hAnsi="Arial Narrow"/>
                <w:b/>
                <w:bCs/>
                <w:color w:val="000000"/>
                <w:sz w:val="20"/>
              </w:rPr>
            </w:pPr>
            <w:r w:rsidRPr="003819C3">
              <w:rPr>
                <w:rFonts w:ascii="Arial Narrow" w:hAnsi="Arial Narrow"/>
                <w:b/>
                <w:bCs/>
                <w:color w:val="000000"/>
                <w:sz w:val="20"/>
              </w:rPr>
              <w:t>Estimated net cost to PBS/RPBS</w:t>
            </w:r>
          </w:p>
        </w:tc>
      </w:tr>
      <w:tr w:rsidR="00F3061B" w:rsidRPr="003819C3" w:rsidTr="00F3061B">
        <w:tc>
          <w:tcPr>
            <w:tcW w:w="2038" w:type="pct"/>
            <w:shd w:val="clear" w:color="auto" w:fill="auto"/>
            <w:vAlign w:val="center"/>
          </w:tcPr>
          <w:p w:rsidR="00983D58" w:rsidRPr="003819C3" w:rsidRDefault="00983D58" w:rsidP="007866BE">
            <w:pPr>
              <w:keepNext/>
              <w:widowControl/>
              <w:tabs>
                <w:tab w:val="left" w:pos="142"/>
              </w:tabs>
              <w:jc w:val="left"/>
              <w:rPr>
                <w:rFonts w:ascii="Arial Narrow" w:hAnsi="Arial Narrow"/>
                <w:sz w:val="20"/>
              </w:rPr>
            </w:pPr>
            <w:r w:rsidRPr="003819C3">
              <w:rPr>
                <w:rFonts w:ascii="Arial Narrow" w:hAnsi="Arial Narrow"/>
                <w:sz w:val="19"/>
                <w:szCs w:val="19"/>
              </w:rPr>
              <w:t>U300 net cost to PBS/RPBS (less co-pay)</w:t>
            </w:r>
          </w:p>
        </w:tc>
        <w:tc>
          <w:tcPr>
            <w:tcW w:w="594" w:type="pct"/>
            <w:shd w:val="clear" w:color="auto" w:fill="auto"/>
            <w:vAlign w:val="bottom"/>
          </w:tcPr>
          <w:p w:rsidR="00983D58" w:rsidRPr="003819C3" w:rsidRDefault="00983D58"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95" w:type="pct"/>
            <w:shd w:val="clear" w:color="auto" w:fill="auto"/>
            <w:vAlign w:val="bottom"/>
          </w:tcPr>
          <w:p w:rsidR="00983D58" w:rsidRPr="003819C3" w:rsidRDefault="00983D58"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94" w:type="pct"/>
            <w:shd w:val="clear" w:color="auto" w:fill="auto"/>
            <w:vAlign w:val="bottom"/>
          </w:tcPr>
          <w:p w:rsidR="00983D58" w:rsidRPr="003819C3" w:rsidRDefault="00983D58"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95" w:type="pct"/>
            <w:shd w:val="clear" w:color="auto" w:fill="auto"/>
            <w:vAlign w:val="bottom"/>
          </w:tcPr>
          <w:p w:rsidR="00983D58" w:rsidRPr="003819C3" w:rsidRDefault="00983D58"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84" w:type="pct"/>
            <w:shd w:val="clear" w:color="auto" w:fill="auto"/>
            <w:vAlign w:val="bottom"/>
          </w:tcPr>
          <w:p w:rsidR="00983D58" w:rsidRPr="003819C3" w:rsidRDefault="00983D58"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r>
      <w:tr w:rsidR="00F3061B" w:rsidRPr="003819C3" w:rsidTr="00F3061B">
        <w:tc>
          <w:tcPr>
            <w:tcW w:w="2038" w:type="pct"/>
            <w:shd w:val="clear" w:color="auto" w:fill="auto"/>
            <w:vAlign w:val="center"/>
          </w:tcPr>
          <w:p w:rsidR="00312C50" w:rsidRPr="003819C3" w:rsidRDefault="00312C50" w:rsidP="007866BE">
            <w:pPr>
              <w:keepNext/>
              <w:widowControl/>
              <w:tabs>
                <w:tab w:val="left" w:pos="142"/>
              </w:tabs>
              <w:jc w:val="left"/>
              <w:rPr>
                <w:rFonts w:ascii="Arial Narrow" w:hAnsi="Arial Narrow"/>
                <w:sz w:val="19"/>
                <w:szCs w:val="19"/>
              </w:rPr>
            </w:pPr>
            <w:r w:rsidRPr="003819C3">
              <w:rPr>
                <w:rFonts w:ascii="Arial Narrow" w:hAnsi="Arial Narrow"/>
                <w:sz w:val="19"/>
                <w:szCs w:val="19"/>
              </w:rPr>
              <w:t>U100 net cost offset to PBS/RPBS (less co-pay)</w:t>
            </w:r>
          </w:p>
        </w:tc>
        <w:tc>
          <w:tcPr>
            <w:tcW w:w="594" w:type="pct"/>
            <w:shd w:val="clear" w:color="auto" w:fill="auto"/>
            <w:vAlign w:val="center"/>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95" w:type="pct"/>
            <w:shd w:val="clear" w:color="auto" w:fill="auto"/>
            <w:vAlign w:val="center"/>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94" w:type="pct"/>
            <w:shd w:val="clear" w:color="auto" w:fill="auto"/>
            <w:vAlign w:val="center"/>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95" w:type="pct"/>
            <w:shd w:val="clear" w:color="auto" w:fill="auto"/>
            <w:vAlign w:val="center"/>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84" w:type="pct"/>
            <w:shd w:val="clear" w:color="auto" w:fill="auto"/>
            <w:vAlign w:val="center"/>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r>
      <w:tr w:rsidR="00C25D9C" w:rsidRPr="003819C3" w:rsidTr="005D044D">
        <w:tc>
          <w:tcPr>
            <w:tcW w:w="5000" w:type="pct"/>
            <w:gridSpan w:val="6"/>
            <w:shd w:val="clear" w:color="auto" w:fill="auto"/>
            <w:vAlign w:val="center"/>
          </w:tcPr>
          <w:p w:rsidR="00C25D9C" w:rsidRPr="003819C3" w:rsidRDefault="00C25D9C" w:rsidP="007866BE">
            <w:pPr>
              <w:keepNext/>
              <w:widowControl/>
              <w:jc w:val="left"/>
              <w:rPr>
                <w:rFonts w:ascii="Arial Narrow" w:hAnsi="Arial Narrow"/>
                <w:b/>
                <w:color w:val="000000"/>
                <w:sz w:val="20"/>
              </w:rPr>
            </w:pPr>
            <w:r w:rsidRPr="003819C3">
              <w:rPr>
                <w:rFonts w:ascii="Arial Narrow" w:hAnsi="Arial Narrow"/>
                <w:b/>
                <w:color w:val="000000"/>
                <w:sz w:val="20"/>
              </w:rPr>
              <w:t>Estimated total net cost</w:t>
            </w:r>
          </w:p>
        </w:tc>
      </w:tr>
      <w:tr w:rsidR="00312C50" w:rsidRPr="003819C3" w:rsidTr="00F3061B">
        <w:tc>
          <w:tcPr>
            <w:tcW w:w="2038" w:type="pct"/>
            <w:shd w:val="clear" w:color="auto" w:fill="auto"/>
            <w:vAlign w:val="center"/>
          </w:tcPr>
          <w:p w:rsidR="00312C50" w:rsidRPr="003819C3" w:rsidRDefault="00312C50" w:rsidP="007866BE">
            <w:pPr>
              <w:keepNext/>
              <w:widowControl/>
              <w:tabs>
                <w:tab w:val="left" w:pos="142"/>
              </w:tabs>
              <w:jc w:val="left"/>
              <w:rPr>
                <w:rFonts w:ascii="Arial Narrow" w:hAnsi="Arial Narrow"/>
                <w:b/>
                <w:sz w:val="20"/>
              </w:rPr>
            </w:pPr>
            <w:r w:rsidRPr="003819C3">
              <w:rPr>
                <w:rFonts w:ascii="Arial Narrow" w:hAnsi="Arial Narrow"/>
                <w:b/>
                <w:bCs/>
                <w:color w:val="000000"/>
                <w:sz w:val="20"/>
              </w:rPr>
              <w:t>Net cost to PBS/RPBS</w:t>
            </w:r>
          </w:p>
        </w:tc>
        <w:tc>
          <w:tcPr>
            <w:tcW w:w="594" w:type="pct"/>
            <w:shd w:val="clear" w:color="auto" w:fill="auto"/>
            <w:vAlign w:val="bottom"/>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95" w:type="pct"/>
            <w:shd w:val="clear" w:color="auto" w:fill="auto"/>
            <w:vAlign w:val="bottom"/>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94" w:type="pct"/>
            <w:shd w:val="clear" w:color="auto" w:fill="auto"/>
            <w:vAlign w:val="bottom"/>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95" w:type="pct"/>
            <w:shd w:val="clear" w:color="auto" w:fill="auto"/>
            <w:vAlign w:val="bottom"/>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c>
          <w:tcPr>
            <w:tcW w:w="584" w:type="pct"/>
            <w:shd w:val="clear" w:color="auto" w:fill="auto"/>
            <w:vAlign w:val="bottom"/>
          </w:tcPr>
          <w:p w:rsidR="00312C50" w:rsidRPr="003819C3" w:rsidRDefault="00312C50" w:rsidP="007866BE">
            <w:pPr>
              <w:keepNext/>
              <w:widowControl/>
              <w:jc w:val="center"/>
              <w:rPr>
                <w:rFonts w:ascii="Arial Narrow" w:hAnsi="Arial Narrow"/>
                <w:sz w:val="20"/>
              </w:rPr>
            </w:pPr>
            <w:r w:rsidRPr="003819C3">
              <w:rPr>
                <w:rFonts w:ascii="Arial Narrow" w:hAnsi="Arial Narrow"/>
                <w:sz w:val="20"/>
              </w:rPr>
              <w:t>$</w:t>
            </w:r>
            <w:r w:rsidR="00B96A59">
              <w:rPr>
                <w:rFonts w:ascii="Arial Narrow" w:hAnsi="Arial Narrow"/>
                <w:noProof/>
                <w:color w:val="000000"/>
                <w:sz w:val="20"/>
                <w:highlight w:val="black"/>
              </w:rPr>
              <w:t>''''''''''''''''''''''''''''</w:t>
            </w:r>
          </w:p>
        </w:tc>
      </w:tr>
    </w:tbl>
    <w:p w:rsidR="00C25D9C" w:rsidRPr="003819C3" w:rsidRDefault="00C25D9C" w:rsidP="007866BE">
      <w:pPr>
        <w:pStyle w:val="TableFooter"/>
        <w:widowControl/>
        <w:ind w:left="709" w:firstLine="11"/>
        <w:rPr>
          <w:szCs w:val="22"/>
        </w:rPr>
      </w:pPr>
      <w:r w:rsidRPr="003819C3">
        <w:rPr>
          <w:sz w:val="16"/>
          <w:szCs w:val="18"/>
        </w:rPr>
        <w:t xml:space="preserve">Source: </w:t>
      </w:r>
      <w:r w:rsidR="00983D58" w:rsidRPr="003819C3">
        <w:t>Table E.2, p188; Table E.4, p188, Table E.7, p189; Table E.13, p193</w:t>
      </w:r>
      <w:r w:rsidR="00312C50" w:rsidRPr="003819C3">
        <w:t>; Table E.18, p194</w:t>
      </w:r>
      <w:r w:rsidR="00983D58" w:rsidRPr="003819C3">
        <w:t xml:space="preserve"> of the submission; values in italics corrected during the evaluation</w:t>
      </w:r>
      <w:r w:rsidR="00D66267" w:rsidRPr="003819C3">
        <w:t>.</w:t>
      </w:r>
    </w:p>
    <w:p w:rsidR="00983D58" w:rsidRPr="003819C3" w:rsidRDefault="00983D58" w:rsidP="007866BE">
      <w:pPr>
        <w:widowControl/>
        <w:rPr>
          <w:szCs w:val="22"/>
        </w:rPr>
      </w:pPr>
    </w:p>
    <w:p w:rsidR="00967814" w:rsidRPr="00967814" w:rsidRDefault="00967814" w:rsidP="00967814">
      <w:pPr>
        <w:pStyle w:val="ListParagraph"/>
        <w:widowControl/>
        <w:rPr>
          <w:i/>
          <w:szCs w:val="22"/>
        </w:rPr>
      </w:pPr>
      <w:r w:rsidRPr="00967814">
        <w:rPr>
          <w:i/>
          <w:szCs w:val="22"/>
        </w:rPr>
        <w:t>The redacted table</w:t>
      </w:r>
      <w:r>
        <w:rPr>
          <w:i/>
          <w:szCs w:val="22"/>
        </w:rPr>
        <w:t xml:space="preserve"> above shows that the estimated use and financial implications of U300 to the PBS/RPBS for the treatment of type 1 and type 2 diabetes is less than $10 million in years 1 and 2 and $10-20 million in years 3-5. </w:t>
      </w:r>
    </w:p>
    <w:p w:rsidR="00967814" w:rsidRPr="00967814" w:rsidRDefault="00967814" w:rsidP="00967814">
      <w:pPr>
        <w:pStyle w:val="ListParagraph"/>
        <w:widowControl/>
        <w:rPr>
          <w:szCs w:val="22"/>
        </w:rPr>
      </w:pPr>
    </w:p>
    <w:p w:rsidR="00C25D9C" w:rsidRPr="00FE1081" w:rsidRDefault="00455577" w:rsidP="007866BE">
      <w:pPr>
        <w:pStyle w:val="ListParagraph"/>
        <w:widowControl/>
        <w:numPr>
          <w:ilvl w:val="1"/>
          <w:numId w:val="10"/>
        </w:numPr>
        <w:rPr>
          <w:szCs w:val="22"/>
        </w:rPr>
      </w:pPr>
      <w:r w:rsidRPr="003819C3">
        <w:t>The submission estimated</w:t>
      </w:r>
      <w:r w:rsidR="00312C50" w:rsidRPr="003819C3">
        <w:t xml:space="preserve"> a net PBS/RPBS cost in year</w:t>
      </w:r>
      <w:r w:rsidR="00D943B2">
        <w:t xml:space="preserve"> 5 of </w:t>
      </w:r>
      <w:r w:rsidR="00967814">
        <w:t xml:space="preserve">$10 </w:t>
      </w:r>
      <w:r w:rsidR="00967814">
        <w:noBreakHyphen/>
        <w:t xml:space="preserve"> 20 million</w:t>
      </w:r>
      <w:r w:rsidR="00D943B2">
        <w:t>. This wa</w:t>
      </w:r>
      <w:r w:rsidR="00312C50" w:rsidRPr="003819C3">
        <w:t xml:space="preserve">s likely to be an overestimate because </w:t>
      </w:r>
      <w:r w:rsidRPr="003819C3">
        <w:t xml:space="preserve">the submission assumed </w:t>
      </w:r>
      <w:r w:rsidR="00312C50" w:rsidRPr="003819C3">
        <w:t xml:space="preserve">1 pack of U300 </w:t>
      </w:r>
      <w:r w:rsidR="00F818C5" w:rsidRPr="003819C3">
        <w:t xml:space="preserve">would </w:t>
      </w:r>
      <w:r w:rsidR="00312C50" w:rsidRPr="003819C3">
        <w:t>replace 1 pack of U100</w:t>
      </w:r>
      <w:r w:rsidRPr="003819C3">
        <w:t>, but on average a pack of U300 contains more units of insulin glargine</w:t>
      </w:r>
      <w:r w:rsidR="00312C50" w:rsidRPr="003819C3">
        <w:t xml:space="preserve">. However, adjusting the pack equivalents ratio and simultaneously reducing the price of U100 </w:t>
      </w:r>
      <w:r w:rsidRPr="003819C3">
        <w:t>by 16%</w:t>
      </w:r>
      <w:r w:rsidR="00312C50" w:rsidRPr="003819C3">
        <w:t xml:space="preserve"> result</w:t>
      </w:r>
      <w:r w:rsidR="00967814">
        <w:t>ed</w:t>
      </w:r>
      <w:r w:rsidR="00312C50" w:rsidRPr="003819C3">
        <w:t xml:space="preserve"> in a net PBS/RPBS cost in year 5 of $</w:t>
      </w:r>
      <w:r w:rsidR="00D943B2">
        <w:t>17-$26m. The net PBS/RPBS cost wa</w:t>
      </w:r>
      <w:r w:rsidR="00312C50" w:rsidRPr="003819C3">
        <w:t xml:space="preserve">s also sensitive to the assumed growth of the insulin glargine market and the uptake of U300. Both the growth and </w:t>
      </w:r>
      <w:r w:rsidR="00312C50" w:rsidRPr="00FE1081">
        <w:t>uptake es</w:t>
      </w:r>
      <w:r w:rsidR="00D943B2" w:rsidRPr="00FE1081">
        <w:t>timates used in the submission we</w:t>
      </w:r>
      <w:r w:rsidR="00312C50" w:rsidRPr="00FE1081">
        <w:t>re uncertain.</w:t>
      </w:r>
    </w:p>
    <w:p w:rsidR="00666C30" w:rsidRPr="00FE1081" w:rsidRDefault="00666C30" w:rsidP="007866BE">
      <w:pPr>
        <w:pStyle w:val="ListParagraph"/>
        <w:widowControl/>
        <w:rPr>
          <w:szCs w:val="22"/>
        </w:rPr>
      </w:pPr>
    </w:p>
    <w:p w:rsidR="00666C30" w:rsidRPr="00FE1081" w:rsidRDefault="00666C30" w:rsidP="007866BE">
      <w:pPr>
        <w:widowControl/>
        <w:numPr>
          <w:ilvl w:val="1"/>
          <w:numId w:val="10"/>
        </w:numPr>
      </w:pPr>
      <w:r w:rsidRPr="00FE1081">
        <w:rPr>
          <w:bCs/>
          <w:lang w:val="en-GB"/>
        </w:rPr>
        <w:t xml:space="preserve">The PBAC noted, at the revised cost-minimised price for T2DM, the net </w:t>
      </w:r>
      <w:r w:rsidRPr="00FE1081">
        <w:t>PBS/RPBS cost in year 5 w</w:t>
      </w:r>
      <w:r w:rsidR="00D943B2" w:rsidRPr="00FE1081">
        <w:t>ould be</w:t>
      </w:r>
      <w:r w:rsidRPr="00FE1081">
        <w:t xml:space="preserve"> less than the </w:t>
      </w:r>
      <w:r w:rsidR="00967814">
        <w:t xml:space="preserve">$10 </w:t>
      </w:r>
      <w:r w:rsidR="00967814">
        <w:noBreakHyphen/>
        <w:t xml:space="preserve"> 20 million</w:t>
      </w:r>
      <w:r w:rsidRPr="00FE1081">
        <w:rPr>
          <w:bCs/>
          <w:lang w:val="en-GB"/>
        </w:rPr>
        <w:t xml:space="preserve"> calculated by the submission.</w:t>
      </w:r>
    </w:p>
    <w:p w:rsidR="00666C30" w:rsidRPr="003819C3" w:rsidRDefault="00666C30" w:rsidP="007866BE">
      <w:pPr>
        <w:pStyle w:val="ListParagraph"/>
        <w:widowControl/>
        <w:rPr>
          <w:szCs w:val="22"/>
        </w:rPr>
      </w:pPr>
    </w:p>
    <w:p w:rsidR="00576972" w:rsidRPr="00857E0E" w:rsidRDefault="00576972" w:rsidP="007866BE">
      <w:pPr>
        <w:pStyle w:val="Heading2"/>
        <w:keepNext/>
        <w:widowControl/>
        <w:rPr>
          <w:i/>
        </w:rPr>
      </w:pPr>
      <w:bookmarkStart w:id="16" w:name="_Toc419731768"/>
      <w:r w:rsidRPr="00857E0E">
        <w:rPr>
          <w:i/>
        </w:rPr>
        <w:t>Quality Use of Medicines</w:t>
      </w:r>
      <w:bookmarkEnd w:id="16"/>
    </w:p>
    <w:p w:rsidR="00576972" w:rsidRPr="003819C3" w:rsidRDefault="00576972" w:rsidP="007866BE">
      <w:pPr>
        <w:keepNext/>
        <w:widowControl/>
        <w:rPr>
          <w:szCs w:val="22"/>
        </w:rPr>
      </w:pPr>
    </w:p>
    <w:p w:rsidR="00576972" w:rsidRPr="003819C3" w:rsidRDefault="00312C50" w:rsidP="007866BE">
      <w:pPr>
        <w:pStyle w:val="ListParagraph"/>
        <w:widowControl/>
        <w:numPr>
          <w:ilvl w:val="1"/>
          <w:numId w:val="10"/>
        </w:numPr>
        <w:ind w:left="709"/>
        <w:rPr>
          <w:szCs w:val="22"/>
        </w:rPr>
      </w:pPr>
      <w:r w:rsidRPr="003819C3">
        <w:t>No information provided by the submission</w:t>
      </w:r>
      <w:r w:rsidR="00D75DEB" w:rsidRPr="003819C3">
        <w:t xml:space="preserve">. However, as noted above, the unrestricted listing means </w:t>
      </w:r>
      <w:r w:rsidR="00D75DEB" w:rsidRPr="003819C3">
        <w:rPr>
          <w:szCs w:val="22"/>
        </w:rPr>
        <w:t xml:space="preserve">the PBS population </w:t>
      </w:r>
      <w:r w:rsidR="009A5652">
        <w:rPr>
          <w:szCs w:val="22"/>
        </w:rPr>
        <w:t>may</w:t>
      </w:r>
      <w:r w:rsidR="009A5652" w:rsidRPr="003819C3">
        <w:rPr>
          <w:szCs w:val="22"/>
        </w:rPr>
        <w:t xml:space="preserve"> </w:t>
      </w:r>
      <w:r w:rsidR="00D75DEB" w:rsidRPr="003819C3">
        <w:rPr>
          <w:szCs w:val="22"/>
        </w:rPr>
        <w:t xml:space="preserve">be broader than the </w:t>
      </w:r>
      <w:r w:rsidR="00D75DEB" w:rsidRPr="003819C3">
        <w:t xml:space="preserve">ACPM suggested indication, in adults, and </w:t>
      </w:r>
      <w:r w:rsidR="00D75DEB" w:rsidRPr="003819C3">
        <w:rPr>
          <w:szCs w:val="22"/>
        </w:rPr>
        <w:t xml:space="preserve">the trial populations. The U300 pen is more concentrated than U100 cartridge/pen and there may be safety concerns, particularly </w:t>
      </w:r>
      <w:r w:rsidR="00E4396F" w:rsidRPr="003819C3">
        <w:rPr>
          <w:szCs w:val="22"/>
        </w:rPr>
        <w:t>with respect to</w:t>
      </w:r>
      <w:r w:rsidR="00D75DEB" w:rsidRPr="003819C3">
        <w:rPr>
          <w:szCs w:val="22"/>
        </w:rPr>
        <w:t xml:space="preserve"> use in children in T1DM.</w:t>
      </w:r>
    </w:p>
    <w:p w:rsidR="00D75DEB" w:rsidRPr="003819C3" w:rsidRDefault="00D75DEB" w:rsidP="007866BE">
      <w:pPr>
        <w:pStyle w:val="ListParagraph"/>
        <w:widowControl/>
        <w:ind w:left="709"/>
        <w:rPr>
          <w:szCs w:val="22"/>
        </w:rPr>
      </w:pPr>
    </w:p>
    <w:p w:rsidR="00D943B2" w:rsidRPr="003819C3" w:rsidRDefault="00D943B2" w:rsidP="007866BE">
      <w:pPr>
        <w:widowControl/>
        <w:rPr>
          <w:szCs w:val="22"/>
        </w:rPr>
      </w:pPr>
    </w:p>
    <w:p w:rsidR="00665B30" w:rsidRPr="00665B30" w:rsidRDefault="00665B30" w:rsidP="007866BE">
      <w:pPr>
        <w:pStyle w:val="Heading2"/>
        <w:widowControl/>
        <w:numPr>
          <w:ilvl w:val="0"/>
          <w:numId w:val="10"/>
        </w:numPr>
        <w:ind w:left="709" w:hanging="709"/>
        <w:rPr>
          <w:bCs/>
        </w:rPr>
      </w:pPr>
      <w:r w:rsidRPr="00665B30">
        <w:t>PBAC</w:t>
      </w:r>
      <w:r w:rsidRPr="00665B30">
        <w:rPr>
          <w:b w:val="0"/>
          <w:bCs/>
        </w:rPr>
        <w:t xml:space="preserve"> </w:t>
      </w:r>
      <w:r w:rsidRPr="00665B30">
        <w:rPr>
          <w:bCs/>
        </w:rPr>
        <w:t>Outcome</w:t>
      </w:r>
    </w:p>
    <w:p w:rsidR="00665B30" w:rsidRPr="00665B30" w:rsidRDefault="00665B30" w:rsidP="007866BE">
      <w:pPr>
        <w:widowControl/>
        <w:rPr>
          <w:bCs/>
          <w:lang w:val="en-GB"/>
        </w:rPr>
      </w:pPr>
    </w:p>
    <w:p w:rsidR="00604B6B" w:rsidRDefault="00604B6B" w:rsidP="007866BE">
      <w:pPr>
        <w:widowControl/>
        <w:numPr>
          <w:ilvl w:val="1"/>
          <w:numId w:val="10"/>
        </w:numPr>
        <w:rPr>
          <w:bCs/>
          <w:lang w:val="en-GB"/>
        </w:rPr>
      </w:pPr>
      <w:r>
        <w:rPr>
          <w:bCs/>
          <w:lang w:val="en-GB"/>
        </w:rPr>
        <w:t>The PBAC recommended insulin glargine U300 as an unrestricted benefit on the basis of cost-minimisation to U100 for both T1DM and T2DM.</w:t>
      </w:r>
      <w:r w:rsidR="000A72A6">
        <w:rPr>
          <w:bCs/>
          <w:lang w:val="en-GB"/>
        </w:rPr>
        <w:t xml:space="preserve"> </w:t>
      </w:r>
      <w:r w:rsidR="00CB1CE1">
        <w:rPr>
          <w:bCs/>
          <w:lang w:val="en-GB"/>
        </w:rPr>
        <w:t xml:space="preserve">The PBAC rejected the claimed benefit in hypoglycaemic events and the modelled cost effectiveness in </w:t>
      </w:r>
      <w:r w:rsidR="00D943B2">
        <w:rPr>
          <w:bCs/>
          <w:lang w:val="en-GB"/>
        </w:rPr>
        <w:t>T2DM</w:t>
      </w:r>
      <w:r w:rsidR="00CB1CE1">
        <w:rPr>
          <w:szCs w:val="22"/>
        </w:rPr>
        <w:t>.</w:t>
      </w:r>
      <w:r w:rsidR="00CB1CE1">
        <w:rPr>
          <w:bCs/>
          <w:lang w:val="en-GB"/>
        </w:rPr>
        <w:t xml:space="preserve"> </w:t>
      </w:r>
      <w:r w:rsidR="000A72A6">
        <w:rPr>
          <w:bCs/>
          <w:lang w:val="en-GB"/>
        </w:rPr>
        <w:t xml:space="preserve">The PBAC noted </w:t>
      </w:r>
      <w:r w:rsidR="00D943B2">
        <w:rPr>
          <w:bCs/>
          <w:lang w:val="en-GB"/>
        </w:rPr>
        <w:t xml:space="preserve">the supportive comments from consumers but considered </w:t>
      </w:r>
      <w:r w:rsidR="000A72A6">
        <w:rPr>
          <w:bCs/>
          <w:lang w:val="en-GB"/>
        </w:rPr>
        <w:t>there was low clinical need for this additional formulation of insulin glargine.</w:t>
      </w:r>
    </w:p>
    <w:p w:rsidR="000A72A6" w:rsidRDefault="000A72A6" w:rsidP="007866BE">
      <w:pPr>
        <w:widowControl/>
        <w:ind w:left="720"/>
        <w:rPr>
          <w:bCs/>
          <w:lang w:val="en-GB"/>
        </w:rPr>
      </w:pPr>
    </w:p>
    <w:p w:rsidR="00D2363E" w:rsidRDefault="00D2363E" w:rsidP="007866BE">
      <w:pPr>
        <w:widowControl/>
        <w:numPr>
          <w:ilvl w:val="1"/>
          <w:numId w:val="10"/>
        </w:numPr>
        <w:rPr>
          <w:bCs/>
          <w:lang w:val="en-GB"/>
        </w:rPr>
      </w:pPr>
      <w:r>
        <w:rPr>
          <w:bCs/>
          <w:lang w:val="en-GB"/>
        </w:rPr>
        <w:t xml:space="preserve">The PBAC noted the unrestricted PBS listing </w:t>
      </w:r>
      <w:r w:rsidR="00B62AF1">
        <w:rPr>
          <w:bCs/>
          <w:lang w:val="en-GB"/>
        </w:rPr>
        <w:t>could result in use</w:t>
      </w:r>
      <w:r w:rsidR="009A5652">
        <w:rPr>
          <w:bCs/>
          <w:lang w:val="en-GB"/>
        </w:rPr>
        <w:t xml:space="preserve"> in patient populations that are</w:t>
      </w:r>
      <w:r>
        <w:rPr>
          <w:bCs/>
          <w:lang w:val="en-GB"/>
        </w:rPr>
        <w:t xml:space="preserve"> broader than the ACPM indication but did not consider the possibility of use outside the indication to be a significant issue.</w:t>
      </w:r>
    </w:p>
    <w:p w:rsidR="00D2363E" w:rsidRDefault="00D2363E" w:rsidP="007866BE">
      <w:pPr>
        <w:widowControl/>
        <w:ind w:left="720"/>
        <w:rPr>
          <w:bCs/>
          <w:lang w:val="en-GB"/>
        </w:rPr>
      </w:pPr>
    </w:p>
    <w:p w:rsidR="00604B6B" w:rsidRDefault="003E66F9" w:rsidP="007866BE">
      <w:pPr>
        <w:widowControl/>
        <w:numPr>
          <w:ilvl w:val="1"/>
          <w:numId w:val="10"/>
        </w:numPr>
        <w:rPr>
          <w:bCs/>
          <w:lang w:val="en-GB"/>
        </w:rPr>
      </w:pPr>
      <w:r>
        <w:rPr>
          <w:bCs/>
          <w:lang w:val="en-GB"/>
        </w:rPr>
        <w:t>The PBAC agreed that insulin</w:t>
      </w:r>
      <w:r w:rsidR="00D2363E">
        <w:rPr>
          <w:bCs/>
          <w:lang w:val="en-GB"/>
        </w:rPr>
        <w:t xml:space="preserve"> glargine U100 was the appropriate comparator. </w:t>
      </w:r>
    </w:p>
    <w:p w:rsidR="002079CE" w:rsidRDefault="002079CE" w:rsidP="007866BE">
      <w:pPr>
        <w:pStyle w:val="ListParagraph"/>
        <w:widowControl/>
        <w:rPr>
          <w:bCs/>
          <w:lang w:val="en-GB"/>
        </w:rPr>
      </w:pPr>
    </w:p>
    <w:p w:rsidR="00433D40" w:rsidRPr="00433D40" w:rsidRDefault="00BC5E22" w:rsidP="007866BE">
      <w:pPr>
        <w:pStyle w:val="ListParagraph"/>
        <w:widowControl/>
        <w:rPr>
          <w:i/>
          <w:szCs w:val="22"/>
        </w:rPr>
      </w:pPr>
      <w:r>
        <w:rPr>
          <w:i/>
          <w:szCs w:val="22"/>
        </w:rPr>
        <w:t>Type 1 d</w:t>
      </w:r>
      <w:r w:rsidR="00433D40" w:rsidRPr="00433D40">
        <w:rPr>
          <w:i/>
          <w:szCs w:val="22"/>
        </w:rPr>
        <w:t>iabetes</w:t>
      </w:r>
    </w:p>
    <w:p w:rsidR="00433D40" w:rsidRPr="00433D40" w:rsidRDefault="00433D40" w:rsidP="007866BE">
      <w:pPr>
        <w:pStyle w:val="ListParagraph"/>
        <w:widowControl/>
        <w:rPr>
          <w:bCs/>
          <w:lang w:val="en-GB"/>
        </w:rPr>
      </w:pPr>
    </w:p>
    <w:p w:rsidR="006A265F" w:rsidRDefault="002079CE" w:rsidP="007866BE">
      <w:pPr>
        <w:pStyle w:val="ListParagraph"/>
        <w:widowControl/>
        <w:numPr>
          <w:ilvl w:val="1"/>
          <w:numId w:val="10"/>
        </w:numPr>
        <w:rPr>
          <w:szCs w:val="22"/>
        </w:rPr>
      </w:pPr>
      <w:r>
        <w:rPr>
          <w:bCs/>
          <w:lang w:val="en-GB"/>
        </w:rPr>
        <w:t xml:space="preserve">Based on the head-to-head trial </w:t>
      </w:r>
      <w:r w:rsidRPr="003819C3">
        <w:t>EDITION IV</w:t>
      </w:r>
      <w:r w:rsidR="00FB073A">
        <w:t>,</w:t>
      </w:r>
      <w:r>
        <w:t xml:space="preserve"> the PBAC accepted the claim of n</w:t>
      </w:r>
      <w:r w:rsidRPr="002079CE">
        <w:t>on</w:t>
      </w:r>
      <w:r>
        <w:t>-</w:t>
      </w:r>
      <w:r w:rsidRPr="002079CE">
        <w:t>inferior efficacy and safety in patients with T1DM</w:t>
      </w:r>
      <w:r>
        <w:t>.  For mean change in in HbA1c, t</w:t>
      </w:r>
      <w:r w:rsidRPr="003819C3">
        <w:rPr>
          <w:szCs w:val="22"/>
        </w:rPr>
        <w:t xml:space="preserve">he upper 95% confidence limit for the difference between the </w:t>
      </w:r>
      <w:r>
        <w:rPr>
          <w:szCs w:val="22"/>
        </w:rPr>
        <w:t xml:space="preserve">U300 and U100 </w:t>
      </w:r>
      <w:r w:rsidRPr="003819C3">
        <w:rPr>
          <w:szCs w:val="22"/>
        </w:rPr>
        <w:t>treatment groups was below the 0.3%-0.4% non-inferiority margin previously used by the PBAC.</w:t>
      </w:r>
      <w:r w:rsidR="006A265F">
        <w:rPr>
          <w:szCs w:val="22"/>
        </w:rPr>
        <w:t xml:space="preserve"> T</w:t>
      </w:r>
      <w:r w:rsidR="006A265F" w:rsidRPr="00C21718">
        <w:rPr>
          <w:szCs w:val="22"/>
        </w:rPr>
        <w:t xml:space="preserve">he incidence of hypoglycaemia was similar </w:t>
      </w:r>
      <w:r w:rsidR="006A265F">
        <w:rPr>
          <w:szCs w:val="22"/>
        </w:rPr>
        <w:t>with U300 and U100</w:t>
      </w:r>
      <w:r w:rsidR="006A265F" w:rsidRPr="00C21718">
        <w:rPr>
          <w:szCs w:val="22"/>
        </w:rPr>
        <w:t xml:space="preserve">. </w:t>
      </w:r>
    </w:p>
    <w:p w:rsidR="002079CE" w:rsidRPr="002079CE" w:rsidRDefault="002079CE" w:rsidP="007866BE">
      <w:pPr>
        <w:pStyle w:val="ListParagraph"/>
        <w:widowControl/>
        <w:rPr>
          <w:szCs w:val="22"/>
        </w:rPr>
      </w:pPr>
    </w:p>
    <w:p w:rsidR="002079CE" w:rsidRPr="00C47EE7" w:rsidRDefault="00433D40" w:rsidP="007866BE">
      <w:pPr>
        <w:pStyle w:val="ListParagraph"/>
        <w:widowControl/>
        <w:numPr>
          <w:ilvl w:val="1"/>
          <w:numId w:val="10"/>
        </w:numPr>
        <w:rPr>
          <w:szCs w:val="22"/>
        </w:rPr>
      </w:pPr>
      <w:r w:rsidRPr="00402439">
        <w:t xml:space="preserve">The </w:t>
      </w:r>
      <w:r w:rsidR="006A265F">
        <w:t>PBAC accepted the</w:t>
      </w:r>
      <w:r w:rsidRPr="00402439">
        <w:t xml:space="preserve"> estimated </w:t>
      </w:r>
      <w:r w:rsidR="006A265F">
        <w:t>equi-effective do</w:t>
      </w:r>
      <w:r w:rsidR="00FB073A">
        <w:t>s</w:t>
      </w:r>
      <w:r w:rsidR="006A265F">
        <w:t>e of</w:t>
      </w:r>
      <w:r w:rsidRPr="00402439">
        <w:t xml:space="preserve"> </w:t>
      </w:r>
      <w:r>
        <w:t xml:space="preserve">1 unit of U300 </w:t>
      </w:r>
      <w:r w:rsidR="00FB073A">
        <w:t>being</w:t>
      </w:r>
      <w:r>
        <w:t xml:space="preserve"> equivalent to 0.84 units of U100. The equi-effective dose w</w:t>
      </w:r>
      <w:r w:rsidR="00FB073A">
        <w:t>as</w:t>
      </w:r>
      <w:r>
        <w:t xml:space="preserve"> based on the mean dose at 6 months in EDITION IV.</w:t>
      </w:r>
      <w:r w:rsidRPr="001222FC">
        <w:t xml:space="preserve"> </w:t>
      </w:r>
      <w:r w:rsidRPr="0066779C">
        <w:t>The equi-effective dose differed for morning versus evening dosing. For patients dosed in the morning, 1 unit of U300 was equivalent to 0.90 units of U100. For patients dosed in the evening, 1 unit of U300 was equivalent to 0.78 units of U100. In EDITION IV approximately 50% of patients were dosed in the evening and 50% in the morning.</w:t>
      </w:r>
      <w:r w:rsidR="00C47EE7">
        <w:t xml:space="preserve"> The PBAC noted that data on </w:t>
      </w:r>
      <w:r w:rsidR="00C47EE7" w:rsidRPr="00C47EE7">
        <w:t>the relative proportions of patients dosing at different times of the day in Australian clinical practice are not available</w:t>
      </w:r>
      <w:r w:rsidR="00C47EE7">
        <w:t xml:space="preserve">, but </w:t>
      </w:r>
      <w:r w:rsidR="003942F5">
        <w:t>considered the</w:t>
      </w:r>
      <w:r w:rsidR="00C47EE7">
        <w:t xml:space="preserve"> 50% estimate </w:t>
      </w:r>
      <w:r w:rsidR="003942F5">
        <w:t>to</w:t>
      </w:r>
      <w:r w:rsidR="00C47EE7">
        <w:t xml:space="preserve"> be conservative and favour the U300</w:t>
      </w:r>
      <w:r w:rsidR="003942F5">
        <w:t>.</w:t>
      </w:r>
    </w:p>
    <w:p w:rsidR="006A265F" w:rsidRPr="006A265F" w:rsidRDefault="006A265F" w:rsidP="007866BE">
      <w:pPr>
        <w:pStyle w:val="ListParagraph"/>
        <w:widowControl/>
        <w:rPr>
          <w:szCs w:val="22"/>
        </w:rPr>
      </w:pPr>
    </w:p>
    <w:p w:rsidR="002079CE" w:rsidRPr="00BC5E22" w:rsidRDefault="006A265F" w:rsidP="007866BE">
      <w:pPr>
        <w:widowControl/>
        <w:numPr>
          <w:ilvl w:val="1"/>
          <w:numId w:val="10"/>
        </w:numPr>
        <w:rPr>
          <w:bCs/>
          <w:lang w:val="en-GB"/>
        </w:rPr>
      </w:pPr>
      <w:r>
        <w:rPr>
          <w:bCs/>
          <w:lang w:val="en-GB"/>
        </w:rPr>
        <w:t xml:space="preserve">The PBAC considered the cost of mealtime insulin should have been included in the calculation for T1DM. </w:t>
      </w:r>
      <w:r>
        <w:rPr>
          <w:szCs w:val="22"/>
        </w:rPr>
        <w:t>A</w:t>
      </w:r>
      <w:r w:rsidRPr="0066779C">
        <w:rPr>
          <w:szCs w:val="22"/>
        </w:rPr>
        <w:t>t month 6 the mean daily mealtime insulin dose was higher for patients randomised to U300 compared with U100 (28.66 vs 27.11 units).</w:t>
      </w:r>
      <w:r>
        <w:rPr>
          <w:szCs w:val="22"/>
        </w:rPr>
        <w:t xml:space="preserve"> </w:t>
      </w:r>
    </w:p>
    <w:p w:rsidR="00BC5E22" w:rsidRDefault="00BC5E22" w:rsidP="007866BE">
      <w:pPr>
        <w:pStyle w:val="ListParagraph"/>
        <w:widowControl/>
        <w:rPr>
          <w:bCs/>
          <w:lang w:val="en-GB"/>
        </w:rPr>
      </w:pPr>
    </w:p>
    <w:p w:rsidR="00BC5E22" w:rsidRDefault="00BC5E22" w:rsidP="007866BE">
      <w:pPr>
        <w:pStyle w:val="ListParagraph"/>
        <w:widowControl/>
        <w:rPr>
          <w:bCs/>
          <w:i/>
          <w:lang w:val="en-GB"/>
        </w:rPr>
      </w:pPr>
      <w:r>
        <w:rPr>
          <w:bCs/>
          <w:i/>
          <w:lang w:val="en-GB"/>
        </w:rPr>
        <w:t>Type 2 diabetes</w:t>
      </w:r>
    </w:p>
    <w:p w:rsidR="00BC5E22" w:rsidRPr="00BC5E22" w:rsidRDefault="00BC5E22" w:rsidP="007866BE">
      <w:pPr>
        <w:pStyle w:val="ListParagraph"/>
        <w:widowControl/>
        <w:rPr>
          <w:bCs/>
          <w:i/>
          <w:lang w:val="en-GB"/>
        </w:rPr>
      </w:pPr>
    </w:p>
    <w:p w:rsidR="00EF7440" w:rsidRDefault="00EF7440" w:rsidP="007866BE">
      <w:pPr>
        <w:widowControl/>
        <w:numPr>
          <w:ilvl w:val="1"/>
          <w:numId w:val="10"/>
        </w:numPr>
      </w:pPr>
      <w:r w:rsidRPr="00EF7440">
        <w:rPr>
          <w:bCs/>
          <w:lang w:val="en-GB"/>
        </w:rPr>
        <w:t xml:space="preserve">Based on three head-to-head trials </w:t>
      </w:r>
      <w:r w:rsidR="00FB073A" w:rsidRPr="00862502">
        <w:t>(</w:t>
      </w:r>
      <w:r w:rsidR="00FB073A">
        <w:t xml:space="preserve">EDITION I, EDITION II and EDITION III) </w:t>
      </w:r>
      <w:r w:rsidRPr="00862502">
        <w:t xml:space="preserve">comparing </w:t>
      </w:r>
      <w:r>
        <w:t xml:space="preserve">U300 </w:t>
      </w:r>
      <w:r w:rsidRPr="00862502">
        <w:t xml:space="preserve">to </w:t>
      </w:r>
      <w:r>
        <w:t>U100</w:t>
      </w:r>
      <w:r w:rsidRPr="00862502">
        <w:t xml:space="preserve"> </w:t>
      </w:r>
      <w:r>
        <w:t>in T2DM</w:t>
      </w:r>
      <w:r w:rsidR="00FB073A">
        <w:t>,</w:t>
      </w:r>
      <w:r>
        <w:t xml:space="preserve"> </w:t>
      </w:r>
      <w:r w:rsidRPr="00EF7440">
        <w:rPr>
          <w:bCs/>
          <w:lang w:val="en-GB"/>
        </w:rPr>
        <w:t>t</w:t>
      </w:r>
      <w:r w:rsidR="00A1647B" w:rsidRPr="00EF7440">
        <w:rPr>
          <w:bCs/>
          <w:lang w:val="en-GB"/>
        </w:rPr>
        <w:t xml:space="preserve">he PBAC accepted </w:t>
      </w:r>
      <w:r w:rsidR="00A1647B" w:rsidRPr="003819C3">
        <w:t xml:space="preserve">U300 as non-inferior </w:t>
      </w:r>
      <w:r w:rsidR="00FB073A">
        <w:t xml:space="preserve">to U100 </w:t>
      </w:r>
      <w:r w:rsidR="00A1647B" w:rsidRPr="003819C3">
        <w:t xml:space="preserve">in terms of comparative effectiveness </w:t>
      </w:r>
      <w:r w:rsidR="00A1647B">
        <w:t>but rejected the claim</w:t>
      </w:r>
      <w:r w:rsidR="004D7EBB">
        <w:t xml:space="preserve"> of</w:t>
      </w:r>
      <w:r w:rsidR="00A1647B" w:rsidRPr="003819C3">
        <w:t xml:space="preserve"> superior comparative safety (reduced risk of hypoglycaemia) over U100</w:t>
      </w:r>
      <w:r w:rsidR="00A1647B">
        <w:t xml:space="preserve"> for T2DM</w:t>
      </w:r>
      <w:r w:rsidR="00A1647B" w:rsidRPr="003819C3">
        <w:t>.</w:t>
      </w:r>
    </w:p>
    <w:p w:rsidR="00EF7440" w:rsidRDefault="00EF7440" w:rsidP="007866BE">
      <w:pPr>
        <w:widowControl/>
        <w:ind w:left="720"/>
      </w:pPr>
    </w:p>
    <w:p w:rsidR="00EF7440" w:rsidRPr="009C2C50" w:rsidRDefault="00EF7440" w:rsidP="007866BE">
      <w:pPr>
        <w:widowControl/>
        <w:numPr>
          <w:ilvl w:val="1"/>
          <w:numId w:val="10"/>
        </w:numPr>
      </w:pPr>
      <w:r w:rsidRPr="00EF7440">
        <w:rPr>
          <w:bCs/>
          <w:lang w:val="en-GB"/>
        </w:rPr>
        <w:t>For mean change in in HbA1c, the upper 95% confidence limit for the difference between the U300 and U100 treatment groups was below the 0.3%-0.4% non-inferiority margin previously used by the PBAC</w:t>
      </w:r>
      <w:r>
        <w:rPr>
          <w:bCs/>
          <w:lang w:val="en-GB"/>
        </w:rPr>
        <w:t>.</w:t>
      </w:r>
    </w:p>
    <w:p w:rsidR="009C2C50" w:rsidRDefault="009C2C50" w:rsidP="007866BE">
      <w:pPr>
        <w:pStyle w:val="ListParagraph"/>
        <w:widowControl/>
      </w:pPr>
    </w:p>
    <w:p w:rsidR="009C2C50" w:rsidRDefault="00FB073A" w:rsidP="007866BE">
      <w:pPr>
        <w:widowControl/>
        <w:numPr>
          <w:ilvl w:val="1"/>
          <w:numId w:val="10"/>
        </w:numPr>
      </w:pPr>
      <w:r>
        <w:t>For the safety claim, t</w:t>
      </w:r>
      <w:r w:rsidR="009C2C50">
        <w:t>he PBAC noted the statistically significant difference in the p</w:t>
      </w:r>
      <w:r w:rsidR="009C2C50" w:rsidRPr="009C2C50">
        <w:t>ropor</w:t>
      </w:r>
      <w:r w:rsidR="009C2C50">
        <w:t>tion of patients with at least one</w:t>
      </w:r>
      <w:r w:rsidR="009C2C50" w:rsidRPr="009C2C50">
        <w:t xml:space="preserve"> severe and/or confirmed nocturnal hypoglycaemic event between the start of week 9 and month 6</w:t>
      </w:r>
      <w:r w:rsidR="009C2C50">
        <w:t xml:space="preserve">, in the EDITION I and II trials. </w:t>
      </w:r>
      <w:r w:rsidR="00D943B2">
        <w:t xml:space="preserve">No statistically significant difference in this outcome was observed in EDITION III. </w:t>
      </w:r>
      <w:r w:rsidR="009C2C50">
        <w:t>The PBAC had several issues with the interpretation of these outcomes as superior safety:</w:t>
      </w:r>
    </w:p>
    <w:p w:rsidR="00A73EF0" w:rsidRPr="004D7EBB" w:rsidRDefault="004D7EBB" w:rsidP="007866BE">
      <w:pPr>
        <w:pStyle w:val="ListParagraph"/>
        <w:widowControl/>
        <w:numPr>
          <w:ilvl w:val="0"/>
          <w:numId w:val="32"/>
        </w:numPr>
      </w:pPr>
      <w:r>
        <w:t>As noted by ACPM, t</w:t>
      </w:r>
      <w:r w:rsidR="000564D4">
        <w:t xml:space="preserve">he </w:t>
      </w:r>
      <w:r w:rsidR="000564D4" w:rsidRPr="004D7EBB">
        <w:t xml:space="preserve">evening doses in the trials may have contributed to the incidence of nocturnal hypoglycaemia. The Committee noted that </w:t>
      </w:r>
      <w:r w:rsidR="008F7C15" w:rsidRPr="004D7EBB">
        <w:rPr>
          <w:lang w:val="en-US"/>
        </w:rPr>
        <w:t>eTG</w:t>
      </w:r>
      <w:r w:rsidR="000564D4" w:rsidRPr="004D7EBB">
        <w:rPr>
          <w:lang w:val="en-US"/>
        </w:rPr>
        <w:t xml:space="preserve"> state</w:t>
      </w:r>
      <w:r w:rsidR="00A0259F" w:rsidRPr="004D7EBB">
        <w:rPr>
          <w:lang w:val="en-US"/>
        </w:rPr>
        <w:t>d</w:t>
      </w:r>
      <w:r w:rsidR="008F7C15" w:rsidRPr="004D7EBB">
        <w:rPr>
          <w:lang w:val="en-US"/>
        </w:rPr>
        <w:t xml:space="preserve">: “There is some evidence to suggest that </w:t>
      </w:r>
      <w:r w:rsidR="008F7C15" w:rsidRPr="00D943B2">
        <w:rPr>
          <w:lang w:val="en-US"/>
        </w:rPr>
        <w:t>administering basal insulin in the morning is associated with less hypoglycaemia than evening dosing</w:t>
      </w:r>
      <w:r w:rsidR="008F7C15" w:rsidRPr="004D7EBB">
        <w:rPr>
          <w:lang w:val="en-US"/>
        </w:rPr>
        <w:t>. Consider changing to morning administration if nocturnal hypoglycaemia becomes a problem.”</w:t>
      </w:r>
    </w:p>
    <w:p w:rsidR="009C2C50" w:rsidRPr="004D7EBB" w:rsidRDefault="000564D4" w:rsidP="007866BE">
      <w:pPr>
        <w:pStyle w:val="ListParagraph"/>
        <w:widowControl/>
        <w:numPr>
          <w:ilvl w:val="0"/>
          <w:numId w:val="32"/>
        </w:numPr>
      </w:pPr>
      <w:r w:rsidRPr="004D7EBB">
        <w:t xml:space="preserve">The incidence of hypoglycaemia in the trials may </w:t>
      </w:r>
      <w:r w:rsidR="00A0259F" w:rsidRPr="004D7EBB">
        <w:t xml:space="preserve">have </w:t>
      </w:r>
      <w:r w:rsidRPr="004D7EBB">
        <w:t>be</w:t>
      </w:r>
      <w:r w:rsidR="00A0259F" w:rsidRPr="004D7EBB">
        <w:t>en</w:t>
      </w:r>
      <w:r w:rsidRPr="004D7EBB">
        <w:t xml:space="preserve"> higher than in clinical practice due to a range of factors, including the aggressive glucose targets.</w:t>
      </w:r>
      <w:r w:rsidR="000A72A6" w:rsidRPr="004D7EBB">
        <w:t xml:space="preserve"> The </w:t>
      </w:r>
      <w:r w:rsidR="00FC25D1" w:rsidRPr="004D7EBB">
        <w:t xml:space="preserve">PBAC noted the arguments in the PSCR and Pre-PBAC response that </w:t>
      </w:r>
      <w:r w:rsidR="00FC25D1" w:rsidRPr="004D7EBB">
        <w:rPr>
          <w:lang w:val="en-US"/>
        </w:rPr>
        <w:t xml:space="preserve">the </w:t>
      </w:r>
      <w:r w:rsidR="00FC25D1" w:rsidRPr="004D7EBB">
        <w:t>t</w:t>
      </w:r>
      <w:r w:rsidR="000A72A6" w:rsidRPr="004D7EBB">
        <w:t xml:space="preserve">argets </w:t>
      </w:r>
      <w:r w:rsidR="00FC25D1" w:rsidRPr="004D7EBB">
        <w:t xml:space="preserve">in the trials </w:t>
      </w:r>
      <w:r w:rsidR="000A72A6" w:rsidRPr="004D7EBB">
        <w:t>were higher than recommended in Australian clinical practice, but the attainment of these targets was balanced with the need to avoid hypoglycaemia.</w:t>
      </w:r>
      <w:r w:rsidR="00FC25D1" w:rsidRPr="004D7EBB">
        <w:t xml:space="preserve"> The PBAC disagreed that </w:t>
      </w:r>
      <w:r w:rsidR="00FC25D1" w:rsidRPr="004D7EBB">
        <w:rPr>
          <w:lang w:val="en-US"/>
        </w:rPr>
        <w:t>the trials enrolled patients with similar risk of hypoglycaemia as the Australian population.</w:t>
      </w:r>
    </w:p>
    <w:p w:rsidR="002D0CD9" w:rsidRPr="004D7EBB" w:rsidRDefault="002D0CD9" w:rsidP="007866BE">
      <w:pPr>
        <w:pStyle w:val="ListParagraph"/>
        <w:widowControl/>
        <w:numPr>
          <w:ilvl w:val="0"/>
          <w:numId w:val="32"/>
        </w:numPr>
      </w:pPr>
      <w:r w:rsidRPr="002D0CD9">
        <w:t xml:space="preserve"> </w:t>
      </w:r>
      <w:r w:rsidRPr="004D7EBB">
        <w:t>The definition of nocturnal events in the trials may not have captured what is considered a nocturnal event in practice, given the trial definition restricted these events to between 00:00 and 05:59 hours</w:t>
      </w:r>
      <w:r>
        <w:t xml:space="preserve"> and nocturnal hypoglycaemia usually encompasses the night-time sleeping hours rather than restricting to a 6-hour window</w:t>
      </w:r>
      <w:r w:rsidRPr="004D7EBB">
        <w:t xml:space="preserve">. </w:t>
      </w:r>
    </w:p>
    <w:p w:rsidR="000A72A6" w:rsidRPr="004D7EBB" w:rsidRDefault="000A72A6" w:rsidP="007866BE">
      <w:pPr>
        <w:pStyle w:val="ListParagraph"/>
        <w:widowControl/>
        <w:numPr>
          <w:ilvl w:val="0"/>
          <w:numId w:val="32"/>
        </w:numPr>
      </w:pPr>
      <w:r w:rsidRPr="004D7EBB">
        <w:t>There was no difference in the rates of documented symptomatic hypoglycaemia</w:t>
      </w:r>
      <w:r w:rsidR="00FB073A" w:rsidRPr="004D7EBB">
        <w:t>,</w:t>
      </w:r>
      <w:r w:rsidRPr="004D7EBB">
        <w:t xml:space="preserve"> </w:t>
      </w:r>
      <w:r w:rsidR="00FB073A" w:rsidRPr="004D7EBB">
        <w:t xml:space="preserve">per patient year, </w:t>
      </w:r>
      <w:r w:rsidRPr="004D7EBB">
        <w:t>in EDITION I and II.</w:t>
      </w:r>
    </w:p>
    <w:p w:rsidR="00A73EF0" w:rsidRPr="004D7EBB" w:rsidRDefault="000A72A6" w:rsidP="007866BE">
      <w:pPr>
        <w:pStyle w:val="ListParagraph"/>
        <w:widowControl/>
        <w:numPr>
          <w:ilvl w:val="0"/>
          <w:numId w:val="32"/>
        </w:numPr>
      </w:pPr>
      <w:r w:rsidRPr="004D7EBB">
        <w:rPr>
          <w:lang w:val="en-US"/>
        </w:rPr>
        <w:t>There was n</w:t>
      </w:r>
      <w:r w:rsidR="008F7C15" w:rsidRPr="004D7EBB">
        <w:rPr>
          <w:lang w:val="en-US"/>
        </w:rPr>
        <w:t xml:space="preserve">o evidence of a difference in severe </w:t>
      </w:r>
      <w:r w:rsidR="002F7BAF" w:rsidRPr="004D7EBB">
        <w:rPr>
          <w:lang w:val="en-US"/>
        </w:rPr>
        <w:t>hypoglycemia</w:t>
      </w:r>
      <w:r w:rsidR="008F7C15" w:rsidRPr="004D7EBB">
        <w:rPr>
          <w:lang w:val="en-US"/>
        </w:rPr>
        <w:t xml:space="preserve"> (requiring assistance) in any</w:t>
      </w:r>
      <w:r w:rsidRPr="004D7EBB">
        <w:rPr>
          <w:lang w:val="en-US"/>
        </w:rPr>
        <w:t xml:space="preserve"> of the three trials.</w:t>
      </w:r>
    </w:p>
    <w:p w:rsidR="000A72A6" w:rsidRPr="004D7EBB" w:rsidRDefault="000A72A6" w:rsidP="007866BE">
      <w:pPr>
        <w:widowControl/>
      </w:pPr>
    </w:p>
    <w:p w:rsidR="00D36794" w:rsidRDefault="002F7BAF" w:rsidP="007866BE">
      <w:pPr>
        <w:widowControl/>
        <w:numPr>
          <w:ilvl w:val="1"/>
          <w:numId w:val="10"/>
        </w:numPr>
      </w:pPr>
      <w:r w:rsidRPr="004D7EBB">
        <w:t xml:space="preserve">The PBAC </w:t>
      </w:r>
      <w:r w:rsidR="008625A6">
        <w:t xml:space="preserve">did not accept U300 to have superior comparative safety </w:t>
      </w:r>
      <w:r w:rsidR="008625A6" w:rsidRPr="003819C3">
        <w:t>in terms of reduced risk of hypoglycaemia</w:t>
      </w:r>
      <w:r w:rsidR="008625A6">
        <w:t>.</w:t>
      </w:r>
      <w:r w:rsidR="008625A6" w:rsidRPr="003819C3">
        <w:t xml:space="preserve"> </w:t>
      </w:r>
    </w:p>
    <w:p w:rsidR="008625A6" w:rsidRPr="004D7EBB" w:rsidRDefault="008625A6" w:rsidP="007866BE">
      <w:pPr>
        <w:widowControl/>
        <w:ind w:left="720"/>
      </w:pPr>
    </w:p>
    <w:p w:rsidR="00057949" w:rsidRPr="004D7EBB" w:rsidRDefault="00E1277E" w:rsidP="007866BE">
      <w:pPr>
        <w:widowControl/>
        <w:numPr>
          <w:ilvl w:val="1"/>
          <w:numId w:val="10"/>
        </w:numPr>
      </w:pPr>
      <w:r w:rsidRPr="004D7EBB">
        <w:t xml:space="preserve">The PBAC </w:t>
      </w:r>
      <w:r w:rsidR="004D7EBB">
        <w:t xml:space="preserve">rejected the </w:t>
      </w:r>
      <w:r w:rsidR="00666C30">
        <w:t xml:space="preserve">model </w:t>
      </w:r>
      <w:r w:rsidR="004D7EBB">
        <w:t xml:space="preserve">in this submission, </w:t>
      </w:r>
      <w:r w:rsidR="00666C30">
        <w:t xml:space="preserve">given </w:t>
      </w:r>
      <w:r w:rsidR="008625A6">
        <w:t>a</w:t>
      </w:r>
      <w:r w:rsidR="00666C30">
        <w:t xml:space="preserve"> significant improvement in hypoglycaemia with U300 was not accepted and </w:t>
      </w:r>
      <w:r w:rsidR="00057949" w:rsidRPr="004D7EBB">
        <w:t>not</w:t>
      </w:r>
      <w:r w:rsidR="004D7EBB">
        <w:t>ing</w:t>
      </w:r>
      <w:r w:rsidRPr="004D7EBB">
        <w:t xml:space="preserve"> the issues with the 2006 model not addressed in this submission as outlined </w:t>
      </w:r>
      <w:r w:rsidRPr="00FE1081">
        <w:t>in paragraph 6.3</w:t>
      </w:r>
      <w:r w:rsidR="00583176" w:rsidRPr="00FE1081">
        <w:t>0</w:t>
      </w:r>
      <w:r w:rsidRPr="00FE1081">
        <w:t>.</w:t>
      </w:r>
      <w:r w:rsidR="00FC25D1" w:rsidRPr="004D7EBB">
        <w:t xml:space="preserve"> </w:t>
      </w:r>
    </w:p>
    <w:p w:rsidR="004D7EBB" w:rsidRPr="004D7EBB" w:rsidRDefault="004D7EBB" w:rsidP="007866BE">
      <w:pPr>
        <w:pStyle w:val="ListParagraph"/>
        <w:widowControl/>
        <w:rPr>
          <w:szCs w:val="22"/>
        </w:rPr>
      </w:pPr>
    </w:p>
    <w:p w:rsidR="00767FBD" w:rsidRDefault="00767FBD" w:rsidP="007866BE">
      <w:pPr>
        <w:widowControl/>
        <w:numPr>
          <w:ilvl w:val="1"/>
          <w:numId w:val="10"/>
        </w:numPr>
      </w:pPr>
      <w:r>
        <w:t>Based on the acceptance of non-inferiority of both comparative clinical effectiveness and safety, the PBAC agreed with the following equi-effective doses for T2DM:</w:t>
      </w:r>
    </w:p>
    <w:p w:rsidR="00767FBD" w:rsidRPr="00767FBD" w:rsidRDefault="00767FBD" w:rsidP="007866BE">
      <w:pPr>
        <w:pStyle w:val="ListParagraph"/>
        <w:widowControl/>
        <w:numPr>
          <w:ilvl w:val="0"/>
          <w:numId w:val="36"/>
        </w:numPr>
      </w:pPr>
      <w:r w:rsidRPr="00767FBD">
        <w:t xml:space="preserve">EDITION I: </w:t>
      </w:r>
      <w:r w:rsidRPr="00767FBD">
        <w:tab/>
        <w:t>1U of U300 = 0.91U of U100</w:t>
      </w:r>
    </w:p>
    <w:p w:rsidR="00767FBD" w:rsidRPr="00767FBD" w:rsidRDefault="00767FBD" w:rsidP="007866BE">
      <w:pPr>
        <w:pStyle w:val="ListParagraph"/>
        <w:widowControl/>
        <w:numPr>
          <w:ilvl w:val="0"/>
          <w:numId w:val="36"/>
        </w:numPr>
      </w:pPr>
      <w:r w:rsidRPr="00767FBD">
        <w:t xml:space="preserve">EDITION II: </w:t>
      </w:r>
      <w:r w:rsidRPr="00767FBD">
        <w:tab/>
        <w:t>1U of U300 = 0.90U of U100</w:t>
      </w:r>
    </w:p>
    <w:p w:rsidR="00767FBD" w:rsidRDefault="00767FBD" w:rsidP="007866BE">
      <w:pPr>
        <w:pStyle w:val="ListParagraph"/>
        <w:widowControl/>
        <w:numPr>
          <w:ilvl w:val="0"/>
          <w:numId w:val="36"/>
        </w:numPr>
      </w:pPr>
      <w:r w:rsidRPr="00767FBD">
        <w:t>EDITION III:</w:t>
      </w:r>
      <w:r w:rsidRPr="00767FBD">
        <w:tab/>
        <w:t>1U of U300 = 0.88U of U100</w:t>
      </w:r>
    </w:p>
    <w:p w:rsidR="00767FBD" w:rsidRDefault="00767FBD" w:rsidP="007866BE">
      <w:pPr>
        <w:widowControl/>
      </w:pPr>
    </w:p>
    <w:p w:rsidR="00767FBD" w:rsidRPr="00AC1C59" w:rsidRDefault="00962180" w:rsidP="007866BE">
      <w:pPr>
        <w:widowControl/>
        <w:numPr>
          <w:ilvl w:val="1"/>
          <w:numId w:val="10"/>
        </w:numPr>
      </w:pPr>
      <w:r>
        <w:rPr>
          <w:bCs/>
          <w:lang w:val="en-GB"/>
        </w:rPr>
        <w:t>The PBAC</w:t>
      </w:r>
      <w:r w:rsidR="003942F5">
        <w:rPr>
          <w:bCs/>
          <w:lang w:val="en-GB"/>
        </w:rPr>
        <w:t xml:space="preserve"> noted the 28 day shelf life of the U300 and that the increase in the number of units per cartridge may result in increased wastage in a small group of patients. </w:t>
      </w:r>
      <w:r>
        <w:rPr>
          <w:bCs/>
          <w:lang w:val="en-GB"/>
        </w:rPr>
        <w:t>The PBAC considered a small reduction in the price of the U300 was appropriate to account for the potential wastage.</w:t>
      </w:r>
    </w:p>
    <w:p w:rsidR="00AC1C59" w:rsidRDefault="00AC1C59" w:rsidP="007866BE">
      <w:pPr>
        <w:widowControl/>
        <w:ind w:left="720"/>
      </w:pPr>
      <w:r>
        <w:t xml:space="preserve"> </w:t>
      </w:r>
    </w:p>
    <w:p w:rsidR="00AC1C59" w:rsidRDefault="00AC1C59" w:rsidP="007866BE">
      <w:pPr>
        <w:widowControl/>
        <w:numPr>
          <w:ilvl w:val="1"/>
          <w:numId w:val="10"/>
        </w:numPr>
      </w:pPr>
      <w:r>
        <w:t xml:space="preserve">The PBAC advised that insulin glargine is suitable for prescribing by nurse practitioners. </w:t>
      </w:r>
    </w:p>
    <w:p w:rsidR="00AC1C59" w:rsidRDefault="00AC1C59" w:rsidP="007866BE">
      <w:pPr>
        <w:pStyle w:val="ListParagraph"/>
      </w:pPr>
    </w:p>
    <w:p w:rsidR="00AC1C59" w:rsidRPr="006178B9" w:rsidRDefault="00AC1C59" w:rsidP="007866BE">
      <w:pPr>
        <w:widowControl/>
        <w:numPr>
          <w:ilvl w:val="1"/>
          <w:numId w:val="10"/>
        </w:numPr>
      </w:pPr>
      <w:r>
        <w:t>The PBAC recommended that the Safety Net 20 Day Rule should not apply.</w:t>
      </w:r>
    </w:p>
    <w:p w:rsidR="006178B9" w:rsidRPr="006178B9" w:rsidRDefault="006178B9" w:rsidP="007866BE">
      <w:pPr>
        <w:widowControl/>
        <w:ind w:left="720"/>
      </w:pPr>
    </w:p>
    <w:p w:rsidR="002F7BAF" w:rsidRDefault="002F7BAF" w:rsidP="007866BE">
      <w:pPr>
        <w:widowControl/>
      </w:pPr>
    </w:p>
    <w:p w:rsidR="00665B30" w:rsidRPr="00665B30" w:rsidRDefault="00665B30" w:rsidP="007866BE">
      <w:pPr>
        <w:widowControl/>
        <w:rPr>
          <w:b/>
          <w:bCs/>
          <w:lang w:val="en-GB"/>
        </w:rPr>
      </w:pPr>
      <w:r w:rsidRPr="00665B30">
        <w:rPr>
          <w:b/>
          <w:bCs/>
          <w:lang w:val="en-GB"/>
        </w:rPr>
        <w:t>Outcome:</w:t>
      </w:r>
    </w:p>
    <w:p w:rsidR="00665B30" w:rsidRPr="00665B30" w:rsidRDefault="00665B30" w:rsidP="007866BE">
      <w:pPr>
        <w:widowControl/>
        <w:rPr>
          <w:bCs/>
          <w:lang w:val="en-GB"/>
        </w:rPr>
      </w:pPr>
      <w:r w:rsidRPr="00665B30">
        <w:rPr>
          <w:bCs/>
          <w:lang w:val="en-GB"/>
        </w:rPr>
        <w:t>Recommended</w:t>
      </w:r>
    </w:p>
    <w:p w:rsidR="00665B30" w:rsidRPr="00665B30" w:rsidRDefault="00665B30" w:rsidP="007866BE">
      <w:pPr>
        <w:widowControl/>
        <w:rPr>
          <w:bCs/>
        </w:rPr>
      </w:pPr>
    </w:p>
    <w:p w:rsidR="00665B30" w:rsidRPr="00665B30" w:rsidRDefault="00665B30" w:rsidP="007866BE">
      <w:pPr>
        <w:pStyle w:val="Heading2"/>
        <w:widowControl/>
        <w:numPr>
          <w:ilvl w:val="0"/>
          <w:numId w:val="10"/>
        </w:numPr>
        <w:ind w:left="709" w:hanging="709"/>
        <w:rPr>
          <w:bCs/>
          <w:lang w:val="en-GB"/>
        </w:rPr>
      </w:pPr>
      <w:r w:rsidRPr="00665B30">
        <w:rPr>
          <w:bCs/>
          <w:lang w:val="en-GB"/>
        </w:rPr>
        <w:t>Recommended listing</w:t>
      </w:r>
    </w:p>
    <w:p w:rsidR="00665B30" w:rsidRPr="00665B30" w:rsidRDefault="00665B30" w:rsidP="007866BE">
      <w:pPr>
        <w:widowControl/>
        <w:rPr>
          <w:bCs/>
          <w:i/>
          <w:lang w:val="en-GB"/>
        </w:rPr>
      </w:pPr>
    </w:p>
    <w:p w:rsidR="00665B30" w:rsidRDefault="00665B30" w:rsidP="007866BE">
      <w:pPr>
        <w:widowControl/>
        <w:numPr>
          <w:ilvl w:val="1"/>
          <w:numId w:val="10"/>
        </w:numPr>
        <w:rPr>
          <w:bCs/>
        </w:rPr>
      </w:pPr>
      <w:r w:rsidRPr="00665B30">
        <w:rPr>
          <w:bCs/>
        </w:rPr>
        <w:t>Add new item:</w:t>
      </w:r>
    </w:p>
    <w:p w:rsidR="00FF286C" w:rsidRDefault="00FF286C" w:rsidP="007866BE">
      <w:pPr>
        <w:widowControl/>
        <w:ind w:left="720"/>
        <w:rPr>
          <w:bCs/>
        </w:rPr>
      </w:pPr>
    </w:p>
    <w:p w:rsidR="00912420" w:rsidRDefault="00912420" w:rsidP="007866BE">
      <w:pPr>
        <w:widowControl/>
        <w:ind w:left="720"/>
        <w:rPr>
          <w:bCs/>
        </w:rPr>
      </w:pPr>
      <w:r>
        <w:rPr>
          <w:bCs/>
        </w:rPr>
        <w:t>Unrestricted listing.</w:t>
      </w:r>
    </w:p>
    <w:p w:rsidR="004B5298" w:rsidRDefault="004B5298" w:rsidP="007866BE">
      <w:pPr>
        <w:widowControl/>
        <w:ind w:left="720"/>
        <w:rPr>
          <w:bCs/>
        </w:rPr>
      </w:pPr>
    </w:p>
    <w:tbl>
      <w:tblPr>
        <w:tblW w:w="3763" w:type="pct"/>
        <w:tblInd w:w="737" w:type="dxa"/>
        <w:tblCellMar>
          <w:left w:w="28" w:type="dxa"/>
          <w:right w:w="28" w:type="dxa"/>
        </w:tblCellMar>
        <w:tblLook w:val="0000" w:firstRow="0" w:lastRow="0" w:firstColumn="0" w:lastColumn="0" w:noHBand="0" w:noVBand="0"/>
      </w:tblPr>
      <w:tblGrid>
        <w:gridCol w:w="3112"/>
        <w:gridCol w:w="705"/>
        <w:gridCol w:w="850"/>
        <w:gridCol w:w="668"/>
        <w:gridCol w:w="1500"/>
      </w:tblGrid>
      <w:tr w:rsidR="004B5298" w:rsidRPr="003819C3" w:rsidTr="004B5298">
        <w:trPr>
          <w:cantSplit/>
          <w:trHeight w:val="463"/>
        </w:trPr>
        <w:tc>
          <w:tcPr>
            <w:tcW w:w="2276" w:type="pct"/>
            <w:tcBorders>
              <w:bottom w:val="single" w:sz="4" w:space="0" w:color="auto"/>
            </w:tcBorders>
            <w:vAlign w:val="center"/>
          </w:tcPr>
          <w:p w:rsidR="004B5298" w:rsidRPr="003819C3" w:rsidRDefault="004B5298" w:rsidP="007866BE">
            <w:pPr>
              <w:keepNext/>
              <w:widowControl/>
              <w:jc w:val="left"/>
              <w:rPr>
                <w:sz w:val="20"/>
              </w:rPr>
            </w:pPr>
            <w:r w:rsidRPr="003819C3">
              <w:rPr>
                <w:sz w:val="20"/>
              </w:rPr>
              <w:t>Name, Restriction,</w:t>
            </w:r>
          </w:p>
          <w:p w:rsidR="004B5298" w:rsidRPr="003819C3" w:rsidRDefault="004B5298" w:rsidP="007866BE">
            <w:pPr>
              <w:keepNext/>
              <w:widowControl/>
              <w:jc w:val="left"/>
              <w:rPr>
                <w:sz w:val="20"/>
              </w:rPr>
            </w:pPr>
            <w:r w:rsidRPr="003819C3">
              <w:rPr>
                <w:sz w:val="20"/>
              </w:rPr>
              <w:t>Manner of administration and form</w:t>
            </w:r>
          </w:p>
        </w:tc>
        <w:tc>
          <w:tcPr>
            <w:tcW w:w="516" w:type="pct"/>
            <w:tcBorders>
              <w:bottom w:val="single" w:sz="4" w:space="0" w:color="auto"/>
            </w:tcBorders>
            <w:vAlign w:val="center"/>
          </w:tcPr>
          <w:p w:rsidR="004B5298" w:rsidRPr="003819C3" w:rsidRDefault="004B5298" w:rsidP="007866BE">
            <w:pPr>
              <w:keepNext/>
              <w:widowControl/>
              <w:jc w:val="center"/>
              <w:rPr>
                <w:sz w:val="20"/>
              </w:rPr>
            </w:pPr>
            <w:r w:rsidRPr="003819C3">
              <w:rPr>
                <w:sz w:val="20"/>
              </w:rPr>
              <w:t>Max.</w:t>
            </w:r>
          </w:p>
          <w:p w:rsidR="004B5298" w:rsidRPr="003819C3" w:rsidRDefault="004B5298" w:rsidP="007866BE">
            <w:pPr>
              <w:keepNext/>
              <w:widowControl/>
              <w:jc w:val="center"/>
              <w:rPr>
                <w:sz w:val="20"/>
              </w:rPr>
            </w:pPr>
            <w:r w:rsidRPr="003819C3">
              <w:rPr>
                <w:sz w:val="20"/>
              </w:rPr>
              <w:t>Qty</w:t>
            </w:r>
          </w:p>
        </w:tc>
        <w:tc>
          <w:tcPr>
            <w:tcW w:w="622" w:type="pct"/>
            <w:tcBorders>
              <w:bottom w:val="single" w:sz="4" w:space="0" w:color="auto"/>
            </w:tcBorders>
            <w:vAlign w:val="center"/>
          </w:tcPr>
          <w:p w:rsidR="004B5298" w:rsidRPr="003819C3" w:rsidRDefault="004B5298" w:rsidP="007866BE">
            <w:pPr>
              <w:keepNext/>
              <w:widowControl/>
              <w:jc w:val="center"/>
              <w:rPr>
                <w:sz w:val="20"/>
              </w:rPr>
            </w:pPr>
            <w:r w:rsidRPr="003819C3">
              <w:rPr>
                <w:sz w:val="20"/>
              </w:rPr>
              <w:t>№.of</w:t>
            </w:r>
          </w:p>
          <w:p w:rsidR="004B5298" w:rsidRPr="003819C3" w:rsidRDefault="004B5298" w:rsidP="007866BE">
            <w:pPr>
              <w:keepNext/>
              <w:widowControl/>
              <w:jc w:val="center"/>
              <w:rPr>
                <w:sz w:val="20"/>
              </w:rPr>
            </w:pPr>
            <w:r w:rsidRPr="003819C3">
              <w:rPr>
                <w:sz w:val="20"/>
              </w:rPr>
              <w:t>Rpts</w:t>
            </w:r>
          </w:p>
        </w:tc>
        <w:tc>
          <w:tcPr>
            <w:tcW w:w="1586" w:type="pct"/>
            <w:gridSpan w:val="2"/>
            <w:tcBorders>
              <w:bottom w:val="single" w:sz="4" w:space="0" w:color="auto"/>
            </w:tcBorders>
            <w:vAlign w:val="center"/>
          </w:tcPr>
          <w:p w:rsidR="004B5298" w:rsidRPr="003819C3" w:rsidRDefault="004B5298" w:rsidP="007866BE">
            <w:pPr>
              <w:keepNext/>
              <w:widowControl/>
              <w:jc w:val="center"/>
              <w:rPr>
                <w:sz w:val="20"/>
                <w:lang w:val="fr-FR"/>
              </w:rPr>
            </w:pPr>
            <w:r w:rsidRPr="003819C3">
              <w:rPr>
                <w:sz w:val="20"/>
              </w:rPr>
              <w:t>Proprietary Name and Manufacturer</w:t>
            </w:r>
          </w:p>
        </w:tc>
      </w:tr>
      <w:tr w:rsidR="004B5298" w:rsidRPr="003819C3" w:rsidTr="004B5298">
        <w:trPr>
          <w:cantSplit/>
          <w:trHeight w:val="567"/>
        </w:trPr>
        <w:tc>
          <w:tcPr>
            <w:tcW w:w="2276" w:type="pct"/>
            <w:vAlign w:val="center"/>
          </w:tcPr>
          <w:p w:rsidR="004B5298" w:rsidRPr="003819C3" w:rsidRDefault="004B5298" w:rsidP="007866BE">
            <w:pPr>
              <w:keepNext/>
              <w:widowControl/>
              <w:jc w:val="left"/>
              <w:rPr>
                <w:sz w:val="20"/>
              </w:rPr>
            </w:pPr>
            <w:r w:rsidRPr="003819C3">
              <w:rPr>
                <w:smallCaps/>
                <w:sz w:val="20"/>
              </w:rPr>
              <w:t>insulin glargine</w:t>
            </w:r>
          </w:p>
          <w:p w:rsidR="004B5298" w:rsidRPr="003819C3" w:rsidRDefault="004B5298" w:rsidP="007866BE">
            <w:pPr>
              <w:keepNext/>
              <w:widowControl/>
              <w:jc w:val="left"/>
              <w:rPr>
                <w:sz w:val="20"/>
              </w:rPr>
            </w:pPr>
            <w:r w:rsidRPr="003819C3">
              <w:rPr>
                <w:sz w:val="20"/>
              </w:rPr>
              <w:t>injection, 300 international units/mL, 1 x 1.5 mL cartridge</w:t>
            </w:r>
          </w:p>
        </w:tc>
        <w:tc>
          <w:tcPr>
            <w:tcW w:w="516" w:type="pct"/>
            <w:vAlign w:val="center"/>
          </w:tcPr>
          <w:p w:rsidR="004B5298" w:rsidRPr="003819C3" w:rsidRDefault="004B5298" w:rsidP="007866BE">
            <w:pPr>
              <w:keepNext/>
              <w:widowControl/>
              <w:jc w:val="center"/>
              <w:rPr>
                <w:sz w:val="20"/>
              </w:rPr>
            </w:pPr>
            <w:r w:rsidRPr="003819C3">
              <w:rPr>
                <w:sz w:val="20"/>
              </w:rPr>
              <w:t>1</w:t>
            </w:r>
          </w:p>
        </w:tc>
        <w:tc>
          <w:tcPr>
            <w:tcW w:w="622" w:type="pct"/>
            <w:vAlign w:val="center"/>
          </w:tcPr>
          <w:p w:rsidR="004B5298" w:rsidRPr="003819C3" w:rsidRDefault="004B5298" w:rsidP="007866BE">
            <w:pPr>
              <w:keepNext/>
              <w:widowControl/>
              <w:jc w:val="center"/>
              <w:rPr>
                <w:sz w:val="20"/>
              </w:rPr>
            </w:pPr>
            <w:r w:rsidRPr="003819C3">
              <w:rPr>
                <w:sz w:val="20"/>
              </w:rPr>
              <w:t>1</w:t>
            </w:r>
          </w:p>
        </w:tc>
        <w:tc>
          <w:tcPr>
            <w:tcW w:w="489" w:type="pct"/>
            <w:vAlign w:val="center"/>
          </w:tcPr>
          <w:p w:rsidR="004B5298" w:rsidRPr="003819C3" w:rsidRDefault="004B5298" w:rsidP="007866BE">
            <w:pPr>
              <w:keepNext/>
              <w:widowControl/>
              <w:jc w:val="center"/>
              <w:rPr>
                <w:sz w:val="20"/>
              </w:rPr>
            </w:pPr>
            <w:r w:rsidRPr="003819C3">
              <w:rPr>
                <w:sz w:val="20"/>
              </w:rPr>
              <w:t>Toujeo</w:t>
            </w:r>
          </w:p>
        </w:tc>
        <w:tc>
          <w:tcPr>
            <w:tcW w:w="1097" w:type="pct"/>
            <w:vAlign w:val="center"/>
          </w:tcPr>
          <w:p w:rsidR="004B5298" w:rsidRPr="003819C3" w:rsidRDefault="004B5298" w:rsidP="007866BE">
            <w:pPr>
              <w:keepNext/>
              <w:widowControl/>
              <w:jc w:val="center"/>
              <w:rPr>
                <w:sz w:val="20"/>
              </w:rPr>
            </w:pPr>
            <w:r w:rsidRPr="003819C3">
              <w:rPr>
                <w:sz w:val="20"/>
              </w:rPr>
              <w:t>Sanofi</w:t>
            </w:r>
          </w:p>
        </w:tc>
      </w:tr>
      <w:tr w:rsidR="004B5298" w:rsidRPr="003819C3" w:rsidTr="004B5298">
        <w:trPr>
          <w:cantSplit/>
          <w:trHeight w:val="567"/>
        </w:trPr>
        <w:tc>
          <w:tcPr>
            <w:tcW w:w="2276" w:type="pct"/>
            <w:vAlign w:val="center"/>
          </w:tcPr>
          <w:p w:rsidR="004B5298" w:rsidRPr="003819C3" w:rsidRDefault="004B5298" w:rsidP="007866BE">
            <w:pPr>
              <w:keepNext/>
              <w:widowControl/>
              <w:jc w:val="left"/>
              <w:rPr>
                <w:sz w:val="20"/>
              </w:rPr>
            </w:pPr>
            <w:r w:rsidRPr="003819C3">
              <w:rPr>
                <w:smallCaps/>
                <w:sz w:val="20"/>
              </w:rPr>
              <w:t>insulin glargine</w:t>
            </w:r>
          </w:p>
          <w:p w:rsidR="004B5298" w:rsidRPr="003819C3" w:rsidRDefault="004B5298" w:rsidP="007866BE">
            <w:pPr>
              <w:keepNext/>
              <w:widowControl/>
              <w:jc w:val="left"/>
              <w:rPr>
                <w:smallCaps/>
                <w:sz w:val="20"/>
              </w:rPr>
            </w:pPr>
            <w:r w:rsidRPr="003819C3">
              <w:rPr>
                <w:sz w:val="20"/>
              </w:rPr>
              <w:t>injection, 300 international units/mL, 3 x 1.5 mL cartridge</w:t>
            </w:r>
          </w:p>
        </w:tc>
        <w:tc>
          <w:tcPr>
            <w:tcW w:w="516" w:type="pct"/>
            <w:vAlign w:val="center"/>
          </w:tcPr>
          <w:p w:rsidR="004B5298" w:rsidRPr="003819C3" w:rsidRDefault="004B5298" w:rsidP="007866BE">
            <w:pPr>
              <w:keepNext/>
              <w:widowControl/>
              <w:jc w:val="center"/>
              <w:rPr>
                <w:sz w:val="20"/>
              </w:rPr>
            </w:pPr>
            <w:r w:rsidRPr="003819C3">
              <w:rPr>
                <w:sz w:val="20"/>
              </w:rPr>
              <w:t>5</w:t>
            </w:r>
          </w:p>
        </w:tc>
        <w:tc>
          <w:tcPr>
            <w:tcW w:w="622" w:type="pct"/>
            <w:vAlign w:val="center"/>
          </w:tcPr>
          <w:p w:rsidR="004B5298" w:rsidRPr="003819C3" w:rsidRDefault="004B5298" w:rsidP="007866BE">
            <w:pPr>
              <w:keepNext/>
              <w:widowControl/>
              <w:jc w:val="center"/>
              <w:rPr>
                <w:sz w:val="20"/>
              </w:rPr>
            </w:pPr>
            <w:r w:rsidRPr="003819C3">
              <w:rPr>
                <w:sz w:val="20"/>
              </w:rPr>
              <w:t>1</w:t>
            </w:r>
          </w:p>
        </w:tc>
        <w:tc>
          <w:tcPr>
            <w:tcW w:w="489" w:type="pct"/>
            <w:vAlign w:val="center"/>
          </w:tcPr>
          <w:p w:rsidR="004B5298" w:rsidRPr="003819C3" w:rsidRDefault="004B5298" w:rsidP="007866BE">
            <w:pPr>
              <w:keepNext/>
              <w:widowControl/>
              <w:jc w:val="center"/>
              <w:rPr>
                <w:sz w:val="20"/>
              </w:rPr>
            </w:pPr>
            <w:r w:rsidRPr="003819C3">
              <w:rPr>
                <w:sz w:val="20"/>
              </w:rPr>
              <w:t>Toujeo</w:t>
            </w:r>
          </w:p>
        </w:tc>
        <w:tc>
          <w:tcPr>
            <w:tcW w:w="1097" w:type="pct"/>
            <w:vAlign w:val="center"/>
          </w:tcPr>
          <w:p w:rsidR="004B5298" w:rsidRPr="003819C3" w:rsidRDefault="004B5298" w:rsidP="007866BE">
            <w:pPr>
              <w:keepNext/>
              <w:widowControl/>
              <w:jc w:val="center"/>
              <w:rPr>
                <w:sz w:val="20"/>
              </w:rPr>
            </w:pPr>
            <w:r w:rsidRPr="003819C3">
              <w:rPr>
                <w:sz w:val="20"/>
              </w:rPr>
              <w:t>Sanofi</w:t>
            </w:r>
          </w:p>
        </w:tc>
      </w:tr>
      <w:tr w:rsidR="004B5298" w:rsidRPr="003819C3" w:rsidTr="004B5298">
        <w:trPr>
          <w:cantSplit/>
          <w:trHeight w:val="567"/>
        </w:trPr>
        <w:tc>
          <w:tcPr>
            <w:tcW w:w="2276" w:type="pct"/>
            <w:vAlign w:val="center"/>
          </w:tcPr>
          <w:p w:rsidR="004B5298" w:rsidRPr="003819C3" w:rsidRDefault="004B5298" w:rsidP="007866BE">
            <w:pPr>
              <w:keepNext/>
              <w:widowControl/>
              <w:jc w:val="left"/>
              <w:rPr>
                <w:sz w:val="20"/>
              </w:rPr>
            </w:pPr>
            <w:r w:rsidRPr="003819C3">
              <w:rPr>
                <w:smallCaps/>
                <w:sz w:val="20"/>
              </w:rPr>
              <w:t>insulin glargine</w:t>
            </w:r>
          </w:p>
          <w:p w:rsidR="004B5298" w:rsidRPr="003819C3" w:rsidRDefault="004B5298" w:rsidP="007866BE">
            <w:pPr>
              <w:keepNext/>
              <w:widowControl/>
              <w:jc w:val="left"/>
              <w:rPr>
                <w:smallCaps/>
                <w:sz w:val="20"/>
              </w:rPr>
            </w:pPr>
            <w:r w:rsidRPr="003819C3">
              <w:rPr>
                <w:sz w:val="20"/>
              </w:rPr>
              <w:t>injection, 300 international units/mL, 5 x 1.5 mL cartridge</w:t>
            </w:r>
          </w:p>
        </w:tc>
        <w:tc>
          <w:tcPr>
            <w:tcW w:w="516" w:type="pct"/>
            <w:vAlign w:val="center"/>
          </w:tcPr>
          <w:p w:rsidR="004B5298" w:rsidRPr="003819C3" w:rsidRDefault="004B5298" w:rsidP="007866BE">
            <w:pPr>
              <w:keepNext/>
              <w:widowControl/>
              <w:jc w:val="center"/>
              <w:rPr>
                <w:sz w:val="20"/>
              </w:rPr>
            </w:pPr>
            <w:r w:rsidRPr="003819C3">
              <w:rPr>
                <w:sz w:val="20"/>
              </w:rPr>
              <w:t>5</w:t>
            </w:r>
          </w:p>
        </w:tc>
        <w:tc>
          <w:tcPr>
            <w:tcW w:w="622" w:type="pct"/>
            <w:vAlign w:val="center"/>
          </w:tcPr>
          <w:p w:rsidR="004B5298" w:rsidRPr="003819C3" w:rsidRDefault="004B5298" w:rsidP="007866BE">
            <w:pPr>
              <w:keepNext/>
              <w:widowControl/>
              <w:jc w:val="center"/>
              <w:rPr>
                <w:sz w:val="20"/>
              </w:rPr>
            </w:pPr>
            <w:r w:rsidRPr="003819C3">
              <w:rPr>
                <w:sz w:val="20"/>
              </w:rPr>
              <w:t>1</w:t>
            </w:r>
          </w:p>
        </w:tc>
        <w:tc>
          <w:tcPr>
            <w:tcW w:w="489" w:type="pct"/>
            <w:vAlign w:val="center"/>
          </w:tcPr>
          <w:p w:rsidR="004B5298" w:rsidRPr="003819C3" w:rsidRDefault="004B5298" w:rsidP="007866BE">
            <w:pPr>
              <w:keepNext/>
              <w:widowControl/>
              <w:jc w:val="center"/>
              <w:rPr>
                <w:sz w:val="20"/>
              </w:rPr>
            </w:pPr>
            <w:r w:rsidRPr="003819C3">
              <w:rPr>
                <w:sz w:val="20"/>
              </w:rPr>
              <w:t>Toujeo</w:t>
            </w:r>
          </w:p>
        </w:tc>
        <w:tc>
          <w:tcPr>
            <w:tcW w:w="1097" w:type="pct"/>
            <w:vAlign w:val="center"/>
          </w:tcPr>
          <w:p w:rsidR="004B5298" w:rsidRPr="003819C3" w:rsidRDefault="004B5298" w:rsidP="007866BE">
            <w:pPr>
              <w:keepNext/>
              <w:widowControl/>
              <w:jc w:val="center"/>
              <w:rPr>
                <w:sz w:val="20"/>
              </w:rPr>
            </w:pPr>
            <w:r w:rsidRPr="003819C3">
              <w:rPr>
                <w:sz w:val="20"/>
              </w:rPr>
              <w:t>Sanofi</w:t>
            </w:r>
          </w:p>
        </w:tc>
      </w:tr>
    </w:tbl>
    <w:p w:rsidR="004B5298" w:rsidRDefault="004B5298" w:rsidP="007866BE">
      <w:pPr>
        <w:widowControl/>
        <w:ind w:left="720"/>
        <w:rPr>
          <w:bCs/>
        </w:rPr>
      </w:pPr>
    </w:p>
    <w:p w:rsidR="004E43B2" w:rsidRPr="003819C3" w:rsidRDefault="004E43B2" w:rsidP="007866BE">
      <w:pPr>
        <w:pStyle w:val="Heading2"/>
        <w:widowControl/>
        <w:rPr>
          <w:b w:val="0"/>
        </w:rPr>
      </w:pPr>
    </w:p>
    <w:p w:rsidR="00967814" w:rsidRPr="00967814" w:rsidRDefault="00967814" w:rsidP="00967814">
      <w:pPr>
        <w:pStyle w:val="Heading2"/>
        <w:widowControl/>
        <w:numPr>
          <w:ilvl w:val="0"/>
          <w:numId w:val="10"/>
        </w:numPr>
        <w:ind w:left="709" w:hanging="709"/>
        <w:rPr>
          <w:bCs/>
          <w:lang w:val="en-GB"/>
        </w:rPr>
      </w:pPr>
      <w:r w:rsidRPr="00967814">
        <w:rPr>
          <w:bCs/>
          <w:lang w:val="en-GB"/>
        </w:rPr>
        <w:t xml:space="preserve">Context for Decision </w:t>
      </w:r>
    </w:p>
    <w:p w:rsidR="00967814" w:rsidRDefault="00967814" w:rsidP="007866BE">
      <w:pPr>
        <w:widowControl/>
        <w:jc w:val="left"/>
      </w:pPr>
    </w:p>
    <w:p w:rsidR="00967814" w:rsidRDefault="00967814" w:rsidP="007866BE">
      <w:pPr>
        <w:widowControl/>
        <w:jc w:val="left"/>
      </w:pPr>
      <w: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67814" w:rsidRDefault="00967814" w:rsidP="007866BE">
      <w:pPr>
        <w:widowControl/>
        <w:jc w:val="left"/>
      </w:pPr>
    </w:p>
    <w:p w:rsidR="00967814" w:rsidRDefault="00967814" w:rsidP="007866BE">
      <w:pPr>
        <w:widowControl/>
        <w:jc w:val="left"/>
      </w:pPr>
    </w:p>
    <w:p w:rsidR="009369E5" w:rsidRDefault="00967814" w:rsidP="00967814">
      <w:pPr>
        <w:pStyle w:val="Heading2"/>
        <w:widowControl/>
        <w:numPr>
          <w:ilvl w:val="0"/>
          <w:numId w:val="10"/>
        </w:numPr>
        <w:ind w:left="709" w:hanging="709"/>
        <w:rPr>
          <w:bCs/>
          <w:lang w:val="en-GB"/>
        </w:rPr>
      </w:pPr>
      <w:r w:rsidRPr="00967814">
        <w:rPr>
          <w:bCs/>
          <w:lang w:val="en-GB"/>
        </w:rPr>
        <w:t>Sponsor’s Comment</w:t>
      </w:r>
    </w:p>
    <w:p w:rsidR="00D666DA" w:rsidRDefault="00D666DA" w:rsidP="00D666DA">
      <w:pPr>
        <w:rPr>
          <w:lang w:val="en-GB"/>
        </w:rPr>
      </w:pPr>
    </w:p>
    <w:p w:rsidR="00D666DA" w:rsidRPr="00D666DA" w:rsidRDefault="00D666DA" w:rsidP="00D666DA">
      <w:pPr>
        <w:ind w:left="709"/>
        <w:rPr>
          <w:lang w:val="en-GB"/>
        </w:rPr>
      </w:pPr>
      <w:r>
        <w:rPr>
          <w:lang w:val="en-GB"/>
        </w:rPr>
        <w:t>The sponsor had no comment.</w:t>
      </w:r>
    </w:p>
    <w:sectPr w:rsidR="00D666DA" w:rsidRPr="00D666DA" w:rsidSect="00342F1A">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B17E3D" w15:done="0"/>
  <w15:commentEx w15:paraId="5044D1EF" w15:done="0"/>
  <w15:commentEx w15:paraId="385576AB" w15:paraIdParent="5044D1EF" w15:done="0"/>
  <w15:commentEx w15:paraId="7BAF6089" w15:done="0"/>
  <w15:commentEx w15:paraId="0A2B779F" w15:paraIdParent="7BAF6089" w15:done="0"/>
  <w15:commentEx w15:paraId="12175565" w15:done="0"/>
  <w15:commentEx w15:paraId="2433AD47" w15:done="0"/>
  <w15:commentEx w15:paraId="6D8B4F5D" w15:done="0"/>
  <w15:commentEx w15:paraId="14708312" w15:done="0"/>
  <w15:commentEx w15:paraId="3B610CC0" w15:done="0"/>
  <w15:commentEx w15:paraId="1532F8F8" w15:done="0"/>
  <w15:commentEx w15:paraId="40EA3E1D" w15:paraIdParent="1532F8F8" w15:done="0"/>
  <w15:commentEx w15:paraId="5F86060D" w15:done="0"/>
  <w15:commentEx w15:paraId="5C98CA14" w15:paraIdParent="5F8606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59" w:rsidRDefault="00B96A59" w:rsidP="00124A51">
      <w:r>
        <w:separator/>
      </w:r>
    </w:p>
  </w:endnote>
  <w:endnote w:type="continuationSeparator" w:id="0">
    <w:p w:rsidR="00B96A59" w:rsidRDefault="00B96A5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716794"/>
      <w:docPartObj>
        <w:docPartGallery w:val="Page Numbers (Bottom of Page)"/>
        <w:docPartUnique/>
      </w:docPartObj>
    </w:sdtPr>
    <w:sdtEndPr>
      <w:rPr>
        <w:noProof/>
      </w:rPr>
    </w:sdtEndPr>
    <w:sdtContent>
      <w:p w:rsidR="00BA5CB9" w:rsidRDefault="00BA5CB9" w:rsidP="00857E0E">
        <w:pPr>
          <w:pStyle w:val="Footer"/>
          <w:jc w:val="center"/>
        </w:pPr>
      </w:p>
      <w:p w:rsidR="00BA5CB9" w:rsidRPr="00857E0E" w:rsidRDefault="00BA5CB9" w:rsidP="00857E0E">
        <w:pPr>
          <w:pStyle w:val="Footer"/>
          <w:jc w:val="center"/>
        </w:pPr>
        <w:r>
          <w:fldChar w:fldCharType="begin"/>
        </w:r>
        <w:r>
          <w:instrText xml:space="preserve"> PAGE   \* MERGEFORMAT </w:instrText>
        </w:r>
        <w:r>
          <w:fldChar w:fldCharType="separate"/>
        </w:r>
        <w:r w:rsidR="00695A3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59" w:rsidRDefault="00B96A59" w:rsidP="00124A51">
      <w:r>
        <w:separator/>
      </w:r>
    </w:p>
  </w:footnote>
  <w:footnote w:type="continuationSeparator" w:id="0">
    <w:p w:rsidR="00B96A59" w:rsidRDefault="00B96A59" w:rsidP="00124A51">
      <w:r>
        <w:continuationSeparator/>
      </w:r>
    </w:p>
  </w:footnote>
  <w:footnote w:id="1">
    <w:p w:rsidR="00BA5CB9" w:rsidRPr="00014A67" w:rsidRDefault="00BA5CB9">
      <w:pPr>
        <w:pStyle w:val="FootnoteText"/>
      </w:pPr>
      <w:r>
        <w:rPr>
          <w:rStyle w:val="FootnoteReference"/>
        </w:rPr>
        <w:footnoteRef/>
      </w:r>
      <w:r>
        <w:t xml:space="preserve"> Weighted dispensed unit cost = </w:t>
      </w:r>
      <w:r w:rsidR="00B96A59">
        <w:rPr>
          <w:noProof/>
          <w:color w:val="000000"/>
          <w:highlight w:val="black"/>
        </w:rPr>
        <w:t>''''''''</w:t>
      </w:r>
      <w:r w:rsidRPr="00014A67">
        <w:t xml:space="preserve"> x (</w:t>
      </w:r>
      <w:r w:rsidR="00B96A59">
        <w:rPr>
          <w:noProof/>
          <w:color w:val="000000"/>
          <w:highlight w:val="black"/>
        </w:rPr>
        <w:t>''''''''''''''''''</w:t>
      </w:r>
      <w:r w:rsidRPr="00014A67">
        <w:t xml:space="preserve">/[3 x 5 x 450]) + </w:t>
      </w:r>
      <w:r w:rsidR="00B96A59">
        <w:rPr>
          <w:noProof/>
          <w:color w:val="000000"/>
          <w:highlight w:val="black"/>
        </w:rPr>
        <w:t>''''''''</w:t>
      </w:r>
      <w:r w:rsidRPr="00014A67">
        <w:t xml:space="preserve"> x (</w:t>
      </w:r>
      <w:r w:rsidR="00B96A59">
        <w:rPr>
          <w:noProof/>
          <w:color w:val="000000"/>
          <w:highlight w:val="black"/>
        </w:rPr>
        <w:t>''''''''''''''''''</w:t>
      </w:r>
      <w:r w:rsidRPr="00014A67">
        <w:t>/[5 x 5 x 450]) = $</w:t>
      </w:r>
      <w:r w:rsidR="00B96A59">
        <w:rPr>
          <w:noProof/>
          <w:color w:val="000000"/>
          <w:highlight w:val="black"/>
        </w:rPr>
        <w:t>''''''''''''''''</w:t>
      </w:r>
    </w:p>
  </w:footnote>
  <w:footnote w:id="2">
    <w:p w:rsidR="00BA5CB9" w:rsidRPr="00014A67" w:rsidRDefault="00BA5CB9">
      <w:pPr>
        <w:pStyle w:val="FootnoteText"/>
      </w:pPr>
      <w:r w:rsidRPr="00014A67">
        <w:rPr>
          <w:rStyle w:val="FootnoteReference"/>
        </w:rPr>
        <w:footnoteRef/>
      </w:r>
      <w:r w:rsidRPr="00014A67">
        <w:t xml:space="preserve"> </w:t>
      </w:r>
      <w:r w:rsidR="00B96A59">
        <w:rPr>
          <w:noProof/>
          <w:color w:val="000000"/>
          <w:highlight w:val="black"/>
        </w:rPr>
        <w:t>'''''''''''''</w:t>
      </w:r>
      <w:r w:rsidRPr="00014A67">
        <w:t>-(</w:t>
      </w:r>
      <w:r w:rsidR="00B96A59">
        <w:rPr>
          <w:noProof/>
          <w:color w:val="000000"/>
          <w:highlight w:val="black"/>
        </w:rPr>
        <w:t>''''''''''''''</w:t>
      </w:r>
      <w:r w:rsidRPr="00014A67">
        <w:t>/</w:t>
      </w:r>
      <w:r w:rsidR="00B96A59">
        <w:rPr>
          <w:noProof/>
          <w:color w:val="000000"/>
          <w:highlight w:val="black"/>
        </w:rPr>
        <w:t>''''''''''''</w:t>
      </w:r>
      <w:r w:rsidRPr="00014A67">
        <w:t>)</w:t>
      </w:r>
    </w:p>
  </w:footnote>
  <w:footnote w:id="3">
    <w:p w:rsidR="00BA5CB9" w:rsidRDefault="00BA5CB9">
      <w:pPr>
        <w:pStyle w:val="FootnoteText"/>
      </w:pPr>
      <w:r w:rsidRPr="00014A67">
        <w:rPr>
          <w:rStyle w:val="FootnoteReference"/>
        </w:rPr>
        <w:footnoteRef/>
      </w:r>
      <w:r w:rsidRPr="00014A67">
        <w:t xml:space="preserve"> </w:t>
      </w:r>
      <w:r w:rsidR="00B96A59">
        <w:rPr>
          <w:noProof/>
          <w:color w:val="000000"/>
          <w:highlight w:val="black"/>
        </w:rPr>
        <w:t>'''''''''''''</w:t>
      </w:r>
      <w:r w:rsidRPr="00014A67">
        <w:t>-(</w:t>
      </w:r>
      <w:r w:rsidR="00B96A59">
        <w:rPr>
          <w:noProof/>
          <w:color w:val="000000"/>
          <w:highlight w:val="black"/>
        </w:rPr>
        <w:t>'''''''''''''</w:t>
      </w:r>
      <w:r w:rsidRPr="00014A67">
        <w:t>/</w:t>
      </w:r>
      <w:r w:rsidR="00B96A59">
        <w:rPr>
          <w:noProof/>
          <w:color w:val="000000"/>
          <w:highlight w:val="black"/>
        </w:rPr>
        <w:t>''''''''''''</w:t>
      </w:r>
      <w:r w:rsidRPr="00014A6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B9" w:rsidRPr="00DF217D" w:rsidRDefault="00BA5CB9" w:rsidP="003819C3">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BA5CB9" w:rsidRPr="008C7ECB" w:rsidRDefault="00BA5C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95E"/>
    <w:multiLevelType w:val="hybridMultilevel"/>
    <w:tmpl w:val="A52CF16C"/>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569"/>
        </w:tabs>
        <w:ind w:left="1569" w:hanging="360"/>
      </w:pPr>
      <w:rPr>
        <w:rFonts w:ascii="Symbol" w:hAnsi="Symbol"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
    <w:nsid w:val="00F97559"/>
    <w:multiLevelType w:val="hybridMultilevel"/>
    <w:tmpl w:val="3FECA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7298C"/>
    <w:multiLevelType w:val="hybridMultilevel"/>
    <w:tmpl w:val="4216AB00"/>
    <w:lvl w:ilvl="0" w:tplc="A31257DE">
      <w:start w:val="1"/>
      <w:numFmt w:val="bullet"/>
      <w:lvlText w:val="•"/>
      <w:lvlJc w:val="left"/>
      <w:pPr>
        <w:tabs>
          <w:tab w:val="num" w:pos="720"/>
        </w:tabs>
        <w:ind w:left="720" w:hanging="360"/>
      </w:pPr>
      <w:rPr>
        <w:rFonts w:ascii="Arial" w:hAnsi="Arial" w:hint="default"/>
      </w:rPr>
    </w:lvl>
    <w:lvl w:ilvl="1" w:tplc="78B072FE" w:tentative="1">
      <w:start w:val="1"/>
      <w:numFmt w:val="bullet"/>
      <w:lvlText w:val="•"/>
      <w:lvlJc w:val="left"/>
      <w:pPr>
        <w:tabs>
          <w:tab w:val="num" w:pos="1440"/>
        </w:tabs>
        <w:ind w:left="1440" w:hanging="360"/>
      </w:pPr>
      <w:rPr>
        <w:rFonts w:ascii="Arial" w:hAnsi="Arial" w:hint="default"/>
      </w:rPr>
    </w:lvl>
    <w:lvl w:ilvl="2" w:tplc="0B0E5CA2" w:tentative="1">
      <w:start w:val="1"/>
      <w:numFmt w:val="bullet"/>
      <w:lvlText w:val="•"/>
      <w:lvlJc w:val="left"/>
      <w:pPr>
        <w:tabs>
          <w:tab w:val="num" w:pos="2160"/>
        </w:tabs>
        <w:ind w:left="2160" w:hanging="360"/>
      </w:pPr>
      <w:rPr>
        <w:rFonts w:ascii="Arial" w:hAnsi="Arial" w:hint="default"/>
      </w:rPr>
    </w:lvl>
    <w:lvl w:ilvl="3" w:tplc="12047264" w:tentative="1">
      <w:start w:val="1"/>
      <w:numFmt w:val="bullet"/>
      <w:lvlText w:val="•"/>
      <w:lvlJc w:val="left"/>
      <w:pPr>
        <w:tabs>
          <w:tab w:val="num" w:pos="2880"/>
        </w:tabs>
        <w:ind w:left="2880" w:hanging="360"/>
      </w:pPr>
      <w:rPr>
        <w:rFonts w:ascii="Arial" w:hAnsi="Arial" w:hint="default"/>
      </w:rPr>
    </w:lvl>
    <w:lvl w:ilvl="4" w:tplc="DD7677AC" w:tentative="1">
      <w:start w:val="1"/>
      <w:numFmt w:val="bullet"/>
      <w:lvlText w:val="•"/>
      <w:lvlJc w:val="left"/>
      <w:pPr>
        <w:tabs>
          <w:tab w:val="num" w:pos="3600"/>
        </w:tabs>
        <w:ind w:left="3600" w:hanging="360"/>
      </w:pPr>
      <w:rPr>
        <w:rFonts w:ascii="Arial" w:hAnsi="Arial" w:hint="default"/>
      </w:rPr>
    </w:lvl>
    <w:lvl w:ilvl="5" w:tplc="8F681318" w:tentative="1">
      <w:start w:val="1"/>
      <w:numFmt w:val="bullet"/>
      <w:lvlText w:val="•"/>
      <w:lvlJc w:val="left"/>
      <w:pPr>
        <w:tabs>
          <w:tab w:val="num" w:pos="4320"/>
        </w:tabs>
        <w:ind w:left="4320" w:hanging="360"/>
      </w:pPr>
      <w:rPr>
        <w:rFonts w:ascii="Arial" w:hAnsi="Arial" w:hint="default"/>
      </w:rPr>
    </w:lvl>
    <w:lvl w:ilvl="6" w:tplc="F394120C" w:tentative="1">
      <w:start w:val="1"/>
      <w:numFmt w:val="bullet"/>
      <w:lvlText w:val="•"/>
      <w:lvlJc w:val="left"/>
      <w:pPr>
        <w:tabs>
          <w:tab w:val="num" w:pos="5040"/>
        </w:tabs>
        <w:ind w:left="5040" w:hanging="360"/>
      </w:pPr>
      <w:rPr>
        <w:rFonts w:ascii="Arial" w:hAnsi="Arial" w:hint="default"/>
      </w:rPr>
    </w:lvl>
    <w:lvl w:ilvl="7" w:tplc="DCEA7C96" w:tentative="1">
      <w:start w:val="1"/>
      <w:numFmt w:val="bullet"/>
      <w:lvlText w:val="•"/>
      <w:lvlJc w:val="left"/>
      <w:pPr>
        <w:tabs>
          <w:tab w:val="num" w:pos="5760"/>
        </w:tabs>
        <w:ind w:left="5760" w:hanging="360"/>
      </w:pPr>
      <w:rPr>
        <w:rFonts w:ascii="Arial" w:hAnsi="Arial" w:hint="default"/>
      </w:rPr>
    </w:lvl>
    <w:lvl w:ilvl="8" w:tplc="1598D7E0" w:tentative="1">
      <w:start w:val="1"/>
      <w:numFmt w:val="bullet"/>
      <w:lvlText w:val="•"/>
      <w:lvlJc w:val="left"/>
      <w:pPr>
        <w:tabs>
          <w:tab w:val="num" w:pos="6480"/>
        </w:tabs>
        <w:ind w:left="6480" w:hanging="360"/>
      </w:pPr>
      <w:rPr>
        <w:rFonts w:ascii="Arial" w:hAnsi="Arial" w:hint="default"/>
      </w:rPr>
    </w:lvl>
  </w:abstractNum>
  <w:abstractNum w:abstractNumId="4">
    <w:nsid w:val="0971536E"/>
    <w:multiLevelType w:val="hybridMultilevel"/>
    <w:tmpl w:val="F4E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0029E7"/>
    <w:multiLevelType w:val="hybridMultilevel"/>
    <w:tmpl w:val="69A69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33886"/>
    <w:multiLevelType w:val="hybridMultilevel"/>
    <w:tmpl w:val="4FCCD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74B3A62"/>
    <w:multiLevelType w:val="hybridMultilevel"/>
    <w:tmpl w:val="1996F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AC699A"/>
    <w:multiLevelType w:val="hybridMultilevel"/>
    <w:tmpl w:val="F23A1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A5E2DB7"/>
    <w:multiLevelType w:val="hybridMultilevel"/>
    <w:tmpl w:val="BF96600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nsid w:val="1D404BC1"/>
    <w:multiLevelType w:val="hybridMultilevel"/>
    <w:tmpl w:val="76004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EC630D"/>
    <w:multiLevelType w:val="hybridMultilevel"/>
    <w:tmpl w:val="72BAC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4">
    <w:nsid w:val="27CC6E19"/>
    <w:multiLevelType w:val="hybridMultilevel"/>
    <w:tmpl w:val="15DA8E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85041AE"/>
    <w:multiLevelType w:val="hybridMultilevel"/>
    <w:tmpl w:val="219E35B8"/>
    <w:lvl w:ilvl="0" w:tplc="3EC21CA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6">
    <w:nsid w:val="317A48EE"/>
    <w:multiLevelType w:val="hybridMultilevel"/>
    <w:tmpl w:val="37460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884D91"/>
    <w:multiLevelType w:val="hybridMultilevel"/>
    <w:tmpl w:val="90BA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A363C6"/>
    <w:multiLevelType w:val="hybridMultilevel"/>
    <w:tmpl w:val="B902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583612"/>
    <w:multiLevelType w:val="hybridMultilevel"/>
    <w:tmpl w:val="EA66CE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B7C34E2"/>
    <w:multiLevelType w:val="hybridMultilevel"/>
    <w:tmpl w:val="D8B8A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440C350C"/>
    <w:multiLevelType w:val="hybridMultilevel"/>
    <w:tmpl w:val="B6C88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4A7E0B9E"/>
    <w:multiLevelType w:val="hybridMultilevel"/>
    <w:tmpl w:val="BBF8C12A"/>
    <w:lvl w:ilvl="0" w:tplc="DA5A36C6">
      <w:start w:val="1"/>
      <w:numFmt w:val="bullet"/>
      <w:lvlText w:val="–"/>
      <w:lvlJc w:val="left"/>
      <w:pPr>
        <w:tabs>
          <w:tab w:val="num" w:pos="720"/>
        </w:tabs>
        <w:ind w:left="720" w:hanging="360"/>
      </w:pPr>
      <w:rPr>
        <w:rFonts w:ascii="Arial" w:hAnsi="Arial" w:hint="default"/>
      </w:rPr>
    </w:lvl>
    <w:lvl w:ilvl="1" w:tplc="AE1CF14E">
      <w:start w:val="1"/>
      <w:numFmt w:val="bullet"/>
      <w:lvlText w:val="–"/>
      <w:lvlJc w:val="left"/>
      <w:pPr>
        <w:tabs>
          <w:tab w:val="num" w:pos="1440"/>
        </w:tabs>
        <w:ind w:left="1440" w:hanging="360"/>
      </w:pPr>
      <w:rPr>
        <w:rFonts w:ascii="Arial" w:hAnsi="Arial" w:hint="default"/>
      </w:rPr>
    </w:lvl>
    <w:lvl w:ilvl="2" w:tplc="D90C5032" w:tentative="1">
      <w:start w:val="1"/>
      <w:numFmt w:val="bullet"/>
      <w:lvlText w:val="–"/>
      <w:lvlJc w:val="left"/>
      <w:pPr>
        <w:tabs>
          <w:tab w:val="num" w:pos="2160"/>
        </w:tabs>
        <w:ind w:left="2160" w:hanging="360"/>
      </w:pPr>
      <w:rPr>
        <w:rFonts w:ascii="Arial" w:hAnsi="Arial" w:hint="default"/>
      </w:rPr>
    </w:lvl>
    <w:lvl w:ilvl="3" w:tplc="05A269A6" w:tentative="1">
      <w:start w:val="1"/>
      <w:numFmt w:val="bullet"/>
      <w:lvlText w:val="–"/>
      <w:lvlJc w:val="left"/>
      <w:pPr>
        <w:tabs>
          <w:tab w:val="num" w:pos="2880"/>
        </w:tabs>
        <w:ind w:left="2880" w:hanging="360"/>
      </w:pPr>
      <w:rPr>
        <w:rFonts w:ascii="Arial" w:hAnsi="Arial" w:hint="default"/>
      </w:rPr>
    </w:lvl>
    <w:lvl w:ilvl="4" w:tplc="7B9CB06A" w:tentative="1">
      <w:start w:val="1"/>
      <w:numFmt w:val="bullet"/>
      <w:lvlText w:val="–"/>
      <w:lvlJc w:val="left"/>
      <w:pPr>
        <w:tabs>
          <w:tab w:val="num" w:pos="3600"/>
        </w:tabs>
        <w:ind w:left="3600" w:hanging="360"/>
      </w:pPr>
      <w:rPr>
        <w:rFonts w:ascii="Arial" w:hAnsi="Arial" w:hint="default"/>
      </w:rPr>
    </w:lvl>
    <w:lvl w:ilvl="5" w:tplc="5B04388A" w:tentative="1">
      <w:start w:val="1"/>
      <w:numFmt w:val="bullet"/>
      <w:lvlText w:val="–"/>
      <w:lvlJc w:val="left"/>
      <w:pPr>
        <w:tabs>
          <w:tab w:val="num" w:pos="4320"/>
        </w:tabs>
        <w:ind w:left="4320" w:hanging="360"/>
      </w:pPr>
      <w:rPr>
        <w:rFonts w:ascii="Arial" w:hAnsi="Arial" w:hint="default"/>
      </w:rPr>
    </w:lvl>
    <w:lvl w:ilvl="6" w:tplc="6F4042F6" w:tentative="1">
      <w:start w:val="1"/>
      <w:numFmt w:val="bullet"/>
      <w:lvlText w:val="–"/>
      <w:lvlJc w:val="left"/>
      <w:pPr>
        <w:tabs>
          <w:tab w:val="num" w:pos="5040"/>
        </w:tabs>
        <w:ind w:left="5040" w:hanging="360"/>
      </w:pPr>
      <w:rPr>
        <w:rFonts w:ascii="Arial" w:hAnsi="Arial" w:hint="default"/>
      </w:rPr>
    </w:lvl>
    <w:lvl w:ilvl="7" w:tplc="43EC35E8" w:tentative="1">
      <w:start w:val="1"/>
      <w:numFmt w:val="bullet"/>
      <w:lvlText w:val="–"/>
      <w:lvlJc w:val="left"/>
      <w:pPr>
        <w:tabs>
          <w:tab w:val="num" w:pos="5760"/>
        </w:tabs>
        <w:ind w:left="5760" w:hanging="360"/>
      </w:pPr>
      <w:rPr>
        <w:rFonts w:ascii="Arial" w:hAnsi="Arial" w:hint="default"/>
      </w:rPr>
    </w:lvl>
    <w:lvl w:ilvl="8" w:tplc="90AA54A8" w:tentative="1">
      <w:start w:val="1"/>
      <w:numFmt w:val="bullet"/>
      <w:lvlText w:val="–"/>
      <w:lvlJc w:val="left"/>
      <w:pPr>
        <w:tabs>
          <w:tab w:val="num" w:pos="6480"/>
        </w:tabs>
        <w:ind w:left="6480" w:hanging="360"/>
      </w:pPr>
      <w:rPr>
        <w:rFonts w:ascii="Arial" w:hAnsi="Arial" w:hint="default"/>
      </w:rPr>
    </w:lvl>
  </w:abstractNum>
  <w:abstractNum w:abstractNumId="26">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nsid w:val="5E2A398A"/>
    <w:multiLevelType w:val="hybridMultilevel"/>
    <w:tmpl w:val="61845AB6"/>
    <w:lvl w:ilvl="0" w:tplc="7646FBB0">
      <w:start w:val="1"/>
      <w:numFmt w:val="bullet"/>
      <w:lvlText w:val="•"/>
      <w:lvlJc w:val="left"/>
      <w:pPr>
        <w:tabs>
          <w:tab w:val="num" w:pos="720"/>
        </w:tabs>
        <w:ind w:left="720" w:hanging="360"/>
      </w:pPr>
      <w:rPr>
        <w:rFonts w:ascii="Arial" w:hAnsi="Arial" w:hint="default"/>
      </w:rPr>
    </w:lvl>
    <w:lvl w:ilvl="1" w:tplc="415012BE" w:tentative="1">
      <w:start w:val="1"/>
      <w:numFmt w:val="bullet"/>
      <w:lvlText w:val="•"/>
      <w:lvlJc w:val="left"/>
      <w:pPr>
        <w:tabs>
          <w:tab w:val="num" w:pos="1440"/>
        </w:tabs>
        <w:ind w:left="1440" w:hanging="360"/>
      </w:pPr>
      <w:rPr>
        <w:rFonts w:ascii="Arial" w:hAnsi="Arial" w:hint="default"/>
      </w:rPr>
    </w:lvl>
    <w:lvl w:ilvl="2" w:tplc="6F6E4EA4" w:tentative="1">
      <w:start w:val="1"/>
      <w:numFmt w:val="bullet"/>
      <w:lvlText w:val="•"/>
      <w:lvlJc w:val="left"/>
      <w:pPr>
        <w:tabs>
          <w:tab w:val="num" w:pos="2160"/>
        </w:tabs>
        <w:ind w:left="2160" w:hanging="360"/>
      </w:pPr>
      <w:rPr>
        <w:rFonts w:ascii="Arial" w:hAnsi="Arial" w:hint="default"/>
      </w:rPr>
    </w:lvl>
    <w:lvl w:ilvl="3" w:tplc="548C14D4" w:tentative="1">
      <w:start w:val="1"/>
      <w:numFmt w:val="bullet"/>
      <w:lvlText w:val="•"/>
      <w:lvlJc w:val="left"/>
      <w:pPr>
        <w:tabs>
          <w:tab w:val="num" w:pos="2880"/>
        </w:tabs>
        <w:ind w:left="2880" w:hanging="360"/>
      </w:pPr>
      <w:rPr>
        <w:rFonts w:ascii="Arial" w:hAnsi="Arial" w:hint="default"/>
      </w:rPr>
    </w:lvl>
    <w:lvl w:ilvl="4" w:tplc="6714EF06" w:tentative="1">
      <w:start w:val="1"/>
      <w:numFmt w:val="bullet"/>
      <w:lvlText w:val="•"/>
      <w:lvlJc w:val="left"/>
      <w:pPr>
        <w:tabs>
          <w:tab w:val="num" w:pos="3600"/>
        </w:tabs>
        <w:ind w:left="3600" w:hanging="360"/>
      </w:pPr>
      <w:rPr>
        <w:rFonts w:ascii="Arial" w:hAnsi="Arial" w:hint="default"/>
      </w:rPr>
    </w:lvl>
    <w:lvl w:ilvl="5" w:tplc="3C2EFEC0" w:tentative="1">
      <w:start w:val="1"/>
      <w:numFmt w:val="bullet"/>
      <w:lvlText w:val="•"/>
      <w:lvlJc w:val="left"/>
      <w:pPr>
        <w:tabs>
          <w:tab w:val="num" w:pos="4320"/>
        </w:tabs>
        <w:ind w:left="4320" w:hanging="360"/>
      </w:pPr>
      <w:rPr>
        <w:rFonts w:ascii="Arial" w:hAnsi="Arial" w:hint="default"/>
      </w:rPr>
    </w:lvl>
    <w:lvl w:ilvl="6" w:tplc="B330C3F8" w:tentative="1">
      <w:start w:val="1"/>
      <w:numFmt w:val="bullet"/>
      <w:lvlText w:val="•"/>
      <w:lvlJc w:val="left"/>
      <w:pPr>
        <w:tabs>
          <w:tab w:val="num" w:pos="5040"/>
        </w:tabs>
        <w:ind w:left="5040" w:hanging="360"/>
      </w:pPr>
      <w:rPr>
        <w:rFonts w:ascii="Arial" w:hAnsi="Arial" w:hint="default"/>
      </w:rPr>
    </w:lvl>
    <w:lvl w:ilvl="7" w:tplc="74C4DD46" w:tentative="1">
      <w:start w:val="1"/>
      <w:numFmt w:val="bullet"/>
      <w:lvlText w:val="•"/>
      <w:lvlJc w:val="left"/>
      <w:pPr>
        <w:tabs>
          <w:tab w:val="num" w:pos="5760"/>
        </w:tabs>
        <w:ind w:left="5760" w:hanging="360"/>
      </w:pPr>
      <w:rPr>
        <w:rFonts w:ascii="Arial" w:hAnsi="Arial" w:hint="default"/>
      </w:rPr>
    </w:lvl>
    <w:lvl w:ilvl="8" w:tplc="8B301A0A" w:tentative="1">
      <w:start w:val="1"/>
      <w:numFmt w:val="bullet"/>
      <w:lvlText w:val="•"/>
      <w:lvlJc w:val="left"/>
      <w:pPr>
        <w:tabs>
          <w:tab w:val="num" w:pos="6480"/>
        </w:tabs>
        <w:ind w:left="6480" w:hanging="360"/>
      </w:pPr>
      <w:rPr>
        <w:rFonts w:ascii="Arial" w:hAnsi="Arial" w:hint="default"/>
      </w:rPr>
    </w:lvl>
  </w:abstractNum>
  <w:abstractNum w:abstractNumId="2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6F0D15"/>
    <w:multiLevelType w:val="hybridMultilevel"/>
    <w:tmpl w:val="FE6890D2"/>
    <w:lvl w:ilvl="0" w:tplc="3DAC6FD2">
      <w:start w:val="1"/>
      <w:numFmt w:val="bullet"/>
      <w:lvlText w:val="•"/>
      <w:lvlJc w:val="left"/>
      <w:pPr>
        <w:tabs>
          <w:tab w:val="num" w:pos="720"/>
        </w:tabs>
        <w:ind w:left="720" w:hanging="360"/>
      </w:pPr>
      <w:rPr>
        <w:rFonts w:ascii="Arial" w:hAnsi="Arial" w:hint="default"/>
      </w:rPr>
    </w:lvl>
    <w:lvl w:ilvl="1" w:tplc="31C847D6" w:tentative="1">
      <w:start w:val="1"/>
      <w:numFmt w:val="bullet"/>
      <w:lvlText w:val="•"/>
      <w:lvlJc w:val="left"/>
      <w:pPr>
        <w:tabs>
          <w:tab w:val="num" w:pos="1440"/>
        </w:tabs>
        <w:ind w:left="1440" w:hanging="360"/>
      </w:pPr>
      <w:rPr>
        <w:rFonts w:ascii="Arial" w:hAnsi="Arial" w:hint="default"/>
      </w:rPr>
    </w:lvl>
    <w:lvl w:ilvl="2" w:tplc="6630A524" w:tentative="1">
      <w:start w:val="1"/>
      <w:numFmt w:val="bullet"/>
      <w:lvlText w:val="•"/>
      <w:lvlJc w:val="left"/>
      <w:pPr>
        <w:tabs>
          <w:tab w:val="num" w:pos="2160"/>
        </w:tabs>
        <w:ind w:left="2160" w:hanging="360"/>
      </w:pPr>
      <w:rPr>
        <w:rFonts w:ascii="Arial" w:hAnsi="Arial" w:hint="default"/>
      </w:rPr>
    </w:lvl>
    <w:lvl w:ilvl="3" w:tplc="F594BB5A" w:tentative="1">
      <w:start w:val="1"/>
      <w:numFmt w:val="bullet"/>
      <w:lvlText w:val="•"/>
      <w:lvlJc w:val="left"/>
      <w:pPr>
        <w:tabs>
          <w:tab w:val="num" w:pos="2880"/>
        </w:tabs>
        <w:ind w:left="2880" w:hanging="360"/>
      </w:pPr>
      <w:rPr>
        <w:rFonts w:ascii="Arial" w:hAnsi="Arial" w:hint="default"/>
      </w:rPr>
    </w:lvl>
    <w:lvl w:ilvl="4" w:tplc="DC706974" w:tentative="1">
      <w:start w:val="1"/>
      <w:numFmt w:val="bullet"/>
      <w:lvlText w:val="•"/>
      <w:lvlJc w:val="left"/>
      <w:pPr>
        <w:tabs>
          <w:tab w:val="num" w:pos="3600"/>
        </w:tabs>
        <w:ind w:left="3600" w:hanging="360"/>
      </w:pPr>
      <w:rPr>
        <w:rFonts w:ascii="Arial" w:hAnsi="Arial" w:hint="default"/>
      </w:rPr>
    </w:lvl>
    <w:lvl w:ilvl="5" w:tplc="DF32FD44" w:tentative="1">
      <w:start w:val="1"/>
      <w:numFmt w:val="bullet"/>
      <w:lvlText w:val="•"/>
      <w:lvlJc w:val="left"/>
      <w:pPr>
        <w:tabs>
          <w:tab w:val="num" w:pos="4320"/>
        </w:tabs>
        <w:ind w:left="4320" w:hanging="360"/>
      </w:pPr>
      <w:rPr>
        <w:rFonts w:ascii="Arial" w:hAnsi="Arial" w:hint="default"/>
      </w:rPr>
    </w:lvl>
    <w:lvl w:ilvl="6" w:tplc="B852C898" w:tentative="1">
      <w:start w:val="1"/>
      <w:numFmt w:val="bullet"/>
      <w:lvlText w:val="•"/>
      <w:lvlJc w:val="left"/>
      <w:pPr>
        <w:tabs>
          <w:tab w:val="num" w:pos="5040"/>
        </w:tabs>
        <w:ind w:left="5040" w:hanging="360"/>
      </w:pPr>
      <w:rPr>
        <w:rFonts w:ascii="Arial" w:hAnsi="Arial" w:hint="default"/>
      </w:rPr>
    </w:lvl>
    <w:lvl w:ilvl="7" w:tplc="28B066DC" w:tentative="1">
      <w:start w:val="1"/>
      <w:numFmt w:val="bullet"/>
      <w:lvlText w:val="•"/>
      <w:lvlJc w:val="left"/>
      <w:pPr>
        <w:tabs>
          <w:tab w:val="num" w:pos="5760"/>
        </w:tabs>
        <w:ind w:left="5760" w:hanging="360"/>
      </w:pPr>
      <w:rPr>
        <w:rFonts w:ascii="Arial" w:hAnsi="Arial" w:hint="default"/>
      </w:rPr>
    </w:lvl>
    <w:lvl w:ilvl="8" w:tplc="617EA2F0" w:tentative="1">
      <w:start w:val="1"/>
      <w:numFmt w:val="bullet"/>
      <w:lvlText w:val="•"/>
      <w:lvlJc w:val="left"/>
      <w:pPr>
        <w:tabs>
          <w:tab w:val="num" w:pos="6480"/>
        </w:tabs>
        <w:ind w:left="6480" w:hanging="360"/>
      </w:pPr>
      <w:rPr>
        <w:rFonts w:ascii="Arial" w:hAnsi="Arial" w:hint="default"/>
      </w:rPr>
    </w:lvl>
  </w:abstractNum>
  <w:abstractNum w:abstractNumId="30">
    <w:nsid w:val="630E6C17"/>
    <w:multiLevelType w:val="hybridMultilevel"/>
    <w:tmpl w:val="FADECD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68664A8"/>
    <w:multiLevelType w:val="hybridMultilevel"/>
    <w:tmpl w:val="95F0BE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7C24556"/>
    <w:multiLevelType w:val="hybridMultilevel"/>
    <w:tmpl w:val="7A28F2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70B75E04"/>
    <w:multiLevelType w:val="hybridMultilevel"/>
    <w:tmpl w:val="F7ECA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4D033C"/>
    <w:multiLevelType w:val="multilevel"/>
    <w:tmpl w:val="2B44244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6B68E7"/>
    <w:multiLevelType w:val="hybridMultilevel"/>
    <w:tmpl w:val="5B5E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8"/>
  </w:num>
  <w:num w:numId="4">
    <w:abstractNumId w:val="21"/>
  </w:num>
  <w:num w:numId="5">
    <w:abstractNumId w:val="15"/>
  </w:num>
  <w:num w:numId="6">
    <w:abstractNumId w:val="13"/>
  </w:num>
  <w:num w:numId="7">
    <w:abstractNumId w:val="24"/>
  </w:num>
  <w:num w:numId="8">
    <w:abstractNumId w:val="20"/>
  </w:num>
  <w:num w:numId="9">
    <w:abstractNumId w:val="2"/>
  </w:num>
  <w:num w:numId="10">
    <w:abstractNumId w:val="34"/>
  </w:num>
  <w:num w:numId="11">
    <w:abstractNumId w:val="4"/>
  </w:num>
  <w:num w:numId="12">
    <w:abstractNumId w:val="12"/>
  </w:num>
  <w:num w:numId="13">
    <w:abstractNumId w:val="11"/>
  </w:num>
  <w:num w:numId="14">
    <w:abstractNumId w:val="17"/>
  </w:num>
  <w:num w:numId="15">
    <w:abstractNumId w:val="22"/>
  </w:num>
  <w:num w:numId="16">
    <w:abstractNumId w:val="18"/>
  </w:num>
  <w:num w:numId="17">
    <w:abstractNumId w:val="1"/>
  </w:num>
  <w:num w:numId="18">
    <w:abstractNumId w:val="35"/>
  </w:num>
  <w:num w:numId="19">
    <w:abstractNumId w:val="16"/>
  </w:num>
  <w:num w:numId="20">
    <w:abstractNumId w:val="8"/>
  </w:num>
  <w:num w:numId="21">
    <w:abstractNumId w:val="5"/>
  </w:num>
  <w:num w:numId="22">
    <w:abstractNumId w:val="6"/>
  </w:num>
  <w:num w:numId="23">
    <w:abstractNumId w:val="19"/>
  </w:num>
  <w:num w:numId="24">
    <w:abstractNumId w:val="10"/>
  </w:num>
  <w:num w:numId="25">
    <w:abstractNumId w:val="32"/>
  </w:num>
  <w:num w:numId="26">
    <w:abstractNumId w:val="9"/>
  </w:num>
  <w:num w:numId="27">
    <w:abstractNumId w:val="36"/>
  </w:num>
  <w:num w:numId="28">
    <w:abstractNumId w:val="0"/>
  </w:num>
  <w:num w:numId="29">
    <w:abstractNumId w:val="33"/>
  </w:num>
  <w:num w:numId="30">
    <w:abstractNumId w:val="3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5"/>
  </w:num>
  <w:num w:numId="34">
    <w:abstractNumId w:val="29"/>
  </w:num>
  <w:num w:numId="35">
    <w:abstractNumId w:val="27"/>
  </w:num>
  <w:num w:numId="36">
    <w:abstractNumId w:val="14"/>
  </w:num>
  <w:num w:numId="37">
    <w:abstractNumId w:val="3"/>
  </w:num>
  <w:num w:numId="3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5082"/>
    <w:rsid w:val="000055AF"/>
    <w:rsid w:val="000073E6"/>
    <w:rsid w:val="000076D2"/>
    <w:rsid w:val="000112C7"/>
    <w:rsid w:val="0001220F"/>
    <w:rsid w:val="00013247"/>
    <w:rsid w:val="0001327C"/>
    <w:rsid w:val="00014A67"/>
    <w:rsid w:val="00014DF0"/>
    <w:rsid w:val="0001549D"/>
    <w:rsid w:val="00015886"/>
    <w:rsid w:val="000162EF"/>
    <w:rsid w:val="000169DD"/>
    <w:rsid w:val="00017F2C"/>
    <w:rsid w:val="00020328"/>
    <w:rsid w:val="000203F2"/>
    <w:rsid w:val="0002225F"/>
    <w:rsid w:val="000232AA"/>
    <w:rsid w:val="00023763"/>
    <w:rsid w:val="000255F7"/>
    <w:rsid w:val="0002701F"/>
    <w:rsid w:val="000304EB"/>
    <w:rsid w:val="00030A5C"/>
    <w:rsid w:val="00031560"/>
    <w:rsid w:val="000317A4"/>
    <w:rsid w:val="000338F9"/>
    <w:rsid w:val="000351D0"/>
    <w:rsid w:val="00035675"/>
    <w:rsid w:val="0003620B"/>
    <w:rsid w:val="0003640D"/>
    <w:rsid w:val="00036DE0"/>
    <w:rsid w:val="00040895"/>
    <w:rsid w:val="00042D6F"/>
    <w:rsid w:val="00042EAA"/>
    <w:rsid w:val="00043C37"/>
    <w:rsid w:val="000445DE"/>
    <w:rsid w:val="00044C9B"/>
    <w:rsid w:val="0004560C"/>
    <w:rsid w:val="0004786A"/>
    <w:rsid w:val="00051AC1"/>
    <w:rsid w:val="0005378B"/>
    <w:rsid w:val="00053855"/>
    <w:rsid w:val="000546D7"/>
    <w:rsid w:val="0005492D"/>
    <w:rsid w:val="00056061"/>
    <w:rsid w:val="000564D4"/>
    <w:rsid w:val="00057949"/>
    <w:rsid w:val="00057D91"/>
    <w:rsid w:val="0006189B"/>
    <w:rsid w:val="0006346C"/>
    <w:rsid w:val="00070F9C"/>
    <w:rsid w:val="00071248"/>
    <w:rsid w:val="00071887"/>
    <w:rsid w:val="000720B9"/>
    <w:rsid w:val="00077099"/>
    <w:rsid w:val="00080861"/>
    <w:rsid w:val="00080DC9"/>
    <w:rsid w:val="000812CA"/>
    <w:rsid w:val="000824D0"/>
    <w:rsid w:val="00083574"/>
    <w:rsid w:val="00083ED8"/>
    <w:rsid w:val="000843D6"/>
    <w:rsid w:val="0008566D"/>
    <w:rsid w:val="000860B2"/>
    <w:rsid w:val="00086B74"/>
    <w:rsid w:val="000877D2"/>
    <w:rsid w:val="00087989"/>
    <w:rsid w:val="00090C7E"/>
    <w:rsid w:val="00091C48"/>
    <w:rsid w:val="0009302A"/>
    <w:rsid w:val="00097B77"/>
    <w:rsid w:val="000A4606"/>
    <w:rsid w:val="000A4CA9"/>
    <w:rsid w:val="000A72A6"/>
    <w:rsid w:val="000B1694"/>
    <w:rsid w:val="000B1E7B"/>
    <w:rsid w:val="000B3D5E"/>
    <w:rsid w:val="000B413D"/>
    <w:rsid w:val="000B67F6"/>
    <w:rsid w:val="000B7E33"/>
    <w:rsid w:val="000C15D2"/>
    <w:rsid w:val="000C38B4"/>
    <w:rsid w:val="000C58CA"/>
    <w:rsid w:val="000C6A69"/>
    <w:rsid w:val="000D1BFC"/>
    <w:rsid w:val="000D55EB"/>
    <w:rsid w:val="000E0726"/>
    <w:rsid w:val="000E14BE"/>
    <w:rsid w:val="000E1FB9"/>
    <w:rsid w:val="000E3990"/>
    <w:rsid w:val="000E3C92"/>
    <w:rsid w:val="000E43EA"/>
    <w:rsid w:val="000E6D6C"/>
    <w:rsid w:val="000F32E7"/>
    <w:rsid w:val="000F4BB8"/>
    <w:rsid w:val="000F51EB"/>
    <w:rsid w:val="000F7127"/>
    <w:rsid w:val="000F77D3"/>
    <w:rsid w:val="00100043"/>
    <w:rsid w:val="00100065"/>
    <w:rsid w:val="0010061A"/>
    <w:rsid w:val="00100F8A"/>
    <w:rsid w:val="001043DB"/>
    <w:rsid w:val="001044FA"/>
    <w:rsid w:val="0011032E"/>
    <w:rsid w:val="00110952"/>
    <w:rsid w:val="0011348B"/>
    <w:rsid w:val="00113F30"/>
    <w:rsid w:val="00114621"/>
    <w:rsid w:val="0011463A"/>
    <w:rsid w:val="001148E1"/>
    <w:rsid w:val="0011600E"/>
    <w:rsid w:val="001164F3"/>
    <w:rsid w:val="00117503"/>
    <w:rsid w:val="0012044C"/>
    <w:rsid w:val="0012125E"/>
    <w:rsid w:val="00121799"/>
    <w:rsid w:val="001222FC"/>
    <w:rsid w:val="001236D2"/>
    <w:rsid w:val="001236DC"/>
    <w:rsid w:val="00123B9F"/>
    <w:rsid w:val="001241A6"/>
    <w:rsid w:val="00124A51"/>
    <w:rsid w:val="00124D2E"/>
    <w:rsid w:val="00126621"/>
    <w:rsid w:val="00127657"/>
    <w:rsid w:val="001301E9"/>
    <w:rsid w:val="00130337"/>
    <w:rsid w:val="0013460A"/>
    <w:rsid w:val="001358D6"/>
    <w:rsid w:val="00136C96"/>
    <w:rsid w:val="00137645"/>
    <w:rsid w:val="0014015A"/>
    <w:rsid w:val="00140BF1"/>
    <w:rsid w:val="00140E99"/>
    <w:rsid w:val="001453A4"/>
    <w:rsid w:val="00145540"/>
    <w:rsid w:val="001456B0"/>
    <w:rsid w:val="00146850"/>
    <w:rsid w:val="00147F43"/>
    <w:rsid w:val="0015044C"/>
    <w:rsid w:val="00151111"/>
    <w:rsid w:val="00152B6F"/>
    <w:rsid w:val="00153045"/>
    <w:rsid w:val="00155819"/>
    <w:rsid w:val="00157130"/>
    <w:rsid w:val="00162256"/>
    <w:rsid w:val="00162913"/>
    <w:rsid w:val="00163EFF"/>
    <w:rsid w:val="001661FB"/>
    <w:rsid w:val="00166A09"/>
    <w:rsid w:val="00171DF5"/>
    <w:rsid w:val="00173466"/>
    <w:rsid w:val="00177556"/>
    <w:rsid w:val="0018416B"/>
    <w:rsid w:val="00185B6A"/>
    <w:rsid w:val="00186F7C"/>
    <w:rsid w:val="0018752F"/>
    <w:rsid w:val="001877DD"/>
    <w:rsid w:val="00191B32"/>
    <w:rsid w:val="001921DE"/>
    <w:rsid w:val="00195222"/>
    <w:rsid w:val="00195C70"/>
    <w:rsid w:val="001975D8"/>
    <w:rsid w:val="00197770"/>
    <w:rsid w:val="001977AA"/>
    <w:rsid w:val="001A0EC5"/>
    <w:rsid w:val="001A6223"/>
    <w:rsid w:val="001B3443"/>
    <w:rsid w:val="001B3611"/>
    <w:rsid w:val="001B3AE4"/>
    <w:rsid w:val="001C0497"/>
    <w:rsid w:val="001C0E24"/>
    <w:rsid w:val="001C6E66"/>
    <w:rsid w:val="001C784E"/>
    <w:rsid w:val="001C7ACD"/>
    <w:rsid w:val="001D4A5C"/>
    <w:rsid w:val="001D5D14"/>
    <w:rsid w:val="001D661F"/>
    <w:rsid w:val="001E0266"/>
    <w:rsid w:val="001E238E"/>
    <w:rsid w:val="001E2B1E"/>
    <w:rsid w:val="001E3DB4"/>
    <w:rsid w:val="001E52EB"/>
    <w:rsid w:val="001E57D0"/>
    <w:rsid w:val="001E6E95"/>
    <w:rsid w:val="001E740C"/>
    <w:rsid w:val="001E7BA0"/>
    <w:rsid w:val="001F010A"/>
    <w:rsid w:val="001F1235"/>
    <w:rsid w:val="001F1CB3"/>
    <w:rsid w:val="001F1DD0"/>
    <w:rsid w:val="001F6C0E"/>
    <w:rsid w:val="001F6F29"/>
    <w:rsid w:val="001F7361"/>
    <w:rsid w:val="001F739E"/>
    <w:rsid w:val="00203204"/>
    <w:rsid w:val="0020385F"/>
    <w:rsid w:val="00203AE1"/>
    <w:rsid w:val="00204BC8"/>
    <w:rsid w:val="002052EC"/>
    <w:rsid w:val="00207021"/>
    <w:rsid w:val="002079CE"/>
    <w:rsid w:val="00207D00"/>
    <w:rsid w:val="00210269"/>
    <w:rsid w:val="0021028D"/>
    <w:rsid w:val="002105C1"/>
    <w:rsid w:val="00213379"/>
    <w:rsid w:val="00213C8B"/>
    <w:rsid w:val="00215081"/>
    <w:rsid w:val="0021539A"/>
    <w:rsid w:val="00215D11"/>
    <w:rsid w:val="00217CC1"/>
    <w:rsid w:val="00220583"/>
    <w:rsid w:val="00223B49"/>
    <w:rsid w:val="00224DD4"/>
    <w:rsid w:val="00226A40"/>
    <w:rsid w:val="0022701D"/>
    <w:rsid w:val="00227D4C"/>
    <w:rsid w:val="00227E8A"/>
    <w:rsid w:val="002309CC"/>
    <w:rsid w:val="00232126"/>
    <w:rsid w:val="00240A42"/>
    <w:rsid w:val="00241B41"/>
    <w:rsid w:val="00242072"/>
    <w:rsid w:val="0024341F"/>
    <w:rsid w:val="00243E6F"/>
    <w:rsid w:val="002447C8"/>
    <w:rsid w:val="002450DF"/>
    <w:rsid w:val="002506F6"/>
    <w:rsid w:val="00250AAC"/>
    <w:rsid w:val="00254DCF"/>
    <w:rsid w:val="0025534B"/>
    <w:rsid w:val="00255A35"/>
    <w:rsid w:val="00255BB7"/>
    <w:rsid w:val="00262A87"/>
    <w:rsid w:val="00264136"/>
    <w:rsid w:val="00264A64"/>
    <w:rsid w:val="00264EAC"/>
    <w:rsid w:val="002671AA"/>
    <w:rsid w:val="0027338F"/>
    <w:rsid w:val="002756B2"/>
    <w:rsid w:val="00275C5A"/>
    <w:rsid w:val="00275DE6"/>
    <w:rsid w:val="00280BA6"/>
    <w:rsid w:val="00281014"/>
    <w:rsid w:val="00281DD4"/>
    <w:rsid w:val="0028659B"/>
    <w:rsid w:val="00286BF3"/>
    <w:rsid w:val="00287018"/>
    <w:rsid w:val="00291A5D"/>
    <w:rsid w:val="002A09F8"/>
    <w:rsid w:val="002A14AB"/>
    <w:rsid w:val="002A4607"/>
    <w:rsid w:val="002A4DBE"/>
    <w:rsid w:val="002A6E8A"/>
    <w:rsid w:val="002A7C29"/>
    <w:rsid w:val="002B14F4"/>
    <w:rsid w:val="002B1C1F"/>
    <w:rsid w:val="002B37A3"/>
    <w:rsid w:val="002B432F"/>
    <w:rsid w:val="002B610E"/>
    <w:rsid w:val="002B6CCE"/>
    <w:rsid w:val="002C087A"/>
    <w:rsid w:val="002C121C"/>
    <w:rsid w:val="002C2775"/>
    <w:rsid w:val="002C27C1"/>
    <w:rsid w:val="002C37F4"/>
    <w:rsid w:val="002C5638"/>
    <w:rsid w:val="002C752C"/>
    <w:rsid w:val="002D08DF"/>
    <w:rsid w:val="002D0CD9"/>
    <w:rsid w:val="002D164C"/>
    <w:rsid w:val="002E038D"/>
    <w:rsid w:val="002E0C19"/>
    <w:rsid w:val="002E1E70"/>
    <w:rsid w:val="002E3113"/>
    <w:rsid w:val="002F287B"/>
    <w:rsid w:val="002F2C6E"/>
    <w:rsid w:val="002F3E52"/>
    <w:rsid w:val="002F596C"/>
    <w:rsid w:val="002F7BAF"/>
    <w:rsid w:val="002F7DAA"/>
    <w:rsid w:val="00301017"/>
    <w:rsid w:val="00301B17"/>
    <w:rsid w:val="00302397"/>
    <w:rsid w:val="00303647"/>
    <w:rsid w:val="0030786C"/>
    <w:rsid w:val="0031031A"/>
    <w:rsid w:val="00310981"/>
    <w:rsid w:val="00310F6C"/>
    <w:rsid w:val="00312412"/>
    <w:rsid w:val="003129AC"/>
    <w:rsid w:val="00312C50"/>
    <w:rsid w:val="00315498"/>
    <w:rsid w:val="00315836"/>
    <w:rsid w:val="00316297"/>
    <w:rsid w:val="00317E95"/>
    <w:rsid w:val="00320D49"/>
    <w:rsid w:val="00321D80"/>
    <w:rsid w:val="003243BA"/>
    <w:rsid w:val="0032587B"/>
    <w:rsid w:val="00325991"/>
    <w:rsid w:val="00325E80"/>
    <w:rsid w:val="003263A9"/>
    <w:rsid w:val="00330022"/>
    <w:rsid w:val="003302F3"/>
    <w:rsid w:val="0033252F"/>
    <w:rsid w:val="00334699"/>
    <w:rsid w:val="00335BC8"/>
    <w:rsid w:val="003366C9"/>
    <w:rsid w:val="003371B0"/>
    <w:rsid w:val="003400A9"/>
    <w:rsid w:val="003415ED"/>
    <w:rsid w:val="00342A8E"/>
    <w:rsid w:val="00342F1A"/>
    <w:rsid w:val="0034429B"/>
    <w:rsid w:val="00344AC2"/>
    <w:rsid w:val="003508A6"/>
    <w:rsid w:val="003519D8"/>
    <w:rsid w:val="0035620E"/>
    <w:rsid w:val="00362AF7"/>
    <w:rsid w:val="00364CA2"/>
    <w:rsid w:val="003661F2"/>
    <w:rsid w:val="003662CB"/>
    <w:rsid w:val="00370057"/>
    <w:rsid w:val="00370453"/>
    <w:rsid w:val="00372D0C"/>
    <w:rsid w:val="00372E0F"/>
    <w:rsid w:val="00373703"/>
    <w:rsid w:val="00374699"/>
    <w:rsid w:val="003819C3"/>
    <w:rsid w:val="003821A5"/>
    <w:rsid w:val="0038365C"/>
    <w:rsid w:val="00384A4C"/>
    <w:rsid w:val="00386B74"/>
    <w:rsid w:val="00391D16"/>
    <w:rsid w:val="003942F5"/>
    <w:rsid w:val="0039565F"/>
    <w:rsid w:val="00396E18"/>
    <w:rsid w:val="00396FD0"/>
    <w:rsid w:val="003A085F"/>
    <w:rsid w:val="003A1A7A"/>
    <w:rsid w:val="003A5AD9"/>
    <w:rsid w:val="003B6B88"/>
    <w:rsid w:val="003C2DD3"/>
    <w:rsid w:val="003C4155"/>
    <w:rsid w:val="003D0EA3"/>
    <w:rsid w:val="003D1828"/>
    <w:rsid w:val="003D2422"/>
    <w:rsid w:val="003D7710"/>
    <w:rsid w:val="003E073A"/>
    <w:rsid w:val="003E3235"/>
    <w:rsid w:val="003E5863"/>
    <w:rsid w:val="003E66F9"/>
    <w:rsid w:val="003E74A2"/>
    <w:rsid w:val="003F144E"/>
    <w:rsid w:val="003F2A56"/>
    <w:rsid w:val="003F35C7"/>
    <w:rsid w:val="003F4156"/>
    <w:rsid w:val="003F44EC"/>
    <w:rsid w:val="003F4557"/>
    <w:rsid w:val="003F6DFB"/>
    <w:rsid w:val="003F7BD6"/>
    <w:rsid w:val="00401447"/>
    <w:rsid w:val="00402439"/>
    <w:rsid w:val="00405274"/>
    <w:rsid w:val="00405CA2"/>
    <w:rsid w:val="004067E0"/>
    <w:rsid w:val="00410248"/>
    <w:rsid w:val="00410708"/>
    <w:rsid w:val="00410EC7"/>
    <w:rsid w:val="00414476"/>
    <w:rsid w:val="004165BF"/>
    <w:rsid w:val="004178C2"/>
    <w:rsid w:val="00420B9F"/>
    <w:rsid w:val="00421EF4"/>
    <w:rsid w:val="00424996"/>
    <w:rsid w:val="00426A32"/>
    <w:rsid w:val="00430AED"/>
    <w:rsid w:val="0043154B"/>
    <w:rsid w:val="004319F8"/>
    <w:rsid w:val="00432729"/>
    <w:rsid w:val="00433044"/>
    <w:rsid w:val="00433D40"/>
    <w:rsid w:val="00434F54"/>
    <w:rsid w:val="004419F2"/>
    <w:rsid w:val="004443A7"/>
    <w:rsid w:val="004463B8"/>
    <w:rsid w:val="004464EB"/>
    <w:rsid w:val="0045011F"/>
    <w:rsid w:val="00450CB5"/>
    <w:rsid w:val="0045150A"/>
    <w:rsid w:val="00451BFA"/>
    <w:rsid w:val="00453E7D"/>
    <w:rsid w:val="00455296"/>
    <w:rsid w:val="00455577"/>
    <w:rsid w:val="00455D45"/>
    <w:rsid w:val="00457F9A"/>
    <w:rsid w:val="00464595"/>
    <w:rsid w:val="00464C17"/>
    <w:rsid w:val="00465898"/>
    <w:rsid w:val="00466D71"/>
    <w:rsid w:val="00467C32"/>
    <w:rsid w:val="00470EAD"/>
    <w:rsid w:val="00472AA0"/>
    <w:rsid w:val="00475C97"/>
    <w:rsid w:val="00477D90"/>
    <w:rsid w:val="00477ED5"/>
    <w:rsid w:val="00481272"/>
    <w:rsid w:val="00482057"/>
    <w:rsid w:val="0048603F"/>
    <w:rsid w:val="004867E2"/>
    <w:rsid w:val="00491B3A"/>
    <w:rsid w:val="00492CFD"/>
    <w:rsid w:val="004962D2"/>
    <w:rsid w:val="00496E57"/>
    <w:rsid w:val="004A09D9"/>
    <w:rsid w:val="004A0DA1"/>
    <w:rsid w:val="004A13E6"/>
    <w:rsid w:val="004A1C00"/>
    <w:rsid w:val="004A2B11"/>
    <w:rsid w:val="004A2B19"/>
    <w:rsid w:val="004A39CD"/>
    <w:rsid w:val="004A6597"/>
    <w:rsid w:val="004A6BE7"/>
    <w:rsid w:val="004B1CB4"/>
    <w:rsid w:val="004B2F18"/>
    <w:rsid w:val="004B3DDB"/>
    <w:rsid w:val="004B40A9"/>
    <w:rsid w:val="004B44FD"/>
    <w:rsid w:val="004B5298"/>
    <w:rsid w:val="004B5CFC"/>
    <w:rsid w:val="004B5F06"/>
    <w:rsid w:val="004B6672"/>
    <w:rsid w:val="004B712C"/>
    <w:rsid w:val="004C3D25"/>
    <w:rsid w:val="004C4AED"/>
    <w:rsid w:val="004C761E"/>
    <w:rsid w:val="004D076F"/>
    <w:rsid w:val="004D0827"/>
    <w:rsid w:val="004D369D"/>
    <w:rsid w:val="004D5296"/>
    <w:rsid w:val="004D7C46"/>
    <w:rsid w:val="004D7EBB"/>
    <w:rsid w:val="004E04AB"/>
    <w:rsid w:val="004E0777"/>
    <w:rsid w:val="004E0EB8"/>
    <w:rsid w:val="004E1706"/>
    <w:rsid w:val="004E2ADC"/>
    <w:rsid w:val="004E43B2"/>
    <w:rsid w:val="004E49F3"/>
    <w:rsid w:val="004E6AD0"/>
    <w:rsid w:val="004E7235"/>
    <w:rsid w:val="004F1232"/>
    <w:rsid w:val="004F1D02"/>
    <w:rsid w:val="004F2679"/>
    <w:rsid w:val="004F50F4"/>
    <w:rsid w:val="004F7865"/>
    <w:rsid w:val="004F79B3"/>
    <w:rsid w:val="005043B9"/>
    <w:rsid w:val="005048C7"/>
    <w:rsid w:val="00505065"/>
    <w:rsid w:val="0050631C"/>
    <w:rsid w:val="00506928"/>
    <w:rsid w:val="005109A4"/>
    <w:rsid w:val="00511329"/>
    <w:rsid w:val="005136B6"/>
    <w:rsid w:val="00514AC4"/>
    <w:rsid w:val="005152B5"/>
    <w:rsid w:val="0052064D"/>
    <w:rsid w:val="0052105E"/>
    <w:rsid w:val="00521319"/>
    <w:rsid w:val="00523C28"/>
    <w:rsid w:val="0052474A"/>
    <w:rsid w:val="00530472"/>
    <w:rsid w:val="0053187C"/>
    <w:rsid w:val="005335FB"/>
    <w:rsid w:val="00533B9B"/>
    <w:rsid w:val="005351A1"/>
    <w:rsid w:val="005367BD"/>
    <w:rsid w:val="005417EF"/>
    <w:rsid w:val="005440E1"/>
    <w:rsid w:val="00544FA2"/>
    <w:rsid w:val="005460AB"/>
    <w:rsid w:val="0055033D"/>
    <w:rsid w:val="00552189"/>
    <w:rsid w:val="00552BD3"/>
    <w:rsid w:val="00555109"/>
    <w:rsid w:val="005565CB"/>
    <w:rsid w:val="0056696F"/>
    <w:rsid w:val="00570D61"/>
    <w:rsid w:val="0057104F"/>
    <w:rsid w:val="0057220E"/>
    <w:rsid w:val="00575D8D"/>
    <w:rsid w:val="00576972"/>
    <w:rsid w:val="005802FF"/>
    <w:rsid w:val="00580CEF"/>
    <w:rsid w:val="00581EB0"/>
    <w:rsid w:val="0058312C"/>
    <w:rsid w:val="00583176"/>
    <w:rsid w:val="00583699"/>
    <w:rsid w:val="0058631C"/>
    <w:rsid w:val="00592030"/>
    <w:rsid w:val="00593C3C"/>
    <w:rsid w:val="00593FED"/>
    <w:rsid w:val="00594397"/>
    <w:rsid w:val="005944B3"/>
    <w:rsid w:val="00595F03"/>
    <w:rsid w:val="005A3EDA"/>
    <w:rsid w:val="005A6486"/>
    <w:rsid w:val="005A7E38"/>
    <w:rsid w:val="005B0984"/>
    <w:rsid w:val="005B19A5"/>
    <w:rsid w:val="005B3CB2"/>
    <w:rsid w:val="005B3E89"/>
    <w:rsid w:val="005B57CD"/>
    <w:rsid w:val="005B5857"/>
    <w:rsid w:val="005C01F0"/>
    <w:rsid w:val="005C1B83"/>
    <w:rsid w:val="005C346B"/>
    <w:rsid w:val="005C4173"/>
    <w:rsid w:val="005C4525"/>
    <w:rsid w:val="005C498A"/>
    <w:rsid w:val="005C5D31"/>
    <w:rsid w:val="005C65BF"/>
    <w:rsid w:val="005C7211"/>
    <w:rsid w:val="005C794E"/>
    <w:rsid w:val="005D044D"/>
    <w:rsid w:val="005D18AD"/>
    <w:rsid w:val="005D1909"/>
    <w:rsid w:val="005D2A2E"/>
    <w:rsid w:val="005D3A8A"/>
    <w:rsid w:val="005E1F3C"/>
    <w:rsid w:val="005E27EE"/>
    <w:rsid w:val="005E3BB6"/>
    <w:rsid w:val="005E46CB"/>
    <w:rsid w:val="005E567B"/>
    <w:rsid w:val="005E73C0"/>
    <w:rsid w:val="005F2706"/>
    <w:rsid w:val="005F3AA5"/>
    <w:rsid w:val="005F4392"/>
    <w:rsid w:val="005F47A5"/>
    <w:rsid w:val="005F6518"/>
    <w:rsid w:val="005F6A8F"/>
    <w:rsid w:val="0060355F"/>
    <w:rsid w:val="00604B6B"/>
    <w:rsid w:val="00604C4D"/>
    <w:rsid w:val="00607669"/>
    <w:rsid w:val="00607FA9"/>
    <w:rsid w:val="0061096D"/>
    <w:rsid w:val="00612BAA"/>
    <w:rsid w:val="00612F97"/>
    <w:rsid w:val="00612FAF"/>
    <w:rsid w:val="00613CC3"/>
    <w:rsid w:val="006159FC"/>
    <w:rsid w:val="00616334"/>
    <w:rsid w:val="00616802"/>
    <w:rsid w:val="006178B9"/>
    <w:rsid w:val="00617E12"/>
    <w:rsid w:val="006201AC"/>
    <w:rsid w:val="00620FAE"/>
    <w:rsid w:val="006213CC"/>
    <w:rsid w:val="00621477"/>
    <w:rsid w:val="006230EB"/>
    <w:rsid w:val="006231C9"/>
    <w:rsid w:val="00625226"/>
    <w:rsid w:val="006256B0"/>
    <w:rsid w:val="00630E5D"/>
    <w:rsid w:val="00631D6B"/>
    <w:rsid w:val="006322FB"/>
    <w:rsid w:val="0063479F"/>
    <w:rsid w:val="006364A1"/>
    <w:rsid w:val="00637BFD"/>
    <w:rsid w:val="00641F9C"/>
    <w:rsid w:val="00645CE3"/>
    <w:rsid w:val="006466EE"/>
    <w:rsid w:val="00646FA8"/>
    <w:rsid w:val="006471CC"/>
    <w:rsid w:val="0065079F"/>
    <w:rsid w:val="0065187C"/>
    <w:rsid w:val="00653503"/>
    <w:rsid w:val="00654E74"/>
    <w:rsid w:val="00655B53"/>
    <w:rsid w:val="006564CF"/>
    <w:rsid w:val="00657C4A"/>
    <w:rsid w:val="0066053B"/>
    <w:rsid w:val="00660AD9"/>
    <w:rsid w:val="006630E6"/>
    <w:rsid w:val="006631D5"/>
    <w:rsid w:val="006643EA"/>
    <w:rsid w:val="00665B30"/>
    <w:rsid w:val="00666B9F"/>
    <w:rsid w:val="00666C30"/>
    <w:rsid w:val="00666F72"/>
    <w:rsid w:val="0066779C"/>
    <w:rsid w:val="00671394"/>
    <w:rsid w:val="00674E42"/>
    <w:rsid w:val="00675024"/>
    <w:rsid w:val="00675EA8"/>
    <w:rsid w:val="00682112"/>
    <w:rsid w:val="00682475"/>
    <w:rsid w:val="00682950"/>
    <w:rsid w:val="00682A0D"/>
    <w:rsid w:val="006838FC"/>
    <w:rsid w:val="006867B0"/>
    <w:rsid w:val="0068700D"/>
    <w:rsid w:val="006872BA"/>
    <w:rsid w:val="006917D7"/>
    <w:rsid w:val="00692084"/>
    <w:rsid w:val="00692ED3"/>
    <w:rsid w:val="00694F44"/>
    <w:rsid w:val="006952B9"/>
    <w:rsid w:val="0069541F"/>
    <w:rsid w:val="00695A38"/>
    <w:rsid w:val="006A050B"/>
    <w:rsid w:val="006A0742"/>
    <w:rsid w:val="006A265F"/>
    <w:rsid w:val="006A27EE"/>
    <w:rsid w:val="006A6602"/>
    <w:rsid w:val="006A6B2F"/>
    <w:rsid w:val="006A72DA"/>
    <w:rsid w:val="006B11D4"/>
    <w:rsid w:val="006B4010"/>
    <w:rsid w:val="006B40EE"/>
    <w:rsid w:val="006B45AF"/>
    <w:rsid w:val="006B6550"/>
    <w:rsid w:val="006B6CFE"/>
    <w:rsid w:val="006C2A8E"/>
    <w:rsid w:val="006D3705"/>
    <w:rsid w:val="006D38F3"/>
    <w:rsid w:val="006D3C7D"/>
    <w:rsid w:val="006D463C"/>
    <w:rsid w:val="006D5D5F"/>
    <w:rsid w:val="006D6B63"/>
    <w:rsid w:val="006D6BD2"/>
    <w:rsid w:val="006E1799"/>
    <w:rsid w:val="006E4911"/>
    <w:rsid w:val="006F006B"/>
    <w:rsid w:val="006F63A5"/>
    <w:rsid w:val="006F6FF3"/>
    <w:rsid w:val="00700906"/>
    <w:rsid w:val="0070276E"/>
    <w:rsid w:val="00702F8F"/>
    <w:rsid w:val="00711006"/>
    <w:rsid w:val="00711A36"/>
    <w:rsid w:val="0071290F"/>
    <w:rsid w:val="00714589"/>
    <w:rsid w:val="00714ACC"/>
    <w:rsid w:val="007172AD"/>
    <w:rsid w:val="007219CB"/>
    <w:rsid w:val="007233CF"/>
    <w:rsid w:val="0072416F"/>
    <w:rsid w:val="007271E5"/>
    <w:rsid w:val="0073173F"/>
    <w:rsid w:val="00735328"/>
    <w:rsid w:val="00735385"/>
    <w:rsid w:val="00736532"/>
    <w:rsid w:val="0073685B"/>
    <w:rsid w:val="00740D57"/>
    <w:rsid w:val="00741328"/>
    <w:rsid w:val="00744594"/>
    <w:rsid w:val="007450A9"/>
    <w:rsid w:val="0074564A"/>
    <w:rsid w:val="00746100"/>
    <w:rsid w:val="00746C5A"/>
    <w:rsid w:val="00746E43"/>
    <w:rsid w:val="007471CC"/>
    <w:rsid w:val="007526A2"/>
    <w:rsid w:val="0075620D"/>
    <w:rsid w:val="007569A3"/>
    <w:rsid w:val="00762FD7"/>
    <w:rsid w:val="00765F09"/>
    <w:rsid w:val="00767501"/>
    <w:rsid w:val="00767DEF"/>
    <w:rsid w:val="00767FBD"/>
    <w:rsid w:val="007733D9"/>
    <w:rsid w:val="00774017"/>
    <w:rsid w:val="00781B56"/>
    <w:rsid w:val="00782CCF"/>
    <w:rsid w:val="00783816"/>
    <w:rsid w:val="007866BE"/>
    <w:rsid w:val="00787206"/>
    <w:rsid w:val="00790A1B"/>
    <w:rsid w:val="007931A0"/>
    <w:rsid w:val="007962F6"/>
    <w:rsid w:val="00796807"/>
    <w:rsid w:val="007A0A12"/>
    <w:rsid w:val="007A31F3"/>
    <w:rsid w:val="007A581A"/>
    <w:rsid w:val="007A6E24"/>
    <w:rsid w:val="007A7AEE"/>
    <w:rsid w:val="007B245D"/>
    <w:rsid w:val="007B251D"/>
    <w:rsid w:val="007B3CDB"/>
    <w:rsid w:val="007B44F0"/>
    <w:rsid w:val="007B629E"/>
    <w:rsid w:val="007B77D1"/>
    <w:rsid w:val="007C05CD"/>
    <w:rsid w:val="007C0D5E"/>
    <w:rsid w:val="007C361D"/>
    <w:rsid w:val="007C393B"/>
    <w:rsid w:val="007D0B38"/>
    <w:rsid w:val="007D1D38"/>
    <w:rsid w:val="007D2300"/>
    <w:rsid w:val="007D5CDD"/>
    <w:rsid w:val="007D65EF"/>
    <w:rsid w:val="007E34C5"/>
    <w:rsid w:val="007E5A4A"/>
    <w:rsid w:val="007E7880"/>
    <w:rsid w:val="007F1017"/>
    <w:rsid w:val="007F4A3F"/>
    <w:rsid w:val="00800826"/>
    <w:rsid w:val="008032D8"/>
    <w:rsid w:val="00805140"/>
    <w:rsid w:val="00805142"/>
    <w:rsid w:val="008054A7"/>
    <w:rsid w:val="00807A8B"/>
    <w:rsid w:val="00812149"/>
    <w:rsid w:val="008166EF"/>
    <w:rsid w:val="00816E7B"/>
    <w:rsid w:val="008264EB"/>
    <w:rsid w:val="00833B05"/>
    <w:rsid w:val="008354FA"/>
    <w:rsid w:val="00840CA2"/>
    <w:rsid w:val="00845083"/>
    <w:rsid w:val="0084570B"/>
    <w:rsid w:val="0084626A"/>
    <w:rsid w:val="00847FEF"/>
    <w:rsid w:val="00852726"/>
    <w:rsid w:val="008530A0"/>
    <w:rsid w:val="008554DB"/>
    <w:rsid w:val="00856E9A"/>
    <w:rsid w:val="00857E0E"/>
    <w:rsid w:val="008602F6"/>
    <w:rsid w:val="00862502"/>
    <w:rsid w:val="008625A6"/>
    <w:rsid w:val="00866CA9"/>
    <w:rsid w:val="0087066E"/>
    <w:rsid w:val="008719A3"/>
    <w:rsid w:val="00875007"/>
    <w:rsid w:val="008779C3"/>
    <w:rsid w:val="00877C45"/>
    <w:rsid w:val="008807AB"/>
    <w:rsid w:val="0088184F"/>
    <w:rsid w:val="008822A2"/>
    <w:rsid w:val="00882874"/>
    <w:rsid w:val="00883787"/>
    <w:rsid w:val="00884ED1"/>
    <w:rsid w:val="00885D80"/>
    <w:rsid w:val="0089047A"/>
    <w:rsid w:val="00894489"/>
    <w:rsid w:val="008963A5"/>
    <w:rsid w:val="008A0B80"/>
    <w:rsid w:val="008A389E"/>
    <w:rsid w:val="008A3C3E"/>
    <w:rsid w:val="008A6720"/>
    <w:rsid w:val="008A79DE"/>
    <w:rsid w:val="008B0955"/>
    <w:rsid w:val="008B1AA5"/>
    <w:rsid w:val="008B7D7E"/>
    <w:rsid w:val="008C11B1"/>
    <w:rsid w:val="008C4584"/>
    <w:rsid w:val="008C5624"/>
    <w:rsid w:val="008C6A07"/>
    <w:rsid w:val="008C7ECB"/>
    <w:rsid w:val="008D1E02"/>
    <w:rsid w:val="008D3B0F"/>
    <w:rsid w:val="008D4973"/>
    <w:rsid w:val="008E185A"/>
    <w:rsid w:val="008E1B9E"/>
    <w:rsid w:val="008E1CC2"/>
    <w:rsid w:val="008E2728"/>
    <w:rsid w:val="008E2E2C"/>
    <w:rsid w:val="008E3232"/>
    <w:rsid w:val="008E4081"/>
    <w:rsid w:val="008E5774"/>
    <w:rsid w:val="008E69F4"/>
    <w:rsid w:val="008F120A"/>
    <w:rsid w:val="008F1BCE"/>
    <w:rsid w:val="008F1FC7"/>
    <w:rsid w:val="008F2707"/>
    <w:rsid w:val="008F3EA2"/>
    <w:rsid w:val="008F48EB"/>
    <w:rsid w:val="008F4F0B"/>
    <w:rsid w:val="008F657E"/>
    <w:rsid w:val="008F7C15"/>
    <w:rsid w:val="009030A3"/>
    <w:rsid w:val="009036E9"/>
    <w:rsid w:val="0090421A"/>
    <w:rsid w:val="00905897"/>
    <w:rsid w:val="009062A5"/>
    <w:rsid w:val="00911272"/>
    <w:rsid w:val="00912420"/>
    <w:rsid w:val="00914074"/>
    <w:rsid w:val="009177A7"/>
    <w:rsid w:val="00920715"/>
    <w:rsid w:val="0092151E"/>
    <w:rsid w:val="0092156F"/>
    <w:rsid w:val="00921D7D"/>
    <w:rsid w:val="00922080"/>
    <w:rsid w:val="00922EB9"/>
    <w:rsid w:val="00924E3F"/>
    <w:rsid w:val="009273BA"/>
    <w:rsid w:val="00930260"/>
    <w:rsid w:val="00930FA8"/>
    <w:rsid w:val="00935FA4"/>
    <w:rsid w:val="009369E5"/>
    <w:rsid w:val="009431E1"/>
    <w:rsid w:val="00945554"/>
    <w:rsid w:val="00947788"/>
    <w:rsid w:val="009542AA"/>
    <w:rsid w:val="00956DF8"/>
    <w:rsid w:val="0096184F"/>
    <w:rsid w:val="00961CC5"/>
    <w:rsid w:val="00962180"/>
    <w:rsid w:val="00962CB9"/>
    <w:rsid w:val="00964312"/>
    <w:rsid w:val="00967814"/>
    <w:rsid w:val="009678F8"/>
    <w:rsid w:val="00970407"/>
    <w:rsid w:val="009715F8"/>
    <w:rsid w:val="00973677"/>
    <w:rsid w:val="009812B3"/>
    <w:rsid w:val="00981E5E"/>
    <w:rsid w:val="00982202"/>
    <w:rsid w:val="00982EE4"/>
    <w:rsid w:val="009830FE"/>
    <w:rsid w:val="00983D58"/>
    <w:rsid w:val="00983E57"/>
    <w:rsid w:val="009845AC"/>
    <w:rsid w:val="00984CFA"/>
    <w:rsid w:val="00990593"/>
    <w:rsid w:val="00990EAC"/>
    <w:rsid w:val="00996B1A"/>
    <w:rsid w:val="009A0FFF"/>
    <w:rsid w:val="009A17A2"/>
    <w:rsid w:val="009A2AE6"/>
    <w:rsid w:val="009A2BE7"/>
    <w:rsid w:val="009A43D3"/>
    <w:rsid w:val="009A5652"/>
    <w:rsid w:val="009A5C7C"/>
    <w:rsid w:val="009A69B8"/>
    <w:rsid w:val="009B09CB"/>
    <w:rsid w:val="009B0AB8"/>
    <w:rsid w:val="009B1F02"/>
    <w:rsid w:val="009B3C55"/>
    <w:rsid w:val="009B3E26"/>
    <w:rsid w:val="009C041D"/>
    <w:rsid w:val="009C2C50"/>
    <w:rsid w:val="009C3FC6"/>
    <w:rsid w:val="009C5B1A"/>
    <w:rsid w:val="009C6A5A"/>
    <w:rsid w:val="009D5B91"/>
    <w:rsid w:val="009D5BE7"/>
    <w:rsid w:val="009E056E"/>
    <w:rsid w:val="009E12F4"/>
    <w:rsid w:val="009E1966"/>
    <w:rsid w:val="009E1F87"/>
    <w:rsid w:val="009E4036"/>
    <w:rsid w:val="009E448A"/>
    <w:rsid w:val="009E4C07"/>
    <w:rsid w:val="009E5F89"/>
    <w:rsid w:val="009E791F"/>
    <w:rsid w:val="009F1389"/>
    <w:rsid w:val="009F3118"/>
    <w:rsid w:val="009F51DB"/>
    <w:rsid w:val="009F6330"/>
    <w:rsid w:val="009F6AA0"/>
    <w:rsid w:val="009F70F1"/>
    <w:rsid w:val="009F74FA"/>
    <w:rsid w:val="00A01656"/>
    <w:rsid w:val="00A0259F"/>
    <w:rsid w:val="00A028ED"/>
    <w:rsid w:val="00A03D43"/>
    <w:rsid w:val="00A04380"/>
    <w:rsid w:val="00A072D7"/>
    <w:rsid w:val="00A11F5F"/>
    <w:rsid w:val="00A13948"/>
    <w:rsid w:val="00A1647B"/>
    <w:rsid w:val="00A16F92"/>
    <w:rsid w:val="00A20BF0"/>
    <w:rsid w:val="00A2133B"/>
    <w:rsid w:val="00A25C45"/>
    <w:rsid w:val="00A2780D"/>
    <w:rsid w:val="00A27AEC"/>
    <w:rsid w:val="00A35D16"/>
    <w:rsid w:val="00A41101"/>
    <w:rsid w:val="00A42A10"/>
    <w:rsid w:val="00A433E2"/>
    <w:rsid w:val="00A43C59"/>
    <w:rsid w:val="00A44A1C"/>
    <w:rsid w:val="00A44C0B"/>
    <w:rsid w:val="00A44FFC"/>
    <w:rsid w:val="00A450D7"/>
    <w:rsid w:val="00A45F02"/>
    <w:rsid w:val="00A50ECD"/>
    <w:rsid w:val="00A52729"/>
    <w:rsid w:val="00A53675"/>
    <w:rsid w:val="00A56617"/>
    <w:rsid w:val="00A56B6A"/>
    <w:rsid w:val="00A56CAB"/>
    <w:rsid w:val="00A56D77"/>
    <w:rsid w:val="00A578DC"/>
    <w:rsid w:val="00A624B4"/>
    <w:rsid w:val="00A62CAA"/>
    <w:rsid w:val="00A63E61"/>
    <w:rsid w:val="00A656FE"/>
    <w:rsid w:val="00A671B7"/>
    <w:rsid w:val="00A6725B"/>
    <w:rsid w:val="00A72DBE"/>
    <w:rsid w:val="00A73EF0"/>
    <w:rsid w:val="00A74EBE"/>
    <w:rsid w:val="00A7561F"/>
    <w:rsid w:val="00A80092"/>
    <w:rsid w:val="00A8237A"/>
    <w:rsid w:val="00A83AC6"/>
    <w:rsid w:val="00A84A3B"/>
    <w:rsid w:val="00A85247"/>
    <w:rsid w:val="00A86E8B"/>
    <w:rsid w:val="00A927EB"/>
    <w:rsid w:val="00A927EE"/>
    <w:rsid w:val="00A93072"/>
    <w:rsid w:val="00A9361A"/>
    <w:rsid w:val="00A94769"/>
    <w:rsid w:val="00A959D8"/>
    <w:rsid w:val="00A977B4"/>
    <w:rsid w:val="00AA4D14"/>
    <w:rsid w:val="00AB042A"/>
    <w:rsid w:val="00AB1B94"/>
    <w:rsid w:val="00AB1DFB"/>
    <w:rsid w:val="00AB2D34"/>
    <w:rsid w:val="00AB3430"/>
    <w:rsid w:val="00AB7CFA"/>
    <w:rsid w:val="00AC1C59"/>
    <w:rsid w:val="00AC327A"/>
    <w:rsid w:val="00AC46BB"/>
    <w:rsid w:val="00AC6433"/>
    <w:rsid w:val="00AC66B7"/>
    <w:rsid w:val="00AD4820"/>
    <w:rsid w:val="00AD4AF4"/>
    <w:rsid w:val="00AD4C77"/>
    <w:rsid w:val="00AD4D26"/>
    <w:rsid w:val="00AE0783"/>
    <w:rsid w:val="00AE234B"/>
    <w:rsid w:val="00AF1C5D"/>
    <w:rsid w:val="00AF4F65"/>
    <w:rsid w:val="00B00CB6"/>
    <w:rsid w:val="00B0150B"/>
    <w:rsid w:val="00B0474B"/>
    <w:rsid w:val="00B13A8F"/>
    <w:rsid w:val="00B1665D"/>
    <w:rsid w:val="00B16785"/>
    <w:rsid w:val="00B21E04"/>
    <w:rsid w:val="00B350FA"/>
    <w:rsid w:val="00B35177"/>
    <w:rsid w:val="00B40683"/>
    <w:rsid w:val="00B4184A"/>
    <w:rsid w:val="00B423A0"/>
    <w:rsid w:val="00B42851"/>
    <w:rsid w:val="00B43D59"/>
    <w:rsid w:val="00B43F38"/>
    <w:rsid w:val="00B47923"/>
    <w:rsid w:val="00B47BE6"/>
    <w:rsid w:val="00B50DB8"/>
    <w:rsid w:val="00B5105D"/>
    <w:rsid w:val="00B53672"/>
    <w:rsid w:val="00B53706"/>
    <w:rsid w:val="00B53905"/>
    <w:rsid w:val="00B54159"/>
    <w:rsid w:val="00B54B5B"/>
    <w:rsid w:val="00B5562E"/>
    <w:rsid w:val="00B57000"/>
    <w:rsid w:val="00B60648"/>
    <w:rsid w:val="00B60939"/>
    <w:rsid w:val="00B60AFD"/>
    <w:rsid w:val="00B61EE0"/>
    <w:rsid w:val="00B62715"/>
    <w:rsid w:val="00B6288F"/>
    <w:rsid w:val="00B62AF1"/>
    <w:rsid w:val="00B73D4D"/>
    <w:rsid w:val="00B73FAE"/>
    <w:rsid w:val="00B742B5"/>
    <w:rsid w:val="00B76354"/>
    <w:rsid w:val="00B76CD0"/>
    <w:rsid w:val="00B77319"/>
    <w:rsid w:val="00B77E8B"/>
    <w:rsid w:val="00B800C8"/>
    <w:rsid w:val="00B80DCF"/>
    <w:rsid w:val="00B80EE0"/>
    <w:rsid w:val="00B81462"/>
    <w:rsid w:val="00B818A4"/>
    <w:rsid w:val="00B856DE"/>
    <w:rsid w:val="00B8649C"/>
    <w:rsid w:val="00B92D0B"/>
    <w:rsid w:val="00B92D51"/>
    <w:rsid w:val="00B94945"/>
    <w:rsid w:val="00B96A59"/>
    <w:rsid w:val="00BA080A"/>
    <w:rsid w:val="00BA09E1"/>
    <w:rsid w:val="00BA10B3"/>
    <w:rsid w:val="00BA345E"/>
    <w:rsid w:val="00BA51EB"/>
    <w:rsid w:val="00BA5BB3"/>
    <w:rsid w:val="00BA5CB9"/>
    <w:rsid w:val="00BA7DE4"/>
    <w:rsid w:val="00BB0EC4"/>
    <w:rsid w:val="00BB2B75"/>
    <w:rsid w:val="00BB397D"/>
    <w:rsid w:val="00BB6196"/>
    <w:rsid w:val="00BB7405"/>
    <w:rsid w:val="00BC42CA"/>
    <w:rsid w:val="00BC5E22"/>
    <w:rsid w:val="00BC7364"/>
    <w:rsid w:val="00BD1038"/>
    <w:rsid w:val="00BD21A1"/>
    <w:rsid w:val="00BD2737"/>
    <w:rsid w:val="00BD3702"/>
    <w:rsid w:val="00BD4E9D"/>
    <w:rsid w:val="00BD6CF3"/>
    <w:rsid w:val="00BD74E4"/>
    <w:rsid w:val="00BE0C68"/>
    <w:rsid w:val="00BE2180"/>
    <w:rsid w:val="00BE2B8A"/>
    <w:rsid w:val="00BE2DA4"/>
    <w:rsid w:val="00BE30FF"/>
    <w:rsid w:val="00BE4275"/>
    <w:rsid w:val="00BF1B1A"/>
    <w:rsid w:val="00BF2433"/>
    <w:rsid w:val="00BF61C9"/>
    <w:rsid w:val="00C059DA"/>
    <w:rsid w:val="00C065FB"/>
    <w:rsid w:val="00C06765"/>
    <w:rsid w:val="00C20017"/>
    <w:rsid w:val="00C205DF"/>
    <w:rsid w:val="00C20CFF"/>
    <w:rsid w:val="00C21718"/>
    <w:rsid w:val="00C2269A"/>
    <w:rsid w:val="00C22E26"/>
    <w:rsid w:val="00C2343A"/>
    <w:rsid w:val="00C24303"/>
    <w:rsid w:val="00C24A63"/>
    <w:rsid w:val="00C25418"/>
    <w:rsid w:val="00C25D9C"/>
    <w:rsid w:val="00C31649"/>
    <w:rsid w:val="00C347BF"/>
    <w:rsid w:val="00C369B4"/>
    <w:rsid w:val="00C36B4B"/>
    <w:rsid w:val="00C3781C"/>
    <w:rsid w:val="00C40385"/>
    <w:rsid w:val="00C40ACB"/>
    <w:rsid w:val="00C42398"/>
    <w:rsid w:val="00C4457B"/>
    <w:rsid w:val="00C4472F"/>
    <w:rsid w:val="00C47EE7"/>
    <w:rsid w:val="00C52AAC"/>
    <w:rsid w:val="00C566AE"/>
    <w:rsid w:val="00C57133"/>
    <w:rsid w:val="00C57F3E"/>
    <w:rsid w:val="00C61951"/>
    <w:rsid w:val="00C6525C"/>
    <w:rsid w:val="00C65576"/>
    <w:rsid w:val="00C66165"/>
    <w:rsid w:val="00C665EA"/>
    <w:rsid w:val="00C667E2"/>
    <w:rsid w:val="00C67B1B"/>
    <w:rsid w:val="00C734FC"/>
    <w:rsid w:val="00C750C8"/>
    <w:rsid w:val="00C77B81"/>
    <w:rsid w:val="00C77D75"/>
    <w:rsid w:val="00C811F8"/>
    <w:rsid w:val="00C81957"/>
    <w:rsid w:val="00C8213F"/>
    <w:rsid w:val="00C82E64"/>
    <w:rsid w:val="00C83955"/>
    <w:rsid w:val="00C850B7"/>
    <w:rsid w:val="00C855DF"/>
    <w:rsid w:val="00C8797A"/>
    <w:rsid w:val="00C917C0"/>
    <w:rsid w:val="00C91803"/>
    <w:rsid w:val="00C93644"/>
    <w:rsid w:val="00C938CF"/>
    <w:rsid w:val="00C93D71"/>
    <w:rsid w:val="00C94B88"/>
    <w:rsid w:val="00CA0AF5"/>
    <w:rsid w:val="00CA25EC"/>
    <w:rsid w:val="00CA29DF"/>
    <w:rsid w:val="00CA4D9F"/>
    <w:rsid w:val="00CA5245"/>
    <w:rsid w:val="00CA52FE"/>
    <w:rsid w:val="00CA5B54"/>
    <w:rsid w:val="00CA74A8"/>
    <w:rsid w:val="00CA7958"/>
    <w:rsid w:val="00CA7B09"/>
    <w:rsid w:val="00CB1CE1"/>
    <w:rsid w:val="00CB2DF3"/>
    <w:rsid w:val="00CB4783"/>
    <w:rsid w:val="00CB4F6D"/>
    <w:rsid w:val="00CB5B1A"/>
    <w:rsid w:val="00CB60D1"/>
    <w:rsid w:val="00CC1E4F"/>
    <w:rsid w:val="00CC3BF6"/>
    <w:rsid w:val="00CC781A"/>
    <w:rsid w:val="00CD22FC"/>
    <w:rsid w:val="00CD3183"/>
    <w:rsid w:val="00CD34A5"/>
    <w:rsid w:val="00CD3CF2"/>
    <w:rsid w:val="00CD53C3"/>
    <w:rsid w:val="00CD6ADC"/>
    <w:rsid w:val="00CE044B"/>
    <w:rsid w:val="00CE6274"/>
    <w:rsid w:val="00CF2640"/>
    <w:rsid w:val="00CF3075"/>
    <w:rsid w:val="00CF456B"/>
    <w:rsid w:val="00CF5A22"/>
    <w:rsid w:val="00CF680C"/>
    <w:rsid w:val="00D00944"/>
    <w:rsid w:val="00D01A90"/>
    <w:rsid w:val="00D0262E"/>
    <w:rsid w:val="00D03027"/>
    <w:rsid w:val="00D03F63"/>
    <w:rsid w:val="00D110BD"/>
    <w:rsid w:val="00D13F66"/>
    <w:rsid w:val="00D13FB6"/>
    <w:rsid w:val="00D14F82"/>
    <w:rsid w:val="00D16069"/>
    <w:rsid w:val="00D17D6C"/>
    <w:rsid w:val="00D20017"/>
    <w:rsid w:val="00D206BA"/>
    <w:rsid w:val="00D2353C"/>
    <w:rsid w:val="00D2363E"/>
    <w:rsid w:val="00D268FA"/>
    <w:rsid w:val="00D321D1"/>
    <w:rsid w:val="00D357FF"/>
    <w:rsid w:val="00D36794"/>
    <w:rsid w:val="00D3703B"/>
    <w:rsid w:val="00D41969"/>
    <w:rsid w:val="00D41AFF"/>
    <w:rsid w:val="00D45489"/>
    <w:rsid w:val="00D45AD2"/>
    <w:rsid w:val="00D568B4"/>
    <w:rsid w:val="00D641F7"/>
    <w:rsid w:val="00D65D91"/>
    <w:rsid w:val="00D66267"/>
    <w:rsid w:val="00D666DA"/>
    <w:rsid w:val="00D731D8"/>
    <w:rsid w:val="00D74146"/>
    <w:rsid w:val="00D7499C"/>
    <w:rsid w:val="00D754A9"/>
    <w:rsid w:val="00D75DEB"/>
    <w:rsid w:val="00D76333"/>
    <w:rsid w:val="00D76A44"/>
    <w:rsid w:val="00D80821"/>
    <w:rsid w:val="00D81983"/>
    <w:rsid w:val="00D84BE5"/>
    <w:rsid w:val="00D84BF8"/>
    <w:rsid w:val="00D870C3"/>
    <w:rsid w:val="00D87E74"/>
    <w:rsid w:val="00D91C71"/>
    <w:rsid w:val="00D93753"/>
    <w:rsid w:val="00D943B2"/>
    <w:rsid w:val="00D945A1"/>
    <w:rsid w:val="00D94D83"/>
    <w:rsid w:val="00D96E75"/>
    <w:rsid w:val="00D972DB"/>
    <w:rsid w:val="00D97A50"/>
    <w:rsid w:val="00DA0183"/>
    <w:rsid w:val="00DA422D"/>
    <w:rsid w:val="00DA42DF"/>
    <w:rsid w:val="00DA54FB"/>
    <w:rsid w:val="00DA77A5"/>
    <w:rsid w:val="00DA79E4"/>
    <w:rsid w:val="00DB0095"/>
    <w:rsid w:val="00DB0F8A"/>
    <w:rsid w:val="00DB26E7"/>
    <w:rsid w:val="00DB304C"/>
    <w:rsid w:val="00DB3E44"/>
    <w:rsid w:val="00DB6415"/>
    <w:rsid w:val="00DB6C2F"/>
    <w:rsid w:val="00DB7B3A"/>
    <w:rsid w:val="00DC1A26"/>
    <w:rsid w:val="00DC29E7"/>
    <w:rsid w:val="00DC4E53"/>
    <w:rsid w:val="00DC5501"/>
    <w:rsid w:val="00DC5D72"/>
    <w:rsid w:val="00DC6F5A"/>
    <w:rsid w:val="00DC7A75"/>
    <w:rsid w:val="00DC7F0F"/>
    <w:rsid w:val="00DD3D09"/>
    <w:rsid w:val="00DD3F28"/>
    <w:rsid w:val="00DD4537"/>
    <w:rsid w:val="00DD4E15"/>
    <w:rsid w:val="00DE0468"/>
    <w:rsid w:val="00DE156D"/>
    <w:rsid w:val="00DE15C9"/>
    <w:rsid w:val="00DE17DD"/>
    <w:rsid w:val="00DE4CB9"/>
    <w:rsid w:val="00DE4FCB"/>
    <w:rsid w:val="00DE562C"/>
    <w:rsid w:val="00DE6CE3"/>
    <w:rsid w:val="00DF4A95"/>
    <w:rsid w:val="00DF5D2B"/>
    <w:rsid w:val="00DF6837"/>
    <w:rsid w:val="00DF7B3D"/>
    <w:rsid w:val="00E0292E"/>
    <w:rsid w:val="00E04026"/>
    <w:rsid w:val="00E05D52"/>
    <w:rsid w:val="00E06EB7"/>
    <w:rsid w:val="00E071E1"/>
    <w:rsid w:val="00E10149"/>
    <w:rsid w:val="00E1277E"/>
    <w:rsid w:val="00E13849"/>
    <w:rsid w:val="00E1398C"/>
    <w:rsid w:val="00E16372"/>
    <w:rsid w:val="00E1661D"/>
    <w:rsid w:val="00E17420"/>
    <w:rsid w:val="00E20AFF"/>
    <w:rsid w:val="00E20ED6"/>
    <w:rsid w:val="00E21358"/>
    <w:rsid w:val="00E2249B"/>
    <w:rsid w:val="00E22A0D"/>
    <w:rsid w:val="00E24160"/>
    <w:rsid w:val="00E2771E"/>
    <w:rsid w:val="00E27895"/>
    <w:rsid w:val="00E30648"/>
    <w:rsid w:val="00E31F14"/>
    <w:rsid w:val="00E37569"/>
    <w:rsid w:val="00E400BA"/>
    <w:rsid w:val="00E41E30"/>
    <w:rsid w:val="00E4396F"/>
    <w:rsid w:val="00E43D70"/>
    <w:rsid w:val="00E450B8"/>
    <w:rsid w:val="00E45506"/>
    <w:rsid w:val="00E47B2C"/>
    <w:rsid w:val="00E5035E"/>
    <w:rsid w:val="00E51560"/>
    <w:rsid w:val="00E533B7"/>
    <w:rsid w:val="00E53CA4"/>
    <w:rsid w:val="00E55424"/>
    <w:rsid w:val="00E5579F"/>
    <w:rsid w:val="00E55BB5"/>
    <w:rsid w:val="00E57264"/>
    <w:rsid w:val="00E60973"/>
    <w:rsid w:val="00E63DD6"/>
    <w:rsid w:val="00E65E79"/>
    <w:rsid w:val="00E6688E"/>
    <w:rsid w:val="00E67416"/>
    <w:rsid w:val="00E67D8C"/>
    <w:rsid w:val="00E67FBA"/>
    <w:rsid w:val="00E7172F"/>
    <w:rsid w:val="00E718B6"/>
    <w:rsid w:val="00E73581"/>
    <w:rsid w:val="00E74602"/>
    <w:rsid w:val="00E771E9"/>
    <w:rsid w:val="00E77922"/>
    <w:rsid w:val="00E816AD"/>
    <w:rsid w:val="00E82897"/>
    <w:rsid w:val="00E82AA2"/>
    <w:rsid w:val="00E83BDF"/>
    <w:rsid w:val="00E843A6"/>
    <w:rsid w:val="00E843DE"/>
    <w:rsid w:val="00E8469F"/>
    <w:rsid w:val="00E867F4"/>
    <w:rsid w:val="00E87FEE"/>
    <w:rsid w:val="00E90505"/>
    <w:rsid w:val="00E92505"/>
    <w:rsid w:val="00E9269C"/>
    <w:rsid w:val="00E9520C"/>
    <w:rsid w:val="00E96463"/>
    <w:rsid w:val="00EA34F7"/>
    <w:rsid w:val="00EA3864"/>
    <w:rsid w:val="00EA74E1"/>
    <w:rsid w:val="00EA7CB2"/>
    <w:rsid w:val="00EA7D34"/>
    <w:rsid w:val="00EB15B6"/>
    <w:rsid w:val="00EB3B27"/>
    <w:rsid w:val="00EB4916"/>
    <w:rsid w:val="00EB6ADB"/>
    <w:rsid w:val="00EB758E"/>
    <w:rsid w:val="00EC00C9"/>
    <w:rsid w:val="00EC0F0D"/>
    <w:rsid w:val="00EC2B1D"/>
    <w:rsid w:val="00EC4A24"/>
    <w:rsid w:val="00EC4C62"/>
    <w:rsid w:val="00EC623D"/>
    <w:rsid w:val="00ED089D"/>
    <w:rsid w:val="00ED0B97"/>
    <w:rsid w:val="00ED1E21"/>
    <w:rsid w:val="00ED4D5A"/>
    <w:rsid w:val="00ED4EE6"/>
    <w:rsid w:val="00ED678B"/>
    <w:rsid w:val="00EE028A"/>
    <w:rsid w:val="00EE07D3"/>
    <w:rsid w:val="00EE0F4D"/>
    <w:rsid w:val="00EE169D"/>
    <w:rsid w:val="00EE2CEE"/>
    <w:rsid w:val="00EE2D4A"/>
    <w:rsid w:val="00EE435D"/>
    <w:rsid w:val="00EE4E61"/>
    <w:rsid w:val="00EE7FF6"/>
    <w:rsid w:val="00EF2977"/>
    <w:rsid w:val="00EF3569"/>
    <w:rsid w:val="00EF4859"/>
    <w:rsid w:val="00EF4E5E"/>
    <w:rsid w:val="00EF5965"/>
    <w:rsid w:val="00EF7440"/>
    <w:rsid w:val="00F00173"/>
    <w:rsid w:val="00F006F1"/>
    <w:rsid w:val="00F023BE"/>
    <w:rsid w:val="00F031A2"/>
    <w:rsid w:val="00F067A2"/>
    <w:rsid w:val="00F1040A"/>
    <w:rsid w:val="00F13566"/>
    <w:rsid w:val="00F14A55"/>
    <w:rsid w:val="00F17A7E"/>
    <w:rsid w:val="00F201AB"/>
    <w:rsid w:val="00F24837"/>
    <w:rsid w:val="00F24C05"/>
    <w:rsid w:val="00F2575F"/>
    <w:rsid w:val="00F3061B"/>
    <w:rsid w:val="00F30DA3"/>
    <w:rsid w:val="00F319A5"/>
    <w:rsid w:val="00F33DE9"/>
    <w:rsid w:val="00F341AA"/>
    <w:rsid w:val="00F3611F"/>
    <w:rsid w:val="00F3619A"/>
    <w:rsid w:val="00F36D3D"/>
    <w:rsid w:val="00F420F0"/>
    <w:rsid w:val="00F423D5"/>
    <w:rsid w:val="00F464F4"/>
    <w:rsid w:val="00F46CB6"/>
    <w:rsid w:val="00F51BD8"/>
    <w:rsid w:val="00F53584"/>
    <w:rsid w:val="00F55E73"/>
    <w:rsid w:val="00F56ED0"/>
    <w:rsid w:val="00F60092"/>
    <w:rsid w:val="00F656EA"/>
    <w:rsid w:val="00F67F5F"/>
    <w:rsid w:val="00F709B3"/>
    <w:rsid w:val="00F719CC"/>
    <w:rsid w:val="00F7211A"/>
    <w:rsid w:val="00F734B6"/>
    <w:rsid w:val="00F73790"/>
    <w:rsid w:val="00F77139"/>
    <w:rsid w:val="00F80248"/>
    <w:rsid w:val="00F80BEF"/>
    <w:rsid w:val="00F80E5D"/>
    <w:rsid w:val="00F818C5"/>
    <w:rsid w:val="00F81BFF"/>
    <w:rsid w:val="00F849FE"/>
    <w:rsid w:val="00F851CE"/>
    <w:rsid w:val="00F908EA"/>
    <w:rsid w:val="00F92068"/>
    <w:rsid w:val="00F92234"/>
    <w:rsid w:val="00F92354"/>
    <w:rsid w:val="00F93961"/>
    <w:rsid w:val="00F94BD9"/>
    <w:rsid w:val="00F955FF"/>
    <w:rsid w:val="00F970C8"/>
    <w:rsid w:val="00F97A78"/>
    <w:rsid w:val="00FA16A7"/>
    <w:rsid w:val="00FA24E7"/>
    <w:rsid w:val="00FA2C21"/>
    <w:rsid w:val="00FA412E"/>
    <w:rsid w:val="00FA4EE3"/>
    <w:rsid w:val="00FA55DF"/>
    <w:rsid w:val="00FA66A3"/>
    <w:rsid w:val="00FA70E6"/>
    <w:rsid w:val="00FB073A"/>
    <w:rsid w:val="00FB2FCB"/>
    <w:rsid w:val="00FB4186"/>
    <w:rsid w:val="00FC1074"/>
    <w:rsid w:val="00FC1702"/>
    <w:rsid w:val="00FC1884"/>
    <w:rsid w:val="00FC25D1"/>
    <w:rsid w:val="00FC29F4"/>
    <w:rsid w:val="00FC4213"/>
    <w:rsid w:val="00FD2100"/>
    <w:rsid w:val="00FD446D"/>
    <w:rsid w:val="00FD5984"/>
    <w:rsid w:val="00FE1081"/>
    <w:rsid w:val="00FE2E80"/>
    <w:rsid w:val="00FF286C"/>
    <w:rsid w:val="00FF3DCF"/>
    <w:rsid w:val="00FF55EE"/>
    <w:rsid w:val="00FF59D0"/>
    <w:rsid w:val="00FF5AA3"/>
    <w:rsid w:val="00FF79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1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E1FB9"/>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paragraph" w:customStyle="1" w:styleId="Tablefooter0">
    <w:name w:val="Table footer"/>
    <w:basedOn w:val="Normal"/>
    <w:link w:val="TablefooterChar"/>
    <w:qFormat/>
    <w:rsid w:val="00DE4CB9"/>
    <w:pPr>
      <w:widowControl/>
    </w:pPr>
    <w:rPr>
      <w:rFonts w:ascii="Calibri" w:eastAsia="SimSun" w:hAnsi="Calibri" w:cs="Times New Roman"/>
      <w:snapToGrid/>
      <w:sz w:val="16"/>
      <w:lang w:eastAsia="zh-CN"/>
    </w:rPr>
  </w:style>
  <w:style w:type="character" w:customStyle="1" w:styleId="TablefooterChar">
    <w:name w:val="Table footer Char"/>
    <w:link w:val="Tablefooter0"/>
    <w:rsid w:val="00DE4CB9"/>
    <w:rPr>
      <w:rFonts w:ascii="Calibri" w:eastAsia="SimSun" w:hAnsi="Calibri"/>
      <w:sz w:val="16"/>
      <w:lang w:eastAsia="zh-CN"/>
    </w:rPr>
  </w:style>
  <w:style w:type="paragraph" w:styleId="EndnoteText">
    <w:name w:val="endnote text"/>
    <w:basedOn w:val="Normal"/>
    <w:link w:val="EndnoteTextChar"/>
    <w:semiHidden/>
    <w:unhideWhenUsed/>
    <w:rsid w:val="00CA52FE"/>
    <w:rPr>
      <w:sz w:val="20"/>
    </w:rPr>
  </w:style>
  <w:style w:type="character" w:customStyle="1" w:styleId="EndnoteTextChar">
    <w:name w:val="Endnote Text Char"/>
    <w:basedOn w:val="DefaultParagraphFont"/>
    <w:link w:val="EndnoteText"/>
    <w:semiHidden/>
    <w:rsid w:val="00CA52FE"/>
    <w:rPr>
      <w:rFonts w:ascii="Arial" w:hAnsi="Arial" w:cs="Arial"/>
      <w:snapToGrid w:val="0"/>
      <w:lang w:eastAsia="en-US"/>
    </w:rPr>
  </w:style>
  <w:style w:type="character" w:styleId="EndnoteReference">
    <w:name w:val="endnote reference"/>
    <w:basedOn w:val="DefaultParagraphFont"/>
    <w:semiHidden/>
    <w:unhideWhenUsed/>
    <w:rsid w:val="00CA52FE"/>
    <w:rPr>
      <w:vertAlign w:val="superscript"/>
    </w:rPr>
  </w:style>
  <w:style w:type="paragraph" w:styleId="FootnoteText">
    <w:name w:val="footnote text"/>
    <w:basedOn w:val="Normal"/>
    <w:link w:val="FootnoteTextChar"/>
    <w:semiHidden/>
    <w:unhideWhenUsed/>
    <w:rsid w:val="00CA52FE"/>
    <w:rPr>
      <w:sz w:val="20"/>
    </w:rPr>
  </w:style>
  <w:style w:type="character" w:customStyle="1" w:styleId="FootnoteTextChar">
    <w:name w:val="Footnote Text Char"/>
    <w:basedOn w:val="DefaultParagraphFont"/>
    <w:link w:val="FootnoteText"/>
    <w:semiHidden/>
    <w:rsid w:val="00CA52FE"/>
    <w:rPr>
      <w:rFonts w:ascii="Arial" w:hAnsi="Arial" w:cs="Arial"/>
      <w:snapToGrid w:val="0"/>
      <w:lang w:eastAsia="en-US"/>
    </w:rPr>
  </w:style>
  <w:style w:type="character" w:styleId="FootnoteReference">
    <w:name w:val="footnote reference"/>
    <w:basedOn w:val="DefaultParagraphFont"/>
    <w:semiHidden/>
    <w:unhideWhenUsed/>
    <w:rsid w:val="00CA52FE"/>
    <w:rPr>
      <w:vertAlign w:val="superscript"/>
    </w:rPr>
  </w:style>
  <w:style w:type="paragraph" w:styleId="PlainText">
    <w:name w:val="Plain Text"/>
    <w:basedOn w:val="Normal"/>
    <w:link w:val="PlainTextChar"/>
    <w:uiPriority w:val="99"/>
    <w:semiHidden/>
    <w:unhideWhenUsed/>
    <w:rsid w:val="00EE7FF6"/>
    <w:pPr>
      <w:widowControl/>
      <w:jc w:val="left"/>
    </w:pPr>
    <w:rPr>
      <w:rFonts w:ascii="Calibri" w:eastAsiaTheme="minorHAnsi" w:hAnsi="Calibri" w:cs="Consolas"/>
      <w:snapToGrid/>
      <w:szCs w:val="21"/>
    </w:rPr>
  </w:style>
  <w:style w:type="character" w:customStyle="1" w:styleId="PlainTextChar">
    <w:name w:val="Plain Text Char"/>
    <w:basedOn w:val="DefaultParagraphFont"/>
    <w:link w:val="PlainText"/>
    <w:uiPriority w:val="99"/>
    <w:semiHidden/>
    <w:rsid w:val="00EE7FF6"/>
    <w:rPr>
      <w:rFonts w:ascii="Calibri" w:eastAsiaTheme="minorHAnsi" w:hAnsi="Calibri" w:cs="Consolas"/>
      <w:sz w:val="22"/>
      <w:szCs w:val="21"/>
      <w:lang w:eastAsia="en-US"/>
    </w:rPr>
  </w:style>
  <w:style w:type="character" w:styleId="FollowedHyperlink">
    <w:name w:val="FollowedHyperlink"/>
    <w:basedOn w:val="DefaultParagraphFont"/>
    <w:semiHidden/>
    <w:unhideWhenUsed/>
    <w:rsid w:val="00A80092"/>
    <w:rPr>
      <w:color w:val="800080" w:themeColor="followedHyperlink"/>
      <w:u w:val="single"/>
    </w:rPr>
  </w:style>
  <w:style w:type="character" w:customStyle="1" w:styleId="TablefootnotelastlineChar">
    <w:name w:val="Table footnote last line Char"/>
    <w:link w:val="Tablefootnotelastline"/>
    <w:locked/>
    <w:rsid w:val="00E63DD6"/>
    <w:rPr>
      <w:rFonts w:ascii="Arial" w:hAnsi="Arial" w:cs="Arial"/>
      <w:sz w:val="16"/>
      <w:lang w:eastAsia="zh-CN"/>
    </w:rPr>
  </w:style>
  <w:style w:type="paragraph" w:customStyle="1" w:styleId="Tablefootnotelastline">
    <w:name w:val="Table footnote last line"/>
    <w:basedOn w:val="Normal"/>
    <w:next w:val="Normal"/>
    <w:link w:val="TablefootnotelastlineChar"/>
    <w:rsid w:val="00E63DD6"/>
    <w:pPr>
      <w:widowControl/>
      <w:spacing w:before="20" w:after="120"/>
    </w:pPr>
    <w:rPr>
      <w:snapToGrid/>
      <w:sz w:val="16"/>
      <w:lang w:eastAsia="zh-CN"/>
    </w:rPr>
  </w:style>
  <w:style w:type="paragraph" w:customStyle="1" w:styleId="TableBodyText">
    <w:name w:val="Table Body Text"/>
    <w:basedOn w:val="Normal"/>
    <w:link w:val="TableBodyTextChar"/>
    <w:qFormat/>
    <w:rsid w:val="001453A4"/>
    <w:pPr>
      <w:widowControl/>
      <w:jc w:val="center"/>
    </w:pPr>
    <w:rPr>
      <w:rFonts w:eastAsia="SimSun" w:cs="Times New Roman"/>
      <w:snapToGrid/>
      <w:sz w:val="18"/>
      <w:szCs w:val="18"/>
      <w:lang w:eastAsia="zh-CN"/>
    </w:rPr>
  </w:style>
  <w:style w:type="character" w:customStyle="1" w:styleId="TableBodyTextChar">
    <w:name w:val="Table Body Text Char"/>
    <w:link w:val="TableBodyText"/>
    <w:rsid w:val="001453A4"/>
    <w:rPr>
      <w:rFonts w:ascii="Arial" w:eastAsia="SimSun" w:hAnsi="Arial"/>
      <w:sz w:val="18"/>
      <w:szCs w:val="18"/>
      <w:lang w:eastAsia="zh-CN"/>
    </w:rPr>
  </w:style>
  <w:style w:type="paragraph" w:customStyle="1" w:styleId="Default">
    <w:name w:val="Default"/>
    <w:rsid w:val="00E60973"/>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72"/>
    <w:locked/>
    <w:rsid w:val="00E04026"/>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41969"/>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E1FB9"/>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paragraph" w:customStyle="1" w:styleId="Tablefooter0">
    <w:name w:val="Table footer"/>
    <w:basedOn w:val="Normal"/>
    <w:link w:val="TablefooterChar"/>
    <w:qFormat/>
    <w:rsid w:val="00DE4CB9"/>
    <w:pPr>
      <w:widowControl/>
    </w:pPr>
    <w:rPr>
      <w:rFonts w:ascii="Calibri" w:eastAsia="SimSun" w:hAnsi="Calibri" w:cs="Times New Roman"/>
      <w:snapToGrid/>
      <w:sz w:val="16"/>
      <w:lang w:eastAsia="zh-CN"/>
    </w:rPr>
  </w:style>
  <w:style w:type="character" w:customStyle="1" w:styleId="TablefooterChar">
    <w:name w:val="Table footer Char"/>
    <w:link w:val="Tablefooter0"/>
    <w:rsid w:val="00DE4CB9"/>
    <w:rPr>
      <w:rFonts w:ascii="Calibri" w:eastAsia="SimSun" w:hAnsi="Calibri"/>
      <w:sz w:val="16"/>
      <w:lang w:eastAsia="zh-CN"/>
    </w:rPr>
  </w:style>
  <w:style w:type="paragraph" w:styleId="EndnoteText">
    <w:name w:val="endnote text"/>
    <w:basedOn w:val="Normal"/>
    <w:link w:val="EndnoteTextChar"/>
    <w:semiHidden/>
    <w:unhideWhenUsed/>
    <w:rsid w:val="00CA52FE"/>
    <w:rPr>
      <w:sz w:val="20"/>
    </w:rPr>
  </w:style>
  <w:style w:type="character" w:customStyle="1" w:styleId="EndnoteTextChar">
    <w:name w:val="Endnote Text Char"/>
    <w:basedOn w:val="DefaultParagraphFont"/>
    <w:link w:val="EndnoteText"/>
    <w:semiHidden/>
    <w:rsid w:val="00CA52FE"/>
    <w:rPr>
      <w:rFonts w:ascii="Arial" w:hAnsi="Arial" w:cs="Arial"/>
      <w:snapToGrid w:val="0"/>
      <w:lang w:eastAsia="en-US"/>
    </w:rPr>
  </w:style>
  <w:style w:type="character" w:styleId="EndnoteReference">
    <w:name w:val="endnote reference"/>
    <w:basedOn w:val="DefaultParagraphFont"/>
    <w:semiHidden/>
    <w:unhideWhenUsed/>
    <w:rsid w:val="00CA52FE"/>
    <w:rPr>
      <w:vertAlign w:val="superscript"/>
    </w:rPr>
  </w:style>
  <w:style w:type="paragraph" w:styleId="FootnoteText">
    <w:name w:val="footnote text"/>
    <w:basedOn w:val="Normal"/>
    <w:link w:val="FootnoteTextChar"/>
    <w:semiHidden/>
    <w:unhideWhenUsed/>
    <w:rsid w:val="00CA52FE"/>
    <w:rPr>
      <w:sz w:val="20"/>
    </w:rPr>
  </w:style>
  <w:style w:type="character" w:customStyle="1" w:styleId="FootnoteTextChar">
    <w:name w:val="Footnote Text Char"/>
    <w:basedOn w:val="DefaultParagraphFont"/>
    <w:link w:val="FootnoteText"/>
    <w:semiHidden/>
    <w:rsid w:val="00CA52FE"/>
    <w:rPr>
      <w:rFonts w:ascii="Arial" w:hAnsi="Arial" w:cs="Arial"/>
      <w:snapToGrid w:val="0"/>
      <w:lang w:eastAsia="en-US"/>
    </w:rPr>
  </w:style>
  <w:style w:type="character" w:styleId="FootnoteReference">
    <w:name w:val="footnote reference"/>
    <w:basedOn w:val="DefaultParagraphFont"/>
    <w:semiHidden/>
    <w:unhideWhenUsed/>
    <w:rsid w:val="00CA52FE"/>
    <w:rPr>
      <w:vertAlign w:val="superscript"/>
    </w:rPr>
  </w:style>
  <w:style w:type="paragraph" w:styleId="PlainText">
    <w:name w:val="Plain Text"/>
    <w:basedOn w:val="Normal"/>
    <w:link w:val="PlainTextChar"/>
    <w:uiPriority w:val="99"/>
    <w:semiHidden/>
    <w:unhideWhenUsed/>
    <w:rsid w:val="00EE7FF6"/>
    <w:pPr>
      <w:widowControl/>
      <w:jc w:val="left"/>
    </w:pPr>
    <w:rPr>
      <w:rFonts w:ascii="Calibri" w:eastAsiaTheme="minorHAnsi" w:hAnsi="Calibri" w:cs="Consolas"/>
      <w:snapToGrid/>
      <w:szCs w:val="21"/>
    </w:rPr>
  </w:style>
  <w:style w:type="character" w:customStyle="1" w:styleId="PlainTextChar">
    <w:name w:val="Plain Text Char"/>
    <w:basedOn w:val="DefaultParagraphFont"/>
    <w:link w:val="PlainText"/>
    <w:uiPriority w:val="99"/>
    <w:semiHidden/>
    <w:rsid w:val="00EE7FF6"/>
    <w:rPr>
      <w:rFonts w:ascii="Calibri" w:eastAsiaTheme="minorHAnsi" w:hAnsi="Calibri" w:cs="Consolas"/>
      <w:sz w:val="22"/>
      <w:szCs w:val="21"/>
      <w:lang w:eastAsia="en-US"/>
    </w:rPr>
  </w:style>
  <w:style w:type="character" w:styleId="FollowedHyperlink">
    <w:name w:val="FollowedHyperlink"/>
    <w:basedOn w:val="DefaultParagraphFont"/>
    <w:semiHidden/>
    <w:unhideWhenUsed/>
    <w:rsid w:val="00A80092"/>
    <w:rPr>
      <w:color w:val="800080" w:themeColor="followedHyperlink"/>
      <w:u w:val="single"/>
    </w:rPr>
  </w:style>
  <w:style w:type="character" w:customStyle="1" w:styleId="TablefootnotelastlineChar">
    <w:name w:val="Table footnote last line Char"/>
    <w:link w:val="Tablefootnotelastline"/>
    <w:locked/>
    <w:rsid w:val="00E63DD6"/>
    <w:rPr>
      <w:rFonts w:ascii="Arial" w:hAnsi="Arial" w:cs="Arial"/>
      <w:sz w:val="16"/>
      <w:lang w:eastAsia="zh-CN"/>
    </w:rPr>
  </w:style>
  <w:style w:type="paragraph" w:customStyle="1" w:styleId="Tablefootnotelastline">
    <w:name w:val="Table footnote last line"/>
    <w:basedOn w:val="Normal"/>
    <w:next w:val="Normal"/>
    <w:link w:val="TablefootnotelastlineChar"/>
    <w:rsid w:val="00E63DD6"/>
    <w:pPr>
      <w:widowControl/>
      <w:spacing w:before="20" w:after="120"/>
    </w:pPr>
    <w:rPr>
      <w:snapToGrid/>
      <w:sz w:val="16"/>
      <w:lang w:eastAsia="zh-CN"/>
    </w:rPr>
  </w:style>
  <w:style w:type="paragraph" w:customStyle="1" w:styleId="TableBodyText">
    <w:name w:val="Table Body Text"/>
    <w:basedOn w:val="Normal"/>
    <w:link w:val="TableBodyTextChar"/>
    <w:qFormat/>
    <w:rsid w:val="001453A4"/>
    <w:pPr>
      <w:widowControl/>
      <w:jc w:val="center"/>
    </w:pPr>
    <w:rPr>
      <w:rFonts w:eastAsia="SimSun" w:cs="Times New Roman"/>
      <w:snapToGrid/>
      <w:sz w:val="18"/>
      <w:szCs w:val="18"/>
      <w:lang w:eastAsia="zh-CN"/>
    </w:rPr>
  </w:style>
  <w:style w:type="character" w:customStyle="1" w:styleId="TableBodyTextChar">
    <w:name w:val="Table Body Text Char"/>
    <w:link w:val="TableBodyText"/>
    <w:rsid w:val="001453A4"/>
    <w:rPr>
      <w:rFonts w:ascii="Arial" w:eastAsia="SimSun" w:hAnsi="Arial"/>
      <w:sz w:val="18"/>
      <w:szCs w:val="18"/>
      <w:lang w:eastAsia="zh-CN"/>
    </w:rPr>
  </w:style>
  <w:style w:type="paragraph" w:customStyle="1" w:styleId="Default">
    <w:name w:val="Default"/>
    <w:rsid w:val="00E60973"/>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72"/>
    <w:locked/>
    <w:rsid w:val="00E04026"/>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41969"/>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30">
      <w:bodyDiv w:val="1"/>
      <w:marLeft w:val="0"/>
      <w:marRight w:val="0"/>
      <w:marTop w:val="0"/>
      <w:marBottom w:val="0"/>
      <w:divBdr>
        <w:top w:val="none" w:sz="0" w:space="0" w:color="auto"/>
        <w:left w:val="none" w:sz="0" w:space="0" w:color="auto"/>
        <w:bottom w:val="none" w:sz="0" w:space="0" w:color="auto"/>
        <w:right w:val="none" w:sz="0" w:space="0" w:color="auto"/>
      </w:divBdr>
    </w:div>
    <w:div w:id="37050074">
      <w:bodyDiv w:val="1"/>
      <w:marLeft w:val="0"/>
      <w:marRight w:val="0"/>
      <w:marTop w:val="0"/>
      <w:marBottom w:val="0"/>
      <w:divBdr>
        <w:top w:val="none" w:sz="0" w:space="0" w:color="auto"/>
        <w:left w:val="none" w:sz="0" w:space="0" w:color="auto"/>
        <w:bottom w:val="none" w:sz="0" w:space="0" w:color="auto"/>
        <w:right w:val="none" w:sz="0" w:space="0" w:color="auto"/>
      </w:divBdr>
    </w:div>
    <w:div w:id="51580279">
      <w:bodyDiv w:val="1"/>
      <w:marLeft w:val="0"/>
      <w:marRight w:val="0"/>
      <w:marTop w:val="0"/>
      <w:marBottom w:val="0"/>
      <w:divBdr>
        <w:top w:val="none" w:sz="0" w:space="0" w:color="auto"/>
        <w:left w:val="none" w:sz="0" w:space="0" w:color="auto"/>
        <w:bottom w:val="none" w:sz="0" w:space="0" w:color="auto"/>
        <w:right w:val="none" w:sz="0" w:space="0" w:color="auto"/>
      </w:divBdr>
      <w:divsChild>
        <w:div w:id="707028078">
          <w:marLeft w:val="547"/>
          <w:marRight w:val="0"/>
          <w:marTop w:val="130"/>
          <w:marBottom w:val="0"/>
          <w:divBdr>
            <w:top w:val="none" w:sz="0" w:space="0" w:color="auto"/>
            <w:left w:val="none" w:sz="0" w:space="0" w:color="auto"/>
            <w:bottom w:val="none" w:sz="0" w:space="0" w:color="auto"/>
            <w:right w:val="none" w:sz="0" w:space="0" w:color="auto"/>
          </w:divBdr>
        </w:div>
      </w:divsChild>
    </w:div>
    <w:div w:id="99877588">
      <w:bodyDiv w:val="1"/>
      <w:marLeft w:val="0"/>
      <w:marRight w:val="0"/>
      <w:marTop w:val="0"/>
      <w:marBottom w:val="0"/>
      <w:divBdr>
        <w:top w:val="none" w:sz="0" w:space="0" w:color="auto"/>
        <w:left w:val="none" w:sz="0" w:space="0" w:color="auto"/>
        <w:bottom w:val="none" w:sz="0" w:space="0" w:color="auto"/>
        <w:right w:val="none" w:sz="0" w:space="0" w:color="auto"/>
      </w:divBdr>
    </w:div>
    <w:div w:id="152184124">
      <w:bodyDiv w:val="1"/>
      <w:marLeft w:val="0"/>
      <w:marRight w:val="0"/>
      <w:marTop w:val="0"/>
      <w:marBottom w:val="0"/>
      <w:divBdr>
        <w:top w:val="none" w:sz="0" w:space="0" w:color="auto"/>
        <w:left w:val="none" w:sz="0" w:space="0" w:color="auto"/>
        <w:bottom w:val="none" w:sz="0" w:space="0" w:color="auto"/>
        <w:right w:val="none" w:sz="0" w:space="0" w:color="auto"/>
      </w:divBdr>
      <w:divsChild>
        <w:div w:id="417210873">
          <w:marLeft w:val="547"/>
          <w:marRight w:val="0"/>
          <w:marTop w:val="154"/>
          <w:marBottom w:val="0"/>
          <w:divBdr>
            <w:top w:val="none" w:sz="0" w:space="0" w:color="auto"/>
            <w:left w:val="none" w:sz="0" w:space="0" w:color="auto"/>
            <w:bottom w:val="none" w:sz="0" w:space="0" w:color="auto"/>
            <w:right w:val="none" w:sz="0" w:space="0" w:color="auto"/>
          </w:divBdr>
        </w:div>
        <w:div w:id="1170559116">
          <w:marLeft w:val="547"/>
          <w:marRight w:val="0"/>
          <w:marTop w:val="154"/>
          <w:marBottom w:val="0"/>
          <w:divBdr>
            <w:top w:val="none" w:sz="0" w:space="0" w:color="auto"/>
            <w:left w:val="none" w:sz="0" w:space="0" w:color="auto"/>
            <w:bottom w:val="none" w:sz="0" w:space="0" w:color="auto"/>
            <w:right w:val="none" w:sz="0" w:space="0" w:color="auto"/>
          </w:divBdr>
        </w:div>
        <w:div w:id="121923168">
          <w:marLeft w:val="547"/>
          <w:marRight w:val="0"/>
          <w:marTop w:val="154"/>
          <w:marBottom w:val="0"/>
          <w:divBdr>
            <w:top w:val="none" w:sz="0" w:space="0" w:color="auto"/>
            <w:left w:val="none" w:sz="0" w:space="0" w:color="auto"/>
            <w:bottom w:val="none" w:sz="0" w:space="0" w:color="auto"/>
            <w:right w:val="none" w:sz="0" w:space="0" w:color="auto"/>
          </w:divBdr>
        </w:div>
      </w:divsChild>
    </w:div>
    <w:div w:id="206114380">
      <w:bodyDiv w:val="1"/>
      <w:marLeft w:val="0"/>
      <w:marRight w:val="0"/>
      <w:marTop w:val="0"/>
      <w:marBottom w:val="0"/>
      <w:divBdr>
        <w:top w:val="none" w:sz="0" w:space="0" w:color="auto"/>
        <w:left w:val="none" w:sz="0" w:space="0" w:color="auto"/>
        <w:bottom w:val="none" w:sz="0" w:space="0" w:color="auto"/>
        <w:right w:val="none" w:sz="0" w:space="0" w:color="auto"/>
      </w:divBdr>
      <w:divsChild>
        <w:div w:id="100494344">
          <w:marLeft w:val="1166"/>
          <w:marRight w:val="0"/>
          <w:marTop w:val="125"/>
          <w:marBottom w:val="0"/>
          <w:divBdr>
            <w:top w:val="none" w:sz="0" w:space="0" w:color="auto"/>
            <w:left w:val="none" w:sz="0" w:space="0" w:color="auto"/>
            <w:bottom w:val="none" w:sz="0" w:space="0" w:color="auto"/>
            <w:right w:val="none" w:sz="0" w:space="0" w:color="auto"/>
          </w:divBdr>
        </w:div>
      </w:divsChild>
    </w:div>
    <w:div w:id="289211576">
      <w:bodyDiv w:val="1"/>
      <w:marLeft w:val="0"/>
      <w:marRight w:val="0"/>
      <w:marTop w:val="0"/>
      <w:marBottom w:val="0"/>
      <w:divBdr>
        <w:top w:val="none" w:sz="0" w:space="0" w:color="auto"/>
        <w:left w:val="none" w:sz="0" w:space="0" w:color="auto"/>
        <w:bottom w:val="none" w:sz="0" w:space="0" w:color="auto"/>
        <w:right w:val="none" w:sz="0" w:space="0" w:color="auto"/>
      </w:divBdr>
    </w:div>
    <w:div w:id="306125914">
      <w:bodyDiv w:val="1"/>
      <w:marLeft w:val="0"/>
      <w:marRight w:val="0"/>
      <w:marTop w:val="0"/>
      <w:marBottom w:val="0"/>
      <w:divBdr>
        <w:top w:val="none" w:sz="0" w:space="0" w:color="auto"/>
        <w:left w:val="none" w:sz="0" w:space="0" w:color="auto"/>
        <w:bottom w:val="none" w:sz="0" w:space="0" w:color="auto"/>
        <w:right w:val="none" w:sz="0" w:space="0" w:color="auto"/>
      </w:divBdr>
    </w:div>
    <w:div w:id="390808515">
      <w:bodyDiv w:val="1"/>
      <w:marLeft w:val="0"/>
      <w:marRight w:val="0"/>
      <w:marTop w:val="0"/>
      <w:marBottom w:val="0"/>
      <w:divBdr>
        <w:top w:val="none" w:sz="0" w:space="0" w:color="auto"/>
        <w:left w:val="none" w:sz="0" w:space="0" w:color="auto"/>
        <w:bottom w:val="none" w:sz="0" w:space="0" w:color="auto"/>
        <w:right w:val="none" w:sz="0" w:space="0" w:color="auto"/>
      </w:divBdr>
    </w:div>
    <w:div w:id="508645824">
      <w:bodyDiv w:val="1"/>
      <w:marLeft w:val="0"/>
      <w:marRight w:val="0"/>
      <w:marTop w:val="0"/>
      <w:marBottom w:val="0"/>
      <w:divBdr>
        <w:top w:val="none" w:sz="0" w:space="0" w:color="auto"/>
        <w:left w:val="none" w:sz="0" w:space="0" w:color="auto"/>
        <w:bottom w:val="none" w:sz="0" w:space="0" w:color="auto"/>
        <w:right w:val="none" w:sz="0" w:space="0" w:color="auto"/>
      </w:divBdr>
    </w:div>
    <w:div w:id="543830828">
      <w:bodyDiv w:val="1"/>
      <w:marLeft w:val="0"/>
      <w:marRight w:val="0"/>
      <w:marTop w:val="0"/>
      <w:marBottom w:val="0"/>
      <w:divBdr>
        <w:top w:val="none" w:sz="0" w:space="0" w:color="auto"/>
        <w:left w:val="none" w:sz="0" w:space="0" w:color="auto"/>
        <w:bottom w:val="none" w:sz="0" w:space="0" w:color="auto"/>
        <w:right w:val="none" w:sz="0" w:space="0" w:color="auto"/>
      </w:divBdr>
    </w:div>
    <w:div w:id="578757717">
      <w:bodyDiv w:val="1"/>
      <w:marLeft w:val="0"/>
      <w:marRight w:val="0"/>
      <w:marTop w:val="0"/>
      <w:marBottom w:val="0"/>
      <w:divBdr>
        <w:top w:val="none" w:sz="0" w:space="0" w:color="auto"/>
        <w:left w:val="none" w:sz="0" w:space="0" w:color="auto"/>
        <w:bottom w:val="none" w:sz="0" w:space="0" w:color="auto"/>
        <w:right w:val="none" w:sz="0" w:space="0" w:color="auto"/>
      </w:divBdr>
    </w:div>
    <w:div w:id="638922504">
      <w:bodyDiv w:val="1"/>
      <w:marLeft w:val="0"/>
      <w:marRight w:val="0"/>
      <w:marTop w:val="0"/>
      <w:marBottom w:val="0"/>
      <w:divBdr>
        <w:top w:val="none" w:sz="0" w:space="0" w:color="auto"/>
        <w:left w:val="none" w:sz="0" w:space="0" w:color="auto"/>
        <w:bottom w:val="none" w:sz="0" w:space="0" w:color="auto"/>
        <w:right w:val="none" w:sz="0" w:space="0" w:color="auto"/>
      </w:divBdr>
      <w:divsChild>
        <w:div w:id="2059474906">
          <w:marLeft w:val="547"/>
          <w:marRight w:val="0"/>
          <w:marTop w:val="154"/>
          <w:marBottom w:val="0"/>
          <w:divBdr>
            <w:top w:val="none" w:sz="0" w:space="0" w:color="auto"/>
            <w:left w:val="none" w:sz="0" w:space="0" w:color="auto"/>
            <w:bottom w:val="none" w:sz="0" w:space="0" w:color="auto"/>
            <w:right w:val="none" w:sz="0" w:space="0" w:color="auto"/>
          </w:divBdr>
        </w:div>
        <w:div w:id="614288432">
          <w:marLeft w:val="547"/>
          <w:marRight w:val="0"/>
          <w:marTop w:val="154"/>
          <w:marBottom w:val="0"/>
          <w:divBdr>
            <w:top w:val="none" w:sz="0" w:space="0" w:color="auto"/>
            <w:left w:val="none" w:sz="0" w:space="0" w:color="auto"/>
            <w:bottom w:val="none" w:sz="0" w:space="0" w:color="auto"/>
            <w:right w:val="none" w:sz="0" w:space="0" w:color="auto"/>
          </w:divBdr>
        </w:div>
        <w:div w:id="1572159700">
          <w:marLeft w:val="547"/>
          <w:marRight w:val="0"/>
          <w:marTop w:val="154"/>
          <w:marBottom w:val="0"/>
          <w:divBdr>
            <w:top w:val="none" w:sz="0" w:space="0" w:color="auto"/>
            <w:left w:val="none" w:sz="0" w:space="0" w:color="auto"/>
            <w:bottom w:val="none" w:sz="0" w:space="0" w:color="auto"/>
            <w:right w:val="none" w:sz="0" w:space="0" w:color="auto"/>
          </w:divBdr>
        </w:div>
      </w:divsChild>
    </w:div>
    <w:div w:id="854271272">
      <w:bodyDiv w:val="1"/>
      <w:marLeft w:val="0"/>
      <w:marRight w:val="0"/>
      <w:marTop w:val="0"/>
      <w:marBottom w:val="0"/>
      <w:divBdr>
        <w:top w:val="none" w:sz="0" w:space="0" w:color="auto"/>
        <w:left w:val="none" w:sz="0" w:space="0" w:color="auto"/>
        <w:bottom w:val="none" w:sz="0" w:space="0" w:color="auto"/>
        <w:right w:val="none" w:sz="0" w:space="0" w:color="auto"/>
      </w:divBdr>
    </w:div>
    <w:div w:id="855920983">
      <w:bodyDiv w:val="1"/>
      <w:marLeft w:val="0"/>
      <w:marRight w:val="0"/>
      <w:marTop w:val="0"/>
      <w:marBottom w:val="0"/>
      <w:divBdr>
        <w:top w:val="none" w:sz="0" w:space="0" w:color="auto"/>
        <w:left w:val="none" w:sz="0" w:space="0" w:color="auto"/>
        <w:bottom w:val="none" w:sz="0" w:space="0" w:color="auto"/>
        <w:right w:val="none" w:sz="0" w:space="0" w:color="auto"/>
      </w:divBdr>
    </w:div>
    <w:div w:id="866413262">
      <w:bodyDiv w:val="1"/>
      <w:marLeft w:val="0"/>
      <w:marRight w:val="0"/>
      <w:marTop w:val="0"/>
      <w:marBottom w:val="0"/>
      <w:divBdr>
        <w:top w:val="none" w:sz="0" w:space="0" w:color="auto"/>
        <w:left w:val="none" w:sz="0" w:space="0" w:color="auto"/>
        <w:bottom w:val="none" w:sz="0" w:space="0" w:color="auto"/>
        <w:right w:val="none" w:sz="0" w:space="0" w:color="auto"/>
      </w:divBdr>
      <w:divsChild>
        <w:div w:id="591083105">
          <w:marLeft w:val="547"/>
          <w:marRight w:val="0"/>
          <w:marTop w:val="130"/>
          <w:marBottom w:val="0"/>
          <w:divBdr>
            <w:top w:val="none" w:sz="0" w:space="0" w:color="auto"/>
            <w:left w:val="none" w:sz="0" w:space="0" w:color="auto"/>
            <w:bottom w:val="none" w:sz="0" w:space="0" w:color="auto"/>
            <w:right w:val="none" w:sz="0" w:space="0" w:color="auto"/>
          </w:divBdr>
        </w:div>
      </w:divsChild>
    </w:div>
    <w:div w:id="1029259502">
      <w:bodyDiv w:val="1"/>
      <w:marLeft w:val="0"/>
      <w:marRight w:val="0"/>
      <w:marTop w:val="0"/>
      <w:marBottom w:val="0"/>
      <w:divBdr>
        <w:top w:val="none" w:sz="0" w:space="0" w:color="auto"/>
        <w:left w:val="none" w:sz="0" w:space="0" w:color="auto"/>
        <w:bottom w:val="none" w:sz="0" w:space="0" w:color="auto"/>
        <w:right w:val="none" w:sz="0" w:space="0" w:color="auto"/>
      </w:divBdr>
    </w:div>
    <w:div w:id="1172447710">
      <w:bodyDiv w:val="1"/>
      <w:marLeft w:val="0"/>
      <w:marRight w:val="0"/>
      <w:marTop w:val="0"/>
      <w:marBottom w:val="0"/>
      <w:divBdr>
        <w:top w:val="none" w:sz="0" w:space="0" w:color="auto"/>
        <w:left w:val="none" w:sz="0" w:space="0" w:color="auto"/>
        <w:bottom w:val="none" w:sz="0" w:space="0" w:color="auto"/>
        <w:right w:val="none" w:sz="0" w:space="0" w:color="auto"/>
      </w:divBdr>
    </w:div>
    <w:div w:id="1250580098">
      <w:bodyDiv w:val="1"/>
      <w:marLeft w:val="0"/>
      <w:marRight w:val="0"/>
      <w:marTop w:val="0"/>
      <w:marBottom w:val="0"/>
      <w:divBdr>
        <w:top w:val="none" w:sz="0" w:space="0" w:color="auto"/>
        <w:left w:val="none" w:sz="0" w:space="0" w:color="auto"/>
        <w:bottom w:val="none" w:sz="0" w:space="0" w:color="auto"/>
        <w:right w:val="none" w:sz="0" w:space="0" w:color="auto"/>
      </w:divBdr>
    </w:div>
    <w:div w:id="1355113696">
      <w:bodyDiv w:val="1"/>
      <w:marLeft w:val="0"/>
      <w:marRight w:val="0"/>
      <w:marTop w:val="0"/>
      <w:marBottom w:val="0"/>
      <w:divBdr>
        <w:top w:val="none" w:sz="0" w:space="0" w:color="auto"/>
        <w:left w:val="none" w:sz="0" w:space="0" w:color="auto"/>
        <w:bottom w:val="none" w:sz="0" w:space="0" w:color="auto"/>
        <w:right w:val="none" w:sz="0" w:space="0" w:color="auto"/>
      </w:divBdr>
      <w:divsChild>
        <w:div w:id="1771659279">
          <w:marLeft w:val="547"/>
          <w:marRight w:val="0"/>
          <w:marTop w:val="154"/>
          <w:marBottom w:val="0"/>
          <w:divBdr>
            <w:top w:val="none" w:sz="0" w:space="0" w:color="auto"/>
            <w:left w:val="none" w:sz="0" w:space="0" w:color="auto"/>
            <w:bottom w:val="none" w:sz="0" w:space="0" w:color="auto"/>
            <w:right w:val="none" w:sz="0" w:space="0" w:color="auto"/>
          </w:divBdr>
        </w:div>
      </w:divsChild>
    </w:div>
    <w:div w:id="1382748197">
      <w:bodyDiv w:val="1"/>
      <w:marLeft w:val="0"/>
      <w:marRight w:val="0"/>
      <w:marTop w:val="0"/>
      <w:marBottom w:val="0"/>
      <w:divBdr>
        <w:top w:val="none" w:sz="0" w:space="0" w:color="auto"/>
        <w:left w:val="none" w:sz="0" w:space="0" w:color="auto"/>
        <w:bottom w:val="none" w:sz="0" w:space="0" w:color="auto"/>
        <w:right w:val="none" w:sz="0" w:space="0" w:color="auto"/>
      </w:divBdr>
    </w:div>
    <w:div w:id="1427534854">
      <w:bodyDiv w:val="1"/>
      <w:marLeft w:val="0"/>
      <w:marRight w:val="0"/>
      <w:marTop w:val="0"/>
      <w:marBottom w:val="0"/>
      <w:divBdr>
        <w:top w:val="none" w:sz="0" w:space="0" w:color="auto"/>
        <w:left w:val="none" w:sz="0" w:space="0" w:color="auto"/>
        <w:bottom w:val="none" w:sz="0" w:space="0" w:color="auto"/>
        <w:right w:val="none" w:sz="0" w:space="0" w:color="auto"/>
      </w:divBdr>
    </w:div>
    <w:div w:id="1742099896">
      <w:bodyDiv w:val="1"/>
      <w:marLeft w:val="0"/>
      <w:marRight w:val="0"/>
      <w:marTop w:val="0"/>
      <w:marBottom w:val="0"/>
      <w:divBdr>
        <w:top w:val="none" w:sz="0" w:space="0" w:color="auto"/>
        <w:left w:val="none" w:sz="0" w:space="0" w:color="auto"/>
        <w:bottom w:val="none" w:sz="0" w:space="0" w:color="auto"/>
        <w:right w:val="none" w:sz="0" w:space="0" w:color="auto"/>
      </w:divBdr>
    </w:div>
    <w:div w:id="1767341093">
      <w:bodyDiv w:val="1"/>
      <w:marLeft w:val="0"/>
      <w:marRight w:val="0"/>
      <w:marTop w:val="0"/>
      <w:marBottom w:val="0"/>
      <w:divBdr>
        <w:top w:val="none" w:sz="0" w:space="0" w:color="auto"/>
        <w:left w:val="none" w:sz="0" w:space="0" w:color="auto"/>
        <w:bottom w:val="none" w:sz="0" w:space="0" w:color="auto"/>
        <w:right w:val="none" w:sz="0" w:space="0" w:color="auto"/>
      </w:divBdr>
    </w:div>
    <w:div w:id="1811821259">
      <w:bodyDiv w:val="1"/>
      <w:marLeft w:val="0"/>
      <w:marRight w:val="0"/>
      <w:marTop w:val="0"/>
      <w:marBottom w:val="0"/>
      <w:divBdr>
        <w:top w:val="none" w:sz="0" w:space="0" w:color="auto"/>
        <w:left w:val="none" w:sz="0" w:space="0" w:color="auto"/>
        <w:bottom w:val="none" w:sz="0" w:space="0" w:color="auto"/>
        <w:right w:val="none" w:sz="0" w:space="0" w:color="auto"/>
      </w:divBdr>
    </w:div>
    <w:div w:id="1833907580">
      <w:bodyDiv w:val="1"/>
      <w:marLeft w:val="0"/>
      <w:marRight w:val="0"/>
      <w:marTop w:val="0"/>
      <w:marBottom w:val="0"/>
      <w:divBdr>
        <w:top w:val="none" w:sz="0" w:space="0" w:color="auto"/>
        <w:left w:val="none" w:sz="0" w:space="0" w:color="auto"/>
        <w:bottom w:val="none" w:sz="0" w:space="0" w:color="auto"/>
        <w:right w:val="none" w:sz="0" w:space="0" w:color="auto"/>
      </w:divBdr>
    </w:div>
    <w:div w:id="1859004615">
      <w:bodyDiv w:val="1"/>
      <w:marLeft w:val="0"/>
      <w:marRight w:val="0"/>
      <w:marTop w:val="0"/>
      <w:marBottom w:val="0"/>
      <w:divBdr>
        <w:top w:val="none" w:sz="0" w:space="0" w:color="auto"/>
        <w:left w:val="none" w:sz="0" w:space="0" w:color="auto"/>
        <w:bottom w:val="none" w:sz="0" w:space="0" w:color="auto"/>
        <w:right w:val="none" w:sz="0" w:space="0" w:color="auto"/>
      </w:divBdr>
    </w:div>
    <w:div w:id="1860964552">
      <w:bodyDiv w:val="1"/>
      <w:marLeft w:val="0"/>
      <w:marRight w:val="0"/>
      <w:marTop w:val="0"/>
      <w:marBottom w:val="0"/>
      <w:divBdr>
        <w:top w:val="none" w:sz="0" w:space="0" w:color="auto"/>
        <w:left w:val="none" w:sz="0" w:space="0" w:color="auto"/>
        <w:bottom w:val="none" w:sz="0" w:space="0" w:color="auto"/>
        <w:right w:val="none" w:sz="0" w:space="0" w:color="auto"/>
      </w:divBdr>
    </w:div>
    <w:div w:id="1964998014">
      <w:bodyDiv w:val="1"/>
      <w:marLeft w:val="0"/>
      <w:marRight w:val="0"/>
      <w:marTop w:val="0"/>
      <w:marBottom w:val="0"/>
      <w:divBdr>
        <w:top w:val="none" w:sz="0" w:space="0" w:color="auto"/>
        <w:left w:val="none" w:sz="0" w:space="0" w:color="auto"/>
        <w:bottom w:val="none" w:sz="0" w:space="0" w:color="auto"/>
        <w:right w:val="none" w:sz="0" w:space="0" w:color="auto"/>
      </w:divBdr>
      <w:divsChild>
        <w:div w:id="1625113558">
          <w:marLeft w:val="547"/>
          <w:marRight w:val="0"/>
          <w:marTop w:val="154"/>
          <w:marBottom w:val="0"/>
          <w:divBdr>
            <w:top w:val="none" w:sz="0" w:space="0" w:color="auto"/>
            <w:left w:val="none" w:sz="0" w:space="0" w:color="auto"/>
            <w:bottom w:val="none" w:sz="0" w:space="0" w:color="auto"/>
            <w:right w:val="none" w:sz="0" w:space="0" w:color="auto"/>
          </w:divBdr>
        </w:div>
      </w:divsChild>
    </w:div>
    <w:div w:id="2021159874">
      <w:bodyDiv w:val="1"/>
      <w:marLeft w:val="0"/>
      <w:marRight w:val="0"/>
      <w:marTop w:val="0"/>
      <w:marBottom w:val="0"/>
      <w:divBdr>
        <w:top w:val="none" w:sz="0" w:space="0" w:color="auto"/>
        <w:left w:val="none" w:sz="0" w:space="0" w:color="auto"/>
        <w:bottom w:val="none" w:sz="0" w:space="0" w:color="auto"/>
        <w:right w:val="none" w:sz="0" w:space="0" w:color="auto"/>
      </w:divBdr>
    </w:div>
    <w:div w:id="20240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DD85-4CFF-4EFE-ABB3-D7DDAF94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7424</Words>
  <Characters>40260</Characters>
  <Application>Microsoft Office Word</Application>
  <DocSecurity>0</DocSecurity>
  <Lines>335</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2015-10-23T02:40:00Z</dcterms:created>
  <dcterms:modified xsi:type="dcterms:W3CDTF">2015-10-23T02:40:00Z</dcterms:modified>
</cp:coreProperties>
</file>