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B7" w:rsidRPr="006F1C11" w:rsidRDefault="00C7715F" w:rsidP="00EF44A0">
      <w:pPr>
        <w:rPr>
          <w:rFonts w:ascii="Arial" w:hAnsi="Arial"/>
          <w:b/>
          <w:sz w:val="28"/>
          <w:szCs w:val="28"/>
        </w:rPr>
      </w:pPr>
      <w:r w:rsidRPr="006F1C11">
        <w:rPr>
          <w:rFonts w:ascii="Arial" w:hAnsi="Arial"/>
          <w:b/>
          <w:sz w:val="28"/>
          <w:szCs w:val="28"/>
        </w:rPr>
        <w:t>OTHER MATTERS</w:t>
      </w:r>
    </w:p>
    <w:p w:rsidR="00C7715F" w:rsidRDefault="00C7715F" w:rsidP="00EF44A0">
      <w:pPr>
        <w:rPr>
          <w:rFonts w:ascii="Arial" w:hAnsi="Arial"/>
          <w:b/>
        </w:rPr>
      </w:pPr>
    </w:p>
    <w:p w:rsidR="003C5525" w:rsidRDefault="003B3CF4" w:rsidP="00BB71C5">
      <w:pPr>
        <w:jc w:val="both"/>
        <w:rPr>
          <w:rFonts w:ascii="Arial" w:hAnsi="Arial"/>
          <w:b/>
        </w:rPr>
      </w:pPr>
      <w:r>
        <w:rPr>
          <w:rFonts w:ascii="Arial" w:hAnsi="Arial"/>
          <w:b/>
        </w:rPr>
        <w:t>IPILIMUMAB</w:t>
      </w:r>
      <w:r w:rsidR="006D1991">
        <w:rPr>
          <w:rFonts w:ascii="Arial" w:hAnsi="Arial"/>
          <w:b/>
        </w:rPr>
        <w:t>:</w:t>
      </w:r>
      <w:r>
        <w:rPr>
          <w:rFonts w:ascii="Arial" w:hAnsi="Arial"/>
          <w:b/>
        </w:rPr>
        <w:t xml:space="preserve"> </w:t>
      </w:r>
      <w:r w:rsidR="004E757E">
        <w:rPr>
          <w:rFonts w:ascii="Arial" w:hAnsi="Arial"/>
          <w:b/>
        </w:rPr>
        <w:t xml:space="preserve">INCIDENCE AND COSTS OF TREATING </w:t>
      </w:r>
      <w:r w:rsidR="006D1991">
        <w:rPr>
          <w:rFonts w:ascii="Arial" w:hAnsi="Arial"/>
          <w:b/>
        </w:rPr>
        <w:t>ADVERS</w:t>
      </w:r>
      <w:r w:rsidR="004E757E">
        <w:rPr>
          <w:rFonts w:ascii="Arial" w:hAnsi="Arial"/>
          <w:b/>
        </w:rPr>
        <w:t>E EVENTS</w:t>
      </w:r>
    </w:p>
    <w:p w:rsidR="00C7715F" w:rsidRPr="006F1C11" w:rsidRDefault="00C7715F" w:rsidP="00BB71C5">
      <w:pPr>
        <w:jc w:val="both"/>
        <w:rPr>
          <w:rFonts w:ascii="Arial" w:hAnsi="Arial"/>
          <w:b/>
        </w:rPr>
      </w:pPr>
      <w:r w:rsidRPr="006F1C11">
        <w:rPr>
          <w:rFonts w:ascii="Arial" w:hAnsi="Arial"/>
          <w:b/>
        </w:rPr>
        <w:t>(</w:t>
      </w:r>
      <w:r w:rsidR="003C5525">
        <w:rPr>
          <w:rFonts w:ascii="Arial" w:hAnsi="Arial"/>
          <w:b/>
        </w:rPr>
        <w:t xml:space="preserve">Agenda item </w:t>
      </w:r>
      <w:r w:rsidRPr="006F1C11">
        <w:rPr>
          <w:rFonts w:ascii="Arial" w:hAnsi="Arial"/>
          <w:b/>
        </w:rPr>
        <w:t>12.</w:t>
      </w:r>
      <w:r w:rsidR="003B3CF4">
        <w:rPr>
          <w:rFonts w:ascii="Arial" w:hAnsi="Arial"/>
          <w:b/>
        </w:rPr>
        <w:t>0</w:t>
      </w:r>
      <w:r w:rsidRPr="006F1C11">
        <w:rPr>
          <w:rFonts w:ascii="Arial" w:hAnsi="Arial"/>
          <w:b/>
        </w:rPr>
        <w:t>1)</w:t>
      </w:r>
    </w:p>
    <w:p w:rsidR="00C7715F" w:rsidRDefault="00C7715F" w:rsidP="00BB71C5">
      <w:pPr>
        <w:jc w:val="both"/>
        <w:rPr>
          <w:rFonts w:ascii="Arial" w:hAnsi="Arial"/>
          <w:b/>
          <w:sz w:val="28"/>
          <w:szCs w:val="28"/>
        </w:rPr>
      </w:pPr>
    </w:p>
    <w:p w:rsidR="0085396B" w:rsidRPr="00BB71C5" w:rsidRDefault="00C7715F" w:rsidP="00BB71C5">
      <w:pPr>
        <w:jc w:val="both"/>
        <w:rPr>
          <w:rFonts w:ascii="Arial" w:hAnsi="Arial"/>
          <w:sz w:val="22"/>
          <w:szCs w:val="22"/>
        </w:rPr>
      </w:pPr>
      <w:r w:rsidRPr="00BB71C5">
        <w:rPr>
          <w:rFonts w:ascii="Arial" w:hAnsi="Arial"/>
          <w:sz w:val="22"/>
          <w:szCs w:val="22"/>
        </w:rPr>
        <w:t xml:space="preserve">Correspondence from the </w:t>
      </w:r>
      <w:r w:rsidR="003B3CF4">
        <w:rPr>
          <w:rFonts w:ascii="Arial" w:hAnsi="Arial"/>
          <w:sz w:val="22"/>
          <w:szCs w:val="22"/>
        </w:rPr>
        <w:t>S</w:t>
      </w:r>
      <w:r w:rsidR="006D1991">
        <w:rPr>
          <w:rFonts w:ascii="Arial" w:hAnsi="Arial"/>
          <w:sz w:val="22"/>
          <w:szCs w:val="22"/>
        </w:rPr>
        <w:t xml:space="preserve">outh </w:t>
      </w:r>
      <w:r w:rsidR="003B3CF4">
        <w:rPr>
          <w:rFonts w:ascii="Arial" w:hAnsi="Arial"/>
          <w:sz w:val="22"/>
          <w:szCs w:val="22"/>
        </w:rPr>
        <w:t>A</w:t>
      </w:r>
      <w:r w:rsidR="006D1991">
        <w:rPr>
          <w:rFonts w:ascii="Arial" w:hAnsi="Arial"/>
          <w:sz w:val="22"/>
          <w:szCs w:val="22"/>
        </w:rPr>
        <w:t>ustralian Medicines Evaluation Panel (SAMEP)</w:t>
      </w:r>
      <w:r w:rsidR="0085396B" w:rsidRPr="00BB71C5">
        <w:rPr>
          <w:rFonts w:ascii="Arial" w:hAnsi="Arial"/>
          <w:sz w:val="22"/>
          <w:szCs w:val="22"/>
        </w:rPr>
        <w:t xml:space="preserve"> (dated 1</w:t>
      </w:r>
      <w:r w:rsidR="003B3CF4">
        <w:rPr>
          <w:rFonts w:ascii="Arial" w:hAnsi="Arial"/>
          <w:sz w:val="22"/>
          <w:szCs w:val="22"/>
        </w:rPr>
        <w:t>5</w:t>
      </w:r>
      <w:r w:rsidR="006D1991">
        <w:rPr>
          <w:rFonts w:ascii="Arial" w:hAnsi="Arial"/>
          <w:sz w:val="22"/>
          <w:szCs w:val="22"/>
        </w:rPr>
        <w:t> </w:t>
      </w:r>
      <w:r w:rsidR="003B3CF4">
        <w:rPr>
          <w:rFonts w:ascii="Arial" w:hAnsi="Arial"/>
          <w:sz w:val="22"/>
          <w:szCs w:val="22"/>
        </w:rPr>
        <w:t>April</w:t>
      </w:r>
      <w:r w:rsidR="006D1991">
        <w:rPr>
          <w:rFonts w:ascii="Arial" w:hAnsi="Arial"/>
          <w:sz w:val="22"/>
          <w:szCs w:val="22"/>
        </w:rPr>
        <w:t> </w:t>
      </w:r>
      <w:r w:rsidR="0085396B" w:rsidRPr="00BB71C5">
        <w:rPr>
          <w:rFonts w:ascii="Arial" w:hAnsi="Arial"/>
          <w:sz w:val="22"/>
          <w:szCs w:val="22"/>
        </w:rPr>
        <w:t>201</w:t>
      </w:r>
      <w:r w:rsidR="003B3CF4">
        <w:rPr>
          <w:rFonts w:ascii="Arial" w:hAnsi="Arial"/>
          <w:sz w:val="22"/>
          <w:szCs w:val="22"/>
        </w:rPr>
        <w:t>5</w:t>
      </w:r>
      <w:r w:rsidR="0085396B" w:rsidRPr="00BB71C5">
        <w:rPr>
          <w:rFonts w:ascii="Arial" w:hAnsi="Arial"/>
          <w:sz w:val="22"/>
          <w:szCs w:val="22"/>
        </w:rPr>
        <w:t>)</w:t>
      </w:r>
    </w:p>
    <w:p w:rsidR="003C5525" w:rsidRDefault="003C5525" w:rsidP="00A5273B">
      <w:pPr>
        <w:rPr>
          <w:rFonts w:ascii="Arial" w:hAnsi="Arial"/>
          <w:b/>
        </w:rPr>
      </w:pPr>
      <w:bookmarkStart w:id="0" w:name="_GoBack"/>
      <w:bookmarkEnd w:id="0"/>
    </w:p>
    <w:p w:rsidR="00CE10C4" w:rsidRPr="00882085" w:rsidRDefault="006A12A5" w:rsidP="00882085">
      <w:pPr>
        <w:jc w:val="both"/>
        <w:rPr>
          <w:rFonts w:ascii="Arial" w:hAnsi="Arial"/>
          <w:b/>
          <w:sz w:val="22"/>
          <w:szCs w:val="22"/>
        </w:rPr>
      </w:pPr>
      <w:r w:rsidRPr="00882085">
        <w:rPr>
          <w:rFonts w:ascii="Arial" w:hAnsi="Arial"/>
          <w:b/>
          <w:sz w:val="22"/>
          <w:szCs w:val="22"/>
        </w:rPr>
        <w:t>1</w:t>
      </w:r>
      <w:r w:rsidRPr="00882085">
        <w:rPr>
          <w:rFonts w:ascii="Arial" w:hAnsi="Arial"/>
          <w:b/>
          <w:sz w:val="22"/>
          <w:szCs w:val="22"/>
        </w:rPr>
        <w:tab/>
      </w:r>
      <w:r w:rsidR="00CE10C4" w:rsidRPr="00882085">
        <w:rPr>
          <w:rFonts w:ascii="Arial" w:hAnsi="Arial"/>
          <w:b/>
          <w:sz w:val="22"/>
          <w:szCs w:val="22"/>
        </w:rPr>
        <w:t xml:space="preserve">Purpose of </w:t>
      </w:r>
      <w:r w:rsidR="00327C9A">
        <w:rPr>
          <w:rFonts w:ascii="Arial" w:hAnsi="Arial"/>
          <w:b/>
          <w:sz w:val="22"/>
          <w:szCs w:val="22"/>
        </w:rPr>
        <w:t>Item</w:t>
      </w:r>
    </w:p>
    <w:p w:rsidR="006A12A5" w:rsidRPr="00882085" w:rsidRDefault="006A12A5" w:rsidP="00882085">
      <w:pPr>
        <w:jc w:val="both"/>
        <w:rPr>
          <w:rFonts w:ascii="Arial" w:hAnsi="Arial"/>
          <w:sz w:val="22"/>
          <w:szCs w:val="22"/>
        </w:rPr>
      </w:pPr>
    </w:p>
    <w:p w:rsidR="0085396B" w:rsidRPr="0085396B" w:rsidRDefault="0085396B" w:rsidP="00882085">
      <w:pPr>
        <w:pStyle w:val="ListParagraph"/>
        <w:numPr>
          <w:ilvl w:val="1"/>
          <w:numId w:val="25"/>
        </w:numPr>
        <w:jc w:val="both"/>
        <w:rPr>
          <w:rFonts w:ascii="Arial" w:hAnsi="Arial"/>
          <w:b/>
          <w:sz w:val="22"/>
          <w:szCs w:val="22"/>
        </w:rPr>
      </w:pPr>
      <w:r>
        <w:rPr>
          <w:rFonts w:ascii="Arial" w:hAnsi="Arial"/>
          <w:sz w:val="22"/>
          <w:szCs w:val="22"/>
        </w:rPr>
        <w:t xml:space="preserve">In a letter to the PBAC Chair dated </w:t>
      </w:r>
      <w:r w:rsidR="003B3CF4">
        <w:rPr>
          <w:rFonts w:ascii="Arial" w:hAnsi="Arial"/>
          <w:sz w:val="22"/>
          <w:szCs w:val="22"/>
        </w:rPr>
        <w:t>15 April 2015</w:t>
      </w:r>
      <w:r>
        <w:rPr>
          <w:rFonts w:ascii="Arial" w:hAnsi="Arial"/>
          <w:sz w:val="22"/>
          <w:szCs w:val="22"/>
        </w:rPr>
        <w:t xml:space="preserve">, </w:t>
      </w:r>
      <w:r w:rsidR="00FD7E04">
        <w:rPr>
          <w:rFonts w:ascii="Arial" w:hAnsi="Arial"/>
          <w:sz w:val="22"/>
          <w:szCs w:val="22"/>
        </w:rPr>
        <w:t>SAMEP</w:t>
      </w:r>
      <w:r>
        <w:rPr>
          <w:rFonts w:ascii="Arial" w:hAnsi="Arial"/>
          <w:sz w:val="22"/>
          <w:szCs w:val="22"/>
        </w:rPr>
        <w:t xml:space="preserve"> </w:t>
      </w:r>
      <w:r w:rsidR="003B3CF4">
        <w:rPr>
          <w:rFonts w:ascii="Arial" w:hAnsi="Arial"/>
          <w:sz w:val="22"/>
          <w:szCs w:val="22"/>
        </w:rPr>
        <w:t xml:space="preserve">provided South Australian data on the incidence and the costs of treating adverse events associated with ipilimumab treatment </w:t>
      </w:r>
      <w:r w:rsidR="00FD7E04">
        <w:rPr>
          <w:rFonts w:ascii="Arial" w:hAnsi="Arial"/>
          <w:sz w:val="22"/>
          <w:szCs w:val="22"/>
        </w:rPr>
        <w:t>since it was listed on the PBS, specifically with regard to the treatment of steroid-refractory ipilimumab-induced colitis.</w:t>
      </w:r>
    </w:p>
    <w:p w:rsidR="00923572" w:rsidRDefault="00923572" w:rsidP="00923572">
      <w:pPr>
        <w:jc w:val="both"/>
        <w:rPr>
          <w:rFonts w:ascii="Arial" w:hAnsi="Arial"/>
          <w:b/>
          <w:sz w:val="22"/>
          <w:szCs w:val="22"/>
        </w:rPr>
      </w:pPr>
    </w:p>
    <w:p w:rsidR="00FD7E04" w:rsidRPr="00923572" w:rsidRDefault="00FD7E04" w:rsidP="00923572">
      <w:pPr>
        <w:jc w:val="both"/>
        <w:rPr>
          <w:rFonts w:ascii="Arial" w:hAnsi="Arial"/>
          <w:b/>
          <w:sz w:val="22"/>
          <w:szCs w:val="22"/>
        </w:rPr>
      </w:pPr>
    </w:p>
    <w:p w:rsidR="00CE10C4" w:rsidRPr="003067AD" w:rsidRDefault="00CE10C4" w:rsidP="003067AD">
      <w:pPr>
        <w:pStyle w:val="ListParagraph"/>
        <w:numPr>
          <w:ilvl w:val="0"/>
          <w:numId w:val="25"/>
        </w:numPr>
        <w:jc w:val="both"/>
        <w:rPr>
          <w:rFonts w:ascii="Arial" w:hAnsi="Arial"/>
          <w:b/>
          <w:sz w:val="22"/>
          <w:szCs w:val="22"/>
        </w:rPr>
      </w:pPr>
      <w:r w:rsidRPr="003067AD">
        <w:rPr>
          <w:rFonts w:ascii="Arial" w:hAnsi="Arial"/>
          <w:b/>
          <w:sz w:val="22"/>
          <w:szCs w:val="22"/>
        </w:rPr>
        <w:t>Background</w:t>
      </w:r>
      <w:r w:rsidR="000B5A87" w:rsidRPr="003067AD">
        <w:rPr>
          <w:rFonts w:ascii="Arial" w:hAnsi="Arial"/>
          <w:b/>
          <w:sz w:val="22"/>
          <w:szCs w:val="22"/>
        </w:rPr>
        <w:t xml:space="preserve"> </w:t>
      </w:r>
    </w:p>
    <w:p w:rsidR="00EE6D62" w:rsidRPr="00C7715F" w:rsidRDefault="00EE6D62" w:rsidP="00BB71C5"/>
    <w:p w:rsidR="00C95329" w:rsidRPr="004216A4" w:rsidRDefault="00E224EC" w:rsidP="00BB71C5">
      <w:pPr>
        <w:pStyle w:val="ListParagraph"/>
        <w:numPr>
          <w:ilvl w:val="1"/>
          <w:numId w:val="25"/>
        </w:numPr>
        <w:jc w:val="both"/>
      </w:pPr>
      <w:r>
        <w:rPr>
          <w:rFonts w:ascii="Arial" w:hAnsi="Arial"/>
          <w:sz w:val="22"/>
          <w:szCs w:val="22"/>
        </w:rPr>
        <w:t>The PBAC recommended the listing of ipilimumab for the treatment of unresectable stage III or stage IV malignant melanoma in November 2012</w:t>
      </w:r>
      <w:r w:rsidR="00E53C17">
        <w:rPr>
          <w:rFonts w:ascii="Arial" w:hAnsi="Arial"/>
          <w:sz w:val="22"/>
          <w:szCs w:val="22"/>
        </w:rPr>
        <w:t xml:space="preserve">. </w:t>
      </w:r>
      <w:r>
        <w:rPr>
          <w:rFonts w:ascii="Arial" w:hAnsi="Arial"/>
          <w:sz w:val="22"/>
          <w:szCs w:val="22"/>
        </w:rPr>
        <w:t xml:space="preserve"> </w:t>
      </w:r>
      <w:r w:rsidRPr="001A6A22">
        <w:rPr>
          <w:rFonts w:ascii="Arial" w:hAnsi="Arial"/>
          <w:sz w:val="22"/>
          <w:szCs w:val="22"/>
        </w:rPr>
        <w:t>In making its recommendation, the PBAC was concerned about the cost-effectiveness of ipilimumab and recommended listing subject to risk-share arrangements</w:t>
      </w:r>
      <w:r w:rsidR="004216A4" w:rsidRPr="001A6A22">
        <w:rPr>
          <w:rFonts w:ascii="Arial" w:hAnsi="Arial"/>
          <w:sz w:val="22"/>
          <w:szCs w:val="22"/>
        </w:rPr>
        <w:t>, including a pay for performance component.</w:t>
      </w:r>
    </w:p>
    <w:p w:rsidR="004216A4" w:rsidRPr="004216A4" w:rsidRDefault="004216A4" w:rsidP="004216A4">
      <w:pPr>
        <w:pStyle w:val="ListParagraph"/>
        <w:jc w:val="both"/>
      </w:pPr>
    </w:p>
    <w:p w:rsidR="004216A4" w:rsidRDefault="004216A4" w:rsidP="008116A7">
      <w:pPr>
        <w:pStyle w:val="ListParagraph"/>
        <w:numPr>
          <w:ilvl w:val="1"/>
          <w:numId w:val="25"/>
        </w:numPr>
        <w:jc w:val="both"/>
        <w:rPr>
          <w:rFonts w:ascii="Arial" w:hAnsi="Arial"/>
          <w:sz w:val="22"/>
          <w:szCs w:val="22"/>
        </w:rPr>
      </w:pPr>
      <w:r w:rsidRPr="004216A4">
        <w:rPr>
          <w:rFonts w:ascii="Arial" w:hAnsi="Arial"/>
          <w:sz w:val="22"/>
          <w:szCs w:val="22"/>
        </w:rPr>
        <w:t xml:space="preserve">In July 2011, </w:t>
      </w:r>
      <w:r w:rsidR="008116A7">
        <w:rPr>
          <w:rFonts w:ascii="Arial" w:hAnsi="Arial"/>
          <w:sz w:val="22"/>
          <w:szCs w:val="22"/>
        </w:rPr>
        <w:t>the PBAC considered: “</w:t>
      </w:r>
      <w:r w:rsidR="008116A7" w:rsidRPr="008116A7">
        <w:rPr>
          <w:rFonts w:ascii="Arial" w:hAnsi="Arial"/>
          <w:sz w:val="22"/>
          <w:szCs w:val="22"/>
        </w:rPr>
        <w:t xml:space="preserve">that the costs associated with the treatment </w:t>
      </w:r>
      <w:r w:rsidR="008116A7">
        <w:rPr>
          <w:rFonts w:ascii="Arial" w:hAnsi="Arial"/>
          <w:sz w:val="22"/>
          <w:szCs w:val="22"/>
        </w:rPr>
        <w:t xml:space="preserve">[of] </w:t>
      </w:r>
      <w:r w:rsidR="008116A7" w:rsidRPr="008116A7">
        <w:rPr>
          <w:rFonts w:ascii="Arial" w:hAnsi="Arial"/>
          <w:sz w:val="22"/>
          <w:szCs w:val="22"/>
        </w:rPr>
        <w:t>adverse drug effects were considerably underestimated as there may be more inpatient hospital cost as well as greater costs associated with the PBS subsidised treatment of adverse events.</w:t>
      </w:r>
      <w:r w:rsidR="008116A7">
        <w:rPr>
          <w:rFonts w:ascii="Arial" w:hAnsi="Arial"/>
          <w:sz w:val="22"/>
          <w:szCs w:val="22"/>
        </w:rPr>
        <w:t>”</w:t>
      </w:r>
    </w:p>
    <w:p w:rsidR="00061096" w:rsidRPr="00061096" w:rsidRDefault="00061096" w:rsidP="00061096">
      <w:pPr>
        <w:pStyle w:val="ListParagraph"/>
        <w:rPr>
          <w:rFonts w:ascii="Arial" w:hAnsi="Arial"/>
          <w:sz w:val="22"/>
          <w:szCs w:val="22"/>
        </w:rPr>
      </w:pPr>
    </w:p>
    <w:p w:rsidR="004E757E" w:rsidRPr="004216A4" w:rsidRDefault="004E757E" w:rsidP="008116A7">
      <w:pPr>
        <w:pStyle w:val="ListParagraph"/>
        <w:numPr>
          <w:ilvl w:val="1"/>
          <w:numId w:val="25"/>
        </w:numPr>
        <w:jc w:val="both"/>
        <w:rPr>
          <w:rFonts w:ascii="Arial" w:hAnsi="Arial"/>
          <w:sz w:val="22"/>
          <w:szCs w:val="22"/>
        </w:rPr>
      </w:pPr>
      <w:r>
        <w:rPr>
          <w:rFonts w:ascii="Arial" w:hAnsi="Arial"/>
          <w:sz w:val="22"/>
          <w:szCs w:val="22"/>
        </w:rPr>
        <w:t>SAMEP initiated a review of infliximab for the treatment of ipilimumab-induced steroid refractory colitis. The review was undertaken due to an observed increase in the reported number of cases of colitis in metastatic melanoma patients being treated with ipilimumab.</w:t>
      </w:r>
    </w:p>
    <w:p w:rsidR="00C95329" w:rsidRDefault="00C95329" w:rsidP="00BB71C5">
      <w:pPr>
        <w:jc w:val="both"/>
      </w:pPr>
    </w:p>
    <w:p w:rsidR="00DD15EE" w:rsidRPr="009366EF" w:rsidRDefault="00DD15EE" w:rsidP="009366EF">
      <w:pPr>
        <w:pStyle w:val="ListParagraph"/>
        <w:rPr>
          <w:rFonts w:ascii="Arial" w:hAnsi="Arial"/>
          <w:sz w:val="22"/>
          <w:szCs w:val="22"/>
        </w:rPr>
      </w:pPr>
    </w:p>
    <w:p w:rsidR="00EC6A21" w:rsidRPr="00407F2D" w:rsidRDefault="00EC6A21" w:rsidP="00EC6A21">
      <w:pPr>
        <w:pStyle w:val="PBACHeading1"/>
        <w:numPr>
          <w:ilvl w:val="0"/>
          <w:numId w:val="25"/>
        </w:numPr>
      </w:pPr>
      <w:bookmarkStart w:id="1" w:name="_Toc419661304"/>
      <w:r>
        <w:t>C</w:t>
      </w:r>
      <w:r w:rsidRPr="00407F2D">
        <w:t>onsideration of the evidence</w:t>
      </w:r>
      <w:bookmarkEnd w:id="1"/>
    </w:p>
    <w:p w:rsidR="003B7EE4" w:rsidRPr="006C0543" w:rsidRDefault="003B7EE4" w:rsidP="006C0543">
      <w:pPr>
        <w:jc w:val="both"/>
        <w:rPr>
          <w:rFonts w:ascii="Arial" w:hAnsi="Arial"/>
          <w:sz w:val="22"/>
          <w:szCs w:val="22"/>
        </w:rPr>
      </w:pPr>
    </w:p>
    <w:p w:rsidR="00E53C17" w:rsidRDefault="00E53C17" w:rsidP="00E53C17">
      <w:pPr>
        <w:pStyle w:val="ListParagraph"/>
        <w:numPr>
          <w:ilvl w:val="1"/>
          <w:numId w:val="25"/>
        </w:numPr>
        <w:jc w:val="both"/>
        <w:rPr>
          <w:rFonts w:ascii="Arial" w:hAnsi="Arial"/>
          <w:sz w:val="22"/>
          <w:szCs w:val="22"/>
        </w:rPr>
      </w:pPr>
      <w:r>
        <w:rPr>
          <w:rFonts w:ascii="Arial" w:hAnsi="Arial"/>
          <w:sz w:val="22"/>
          <w:szCs w:val="22"/>
        </w:rPr>
        <w:t>Over a 16 month period of observation (1 August 2013 to 8 December 2014), 56</w:t>
      </w:r>
      <w:r w:rsidR="00240E91">
        <w:rPr>
          <w:rFonts w:ascii="Arial" w:hAnsi="Arial"/>
          <w:sz w:val="22"/>
          <w:szCs w:val="22"/>
        </w:rPr>
        <w:t> </w:t>
      </w:r>
      <w:r>
        <w:rPr>
          <w:rFonts w:ascii="Arial" w:hAnsi="Arial"/>
          <w:sz w:val="22"/>
          <w:szCs w:val="22"/>
        </w:rPr>
        <w:t xml:space="preserve">patients were dispensed PBS-subsidised ipilimumab from South Australian public hospitals. </w:t>
      </w:r>
      <w:r w:rsidR="00240E91">
        <w:rPr>
          <w:rFonts w:ascii="Arial" w:hAnsi="Arial"/>
          <w:sz w:val="22"/>
          <w:szCs w:val="22"/>
        </w:rPr>
        <w:t>Over this period, e</w:t>
      </w:r>
      <w:r>
        <w:rPr>
          <w:rFonts w:ascii="Arial" w:hAnsi="Arial"/>
          <w:sz w:val="22"/>
          <w:szCs w:val="22"/>
        </w:rPr>
        <w:t xml:space="preserve">ight patients </w:t>
      </w:r>
      <w:r w:rsidR="00240E91">
        <w:rPr>
          <w:rFonts w:ascii="Arial" w:hAnsi="Arial"/>
          <w:sz w:val="22"/>
          <w:szCs w:val="22"/>
        </w:rPr>
        <w:t xml:space="preserve">were admitted to hospital </w:t>
      </w:r>
      <w:r w:rsidR="00E47917">
        <w:rPr>
          <w:rFonts w:ascii="Arial" w:hAnsi="Arial"/>
          <w:sz w:val="22"/>
          <w:szCs w:val="22"/>
        </w:rPr>
        <w:t xml:space="preserve">and received infliximab for </w:t>
      </w:r>
      <w:r w:rsidR="00240E91">
        <w:rPr>
          <w:rFonts w:ascii="Arial" w:hAnsi="Arial"/>
          <w:sz w:val="22"/>
          <w:szCs w:val="22"/>
        </w:rPr>
        <w:t xml:space="preserve">severe, </w:t>
      </w:r>
      <w:r>
        <w:rPr>
          <w:rFonts w:ascii="Arial" w:hAnsi="Arial"/>
          <w:sz w:val="22"/>
          <w:szCs w:val="22"/>
        </w:rPr>
        <w:t>steroid-refractory</w:t>
      </w:r>
      <w:r w:rsidR="00240E91">
        <w:rPr>
          <w:rFonts w:ascii="Arial" w:hAnsi="Arial"/>
          <w:sz w:val="22"/>
          <w:szCs w:val="22"/>
        </w:rPr>
        <w:t xml:space="preserve"> colitis secondary to</w:t>
      </w:r>
      <w:r>
        <w:rPr>
          <w:rFonts w:ascii="Arial" w:hAnsi="Arial"/>
          <w:sz w:val="22"/>
          <w:szCs w:val="22"/>
        </w:rPr>
        <w:t xml:space="preserve"> ipilimumab. One</w:t>
      </w:r>
      <w:r w:rsidR="00792464">
        <w:rPr>
          <w:rFonts w:ascii="Arial" w:hAnsi="Arial"/>
          <w:sz w:val="22"/>
          <w:szCs w:val="22"/>
        </w:rPr>
        <w:t xml:space="preserve"> other</w:t>
      </w:r>
      <w:r>
        <w:rPr>
          <w:rFonts w:ascii="Arial" w:hAnsi="Arial"/>
          <w:sz w:val="22"/>
          <w:szCs w:val="22"/>
        </w:rPr>
        <w:t xml:space="preserve"> patient was admitted for surgical intervention</w:t>
      </w:r>
      <w:r w:rsidR="00240E91">
        <w:rPr>
          <w:rFonts w:ascii="Arial" w:hAnsi="Arial"/>
          <w:sz w:val="22"/>
          <w:szCs w:val="22"/>
        </w:rPr>
        <w:t xml:space="preserve"> but did not receive infliximab</w:t>
      </w:r>
      <w:r>
        <w:rPr>
          <w:rFonts w:ascii="Arial" w:hAnsi="Arial"/>
          <w:sz w:val="22"/>
          <w:szCs w:val="22"/>
        </w:rPr>
        <w:t xml:space="preserve">. </w:t>
      </w:r>
      <w:r w:rsidR="00BF6CBE">
        <w:rPr>
          <w:rFonts w:ascii="Arial" w:hAnsi="Arial"/>
          <w:sz w:val="22"/>
          <w:szCs w:val="22"/>
        </w:rPr>
        <w:t>Of the eight patients admitted to hospital</w:t>
      </w:r>
      <w:r w:rsidR="00240E91">
        <w:rPr>
          <w:rFonts w:ascii="Arial" w:hAnsi="Arial"/>
          <w:sz w:val="22"/>
          <w:szCs w:val="22"/>
        </w:rPr>
        <w:t xml:space="preserve"> and received infliximab</w:t>
      </w:r>
      <w:r w:rsidR="00BF6CBE">
        <w:rPr>
          <w:rFonts w:ascii="Arial" w:hAnsi="Arial"/>
          <w:sz w:val="22"/>
          <w:szCs w:val="22"/>
        </w:rPr>
        <w:t>, t</w:t>
      </w:r>
      <w:r>
        <w:rPr>
          <w:rFonts w:ascii="Arial" w:hAnsi="Arial"/>
          <w:sz w:val="22"/>
          <w:szCs w:val="22"/>
        </w:rPr>
        <w:t>wo received a colectomy</w:t>
      </w:r>
      <w:r w:rsidR="00BF6CBE">
        <w:rPr>
          <w:rFonts w:ascii="Arial" w:hAnsi="Arial"/>
          <w:sz w:val="22"/>
          <w:szCs w:val="22"/>
        </w:rPr>
        <w:t xml:space="preserve"> as infliximab failed to resolve the colitis</w:t>
      </w:r>
      <w:r>
        <w:rPr>
          <w:rFonts w:ascii="Arial" w:hAnsi="Arial"/>
          <w:sz w:val="22"/>
          <w:szCs w:val="22"/>
        </w:rPr>
        <w:t xml:space="preserve">. The average </w:t>
      </w:r>
      <w:r w:rsidR="00BF6CBE">
        <w:rPr>
          <w:rFonts w:ascii="Arial" w:hAnsi="Arial"/>
          <w:sz w:val="22"/>
          <w:szCs w:val="22"/>
        </w:rPr>
        <w:t>length of stay was 21 days per patient</w:t>
      </w:r>
      <w:r w:rsidR="00061096">
        <w:rPr>
          <w:rFonts w:ascii="Arial" w:hAnsi="Arial"/>
          <w:sz w:val="22"/>
          <w:szCs w:val="22"/>
        </w:rPr>
        <w:t xml:space="preserve"> (range 6-39 days), and the </w:t>
      </w:r>
      <w:r w:rsidR="00C42DEF">
        <w:rPr>
          <w:rFonts w:ascii="Arial" w:hAnsi="Arial"/>
          <w:sz w:val="22"/>
          <w:szCs w:val="22"/>
        </w:rPr>
        <w:t xml:space="preserve">eight </w:t>
      </w:r>
      <w:r w:rsidR="00061096">
        <w:rPr>
          <w:rFonts w:ascii="Arial" w:hAnsi="Arial"/>
          <w:sz w:val="22"/>
          <w:szCs w:val="22"/>
        </w:rPr>
        <w:t>patients spent a total of 168 overnight bed days</w:t>
      </w:r>
      <w:r w:rsidR="00792464">
        <w:rPr>
          <w:rFonts w:ascii="Arial" w:hAnsi="Arial"/>
          <w:sz w:val="22"/>
          <w:szCs w:val="22"/>
        </w:rPr>
        <w:t xml:space="preserve"> </w:t>
      </w:r>
      <w:r w:rsidR="00792464" w:rsidRPr="00265120">
        <w:rPr>
          <w:rFonts w:ascii="Arial" w:hAnsi="Arial"/>
          <w:sz w:val="22"/>
          <w:szCs w:val="22"/>
        </w:rPr>
        <w:t>(OBD)</w:t>
      </w:r>
      <w:r w:rsidR="00061096" w:rsidRPr="00265120">
        <w:rPr>
          <w:rFonts w:ascii="Arial" w:hAnsi="Arial"/>
          <w:sz w:val="22"/>
          <w:szCs w:val="22"/>
        </w:rPr>
        <w:t xml:space="preserve"> in hospital for the treatment of colitis, with most patients having multiple acute admissions. </w:t>
      </w:r>
      <w:r w:rsidR="00EA1E98" w:rsidRPr="00265120">
        <w:rPr>
          <w:rFonts w:ascii="Arial" w:hAnsi="Arial"/>
          <w:sz w:val="22"/>
          <w:szCs w:val="22"/>
        </w:rPr>
        <w:t xml:space="preserve">The average cost to </w:t>
      </w:r>
      <w:r w:rsidR="00240E91" w:rsidRPr="00265120">
        <w:rPr>
          <w:rFonts w:ascii="Arial" w:hAnsi="Arial"/>
          <w:sz w:val="22"/>
          <w:szCs w:val="22"/>
        </w:rPr>
        <w:t>SA</w:t>
      </w:r>
      <w:r w:rsidR="00EA1E98" w:rsidRPr="00265120">
        <w:rPr>
          <w:rFonts w:ascii="Arial" w:hAnsi="Arial"/>
          <w:sz w:val="22"/>
          <w:szCs w:val="22"/>
        </w:rPr>
        <w:t xml:space="preserve"> Health </w:t>
      </w:r>
      <w:r w:rsidR="00792464" w:rsidRPr="00265120">
        <w:rPr>
          <w:rFonts w:ascii="Arial" w:hAnsi="Arial"/>
          <w:sz w:val="22"/>
          <w:szCs w:val="22"/>
        </w:rPr>
        <w:t>for an OBD was approximately $2,357</w:t>
      </w:r>
      <w:r w:rsidR="00240E91" w:rsidRPr="00265120">
        <w:rPr>
          <w:rFonts w:ascii="Arial" w:hAnsi="Arial"/>
          <w:sz w:val="22"/>
          <w:szCs w:val="22"/>
        </w:rPr>
        <w:noBreakHyphen/>
      </w:r>
      <w:r w:rsidR="00792464" w:rsidRPr="00265120">
        <w:rPr>
          <w:rFonts w:ascii="Arial" w:hAnsi="Arial"/>
          <w:sz w:val="22"/>
          <w:szCs w:val="22"/>
        </w:rPr>
        <w:t>$2,880 per</w:t>
      </w:r>
      <w:r w:rsidR="00792464">
        <w:rPr>
          <w:rFonts w:ascii="Arial" w:hAnsi="Arial"/>
          <w:sz w:val="22"/>
          <w:szCs w:val="22"/>
        </w:rPr>
        <w:t xml:space="preserve"> night. </w:t>
      </w:r>
      <w:r w:rsidR="00061096">
        <w:rPr>
          <w:rFonts w:ascii="Arial" w:hAnsi="Arial"/>
          <w:sz w:val="22"/>
          <w:szCs w:val="22"/>
        </w:rPr>
        <w:t>T</w:t>
      </w:r>
      <w:r>
        <w:rPr>
          <w:rFonts w:ascii="Arial" w:hAnsi="Arial"/>
          <w:sz w:val="22"/>
          <w:szCs w:val="22"/>
        </w:rPr>
        <w:t>he estimated cost</w:t>
      </w:r>
      <w:r w:rsidR="00BF6CBE">
        <w:rPr>
          <w:rFonts w:ascii="Arial" w:hAnsi="Arial"/>
          <w:sz w:val="22"/>
          <w:szCs w:val="22"/>
        </w:rPr>
        <w:t xml:space="preserve"> to S</w:t>
      </w:r>
      <w:r w:rsidR="00240E91">
        <w:rPr>
          <w:rFonts w:ascii="Arial" w:hAnsi="Arial"/>
          <w:sz w:val="22"/>
          <w:szCs w:val="22"/>
        </w:rPr>
        <w:t xml:space="preserve">A </w:t>
      </w:r>
      <w:r w:rsidR="00BF6CBE">
        <w:rPr>
          <w:rFonts w:ascii="Arial" w:hAnsi="Arial"/>
          <w:sz w:val="22"/>
          <w:szCs w:val="22"/>
        </w:rPr>
        <w:t>Health</w:t>
      </w:r>
      <w:r>
        <w:rPr>
          <w:rFonts w:ascii="Arial" w:hAnsi="Arial"/>
          <w:sz w:val="22"/>
          <w:szCs w:val="22"/>
        </w:rPr>
        <w:t xml:space="preserve"> for these </w:t>
      </w:r>
      <w:r w:rsidR="00792464">
        <w:rPr>
          <w:rFonts w:ascii="Arial" w:hAnsi="Arial"/>
          <w:sz w:val="22"/>
          <w:szCs w:val="22"/>
        </w:rPr>
        <w:t xml:space="preserve">eight </w:t>
      </w:r>
      <w:r>
        <w:rPr>
          <w:rFonts w:ascii="Arial" w:hAnsi="Arial"/>
          <w:sz w:val="22"/>
          <w:szCs w:val="22"/>
        </w:rPr>
        <w:t xml:space="preserve">patients </w:t>
      </w:r>
      <w:r>
        <w:rPr>
          <w:rFonts w:ascii="Arial" w:hAnsi="Arial"/>
          <w:sz w:val="22"/>
          <w:szCs w:val="22"/>
        </w:rPr>
        <w:lastRenderedPageBreak/>
        <w:t xml:space="preserve">was </w:t>
      </w:r>
      <w:r w:rsidR="00BF6CBE" w:rsidRPr="00265120">
        <w:rPr>
          <w:rFonts w:ascii="Arial" w:hAnsi="Arial"/>
          <w:sz w:val="22"/>
          <w:szCs w:val="22"/>
        </w:rPr>
        <w:t xml:space="preserve">between </w:t>
      </w:r>
      <w:r w:rsidRPr="00265120">
        <w:rPr>
          <w:rFonts w:ascii="Arial" w:hAnsi="Arial"/>
          <w:sz w:val="22"/>
          <w:szCs w:val="22"/>
        </w:rPr>
        <w:t xml:space="preserve">$395,976 </w:t>
      </w:r>
      <w:r w:rsidR="00A506AC" w:rsidRPr="00265120">
        <w:rPr>
          <w:rFonts w:ascii="Arial" w:hAnsi="Arial"/>
          <w:sz w:val="22"/>
          <w:szCs w:val="22"/>
        </w:rPr>
        <w:t>and</w:t>
      </w:r>
      <w:r w:rsidRPr="00265120">
        <w:rPr>
          <w:rFonts w:ascii="Arial" w:hAnsi="Arial"/>
          <w:sz w:val="22"/>
          <w:szCs w:val="22"/>
        </w:rPr>
        <w:t xml:space="preserve"> $483,840</w:t>
      </w:r>
      <w:r w:rsidR="00BF6CBE">
        <w:rPr>
          <w:rFonts w:ascii="Arial" w:hAnsi="Arial"/>
          <w:sz w:val="22"/>
          <w:szCs w:val="22"/>
        </w:rPr>
        <w:t xml:space="preserve"> for hospitalisation</w:t>
      </w:r>
      <w:r w:rsidR="00061096">
        <w:rPr>
          <w:rFonts w:ascii="Arial" w:hAnsi="Arial"/>
          <w:sz w:val="22"/>
          <w:szCs w:val="22"/>
        </w:rPr>
        <w:t xml:space="preserve"> (</w:t>
      </w:r>
      <w:r w:rsidR="007A4EA3">
        <w:rPr>
          <w:rFonts w:ascii="Arial" w:hAnsi="Arial"/>
          <w:sz w:val="22"/>
          <w:szCs w:val="22"/>
        </w:rPr>
        <w:t>including</w:t>
      </w:r>
      <w:r w:rsidR="00240E91">
        <w:rPr>
          <w:rFonts w:ascii="Arial" w:hAnsi="Arial"/>
          <w:sz w:val="22"/>
          <w:szCs w:val="22"/>
        </w:rPr>
        <w:t xml:space="preserve"> the</w:t>
      </w:r>
      <w:r w:rsidR="00061096">
        <w:rPr>
          <w:rFonts w:ascii="Arial" w:hAnsi="Arial"/>
          <w:sz w:val="22"/>
          <w:szCs w:val="22"/>
        </w:rPr>
        <w:t xml:space="preserve"> cost of infliximab and surgery)</w:t>
      </w:r>
      <w:r>
        <w:rPr>
          <w:rFonts w:ascii="Arial" w:hAnsi="Arial"/>
          <w:sz w:val="22"/>
          <w:szCs w:val="22"/>
        </w:rPr>
        <w:t>.</w:t>
      </w:r>
    </w:p>
    <w:p w:rsidR="00E53C17" w:rsidRDefault="00E53C17" w:rsidP="00E53C17">
      <w:pPr>
        <w:pStyle w:val="ListParagraph"/>
        <w:jc w:val="both"/>
        <w:rPr>
          <w:rFonts w:ascii="Arial" w:hAnsi="Arial"/>
          <w:sz w:val="22"/>
          <w:szCs w:val="22"/>
        </w:rPr>
      </w:pPr>
    </w:p>
    <w:p w:rsidR="00264D86" w:rsidRDefault="00AE7C5D" w:rsidP="00AC5298">
      <w:pPr>
        <w:pStyle w:val="ListParagraph"/>
        <w:numPr>
          <w:ilvl w:val="1"/>
          <w:numId w:val="25"/>
        </w:numPr>
        <w:jc w:val="both"/>
        <w:rPr>
          <w:rFonts w:ascii="Arial" w:hAnsi="Arial"/>
          <w:sz w:val="22"/>
          <w:szCs w:val="22"/>
        </w:rPr>
      </w:pPr>
      <w:r>
        <w:rPr>
          <w:rFonts w:ascii="Arial" w:hAnsi="Arial"/>
          <w:sz w:val="22"/>
          <w:szCs w:val="22"/>
        </w:rPr>
        <w:t>T</w:t>
      </w:r>
      <w:r w:rsidR="00872C94">
        <w:rPr>
          <w:rFonts w:ascii="Arial" w:hAnsi="Arial"/>
          <w:sz w:val="22"/>
          <w:szCs w:val="22"/>
        </w:rPr>
        <w:t xml:space="preserve">he following table </w:t>
      </w:r>
      <w:r w:rsidR="00A417F9">
        <w:rPr>
          <w:rFonts w:ascii="Arial" w:hAnsi="Arial"/>
          <w:sz w:val="22"/>
          <w:szCs w:val="22"/>
        </w:rPr>
        <w:t>outlin</w:t>
      </w:r>
      <w:r>
        <w:rPr>
          <w:rFonts w:ascii="Arial" w:hAnsi="Arial"/>
          <w:sz w:val="22"/>
          <w:szCs w:val="22"/>
        </w:rPr>
        <w:t>es</w:t>
      </w:r>
      <w:r w:rsidR="00A417F9">
        <w:rPr>
          <w:rFonts w:ascii="Arial" w:hAnsi="Arial"/>
          <w:sz w:val="22"/>
          <w:szCs w:val="22"/>
        </w:rPr>
        <w:t xml:space="preserve"> the differences between the ipilimumab submission to the PBAC, a published early access scheme in Australia (Peter MacCallum Cancer Centre, Victo</w:t>
      </w:r>
      <w:r w:rsidR="00336CE7">
        <w:rPr>
          <w:rFonts w:ascii="Arial" w:hAnsi="Arial"/>
          <w:sz w:val="22"/>
          <w:szCs w:val="22"/>
        </w:rPr>
        <w:t>ria), and the SAMEP experience.</w:t>
      </w:r>
    </w:p>
    <w:p w:rsidR="00145322" w:rsidRDefault="00145322" w:rsidP="00145322">
      <w:pPr>
        <w:jc w:val="both"/>
        <w:rPr>
          <w:rFonts w:ascii="Arial" w:hAnsi="Arial"/>
          <w:sz w:val="22"/>
          <w:szCs w:val="22"/>
        </w:rPr>
      </w:pPr>
    </w:p>
    <w:p w:rsidR="00A52C65" w:rsidRPr="00A52C65" w:rsidRDefault="00A52C65" w:rsidP="00A52C65">
      <w:pPr>
        <w:ind w:left="720"/>
        <w:jc w:val="both"/>
        <w:rPr>
          <w:rFonts w:ascii="Arial Narrow" w:hAnsi="Arial Narrow"/>
          <w:b/>
          <w:sz w:val="20"/>
          <w:szCs w:val="22"/>
        </w:rPr>
      </w:pPr>
      <w:r w:rsidRPr="00A52C65">
        <w:rPr>
          <w:rFonts w:ascii="Arial Narrow" w:hAnsi="Arial Narrow"/>
          <w:b/>
          <w:sz w:val="20"/>
          <w:szCs w:val="22"/>
        </w:rPr>
        <w:t>Table 1</w:t>
      </w:r>
      <w:r>
        <w:rPr>
          <w:rFonts w:ascii="Arial Narrow" w:hAnsi="Arial Narrow"/>
          <w:b/>
          <w:sz w:val="20"/>
          <w:szCs w:val="22"/>
        </w:rPr>
        <w:t>: Comparison of SAMEP review with ipilimumab submission values</w:t>
      </w:r>
    </w:p>
    <w:tbl>
      <w:tblPr>
        <w:tblStyle w:val="TableGrid"/>
        <w:tblW w:w="0" w:type="auto"/>
        <w:tblInd w:w="817" w:type="dxa"/>
        <w:tblLook w:val="04A0" w:firstRow="1" w:lastRow="0" w:firstColumn="1" w:lastColumn="0" w:noHBand="0" w:noVBand="1"/>
        <w:tblCaption w:val="Table 1: Comparison of SAMEP review with ipilimumab submission values"/>
        <w:tblDescription w:val="The table shows a comparison of the SAMEP review with the ipilimumab submission values"/>
      </w:tblPr>
      <w:tblGrid>
        <w:gridCol w:w="2268"/>
        <w:gridCol w:w="1276"/>
        <w:gridCol w:w="1276"/>
        <w:gridCol w:w="1134"/>
        <w:gridCol w:w="2471"/>
      </w:tblGrid>
      <w:tr w:rsidR="00145322" w:rsidRPr="00822E12" w:rsidTr="00336CE7">
        <w:trPr>
          <w:tblHeader/>
        </w:trPr>
        <w:tc>
          <w:tcPr>
            <w:tcW w:w="2268" w:type="dxa"/>
            <w:vAlign w:val="center"/>
          </w:tcPr>
          <w:p w:rsidR="00145322" w:rsidRPr="00EC6A21" w:rsidRDefault="00145322" w:rsidP="00EC6A21">
            <w:pPr>
              <w:jc w:val="center"/>
              <w:rPr>
                <w:rFonts w:ascii="Arial Narrow" w:hAnsi="Arial Narrow" w:cs="Arial"/>
                <w:b/>
                <w:sz w:val="20"/>
                <w:szCs w:val="20"/>
              </w:rPr>
            </w:pPr>
            <w:r w:rsidRPr="00EC6A21">
              <w:rPr>
                <w:rFonts w:ascii="Arial Narrow" w:hAnsi="Arial Narrow" w:cs="Arial"/>
                <w:b/>
                <w:sz w:val="20"/>
                <w:szCs w:val="20"/>
              </w:rPr>
              <w:t>Factor Considered</w:t>
            </w:r>
          </w:p>
        </w:tc>
        <w:tc>
          <w:tcPr>
            <w:tcW w:w="1276" w:type="dxa"/>
            <w:vAlign w:val="center"/>
          </w:tcPr>
          <w:p w:rsidR="00145322" w:rsidRPr="00EC6A21" w:rsidRDefault="00145322" w:rsidP="00EC6A21">
            <w:pPr>
              <w:jc w:val="center"/>
              <w:rPr>
                <w:rFonts w:ascii="Arial Narrow" w:hAnsi="Arial Narrow" w:cs="Arial"/>
                <w:b/>
                <w:sz w:val="20"/>
                <w:szCs w:val="20"/>
              </w:rPr>
            </w:pPr>
            <w:r w:rsidRPr="00EC6A21">
              <w:rPr>
                <w:rFonts w:ascii="Arial Narrow" w:hAnsi="Arial Narrow" w:cs="Arial"/>
                <w:b/>
                <w:sz w:val="20"/>
                <w:szCs w:val="20"/>
              </w:rPr>
              <w:t>Values in the submission</w:t>
            </w:r>
          </w:p>
        </w:tc>
        <w:tc>
          <w:tcPr>
            <w:tcW w:w="1276" w:type="dxa"/>
            <w:vAlign w:val="center"/>
          </w:tcPr>
          <w:p w:rsidR="00145322" w:rsidRPr="00EC6A21" w:rsidRDefault="00145322" w:rsidP="00EC6A21">
            <w:pPr>
              <w:jc w:val="center"/>
              <w:rPr>
                <w:rFonts w:ascii="Arial Narrow" w:hAnsi="Arial Narrow" w:cs="Arial"/>
                <w:b/>
                <w:sz w:val="20"/>
                <w:szCs w:val="20"/>
              </w:rPr>
            </w:pPr>
            <w:r w:rsidRPr="00EC6A21">
              <w:rPr>
                <w:rFonts w:ascii="Arial Narrow" w:hAnsi="Arial Narrow" w:cs="Arial"/>
                <w:b/>
                <w:sz w:val="20"/>
                <w:szCs w:val="20"/>
              </w:rPr>
              <w:t>Early access scheme in Australia</w:t>
            </w:r>
            <w:r w:rsidR="00EA1E98" w:rsidRPr="00EC6A21">
              <w:rPr>
                <w:rFonts w:ascii="Arial Narrow" w:hAnsi="Arial Narrow" w:cs="Arial"/>
                <w:b/>
                <w:sz w:val="20"/>
                <w:szCs w:val="20"/>
                <w:vertAlign w:val="superscript"/>
              </w:rPr>
              <w:t>1</w:t>
            </w:r>
          </w:p>
        </w:tc>
        <w:tc>
          <w:tcPr>
            <w:tcW w:w="1134" w:type="dxa"/>
            <w:vAlign w:val="center"/>
          </w:tcPr>
          <w:p w:rsidR="00145322" w:rsidRPr="00EC6A21" w:rsidRDefault="00145322" w:rsidP="00EC6A21">
            <w:pPr>
              <w:jc w:val="center"/>
              <w:rPr>
                <w:rFonts w:ascii="Arial Narrow" w:hAnsi="Arial Narrow" w:cs="Arial"/>
                <w:b/>
                <w:sz w:val="20"/>
                <w:szCs w:val="20"/>
              </w:rPr>
            </w:pPr>
            <w:r w:rsidRPr="00EC6A21">
              <w:rPr>
                <w:rFonts w:ascii="Arial Narrow" w:hAnsi="Arial Narrow" w:cs="Arial"/>
                <w:b/>
                <w:sz w:val="20"/>
                <w:szCs w:val="20"/>
              </w:rPr>
              <w:t>Implied Values in SAMEP review</w:t>
            </w:r>
          </w:p>
        </w:tc>
        <w:tc>
          <w:tcPr>
            <w:tcW w:w="2471" w:type="dxa"/>
            <w:vAlign w:val="center"/>
          </w:tcPr>
          <w:p w:rsidR="00145322" w:rsidRPr="00EC6A21" w:rsidRDefault="00145322" w:rsidP="00EC6A21">
            <w:pPr>
              <w:jc w:val="center"/>
              <w:rPr>
                <w:rFonts w:ascii="Arial Narrow" w:hAnsi="Arial Narrow" w:cs="Arial"/>
                <w:b/>
                <w:sz w:val="20"/>
                <w:szCs w:val="20"/>
              </w:rPr>
            </w:pPr>
            <w:r w:rsidRPr="00EC6A21">
              <w:rPr>
                <w:rFonts w:ascii="Arial Narrow" w:hAnsi="Arial Narrow" w:cs="Arial"/>
                <w:b/>
                <w:sz w:val="20"/>
                <w:szCs w:val="20"/>
              </w:rPr>
              <w:t>Relative Increase from submission to SAMEP</w:t>
            </w:r>
          </w:p>
        </w:tc>
      </w:tr>
      <w:tr w:rsidR="00145322" w:rsidRPr="00822E12" w:rsidTr="00EC6A21">
        <w:tc>
          <w:tcPr>
            <w:tcW w:w="2268" w:type="dxa"/>
            <w:vAlign w:val="center"/>
          </w:tcPr>
          <w:p w:rsidR="00145322" w:rsidRPr="00822E12" w:rsidRDefault="00145322" w:rsidP="00A56263">
            <w:pPr>
              <w:rPr>
                <w:rFonts w:ascii="Arial Narrow" w:hAnsi="Arial Narrow" w:cs="Arial"/>
                <w:sz w:val="20"/>
                <w:szCs w:val="20"/>
              </w:rPr>
            </w:pPr>
            <w:r w:rsidRPr="00822E12">
              <w:rPr>
                <w:rFonts w:ascii="Arial Narrow" w:hAnsi="Arial Narrow" w:cs="Arial"/>
                <w:sz w:val="20"/>
                <w:szCs w:val="20"/>
              </w:rPr>
              <w:t>Percentage of patients with colitis</w:t>
            </w:r>
          </w:p>
        </w:tc>
        <w:tc>
          <w:tcPr>
            <w:tcW w:w="1276" w:type="dxa"/>
            <w:vAlign w:val="center"/>
          </w:tcPr>
          <w:p w:rsidR="00145322" w:rsidRPr="00822E12" w:rsidRDefault="00145322" w:rsidP="00EC6A21">
            <w:pPr>
              <w:jc w:val="center"/>
              <w:rPr>
                <w:rFonts w:ascii="Arial Narrow" w:hAnsi="Arial Narrow" w:cs="Arial"/>
                <w:sz w:val="20"/>
                <w:szCs w:val="20"/>
              </w:rPr>
            </w:pPr>
            <w:r w:rsidRPr="00822E12">
              <w:rPr>
                <w:rFonts w:ascii="Arial Narrow" w:hAnsi="Arial Narrow" w:cs="Arial"/>
                <w:sz w:val="20"/>
                <w:szCs w:val="20"/>
              </w:rPr>
              <w:t>7.6%</w:t>
            </w:r>
          </w:p>
        </w:tc>
        <w:tc>
          <w:tcPr>
            <w:tcW w:w="1276" w:type="dxa"/>
            <w:vAlign w:val="center"/>
          </w:tcPr>
          <w:p w:rsidR="00145322" w:rsidRPr="00822E12" w:rsidRDefault="00145322" w:rsidP="00EC6A21">
            <w:pPr>
              <w:jc w:val="center"/>
              <w:rPr>
                <w:rFonts w:ascii="Arial Narrow" w:hAnsi="Arial Narrow" w:cs="Arial"/>
                <w:sz w:val="20"/>
                <w:szCs w:val="20"/>
              </w:rPr>
            </w:pPr>
            <w:r w:rsidRPr="00822E12">
              <w:rPr>
                <w:rFonts w:ascii="Arial Narrow" w:hAnsi="Arial Narrow" w:cs="Arial"/>
                <w:sz w:val="20"/>
                <w:szCs w:val="20"/>
              </w:rPr>
              <w:t>7.7%</w:t>
            </w:r>
          </w:p>
        </w:tc>
        <w:tc>
          <w:tcPr>
            <w:tcW w:w="1134" w:type="dxa"/>
            <w:vAlign w:val="center"/>
          </w:tcPr>
          <w:p w:rsidR="00145322" w:rsidRPr="00822E12" w:rsidRDefault="00145322" w:rsidP="00EC6A21">
            <w:pPr>
              <w:jc w:val="center"/>
              <w:rPr>
                <w:rFonts w:ascii="Arial Narrow" w:hAnsi="Arial Narrow" w:cs="Arial"/>
                <w:sz w:val="20"/>
                <w:szCs w:val="20"/>
              </w:rPr>
            </w:pPr>
            <w:r w:rsidRPr="00822E12">
              <w:rPr>
                <w:rFonts w:ascii="Arial Narrow" w:hAnsi="Arial Narrow" w:cs="Arial"/>
                <w:sz w:val="20"/>
                <w:szCs w:val="20"/>
              </w:rPr>
              <w:t>Unknown</w:t>
            </w:r>
          </w:p>
        </w:tc>
        <w:tc>
          <w:tcPr>
            <w:tcW w:w="2471" w:type="dxa"/>
            <w:vAlign w:val="center"/>
          </w:tcPr>
          <w:p w:rsidR="00145322" w:rsidRPr="00822E12" w:rsidRDefault="00145322" w:rsidP="00EC6A21">
            <w:pPr>
              <w:jc w:val="center"/>
              <w:rPr>
                <w:rFonts w:ascii="Arial Narrow" w:hAnsi="Arial Narrow" w:cs="Arial"/>
                <w:sz w:val="20"/>
                <w:szCs w:val="20"/>
              </w:rPr>
            </w:pPr>
            <w:r w:rsidRPr="00822E12">
              <w:rPr>
                <w:rFonts w:ascii="Arial Narrow" w:hAnsi="Arial Narrow" w:cs="Arial"/>
                <w:sz w:val="20"/>
                <w:szCs w:val="20"/>
              </w:rPr>
              <w:t>Unknown</w:t>
            </w:r>
          </w:p>
        </w:tc>
      </w:tr>
      <w:tr w:rsidR="00145322" w:rsidRPr="00822E12" w:rsidTr="00EC6A21">
        <w:tc>
          <w:tcPr>
            <w:tcW w:w="2268" w:type="dxa"/>
            <w:vAlign w:val="center"/>
          </w:tcPr>
          <w:p w:rsidR="00145322" w:rsidRPr="00822E12" w:rsidRDefault="00145322" w:rsidP="00A56263">
            <w:pPr>
              <w:rPr>
                <w:rFonts w:ascii="Arial Narrow" w:hAnsi="Arial Narrow" w:cs="Arial"/>
                <w:sz w:val="20"/>
                <w:szCs w:val="20"/>
              </w:rPr>
            </w:pPr>
            <w:r w:rsidRPr="00822E12">
              <w:rPr>
                <w:rFonts w:ascii="Arial Narrow" w:hAnsi="Arial Narrow" w:cs="Arial"/>
                <w:sz w:val="20"/>
                <w:szCs w:val="20"/>
              </w:rPr>
              <w:t>Percentage of patients with severe colitis (grade 3 or above)</w:t>
            </w:r>
          </w:p>
        </w:tc>
        <w:tc>
          <w:tcPr>
            <w:tcW w:w="1276" w:type="dxa"/>
            <w:vAlign w:val="center"/>
          </w:tcPr>
          <w:p w:rsidR="00145322" w:rsidRPr="00822E12" w:rsidRDefault="00145322" w:rsidP="00EC6A21">
            <w:pPr>
              <w:jc w:val="center"/>
              <w:rPr>
                <w:rFonts w:ascii="Arial Narrow" w:hAnsi="Arial Narrow" w:cs="Arial"/>
                <w:sz w:val="20"/>
                <w:szCs w:val="20"/>
              </w:rPr>
            </w:pPr>
            <w:r w:rsidRPr="00822E12">
              <w:rPr>
                <w:rFonts w:ascii="Arial Narrow" w:hAnsi="Arial Narrow" w:cs="Arial"/>
                <w:sz w:val="20"/>
                <w:szCs w:val="20"/>
              </w:rPr>
              <w:t>5.3%</w:t>
            </w:r>
          </w:p>
        </w:tc>
        <w:tc>
          <w:tcPr>
            <w:tcW w:w="1276" w:type="dxa"/>
            <w:vAlign w:val="center"/>
          </w:tcPr>
          <w:p w:rsidR="00145322" w:rsidRPr="00822E12" w:rsidRDefault="00145322" w:rsidP="00EC6A21">
            <w:pPr>
              <w:jc w:val="center"/>
              <w:rPr>
                <w:rFonts w:ascii="Arial Narrow" w:hAnsi="Arial Narrow" w:cs="Arial"/>
                <w:sz w:val="20"/>
                <w:szCs w:val="20"/>
              </w:rPr>
            </w:pPr>
            <w:r w:rsidRPr="00822E12">
              <w:rPr>
                <w:rFonts w:ascii="Arial Narrow" w:hAnsi="Arial Narrow" w:cs="Arial"/>
                <w:sz w:val="20"/>
                <w:szCs w:val="20"/>
              </w:rPr>
              <w:t>5.8%</w:t>
            </w:r>
          </w:p>
        </w:tc>
        <w:tc>
          <w:tcPr>
            <w:tcW w:w="1134" w:type="dxa"/>
            <w:vAlign w:val="center"/>
          </w:tcPr>
          <w:p w:rsidR="00145322" w:rsidRPr="00822E12" w:rsidRDefault="00145322" w:rsidP="00EC6A21">
            <w:pPr>
              <w:jc w:val="center"/>
              <w:rPr>
                <w:rFonts w:ascii="Arial Narrow" w:hAnsi="Arial Narrow" w:cs="Arial"/>
                <w:sz w:val="20"/>
                <w:szCs w:val="20"/>
              </w:rPr>
            </w:pPr>
            <w:r w:rsidRPr="00822E12">
              <w:rPr>
                <w:rFonts w:ascii="Arial Narrow" w:hAnsi="Arial Narrow" w:cs="Arial"/>
                <w:sz w:val="20"/>
                <w:szCs w:val="20"/>
              </w:rPr>
              <w:t>16%</w:t>
            </w:r>
          </w:p>
        </w:tc>
        <w:tc>
          <w:tcPr>
            <w:tcW w:w="2471" w:type="dxa"/>
            <w:vAlign w:val="center"/>
          </w:tcPr>
          <w:p w:rsidR="00145322" w:rsidRPr="00822E12" w:rsidRDefault="00145322" w:rsidP="00EC6A21">
            <w:pPr>
              <w:jc w:val="center"/>
              <w:rPr>
                <w:rFonts w:ascii="Arial Narrow" w:hAnsi="Arial Narrow" w:cs="Arial"/>
                <w:sz w:val="20"/>
                <w:szCs w:val="20"/>
              </w:rPr>
            </w:pPr>
            <w:r w:rsidRPr="00822E12">
              <w:rPr>
                <w:rFonts w:ascii="Arial Narrow" w:hAnsi="Arial Narrow" w:cs="Arial"/>
                <w:sz w:val="20"/>
                <w:szCs w:val="20"/>
              </w:rPr>
              <w:t>3 times more in South Australia</w:t>
            </w:r>
          </w:p>
        </w:tc>
      </w:tr>
      <w:tr w:rsidR="00145322" w:rsidRPr="00822E12" w:rsidTr="00EC6A21">
        <w:tc>
          <w:tcPr>
            <w:tcW w:w="2268" w:type="dxa"/>
            <w:vAlign w:val="center"/>
          </w:tcPr>
          <w:p w:rsidR="00145322" w:rsidRPr="00822E12" w:rsidRDefault="00145322" w:rsidP="00A56263">
            <w:pPr>
              <w:rPr>
                <w:rFonts w:ascii="Arial Narrow" w:hAnsi="Arial Narrow" w:cs="Arial"/>
                <w:sz w:val="20"/>
                <w:szCs w:val="20"/>
              </w:rPr>
            </w:pPr>
            <w:r w:rsidRPr="00822E12">
              <w:rPr>
                <w:rFonts w:ascii="Arial Narrow" w:hAnsi="Arial Narrow" w:cs="Arial"/>
                <w:sz w:val="20"/>
                <w:szCs w:val="20"/>
              </w:rPr>
              <w:t>Cost associated with each severe adverse event</w:t>
            </w:r>
          </w:p>
        </w:tc>
        <w:tc>
          <w:tcPr>
            <w:tcW w:w="1276" w:type="dxa"/>
            <w:vAlign w:val="center"/>
          </w:tcPr>
          <w:p w:rsidR="00145322" w:rsidRPr="00822E12" w:rsidRDefault="00145322" w:rsidP="00EC6A21">
            <w:pPr>
              <w:jc w:val="center"/>
              <w:rPr>
                <w:rFonts w:ascii="Arial Narrow" w:hAnsi="Arial Narrow" w:cs="Arial"/>
                <w:sz w:val="20"/>
                <w:szCs w:val="20"/>
              </w:rPr>
            </w:pPr>
            <w:r w:rsidRPr="00822E12">
              <w:rPr>
                <w:rFonts w:ascii="Arial Narrow" w:hAnsi="Arial Narrow" w:cs="Arial"/>
                <w:color w:val="000000"/>
                <w:sz w:val="20"/>
                <w:szCs w:val="20"/>
              </w:rPr>
              <w:t>$</w:t>
            </w:r>
            <w:r w:rsidR="00E07BB1">
              <w:rPr>
                <w:rFonts w:ascii="Arial Narrow" w:hAnsi="Arial Narrow" w:cs="Arial"/>
                <w:noProof/>
                <w:color w:val="000000"/>
                <w:sz w:val="20"/>
                <w:szCs w:val="20"/>
                <w:highlight w:val="black"/>
              </w:rPr>
              <w:t>'''''''''''''''''</w:t>
            </w:r>
          </w:p>
        </w:tc>
        <w:tc>
          <w:tcPr>
            <w:tcW w:w="1276" w:type="dxa"/>
            <w:vAlign w:val="center"/>
          </w:tcPr>
          <w:p w:rsidR="00145322" w:rsidRPr="00822E12" w:rsidRDefault="00145322" w:rsidP="00EC6A21">
            <w:pPr>
              <w:jc w:val="center"/>
              <w:rPr>
                <w:rFonts w:ascii="Arial Narrow" w:hAnsi="Arial Narrow" w:cs="Arial"/>
                <w:sz w:val="20"/>
                <w:szCs w:val="20"/>
              </w:rPr>
            </w:pPr>
            <w:r w:rsidRPr="00822E12">
              <w:rPr>
                <w:rFonts w:ascii="Arial Narrow" w:hAnsi="Arial Narrow" w:cs="Arial"/>
                <w:sz w:val="20"/>
                <w:szCs w:val="20"/>
              </w:rPr>
              <w:t>N/A</w:t>
            </w:r>
          </w:p>
        </w:tc>
        <w:tc>
          <w:tcPr>
            <w:tcW w:w="1134" w:type="dxa"/>
            <w:vAlign w:val="center"/>
          </w:tcPr>
          <w:p w:rsidR="00145322" w:rsidRPr="00822E12" w:rsidRDefault="00145322" w:rsidP="00EC6A21">
            <w:pPr>
              <w:jc w:val="center"/>
              <w:rPr>
                <w:rFonts w:ascii="Arial Narrow" w:hAnsi="Arial Narrow" w:cs="Arial"/>
                <w:sz w:val="20"/>
                <w:szCs w:val="20"/>
              </w:rPr>
            </w:pPr>
            <w:r w:rsidRPr="00822E12">
              <w:rPr>
                <w:rFonts w:ascii="Arial Narrow" w:hAnsi="Arial Narrow" w:cs="Arial"/>
                <w:sz w:val="20"/>
                <w:szCs w:val="20"/>
              </w:rPr>
              <w:t>$</w:t>
            </w:r>
            <w:r w:rsidRPr="00265120">
              <w:rPr>
                <w:rFonts w:ascii="Arial Narrow" w:hAnsi="Arial Narrow" w:cs="Arial"/>
                <w:sz w:val="20"/>
                <w:szCs w:val="20"/>
              </w:rPr>
              <w:t>50,000</w:t>
            </w:r>
          </w:p>
        </w:tc>
        <w:tc>
          <w:tcPr>
            <w:tcW w:w="2471" w:type="dxa"/>
            <w:vAlign w:val="center"/>
          </w:tcPr>
          <w:p w:rsidR="00145322" w:rsidRPr="00822E12" w:rsidRDefault="00E07BB1" w:rsidP="00EC6A21">
            <w:pPr>
              <w:jc w:val="center"/>
              <w:rPr>
                <w:rFonts w:ascii="Arial Narrow" w:hAnsi="Arial Narrow" w:cs="Arial"/>
                <w:sz w:val="20"/>
                <w:szCs w:val="20"/>
              </w:rPr>
            </w:pPr>
            <w:r>
              <w:rPr>
                <w:rFonts w:ascii="Arial Narrow" w:hAnsi="Arial Narrow" w:cs="Arial"/>
                <w:noProof/>
                <w:color w:val="000000"/>
                <w:sz w:val="20"/>
                <w:szCs w:val="20"/>
                <w:highlight w:val="black"/>
              </w:rPr>
              <w:t>''''''</w:t>
            </w:r>
            <w:r w:rsidR="00145322" w:rsidRPr="00822E12">
              <w:rPr>
                <w:rFonts w:ascii="Arial Narrow" w:hAnsi="Arial Narrow" w:cs="Arial"/>
                <w:sz w:val="20"/>
                <w:szCs w:val="20"/>
              </w:rPr>
              <w:t xml:space="preserve"> times more in South Australia</w:t>
            </w:r>
          </w:p>
        </w:tc>
      </w:tr>
    </w:tbl>
    <w:p w:rsidR="00EA1E98" w:rsidRDefault="00EA1E98" w:rsidP="00EA1E98">
      <w:pPr>
        <w:pStyle w:val="EndnoteText"/>
        <w:ind w:left="709" w:firstLine="11"/>
        <w:rPr>
          <w:rFonts w:ascii="Arial Narrow" w:hAnsi="Arial Narrow"/>
          <w:sz w:val="18"/>
          <w:szCs w:val="18"/>
        </w:rPr>
      </w:pPr>
      <w:r w:rsidRPr="00D703E8">
        <w:rPr>
          <w:rStyle w:val="EndnoteReference"/>
          <w:rFonts w:ascii="Arial Narrow" w:hAnsi="Arial Narrow"/>
          <w:sz w:val="18"/>
          <w:szCs w:val="18"/>
        </w:rPr>
        <w:footnoteRef/>
      </w:r>
      <w:r w:rsidRPr="00D703E8">
        <w:rPr>
          <w:rFonts w:ascii="Arial Narrow" w:hAnsi="Arial Narrow"/>
          <w:sz w:val="18"/>
          <w:szCs w:val="18"/>
        </w:rPr>
        <w:t xml:space="preserve"> Alexander M, Mellor J, McArthur G, and Kee D (2014) Ipil</w:t>
      </w:r>
      <w:r w:rsidR="007A4EA3">
        <w:rPr>
          <w:rFonts w:ascii="Arial Narrow" w:hAnsi="Arial Narrow"/>
          <w:sz w:val="18"/>
          <w:szCs w:val="18"/>
        </w:rPr>
        <w:t>i</w:t>
      </w:r>
      <w:r w:rsidRPr="00D703E8">
        <w:rPr>
          <w:rFonts w:ascii="Arial Narrow" w:hAnsi="Arial Narrow"/>
          <w:sz w:val="18"/>
          <w:szCs w:val="18"/>
        </w:rPr>
        <w:t xml:space="preserve">mumab in pretreated patients with unresectable or metastatic cutaneous, uveal and mucosal melanoma </w:t>
      </w:r>
      <w:r w:rsidRPr="00D703E8">
        <w:rPr>
          <w:rFonts w:ascii="Arial Narrow" w:hAnsi="Arial Narrow"/>
          <w:i/>
          <w:sz w:val="18"/>
          <w:szCs w:val="18"/>
        </w:rPr>
        <w:t>MJA</w:t>
      </w:r>
      <w:r w:rsidRPr="00D703E8">
        <w:rPr>
          <w:rFonts w:ascii="Arial Narrow" w:hAnsi="Arial Narrow"/>
          <w:sz w:val="18"/>
          <w:szCs w:val="18"/>
        </w:rPr>
        <w:t xml:space="preserve"> 201(1) 49-53</w:t>
      </w:r>
    </w:p>
    <w:p w:rsidR="00EA1E98" w:rsidRPr="00D703E8" w:rsidRDefault="00EA1E98" w:rsidP="00EA1E98">
      <w:pPr>
        <w:pStyle w:val="EndnoteText"/>
        <w:ind w:left="709" w:firstLine="11"/>
        <w:rPr>
          <w:rFonts w:ascii="Arial Narrow" w:hAnsi="Arial Narrow"/>
          <w:sz w:val="18"/>
          <w:szCs w:val="18"/>
        </w:rPr>
      </w:pPr>
      <w:r>
        <w:rPr>
          <w:rStyle w:val="EndnoteReference"/>
          <w:rFonts w:ascii="Arial Narrow" w:hAnsi="Arial Narrow"/>
          <w:sz w:val="18"/>
          <w:szCs w:val="18"/>
        </w:rPr>
        <w:t>2</w:t>
      </w:r>
      <w:r w:rsidRPr="00D703E8">
        <w:rPr>
          <w:rFonts w:ascii="Arial Narrow" w:hAnsi="Arial Narrow"/>
          <w:sz w:val="18"/>
          <w:szCs w:val="18"/>
        </w:rPr>
        <w:t xml:space="preserve"> </w:t>
      </w:r>
      <w:r w:rsidR="00336CE7" w:rsidRPr="00E07BB1">
        <w:rPr>
          <w:rFonts w:ascii="Arial Narrow" w:hAnsi="Arial Narrow"/>
          <w:sz w:val="18"/>
          <w:szCs w:val="18"/>
        </w:rPr>
        <w:t>ABS Consumer Price Index, March 2015</w:t>
      </w:r>
      <w:r w:rsidR="00336CE7">
        <w:rPr>
          <w:rFonts w:ascii="Arial Narrow" w:hAnsi="Arial Narrow"/>
          <w:sz w:val="18"/>
          <w:szCs w:val="18"/>
        </w:rPr>
        <w:t xml:space="preserve">, </w:t>
      </w:r>
      <w:r w:rsidRPr="00D703E8">
        <w:rPr>
          <w:rFonts w:ascii="Arial Narrow" w:hAnsi="Arial Narrow"/>
          <w:sz w:val="18"/>
          <w:szCs w:val="18"/>
        </w:rPr>
        <w:t>Health CPI series A2331111C used to inflate the original costs from Dec 2010 to Dec 2013 to improve comparability (109.2/93.7)</w:t>
      </w:r>
    </w:p>
    <w:p w:rsidR="00CD0B5F" w:rsidRDefault="00CD0B5F" w:rsidP="00CD0B5F">
      <w:pPr>
        <w:pStyle w:val="ListParagraph"/>
        <w:jc w:val="both"/>
        <w:rPr>
          <w:rFonts w:ascii="Arial" w:hAnsi="Arial"/>
          <w:sz w:val="22"/>
          <w:szCs w:val="22"/>
        </w:rPr>
      </w:pPr>
    </w:p>
    <w:p w:rsidR="0023592D" w:rsidRDefault="00EE2D6D" w:rsidP="00EE2D6D">
      <w:pPr>
        <w:pStyle w:val="ListParagraph"/>
        <w:numPr>
          <w:ilvl w:val="1"/>
          <w:numId w:val="25"/>
        </w:numPr>
        <w:jc w:val="both"/>
        <w:rPr>
          <w:rFonts w:ascii="Arial" w:hAnsi="Arial"/>
          <w:sz w:val="22"/>
          <w:szCs w:val="22"/>
        </w:rPr>
      </w:pPr>
      <w:r>
        <w:rPr>
          <w:rFonts w:ascii="Arial" w:hAnsi="Arial"/>
          <w:sz w:val="22"/>
          <w:szCs w:val="22"/>
        </w:rPr>
        <w:t xml:space="preserve">The </w:t>
      </w:r>
      <w:r w:rsidR="00B22233">
        <w:rPr>
          <w:rFonts w:ascii="Arial" w:hAnsi="Arial"/>
          <w:sz w:val="22"/>
          <w:szCs w:val="22"/>
        </w:rPr>
        <w:t>correspondence from SAMEP also</w:t>
      </w:r>
      <w:r>
        <w:rPr>
          <w:rFonts w:ascii="Arial" w:hAnsi="Arial"/>
          <w:sz w:val="22"/>
          <w:szCs w:val="22"/>
        </w:rPr>
        <w:t xml:space="preserve"> stated that </w:t>
      </w:r>
      <w:r w:rsidR="00B22233">
        <w:rPr>
          <w:rFonts w:ascii="Arial" w:hAnsi="Arial"/>
          <w:sz w:val="22"/>
          <w:szCs w:val="22"/>
        </w:rPr>
        <w:t>the panel</w:t>
      </w:r>
      <w:r>
        <w:rPr>
          <w:rFonts w:ascii="Arial" w:hAnsi="Arial"/>
          <w:sz w:val="22"/>
          <w:szCs w:val="22"/>
        </w:rPr>
        <w:t xml:space="preserve"> are aware of a number of ipilimumab-treated patients admitted to hospital with immune-related hypophysitis. </w:t>
      </w:r>
      <w:r w:rsidR="00A56263">
        <w:rPr>
          <w:rFonts w:ascii="Arial" w:hAnsi="Arial"/>
          <w:sz w:val="22"/>
          <w:szCs w:val="22"/>
        </w:rPr>
        <w:t xml:space="preserve">At the time of the correspondence, the </w:t>
      </w:r>
      <w:r>
        <w:rPr>
          <w:rFonts w:ascii="Arial" w:hAnsi="Arial"/>
          <w:sz w:val="22"/>
          <w:szCs w:val="22"/>
        </w:rPr>
        <w:t xml:space="preserve">number of patients </w:t>
      </w:r>
      <w:r w:rsidR="003C7242">
        <w:rPr>
          <w:rFonts w:ascii="Arial" w:hAnsi="Arial"/>
          <w:sz w:val="22"/>
          <w:szCs w:val="22"/>
        </w:rPr>
        <w:t xml:space="preserve">with immune-related hypophysitis </w:t>
      </w:r>
      <w:r>
        <w:rPr>
          <w:rFonts w:ascii="Arial" w:hAnsi="Arial"/>
          <w:sz w:val="22"/>
          <w:szCs w:val="22"/>
        </w:rPr>
        <w:t>ha</w:t>
      </w:r>
      <w:r w:rsidR="00A56263">
        <w:rPr>
          <w:rFonts w:ascii="Arial" w:hAnsi="Arial"/>
          <w:sz w:val="22"/>
          <w:szCs w:val="22"/>
        </w:rPr>
        <w:t>d</w:t>
      </w:r>
      <w:r w:rsidR="00336CE7">
        <w:rPr>
          <w:rFonts w:ascii="Arial" w:hAnsi="Arial"/>
          <w:sz w:val="22"/>
          <w:szCs w:val="22"/>
        </w:rPr>
        <w:t xml:space="preserve"> not been quantified.</w:t>
      </w:r>
    </w:p>
    <w:p w:rsidR="00485DDE" w:rsidRPr="00485DDE" w:rsidRDefault="00485DDE" w:rsidP="00485DDE">
      <w:pPr>
        <w:jc w:val="both"/>
        <w:rPr>
          <w:rFonts w:ascii="Arial" w:hAnsi="Arial"/>
          <w:sz w:val="22"/>
          <w:szCs w:val="22"/>
        </w:rPr>
      </w:pPr>
    </w:p>
    <w:p w:rsidR="00EE2D6D" w:rsidRDefault="00EE2D6D" w:rsidP="00CD0B5F">
      <w:pPr>
        <w:pStyle w:val="ListParagraph"/>
        <w:jc w:val="both"/>
        <w:rPr>
          <w:rFonts w:ascii="Arial" w:hAnsi="Arial"/>
          <w:sz w:val="22"/>
          <w:szCs w:val="22"/>
        </w:rPr>
      </w:pPr>
    </w:p>
    <w:p w:rsidR="00CD0B5F" w:rsidRPr="00CD0B5F" w:rsidRDefault="00CD0B5F" w:rsidP="00CD0B5F">
      <w:pPr>
        <w:pStyle w:val="ListParagraph"/>
        <w:numPr>
          <w:ilvl w:val="0"/>
          <w:numId w:val="25"/>
        </w:numPr>
        <w:jc w:val="both"/>
        <w:rPr>
          <w:rFonts w:ascii="Arial" w:hAnsi="Arial"/>
          <w:b/>
          <w:sz w:val="22"/>
          <w:szCs w:val="22"/>
        </w:rPr>
      </w:pPr>
      <w:r w:rsidRPr="00CD0B5F">
        <w:rPr>
          <w:rFonts w:ascii="Arial" w:hAnsi="Arial"/>
          <w:b/>
          <w:sz w:val="22"/>
          <w:szCs w:val="22"/>
        </w:rPr>
        <w:t>PBAC outcome</w:t>
      </w:r>
    </w:p>
    <w:p w:rsidR="00CD0B5F" w:rsidRPr="00CD0B5F" w:rsidRDefault="00CD0B5F" w:rsidP="00CD0B5F">
      <w:pPr>
        <w:jc w:val="both"/>
        <w:rPr>
          <w:rFonts w:ascii="Arial" w:hAnsi="Arial"/>
          <w:sz w:val="22"/>
          <w:szCs w:val="22"/>
        </w:rPr>
      </w:pPr>
    </w:p>
    <w:p w:rsidR="00C25B07" w:rsidRDefault="00EE69D1" w:rsidP="00FA5516">
      <w:pPr>
        <w:pStyle w:val="ListParagraph"/>
        <w:numPr>
          <w:ilvl w:val="1"/>
          <w:numId w:val="25"/>
        </w:numPr>
        <w:jc w:val="both"/>
        <w:rPr>
          <w:rFonts w:ascii="Arial" w:hAnsi="Arial"/>
          <w:sz w:val="22"/>
          <w:szCs w:val="22"/>
        </w:rPr>
      </w:pPr>
      <w:r>
        <w:rPr>
          <w:rFonts w:ascii="Arial" w:hAnsi="Arial"/>
          <w:sz w:val="22"/>
          <w:szCs w:val="22"/>
        </w:rPr>
        <w:t xml:space="preserve">The PBAC </w:t>
      </w:r>
      <w:r w:rsidR="00963A79">
        <w:rPr>
          <w:rFonts w:ascii="Arial" w:hAnsi="Arial"/>
          <w:sz w:val="22"/>
          <w:szCs w:val="22"/>
        </w:rPr>
        <w:t xml:space="preserve">noted that the incidence of serious adverse events occurring in South Australia </w:t>
      </w:r>
      <w:r w:rsidR="004C15E1">
        <w:rPr>
          <w:rFonts w:ascii="Arial" w:hAnsi="Arial"/>
          <w:sz w:val="22"/>
          <w:szCs w:val="22"/>
        </w:rPr>
        <w:t>is</w:t>
      </w:r>
      <w:r w:rsidR="00963A79">
        <w:rPr>
          <w:rFonts w:ascii="Arial" w:hAnsi="Arial"/>
          <w:sz w:val="22"/>
          <w:szCs w:val="22"/>
        </w:rPr>
        <w:t xml:space="preserve"> higher than the incidence seen in CT-020, the pivotal trial in the ipilimumab submission to the PBAC</w:t>
      </w:r>
      <w:r w:rsidR="004C15E1">
        <w:rPr>
          <w:rFonts w:ascii="Arial" w:hAnsi="Arial"/>
          <w:sz w:val="22"/>
          <w:szCs w:val="22"/>
        </w:rPr>
        <w:t>. T</w:t>
      </w:r>
      <w:r>
        <w:rPr>
          <w:rFonts w:ascii="Arial" w:hAnsi="Arial"/>
          <w:sz w:val="22"/>
          <w:szCs w:val="22"/>
        </w:rPr>
        <w:t xml:space="preserve">he </w:t>
      </w:r>
      <w:r w:rsidR="00963A79">
        <w:rPr>
          <w:rFonts w:ascii="Arial" w:hAnsi="Arial"/>
          <w:sz w:val="22"/>
          <w:szCs w:val="22"/>
        </w:rPr>
        <w:t xml:space="preserve">data from SAMEP </w:t>
      </w:r>
      <w:r w:rsidR="004C15E1">
        <w:rPr>
          <w:rFonts w:ascii="Arial" w:hAnsi="Arial"/>
          <w:sz w:val="22"/>
          <w:szCs w:val="22"/>
        </w:rPr>
        <w:t xml:space="preserve">also </w:t>
      </w:r>
      <w:r w:rsidR="00031BD9">
        <w:rPr>
          <w:rFonts w:ascii="Arial" w:hAnsi="Arial"/>
          <w:sz w:val="22"/>
          <w:szCs w:val="22"/>
        </w:rPr>
        <w:t>suggested</w:t>
      </w:r>
      <w:r>
        <w:rPr>
          <w:rFonts w:ascii="Arial" w:hAnsi="Arial"/>
          <w:sz w:val="22"/>
          <w:szCs w:val="22"/>
        </w:rPr>
        <w:t xml:space="preserve"> that the rate of steroid-refractory ipilimumab-induced colitis requiring hospitalisation and the associated resources and costs were significantly underestimate</w:t>
      </w:r>
      <w:r w:rsidR="007D78A9">
        <w:rPr>
          <w:rFonts w:ascii="Arial" w:hAnsi="Arial"/>
          <w:sz w:val="22"/>
          <w:szCs w:val="22"/>
        </w:rPr>
        <w:t>d in the ipilimumab submission from November 2012</w:t>
      </w:r>
      <w:r>
        <w:rPr>
          <w:rFonts w:ascii="Arial" w:hAnsi="Arial"/>
          <w:sz w:val="22"/>
          <w:szCs w:val="22"/>
        </w:rPr>
        <w:t>.</w:t>
      </w:r>
      <w:r w:rsidR="00730E73">
        <w:rPr>
          <w:rFonts w:ascii="Arial" w:hAnsi="Arial"/>
          <w:sz w:val="22"/>
          <w:szCs w:val="22"/>
        </w:rPr>
        <w:t xml:space="preserve"> </w:t>
      </w:r>
    </w:p>
    <w:p w:rsidR="00C25B07" w:rsidRDefault="00C25B07" w:rsidP="00C25B07">
      <w:pPr>
        <w:pStyle w:val="ListParagraph"/>
        <w:jc w:val="both"/>
        <w:rPr>
          <w:rFonts w:ascii="Arial" w:hAnsi="Arial"/>
          <w:sz w:val="22"/>
          <w:szCs w:val="22"/>
        </w:rPr>
      </w:pPr>
    </w:p>
    <w:p w:rsidR="00EE69D1" w:rsidRDefault="001B34E2" w:rsidP="007A4EA3">
      <w:pPr>
        <w:pStyle w:val="ListParagraph"/>
        <w:numPr>
          <w:ilvl w:val="1"/>
          <w:numId w:val="25"/>
        </w:numPr>
        <w:jc w:val="both"/>
        <w:rPr>
          <w:rFonts w:ascii="Arial" w:hAnsi="Arial"/>
          <w:sz w:val="22"/>
          <w:szCs w:val="22"/>
        </w:rPr>
      </w:pPr>
      <w:r w:rsidRPr="00151F12">
        <w:rPr>
          <w:rFonts w:ascii="Arial" w:hAnsi="Arial"/>
          <w:sz w:val="22"/>
          <w:szCs w:val="22"/>
        </w:rPr>
        <w:t>The PBAC considered that</w:t>
      </w:r>
      <w:r w:rsidR="003873AD" w:rsidRPr="00151F12">
        <w:rPr>
          <w:rFonts w:ascii="Arial" w:hAnsi="Arial"/>
          <w:sz w:val="22"/>
          <w:szCs w:val="22"/>
        </w:rPr>
        <w:t xml:space="preserve"> the underestimati</w:t>
      </w:r>
      <w:r w:rsidR="003873AD" w:rsidRPr="007B132C">
        <w:rPr>
          <w:rFonts w:ascii="Arial" w:hAnsi="Arial"/>
          <w:sz w:val="22"/>
          <w:szCs w:val="22"/>
        </w:rPr>
        <w:t>on of</w:t>
      </w:r>
      <w:r w:rsidR="007B132C">
        <w:rPr>
          <w:rFonts w:ascii="Arial" w:hAnsi="Arial"/>
          <w:sz w:val="22"/>
          <w:szCs w:val="22"/>
        </w:rPr>
        <w:t xml:space="preserve"> both</w:t>
      </w:r>
      <w:r w:rsidR="003873AD" w:rsidRPr="007B132C">
        <w:rPr>
          <w:rFonts w:ascii="Arial" w:hAnsi="Arial"/>
          <w:sz w:val="22"/>
          <w:szCs w:val="22"/>
        </w:rPr>
        <w:t xml:space="preserve"> the </w:t>
      </w:r>
      <w:r w:rsidR="0092477C" w:rsidRPr="007B132C">
        <w:rPr>
          <w:rFonts w:ascii="Arial" w:hAnsi="Arial"/>
          <w:sz w:val="22"/>
          <w:szCs w:val="22"/>
        </w:rPr>
        <w:t xml:space="preserve">incidence of adverse events </w:t>
      </w:r>
      <w:r w:rsidR="006B3CF1">
        <w:rPr>
          <w:rFonts w:ascii="Arial" w:hAnsi="Arial"/>
          <w:sz w:val="22"/>
          <w:szCs w:val="22"/>
        </w:rPr>
        <w:t>(</w:t>
      </w:r>
      <w:r w:rsidR="0092477C" w:rsidRPr="007B132C">
        <w:rPr>
          <w:rFonts w:ascii="Arial" w:hAnsi="Arial"/>
          <w:sz w:val="22"/>
          <w:szCs w:val="22"/>
        </w:rPr>
        <w:t>such as severe colitis</w:t>
      </w:r>
      <w:r w:rsidR="006B3CF1">
        <w:rPr>
          <w:rFonts w:ascii="Arial" w:hAnsi="Arial"/>
          <w:sz w:val="22"/>
          <w:szCs w:val="22"/>
        </w:rPr>
        <w:t>)</w:t>
      </w:r>
      <w:r w:rsidR="0092477C" w:rsidRPr="007B132C">
        <w:rPr>
          <w:rFonts w:ascii="Arial" w:hAnsi="Arial"/>
          <w:sz w:val="22"/>
          <w:szCs w:val="22"/>
        </w:rPr>
        <w:t xml:space="preserve">, </w:t>
      </w:r>
      <w:r w:rsidR="006B3CF1">
        <w:rPr>
          <w:rFonts w:ascii="Arial" w:hAnsi="Arial"/>
          <w:sz w:val="22"/>
          <w:szCs w:val="22"/>
        </w:rPr>
        <w:t>and</w:t>
      </w:r>
      <w:r w:rsidR="0092477C" w:rsidRPr="007B132C">
        <w:rPr>
          <w:rFonts w:ascii="Arial" w:hAnsi="Arial"/>
          <w:sz w:val="22"/>
          <w:szCs w:val="22"/>
        </w:rPr>
        <w:t xml:space="preserve"> the </w:t>
      </w:r>
      <w:r w:rsidR="003873AD" w:rsidRPr="007B132C">
        <w:rPr>
          <w:rFonts w:ascii="Arial" w:hAnsi="Arial"/>
          <w:sz w:val="22"/>
          <w:szCs w:val="22"/>
        </w:rPr>
        <w:t xml:space="preserve">costs </w:t>
      </w:r>
      <w:r w:rsidR="00330540">
        <w:rPr>
          <w:rFonts w:ascii="Arial" w:hAnsi="Arial"/>
          <w:sz w:val="22"/>
          <w:szCs w:val="22"/>
        </w:rPr>
        <w:t xml:space="preserve">associated with </w:t>
      </w:r>
      <w:r w:rsidR="003873AD" w:rsidRPr="007B132C">
        <w:rPr>
          <w:rFonts w:ascii="Arial" w:hAnsi="Arial"/>
          <w:sz w:val="22"/>
          <w:szCs w:val="22"/>
        </w:rPr>
        <w:t xml:space="preserve">treating </w:t>
      </w:r>
      <w:r w:rsidR="0092477C" w:rsidRPr="007B132C">
        <w:rPr>
          <w:rFonts w:ascii="Arial" w:hAnsi="Arial"/>
          <w:sz w:val="22"/>
          <w:szCs w:val="22"/>
        </w:rPr>
        <w:t xml:space="preserve">such </w:t>
      </w:r>
      <w:r w:rsidR="003873AD" w:rsidRPr="007B132C">
        <w:rPr>
          <w:rFonts w:ascii="Arial" w:hAnsi="Arial"/>
          <w:sz w:val="22"/>
          <w:szCs w:val="22"/>
        </w:rPr>
        <w:t>adverse events</w:t>
      </w:r>
      <w:r w:rsidR="006B3CF1">
        <w:rPr>
          <w:rFonts w:ascii="Arial" w:hAnsi="Arial"/>
          <w:sz w:val="22"/>
          <w:szCs w:val="22"/>
        </w:rPr>
        <w:t>,</w:t>
      </w:r>
      <w:r w:rsidR="00151F12" w:rsidRPr="007B132C">
        <w:rPr>
          <w:rFonts w:ascii="Arial" w:hAnsi="Arial"/>
          <w:sz w:val="22"/>
          <w:szCs w:val="22"/>
        </w:rPr>
        <w:t xml:space="preserve"> </w:t>
      </w:r>
      <w:r w:rsidR="006B3CF1">
        <w:rPr>
          <w:rFonts w:ascii="Arial" w:hAnsi="Arial"/>
          <w:sz w:val="22"/>
          <w:szCs w:val="22"/>
        </w:rPr>
        <w:t xml:space="preserve">would </w:t>
      </w:r>
      <w:r w:rsidR="0092477C" w:rsidRPr="00330540">
        <w:rPr>
          <w:rFonts w:ascii="Arial" w:hAnsi="Arial"/>
          <w:sz w:val="22"/>
          <w:szCs w:val="22"/>
        </w:rPr>
        <w:t xml:space="preserve">mean that </w:t>
      </w:r>
      <w:r w:rsidRPr="00330540">
        <w:rPr>
          <w:rFonts w:ascii="Arial" w:hAnsi="Arial"/>
          <w:sz w:val="22"/>
          <w:szCs w:val="22"/>
        </w:rPr>
        <w:t>the</w:t>
      </w:r>
      <w:r w:rsidR="00C42DEF" w:rsidRPr="00330540">
        <w:rPr>
          <w:rFonts w:ascii="Arial" w:hAnsi="Arial"/>
          <w:sz w:val="22"/>
          <w:szCs w:val="22"/>
        </w:rPr>
        <w:t xml:space="preserve"> base case ICER for ipilimumab</w:t>
      </w:r>
      <w:r w:rsidR="002210A8">
        <w:rPr>
          <w:rFonts w:ascii="Arial" w:hAnsi="Arial"/>
          <w:sz w:val="22"/>
          <w:szCs w:val="22"/>
        </w:rPr>
        <w:t xml:space="preserve"> considered in November 2012 </w:t>
      </w:r>
      <w:r w:rsidR="00C42DEF" w:rsidRPr="00330540">
        <w:rPr>
          <w:rFonts w:ascii="Arial" w:hAnsi="Arial"/>
          <w:sz w:val="22"/>
          <w:szCs w:val="22"/>
        </w:rPr>
        <w:t>was</w:t>
      </w:r>
      <w:r w:rsidR="0092477C" w:rsidRPr="00330540">
        <w:rPr>
          <w:rFonts w:ascii="Arial" w:hAnsi="Arial"/>
          <w:sz w:val="22"/>
          <w:szCs w:val="22"/>
        </w:rPr>
        <w:t xml:space="preserve"> </w:t>
      </w:r>
      <w:r w:rsidRPr="00320186">
        <w:rPr>
          <w:rFonts w:ascii="Arial" w:hAnsi="Arial"/>
          <w:sz w:val="22"/>
          <w:szCs w:val="22"/>
        </w:rPr>
        <w:t>underestimat</w:t>
      </w:r>
      <w:r w:rsidR="003873AD" w:rsidRPr="00320186">
        <w:rPr>
          <w:rFonts w:ascii="Arial" w:hAnsi="Arial"/>
          <w:sz w:val="22"/>
          <w:szCs w:val="22"/>
        </w:rPr>
        <w:t>ed</w:t>
      </w:r>
      <w:r w:rsidR="0092477C" w:rsidRPr="00320186">
        <w:rPr>
          <w:rFonts w:ascii="Arial" w:hAnsi="Arial"/>
          <w:sz w:val="22"/>
          <w:szCs w:val="22"/>
        </w:rPr>
        <w:t>. The PBAC</w:t>
      </w:r>
      <w:r w:rsidR="007B132C">
        <w:rPr>
          <w:rFonts w:ascii="Arial" w:hAnsi="Arial"/>
          <w:sz w:val="22"/>
          <w:szCs w:val="22"/>
        </w:rPr>
        <w:t xml:space="preserve"> also </w:t>
      </w:r>
      <w:r w:rsidR="0092477C" w:rsidRPr="007B132C">
        <w:rPr>
          <w:rFonts w:ascii="Arial" w:hAnsi="Arial"/>
          <w:sz w:val="22"/>
          <w:szCs w:val="22"/>
        </w:rPr>
        <w:t>noted that</w:t>
      </w:r>
      <w:r w:rsidR="00151F12" w:rsidRPr="007B132C">
        <w:rPr>
          <w:rFonts w:ascii="Arial" w:hAnsi="Arial"/>
          <w:sz w:val="22"/>
          <w:szCs w:val="22"/>
        </w:rPr>
        <w:t xml:space="preserve"> </w:t>
      </w:r>
      <w:r w:rsidR="00232856">
        <w:rPr>
          <w:rFonts w:ascii="Arial" w:hAnsi="Arial"/>
          <w:sz w:val="22"/>
          <w:szCs w:val="22"/>
        </w:rPr>
        <w:t xml:space="preserve">the </w:t>
      </w:r>
      <w:r w:rsidR="002210A8">
        <w:rPr>
          <w:rFonts w:ascii="Arial" w:hAnsi="Arial"/>
          <w:sz w:val="22"/>
          <w:szCs w:val="22"/>
        </w:rPr>
        <w:t>disutility associated</w:t>
      </w:r>
      <w:r w:rsidR="00232856">
        <w:rPr>
          <w:rFonts w:ascii="Arial" w:hAnsi="Arial"/>
          <w:sz w:val="22"/>
          <w:szCs w:val="22"/>
        </w:rPr>
        <w:t xml:space="preserve"> </w:t>
      </w:r>
      <w:r w:rsidR="002210A8">
        <w:rPr>
          <w:rFonts w:ascii="Arial" w:hAnsi="Arial"/>
          <w:sz w:val="22"/>
          <w:szCs w:val="22"/>
        </w:rPr>
        <w:t xml:space="preserve">with the incidence of </w:t>
      </w:r>
      <w:r w:rsidR="00232856">
        <w:rPr>
          <w:rFonts w:ascii="Arial" w:hAnsi="Arial"/>
          <w:sz w:val="22"/>
          <w:szCs w:val="22"/>
        </w:rPr>
        <w:t xml:space="preserve">severe colitis </w:t>
      </w:r>
      <w:r w:rsidR="002210A8">
        <w:rPr>
          <w:rFonts w:ascii="Arial" w:hAnsi="Arial"/>
          <w:sz w:val="22"/>
          <w:szCs w:val="22"/>
        </w:rPr>
        <w:t>may have been underestimated in the  ipilimumab submission</w:t>
      </w:r>
      <w:r w:rsidR="00232856">
        <w:rPr>
          <w:rFonts w:ascii="Arial" w:hAnsi="Arial"/>
          <w:sz w:val="22"/>
          <w:szCs w:val="22"/>
        </w:rPr>
        <w:t>.</w:t>
      </w:r>
      <w:r w:rsidR="00320186">
        <w:rPr>
          <w:rFonts w:ascii="Arial" w:hAnsi="Arial"/>
          <w:sz w:val="22"/>
          <w:szCs w:val="22"/>
        </w:rPr>
        <w:t xml:space="preserve"> </w:t>
      </w:r>
    </w:p>
    <w:p w:rsidR="002210A8" w:rsidRPr="00151F12" w:rsidRDefault="002210A8" w:rsidP="00151F12">
      <w:pPr>
        <w:pStyle w:val="ListParagraph"/>
        <w:jc w:val="both"/>
        <w:rPr>
          <w:rFonts w:ascii="Arial" w:hAnsi="Arial"/>
          <w:sz w:val="22"/>
          <w:szCs w:val="22"/>
        </w:rPr>
      </w:pPr>
    </w:p>
    <w:p w:rsidR="00FA5516" w:rsidRDefault="00A45F06" w:rsidP="00FA5516">
      <w:pPr>
        <w:pStyle w:val="ListParagraph"/>
        <w:numPr>
          <w:ilvl w:val="1"/>
          <w:numId w:val="25"/>
        </w:numPr>
        <w:jc w:val="both"/>
        <w:rPr>
          <w:rFonts w:ascii="Arial" w:hAnsi="Arial"/>
          <w:sz w:val="22"/>
          <w:szCs w:val="22"/>
        </w:rPr>
      </w:pPr>
      <w:r>
        <w:rPr>
          <w:rFonts w:ascii="Arial" w:hAnsi="Arial"/>
          <w:sz w:val="22"/>
          <w:szCs w:val="22"/>
        </w:rPr>
        <w:t>The PBAC noted that emerging evidence</w:t>
      </w:r>
      <w:r w:rsidR="00730E73">
        <w:rPr>
          <w:rFonts w:ascii="Arial" w:hAnsi="Arial"/>
          <w:sz w:val="22"/>
          <w:szCs w:val="22"/>
        </w:rPr>
        <w:t xml:space="preserve">, such </w:t>
      </w:r>
      <w:r w:rsidR="00A32769">
        <w:rPr>
          <w:rFonts w:ascii="Arial" w:hAnsi="Arial"/>
          <w:sz w:val="22"/>
          <w:szCs w:val="22"/>
        </w:rPr>
        <w:t xml:space="preserve">as the data </w:t>
      </w:r>
      <w:r w:rsidR="00730E73">
        <w:rPr>
          <w:rFonts w:ascii="Arial" w:hAnsi="Arial"/>
          <w:sz w:val="22"/>
          <w:szCs w:val="22"/>
        </w:rPr>
        <w:t>provided by SAMEP,</w:t>
      </w:r>
      <w:r>
        <w:rPr>
          <w:rFonts w:ascii="Arial" w:hAnsi="Arial"/>
          <w:sz w:val="22"/>
          <w:szCs w:val="22"/>
        </w:rPr>
        <w:t xml:space="preserve"> indicated that the extent of colitis following any of the recent cancer immunotherapies in regular clinical practice is not yet known with confidence</w:t>
      </w:r>
      <w:r w:rsidR="00A32769">
        <w:rPr>
          <w:rFonts w:ascii="Arial" w:hAnsi="Arial"/>
          <w:sz w:val="22"/>
          <w:szCs w:val="22"/>
        </w:rPr>
        <w:t>. The PBAC considered that the incidence of adverse events</w:t>
      </w:r>
      <w:r w:rsidR="00030F0A">
        <w:rPr>
          <w:rFonts w:ascii="Arial" w:hAnsi="Arial"/>
          <w:sz w:val="22"/>
          <w:szCs w:val="22"/>
        </w:rPr>
        <w:t xml:space="preserve"> in broader clinical practice may not reflect the data from clinical trials, which is</w:t>
      </w:r>
      <w:r w:rsidR="00A32769">
        <w:rPr>
          <w:rFonts w:ascii="Arial" w:hAnsi="Arial"/>
          <w:sz w:val="22"/>
          <w:szCs w:val="22"/>
        </w:rPr>
        <w:t xml:space="preserve"> </w:t>
      </w:r>
      <w:r w:rsidR="00030F0A">
        <w:rPr>
          <w:rFonts w:ascii="Arial" w:hAnsi="Arial"/>
          <w:sz w:val="22"/>
          <w:szCs w:val="22"/>
        </w:rPr>
        <w:t>an area of uncertainty when</w:t>
      </w:r>
      <w:r w:rsidR="00A32769">
        <w:rPr>
          <w:rFonts w:ascii="Arial" w:hAnsi="Arial"/>
          <w:sz w:val="22"/>
          <w:szCs w:val="22"/>
        </w:rPr>
        <w:t xml:space="preserve"> providing</w:t>
      </w:r>
      <w:r>
        <w:rPr>
          <w:rFonts w:ascii="Arial" w:hAnsi="Arial"/>
          <w:sz w:val="22"/>
          <w:szCs w:val="22"/>
        </w:rPr>
        <w:t xml:space="preserve"> early access to new </w:t>
      </w:r>
      <w:r w:rsidR="00E52E3C">
        <w:rPr>
          <w:rFonts w:ascii="Arial" w:hAnsi="Arial"/>
          <w:sz w:val="22"/>
          <w:szCs w:val="22"/>
        </w:rPr>
        <w:t>therapies</w:t>
      </w:r>
      <w:r w:rsidR="003B5749">
        <w:rPr>
          <w:rFonts w:ascii="Arial" w:hAnsi="Arial"/>
          <w:sz w:val="22"/>
          <w:szCs w:val="22"/>
        </w:rPr>
        <w:t>.</w:t>
      </w:r>
    </w:p>
    <w:p w:rsidR="00FA5516" w:rsidRPr="00FA5516" w:rsidRDefault="00FA5516" w:rsidP="00FA5516">
      <w:pPr>
        <w:pStyle w:val="ListParagraph"/>
        <w:rPr>
          <w:rFonts w:ascii="Arial" w:hAnsi="Arial"/>
          <w:sz w:val="22"/>
          <w:szCs w:val="22"/>
        </w:rPr>
      </w:pPr>
    </w:p>
    <w:p w:rsidR="009F0BA1" w:rsidRDefault="00FA5516" w:rsidP="009F0BA1">
      <w:pPr>
        <w:pStyle w:val="ListParagraph"/>
        <w:numPr>
          <w:ilvl w:val="1"/>
          <w:numId w:val="25"/>
        </w:numPr>
        <w:jc w:val="both"/>
        <w:rPr>
          <w:rFonts w:ascii="Arial" w:hAnsi="Arial"/>
          <w:sz w:val="22"/>
          <w:szCs w:val="22"/>
        </w:rPr>
      </w:pPr>
      <w:r>
        <w:rPr>
          <w:rFonts w:ascii="Arial" w:hAnsi="Arial"/>
          <w:sz w:val="22"/>
          <w:szCs w:val="22"/>
        </w:rPr>
        <w:t>The PBAC</w:t>
      </w:r>
      <w:r w:rsidR="007C7BDD">
        <w:rPr>
          <w:rFonts w:ascii="Arial" w:hAnsi="Arial"/>
          <w:sz w:val="22"/>
          <w:szCs w:val="22"/>
        </w:rPr>
        <w:t xml:space="preserve"> </w:t>
      </w:r>
      <w:r w:rsidR="00B6671E">
        <w:rPr>
          <w:rFonts w:ascii="Arial" w:hAnsi="Arial"/>
          <w:sz w:val="22"/>
          <w:szCs w:val="22"/>
        </w:rPr>
        <w:t>welcomed the correspondence from SAMEP</w:t>
      </w:r>
      <w:r w:rsidR="002210A8">
        <w:rPr>
          <w:rFonts w:ascii="Arial" w:hAnsi="Arial"/>
          <w:sz w:val="22"/>
          <w:szCs w:val="22"/>
        </w:rPr>
        <w:t xml:space="preserve">. The PBAC considered that </w:t>
      </w:r>
      <w:r w:rsidR="006B3CF1">
        <w:rPr>
          <w:rFonts w:ascii="Arial" w:hAnsi="Arial"/>
          <w:sz w:val="22"/>
          <w:szCs w:val="22"/>
        </w:rPr>
        <w:t xml:space="preserve">it would be useful </w:t>
      </w:r>
      <w:r w:rsidR="002210A8">
        <w:rPr>
          <w:rFonts w:ascii="Arial" w:hAnsi="Arial"/>
          <w:sz w:val="22"/>
          <w:szCs w:val="22"/>
        </w:rPr>
        <w:t xml:space="preserve">if </w:t>
      </w:r>
      <w:r w:rsidR="006B3CF1">
        <w:rPr>
          <w:rFonts w:ascii="Arial" w:hAnsi="Arial"/>
          <w:sz w:val="22"/>
          <w:szCs w:val="22"/>
        </w:rPr>
        <w:t xml:space="preserve">such data </w:t>
      </w:r>
      <w:r w:rsidR="002210A8">
        <w:rPr>
          <w:rFonts w:ascii="Arial" w:hAnsi="Arial"/>
          <w:sz w:val="22"/>
          <w:szCs w:val="22"/>
        </w:rPr>
        <w:t xml:space="preserve">were collected </w:t>
      </w:r>
      <w:r w:rsidR="006B3CF1">
        <w:rPr>
          <w:rFonts w:ascii="Arial" w:hAnsi="Arial"/>
          <w:sz w:val="22"/>
          <w:szCs w:val="22"/>
        </w:rPr>
        <w:t>in a system</w:t>
      </w:r>
      <w:r w:rsidR="00252DA5">
        <w:rPr>
          <w:rFonts w:ascii="Arial" w:hAnsi="Arial"/>
          <w:sz w:val="22"/>
          <w:szCs w:val="22"/>
        </w:rPr>
        <w:t>at</w:t>
      </w:r>
      <w:r w:rsidR="006B3CF1">
        <w:rPr>
          <w:rFonts w:ascii="Arial" w:hAnsi="Arial"/>
          <w:sz w:val="22"/>
          <w:szCs w:val="22"/>
        </w:rPr>
        <w:t>ic way</w:t>
      </w:r>
      <w:r w:rsidR="00265120">
        <w:rPr>
          <w:rFonts w:ascii="Arial" w:hAnsi="Arial"/>
          <w:sz w:val="22"/>
          <w:szCs w:val="22"/>
        </w:rPr>
        <w:t>.</w:t>
      </w:r>
    </w:p>
    <w:p w:rsidR="00B37582" w:rsidRPr="00B37582" w:rsidRDefault="00B37582" w:rsidP="00B37582">
      <w:pPr>
        <w:pStyle w:val="ListParagraph"/>
        <w:rPr>
          <w:rFonts w:ascii="Arial" w:hAnsi="Arial"/>
          <w:sz w:val="22"/>
          <w:szCs w:val="22"/>
        </w:rPr>
      </w:pPr>
    </w:p>
    <w:p w:rsidR="00B37582" w:rsidRPr="009F0BA1" w:rsidRDefault="00B37582" w:rsidP="00B37582">
      <w:pPr>
        <w:pStyle w:val="ListParagraph"/>
        <w:jc w:val="both"/>
        <w:rPr>
          <w:rFonts w:ascii="Arial" w:hAnsi="Arial"/>
          <w:sz w:val="22"/>
          <w:szCs w:val="22"/>
        </w:rPr>
      </w:pPr>
    </w:p>
    <w:sectPr w:rsidR="00B37582" w:rsidRPr="009F0BA1" w:rsidSect="003C5525">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BB1" w:rsidRDefault="00E07BB1">
      <w:r>
        <w:separator/>
      </w:r>
    </w:p>
  </w:endnote>
  <w:endnote w:type="continuationSeparator" w:id="0">
    <w:p w:rsidR="00E07BB1" w:rsidRDefault="00E07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145322" w:rsidTr="005A3173">
      <w:trPr>
        <w:trHeight w:val="151"/>
      </w:trPr>
      <w:tc>
        <w:tcPr>
          <w:tcW w:w="2250" w:type="pct"/>
          <w:tcBorders>
            <w:top w:val="nil"/>
            <w:left w:val="nil"/>
            <w:bottom w:val="single" w:sz="4" w:space="0" w:color="4F81BD"/>
            <w:right w:val="nil"/>
          </w:tcBorders>
        </w:tcPr>
        <w:p w:rsidR="00145322" w:rsidRPr="005A3173" w:rsidRDefault="00145322" w:rsidP="005A3173">
          <w:pPr>
            <w:pStyle w:val="Header"/>
            <w:spacing w:line="276" w:lineRule="auto"/>
            <w:rPr>
              <w:rFonts w:ascii="Calibri" w:eastAsia="MS Gothic" w:hAnsi="Calibri"/>
              <w:b/>
              <w:bCs/>
              <w:color w:val="4F81BD"/>
            </w:rPr>
          </w:pPr>
        </w:p>
      </w:tc>
      <w:tc>
        <w:tcPr>
          <w:tcW w:w="500" w:type="pct"/>
          <w:vMerge w:val="restart"/>
          <w:noWrap/>
          <w:vAlign w:val="center"/>
          <w:hideMark/>
        </w:tcPr>
        <w:p w:rsidR="00145322" w:rsidRPr="005A3173" w:rsidRDefault="0014532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45322" w:rsidRPr="005A3173" w:rsidRDefault="00145322" w:rsidP="005A3173">
          <w:pPr>
            <w:pStyle w:val="Header"/>
            <w:spacing w:line="276" w:lineRule="auto"/>
            <w:rPr>
              <w:rFonts w:ascii="Calibri" w:eastAsia="MS Gothic" w:hAnsi="Calibri"/>
              <w:b/>
              <w:bCs/>
              <w:color w:val="4F81BD"/>
            </w:rPr>
          </w:pPr>
        </w:p>
      </w:tc>
    </w:tr>
    <w:tr w:rsidR="00145322" w:rsidTr="005A3173">
      <w:trPr>
        <w:trHeight w:val="150"/>
      </w:trPr>
      <w:tc>
        <w:tcPr>
          <w:tcW w:w="2250" w:type="pct"/>
          <w:tcBorders>
            <w:top w:val="single" w:sz="4" w:space="0" w:color="4F81BD"/>
            <w:left w:val="nil"/>
            <w:bottom w:val="nil"/>
            <w:right w:val="nil"/>
          </w:tcBorders>
        </w:tcPr>
        <w:p w:rsidR="00145322" w:rsidRPr="005A3173" w:rsidRDefault="00145322" w:rsidP="005A3173">
          <w:pPr>
            <w:pStyle w:val="Header"/>
            <w:spacing w:line="276" w:lineRule="auto"/>
            <w:rPr>
              <w:rFonts w:ascii="Calibri" w:eastAsia="MS Gothic" w:hAnsi="Calibri"/>
              <w:b/>
              <w:bCs/>
              <w:color w:val="4F81BD"/>
            </w:rPr>
          </w:pPr>
        </w:p>
      </w:tc>
      <w:tc>
        <w:tcPr>
          <w:tcW w:w="0" w:type="auto"/>
          <w:vMerge/>
          <w:vAlign w:val="center"/>
          <w:hideMark/>
        </w:tcPr>
        <w:p w:rsidR="00145322" w:rsidRPr="005A3173" w:rsidRDefault="00145322" w:rsidP="005A3173">
          <w:pPr>
            <w:rPr>
              <w:rFonts w:ascii="Calibri" w:hAnsi="Calibri"/>
              <w:color w:val="365F91"/>
              <w:sz w:val="22"/>
              <w:szCs w:val="22"/>
            </w:rPr>
          </w:pPr>
        </w:p>
      </w:tc>
      <w:tc>
        <w:tcPr>
          <w:tcW w:w="2250" w:type="pct"/>
          <w:tcBorders>
            <w:top w:val="single" w:sz="4" w:space="0" w:color="4F81BD"/>
            <w:left w:val="nil"/>
            <w:bottom w:val="nil"/>
            <w:right w:val="nil"/>
          </w:tcBorders>
        </w:tcPr>
        <w:p w:rsidR="00145322" w:rsidRPr="005A3173" w:rsidRDefault="00145322" w:rsidP="005A3173">
          <w:pPr>
            <w:pStyle w:val="Header"/>
            <w:spacing w:line="276" w:lineRule="auto"/>
            <w:rPr>
              <w:rFonts w:ascii="Calibri" w:eastAsia="MS Gothic" w:hAnsi="Calibri"/>
              <w:b/>
              <w:bCs/>
              <w:color w:val="4F81BD"/>
            </w:rPr>
          </w:pPr>
        </w:p>
      </w:tc>
    </w:tr>
  </w:tbl>
  <w:p w:rsidR="00145322" w:rsidRDefault="00145322"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45322" w:rsidRDefault="001453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322" w:rsidRDefault="00145322" w:rsidP="00EF44A0">
    <w:pPr>
      <w:pStyle w:val="Footer"/>
    </w:pPr>
  </w:p>
  <w:p w:rsidR="00145322" w:rsidRPr="002C7ED4" w:rsidRDefault="00460EB6">
    <w:pPr>
      <w:pStyle w:val="Footer"/>
      <w:jc w:val="center"/>
      <w:rPr>
        <w:rFonts w:ascii="Arial" w:hAnsi="Arial" w:cs="Arial"/>
        <w:sz w:val="22"/>
      </w:rPr>
    </w:pPr>
    <w:sdt>
      <w:sdtPr>
        <w:rPr>
          <w:sz w:val="22"/>
        </w:rPr>
        <w:id w:val="646254239"/>
        <w:docPartObj>
          <w:docPartGallery w:val="Page Numbers (Bottom of Page)"/>
          <w:docPartUnique/>
        </w:docPartObj>
      </w:sdtPr>
      <w:sdtEndPr>
        <w:rPr>
          <w:rFonts w:ascii="Arial" w:hAnsi="Arial" w:cs="Arial"/>
          <w:noProof/>
        </w:rPr>
      </w:sdtEndPr>
      <w:sdtContent>
        <w:r w:rsidR="00145322" w:rsidRPr="002C7ED4">
          <w:rPr>
            <w:rFonts w:ascii="Arial" w:hAnsi="Arial" w:cs="Arial"/>
            <w:sz w:val="22"/>
          </w:rPr>
          <w:fldChar w:fldCharType="begin"/>
        </w:r>
        <w:r w:rsidR="00145322" w:rsidRPr="002C7ED4">
          <w:rPr>
            <w:rFonts w:ascii="Arial" w:hAnsi="Arial" w:cs="Arial"/>
            <w:sz w:val="22"/>
          </w:rPr>
          <w:instrText xml:space="preserve"> PAGE   \* MERGEFORMAT </w:instrText>
        </w:r>
        <w:r w:rsidR="00145322" w:rsidRPr="002C7ED4">
          <w:rPr>
            <w:rFonts w:ascii="Arial" w:hAnsi="Arial" w:cs="Arial"/>
            <w:sz w:val="22"/>
          </w:rPr>
          <w:fldChar w:fldCharType="separate"/>
        </w:r>
        <w:r>
          <w:rPr>
            <w:rFonts w:ascii="Arial" w:hAnsi="Arial" w:cs="Arial"/>
            <w:noProof/>
            <w:sz w:val="22"/>
          </w:rPr>
          <w:t>1</w:t>
        </w:r>
        <w:r w:rsidR="00145322" w:rsidRPr="002C7ED4">
          <w:rPr>
            <w:rFonts w:ascii="Arial" w:hAnsi="Arial" w:cs="Arial"/>
            <w:noProof/>
            <w:sz w:val="22"/>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145322" w:rsidTr="005A3173">
      <w:trPr>
        <w:trHeight w:val="151"/>
      </w:trPr>
      <w:tc>
        <w:tcPr>
          <w:tcW w:w="2250" w:type="pct"/>
          <w:tcBorders>
            <w:top w:val="nil"/>
            <w:left w:val="nil"/>
            <w:bottom w:val="single" w:sz="4" w:space="0" w:color="4F81BD"/>
            <w:right w:val="nil"/>
          </w:tcBorders>
        </w:tcPr>
        <w:p w:rsidR="00145322" w:rsidRPr="005A3173" w:rsidRDefault="00145322" w:rsidP="005A3173">
          <w:pPr>
            <w:pStyle w:val="Header"/>
            <w:spacing w:line="276" w:lineRule="auto"/>
            <w:rPr>
              <w:rFonts w:ascii="Calibri" w:eastAsia="MS Gothic" w:hAnsi="Calibri"/>
              <w:b/>
              <w:bCs/>
              <w:color w:val="4F81BD"/>
            </w:rPr>
          </w:pPr>
        </w:p>
      </w:tc>
      <w:tc>
        <w:tcPr>
          <w:tcW w:w="500" w:type="pct"/>
          <w:vMerge w:val="restart"/>
          <w:noWrap/>
          <w:vAlign w:val="center"/>
          <w:hideMark/>
        </w:tcPr>
        <w:p w:rsidR="00145322" w:rsidRPr="005A3173" w:rsidRDefault="0014532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45322" w:rsidRPr="005A3173" w:rsidRDefault="00145322" w:rsidP="005A3173">
          <w:pPr>
            <w:pStyle w:val="Header"/>
            <w:spacing w:line="276" w:lineRule="auto"/>
            <w:rPr>
              <w:rFonts w:ascii="Calibri" w:eastAsia="MS Gothic" w:hAnsi="Calibri"/>
              <w:b/>
              <w:bCs/>
              <w:color w:val="4F81BD"/>
            </w:rPr>
          </w:pPr>
        </w:p>
      </w:tc>
    </w:tr>
    <w:tr w:rsidR="00145322" w:rsidTr="005A3173">
      <w:trPr>
        <w:trHeight w:val="150"/>
      </w:trPr>
      <w:tc>
        <w:tcPr>
          <w:tcW w:w="2250" w:type="pct"/>
          <w:tcBorders>
            <w:top w:val="single" w:sz="4" w:space="0" w:color="4F81BD"/>
            <w:left w:val="nil"/>
            <w:bottom w:val="nil"/>
            <w:right w:val="nil"/>
          </w:tcBorders>
        </w:tcPr>
        <w:p w:rsidR="00145322" w:rsidRPr="005A3173" w:rsidRDefault="00145322" w:rsidP="005A3173">
          <w:pPr>
            <w:pStyle w:val="Header"/>
            <w:spacing w:line="276" w:lineRule="auto"/>
            <w:rPr>
              <w:rFonts w:ascii="Calibri" w:eastAsia="MS Gothic" w:hAnsi="Calibri"/>
              <w:b/>
              <w:bCs/>
              <w:color w:val="4F81BD"/>
            </w:rPr>
          </w:pPr>
        </w:p>
      </w:tc>
      <w:tc>
        <w:tcPr>
          <w:tcW w:w="0" w:type="auto"/>
          <w:vMerge/>
          <w:vAlign w:val="center"/>
          <w:hideMark/>
        </w:tcPr>
        <w:p w:rsidR="00145322" w:rsidRPr="005A3173" w:rsidRDefault="00145322" w:rsidP="005A3173">
          <w:pPr>
            <w:rPr>
              <w:rFonts w:ascii="Calibri" w:hAnsi="Calibri"/>
              <w:color w:val="365F91"/>
              <w:sz w:val="22"/>
              <w:szCs w:val="22"/>
            </w:rPr>
          </w:pPr>
        </w:p>
      </w:tc>
      <w:tc>
        <w:tcPr>
          <w:tcW w:w="2250" w:type="pct"/>
          <w:tcBorders>
            <w:top w:val="single" w:sz="4" w:space="0" w:color="4F81BD"/>
            <w:left w:val="nil"/>
            <w:bottom w:val="nil"/>
            <w:right w:val="nil"/>
          </w:tcBorders>
        </w:tcPr>
        <w:p w:rsidR="00145322" w:rsidRPr="005A3173" w:rsidRDefault="00145322"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145322" w:rsidTr="005A3173">
      <w:trPr>
        <w:trHeight w:val="151"/>
      </w:trPr>
      <w:tc>
        <w:tcPr>
          <w:tcW w:w="2250" w:type="pct"/>
          <w:tcBorders>
            <w:top w:val="nil"/>
            <w:left w:val="nil"/>
            <w:bottom w:val="single" w:sz="4" w:space="0" w:color="4F81BD"/>
            <w:right w:val="nil"/>
          </w:tcBorders>
        </w:tcPr>
        <w:p w:rsidR="00145322" w:rsidRPr="005A3173" w:rsidRDefault="00145322" w:rsidP="005A3173">
          <w:pPr>
            <w:pStyle w:val="Header"/>
            <w:spacing w:line="276" w:lineRule="auto"/>
            <w:rPr>
              <w:rFonts w:ascii="Calibri" w:eastAsia="MS Gothic" w:hAnsi="Calibri"/>
              <w:b/>
              <w:bCs/>
              <w:color w:val="4F81BD"/>
            </w:rPr>
          </w:pPr>
        </w:p>
      </w:tc>
      <w:tc>
        <w:tcPr>
          <w:tcW w:w="500" w:type="pct"/>
          <w:vMerge w:val="restart"/>
          <w:noWrap/>
          <w:vAlign w:val="center"/>
          <w:hideMark/>
        </w:tcPr>
        <w:p w:rsidR="00145322" w:rsidRPr="005A3173" w:rsidRDefault="0014532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45322" w:rsidRPr="005A3173" w:rsidRDefault="00145322" w:rsidP="005A3173">
          <w:pPr>
            <w:pStyle w:val="Header"/>
            <w:spacing w:line="276" w:lineRule="auto"/>
            <w:rPr>
              <w:rFonts w:ascii="Calibri" w:eastAsia="MS Gothic" w:hAnsi="Calibri"/>
              <w:b/>
              <w:bCs/>
              <w:color w:val="4F81BD"/>
            </w:rPr>
          </w:pPr>
        </w:p>
      </w:tc>
    </w:tr>
    <w:tr w:rsidR="00145322" w:rsidTr="005A3173">
      <w:trPr>
        <w:trHeight w:val="150"/>
      </w:trPr>
      <w:tc>
        <w:tcPr>
          <w:tcW w:w="2250" w:type="pct"/>
          <w:tcBorders>
            <w:top w:val="single" w:sz="4" w:space="0" w:color="4F81BD"/>
            <w:left w:val="nil"/>
            <w:bottom w:val="nil"/>
            <w:right w:val="nil"/>
          </w:tcBorders>
        </w:tcPr>
        <w:p w:rsidR="00145322" w:rsidRPr="005A3173" w:rsidRDefault="00145322" w:rsidP="005A3173">
          <w:pPr>
            <w:pStyle w:val="Header"/>
            <w:spacing w:line="276" w:lineRule="auto"/>
            <w:rPr>
              <w:rFonts w:ascii="Calibri" w:eastAsia="MS Gothic" w:hAnsi="Calibri"/>
              <w:b/>
              <w:bCs/>
              <w:color w:val="4F81BD"/>
            </w:rPr>
          </w:pPr>
        </w:p>
      </w:tc>
      <w:tc>
        <w:tcPr>
          <w:tcW w:w="0" w:type="auto"/>
          <w:vMerge/>
          <w:vAlign w:val="center"/>
          <w:hideMark/>
        </w:tcPr>
        <w:p w:rsidR="00145322" w:rsidRPr="005A3173" w:rsidRDefault="00145322" w:rsidP="005A3173">
          <w:pPr>
            <w:rPr>
              <w:rFonts w:ascii="Calibri" w:hAnsi="Calibri"/>
              <w:color w:val="365F91"/>
              <w:sz w:val="22"/>
              <w:szCs w:val="22"/>
            </w:rPr>
          </w:pPr>
        </w:p>
      </w:tc>
      <w:tc>
        <w:tcPr>
          <w:tcW w:w="2250" w:type="pct"/>
          <w:tcBorders>
            <w:top w:val="single" w:sz="4" w:space="0" w:color="4F81BD"/>
            <w:left w:val="nil"/>
            <w:bottom w:val="nil"/>
            <w:right w:val="nil"/>
          </w:tcBorders>
        </w:tcPr>
        <w:p w:rsidR="00145322" w:rsidRPr="005A3173" w:rsidRDefault="00145322" w:rsidP="005A3173">
          <w:pPr>
            <w:pStyle w:val="Header"/>
            <w:spacing w:line="276" w:lineRule="auto"/>
            <w:rPr>
              <w:rFonts w:ascii="Calibri" w:eastAsia="MS Gothic" w:hAnsi="Calibri"/>
              <w:b/>
              <w:bCs/>
              <w:color w:val="4F81BD"/>
            </w:rPr>
          </w:pPr>
        </w:p>
      </w:tc>
    </w:tr>
  </w:tbl>
  <w:p w:rsidR="00145322" w:rsidRPr="007C0F57" w:rsidRDefault="00145322"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145322" w:rsidRPr="007C0F57" w:rsidRDefault="00145322"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BB1" w:rsidRDefault="00E07BB1">
      <w:r>
        <w:separator/>
      </w:r>
    </w:p>
  </w:footnote>
  <w:footnote w:type="continuationSeparator" w:id="0">
    <w:p w:rsidR="00E07BB1" w:rsidRDefault="00E07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145322" w:rsidRPr="008E0D90" w:rsidTr="00A06225">
      <w:trPr>
        <w:trHeight w:val="151"/>
      </w:trPr>
      <w:tc>
        <w:tcPr>
          <w:tcW w:w="2389" w:type="pct"/>
          <w:tcBorders>
            <w:top w:val="nil"/>
            <w:left w:val="nil"/>
            <w:bottom w:val="single" w:sz="4" w:space="0" w:color="4F81BD"/>
            <w:right w:val="nil"/>
          </w:tcBorders>
        </w:tcPr>
        <w:p w:rsidR="00145322" w:rsidRPr="00A06225" w:rsidRDefault="00145322">
          <w:pPr>
            <w:pStyle w:val="Header"/>
            <w:spacing w:line="276" w:lineRule="auto"/>
            <w:rPr>
              <w:rFonts w:ascii="Cambria" w:eastAsia="MS Gothic" w:hAnsi="Cambria"/>
              <w:b/>
              <w:bCs/>
              <w:color w:val="4F81BD"/>
            </w:rPr>
          </w:pPr>
        </w:p>
      </w:tc>
      <w:tc>
        <w:tcPr>
          <w:tcW w:w="333" w:type="pct"/>
          <w:vMerge w:val="restart"/>
          <w:noWrap/>
          <w:vAlign w:val="center"/>
          <w:hideMark/>
        </w:tcPr>
        <w:p w:rsidR="00145322" w:rsidRPr="00A06225" w:rsidRDefault="00145322"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145322" w:rsidRPr="00A06225" w:rsidRDefault="00145322">
          <w:pPr>
            <w:pStyle w:val="Header"/>
            <w:spacing w:line="276" w:lineRule="auto"/>
            <w:rPr>
              <w:rFonts w:ascii="Cambria" w:eastAsia="MS Gothic" w:hAnsi="Cambria"/>
              <w:b/>
              <w:bCs/>
              <w:color w:val="4F81BD"/>
            </w:rPr>
          </w:pPr>
        </w:p>
      </w:tc>
    </w:tr>
    <w:tr w:rsidR="00145322" w:rsidRPr="008E0D90" w:rsidTr="00A06225">
      <w:trPr>
        <w:trHeight w:val="150"/>
      </w:trPr>
      <w:tc>
        <w:tcPr>
          <w:tcW w:w="2389" w:type="pct"/>
          <w:tcBorders>
            <w:top w:val="single" w:sz="4" w:space="0" w:color="4F81BD"/>
            <w:left w:val="nil"/>
            <w:bottom w:val="nil"/>
            <w:right w:val="nil"/>
          </w:tcBorders>
        </w:tcPr>
        <w:p w:rsidR="00145322" w:rsidRPr="00A06225" w:rsidRDefault="00145322">
          <w:pPr>
            <w:pStyle w:val="Header"/>
            <w:spacing w:line="276" w:lineRule="auto"/>
            <w:rPr>
              <w:rFonts w:ascii="Cambria" w:eastAsia="MS Gothic" w:hAnsi="Cambria"/>
              <w:b/>
              <w:bCs/>
              <w:color w:val="4F81BD"/>
            </w:rPr>
          </w:pPr>
        </w:p>
      </w:tc>
      <w:tc>
        <w:tcPr>
          <w:tcW w:w="0" w:type="auto"/>
          <w:vMerge/>
          <w:vAlign w:val="center"/>
          <w:hideMark/>
        </w:tcPr>
        <w:p w:rsidR="00145322" w:rsidRPr="00A06225" w:rsidRDefault="00145322">
          <w:pPr>
            <w:rPr>
              <w:rFonts w:ascii="Cambria" w:hAnsi="Cambria"/>
              <w:color w:val="4F81BD"/>
              <w:sz w:val="22"/>
              <w:szCs w:val="22"/>
            </w:rPr>
          </w:pPr>
        </w:p>
      </w:tc>
      <w:tc>
        <w:tcPr>
          <w:tcW w:w="2278" w:type="pct"/>
          <w:tcBorders>
            <w:top w:val="single" w:sz="4" w:space="0" w:color="4F81BD"/>
            <w:left w:val="nil"/>
            <w:bottom w:val="nil"/>
            <w:right w:val="nil"/>
          </w:tcBorders>
        </w:tcPr>
        <w:p w:rsidR="00145322" w:rsidRPr="00A06225" w:rsidRDefault="00145322">
          <w:pPr>
            <w:pStyle w:val="Header"/>
            <w:spacing w:line="276" w:lineRule="auto"/>
            <w:rPr>
              <w:rFonts w:ascii="Cambria" w:eastAsia="MS Gothic" w:hAnsi="Cambria"/>
              <w:b/>
              <w:bCs/>
              <w:color w:val="4F81BD"/>
            </w:rPr>
          </w:pPr>
        </w:p>
      </w:tc>
    </w:tr>
  </w:tbl>
  <w:p w:rsidR="00145322" w:rsidRDefault="001453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322" w:rsidRPr="00715FF1" w:rsidRDefault="009732CD" w:rsidP="00715FF1">
    <w:pPr>
      <w:widowControl w:val="0"/>
      <w:tabs>
        <w:tab w:val="left" w:pos="142"/>
        <w:tab w:val="right" w:pos="9027"/>
      </w:tabs>
      <w:jc w:val="center"/>
      <w:rPr>
        <w:rFonts w:ascii="Arial" w:hAnsi="Arial" w:cs="Arial"/>
        <w:i/>
        <w:snapToGrid w:val="0"/>
        <w:color w:val="A6A6A6" w:themeColor="background1" w:themeShade="A6"/>
        <w:sz w:val="22"/>
        <w:szCs w:val="20"/>
        <w:lang w:eastAsia="en-US"/>
      </w:rPr>
    </w:pPr>
    <w:r>
      <w:rPr>
        <w:rFonts w:ascii="Arial" w:hAnsi="Arial" w:cs="Arial"/>
        <w:i/>
        <w:snapToGrid w:val="0"/>
        <w:color w:val="A6A6A6" w:themeColor="background1" w:themeShade="A6"/>
        <w:sz w:val="22"/>
        <w:szCs w:val="20"/>
        <w:lang w:eastAsia="en-US"/>
      </w:rPr>
      <w:t>Public Summary Document</w:t>
    </w:r>
    <w:r w:rsidR="00145322" w:rsidRPr="00715FF1">
      <w:rPr>
        <w:rFonts w:ascii="Arial" w:hAnsi="Arial" w:cs="Arial"/>
        <w:i/>
        <w:snapToGrid w:val="0"/>
        <w:color w:val="A6A6A6" w:themeColor="background1" w:themeShade="A6"/>
        <w:sz w:val="22"/>
        <w:szCs w:val="20"/>
        <w:lang w:eastAsia="en-US"/>
      </w:rPr>
      <w:t xml:space="preserve"> – </w:t>
    </w:r>
    <w:r w:rsidR="00145322">
      <w:rPr>
        <w:rFonts w:ascii="Arial" w:hAnsi="Arial" w:cs="Arial"/>
        <w:i/>
        <w:snapToGrid w:val="0"/>
        <w:color w:val="A6A6A6" w:themeColor="background1" w:themeShade="A6"/>
        <w:sz w:val="22"/>
        <w:szCs w:val="20"/>
        <w:lang w:eastAsia="en-US"/>
      </w:rPr>
      <w:t>July 2015</w:t>
    </w:r>
    <w:r w:rsidR="00145322" w:rsidRPr="00715FF1">
      <w:rPr>
        <w:rFonts w:ascii="Arial" w:hAnsi="Arial" w:cs="Arial"/>
        <w:i/>
        <w:snapToGrid w:val="0"/>
        <w:color w:val="A6A6A6" w:themeColor="background1" w:themeShade="A6"/>
        <w:sz w:val="22"/>
        <w:szCs w:val="20"/>
        <w:lang w:eastAsia="en-US"/>
      </w:rPr>
      <w:t xml:space="preserve"> PBAC Meeting</w:t>
    </w:r>
  </w:p>
  <w:p w:rsidR="00145322" w:rsidRDefault="001453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BB1" w:rsidRDefault="00E07B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9D01E9B"/>
    <w:multiLevelType w:val="hybridMultilevel"/>
    <w:tmpl w:val="9C249C14"/>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8">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9">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C0C2E9A"/>
    <w:multiLevelType w:val="hybridMultilevel"/>
    <w:tmpl w:val="310883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2">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3">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5">
    <w:nsid w:val="2AF7089F"/>
    <w:multiLevelType w:val="hybridMultilevel"/>
    <w:tmpl w:val="D966C3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9">
    <w:nsid w:val="36D26017"/>
    <w:multiLevelType w:val="hybridMultilevel"/>
    <w:tmpl w:val="4B22AA2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22">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23">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24">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6">
    <w:nsid w:val="4C6918AD"/>
    <w:multiLevelType w:val="hybridMultilevel"/>
    <w:tmpl w:val="50F8A496"/>
    <w:lvl w:ilvl="0" w:tplc="1396B682">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8">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9">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nsid w:val="59BC5196"/>
    <w:multiLevelType w:val="multilevel"/>
    <w:tmpl w:val="722CA35A"/>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36">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38">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9">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0">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41">
    <w:nsid w:val="784D033C"/>
    <w:multiLevelType w:val="multilevel"/>
    <w:tmpl w:val="043CD7F2"/>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11"/>
  </w:num>
  <w:num w:numId="2">
    <w:abstractNumId w:val="37"/>
  </w:num>
  <w:num w:numId="3">
    <w:abstractNumId w:val="23"/>
  </w:num>
  <w:num w:numId="4">
    <w:abstractNumId w:val="0"/>
  </w:num>
  <w:num w:numId="5">
    <w:abstractNumId w:val="6"/>
  </w:num>
  <w:num w:numId="6">
    <w:abstractNumId w:val="22"/>
  </w:num>
  <w:num w:numId="7">
    <w:abstractNumId w:val="18"/>
  </w:num>
  <w:num w:numId="8">
    <w:abstractNumId w:val="5"/>
  </w:num>
  <w:num w:numId="9">
    <w:abstractNumId w:val="8"/>
  </w:num>
  <w:num w:numId="10">
    <w:abstractNumId w:val="35"/>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38"/>
  </w:num>
  <w:num w:numId="15">
    <w:abstractNumId w:val="31"/>
  </w:num>
  <w:num w:numId="16">
    <w:abstractNumId w:val="27"/>
  </w:num>
  <w:num w:numId="17">
    <w:abstractNumId w:val="40"/>
  </w:num>
  <w:num w:numId="18">
    <w:abstractNumId w:val="14"/>
  </w:num>
  <w:num w:numId="19">
    <w:abstractNumId w:val="21"/>
  </w:num>
  <w:num w:numId="20">
    <w:abstractNumId w:val="4"/>
  </w:num>
  <w:num w:numId="21">
    <w:abstractNumId w:val="34"/>
  </w:num>
  <w:num w:numId="22">
    <w:abstractNumId w:val="36"/>
  </w:num>
  <w:num w:numId="23">
    <w:abstractNumId w:val="42"/>
  </w:num>
  <w:num w:numId="24">
    <w:abstractNumId w:val="17"/>
  </w:num>
  <w:num w:numId="25">
    <w:abstractNumId w:val="41"/>
  </w:num>
  <w:num w:numId="26">
    <w:abstractNumId w:val="32"/>
  </w:num>
  <w:num w:numId="27">
    <w:abstractNumId w:val="13"/>
  </w:num>
  <w:num w:numId="28">
    <w:abstractNumId w:val="7"/>
  </w:num>
  <w:num w:numId="29">
    <w:abstractNumId w:val="29"/>
  </w:num>
  <w:num w:numId="30">
    <w:abstractNumId w:val="3"/>
  </w:num>
  <w:num w:numId="31">
    <w:abstractNumId w:val="30"/>
  </w:num>
  <w:num w:numId="32">
    <w:abstractNumId w:val="39"/>
  </w:num>
  <w:num w:numId="33">
    <w:abstractNumId w:val="28"/>
  </w:num>
  <w:num w:numId="34">
    <w:abstractNumId w:val="43"/>
  </w:num>
  <w:num w:numId="35">
    <w:abstractNumId w:val="12"/>
  </w:num>
  <w:num w:numId="36">
    <w:abstractNumId w:val="25"/>
  </w:num>
  <w:num w:numId="37">
    <w:abstractNumId w:val="33"/>
  </w:num>
  <w:num w:numId="38">
    <w:abstractNumId w:val="9"/>
  </w:num>
  <w:num w:numId="39">
    <w:abstractNumId w:val="20"/>
  </w:num>
  <w:num w:numId="40">
    <w:abstractNumId w:val="1"/>
  </w:num>
  <w:num w:numId="41">
    <w:abstractNumId w:val="16"/>
  </w:num>
  <w:num w:numId="42">
    <w:abstractNumId w:val="10"/>
  </w:num>
  <w:num w:numId="43">
    <w:abstractNumId w:val="15"/>
  </w:num>
  <w:num w:numId="44">
    <w:abstractNumId w:val="26"/>
  </w:num>
  <w:num w:numId="45">
    <w:abstractNumId w:val="2"/>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12B45"/>
    <w:rsid w:val="0002464A"/>
    <w:rsid w:val="00030F0A"/>
    <w:rsid w:val="0003106B"/>
    <w:rsid w:val="00031BD9"/>
    <w:rsid w:val="000421A1"/>
    <w:rsid w:val="0004240E"/>
    <w:rsid w:val="00045E26"/>
    <w:rsid w:val="000514B5"/>
    <w:rsid w:val="00060E64"/>
    <w:rsid w:val="00061096"/>
    <w:rsid w:val="00066755"/>
    <w:rsid w:val="000805BC"/>
    <w:rsid w:val="000969AD"/>
    <w:rsid w:val="000969D4"/>
    <w:rsid w:val="000A4672"/>
    <w:rsid w:val="000A5392"/>
    <w:rsid w:val="000B558D"/>
    <w:rsid w:val="000B5A87"/>
    <w:rsid w:val="000C6996"/>
    <w:rsid w:val="000D23BA"/>
    <w:rsid w:val="000E681E"/>
    <w:rsid w:val="000F091E"/>
    <w:rsid w:val="000F4E6A"/>
    <w:rsid w:val="001107BF"/>
    <w:rsid w:val="0011504D"/>
    <w:rsid w:val="0012417C"/>
    <w:rsid w:val="00127D06"/>
    <w:rsid w:val="00130521"/>
    <w:rsid w:val="00141696"/>
    <w:rsid w:val="00142395"/>
    <w:rsid w:val="00142714"/>
    <w:rsid w:val="001452ED"/>
    <w:rsid w:val="00145322"/>
    <w:rsid w:val="00151F12"/>
    <w:rsid w:val="001830CE"/>
    <w:rsid w:val="00193380"/>
    <w:rsid w:val="001962FC"/>
    <w:rsid w:val="00196307"/>
    <w:rsid w:val="001A6A22"/>
    <w:rsid w:val="001B017F"/>
    <w:rsid w:val="001B34E2"/>
    <w:rsid w:val="001B4ED0"/>
    <w:rsid w:val="001B5129"/>
    <w:rsid w:val="001C1195"/>
    <w:rsid w:val="001E0F2C"/>
    <w:rsid w:val="00201537"/>
    <w:rsid w:val="00201FBB"/>
    <w:rsid w:val="002036DA"/>
    <w:rsid w:val="00213CFB"/>
    <w:rsid w:val="002175C1"/>
    <w:rsid w:val="002210A8"/>
    <w:rsid w:val="002240BA"/>
    <w:rsid w:val="00232856"/>
    <w:rsid w:val="0023592D"/>
    <w:rsid w:val="00240E91"/>
    <w:rsid w:val="00246C7D"/>
    <w:rsid w:val="00252DA5"/>
    <w:rsid w:val="00264D86"/>
    <w:rsid w:val="00265120"/>
    <w:rsid w:val="00270204"/>
    <w:rsid w:val="00271BA1"/>
    <w:rsid w:val="00275428"/>
    <w:rsid w:val="00277505"/>
    <w:rsid w:val="00282D77"/>
    <w:rsid w:val="002905F9"/>
    <w:rsid w:val="00291586"/>
    <w:rsid w:val="0029458F"/>
    <w:rsid w:val="002A104C"/>
    <w:rsid w:val="002A4960"/>
    <w:rsid w:val="002B1AE6"/>
    <w:rsid w:val="002B30F8"/>
    <w:rsid w:val="002C212F"/>
    <w:rsid w:val="002C7ED4"/>
    <w:rsid w:val="002E72CA"/>
    <w:rsid w:val="002F6A8A"/>
    <w:rsid w:val="003067AD"/>
    <w:rsid w:val="003068B1"/>
    <w:rsid w:val="00311DEA"/>
    <w:rsid w:val="00320186"/>
    <w:rsid w:val="00322425"/>
    <w:rsid w:val="00326CC1"/>
    <w:rsid w:val="00326E79"/>
    <w:rsid w:val="00327C9A"/>
    <w:rsid w:val="00330540"/>
    <w:rsid w:val="003367EF"/>
    <w:rsid w:val="00336CE7"/>
    <w:rsid w:val="0034110B"/>
    <w:rsid w:val="00341AE4"/>
    <w:rsid w:val="003478EC"/>
    <w:rsid w:val="00361360"/>
    <w:rsid w:val="00372743"/>
    <w:rsid w:val="003873AD"/>
    <w:rsid w:val="003A1B07"/>
    <w:rsid w:val="003A5B4A"/>
    <w:rsid w:val="003B23C5"/>
    <w:rsid w:val="003B2A75"/>
    <w:rsid w:val="003B3CF4"/>
    <w:rsid w:val="003B5749"/>
    <w:rsid w:val="003B7EE4"/>
    <w:rsid w:val="003C33FB"/>
    <w:rsid w:val="003C5525"/>
    <w:rsid w:val="003C7242"/>
    <w:rsid w:val="003D4AC4"/>
    <w:rsid w:val="003D63B7"/>
    <w:rsid w:val="003E468B"/>
    <w:rsid w:val="003F5C8C"/>
    <w:rsid w:val="00412C90"/>
    <w:rsid w:val="004216A4"/>
    <w:rsid w:val="00437457"/>
    <w:rsid w:val="00445C9B"/>
    <w:rsid w:val="004465BD"/>
    <w:rsid w:val="00460EB6"/>
    <w:rsid w:val="00462DE7"/>
    <w:rsid w:val="00466ADA"/>
    <w:rsid w:val="004738A0"/>
    <w:rsid w:val="00476245"/>
    <w:rsid w:val="00485940"/>
    <w:rsid w:val="00485DDE"/>
    <w:rsid w:val="004A0A2E"/>
    <w:rsid w:val="004A5A85"/>
    <w:rsid w:val="004B5640"/>
    <w:rsid w:val="004B6645"/>
    <w:rsid w:val="004C15E1"/>
    <w:rsid w:val="004C1BD7"/>
    <w:rsid w:val="004C691D"/>
    <w:rsid w:val="004E49A2"/>
    <w:rsid w:val="004E692D"/>
    <w:rsid w:val="004E757E"/>
    <w:rsid w:val="0050419D"/>
    <w:rsid w:val="00514CD7"/>
    <w:rsid w:val="0051655E"/>
    <w:rsid w:val="0052479A"/>
    <w:rsid w:val="00525A73"/>
    <w:rsid w:val="00534E2E"/>
    <w:rsid w:val="00544552"/>
    <w:rsid w:val="005479AF"/>
    <w:rsid w:val="00581932"/>
    <w:rsid w:val="00591242"/>
    <w:rsid w:val="005916F2"/>
    <w:rsid w:val="00592FDB"/>
    <w:rsid w:val="005963BB"/>
    <w:rsid w:val="005A3173"/>
    <w:rsid w:val="005A3223"/>
    <w:rsid w:val="005A3DA3"/>
    <w:rsid w:val="005A52C4"/>
    <w:rsid w:val="005C2F83"/>
    <w:rsid w:val="005C7EDB"/>
    <w:rsid w:val="005D03AB"/>
    <w:rsid w:val="005D5017"/>
    <w:rsid w:val="005E4DED"/>
    <w:rsid w:val="00601A91"/>
    <w:rsid w:val="00602BA3"/>
    <w:rsid w:val="00614159"/>
    <w:rsid w:val="00616C82"/>
    <w:rsid w:val="00617C00"/>
    <w:rsid w:val="006263BF"/>
    <w:rsid w:val="0062715C"/>
    <w:rsid w:val="00630A2C"/>
    <w:rsid w:val="00651169"/>
    <w:rsid w:val="00653D69"/>
    <w:rsid w:val="00670A76"/>
    <w:rsid w:val="006711AA"/>
    <w:rsid w:val="00675622"/>
    <w:rsid w:val="00677A3F"/>
    <w:rsid w:val="00687723"/>
    <w:rsid w:val="006906DB"/>
    <w:rsid w:val="00690F8B"/>
    <w:rsid w:val="00696210"/>
    <w:rsid w:val="006A12A5"/>
    <w:rsid w:val="006A3A03"/>
    <w:rsid w:val="006B0D94"/>
    <w:rsid w:val="006B3CF1"/>
    <w:rsid w:val="006B485D"/>
    <w:rsid w:val="006C0543"/>
    <w:rsid w:val="006C708E"/>
    <w:rsid w:val="006D1991"/>
    <w:rsid w:val="006D6EC7"/>
    <w:rsid w:val="006F0555"/>
    <w:rsid w:val="006F1C11"/>
    <w:rsid w:val="006F5125"/>
    <w:rsid w:val="006F60EE"/>
    <w:rsid w:val="00715FF1"/>
    <w:rsid w:val="007174BB"/>
    <w:rsid w:val="00721F92"/>
    <w:rsid w:val="0072210C"/>
    <w:rsid w:val="00730E73"/>
    <w:rsid w:val="0076420C"/>
    <w:rsid w:val="007753C2"/>
    <w:rsid w:val="00781256"/>
    <w:rsid w:val="007838B8"/>
    <w:rsid w:val="00792464"/>
    <w:rsid w:val="007A4EA3"/>
    <w:rsid w:val="007B00EF"/>
    <w:rsid w:val="007B132C"/>
    <w:rsid w:val="007B5986"/>
    <w:rsid w:val="007C0F57"/>
    <w:rsid w:val="007C40B6"/>
    <w:rsid w:val="007C729F"/>
    <w:rsid w:val="007C7BDD"/>
    <w:rsid w:val="007D78A9"/>
    <w:rsid w:val="007E1D28"/>
    <w:rsid w:val="007F2641"/>
    <w:rsid w:val="007F7C36"/>
    <w:rsid w:val="00806796"/>
    <w:rsid w:val="008116A7"/>
    <w:rsid w:val="00826F6D"/>
    <w:rsid w:val="0084031A"/>
    <w:rsid w:val="00846F67"/>
    <w:rsid w:val="0085396B"/>
    <w:rsid w:val="00853AC2"/>
    <w:rsid w:val="00856DDD"/>
    <w:rsid w:val="00863E68"/>
    <w:rsid w:val="00866AE7"/>
    <w:rsid w:val="00872C94"/>
    <w:rsid w:val="00882085"/>
    <w:rsid w:val="00883188"/>
    <w:rsid w:val="00890874"/>
    <w:rsid w:val="00895AEB"/>
    <w:rsid w:val="00897D58"/>
    <w:rsid w:val="008A1956"/>
    <w:rsid w:val="008A44AA"/>
    <w:rsid w:val="008A4937"/>
    <w:rsid w:val="008D3C82"/>
    <w:rsid w:val="008D447E"/>
    <w:rsid w:val="008D7A41"/>
    <w:rsid w:val="008E34B9"/>
    <w:rsid w:val="008E3680"/>
    <w:rsid w:val="008E5870"/>
    <w:rsid w:val="008F1434"/>
    <w:rsid w:val="008F7355"/>
    <w:rsid w:val="009067B7"/>
    <w:rsid w:val="00922A99"/>
    <w:rsid w:val="00923572"/>
    <w:rsid w:val="0092477C"/>
    <w:rsid w:val="00930937"/>
    <w:rsid w:val="00933E6C"/>
    <w:rsid w:val="009366EF"/>
    <w:rsid w:val="00942160"/>
    <w:rsid w:val="00957FE0"/>
    <w:rsid w:val="009602C5"/>
    <w:rsid w:val="00963A79"/>
    <w:rsid w:val="009732CD"/>
    <w:rsid w:val="00974C21"/>
    <w:rsid w:val="009958C8"/>
    <w:rsid w:val="009B0F67"/>
    <w:rsid w:val="009C703C"/>
    <w:rsid w:val="009D3676"/>
    <w:rsid w:val="009D3CAA"/>
    <w:rsid w:val="009F0BA1"/>
    <w:rsid w:val="009F4E46"/>
    <w:rsid w:val="009F5B65"/>
    <w:rsid w:val="009F5F2E"/>
    <w:rsid w:val="00A06225"/>
    <w:rsid w:val="00A32769"/>
    <w:rsid w:val="00A37C8D"/>
    <w:rsid w:val="00A417F9"/>
    <w:rsid w:val="00A45F06"/>
    <w:rsid w:val="00A506AC"/>
    <w:rsid w:val="00A5273B"/>
    <w:rsid w:val="00A52A6F"/>
    <w:rsid w:val="00A52C65"/>
    <w:rsid w:val="00A53A9D"/>
    <w:rsid w:val="00A56263"/>
    <w:rsid w:val="00A56F4F"/>
    <w:rsid w:val="00A62C1A"/>
    <w:rsid w:val="00A6426D"/>
    <w:rsid w:val="00A70622"/>
    <w:rsid w:val="00A70977"/>
    <w:rsid w:val="00A83821"/>
    <w:rsid w:val="00A8390C"/>
    <w:rsid w:val="00AA4D1C"/>
    <w:rsid w:val="00AA6EE4"/>
    <w:rsid w:val="00AB1974"/>
    <w:rsid w:val="00AC5206"/>
    <w:rsid w:val="00AC5298"/>
    <w:rsid w:val="00AE11A5"/>
    <w:rsid w:val="00AE7C5D"/>
    <w:rsid w:val="00AF68CC"/>
    <w:rsid w:val="00B037E4"/>
    <w:rsid w:val="00B04290"/>
    <w:rsid w:val="00B205AA"/>
    <w:rsid w:val="00B22233"/>
    <w:rsid w:val="00B22E84"/>
    <w:rsid w:val="00B25F75"/>
    <w:rsid w:val="00B3545E"/>
    <w:rsid w:val="00B37582"/>
    <w:rsid w:val="00B43E90"/>
    <w:rsid w:val="00B56118"/>
    <w:rsid w:val="00B57277"/>
    <w:rsid w:val="00B57C5F"/>
    <w:rsid w:val="00B6671E"/>
    <w:rsid w:val="00B6773F"/>
    <w:rsid w:val="00B85623"/>
    <w:rsid w:val="00BB69F5"/>
    <w:rsid w:val="00BB71C5"/>
    <w:rsid w:val="00BB7EC3"/>
    <w:rsid w:val="00BC4B9A"/>
    <w:rsid w:val="00BD784C"/>
    <w:rsid w:val="00BF0F61"/>
    <w:rsid w:val="00BF4CB6"/>
    <w:rsid w:val="00BF6CBE"/>
    <w:rsid w:val="00C00DA7"/>
    <w:rsid w:val="00C12768"/>
    <w:rsid w:val="00C257BB"/>
    <w:rsid w:val="00C25B07"/>
    <w:rsid w:val="00C3504E"/>
    <w:rsid w:val="00C35996"/>
    <w:rsid w:val="00C42DEF"/>
    <w:rsid w:val="00C508AC"/>
    <w:rsid w:val="00C5342C"/>
    <w:rsid w:val="00C6256A"/>
    <w:rsid w:val="00C63CEB"/>
    <w:rsid w:val="00C7715F"/>
    <w:rsid w:val="00C91449"/>
    <w:rsid w:val="00C92D10"/>
    <w:rsid w:val="00C92F70"/>
    <w:rsid w:val="00C95329"/>
    <w:rsid w:val="00CA2D5A"/>
    <w:rsid w:val="00CB04D6"/>
    <w:rsid w:val="00CD0B5F"/>
    <w:rsid w:val="00CD6EE4"/>
    <w:rsid w:val="00CE10C4"/>
    <w:rsid w:val="00CE27B5"/>
    <w:rsid w:val="00CE33BB"/>
    <w:rsid w:val="00CF28C9"/>
    <w:rsid w:val="00D0321E"/>
    <w:rsid w:val="00D1455A"/>
    <w:rsid w:val="00D3280C"/>
    <w:rsid w:val="00D3406A"/>
    <w:rsid w:val="00D36FAB"/>
    <w:rsid w:val="00D469B2"/>
    <w:rsid w:val="00D741EB"/>
    <w:rsid w:val="00D8785D"/>
    <w:rsid w:val="00D91271"/>
    <w:rsid w:val="00DA2CB5"/>
    <w:rsid w:val="00DA4BAC"/>
    <w:rsid w:val="00DD15EE"/>
    <w:rsid w:val="00DD28C1"/>
    <w:rsid w:val="00DE6D27"/>
    <w:rsid w:val="00DF1FCD"/>
    <w:rsid w:val="00DF217D"/>
    <w:rsid w:val="00DF26A7"/>
    <w:rsid w:val="00E07BB1"/>
    <w:rsid w:val="00E11F35"/>
    <w:rsid w:val="00E15528"/>
    <w:rsid w:val="00E164B3"/>
    <w:rsid w:val="00E16910"/>
    <w:rsid w:val="00E224EC"/>
    <w:rsid w:val="00E47917"/>
    <w:rsid w:val="00E52E3C"/>
    <w:rsid w:val="00E53C17"/>
    <w:rsid w:val="00E65E54"/>
    <w:rsid w:val="00E80155"/>
    <w:rsid w:val="00E83575"/>
    <w:rsid w:val="00E848C0"/>
    <w:rsid w:val="00E91B96"/>
    <w:rsid w:val="00E941A1"/>
    <w:rsid w:val="00E946C9"/>
    <w:rsid w:val="00E95CE3"/>
    <w:rsid w:val="00EA1E98"/>
    <w:rsid w:val="00EA2825"/>
    <w:rsid w:val="00EB36D8"/>
    <w:rsid w:val="00EB5088"/>
    <w:rsid w:val="00EC544A"/>
    <w:rsid w:val="00EC6A21"/>
    <w:rsid w:val="00ED1644"/>
    <w:rsid w:val="00ED5FE2"/>
    <w:rsid w:val="00EE2D6D"/>
    <w:rsid w:val="00EE2DBD"/>
    <w:rsid w:val="00EE69D1"/>
    <w:rsid w:val="00EE6D62"/>
    <w:rsid w:val="00EF44A0"/>
    <w:rsid w:val="00EF65F3"/>
    <w:rsid w:val="00F050BD"/>
    <w:rsid w:val="00F05657"/>
    <w:rsid w:val="00F2118F"/>
    <w:rsid w:val="00F25578"/>
    <w:rsid w:val="00F258E5"/>
    <w:rsid w:val="00F300BC"/>
    <w:rsid w:val="00F3334E"/>
    <w:rsid w:val="00F37B93"/>
    <w:rsid w:val="00F50EC4"/>
    <w:rsid w:val="00F57A6D"/>
    <w:rsid w:val="00F638CC"/>
    <w:rsid w:val="00F6492A"/>
    <w:rsid w:val="00F8247A"/>
    <w:rsid w:val="00F92A55"/>
    <w:rsid w:val="00F92A8D"/>
    <w:rsid w:val="00F9629A"/>
    <w:rsid w:val="00F9696D"/>
    <w:rsid w:val="00FA5516"/>
    <w:rsid w:val="00FA5883"/>
    <w:rsid w:val="00FA6055"/>
    <w:rsid w:val="00FB009D"/>
    <w:rsid w:val="00FB065C"/>
    <w:rsid w:val="00FB322F"/>
    <w:rsid w:val="00FB442F"/>
    <w:rsid w:val="00FC1929"/>
    <w:rsid w:val="00FC5B46"/>
    <w:rsid w:val="00FC749B"/>
    <w:rsid w:val="00FD112A"/>
    <w:rsid w:val="00FD7E04"/>
    <w:rsid w:val="00FF00BD"/>
    <w:rsid w:val="00FF1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character" w:styleId="Hyperlink">
    <w:name w:val="Hyperlink"/>
    <w:basedOn w:val="DefaultParagraphFont"/>
    <w:uiPriority w:val="99"/>
    <w:rsid w:val="00CD0B5F"/>
    <w:rPr>
      <w:color w:val="0000FF" w:themeColor="hyperlink"/>
      <w:u w:val="single"/>
    </w:rPr>
  </w:style>
  <w:style w:type="paragraph" w:styleId="EndnoteText">
    <w:name w:val="endnote text"/>
    <w:basedOn w:val="Normal"/>
    <w:link w:val="EndnoteTextChar"/>
    <w:uiPriority w:val="99"/>
    <w:unhideWhenUsed/>
    <w:rsid w:val="00145322"/>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rsid w:val="00145322"/>
    <w:rPr>
      <w:rFonts w:asciiTheme="minorHAnsi" w:eastAsiaTheme="minorHAnsi" w:hAnsiTheme="minorHAnsi" w:cstheme="minorBidi"/>
      <w:lang w:eastAsia="en-US"/>
    </w:rPr>
  </w:style>
  <w:style w:type="character" w:styleId="EndnoteReference">
    <w:name w:val="endnote reference"/>
    <w:basedOn w:val="DefaultParagraphFont"/>
    <w:uiPriority w:val="99"/>
    <w:unhideWhenUsed/>
    <w:rsid w:val="00145322"/>
    <w:rPr>
      <w:vertAlign w:val="superscript"/>
    </w:rPr>
  </w:style>
  <w:style w:type="character" w:styleId="FollowedHyperlink">
    <w:name w:val="FollowedHyperlink"/>
    <w:basedOn w:val="DefaultParagraphFont"/>
    <w:rsid w:val="00866AE7"/>
    <w:rPr>
      <w:color w:val="800080" w:themeColor="followedHyperlink"/>
      <w:u w:val="single"/>
    </w:rPr>
  </w:style>
  <w:style w:type="paragraph" w:customStyle="1" w:styleId="PBACHeading1">
    <w:name w:val="PBAC Heading 1"/>
    <w:qFormat/>
    <w:rsid w:val="00EC6A21"/>
    <w:pPr>
      <w:ind w:left="720" w:hanging="720"/>
    </w:pPr>
    <w:rPr>
      <w:rFonts w:ascii="Arial" w:hAnsi="Arial" w:cs="Arial"/>
      <w:b/>
      <w:snapToGrid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character" w:styleId="Hyperlink">
    <w:name w:val="Hyperlink"/>
    <w:basedOn w:val="DefaultParagraphFont"/>
    <w:uiPriority w:val="99"/>
    <w:rsid w:val="00CD0B5F"/>
    <w:rPr>
      <w:color w:val="0000FF" w:themeColor="hyperlink"/>
      <w:u w:val="single"/>
    </w:rPr>
  </w:style>
  <w:style w:type="paragraph" w:styleId="EndnoteText">
    <w:name w:val="endnote text"/>
    <w:basedOn w:val="Normal"/>
    <w:link w:val="EndnoteTextChar"/>
    <w:uiPriority w:val="99"/>
    <w:unhideWhenUsed/>
    <w:rsid w:val="00145322"/>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rsid w:val="00145322"/>
    <w:rPr>
      <w:rFonts w:asciiTheme="minorHAnsi" w:eastAsiaTheme="minorHAnsi" w:hAnsiTheme="minorHAnsi" w:cstheme="minorBidi"/>
      <w:lang w:eastAsia="en-US"/>
    </w:rPr>
  </w:style>
  <w:style w:type="character" w:styleId="EndnoteReference">
    <w:name w:val="endnote reference"/>
    <w:basedOn w:val="DefaultParagraphFont"/>
    <w:uiPriority w:val="99"/>
    <w:unhideWhenUsed/>
    <w:rsid w:val="00145322"/>
    <w:rPr>
      <w:vertAlign w:val="superscript"/>
    </w:rPr>
  </w:style>
  <w:style w:type="character" w:styleId="FollowedHyperlink">
    <w:name w:val="FollowedHyperlink"/>
    <w:basedOn w:val="DefaultParagraphFont"/>
    <w:rsid w:val="00866AE7"/>
    <w:rPr>
      <w:color w:val="800080" w:themeColor="followedHyperlink"/>
      <w:u w:val="single"/>
    </w:rPr>
  </w:style>
  <w:style w:type="paragraph" w:customStyle="1" w:styleId="PBACHeading1">
    <w:name w:val="PBAC Heading 1"/>
    <w:qFormat/>
    <w:rsid w:val="00EC6A21"/>
    <w:pPr>
      <w:ind w:left="720" w:hanging="720"/>
    </w:pPr>
    <w:rPr>
      <w:rFonts w:ascii="Arial" w:hAnsi="Arial" w:cs="Arial"/>
      <w:b/>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282417169">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D1D25-1ABB-4FC8-9F48-A99D8B33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801</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2015-10-16T05:14:00Z</dcterms:created>
  <dcterms:modified xsi:type="dcterms:W3CDTF">2015-10-16T05:15:00Z</dcterms:modified>
</cp:coreProperties>
</file>