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171" w:rsidRDefault="00F20171" w:rsidP="00FF7FF3">
      <w:pPr>
        <w:rPr>
          <w:rFonts w:ascii="Arial" w:hAnsi="Arial"/>
          <w:b/>
          <w:sz w:val="28"/>
          <w:szCs w:val="28"/>
        </w:rPr>
      </w:pPr>
    </w:p>
    <w:p w:rsidR="00D3280C" w:rsidRPr="006D6EC7" w:rsidRDefault="00D558C9" w:rsidP="00FF7FF3">
      <w:pPr>
        <w:rPr>
          <w:rFonts w:ascii="Arial" w:hAnsi="Arial"/>
          <w:b/>
          <w:sz w:val="28"/>
          <w:szCs w:val="28"/>
        </w:rPr>
      </w:pPr>
      <w:r>
        <w:rPr>
          <w:rFonts w:ascii="Arial" w:hAnsi="Arial"/>
          <w:b/>
          <w:sz w:val="28"/>
          <w:szCs w:val="28"/>
        </w:rPr>
        <w:t>6.10</w:t>
      </w:r>
      <w:r w:rsidR="007C0F57" w:rsidRPr="006D6EC7">
        <w:rPr>
          <w:rFonts w:ascii="Arial" w:hAnsi="Arial"/>
          <w:b/>
          <w:sz w:val="28"/>
          <w:szCs w:val="28"/>
        </w:rPr>
        <w:tab/>
      </w:r>
      <w:r>
        <w:rPr>
          <w:rFonts w:ascii="Arial" w:hAnsi="Arial"/>
          <w:b/>
          <w:sz w:val="28"/>
          <w:szCs w:val="28"/>
        </w:rPr>
        <w:t>IVACAFTOR</w:t>
      </w:r>
      <w:r w:rsidR="00F20171">
        <w:rPr>
          <w:rFonts w:ascii="Arial" w:hAnsi="Arial"/>
          <w:b/>
          <w:sz w:val="28"/>
          <w:szCs w:val="28"/>
        </w:rPr>
        <w:t xml:space="preserve">, </w:t>
      </w:r>
      <w:r w:rsidR="00B33BE7">
        <w:rPr>
          <w:rFonts w:ascii="Arial" w:hAnsi="Arial"/>
          <w:b/>
          <w:sz w:val="28"/>
          <w:szCs w:val="28"/>
        </w:rPr>
        <w:t>tablet 150 mg,</w:t>
      </w:r>
      <w:r w:rsidR="00F20171">
        <w:rPr>
          <w:rFonts w:ascii="Arial" w:hAnsi="Arial"/>
          <w:b/>
          <w:sz w:val="28"/>
          <w:szCs w:val="28"/>
        </w:rPr>
        <w:t xml:space="preserve"> </w:t>
      </w:r>
      <w:r w:rsidR="00B33BE7">
        <w:rPr>
          <w:rFonts w:ascii="Arial" w:hAnsi="Arial"/>
          <w:b/>
          <w:sz w:val="28"/>
          <w:szCs w:val="28"/>
        </w:rPr>
        <w:t>Kalydeco</w:t>
      </w:r>
      <w:r w:rsidR="0004240E" w:rsidRPr="006D6EC7">
        <w:rPr>
          <w:rFonts w:ascii="Arial" w:hAnsi="Arial"/>
          <w:b/>
          <w:sz w:val="28"/>
          <w:szCs w:val="28"/>
          <w:vertAlign w:val="superscript"/>
        </w:rPr>
        <w:t>®</w:t>
      </w:r>
      <w:r w:rsidR="00EF44A0">
        <w:rPr>
          <w:rFonts w:ascii="Arial" w:hAnsi="Arial"/>
          <w:b/>
          <w:sz w:val="28"/>
          <w:szCs w:val="28"/>
        </w:rPr>
        <w:t xml:space="preserve">, </w:t>
      </w:r>
      <w:r w:rsidR="00B33BE7">
        <w:rPr>
          <w:rFonts w:ascii="Arial" w:hAnsi="Arial"/>
          <w:b/>
          <w:sz w:val="28"/>
          <w:szCs w:val="28"/>
        </w:rPr>
        <w:t>Vertex</w:t>
      </w:r>
    </w:p>
    <w:p w:rsidR="008F3B3F" w:rsidRDefault="008F3B3F" w:rsidP="00C27B58">
      <w:pPr>
        <w:pStyle w:val="NoSpacing"/>
      </w:pPr>
    </w:p>
    <w:p w:rsidR="00C27B58" w:rsidRDefault="00C27B58" w:rsidP="00C27B58">
      <w:pPr>
        <w:pStyle w:val="NoSpacing"/>
      </w:pPr>
    </w:p>
    <w:p w:rsidR="00CE10C4" w:rsidRPr="00882085" w:rsidRDefault="00CE10C4" w:rsidP="00C27B58">
      <w:pPr>
        <w:pStyle w:val="ListParagraph"/>
        <w:numPr>
          <w:ilvl w:val="0"/>
          <w:numId w:val="25"/>
        </w:numPr>
        <w:jc w:val="both"/>
        <w:rPr>
          <w:rFonts w:ascii="Arial" w:hAnsi="Arial"/>
          <w:b/>
          <w:sz w:val="22"/>
          <w:szCs w:val="22"/>
        </w:rPr>
      </w:pPr>
      <w:r w:rsidRPr="00882085">
        <w:rPr>
          <w:rFonts w:ascii="Arial" w:hAnsi="Arial"/>
          <w:b/>
          <w:sz w:val="22"/>
          <w:szCs w:val="22"/>
        </w:rPr>
        <w:t xml:space="preserve">Purpose of </w:t>
      </w:r>
      <w:r w:rsidR="0004240E" w:rsidRPr="00882085">
        <w:rPr>
          <w:rFonts w:ascii="Arial" w:hAnsi="Arial"/>
          <w:b/>
          <w:sz w:val="22"/>
          <w:szCs w:val="22"/>
        </w:rPr>
        <w:t>Application</w:t>
      </w:r>
    </w:p>
    <w:p w:rsidR="006A12A5" w:rsidRPr="00882085" w:rsidRDefault="006A12A5" w:rsidP="00882085">
      <w:pPr>
        <w:jc w:val="both"/>
        <w:rPr>
          <w:rFonts w:ascii="Arial" w:hAnsi="Arial"/>
          <w:sz w:val="22"/>
          <w:szCs w:val="22"/>
        </w:rPr>
      </w:pPr>
    </w:p>
    <w:p w:rsidR="008462EE" w:rsidRPr="00A7674F" w:rsidRDefault="00EF44A0" w:rsidP="008462EE">
      <w:pPr>
        <w:pStyle w:val="ListParagraph"/>
        <w:numPr>
          <w:ilvl w:val="1"/>
          <w:numId w:val="25"/>
        </w:numPr>
        <w:jc w:val="both"/>
        <w:rPr>
          <w:rFonts w:ascii="Arial" w:hAnsi="Arial"/>
          <w:b/>
          <w:sz w:val="22"/>
          <w:szCs w:val="22"/>
        </w:rPr>
      </w:pPr>
      <w:r w:rsidRPr="00A7674F">
        <w:rPr>
          <w:rFonts w:ascii="Arial" w:hAnsi="Arial"/>
          <w:sz w:val="22"/>
          <w:szCs w:val="22"/>
        </w:rPr>
        <w:t>The mi</w:t>
      </w:r>
      <w:r w:rsidR="00FF2801" w:rsidRPr="00A7674F">
        <w:rPr>
          <w:rFonts w:ascii="Arial" w:hAnsi="Arial"/>
          <w:sz w:val="22"/>
          <w:szCs w:val="22"/>
        </w:rPr>
        <w:t>nor submission requested</w:t>
      </w:r>
      <w:r w:rsidR="008462EE" w:rsidRPr="00A7674F">
        <w:rPr>
          <w:rFonts w:ascii="Arial" w:hAnsi="Arial"/>
          <w:sz w:val="22"/>
          <w:szCs w:val="22"/>
        </w:rPr>
        <w:t xml:space="preserve"> changes to the </w:t>
      </w:r>
      <w:r w:rsidR="00A11346">
        <w:rPr>
          <w:rFonts w:ascii="Arial" w:hAnsi="Arial"/>
          <w:sz w:val="22"/>
          <w:szCs w:val="22"/>
        </w:rPr>
        <w:t xml:space="preserve">current </w:t>
      </w:r>
      <w:r w:rsidR="008462EE" w:rsidRPr="00A7674F">
        <w:rPr>
          <w:rFonts w:ascii="Arial" w:hAnsi="Arial"/>
          <w:sz w:val="22"/>
          <w:szCs w:val="22"/>
        </w:rPr>
        <w:t>restriction</w:t>
      </w:r>
      <w:r w:rsidR="00A11346">
        <w:rPr>
          <w:rFonts w:ascii="Arial" w:hAnsi="Arial"/>
          <w:sz w:val="22"/>
          <w:szCs w:val="22"/>
        </w:rPr>
        <w:t>,</w:t>
      </w:r>
      <w:r w:rsidR="008462EE" w:rsidRPr="00A7674F">
        <w:rPr>
          <w:rFonts w:ascii="Arial" w:hAnsi="Arial"/>
          <w:sz w:val="22"/>
          <w:szCs w:val="22"/>
        </w:rPr>
        <w:t xml:space="preserve"> </w:t>
      </w:r>
      <w:r w:rsidR="00A11346">
        <w:rPr>
          <w:rFonts w:ascii="Arial" w:hAnsi="Arial"/>
          <w:sz w:val="22"/>
          <w:szCs w:val="22"/>
        </w:rPr>
        <w:t xml:space="preserve">to allow </w:t>
      </w:r>
      <w:r w:rsidR="00AE38FB">
        <w:rPr>
          <w:rFonts w:ascii="Arial" w:hAnsi="Arial"/>
          <w:sz w:val="22"/>
          <w:szCs w:val="22"/>
        </w:rPr>
        <w:t>flexibility in</w:t>
      </w:r>
      <w:r w:rsidR="00A11346">
        <w:rPr>
          <w:rFonts w:ascii="Arial" w:hAnsi="Arial"/>
          <w:sz w:val="22"/>
          <w:szCs w:val="22"/>
        </w:rPr>
        <w:t xml:space="preserve"> dosing of ivacaftor for patients with cystic fibrosis who are on concomitant CYP3A inhibitors.</w:t>
      </w:r>
    </w:p>
    <w:p w:rsidR="00EF44A0" w:rsidRPr="00C27B58" w:rsidRDefault="00EF44A0" w:rsidP="00C27B58">
      <w:pPr>
        <w:pStyle w:val="NoSpacing"/>
      </w:pPr>
    </w:p>
    <w:p w:rsidR="00614159" w:rsidRPr="00882085" w:rsidRDefault="006A12A5" w:rsidP="00882085">
      <w:pPr>
        <w:pStyle w:val="ListParagraph"/>
        <w:numPr>
          <w:ilvl w:val="0"/>
          <w:numId w:val="25"/>
        </w:numPr>
        <w:jc w:val="both"/>
        <w:rPr>
          <w:rFonts w:ascii="Arial" w:hAnsi="Arial"/>
          <w:b/>
          <w:sz w:val="22"/>
          <w:szCs w:val="22"/>
        </w:rPr>
      </w:pPr>
      <w:r w:rsidRPr="00882085">
        <w:rPr>
          <w:rFonts w:ascii="Arial" w:hAnsi="Arial"/>
          <w:b/>
          <w:sz w:val="22"/>
          <w:szCs w:val="22"/>
        </w:rPr>
        <w:t>Requested listing</w:t>
      </w:r>
    </w:p>
    <w:p w:rsidR="006A12A5" w:rsidRPr="00882085" w:rsidRDefault="006A12A5" w:rsidP="00882085">
      <w:pPr>
        <w:jc w:val="both"/>
        <w:rPr>
          <w:rFonts w:ascii="Arial" w:hAnsi="Arial"/>
          <w:b/>
          <w:sz w:val="22"/>
          <w:szCs w:val="22"/>
        </w:rPr>
      </w:pPr>
    </w:p>
    <w:p w:rsidR="00826F6D" w:rsidRPr="00826F6D" w:rsidRDefault="00EF44A0" w:rsidP="00882085">
      <w:pPr>
        <w:pStyle w:val="ListParagraph"/>
        <w:numPr>
          <w:ilvl w:val="1"/>
          <w:numId w:val="25"/>
        </w:numPr>
        <w:jc w:val="both"/>
        <w:rPr>
          <w:rFonts w:ascii="Arial" w:hAnsi="Arial"/>
          <w:sz w:val="22"/>
          <w:szCs w:val="22"/>
        </w:rPr>
      </w:pPr>
      <w:r>
        <w:rPr>
          <w:rFonts w:ascii="Arial" w:hAnsi="Arial"/>
          <w:sz w:val="22"/>
          <w:szCs w:val="22"/>
        </w:rPr>
        <w:t xml:space="preserve">The submission </w:t>
      </w:r>
      <w:r w:rsidR="00FF2801">
        <w:rPr>
          <w:rFonts w:ascii="Arial" w:hAnsi="Arial"/>
          <w:sz w:val="22"/>
          <w:szCs w:val="22"/>
        </w:rPr>
        <w:t>requested</w:t>
      </w:r>
      <w:r>
        <w:rPr>
          <w:rFonts w:ascii="Arial" w:hAnsi="Arial"/>
          <w:sz w:val="22"/>
          <w:szCs w:val="22"/>
        </w:rPr>
        <w:t xml:space="preserve"> </w:t>
      </w:r>
      <w:r w:rsidR="00CB43BB">
        <w:rPr>
          <w:rFonts w:ascii="Arial" w:hAnsi="Arial"/>
          <w:sz w:val="22"/>
          <w:szCs w:val="22"/>
        </w:rPr>
        <w:t>changes</w:t>
      </w:r>
      <w:r>
        <w:rPr>
          <w:rFonts w:ascii="Arial" w:hAnsi="Arial"/>
          <w:sz w:val="22"/>
          <w:szCs w:val="22"/>
        </w:rPr>
        <w:t xml:space="preserve"> to the existing </w:t>
      </w:r>
      <w:r w:rsidR="0076420C">
        <w:rPr>
          <w:rFonts w:ascii="Arial" w:hAnsi="Arial"/>
          <w:sz w:val="22"/>
          <w:szCs w:val="22"/>
        </w:rPr>
        <w:t>restriction</w:t>
      </w:r>
      <w:r w:rsidR="007D70DE">
        <w:rPr>
          <w:rFonts w:ascii="Arial" w:hAnsi="Arial"/>
          <w:sz w:val="22"/>
          <w:szCs w:val="22"/>
        </w:rPr>
        <w:t>s from November 2014 PBAC meeting</w:t>
      </w:r>
      <w:r w:rsidR="00C739AB">
        <w:rPr>
          <w:rFonts w:ascii="Arial" w:hAnsi="Arial"/>
          <w:sz w:val="22"/>
          <w:szCs w:val="22"/>
        </w:rPr>
        <w:t>.</w:t>
      </w:r>
    </w:p>
    <w:p w:rsidR="00826F6D" w:rsidRPr="00C27B58" w:rsidRDefault="00826F6D" w:rsidP="00C27B58">
      <w:pPr>
        <w:pStyle w:val="NoSpacing"/>
      </w:pPr>
    </w:p>
    <w:tbl>
      <w:tblPr>
        <w:tblW w:w="8363" w:type="dxa"/>
        <w:tblInd w:w="817" w:type="dxa"/>
        <w:tblLayout w:type="fixed"/>
        <w:tblLook w:val="0000" w:firstRow="0" w:lastRow="0" w:firstColumn="0" w:lastColumn="0" w:noHBand="0" w:noVBand="0"/>
      </w:tblPr>
      <w:tblGrid>
        <w:gridCol w:w="3119"/>
        <w:gridCol w:w="850"/>
        <w:gridCol w:w="851"/>
        <w:gridCol w:w="1134"/>
        <w:gridCol w:w="1275"/>
        <w:gridCol w:w="1134"/>
      </w:tblGrid>
      <w:tr w:rsidR="00826F6D" w:rsidRPr="0039782C" w:rsidTr="00CB43BB">
        <w:trPr>
          <w:cantSplit/>
          <w:trHeight w:val="471"/>
        </w:trPr>
        <w:tc>
          <w:tcPr>
            <w:tcW w:w="3119"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Qty</w:t>
            </w:r>
          </w:p>
        </w:tc>
        <w:tc>
          <w:tcPr>
            <w:tcW w:w="851"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1134"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p>
        </w:tc>
        <w:tc>
          <w:tcPr>
            <w:tcW w:w="2409" w:type="dxa"/>
            <w:gridSpan w:val="2"/>
            <w:tcBorders>
              <w:bottom w:val="single" w:sz="4" w:space="0" w:color="auto"/>
            </w:tcBorders>
          </w:tcPr>
          <w:p w:rsidR="00826F6D" w:rsidRPr="0039782C" w:rsidRDefault="00826F6D" w:rsidP="00C27B58">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826F6D" w:rsidRPr="00260CE3" w:rsidTr="00CB43BB">
        <w:trPr>
          <w:cantSplit/>
          <w:trHeight w:val="577"/>
        </w:trPr>
        <w:tc>
          <w:tcPr>
            <w:tcW w:w="3119" w:type="dxa"/>
          </w:tcPr>
          <w:p w:rsidR="00826F6D" w:rsidRPr="00260CE3" w:rsidRDefault="007D70DE" w:rsidP="00C27B58">
            <w:pPr>
              <w:keepNext/>
              <w:ind w:left="-108"/>
              <w:jc w:val="both"/>
              <w:rPr>
                <w:rFonts w:ascii="Arial Narrow" w:hAnsi="Arial Narrow" w:cs="Arial"/>
                <w:sz w:val="20"/>
                <w:szCs w:val="20"/>
              </w:rPr>
            </w:pPr>
            <w:r>
              <w:rPr>
                <w:rFonts w:ascii="Arial Narrow" w:hAnsi="Arial Narrow" w:cs="Arial"/>
                <w:smallCaps/>
                <w:sz w:val="20"/>
                <w:szCs w:val="20"/>
              </w:rPr>
              <w:t>ivacaftor</w:t>
            </w:r>
          </w:p>
          <w:p w:rsidR="00826F6D" w:rsidRPr="00260CE3" w:rsidRDefault="007D70DE" w:rsidP="00C27B58">
            <w:pPr>
              <w:keepNext/>
              <w:ind w:left="-108"/>
              <w:jc w:val="both"/>
              <w:rPr>
                <w:rFonts w:ascii="Arial Narrow" w:hAnsi="Arial Narrow" w:cs="Arial"/>
                <w:sz w:val="20"/>
                <w:szCs w:val="20"/>
              </w:rPr>
            </w:pPr>
            <w:r>
              <w:rPr>
                <w:rFonts w:ascii="Arial Narrow" w:hAnsi="Arial Narrow" w:cs="Arial"/>
                <w:sz w:val="20"/>
                <w:szCs w:val="20"/>
              </w:rPr>
              <w:t>Tablet 150 mg</w:t>
            </w:r>
          </w:p>
        </w:tc>
        <w:tc>
          <w:tcPr>
            <w:tcW w:w="850" w:type="dxa"/>
          </w:tcPr>
          <w:p w:rsidR="00826F6D" w:rsidRPr="00260CE3" w:rsidRDefault="00826F6D" w:rsidP="00C27B58">
            <w:pPr>
              <w:keepNext/>
              <w:ind w:left="-108"/>
              <w:jc w:val="both"/>
              <w:rPr>
                <w:rFonts w:ascii="Arial Narrow" w:hAnsi="Arial Narrow" w:cs="Arial"/>
                <w:sz w:val="20"/>
                <w:szCs w:val="20"/>
              </w:rPr>
            </w:pPr>
          </w:p>
          <w:p w:rsidR="00826F6D" w:rsidRPr="00260CE3" w:rsidRDefault="007D70DE" w:rsidP="00C27B58">
            <w:pPr>
              <w:keepNext/>
              <w:ind w:left="-108"/>
              <w:jc w:val="both"/>
              <w:rPr>
                <w:rFonts w:ascii="Arial Narrow" w:hAnsi="Arial Narrow" w:cs="Arial"/>
                <w:sz w:val="20"/>
                <w:szCs w:val="20"/>
              </w:rPr>
            </w:pPr>
            <w:r>
              <w:rPr>
                <w:rFonts w:ascii="Arial Narrow" w:hAnsi="Arial Narrow" w:cs="Arial"/>
                <w:sz w:val="20"/>
                <w:szCs w:val="20"/>
              </w:rPr>
              <w:t>56</w:t>
            </w:r>
          </w:p>
        </w:tc>
        <w:tc>
          <w:tcPr>
            <w:tcW w:w="851" w:type="dxa"/>
          </w:tcPr>
          <w:p w:rsidR="00826F6D" w:rsidRPr="00260CE3" w:rsidRDefault="00826F6D" w:rsidP="00C27B58">
            <w:pPr>
              <w:keepNext/>
              <w:ind w:left="-108"/>
              <w:jc w:val="both"/>
              <w:rPr>
                <w:rFonts w:ascii="Arial Narrow" w:hAnsi="Arial Narrow" w:cs="Arial"/>
                <w:sz w:val="20"/>
                <w:szCs w:val="20"/>
              </w:rPr>
            </w:pPr>
          </w:p>
          <w:p w:rsidR="00826F6D" w:rsidRPr="00260CE3" w:rsidRDefault="007D70DE" w:rsidP="00C27B58">
            <w:pPr>
              <w:keepNext/>
              <w:ind w:left="-108"/>
              <w:jc w:val="both"/>
              <w:rPr>
                <w:rFonts w:ascii="Arial Narrow" w:hAnsi="Arial Narrow" w:cs="Arial"/>
                <w:sz w:val="20"/>
                <w:szCs w:val="20"/>
              </w:rPr>
            </w:pPr>
            <w:r>
              <w:rPr>
                <w:rFonts w:ascii="Arial Narrow" w:hAnsi="Arial Narrow" w:cs="Arial"/>
                <w:sz w:val="20"/>
                <w:szCs w:val="20"/>
              </w:rPr>
              <w:t>2</w:t>
            </w:r>
          </w:p>
        </w:tc>
        <w:tc>
          <w:tcPr>
            <w:tcW w:w="1134" w:type="dxa"/>
          </w:tcPr>
          <w:p w:rsidR="00826F6D" w:rsidRPr="00260CE3" w:rsidRDefault="00826F6D" w:rsidP="00C27B58">
            <w:pPr>
              <w:keepNext/>
              <w:ind w:left="-108"/>
              <w:jc w:val="both"/>
              <w:rPr>
                <w:rFonts w:ascii="Arial Narrow" w:hAnsi="Arial Narrow" w:cs="Arial"/>
                <w:sz w:val="20"/>
                <w:szCs w:val="20"/>
              </w:rPr>
            </w:pPr>
          </w:p>
        </w:tc>
        <w:tc>
          <w:tcPr>
            <w:tcW w:w="1275" w:type="dxa"/>
          </w:tcPr>
          <w:p w:rsidR="00C27B58" w:rsidRDefault="00C27B58" w:rsidP="00C27B58">
            <w:pPr>
              <w:keepNext/>
              <w:jc w:val="both"/>
              <w:rPr>
                <w:rFonts w:ascii="Arial Narrow" w:hAnsi="Arial Narrow" w:cs="Arial"/>
                <w:sz w:val="20"/>
                <w:szCs w:val="20"/>
              </w:rPr>
            </w:pPr>
          </w:p>
          <w:p w:rsidR="00826F6D" w:rsidRPr="00260CE3" w:rsidRDefault="007D70DE" w:rsidP="00C27B58">
            <w:pPr>
              <w:keepNext/>
              <w:jc w:val="both"/>
              <w:rPr>
                <w:rFonts w:ascii="Arial Narrow" w:hAnsi="Arial Narrow" w:cs="Arial"/>
                <w:sz w:val="20"/>
                <w:szCs w:val="20"/>
              </w:rPr>
            </w:pPr>
            <w:r>
              <w:rPr>
                <w:rFonts w:ascii="Arial Narrow" w:hAnsi="Arial Narrow" w:cs="Arial"/>
                <w:sz w:val="20"/>
                <w:szCs w:val="20"/>
              </w:rPr>
              <w:t>Kalydeco</w:t>
            </w:r>
          </w:p>
        </w:tc>
        <w:tc>
          <w:tcPr>
            <w:tcW w:w="1134" w:type="dxa"/>
          </w:tcPr>
          <w:p w:rsidR="00C27B58" w:rsidRDefault="00C27B58" w:rsidP="00C27B58">
            <w:pPr>
              <w:keepNext/>
              <w:jc w:val="both"/>
              <w:rPr>
                <w:rFonts w:ascii="Arial Narrow" w:hAnsi="Arial Narrow" w:cs="Arial"/>
                <w:sz w:val="20"/>
                <w:szCs w:val="20"/>
              </w:rPr>
            </w:pPr>
          </w:p>
          <w:p w:rsidR="00826F6D" w:rsidRPr="00260CE3" w:rsidRDefault="007D70DE" w:rsidP="00C27B58">
            <w:pPr>
              <w:keepNext/>
              <w:jc w:val="both"/>
              <w:rPr>
                <w:rFonts w:ascii="Arial Narrow" w:hAnsi="Arial Narrow" w:cs="Arial"/>
                <w:sz w:val="20"/>
                <w:szCs w:val="20"/>
              </w:rPr>
            </w:pPr>
            <w:r>
              <w:rPr>
                <w:rFonts w:ascii="Arial Narrow" w:hAnsi="Arial Narrow" w:cs="Arial"/>
                <w:sz w:val="20"/>
                <w:szCs w:val="20"/>
              </w:rPr>
              <w:t>Vertex</w:t>
            </w:r>
          </w:p>
        </w:tc>
      </w:tr>
      <w:tr w:rsidR="00826F6D" w:rsidRPr="00260CE3" w:rsidTr="00C27B58">
        <w:trPr>
          <w:cantSplit/>
          <w:trHeight w:val="360"/>
        </w:trPr>
        <w:tc>
          <w:tcPr>
            <w:tcW w:w="8363" w:type="dxa"/>
            <w:gridSpan w:val="6"/>
            <w:tcBorders>
              <w:bottom w:val="single" w:sz="4" w:space="0" w:color="auto"/>
            </w:tcBorders>
          </w:tcPr>
          <w:p w:rsidR="00C739AB" w:rsidRPr="00C739AB" w:rsidRDefault="00C739AB" w:rsidP="00C739AB">
            <w:pPr>
              <w:ind w:left="-108"/>
              <w:jc w:val="both"/>
              <w:rPr>
                <w:rFonts w:ascii="Arial" w:hAnsi="Arial"/>
                <w:b/>
                <w:sz w:val="20"/>
                <w:u w:val="single"/>
              </w:rPr>
            </w:pPr>
            <w:r w:rsidRPr="00C739AB">
              <w:rPr>
                <w:rFonts w:ascii="Arial" w:hAnsi="Arial"/>
                <w:b/>
                <w:sz w:val="20"/>
                <w:u w:val="single"/>
              </w:rPr>
              <w:t>Section 100 (Highly Specialised Drugs Program)</w:t>
            </w:r>
          </w:p>
          <w:p w:rsidR="00975381" w:rsidRPr="008947F7" w:rsidRDefault="00C739AB" w:rsidP="008947F7">
            <w:pPr>
              <w:ind w:left="-108"/>
              <w:jc w:val="both"/>
              <w:rPr>
                <w:rFonts w:ascii="Arial" w:hAnsi="Arial"/>
                <w:b/>
                <w:sz w:val="20"/>
                <w:u w:val="single"/>
              </w:rPr>
            </w:pPr>
            <w:r w:rsidRPr="00C739AB">
              <w:rPr>
                <w:rFonts w:ascii="Arial" w:hAnsi="Arial"/>
                <w:b/>
                <w:sz w:val="20"/>
                <w:u w:val="single"/>
              </w:rPr>
              <w:t>Authority required</w:t>
            </w:r>
          </w:p>
        </w:tc>
      </w:tr>
    </w:tbl>
    <w:p w:rsidR="00C739AB" w:rsidRDefault="00C739AB" w:rsidP="00D1455A">
      <w:pPr>
        <w:pStyle w:val="ListParagraph"/>
        <w:jc w:val="both"/>
        <w:rPr>
          <w:rFonts w:ascii="Arial" w:hAnsi="Arial"/>
          <w:b/>
          <w:i/>
          <w:sz w:val="22"/>
          <w:szCs w:val="22"/>
        </w:rPr>
      </w:pPr>
    </w:p>
    <w:p w:rsidR="00D1455A" w:rsidRDefault="00D1455A" w:rsidP="00D1455A">
      <w:pPr>
        <w:pStyle w:val="ListParagraph"/>
        <w:jc w:val="both"/>
        <w:rPr>
          <w:rFonts w:ascii="Arial" w:hAnsi="Arial"/>
          <w:b/>
          <w:i/>
          <w:sz w:val="22"/>
          <w:szCs w:val="22"/>
        </w:rPr>
      </w:pPr>
      <w:r w:rsidRPr="00D1455A">
        <w:rPr>
          <w:rFonts w:ascii="Arial" w:hAnsi="Arial"/>
          <w:b/>
          <w:i/>
          <w:sz w:val="22"/>
          <w:szCs w:val="22"/>
        </w:rPr>
        <w:t xml:space="preserve">Secretariat comments </w:t>
      </w:r>
    </w:p>
    <w:p w:rsidR="00D1455A" w:rsidRPr="00D1455A" w:rsidRDefault="00D1455A" w:rsidP="00D1455A">
      <w:pPr>
        <w:pStyle w:val="ListParagraph"/>
        <w:jc w:val="both"/>
        <w:rPr>
          <w:rFonts w:ascii="Arial" w:hAnsi="Arial"/>
          <w:b/>
          <w:i/>
          <w:sz w:val="22"/>
          <w:szCs w:val="22"/>
        </w:rPr>
      </w:pPr>
    </w:p>
    <w:p w:rsidR="005A4F11" w:rsidRPr="0038364B" w:rsidRDefault="00A7674F" w:rsidP="00CB43BB">
      <w:pPr>
        <w:pStyle w:val="ListParagraph"/>
        <w:numPr>
          <w:ilvl w:val="1"/>
          <w:numId w:val="25"/>
        </w:numPr>
        <w:rPr>
          <w:rFonts w:ascii="Arial" w:hAnsi="Arial"/>
          <w:sz w:val="22"/>
          <w:szCs w:val="22"/>
        </w:rPr>
      </w:pPr>
      <w:r w:rsidRPr="0038364B">
        <w:rPr>
          <w:rFonts w:ascii="Arial" w:hAnsi="Arial"/>
          <w:sz w:val="22"/>
          <w:szCs w:val="22"/>
        </w:rPr>
        <w:t>T</w:t>
      </w:r>
      <w:r w:rsidR="000D266C" w:rsidRPr="0038364B">
        <w:rPr>
          <w:rFonts w:ascii="Arial" w:hAnsi="Arial"/>
          <w:sz w:val="22"/>
          <w:szCs w:val="22"/>
        </w:rPr>
        <w:t xml:space="preserve">he </w:t>
      </w:r>
      <w:r w:rsidR="005A4F11" w:rsidRPr="0038364B">
        <w:rPr>
          <w:rFonts w:ascii="Arial" w:hAnsi="Arial"/>
          <w:sz w:val="22"/>
          <w:szCs w:val="22"/>
        </w:rPr>
        <w:t xml:space="preserve">submission </w:t>
      </w:r>
      <w:r w:rsidR="000D266C" w:rsidRPr="0038364B">
        <w:rPr>
          <w:rFonts w:ascii="Arial" w:hAnsi="Arial"/>
          <w:sz w:val="22"/>
          <w:szCs w:val="22"/>
        </w:rPr>
        <w:t xml:space="preserve">requested </w:t>
      </w:r>
      <w:r w:rsidR="00A11346" w:rsidRPr="0038364B">
        <w:rPr>
          <w:rFonts w:ascii="Arial" w:hAnsi="Arial"/>
          <w:sz w:val="22"/>
          <w:szCs w:val="22"/>
        </w:rPr>
        <w:t>amendment to the current</w:t>
      </w:r>
      <w:r w:rsidR="005A4F11" w:rsidRPr="0038364B">
        <w:rPr>
          <w:rFonts w:ascii="Arial" w:hAnsi="Arial"/>
          <w:sz w:val="22"/>
          <w:szCs w:val="22"/>
        </w:rPr>
        <w:t xml:space="preserve"> </w:t>
      </w:r>
      <w:r w:rsidR="000D266C" w:rsidRPr="0038364B">
        <w:rPr>
          <w:rFonts w:ascii="Arial" w:hAnsi="Arial"/>
          <w:sz w:val="22"/>
          <w:szCs w:val="22"/>
        </w:rPr>
        <w:t xml:space="preserve">restriction </w:t>
      </w:r>
      <w:r w:rsidR="005A4F11" w:rsidRPr="0038364B">
        <w:rPr>
          <w:rFonts w:ascii="Arial" w:hAnsi="Arial"/>
          <w:sz w:val="22"/>
          <w:szCs w:val="22"/>
        </w:rPr>
        <w:t>to include the following wording:</w:t>
      </w:r>
    </w:p>
    <w:p w:rsidR="00EA35D6" w:rsidRPr="00EA35D6" w:rsidRDefault="00EA35D6" w:rsidP="00E05CE6">
      <w:pPr>
        <w:pStyle w:val="ListParagraph"/>
        <w:numPr>
          <w:ilvl w:val="0"/>
          <w:numId w:val="45"/>
        </w:numPr>
        <w:ind w:left="1276" w:hanging="425"/>
        <w:rPr>
          <w:rFonts w:ascii="Arial" w:hAnsi="Arial"/>
          <w:strike/>
          <w:sz w:val="22"/>
          <w:szCs w:val="22"/>
        </w:rPr>
      </w:pPr>
      <w:r w:rsidRPr="00EA35D6">
        <w:rPr>
          <w:rFonts w:ascii="Arial" w:hAnsi="Arial"/>
          <w:strike/>
          <w:sz w:val="22"/>
          <w:szCs w:val="22"/>
        </w:rPr>
        <w:t>Dosage of ivacaftor must not exceed the dose of 150 mg twice a week, if the patient is concomitantly receiving one of the following strong CYP3A4 drugs inhibitors: boceprevir, clarithromycin, conivaptan, indinavir, itraconazole, ketoconazole, lopinavir/ritonavir, mibefradil, nefazodone, nelfinavir, posaconazole, ritonavir, saquinavir, telaprevir, telithromycin, voriconazole.</w:t>
      </w:r>
    </w:p>
    <w:p w:rsidR="00EA35D6" w:rsidRPr="00EA35D6" w:rsidRDefault="00EA35D6" w:rsidP="00E05CE6">
      <w:pPr>
        <w:pStyle w:val="ListParagraph"/>
        <w:ind w:left="1276" w:hanging="425"/>
        <w:rPr>
          <w:rFonts w:ascii="Arial" w:hAnsi="Arial"/>
          <w:i/>
          <w:strike/>
          <w:sz w:val="22"/>
          <w:szCs w:val="22"/>
        </w:rPr>
      </w:pPr>
    </w:p>
    <w:p w:rsidR="00EA35D6" w:rsidRDefault="008A4D48" w:rsidP="00E05CE6">
      <w:pPr>
        <w:pStyle w:val="ListParagraph"/>
        <w:numPr>
          <w:ilvl w:val="0"/>
          <w:numId w:val="45"/>
        </w:numPr>
        <w:ind w:left="1276" w:hanging="425"/>
        <w:rPr>
          <w:rFonts w:ascii="Arial" w:hAnsi="Arial"/>
          <w:i/>
          <w:sz w:val="22"/>
          <w:szCs w:val="22"/>
        </w:rPr>
      </w:pPr>
      <w:r w:rsidRPr="005A4F11">
        <w:rPr>
          <w:rFonts w:ascii="Arial" w:hAnsi="Arial"/>
          <w:i/>
          <w:sz w:val="22"/>
          <w:szCs w:val="22"/>
        </w:rPr>
        <w:t>Dosage</w:t>
      </w:r>
      <w:r w:rsidR="005A4F11" w:rsidRPr="005A4F11">
        <w:rPr>
          <w:rFonts w:ascii="Arial" w:hAnsi="Arial"/>
          <w:i/>
          <w:sz w:val="22"/>
          <w:szCs w:val="22"/>
        </w:rPr>
        <w:t xml:space="preserve"> of ivacaftor must commence at a dose of 150 mg twice a week but will not exceed 150 mg twice per day if the patient is concomitantly receiving one of the following strong CYP3A4 inhibitors: itraconazole, ketoconazole, po</w:t>
      </w:r>
      <w:r w:rsidR="00EA35D6">
        <w:rPr>
          <w:rFonts w:ascii="Arial" w:hAnsi="Arial"/>
          <w:i/>
          <w:sz w:val="22"/>
          <w:szCs w:val="22"/>
        </w:rPr>
        <w:t>saconazole, voriconazole.</w:t>
      </w:r>
    </w:p>
    <w:p w:rsidR="00EA35D6" w:rsidRPr="00EA35D6" w:rsidRDefault="00EA35D6" w:rsidP="00E05CE6">
      <w:pPr>
        <w:pStyle w:val="ListParagraph"/>
        <w:ind w:left="1276" w:hanging="425"/>
        <w:rPr>
          <w:rFonts w:ascii="Arial" w:hAnsi="Arial"/>
          <w:i/>
          <w:sz w:val="22"/>
          <w:szCs w:val="22"/>
        </w:rPr>
      </w:pPr>
    </w:p>
    <w:p w:rsidR="005A4F11" w:rsidRPr="00EA35D6" w:rsidRDefault="005A4F11" w:rsidP="00E05CE6">
      <w:pPr>
        <w:pStyle w:val="ListParagraph"/>
        <w:numPr>
          <w:ilvl w:val="0"/>
          <w:numId w:val="45"/>
        </w:numPr>
        <w:ind w:left="1276" w:hanging="425"/>
        <w:rPr>
          <w:rFonts w:ascii="Arial" w:hAnsi="Arial"/>
          <w:strike/>
          <w:sz w:val="22"/>
          <w:szCs w:val="22"/>
        </w:rPr>
      </w:pPr>
      <w:r w:rsidRPr="005A4F11">
        <w:rPr>
          <w:rFonts w:ascii="Arial" w:hAnsi="Arial"/>
          <w:i/>
          <w:sz w:val="22"/>
          <w:szCs w:val="22"/>
        </w:rPr>
        <w:t xml:space="preserve"> </w:t>
      </w:r>
      <w:r w:rsidR="00EA35D6" w:rsidRPr="00EA35D6">
        <w:rPr>
          <w:rFonts w:ascii="Arial" w:hAnsi="Arial"/>
          <w:strike/>
          <w:sz w:val="22"/>
          <w:szCs w:val="22"/>
        </w:rPr>
        <w:t>Where a patient is concomitantly receiving a strong CYP3A4 inhibitor, a single supply of 56 tablets of ivacaftor will last for 28 weeks.</w:t>
      </w:r>
    </w:p>
    <w:p w:rsidR="00EA35D6" w:rsidRPr="00EA35D6" w:rsidRDefault="00EA35D6" w:rsidP="00E05CE6">
      <w:pPr>
        <w:pStyle w:val="ListParagraph"/>
        <w:ind w:left="1276" w:hanging="425"/>
        <w:rPr>
          <w:rFonts w:ascii="Arial" w:hAnsi="Arial"/>
          <w:i/>
          <w:strike/>
          <w:sz w:val="22"/>
          <w:szCs w:val="22"/>
        </w:rPr>
      </w:pPr>
    </w:p>
    <w:p w:rsidR="005A4F11" w:rsidRDefault="008A4D48" w:rsidP="00E05CE6">
      <w:pPr>
        <w:pStyle w:val="ListParagraph"/>
        <w:numPr>
          <w:ilvl w:val="0"/>
          <w:numId w:val="45"/>
        </w:numPr>
        <w:ind w:left="1276" w:hanging="425"/>
        <w:rPr>
          <w:rFonts w:ascii="Arial" w:hAnsi="Arial"/>
          <w:i/>
          <w:sz w:val="22"/>
          <w:szCs w:val="22"/>
        </w:rPr>
      </w:pPr>
      <w:r w:rsidRPr="005A4F11">
        <w:rPr>
          <w:rFonts w:ascii="Arial" w:hAnsi="Arial"/>
          <w:i/>
          <w:sz w:val="22"/>
          <w:szCs w:val="22"/>
        </w:rPr>
        <w:t>Where</w:t>
      </w:r>
      <w:r w:rsidR="005A4F11" w:rsidRPr="005A4F11">
        <w:rPr>
          <w:rFonts w:ascii="Arial" w:hAnsi="Arial"/>
          <w:i/>
          <w:sz w:val="22"/>
          <w:szCs w:val="22"/>
        </w:rPr>
        <w:t xml:space="preserve"> a patient is concomitantly receiving one of these strong CYP3A4 inhibitors, a single supply of 56 tablets of ivacaftor will last for a maximum of 28 weeks and a minimum of 4 weeks.</w:t>
      </w:r>
    </w:p>
    <w:p w:rsidR="00CB43BB" w:rsidRPr="00CB43BB" w:rsidRDefault="00CB43BB" w:rsidP="00E05CE6">
      <w:pPr>
        <w:pStyle w:val="ListParagraph"/>
        <w:ind w:left="1276" w:hanging="425"/>
        <w:rPr>
          <w:rFonts w:ascii="Arial" w:hAnsi="Arial"/>
          <w:i/>
          <w:sz w:val="22"/>
          <w:szCs w:val="22"/>
        </w:rPr>
      </w:pPr>
    </w:p>
    <w:p w:rsidR="00C72DD2" w:rsidRDefault="00C72DD2">
      <w:pPr>
        <w:rPr>
          <w:rFonts w:ascii="Arial" w:hAnsi="Arial"/>
          <w:b/>
          <w:sz w:val="22"/>
          <w:szCs w:val="22"/>
        </w:rPr>
      </w:pPr>
    </w:p>
    <w:p w:rsidR="00CE10C4" w:rsidRPr="00882085" w:rsidRDefault="00CE10C4" w:rsidP="00882085">
      <w:pPr>
        <w:pStyle w:val="ListParagraph"/>
        <w:numPr>
          <w:ilvl w:val="0"/>
          <w:numId w:val="25"/>
        </w:numPr>
        <w:jc w:val="both"/>
        <w:rPr>
          <w:rFonts w:ascii="Arial" w:hAnsi="Arial"/>
          <w:sz w:val="22"/>
          <w:szCs w:val="22"/>
        </w:rPr>
      </w:pPr>
      <w:r w:rsidRPr="00882085">
        <w:rPr>
          <w:rFonts w:ascii="Arial" w:hAnsi="Arial"/>
          <w:b/>
          <w:sz w:val="22"/>
          <w:szCs w:val="22"/>
        </w:rPr>
        <w:t>Background</w:t>
      </w:r>
    </w:p>
    <w:p w:rsidR="006A12A5" w:rsidRPr="00882085" w:rsidRDefault="006A12A5" w:rsidP="00882085">
      <w:pPr>
        <w:jc w:val="both"/>
        <w:rPr>
          <w:rFonts w:ascii="Arial" w:hAnsi="Arial"/>
          <w:sz w:val="22"/>
          <w:szCs w:val="22"/>
        </w:rPr>
      </w:pPr>
    </w:p>
    <w:p w:rsidR="00DB2CAB" w:rsidRPr="00DB2CAB" w:rsidRDefault="0050086A" w:rsidP="00DB2CAB">
      <w:pPr>
        <w:pStyle w:val="ListParagraph"/>
        <w:numPr>
          <w:ilvl w:val="1"/>
          <w:numId w:val="25"/>
        </w:numPr>
        <w:jc w:val="both"/>
        <w:rPr>
          <w:rFonts w:ascii="Arial" w:hAnsi="Arial"/>
          <w:i/>
          <w:sz w:val="22"/>
          <w:szCs w:val="22"/>
        </w:rPr>
      </w:pPr>
      <w:r w:rsidRPr="0050086A">
        <w:rPr>
          <w:rFonts w:ascii="Arial" w:hAnsi="Arial"/>
          <w:sz w:val="22"/>
          <w:szCs w:val="22"/>
        </w:rPr>
        <w:t xml:space="preserve">Ivacaftor was listed on the Australian Register of Therapeutic Goods (ARTG) </w:t>
      </w:r>
      <w:r w:rsidR="00905161">
        <w:rPr>
          <w:rFonts w:ascii="Arial" w:hAnsi="Arial"/>
          <w:sz w:val="22"/>
          <w:szCs w:val="22"/>
        </w:rPr>
        <w:t>in</w:t>
      </w:r>
      <w:r w:rsidRPr="0050086A">
        <w:rPr>
          <w:rFonts w:ascii="Arial" w:hAnsi="Arial"/>
          <w:sz w:val="22"/>
          <w:szCs w:val="22"/>
        </w:rPr>
        <w:t xml:space="preserve"> August 2014 </w:t>
      </w:r>
      <w:r w:rsidRPr="0050086A">
        <w:rPr>
          <w:rFonts w:ascii="Arial" w:hAnsi="Arial"/>
          <w:i/>
          <w:sz w:val="22"/>
          <w:szCs w:val="22"/>
        </w:rPr>
        <w:t xml:space="preserve">“…for the treatment of cystic fibrosis (CF) in patients age 6 years and </w:t>
      </w:r>
      <w:r w:rsidRPr="0050086A">
        <w:rPr>
          <w:rFonts w:ascii="Arial" w:hAnsi="Arial"/>
          <w:i/>
          <w:sz w:val="22"/>
          <w:szCs w:val="22"/>
        </w:rPr>
        <w:lastRenderedPageBreak/>
        <w:t>older who have a G551D or other gating (class III) mutation in the CFTR gene.”</w:t>
      </w:r>
      <w:r w:rsidRPr="0050086A">
        <w:rPr>
          <w:rFonts w:ascii="Arial" w:hAnsi="Arial"/>
          <w:sz w:val="22"/>
          <w:szCs w:val="22"/>
        </w:rPr>
        <w:t xml:space="preserve"> Before this date, ivacaftor was TGA registered for the treatment of cystic fibrosis (CF) in patients age 6 years and older who have a G551D mutation in the CFTR gene.</w:t>
      </w:r>
    </w:p>
    <w:p w:rsidR="00846FED" w:rsidRPr="005A3223" w:rsidRDefault="00DB2CAB" w:rsidP="00DB2CAB">
      <w:pPr>
        <w:pStyle w:val="ListParagraph"/>
        <w:jc w:val="both"/>
        <w:rPr>
          <w:rFonts w:ascii="Arial" w:hAnsi="Arial"/>
          <w:sz w:val="22"/>
          <w:szCs w:val="22"/>
        </w:rPr>
      </w:pPr>
      <w:r w:rsidRPr="00DB2CAB">
        <w:rPr>
          <w:rFonts w:ascii="Arial" w:hAnsi="Arial"/>
          <w:sz w:val="22"/>
          <w:szCs w:val="22"/>
        </w:rPr>
        <w:t>I</w:t>
      </w:r>
      <w:r w:rsidR="0050086A" w:rsidRPr="00DB2CAB">
        <w:rPr>
          <w:rFonts w:ascii="Arial" w:hAnsi="Arial"/>
          <w:sz w:val="22"/>
          <w:szCs w:val="22"/>
        </w:rPr>
        <w:t xml:space="preserve">vacaftor </w:t>
      </w:r>
      <w:r w:rsidRPr="00DB2CAB">
        <w:rPr>
          <w:rFonts w:ascii="Arial" w:hAnsi="Arial"/>
          <w:sz w:val="22"/>
          <w:szCs w:val="22"/>
        </w:rPr>
        <w:t xml:space="preserve">was listed on the PBS on 1 December </w:t>
      </w:r>
      <w:r w:rsidR="0050086A" w:rsidRPr="00DB2CAB">
        <w:rPr>
          <w:rFonts w:ascii="Arial" w:hAnsi="Arial"/>
          <w:sz w:val="22"/>
          <w:szCs w:val="22"/>
        </w:rPr>
        <w:t>2014.</w:t>
      </w:r>
    </w:p>
    <w:p w:rsidR="00BB7EC3" w:rsidRDefault="00BB7EC3" w:rsidP="00882085">
      <w:pPr>
        <w:jc w:val="both"/>
        <w:rPr>
          <w:rFonts w:ascii="Arial" w:hAnsi="Arial"/>
          <w:b/>
          <w:sz w:val="22"/>
          <w:szCs w:val="22"/>
        </w:rPr>
      </w:pPr>
    </w:p>
    <w:p w:rsidR="008A1956" w:rsidRPr="00882085" w:rsidRDefault="008A1956" w:rsidP="00882085">
      <w:pPr>
        <w:jc w:val="both"/>
        <w:rPr>
          <w:rFonts w:ascii="Arial" w:hAnsi="Arial"/>
          <w:b/>
          <w:sz w:val="22"/>
          <w:szCs w:val="22"/>
        </w:rPr>
      </w:pPr>
    </w:p>
    <w:p w:rsidR="00CE10C4" w:rsidRPr="00882085" w:rsidRDefault="00CE10C4" w:rsidP="00882085">
      <w:pPr>
        <w:pStyle w:val="ListParagraph"/>
        <w:numPr>
          <w:ilvl w:val="0"/>
          <w:numId w:val="25"/>
        </w:numPr>
        <w:jc w:val="both"/>
        <w:rPr>
          <w:rFonts w:ascii="Arial" w:hAnsi="Arial"/>
          <w:b/>
          <w:sz w:val="22"/>
          <w:szCs w:val="22"/>
        </w:rPr>
      </w:pPr>
      <w:r w:rsidRPr="00882085">
        <w:rPr>
          <w:rFonts w:ascii="Arial" w:hAnsi="Arial"/>
          <w:b/>
          <w:sz w:val="22"/>
          <w:szCs w:val="22"/>
        </w:rPr>
        <w:t>Clinical place for the proposed ther</w:t>
      </w:r>
      <w:r w:rsidR="006A12A5" w:rsidRPr="00882085">
        <w:rPr>
          <w:rFonts w:ascii="Arial" w:hAnsi="Arial"/>
          <w:b/>
          <w:sz w:val="22"/>
          <w:szCs w:val="22"/>
        </w:rPr>
        <w:t>apy</w:t>
      </w:r>
    </w:p>
    <w:p w:rsidR="00CE10C4" w:rsidRPr="00882085" w:rsidRDefault="00CE10C4" w:rsidP="00882085">
      <w:pPr>
        <w:jc w:val="both"/>
        <w:rPr>
          <w:rFonts w:ascii="Arial" w:hAnsi="Arial"/>
          <w:sz w:val="22"/>
          <w:szCs w:val="22"/>
        </w:rPr>
      </w:pPr>
    </w:p>
    <w:p w:rsidR="006A12A5" w:rsidRDefault="00846FED" w:rsidP="00826F6D">
      <w:pPr>
        <w:pStyle w:val="ListParagraph"/>
        <w:numPr>
          <w:ilvl w:val="1"/>
          <w:numId w:val="25"/>
        </w:numPr>
        <w:jc w:val="both"/>
        <w:rPr>
          <w:rFonts w:ascii="Arial" w:hAnsi="Arial"/>
          <w:sz w:val="22"/>
          <w:szCs w:val="22"/>
        </w:rPr>
      </w:pPr>
      <w:r w:rsidRPr="00846FED">
        <w:rPr>
          <w:rFonts w:ascii="Arial" w:hAnsi="Arial"/>
          <w:sz w:val="22"/>
          <w:szCs w:val="22"/>
        </w:rPr>
        <w:t>Ivacaftor is intended to be used as add on to current best supportive therapy, and has a different mechanism of action to the antibiotics and mucolytics currently available through the PBS. Under the proposed listing, CF patients aged 6 and over with a G551D or other gating (class III) mutation in the CFTR gene will be eligible for ongoing ivacaftor therapy.</w:t>
      </w:r>
    </w:p>
    <w:p w:rsidR="009A4958" w:rsidRDefault="009A4958" w:rsidP="009A4958">
      <w:pPr>
        <w:pStyle w:val="ListParagraph"/>
        <w:jc w:val="both"/>
        <w:rPr>
          <w:rFonts w:ascii="Arial" w:hAnsi="Arial"/>
          <w:sz w:val="22"/>
          <w:szCs w:val="22"/>
        </w:rPr>
      </w:pPr>
      <w:bookmarkStart w:id="0" w:name="_GoBack"/>
      <w:bookmarkEnd w:id="0"/>
    </w:p>
    <w:p w:rsidR="009A4958" w:rsidRPr="00195C9D" w:rsidRDefault="009A4958" w:rsidP="009A4958">
      <w:pPr>
        <w:pStyle w:val="ListParagraph"/>
        <w:numPr>
          <w:ilvl w:val="1"/>
          <w:numId w:val="25"/>
        </w:numPr>
        <w:jc w:val="both"/>
        <w:rPr>
          <w:rFonts w:ascii="Arial" w:hAnsi="Arial"/>
          <w:sz w:val="22"/>
          <w:szCs w:val="22"/>
        </w:rPr>
      </w:pPr>
      <w:r w:rsidRPr="00195C9D">
        <w:rPr>
          <w:rFonts w:ascii="Arial" w:hAnsi="Arial"/>
          <w:sz w:val="22"/>
          <w:szCs w:val="22"/>
        </w:rPr>
        <w:t>The changes requested by the sponsor a</w:t>
      </w:r>
      <w:r w:rsidR="00195C9D" w:rsidRPr="00195C9D">
        <w:rPr>
          <w:rFonts w:ascii="Arial" w:hAnsi="Arial"/>
          <w:sz w:val="22"/>
          <w:szCs w:val="22"/>
        </w:rPr>
        <w:t xml:space="preserve">re </w:t>
      </w:r>
      <w:r w:rsidR="00DB2CAB">
        <w:rPr>
          <w:rFonts w:ascii="Arial" w:hAnsi="Arial"/>
          <w:sz w:val="22"/>
          <w:szCs w:val="22"/>
        </w:rPr>
        <w:t>proposed</w:t>
      </w:r>
      <w:r w:rsidR="00195C9D" w:rsidRPr="00195C9D">
        <w:rPr>
          <w:rFonts w:ascii="Arial" w:hAnsi="Arial"/>
          <w:sz w:val="22"/>
          <w:szCs w:val="22"/>
        </w:rPr>
        <w:t xml:space="preserve"> to ensure </w:t>
      </w:r>
      <w:r w:rsidRPr="00195C9D">
        <w:rPr>
          <w:rFonts w:ascii="Arial" w:hAnsi="Arial"/>
          <w:sz w:val="22"/>
          <w:szCs w:val="22"/>
        </w:rPr>
        <w:t>maximum therapeutic benefit by increasing the dose of ivacaftor</w:t>
      </w:r>
      <w:r w:rsidR="00195C9D" w:rsidRPr="00195C9D">
        <w:rPr>
          <w:rFonts w:ascii="Arial" w:hAnsi="Arial"/>
          <w:sz w:val="22"/>
          <w:szCs w:val="22"/>
        </w:rPr>
        <w:t xml:space="preserve"> in patients who are also on strong CYP3A4 inhibitor such as itraconazole. The sponsor stated that it was brought to their attention by cystic fibrosis treating physicians that the effect of ivacaftor diminished between doses when administered at a maximum dose of 2 tablets per week.</w:t>
      </w:r>
    </w:p>
    <w:p w:rsidR="00905161" w:rsidRDefault="00905161" w:rsidP="00905161">
      <w:pPr>
        <w:pStyle w:val="ListParagraph"/>
        <w:jc w:val="both"/>
        <w:rPr>
          <w:rFonts w:ascii="Arial" w:hAnsi="Arial"/>
          <w:sz w:val="22"/>
          <w:szCs w:val="22"/>
        </w:rPr>
      </w:pPr>
    </w:p>
    <w:p w:rsidR="008A1956" w:rsidRPr="00476245" w:rsidRDefault="008A1956" w:rsidP="00476245">
      <w:pPr>
        <w:jc w:val="both"/>
        <w:rPr>
          <w:rFonts w:ascii="Arial" w:hAnsi="Arial"/>
          <w:sz w:val="22"/>
          <w:szCs w:val="22"/>
        </w:rPr>
      </w:pPr>
    </w:p>
    <w:p w:rsidR="000B558D" w:rsidRPr="00882085" w:rsidRDefault="008D7A41" w:rsidP="00D84934">
      <w:pPr>
        <w:pStyle w:val="Header"/>
        <w:numPr>
          <w:ilvl w:val="0"/>
          <w:numId w:val="25"/>
        </w:numPr>
        <w:tabs>
          <w:tab w:val="clear" w:pos="4153"/>
          <w:tab w:val="clear" w:pos="8306"/>
        </w:tabs>
        <w:jc w:val="both"/>
        <w:rPr>
          <w:rFonts w:ascii="Arial" w:hAnsi="Arial"/>
          <w:b/>
          <w:sz w:val="22"/>
          <w:szCs w:val="22"/>
        </w:rPr>
      </w:pPr>
      <w:r>
        <w:rPr>
          <w:rFonts w:ascii="Arial" w:hAnsi="Arial"/>
          <w:b/>
          <w:sz w:val="22"/>
          <w:szCs w:val="22"/>
        </w:rPr>
        <w:t>C</w:t>
      </w:r>
      <w:r w:rsidR="00D84934">
        <w:rPr>
          <w:rFonts w:ascii="Arial" w:hAnsi="Arial"/>
          <w:b/>
          <w:sz w:val="22"/>
          <w:szCs w:val="22"/>
        </w:rPr>
        <w:t>onsideration of the evidence</w:t>
      </w:r>
    </w:p>
    <w:p w:rsidR="00BB7EC3" w:rsidRDefault="00BB7EC3" w:rsidP="00F9629A">
      <w:pPr>
        <w:jc w:val="both"/>
        <w:rPr>
          <w:rFonts w:ascii="Arial" w:hAnsi="Arial"/>
          <w:sz w:val="22"/>
          <w:szCs w:val="22"/>
        </w:rPr>
      </w:pPr>
    </w:p>
    <w:p w:rsidR="00B96C10" w:rsidRDefault="0038364B" w:rsidP="00B96C10">
      <w:pPr>
        <w:pStyle w:val="ListParagraph"/>
        <w:numPr>
          <w:ilvl w:val="1"/>
          <w:numId w:val="25"/>
        </w:numPr>
        <w:jc w:val="both"/>
        <w:rPr>
          <w:rFonts w:ascii="Arial" w:hAnsi="Arial"/>
          <w:sz w:val="22"/>
          <w:szCs w:val="22"/>
        </w:rPr>
      </w:pPr>
      <w:r>
        <w:rPr>
          <w:rFonts w:ascii="Arial" w:hAnsi="Arial"/>
          <w:sz w:val="22"/>
          <w:szCs w:val="22"/>
        </w:rPr>
        <w:t>There was no sponsor hearing for this item.</w:t>
      </w:r>
    </w:p>
    <w:p w:rsidR="0038364B" w:rsidRDefault="0038364B" w:rsidP="0038364B">
      <w:pPr>
        <w:pStyle w:val="ListParagraph"/>
        <w:jc w:val="both"/>
        <w:rPr>
          <w:rFonts w:ascii="Arial" w:hAnsi="Arial"/>
          <w:sz w:val="22"/>
          <w:szCs w:val="22"/>
        </w:rPr>
      </w:pPr>
    </w:p>
    <w:p w:rsidR="008F3B3F" w:rsidRPr="009C7155" w:rsidRDefault="008F3B3F" w:rsidP="008F3B3F">
      <w:pPr>
        <w:widowControl w:val="0"/>
        <w:spacing w:after="200" w:line="276" w:lineRule="auto"/>
        <w:jc w:val="both"/>
        <w:rPr>
          <w:rFonts w:ascii="Arial" w:hAnsi="Arial" w:cs="Arial"/>
          <w:b/>
          <w:bCs/>
          <w:i/>
          <w:snapToGrid w:val="0"/>
        </w:rPr>
      </w:pPr>
      <w:r w:rsidRPr="009C7155">
        <w:rPr>
          <w:rFonts w:ascii="Arial" w:hAnsi="Arial" w:cs="Arial"/>
          <w:b/>
          <w:bCs/>
          <w:i/>
          <w:snapToGrid w:val="0"/>
        </w:rPr>
        <w:t>Consumer comments</w:t>
      </w:r>
    </w:p>
    <w:p w:rsidR="0038364B" w:rsidRPr="0038364B" w:rsidRDefault="008F3B3F" w:rsidP="008F3B3F">
      <w:pPr>
        <w:pStyle w:val="ListParagraph"/>
        <w:numPr>
          <w:ilvl w:val="1"/>
          <w:numId w:val="25"/>
        </w:numPr>
        <w:jc w:val="both"/>
        <w:rPr>
          <w:rFonts w:ascii="Arial" w:hAnsi="Arial"/>
          <w:sz w:val="22"/>
          <w:szCs w:val="22"/>
        </w:rPr>
      </w:pPr>
      <w:r w:rsidRPr="009C7155">
        <w:rPr>
          <w:rFonts w:ascii="Arial" w:hAnsi="Arial" w:cs="Arial"/>
          <w:bCs/>
          <w:snapToGrid w:val="0"/>
          <w:sz w:val="22"/>
          <w:szCs w:val="22"/>
        </w:rPr>
        <w:t>The PBAC noted and welcomed the input from individuals (2), health care professionals (1) via the Consumer Comments facility on the PBS website. The comments described a range of concerns of treatment with lower dose of ivacaftor and highlighted the importance to allow for flexibility with the dosing for patients who are on CYP3A inhibitors for the treatment of cystic fibrosis.</w:t>
      </w:r>
    </w:p>
    <w:p w:rsidR="0038364B" w:rsidRDefault="0038364B" w:rsidP="00D84934">
      <w:pPr>
        <w:jc w:val="both"/>
        <w:rPr>
          <w:rFonts w:ascii="Arial" w:hAnsi="Arial"/>
          <w:b/>
          <w:i/>
          <w:sz w:val="22"/>
          <w:szCs w:val="22"/>
        </w:rPr>
      </w:pPr>
    </w:p>
    <w:p w:rsidR="00D84934" w:rsidRPr="00882085" w:rsidRDefault="00D84934" w:rsidP="00D84934">
      <w:pPr>
        <w:jc w:val="both"/>
        <w:rPr>
          <w:rFonts w:ascii="Arial" w:hAnsi="Arial"/>
          <w:b/>
          <w:i/>
          <w:sz w:val="22"/>
          <w:szCs w:val="22"/>
        </w:rPr>
      </w:pPr>
      <w:r>
        <w:rPr>
          <w:rFonts w:ascii="Arial" w:hAnsi="Arial"/>
          <w:b/>
          <w:i/>
          <w:sz w:val="22"/>
          <w:szCs w:val="22"/>
        </w:rPr>
        <w:t>Clinical trials</w:t>
      </w:r>
    </w:p>
    <w:p w:rsidR="00D84934" w:rsidRPr="00F9629A" w:rsidRDefault="00D84934" w:rsidP="00F9629A">
      <w:pPr>
        <w:jc w:val="both"/>
        <w:rPr>
          <w:rFonts w:ascii="Arial" w:hAnsi="Arial"/>
          <w:sz w:val="22"/>
          <w:szCs w:val="22"/>
        </w:rPr>
      </w:pPr>
    </w:p>
    <w:p w:rsidR="0076420C" w:rsidRDefault="0076420C" w:rsidP="00D84934">
      <w:pPr>
        <w:pStyle w:val="ListParagraph"/>
        <w:numPr>
          <w:ilvl w:val="1"/>
          <w:numId w:val="25"/>
        </w:numPr>
        <w:jc w:val="both"/>
        <w:rPr>
          <w:rFonts w:ascii="Arial" w:hAnsi="Arial"/>
          <w:sz w:val="22"/>
          <w:szCs w:val="22"/>
        </w:rPr>
      </w:pPr>
      <w:r>
        <w:rPr>
          <w:rFonts w:ascii="Arial" w:hAnsi="Arial"/>
          <w:sz w:val="22"/>
          <w:szCs w:val="22"/>
        </w:rPr>
        <w:t xml:space="preserve">As a minor submission, no new clinical trials </w:t>
      </w:r>
      <w:r w:rsidR="00FF2801">
        <w:rPr>
          <w:rFonts w:ascii="Arial" w:hAnsi="Arial"/>
          <w:sz w:val="22"/>
          <w:szCs w:val="22"/>
        </w:rPr>
        <w:t>were</w:t>
      </w:r>
      <w:r>
        <w:rPr>
          <w:rFonts w:ascii="Arial" w:hAnsi="Arial"/>
          <w:sz w:val="22"/>
          <w:szCs w:val="22"/>
        </w:rPr>
        <w:t xml:space="preserve"> presented in the re-submission.</w:t>
      </w:r>
    </w:p>
    <w:p w:rsidR="0028291B" w:rsidRDefault="0028291B" w:rsidP="0028291B">
      <w:pPr>
        <w:pStyle w:val="ListParagraph"/>
        <w:jc w:val="both"/>
        <w:rPr>
          <w:rFonts w:ascii="Arial" w:hAnsi="Arial"/>
          <w:sz w:val="22"/>
          <w:szCs w:val="22"/>
        </w:rPr>
      </w:pPr>
    </w:p>
    <w:p w:rsidR="000A75E6" w:rsidRPr="00606928" w:rsidRDefault="0028291B" w:rsidP="00606928">
      <w:pPr>
        <w:pStyle w:val="ListParagraph"/>
        <w:numPr>
          <w:ilvl w:val="1"/>
          <w:numId w:val="25"/>
        </w:numPr>
        <w:jc w:val="both"/>
        <w:rPr>
          <w:rFonts w:ascii="Arial" w:hAnsi="Arial"/>
          <w:sz w:val="22"/>
          <w:szCs w:val="22"/>
        </w:rPr>
      </w:pPr>
      <w:r w:rsidRPr="00AE57BF">
        <w:rPr>
          <w:rFonts w:ascii="Arial" w:hAnsi="Arial"/>
          <w:sz w:val="22"/>
          <w:szCs w:val="22"/>
        </w:rPr>
        <w:t xml:space="preserve">The submission </w:t>
      </w:r>
      <w:r w:rsidR="00606928">
        <w:rPr>
          <w:rFonts w:ascii="Arial" w:hAnsi="Arial"/>
          <w:sz w:val="22"/>
          <w:szCs w:val="22"/>
        </w:rPr>
        <w:t>stated</w:t>
      </w:r>
      <w:r w:rsidRPr="00AE57BF">
        <w:rPr>
          <w:rFonts w:ascii="Arial" w:hAnsi="Arial"/>
          <w:sz w:val="22"/>
          <w:szCs w:val="22"/>
        </w:rPr>
        <w:t xml:space="preserve"> that </w:t>
      </w:r>
      <w:r w:rsidR="00606928">
        <w:rPr>
          <w:rFonts w:ascii="Arial" w:hAnsi="Arial"/>
          <w:sz w:val="22"/>
          <w:szCs w:val="22"/>
        </w:rPr>
        <w:t xml:space="preserve">the </w:t>
      </w:r>
      <w:r w:rsidR="0058012A" w:rsidRPr="00606928">
        <w:rPr>
          <w:rFonts w:ascii="Arial" w:hAnsi="Arial"/>
          <w:sz w:val="22"/>
          <w:szCs w:val="22"/>
        </w:rPr>
        <w:t xml:space="preserve">current recommendation in the </w:t>
      </w:r>
      <w:r w:rsidR="00606928">
        <w:rPr>
          <w:rFonts w:ascii="Arial" w:hAnsi="Arial"/>
          <w:sz w:val="22"/>
          <w:szCs w:val="22"/>
        </w:rPr>
        <w:t>approved Product Information (PI)</w:t>
      </w:r>
      <w:r w:rsidR="0058012A" w:rsidRPr="00606928">
        <w:rPr>
          <w:rFonts w:ascii="Arial" w:hAnsi="Arial"/>
          <w:sz w:val="22"/>
          <w:szCs w:val="22"/>
        </w:rPr>
        <w:t xml:space="preserve"> is based on only one study. Further there is complex interaction and AUC inter-individual variability. Therefore, the sponsor proposed to have flexibility in dosing of ivacaftor for patients on concomitant CYP3A inhibitors </w:t>
      </w:r>
      <w:r w:rsidR="008021EB" w:rsidRPr="00606928">
        <w:rPr>
          <w:rFonts w:ascii="Arial" w:hAnsi="Arial"/>
          <w:sz w:val="22"/>
          <w:szCs w:val="22"/>
        </w:rPr>
        <w:t>to ensure optimal efficacy in the interest of best outcomes for patients.</w:t>
      </w:r>
    </w:p>
    <w:p w:rsidR="00606928" w:rsidRDefault="00606928">
      <w:pPr>
        <w:rPr>
          <w:rFonts w:ascii="Arial" w:hAnsi="Arial"/>
          <w:sz w:val="22"/>
          <w:szCs w:val="22"/>
        </w:rPr>
      </w:pPr>
    </w:p>
    <w:p w:rsidR="00606928" w:rsidRDefault="00606928">
      <w:pPr>
        <w:rPr>
          <w:rFonts w:ascii="Arial" w:hAnsi="Arial"/>
          <w:sz w:val="22"/>
          <w:szCs w:val="22"/>
        </w:rPr>
      </w:pPr>
    </w:p>
    <w:p w:rsidR="0038364B" w:rsidRPr="00136CDA" w:rsidRDefault="0038364B" w:rsidP="0038364B">
      <w:pPr>
        <w:widowControl w:val="0"/>
        <w:numPr>
          <w:ilvl w:val="0"/>
          <w:numId w:val="25"/>
        </w:numPr>
        <w:jc w:val="both"/>
        <w:rPr>
          <w:rFonts w:ascii="Arial" w:hAnsi="Arial" w:cs="Arial"/>
          <w:b/>
          <w:bCs/>
          <w:snapToGrid w:val="0"/>
          <w:sz w:val="22"/>
          <w:szCs w:val="22"/>
        </w:rPr>
      </w:pPr>
      <w:r w:rsidRPr="00136CDA">
        <w:rPr>
          <w:rFonts w:ascii="Arial" w:hAnsi="Arial" w:cs="Arial"/>
          <w:b/>
          <w:bCs/>
          <w:snapToGrid w:val="0"/>
          <w:sz w:val="22"/>
          <w:szCs w:val="22"/>
        </w:rPr>
        <w:t>PBAC Outcome</w:t>
      </w:r>
    </w:p>
    <w:p w:rsidR="0038364B" w:rsidRDefault="0038364B">
      <w:pPr>
        <w:rPr>
          <w:rFonts w:ascii="Arial" w:hAnsi="Arial"/>
          <w:sz w:val="22"/>
          <w:szCs w:val="22"/>
        </w:rPr>
      </w:pPr>
    </w:p>
    <w:p w:rsidR="0038364B" w:rsidRPr="003E6B14" w:rsidRDefault="00F64128" w:rsidP="008D0827">
      <w:pPr>
        <w:pStyle w:val="ListParagraph"/>
        <w:numPr>
          <w:ilvl w:val="1"/>
          <w:numId w:val="25"/>
        </w:numPr>
        <w:rPr>
          <w:rFonts w:ascii="Arial" w:hAnsi="Arial"/>
          <w:sz w:val="22"/>
          <w:szCs w:val="22"/>
        </w:rPr>
      </w:pPr>
      <w:r w:rsidRPr="003E6B14">
        <w:rPr>
          <w:rFonts w:ascii="Arial" w:hAnsi="Arial"/>
          <w:sz w:val="22"/>
          <w:szCs w:val="22"/>
        </w:rPr>
        <w:t xml:space="preserve">The PBAC </w:t>
      </w:r>
      <w:r w:rsidR="00F11EE8" w:rsidRPr="003E6B14">
        <w:rPr>
          <w:rFonts w:ascii="Arial" w:hAnsi="Arial"/>
          <w:sz w:val="22"/>
          <w:szCs w:val="22"/>
        </w:rPr>
        <w:t>deferred making a recommendation</w:t>
      </w:r>
      <w:r w:rsidR="005A39C4">
        <w:rPr>
          <w:rFonts w:ascii="Arial" w:hAnsi="Arial"/>
          <w:sz w:val="22"/>
          <w:szCs w:val="22"/>
        </w:rPr>
        <w:t xml:space="preserve">.  The PBAC recalled that previous </w:t>
      </w:r>
      <w:r w:rsidR="008D0827">
        <w:rPr>
          <w:rFonts w:ascii="Arial" w:hAnsi="Arial"/>
          <w:sz w:val="22"/>
          <w:szCs w:val="22"/>
        </w:rPr>
        <w:t>amendments</w:t>
      </w:r>
      <w:r w:rsidR="005A39C4">
        <w:rPr>
          <w:rFonts w:ascii="Arial" w:hAnsi="Arial"/>
          <w:sz w:val="22"/>
          <w:szCs w:val="22"/>
        </w:rPr>
        <w:t xml:space="preserve"> to the PBS restriction</w:t>
      </w:r>
      <w:r w:rsidR="007C6E3E">
        <w:rPr>
          <w:rFonts w:ascii="Arial" w:hAnsi="Arial"/>
          <w:sz w:val="22"/>
          <w:szCs w:val="22"/>
        </w:rPr>
        <w:t xml:space="preserve"> had been preceded by supporting changes in the </w:t>
      </w:r>
      <w:r w:rsidR="007C6E3E">
        <w:rPr>
          <w:rFonts w:ascii="Arial" w:hAnsi="Arial"/>
          <w:sz w:val="22"/>
          <w:szCs w:val="22"/>
        </w:rPr>
        <w:lastRenderedPageBreak/>
        <w:t xml:space="preserve">approved PI.  The PBAC requested that the Secretariat seek advice from the TGA </w:t>
      </w:r>
      <w:r w:rsidR="008D0827">
        <w:rPr>
          <w:rFonts w:ascii="Arial" w:hAnsi="Arial"/>
          <w:sz w:val="22"/>
          <w:szCs w:val="22"/>
        </w:rPr>
        <w:t xml:space="preserve">about the status of the </w:t>
      </w:r>
      <w:r w:rsidR="007C6E3E">
        <w:rPr>
          <w:rFonts w:ascii="Arial" w:hAnsi="Arial"/>
          <w:sz w:val="22"/>
          <w:szCs w:val="22"/>
        </w:rPr>
        <w:t>PI for ivacaftor</w:t>
      </w:r>
      <w:r w:rsidR="008D0827">
        <w:rPr>
          <w:rFonts w:ascii="Arial" w:hAnsi="Arial"/>
          <w:sz w:val="22"/>
          <w:szCs w:val="22"/>
        </w:rPr>
        <w:t>.</w:t>
      </w:r>
    </w:p>
    <w:p w:rsidR="008D0827" w:rsidRDefault="008D0827" w:rsidP="0038364B">
      <w:pPr>
        <w:jc w:val="both"/>
        <w:rPr>
          <w:rFonts w:ascii="Arial" w:hAnsi="Arial" w:cs="Arial"/>
          <w:b/>
          <w:bCs/>
          <w:snapToGrid w:val="0"/>
          <w:sz w:val="22"/>
          <w:szCs w:val="22"/>
          <w:lang w:val="en-GB"/>
        </w:rPr>
      </w:pPr>
    </w:p>
    <w:p w:rsidR="0038364B" w:rsidRPr="00136CDA" w:rsidRDefault="0038364B" w:rsidP="0038364B">
      <w:pPr>
        <w:jc w:val="both"/>
        <w:rPr>
          <w:rFonts w:ascii="Arial" w:hAnsi="Arial" w:cs="Arial"/>
          <w:b/>
          <w:bCs/>
          <w:snapToGrid w:val="0"/>
          <w:sz w:val="22"/>
          <w:szCs w:val="22"/>
          <w:lang w:val="en-GB"/>
        </w:rPr>
      </w:pPr>
      <w:r w:rsidRPr="00136CDA">
        <w:rPr>
          <w:rFonts w:ascii="Arial" w:hAnsi="Arial" w:cs="Arial"/>
          <w:b/>
          <w:bCs/>
          <w:snapToGrid w:val="0"/>
          <w:sz w:val="22"/>
          <w:szCs w:val="22"/>
          <w:lang w:val="en-GB"/>
        </w:rPr>
        <w:t>Outcome:</w:t>
      </w:r>
    </w:p>
    <w:p w:rsidR="0038364B" w:rsidRDefault="002512F4" w:rsidP="0038364B">
      <w:pPr>
        <w:rPr>
          <w:rFonts w:ascii="Arial" w:hAnsi="Arial" w:cs="Arial"/>
          <w:bCs/>
          <w:snapToGrid w:val="0"/>
          <w:sz w:val="22"/>
          <w:szCs w:val="22"/>
          <w:lang w:val="en-GB"/>
        </w:rPr>
      </w:pPr>
      <w:r>
        <w:rPr>
          <w:rFonts w:ascii="Arial" w:hAnsi="Arial" w:cs="Arial"/>
          <w:bCs/>
          <w:snapToGrid w:val="0"/>
          <w:sz w:val="22"/>
          <w:szCs w:val="22"/>
          <w:lang w:val="en-GB"/>
        </w:rPr>
        <w:t>Deferred</w:t>
      </w:r>
    </w:p>
    <w:p w:rsidR="0038364B" w:rsidRDefault="0038364B" w:rsidP="0038364B">
      <w:pPr>
        <w:rPr>
          <w:rFonts w:ascii="Arial" w:hAnsi="Arial" w:cs="Arial"/>
          <w:bCs/>
          <w:snapToGrid w:val="0"/>
          <w:sz w:val="22"/>
          <w:szCs w:val="22"/>
          <w:lang w:val="en-GB"/>
        </w:rPr>
      </w:pPr>
    </w:p>
    <w:p w:rsidR="00FF7FF3" w:rsidRDefault="00FF7FF3" w:rsidP="00FF7FF3">
      <w:pPr>
        <w:pStyle w:val="ListParagraph"/>
        <w:keepNext/>
        <w:numPr>
          <w:ilvl w:val="0"/>
          <w:numId w:val="25"/>
        </w:numPr>
        <w:rPr>
          <w:rFonts w:ascii="Arial" w:hAnsi="Arial" w:cs="Arial"/>
          <w:b/>
          <w:bCs/>
          <w:snapToGrid w:val="0"/>
          <w:sz w:val="22"/>
          <w:szCs w:val="22"/>
          <w:lang w:val="en-GB"/>
        </w:rPr>
      </w:pPr>
      <w:r w:rsidRPr="007541BC">
        <w:rPr>
          <w:rFonts w:ascii="Arial" w:hAnsi="Arial" w:cs="Arial"/>
          <w:b/>
          <w:bCs/>
          <w:snapToGrid w:val="0"/>
          <w:sz w:val="22"/>
          <w:szCs w:val="22"/>
          <w:lang w:val="en-GB"/>
        </w:rPr>
        <w:t xml:space="preserve">Context for decision </w:t>
      </w:r>
    </w:p>
    <w:p w:rsidR="00FF7FF3" w:rsidRPr="007541BC" w:rsidRDefault="00FF7FF3" w:rsidP="00FF7FF3">
      <w:pPr>
        <w:pStyle w:val="ListParagraph"/>
        <w:keepNext/>
        <w:rPr>
          <w:rFonts w:ascii="Arial" w:hAnsi="Arial" w:cs="Arial"/>
          <w:b/>
          <w:bCs/>
          <w:snapToGrid w:val="0"/>
          <w:sz w:val="22"/>
          <w:szCs w:val="22"/>
          <w:lang w:val="en-GB"/>
        </w:rPr>
      </w:pPr>
    </w:p>
    <w:p w:rsidR="00FF7FF3" w:rsidRDefault="00FF7FF3" w:rsidP="00FF7FF3">
      <w:pPr>
        <w:pStyle w:val="ListParagraph"/>
        <w:rPr>
          <w:rFonts w:ascii="Arial" w:hAnsi="Arial" w:cs="Arial"/>
          <w:bCs/>
          <w:snapToGrid w:val="0"/>
          <w:sz w:val="22"/>
          <w:szCs w:val="22"/>
          <w:lang w:val="en-GB"/>
        </w:rPr>
      </w:pPr>
      <w:r>
        <w:rPr>
          <w:rFonts w:ascii="Arial" w:hAnsi="Arial" w:cs="Arial"/>
          <w:bCs/>
          <w:snapToGrid w:val="0"/>
          <w:sz w:val="22"/>
          <w:szCs w:val="22"/>
          <w:lang w:val="en-GB"/>
        </w:rPr>
        <w:t>The PBAC helps decide whether and, if so, how medicines should be subsidised in Australia. It considers sudmissions in this context. A PBAC decidion not to recommend listing or not to recommend changing a listing does not represent a final PBAC view about the merits of the medicine. A company can resubmit to the PBAC or seek independent review of the PBAC decision.</w:t>
      </w:r>
    </w:p>
    <w:p w:rsidR="00FF7FF3" w:rsidRDefault="00FF7FF3" w:rsidP="00FF7FF3">
      <w:pPr>
        <w:pStyle w:val="ListParagraph"/>
        <w:rPr>
          <w:rFonts w:ascii="Arial" w:hAnsi="Arial" w:cs="Arial"/>
          <w:bCs/>
          <w:snapToGrid w:val="0"/>
          <w:sz w:val="22"/>
          <w:szCs w:val="22"/>
          <w:lang w:val="en-GB"/>
        </w:rPr>
      </w:pPr>
    </w:p>
    <w:p w:rsidR="00FF7FF3" w:rsidRDefault="00FF7FF3" w:rsidP="00FF7FF3">
      <w:pPr>
        <w:pStyle w:val="ListParagraph"/>
        <w:rPr>
          <w:rFonts w:ascii="Arial" w:hAnsi="Arial" w:cs="Arial"/>
          <w:bCs/>
          <w:snapToGrid w:val="0"/>
          <w:sz w:val="22"/>
          <w:szCs w:val="22"/>
          <w:lang w:val="en-GB"/>
        </w:rPr>
      </w:pPr>
    </w:p>
    <w:p w:rsidR="00FF7FF3" w:rsidRDefault="00FF7FF3" w:rsidP="00FF7FF3">
      <w:pPr>
        <w:pStyle w:val="ListParagraph"/>
        <w:numPr>
          <w:ilvl w:val="0"/>
          <w:numId w:val="25"/>
        </w:numPr>
        <w:rPr>
          <w:rFonts w:ascii="Arial" w:hAnsi="Arial" w:cs="Arial"/>
          <w:b/>
          <w:bCs/>
          <w:snapToGrid w:val="0"/>
          <w:sz w:val="22"/>
          <w:szCs w:val="22"/>
          <w:lang w:val="en-GB"/>
        </w:rPr>
      </w:pPr>
      <w:r w:rsidRPr="007541BC">
        <w:rPr>
          <w:rFonts w:ascii="Arial" w:hAnsi="Arial" w:cs="Arial"/>
          <w:b/>
          <w:bCs/>
          <w:snapToGrid w:val="0"/>
          <w:sz w:val="22"/>
          <w:szCs w:val="22"/>
          <w:lang w:val="en-GB"/>
        </w:rPr>
        <w:t xml:space="preserve">Sponsor’s Comment </w:t>
      </w:r>
    </w:p>
    <w:p w:rsidR="0029750F" w:rsidRDefault="0029750F" w:rsidP="0029750F">
      <w:pPr>
        <w:pStyle w:val="ListParagraph"/>
        <w:rPr>
          <w:rFonts w:ascii="Arial" w:hAnsi="Arial" w:cs="Arial"/>
          <w:b/>
          <w:bCs/>
          <w:snapToGrid w:val="0"/>
          <w:sz w:val="22"/>
          <w:szCs w:val="22"/>
          <w:lang w:val="en-GB"/>
        </w:rPr>
      </w:pPr>
    </w:p>
    <w:p w:rsidR="0029750F" w:rsidRPr="0029750F" w:rsidRDefault="0029750F" w:rsidP="0029750F">
      <w:pPr>
        <w:pStyle w:val="ListParagraph"/>
        <w:rPr>
          <w:rFonts w:ascii="Arial" w:hAnsi="Arial" w:cs="Arial"/>
          <w:bCs/>
          <w:snapToGrid w:val="0"/>
          <w:sz w:val="22"/>
          <w:szCs w:val="22"/>
          <w:lang w:val="en-GB"/>
        </w:rPr>
      </w:pPr>
      <w:r w:rsidRPr="0029750F">
        <w:rPr>
          <w:rFonts w:ascii="Arial" w:hAnsi="Arial" w:cs="Arial"/>
          <w:bCs/>
          <w:snapToGrid w:val="0"/>
          <w:sz w:val="22"/>
          <w:szCs w:val="22"/>
          <w:lang w:val="en-GB"/>
        </w:rPr>
        <w:t>The sponsor had no comment.</w:t>
      </w:r>
    </w:p>
    <w:p w:rsidR="0038364B" w:rsidRDefault="0038364B" w:rsidP="0038364B">
      <w:pPr>
        <w:rPr>
          <w:rFonts w:ascii="Arial" w:hAnsi="Arial" w:cs="Arial"/>
          <w:bCs/>
          <w:snapToGrid w:val="0"/>
          <w:sz w:val="22"/>
          <w:szCs w:val="22"/>
          <w:lang w:val="en-GB"/>
        </w:rPr>
      </w:pPr>
    </w:p>
    <w:p w:rsidR="0029750F" w:rsidRDefault="0029750F" w:rsidP="0038364B">
      <w:pPr>
        <w:rPr>
          <w:rFonts w:ascii="Arial" w:hAnsi="Arial" w:cs="Arial"/>
          <w:bCs/>
          <w:snapToGrid w:val="0"/>
          <w:sz w:val="22"/>
          <w:szCs w:val="22"/>
          <w:lang w:val="en-GB"/>
        </w:rPr>
      </w:pPr>
    </w:p>
    <w:sectPr w:rsidR="0029750F"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BF4" w:rsidRDefault="00AF3BF4">
      <w:r>
        <w:separator/>
      </w:r>
    </w:p>
    <w:p w:rsidR="00AF3BF4" w:rsidRDefault="00AF3BF4"/>
  </w:endnote>
  <w:endnote w:type="continuationSeparator" w:id="0">
    <w:p w:rsidR="00AF3BF4" w:rsidRDefault="00AF3BF4">
      <w:r>
        <w:continuationSeparator/>
      </w:r>
    </w:p>
    <w:p w:rsidR="00AF3BF4" w:rsidRDefault="00AF3B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558C9" w:rsidTr="005A3173">
      <w:trPr>
        <w:trHeight w:val="151"/>
      </w:trPr>
      <w:tc>
        <w:tcPr>
          <w:tcW w:w="2250" w:type="pct"/>
          <w:tcBorders>
            <w:top w:val="nil"/>
            <w:left w:val="nil"/>
            <w:bottom w:val="single" w:sz="4" w:space="0" w:color="4F81BD"/>
            <w:right w:val="nil"/>
          </w:tcBorders>
        </w:tcPr>
        <w:p w:rsidR="00D558C9" w:rsidRPr="005A3173" w:rsidRDefault="00D558C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558C9" w:rsidRPr="005A3173" w:rsidRDefault="00D558C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558C9" w:rsidRPr="005A3173" w:rsidRDefault="00D558C9" w:rsidP="005A3173">
          <w:pPr>
            <w:pStyle w:val="Header"/>
            <w:spacing w:line="276" w:lineRule="auto"/>
            <w:rPr>
              <w:rFonts w:ascii="Calibri" w:eastAsia="MS Gothic" w:hAnsi="Calibri"/>
              <w:b/>
              <w:bCs/>
              <w:color w:val="4F81BD"/>
            </w:rPr>
          </w:pPr>
        </w:p>
      </w:tc>
    </w:tr>
    <w:tr w:rsidR="00D558C9" w:rsidTr="005A3173">
      <w:trPr>
        <w:trHeight w:val="150"/>
      </w:trPr>
      <w:tc>
        <w:tcPr>
          <w:tcW w:w="2250" w:type="pct"/>
          <w:tcBorders>
            <w:top w:val="single" w:sz="4" w:space="0" w:color="4F81BD"/>
            <w:left w:val="nil"/>
            <w:bottom w:val="nil"/>
            <w:right w:val="nil"/>
          </w:tcBorders>
        </w:tcPr>
        <w:p w:rsidR="00D558C9" w:rsidRPr="005A3173" w:rsidRDefault="00D558C9" w:rsidP="005A3173">
          <w:pPr>
            <w:pStyle w:val="Header"/>
            <w:spacing w:line="276" w:lineRule="auto"/>
            <w:rPr>
              <w:rFonts w:ascii="Calibri" w:eastAsia="MS Gothic" w:hAnsi="Calibri"/>
              <w:b/>
              <w:bCs/>
              <w:color w:val="4F81BD"/>
            </w:rPr>
          </w:pPr>
        </w:p>
      </w:tc>
      <w:tc>
        <w:tcPr>
          <w:tcW w:w="0" w:type="auto"/>
          <w:vMerge/>
          <w:vAlign w:val="center"/>
          <w:hideMark/>
        </w:tcPr>
        <w:p w:rsidR="00D558C9" w:rsidRPr="005A3173" w:rsidRDefault="00D558C9" w:rsidP="005A3173">
          <w:pPr>
            <w:rPr>
              <w:rFonts w:ascii="Calibri" w:hAnsi="Calibri"/>
              <w:color w:val="365F91"/>
              <w:sz w:val="22"/>
              <w:szCs w:val="22"/>
            </w:rPr>
          </w:pPr>
        </w:p>
      </w:tc>
      <w:tc>
        <w:tcPr>
          <w:tcW w:w="2250" w:type="pct"/>
          <w:tcBorders>
            <w:top w:val="single" w:sz="4" w:space="0" w:color="4F81BD"/>
            <w:left w:val="nil"/>
            <w:bottom w:val="nil"/>
            <w:right w:val="nil"/>
          </w:tcBorders>
        </w:tcPr>
        <w:p w:rsidR="00D558C9" w:rsidRPr="005A3173" w:rsidRDefault="00D558C9" w:rsidP="005A3173">
          <w:pPr>
            <w:pStyle w:val="Header"/>
            <w:spacing w:line="276" w:lineRule="auto"/>
            <w:rPr>
              <w:rFonts w:ascii="Calibri" w:eastAsia="MS Gothic" w:hAnsi="Calibri"/>
              <w:b/>
              <w:bCs/>
              <w:color w:val="4F81BD"/>
            </w:rPr>
          </w:pPr>
        </w:p>
      </w:tc>
    </w:tr>
  </w:tbl>
  <w:p w:rsidR="00D558C9" w:rsidRDefault="00D558C9"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558C9" w:rsidRDefault="00D558C9">
    <w:pPr>
      <w:pStyle w:val="Footer"/>
    </w:pPr>
  </w:p>
  <w:p w:rsidR="00D558C9" w:rsidRDefault="00D558C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8C9" w:rsidRDefault="00D558C9" w:rsidP="00EF44A0">
    <w:pPr>
      <w:pStyle w:val="Footer"/>
      <w:jc w:val="center"/>
      <w:rPr>
        <w:rFonts w:ascii="Arial" w:hAnsi="Arial" w:cs="Arial"/>
        <w:b/>
        <w:sz w:val="20"/>
        <w:szCs w:val="20"/>
      </w:rPr>
    </w:pPr>
  </w:p>
  <w:p w:rsidR="00F20171" w:rsidRPr="00F20171" w:rsidRDefault="00F20171" w:rsidP="00F20171">
    <w:pPr>
      <w:widowControl w:val="0"/>
      <w:tabs>
        <w:tab w:val="center" w:pos="4513"/>
        <w:tab w:val="right" w:pos="9026"/>
      </w:tabs>
      <w:jc w:val="center"/>
      <w:rPr>
        <w:rFonts w:ascii="Arial" w:hAnsi="Arial" w:cs="Arial"/>
        <w:snapToGrid w:val="0"/>
        <w:sz w:val="22"/>
        <w:szCs w:val="20"/>
        <w:lang w:eastAsia="en-US"/>
      </w:rPr>
    </w:pPr>
    <w:r w:rsidRPr="00F20171">
      <w:rPr>
        <w:rFonts w:ascii="Arial" w:hAnsi="Arial" w:cs="Arial"/>
        <w:snapToGrid w:val="0"/>
        <w:sz w:val="22"/>
        <w:szCs w:val="20"/>
        <w:lang w:eastAsia="en-US"/>
      </w:rPr>
      <w:fldChar w:fldCharType="begin"/>
    </w:r>
    <w:r w:rsidRPr="00F20171">
      <w:rPr>
        <w:rFonts w:ascii="Arial" w:hAnsi="Arial" w:cs="Arial"/>
        <w:snapToGrid w:val="0"/>
        <w:sz w:val="22"/>
        <w:szCs w:val="20"/>
        <w:lang w:eastAsia="en-US"/>
      </w:rPr>
      <w:instrText xml:space="preserve"> PAGE   \* MERGEFORMAT </w:instrText>
    </w:r>
    <w:r w:rsidRPr="00F20171">
      <w:rPr>
        <w:rFonts w:ascii="Arial" w:hAnsi="Arial" w:cs="Arial"/>
        <w:snapToGrid w:val="0"/>
        <w:sz w:val="22"/>
        <w:szCs w:val="20"/>
        <w:lang w:eastAsia="en-US"/>
      </w:rPr>
      <w:fldChar w:fldCharType="separate"/>
    </w:r>
    <w:r w:rsidR="00ED40FC">
      <w:rPr>
        <w:rFonts w:ascii="Arial" w:hAnsi="Arial" w:cs="Arial"/>
        <w:noProof/>
        <w:snapToGrid w:val="0"/>
        <w:sz w:val="22"/>
        <w:szCs w:val="20"/>
        <w:lang w:eastAsia="en-US"/>
      </w:rPr>
      <w:t>3</w:t>
    </w:r>
    <w:r w:rsidRPr="00F20171">
      <w:rPr>
        <w:rFonts w:ascii="Arial" w:hAnsi="Arial" w:cs="Arial"/>
        <w:snapToGrid w:val="0"/>
        <w:sz w:val="22"/>
        <w:szCs w:val="20"/>
        <w:lang w:eastAsia="en-US"/>
      </w:rPr>
      <w:fldChar w:fldCharType="end"/>
    </w:r>
  </w:p>
  <w:p w:rsidR="00D558C9" w:rsidRDefault="00D558C9" w:rsidP="00EF44A0">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D558C9" w:rsidTr="005A3173">
      <w:trPr>
        <w:trHeight w:val="151"/>
      </w:trPr>
      <w:tc>
        <w:tcPr>
          <w:tcW w:w="2250" w:type="pct"/>
          <w:tcBorders>
            <w:top w:val="nil"/>
            <w:left w:val="nil"/>
            <w:bottom w:val="single" w:sz="4" w:space="0" w:color="4F81BD"/>
            <w:right w:val="nil"/>
          </w:tcBorders>
        </w:tcPr>
        <w:p w:rsidR="00D558C9" w:rsidRPr="005A3173" w:rsidRDefault="00D558C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558C9" w:rsidRPr="005A3173" w:rsidRDefault="00D558C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558C9" w:rsidRPr="005A3173" w:rsidRDefault="00D558C9" w:rsidP="005A3173">
          <w:pPr>
            <w:pStyle w:val="Header"/>
            <w:spacing w:line="276" w:lineRule="auto"/>
            <w:rPr>
              <w:rFonts w:ascii="Calibri" w:eastAsia="MS Gothic" w:hAnsi="Calibri"/>
              <w:b/>
              <w:bCs/>
              <w:color w:val="4F81BD"/>
            </w:rPr>
          </w:pPr>
        </w:p>
      </w:tc>
    </w:tr>
    <w:tr w:rsidR="00D558C9" w:rsidTr="005A3173">
      <w:trPr>
        <w:trHeight w:val="150"/>
      </w:trPr>
      <w:tc>
        <w:tcPr>
          <w:tcW w:w="2250" w:type="pct"/>
          <w:tcBorders>
            <w:top w:val="single" w:sz="4" w:space="0" w:color="4F81BD"/>
            <w:left w:val="nil"/>
            <w:bottom w:val="nil"/>
            <w:right w:val="nil"/>
          </w:tcBorders>
        </w:tcPr>
        <w:p w:rsidR="00D558C9" w:rsidRPr="005A3173" w:rsidRDefault="00D558C9" w:rsidP="005A3173">
          <w:pPr>
            <w:pStyle w:val="Header"/>
            <w:spacing w:line="276" w:lineRule="auto"/>
            <w:rPr>
              <w:rFonts w:ascii="Calibri" w:eastAsia="MS Gothic" w:hAnsi="Calibri"/>
              <w:b/>
              <w:bCs/>
              <w:color w:val="4F81BD"/>
            </w:rPr>
          </w:pPr>
        </w:p>
      </w:tc>
      <w:tc>
        <w:tcPr>
          <w:tcW w:w="0" w:type="auto"/>
          <w:vMerge/>
          <w:vAlign w:val="center"/>
          <w:hideMark/>
        </w:tcPr>
        <w:p w:rsidR="00D558C9" w:rsidRPr="005A3173" w:rsidRDefault="00D558C9" w:rsidP="005A3173">
          <w:pPr>
            <w:rPr>
              <w:rFonts w:ascii="Calibri" w:hAnsi="Calibri"/>
              <w:color w:val="365F91"/>
              <w:sz w:val="22"/>
              <w:szCs w:val="22"/>
            </w:rPr>
          </w:pPr>
        </w:p>
      </w:tc>
      <w:tc>
        <w:tcPr>
          <w:tcW w:w="2250" w:type="pct"/>
          <w:tcBorders>
            <w:top w:val="single" w:sz="4" w:space="0" w:color="4F81BD"/>
            <w:left w:val="nil"/>
            <w:bottom w:val="nil"/>
            <w:right w:val="nil"/>
          </w:tcBorders>
        </w:tcPr>
        <w:p w:rsidR="00D558C9" w:rsidRPr="005A3173" w:rsidRDefault="00D558C9"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558C9" w:rsidTr="005A3173">
      <w:trPr>
        <w:trHeight w:val="151"/>
      </w:trPr>
      <w:tc>
        <w:tcPr>
          <w:tcW w:w="2250" w:type="pct"/>
          <w:tcBorders>
            <w:top w:val="nil"/>
            <w:left w:val="nil"/>
            <w:bottom w:val="single" w:sz="4" w:space="0" w:color="4F81BD"/>
            <w:right w:val="nil"/>
          </w:tcBorders>
        </w:tcPr>
        <w:p w:rsidR="00D558C9" w:rsidRPr="005A3173" w:rsidRDefault="00D558C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558C9" w:rsidRPr="005A3173" w:rsidRDefault="00D558C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558C9" w:rsidRPr="005A3173" w:rsidRDefault="00D558C9" w:rsidP="005A3173">
          <w:pPr>
            <w:pStyle w:val="Header"/>
            <w:spacing w:line="276" w:lineRule="auto"/>
            <w:rPr>
              <w:rFonts w:ascii="Calibri" w:eastAsia="MS Gothic" w:hAnsi="Calibri"/>
              <w:b/>
              <w:bCs/>
              <w:color w:val="4F81BD"/>
            </w:rPr>
          </w:pPr>
        </w:p>
      </w:tc>
    </w:tr>
    <w:tr w:rsidR="00D558C9" w:rsidTr="005A3173">
      <w:trPr>
        <w:trHeight w:val="150"/>
      </w:trPr>
      <w:tc>
        <w:tcPr>
          <w:tcW w:w="2250" w:type="pct"/>
          <w:tcBorders>
            <w:top w:val="single" w:sz="4" w:space="0" w:color="4F81BD"/>
            <w:left w:val="nil"/>
            <w:bottom w:val="nil"/>
            <w:right w:val="nil"/>
          </w:tcBorders>
        </w:tcPr>
        <w:p w:rsidR="00D558C9" w:rsidRPr="005A3173" w:rsidRDefault="00D558C9" w:rsidP="005A3173">
          <w:pPr>
            <w:pStyle w:val="Header"/>
            <w:spacing w:line="276" w:lineRule="auto"/>
            <w:rPr>
              <w:rFonts w:ascii="Calibri" w:eastAsia="MS Gothic" w:hAnsi="Calibri"/>
              <w:b/>
              <w:bCs/>
              <w:color w:val="4F81BD"/>
            </w:rPr>
          </w:pPr>
        </w:p>
      </w:tc>
      <w:tc>
        <w:tcPr>
          <w:tcW w:w="0" w:type="auto"/>
          <w:vMerge/>
          <w:vAlign w:val="center"/>
          <w:hideMark/>
        </w:tcPr>
        <w:p w:rsidR="00D558C9" w:rsidRPr="005A3173" w:rsidRDefault="00D558C9" w:rsidP="005A3173">
          <w:pPr>
            <w:rPr>
              <w:rFonts w:ascii="Calibri" w:hAnsi="Calibri"/>
              <w:color w:val="365F91"/>
              <w:sz w:val="22"/>
              <w:szCs w:val="22"/>
            </w:rPr>
          </w:pPr>
        </w:p>
      </w:tc>
      <w:tc>
        <w:tcPr>
          <w:tcW w:w="2250" w:type="pct"/>
          <w:tcBorders>
            <w:top w:val="single" w:sz="4" w:space="0" w:color="4F81BD"/>
            <w:left w:val="nil"/>
            <w:bottom w:val="nil"/>
            <w:right w:val="nil"/>
          </w:tcBorders>
        </w:tcPr>
        <w:p w:rsidR="00D558C9" w:rsidRPr="005A3173" w:rsidRDefault="00D558C9" w:rsidP="005A3173">
          <w:pPr>
            <w:pStyle w:val="Header"/>
            <w:spacing w:line="276" w:lineRule="auto"/>
            <w:rPr>
              <w:rFonts w:ascii="Calibri" w:eastAsia="MS Gothic" w:hAnsi="Calibri"/>
              <w:b/>
              <w:bCs/>
              <w:color w:val="4F81BD"/>
            </w:rPr>
          </w:pPr>
        </w:p>
      </w:tc>
    </w:tr>
  </w:tbl>
  <w:p w:rsidR="00D558C9" w:rsidRPr="007C0F57" w:rsidRDefault="00D558C9"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D558C9" w:rsidRPr="007C0F57" w:rsidRDefault="00D558C9" w:rsidP="007C0F57">
    <w:pPr>
      <w:pStyle w:val="Footer"/>
      <w:jc w:val="center"/>
      <w:rPr>
        <w:b/>
        <w:i/>
        <w:sz w:val="20"/>
        <w:szCs w:val="20"/>
      </w:rPr>
    </w:pPr>
    <w:r w:rsidRPr="007C0F57">
      <w:rPr>
        <w:b/>
        <w:i/>
        <w:sz w:val="20"/>
        <w:szCs w:val="20"/>
      </w:rPr>
      <w:t>Commercial-in-Confidence</w:t>
    </w:r>
  </w:p>
  <w:p w:rsidR="00D558C9" w:rsidRDefault="00D558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BF4" w:rsidRDefault="00AF3BF4">
      <w:r>
        <w:separator/>
      </w:r>
    </w:p>
    <w:p w:rsidR="00AF3BF4" w:rsidRDefault="00AF3BF4"/>
  </w:footnote>
  <w:footnote w:type="continuationSeparator" w:id="0">
    <w:p w:rsidR="00AF3BF4" w:rsidRDefault="00AF3BF4">
      <w:r>
        <w:continuationSeparator/>
      </w:r>
    </w:p>
    <w:p w:rsidR="00AF3BF4" w:rsidRDefault="00AF3B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D558C9" w:rsidRPr="008E0D90" w:rsidTr="00A06225">
      <w:trPr>
        <w:trHeight w:val="151"/>
      </w:trPr>
      <w:tc>
        <w:tcPr>
          <w:tcW w:w="2389" w:type="pct"/>
          <w:tcBorders>
            <w:top w:val="nil"/>
            <w:left w:val="nil"/>
            <w:bottom w:val="single" w:sz="4" w:space="0" w:color="4F81BD"/>
            <w:right w:val="nil"/>
          </w:tcBorders>
        </w:tcPr>
        <w:p w:rsidR="00D558C9" w:rsidRPr="00A06225" w:rsidRDefault="00D558C9">
          <w:pPr>
            <w:pStyle w:val="Header"/>
            <w:spacing w:line="276" w:lineRule="auto"/>
            <w:rPr>
              <w:rFonts w:ascii="Cambria" w:eastAsia="MS Gothic" w:hAnsi="Cambria"/>
              <w:b/>
              <w:bCs/>
              <w:color w:val="4F81BD"/>
            </w:rPr>
          </w:pPr>
        </w:p>
      </w:tc>
      <w:tc>
        <w:tcPr>
          <w:tcW w:w="333" w:type="pct"/>
          <w:vMerge w:val="restart"/>
          <w:noWrap/>
          <w:vAlign w:val="center"/>
          <w:hideMark/>
        </w:tcPr>
        <w:p w:rsidR="00D558C9" w:rsidRPr="00A06225" w:rsidRDefault="00D558C9"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D558C9" w:rsidRPr="00A06225" w:rsidRDefault="00D558C9">
          <w:pPr>
            <w:pStyle w:val="Header"/>
            <w:spacing w:line="276" w:lineRule="auto"/>
            <w:rPr>
              <w:rFonts w:ascii="Cambria" w:eastAsia="MS Gothic" w:hAnsi="Cambria"/>
              <w:b/>
              <w:bCs/>
              <w:color w:val="4F81BD"/>
            </w:rPr>
          </w:pPr>
        </w:p>
      </w:tc>
    </w:tr>
    <w:tr w:rsidR="00D558C9" w:rsidRPr="008E0D90" w:rsidTr="00A06225">
      <w:trPr>
        <w:trHeight w:val="150"/>
      </w:trPr>
      <w:tc>
        <w:tcPr>
          <w:tcW w:w="2389" w:type="pct"/>
          <w:tcBorders>
            <w:top w:val="single" w:sz="4" w:space="0" w:color="4F81BD"/>
            <w:left w:val="nil"/>
            <w:bottom w:val="nil"/>
            <w:right w:val="nil"/>
          </w:tcBorders>
        </w:tcPr>
        <w:p w:rsidR="00D558C9" w:rsidRPr="00A06225" w:rsidRDefault="00D558C9">
          <w:pPr>
            <w:pStyle w:val="Header"/>
            <w:spacing w:line="276" w:lineRule="auto"/>
            <w:rPr>
              <w:rFonts w:ascii="Cambria" w:eastAsia="MS Gothic" w:hAnsi="Cambria"/>
              <w:b/>
              <w:bCs/>
              <w:color w:val="4F81BD"/>
            </w:rPr>
          </w:pPr>
        </w:p>
      </w:tc>
      <w:tc>
        <w:tcPr>
          <w:tcW w:w="0" w:type="auto"/>
          <w:vMerge/>
          <w:vAlign w:val="center"/>
          <w:hideMark/>
        </w:tcPr>
        <w:p w:rsidR="00D558C9" w:rsidRPr="00A06225" w:rsidRDefault="00D558C9">
          <w:pPr>
            <w:rPr>
              <w:rFonts w:ascii="Cambria" w:hAnsi="Cambria"/>
              <w:color w:val="4F81BD"/>
              <w:sz w:val="22"/>
              <w:szCs w:val="22"/>
            </w:rPr>
          </w:pPr>
        </w:p>
      </w:tc>
      <w:tc>
        <w:tcPr>
          <w:tcW w:w="2278" w:type="pct"/>
          <w:tcBorders>
            <w:top w:val="single" w:sz="4" w:space="0" w:color="4F81BD"/>
            <w:left w:val="nil"/>
            <w:bottom w:val="nil"/>
            <w:right w:val="nil"/>
          </w:tcBorders>
        </w:tcPr>
        <w:p w:rsidR="00D558C9" w:rsidRPr="00A06225" w:rsidRDefault="00D558C9">
          <w:pPr>
            <w:pStyle w:val="Header"/>
            <w:spacing w:line="276" w:lineRule="auto"/>
            <w:rPr>
              <w:rFonts w:ascii="Cambria" w:eastAsia="MS Gothic" w:hAnsi="Cambria"/>
              <w:b/>
              <w:bCs/>
              <w:color w:val="4F81BD"/>
            </w:rPr>
          </w:pPr>
        </w:p>
      </w:tc>
    </w:tr>
  </w:tbl>
  <w:p w:rsidR="00D558C9" w:rsidRDefault="00D558C9">
    <w:pPr>
      <w:pStyle w:val="Header"/>
    </w:pPr>
  </w:p>
  <w:p w:rsidR="00D558C9" w:rsidRDefault="00D558C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FF3" w:rsidRPr="00F20171" w:rsidRDefault="00FF7FF3" w:rsidP="00FF7FF3">
    <w:pPr>
      <w:widowControl w:val="0"/>
      <w:tabs>
        <w:tab w:val="left" w:pos="142"/>
        <w:tab w:val="right" w:pos="9026"/>
      </w:tabs>
      <w:ind w:right="-359"/>
      <w:jc w:val="center"/>
      <w:rPr>
        <w:rFonts w:ascii="Arial" w:hAnsi="Arial" w:cs="Arial"/>
        <w:i/>
        <w:snapToGrid w:val="0"/>
        <w:color w:val="D9D9D9" w:themeColor="background1" w:themeShade="D9"/>
        <w:sz w:val="22"/>
        <w:szCs w:val="20"/>
        <w:lang w:eastAsia="en-US"/>
      </w:rPr>
    </w:pPr>
    <w:r>
      <w:rPr>
        <w:rFonts w:ascii="Arial" w:hAnsi="Arial" w:cs="Arial"/>
        <w:i/>
        <w:snapToGrid w:val="0"/>
        <w:color w:val="D9D9D9" w:themeColor="background1" w:themeShade="D9"/>
        <w:sz w:val="22"/>
        <w:szCs w:val="20"/>
        <w:lang w:eastAsia="en-US"/>
      </w:rPr>
      <w:t xml:space="preserve">Public Summary Document </w:t>
    </w:r>
    <w:r w:rsidRPr="00F20171">
      <w:rPr>
        <w:rFonts w:ascii="Arial" w:hAnsi="Arial" w:cs="Arial"/>
        <w:i/>
        <w:snapToGrid w:val="0"/>
        <w:color w:val="D9D9D9" w:themeColor="background1" w:themeShade="D9"/>
        <w:sz w:val="22"/>
        <w:szCs w:val="20"/>
        <w:lang w:eastAsia="en-US"/>
      </w:rPr>
      <w:t>– July 2015 PBAC Meeting</w:t>
    </w:r>
  </w:p>
  <w:p w:rsidR="00D558C9" w:rsidRDefault="00D558C9" w:rsidP="00A128E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977878"/>
    <w:multiLevelType w:val="hybridMultilevel"/>
    <w:tmpl w:val="CB4CB7A2"/>
    <w:lvl w:ilvl="0" w:tplc="0C09001B">
      <w:start w:val="1"/>
      <w:numFmt w:val="lowerRoman"/>
      <w:lvlText w:val="%1."/>
      <w:lvlJc w:val="righ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6">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7">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9">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1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2">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3">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5">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8">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0">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1">
    <w:nsid w:val="47E03139"/>
    <w:multiLevelType w:val="hybridMultilevel"/>
    <w:tmpl w:val="239A3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3">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A461646"/>
    <w:multiLevelType w:val="hybridMultilevel"/>
    <w:tmpl w:val="44004286"/>
    <w:lvl w:ilvl="0" w:tplc="1C0434F6">
      <w:start w:val="1"/>
      <w:numFmt w:val="lowerRoman"/>
      <w:lvlText w:val="%1."/>
      <w:lvlJc w:val="left"/>
      <w:pPr>
        <w:ind w:left="1713" w:hanging="72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5">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6">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7">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8">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59BC5196"/>
    <w:multiLevelType w:val="multilevel"/>
    <w:tmpl w:val="722CA35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A355FAD"/>
    <w:multiLevelType w:val="multilevel"/>
    <w:tmpl w:val="905EF0B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7">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646F43"/>
    <w:multiLevelType w:val="hybridMultilevel"/>
    <w:tmpl w:val="E42635AC"/>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9">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40">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1">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2">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3">
    <w:nsid w:val="784D033C"/>
    <w:multiLevelType w:val="multilevel"/>
    <w:tmpl w:val="905EF0B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1"/>
  </w:num>
  <w:num w:numId="2">
    <w:abstractNumId w:val="39"/>
  </w:num>
  <w:num w:numId="3">
    <w:abstractNumId w:val="22"/>
  </w:num>
  <w:num w:numId="4">
    <w:abstractNumId w:val="0"/>
  </w:num>
  <w:num w:numId="5">
    <w:abstractNumId w:val="7"/>
  </w:num>
  <w:num w:numId="6">
    <w:abstractNumId w:val="20"/>
  </w:num>
  <w:num w:numId="7">
    <w:abstractNumId w:val="17"/>
  </w:num>
  <w:num w:numId="8">
    <w:abstractNumId w:val="6"/>
  </w:num>
  <w:num w:numId="9">
    <w:abstractNumId w:val="9"/>
  </w:num>
  <w:num w:numId="10">
    <w:abstractNumId w:val="36"/>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40"/>
  </w:num>
  <w:num w:numId="15">
    <w:abstractNumId w:val="30"/>
  </w:num>
  <w:num w:numId="16">
    <w:abstractNumId w:val="26"/>
  </w:num>
  <w:num w:numId="17">
    <w:abstractNumId w:val="42"/>
  </w:num>
  <w:num w:numId="18">
    <w:abstractNumId w:val="14"/>
  </w:num>
  <w:num w:numId="19">
    <w:abstractNumId w:val="19"/>
  </w:num>
  <w:num w:numId="20">
    <w:abstractNumId w:val="4"/>
  </w:num>
  <w:num w:numId="21">
    <w:abstractNumId w:val="34"/>
  </w:num>
  <w:num w:numId="22">
    <w:abstractNumId w:val="37"/>
  </w:num>
  <w:num w:numId="23">
    <w:abstractNumId w:val="44"/>
  </w:num>
  <w:num w:numId="24">
    <w:abstractNumId w:val="16"/>
  </w:num>
  <w:num w:numId="25">
    <w:abstractNumId w:val="43"/>
  </w:num>
  <w:num w:numId="26">
    <w:abstractNumId w:val="31"/>
  </w:num>
  <w:num w:numId="27">
    <w:abstractNumId w:val="13"/>
  </w:num>
  <w:num w:numId="28">
    <w:abstractNumId w:val="8"/>
  </w:num>
  <w:num w:numId="29">
    <w:abstractNumId w:val="28"/>
  </w:num>
  <w:num w:numId="30">
    <w:abstractNumId w:val="3"/>
  </w:num>
  <w:num w:numId="31">
    <w:abstractNumId w:val="29"/>
  </w:num>
  <w:num w:numId="32">
    <w:abstractNumId w:val="41"/>
  </w:num>
  <w:num w:numId="33">
    <w:abstractNumId w:val="27"/>
  </w:num>
  <w:num w:numId="34">
    <w:abstractNumId w:val="45"/>
  </w:num>
  <w:num w:numId="35">
    <w:abstractNumId w:val="12"/>
  </w:num>
  <w:num w:numId="36">
    <w:abstractNumId w:val="25"/>
  </w:num>
  <w:num w:numId="37">
    <w:abstractNumId w:val="33"/>
  </w:num>
  <w:num w:numId="38">
    <w:abstractNumId w:val="10"/>
  </w:num>
  <w:num w:numId="39">
    <w:abstractNumId w:val="18"/>
  </w:num>
  <w:num w:numId="40">
    <w:abstractNumId w:val="1"/>
  </w:num>
  <w:num w:numId="41">
    <w:abstractNumId w:val="15"/>
  </w:num>
  <w:num w:numId="42">
    <w:abstractNumId w:val="35"/>
  </w:num>
  <w:num w:numId="43">
    <w:abstractNumId w:val="2"/>
  </w:num>
  <w:num w:numId="44">
    <w:abstractNumId w:val="5"/>
  </w:num>
  <w:num w:numId="45">
    <w:abstractNumId w:val="38"/>
  </w:num>
  <w:num w:numId="46">
    <w:abstractNumId w:val="24"/>
  </w:num>
  <w:num w:numId="47">
    <w:abstractNumId w:val="32"/>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14231"/>
    <w:rsid w:val="000239CF"/>
    <w:rsid w:val="0002464A"/>
    <w:rsid w:val="0003106B"/>
    <w:rsid w:val="000421A1"/>
    <w:rsid w:val="0004240E"/>
    <w:rsid w:val="000440DC"/>
    <w:rsid w:val="00045E26"/>
    <w:rsid w:val="000514B5"/>
    <w:rsid w:val="00060E64"/>
    <w:rsid w:val="00066755"/>
    <w:rsid w:val="000969AD"/>
    <w:rsid w:val="000A75E6"/>
    <w:rsid w:val="000B558D"/>
    <w:rsid w:val="000C475E"/>
    <w:rsid w:val="000C6996"/>
    <w:rsid w:val="000D23BA"/>
    <w:rsid w:val="000D266C"/>
    <w:rsid w:val="000E681E"/>
    <w:rsid w:val="000F4E6A"/>
    <w:rsid w:val="001107BF"/>
    <w:rsid w:val="0012417C"/>
    <w:rsid w:val="0012578A"/>
    <w:rsid w:val="00136BAF"/>
    <w:rsid w:val="00142395"/>
    <w:rsid w:val="00142714"/>
    <w:rsid w:val="001452ED"/>
    <w:rsid w:val="001830CE"/>
    <w:rsid w:val="00186FEA"/>
    <w:rsid w:val="00195C9D"/>
    <w:rsid w:val="00196307"/>
    <w:rsid w:val="001B017F"/>
    <w:rsid w:val="001B5129"/>
    <w:rsid w:val="001C1195"/>
    <w:rsid w:val="001F77F1"/>
    <w:rsid w:val="00206FB8"/>
    <w:rsid w:val="00213CFB"/>
    <w:rsid w:val="002512F4"/>
    <w:rsid w:val="00260CCD"/>
    <w:rsid w:val="00271BA1"/>
    <w:rsid w:val="00277505"/>
    <w:rsid w:val="0028291B"/>
    <w:rsid w:val="00287F11"/>
    <w:rsid w:val="0029458F"/>
    <w:rsid w:val="0029750F"/>
    <w:rsid w:val="002A104C"/>
    <w:rsid w:val="002A4960"/>
    <w:rsid w:val="002B1AE6"/>
    <w:rsid w:val="002B30F8"/>
    <w:rsid w:val="002C212F"/>
    <w:rsid w:val="002E3153"/>
    <w:rsid w:val="002E72CA"/>
    <w:rsid w:val="00302645"/>
    <w:rsid w:val="003109A3"/>
    <w:rsid w:val="00326E79"/>
    <w:rsid w:val="003367EF"/>
    <w:rsid w:val="00341AE4"/>
    <w:rsid w:val="00356664"/>
    <w:rsid w:val="003752D8"/>
    <w:rsid w:val="0038364B"/>
    <w:rsid w:val="003872CF"/>
    <w:rsid w:val="0039782C"/>
    <w:rsid w:val="003A5B4A"/>
    <w:rsid w:val="003B23C5"/>
    <w:rsid w:val="003B2A75"/>
    <w:rsid w:val="003B47C4"/>
    <w:rsid w:val="003D1EFE"/>
    <w:rsid w:val="003D4AC4"/>
    <w:rsid w:val="003D63B7"/>
    <w:rsid w:val="003E468B"/>
    <w:rsid w:val="003E6B14"/>
    <w:rsid w:val="003F5C8C"/>
    <w:rsid w:val="00405B27"/>
    <w:rsid w:val="00437F7B"/>
    <w:rsid w:val="004465BD"/>
    <w:rsid w:val="00460DDD"/>
    <w:rsid w:val="00466ADA"/>
    <w:rsid w:val="00476245"/>
    <w:rsid w:val="00485940"/>
    <w:rsid w:val="004A5A85"/>
    <w:rsid w:val="004B5640"/>
    <w:rsid w:val="004C1A3C"/>
    <w:rsid w:val="004C1BD7"/>
    <w:rsid w:val="004C691D"/>
    <w:rsid w:val="004E692D"/>
    <w:rsid w:val="0050086A"/>
    <w:rsid w:val="00500BFA"/>
    <w:rsid w:val="00501554"/>
    <w:rsid w:val="00514CD7"/>
    <w:rsid w:val="005319B2"/>
    <w:rsid w:val="00532C74"/>
    <w:rsid w:val="00534E2E"/>
    <w:rsid w:val="00544552"/>
    <w:rsid w:val="0058012A"/>
    <w:rsid w:val="00581932"/>
    <w:rsid w:val="005963BB"/>
    <w:rsid w:val="005A3173"/>
    <w:rsid w:val="005A3223"/>
    <w:rsid w:val="005A39C4"/>
    <w:rsid w:val="005A3DA3"/>
    <w:rsid w:val="005A4F11"/>
    <w:rsid w:val="005A52C4"/>
    <w:rsid w:val="005D03AB"/>
    <w:rsid w:val="005D5017"/>
    <w:rsid w:val="00601A91"/>
    <w:rsid w:val="00602BA3"/>
    <w:rsid w:val="00606928"/>
    <w:rsid w:val="00614159"/>
    <w:rsid w:val="00617C00"/>
    <w:rsid w:val="006263BF"/>
    <w:rsid w:val="0062748A"/>
    <w:rsid w:val="00630A2C"/>
    <w:rsid w:val="00651169"/>
    <w:rsid w:val="006533FF"/>
    <w:rsid w:val="00653D69"/>
    <w:rsid w:val="00670A76"/>
    <w:rsid w:val="006711AA"/>
    <w:rsid w:val="00672B57"/>
    <w:rsid w:val="00675622"/>
    <w:rsid w:val="00676BF7"/>
    <w:rsid w:val="006906DB"/>
    <w:rsid w:val="006A12A5"/>
    <w:rsid w:val="006B0D94"/>
    <w:rsid w:val="006B485D"/>
    <w:rsid w:val="006C708E"/>
    <w:rsid w:val="006D26B9"/>
    <w:rsid w:val="006D6EC7"/>
    <w:rsid w:val="006F2B55"/>
    <w:rsid w:val="006F5125"/>
    <w:rsid w:val="006F78AD"/>
    <w:rsid w:val="007032BF"/>
    <w:rsid w:val="007174BB"/>
    <w:rsid w:val="0076420C"/>
    <w:rsid w:val="007753C2"/>
    <w:rsid w:val="007838B8"/>
    <w:rsid w:val="007A1388"/>
    <w:rsid w:val="007A45CA"/>
    <w:rsid w:val="007C0F57"/>
    <w:rsid w:val="007C40B6"/>
    <w:rsid w:val="007C6E3E"/>
    <w:rsid w:val="007C729F"/>
    <w:rsid w:val="007D70DE"/>
    <w:rsid w:val="007E1D28"/>
    <w:rsid w:val="007F2641"/>
    <w:rsid w:val="007F61FB"/>
    <w:rsid w:val="007F6C77"/>
    <w:rsid w:val="007F7C36"/>
    <w:rsid w:val="008021EB"/>
    <w:rsid w:val="00806796"/>
    <w:rsid w:val="00826F6D"/>
    <w:rsid w:val="008462EE"/>
    <w:rsid w:val="00846FED"/>
    <w:rsid w:val="00856DDD"/>
    <w:rsid w:val="008601FA"/>
    <w:rsid w:val="00863E68"/>
    <w:rsid w:val="00875EB6"/>
    <w:rsid w:val="00882085"/>
    <w:rsid w:val="00883188"/>
    <w:rsid w:val="008947F7"/>
    <w:rsid w:val="00897D58"/>
    <w:rsid w:val="008A1956"/>
    <w:rsid w:val="008A4937"/>
    <w:rsid w:val="008A4D48"/>
    <w:rsid w:val="008B47C1"/>
    <w:rsid w:val="008C5BFC"/>
    <w:rsid w:val="008D0827"/>
    <w:rsid w:val="008D3C82"/>
    <w:rsid w:val="008D447E"/>
    <w:rsid w:val="008D7A41"/>
    <w:rsid w:val="008E3680"/>
    <w:rsid w:val="008E5870"/>
    <w:rsid w:val="008F1434"/>
    <w:rsid w:val="008F3B3F"/>
    <w:rsid w:val="008F7355"/>
    <w:rsid w:val="00905161"/>
    <w:rsid w:val="009067B7"/>
    <w:rsid w:val="0091234E"/>
    <w:rsid w:val="00930937"/>
    <w:rsid w:val="00933E6C"/>
    <w:rsid w:val="00937572"/>
    <w:rsid w:val="00942160"/>
    <w:rsid w:val="009602C5"/>
    <w:rsid w:val="00963F58"/>
    <w:rsid w:val="00974C21"/>
    <w:rsid w:val="00975381"/>
    <w:rsid w:val="009A2122"/>
    <w:rsid w:val="009A4958"/>
    <w:rsid w:val="009B0F67"/>
    <w:rsid w:val="009C703C"/>
    <w:rsid w:val="009D3CAA"/>
    <w:rsid w:val="009F4E46"/>
    <w:rsid w:val="009F5B65"/>
    <w:rsid w:val="009F5F2E"/>
    <w:rsid w:val="009F6BA2"/>
    <w:rsid w:val="00A04A41"/>
    <w:rsid w:val="00A06225"/>
    <w:rsid w:val="00A11346"/>
    <w:rsid w:val="00A128E6"/>
    <w:rsid w:val="00A37C8D"/>
    <w:rsid w:val="00A40DD7"/>
    <w:rsid w:val="00A5273B"/>
    <w:rsid w:val="00A53A9D"/>
    <w:rsid w:val="00A55FEE"/>
    <w:rsid w:val="00A62C1A"/>
    <w:rsid w:val="00A6426D"/>
    <w:rsid w:val="00A70622"/>
    <w:rsid w:val="00A70977"/>
    <w:rsid w:val="00A7674F"/>
    <w:rsid w:val="00A8390C"/>
    <w:rsid w:val="00A928BD"/>
    <w:rsid w:val="00AA4D1C"/>
    <w:rsid w:val="00AC5206"/>
    <w:rsid w:val="00AE11A5"/>
    <w:rsid w:val="00AE13E2"/>
    <w:rsid w:val="00AE38FB"/>
    <w:rsid w:val="00AE57BF"/>
    <w:rsid w:val="00AF3BF4"/>
    <w:rsid w:val="00AF68CC"/>
    <w:rsid w:val="00B205AA"/>
    <w:rsid w:val="00B22E84"/>
    <w:rsid w:val="00B25F75"/>
    <w:rsid w:val="00B33BE7"/>
    <w:rsid w:val="00B43E90"/>
    <w:rsid w:val="00B50D55"/>
    <w:rsid w:val="00B56118"/>
    <w:rsid w:val="00B6773F"/>
    <w:rsid w:val="00B730A7"/>
    <w:rsid w:val="00B801BA"/>
    <w:rsid w:val="00B86F2D"/>
    <w:rsid w:val="00B96C10"/>
    <w:rsid w:val="00BA11E3"/>
    <w:rsid w:val="00BB69F5"/>
    <w:rsid w:val="00BB7EC3"/>
    <w:rsid w:val="00BC1338"/>
    <w:rsid w:val="00BC4B9A"/>
    <w:rsid w:val="00BC75FF"/>
    <w:rsid w:val="00BD784C"/>
    <w:rsid w:val="00BF4CB6"/>
    <w:rsid w:val="00C00DA7"/>
    <w:rsid w:val="00C12768"/>
    <w:rsid w:val="00C27B58"/>
    <w:rsid w:val="00C35996"/>
    <w:rsid w:val="00C414E3"/>
    <w:rsid w:val="00C43F03"/>
    <w:rsid w:val="00C5342C"/>
    <w:rsid w:val="00C6256A"/>
    <w:rsid w:val="00C64E95"/>
    <w:rsid w:val="00C72DD2"/>
    <w:rsid w:val="00C739AB"/>
    <w:rsid w:val="00C91449"/>
    <w:rsid w:val="00C92D10"/>
    <w:rsid w:val="00CB43BB"/>
    <w:rsid w:val="00CE10C4"/>
    <w:rsid w:val="00CE27B5"/>
    <w:rsid w:val="00D0321E"/>
    <w:rsid w:val="00D1455A"/>
    <w:rsid w:val="00D16BA4"/>
    <w:rsid w:val="00D3280C"/>
    <w:rsid w:val="00D3406A"/>
    <w:rsid w:val="00D469B2"/>
    <w:rsid w:val="00D558C9"/>
    <w:rsid w:val="00D741EB"/>
    <w:rsid w:val="00D80F29"/>
    <w:rsid w:val="00D84934"/>
    <w:rsid w:val="00D91271"/>
    <w:rsid w:val="00DA2CB5"/>
    <w:rsid w:val="00DA4BAC"/>
    <w:rsid w:val="00DB2CAB"/>
    <w:rsid w:val="00DE6D27"/>
    <w:rsid w:val="00DF217D"/>
    <w:rsid w:val="00DF26A7"/>
    <w:rsid w:val="00E05CE6"/>
    <w:rsid w:val="00E164B3"/>
    <w:rsid w:val="00E16910"/>
    <w:rsid w:val="00E65E54"/>
    <w:rsid w:val="00E80155"/>
    <w:rsid w:val="00E848C0"/>
    <w:rsid w:val="00E85BF0"/>
    <w:rsid w:val="00E91B96"/>
    <w:rsid w:val="00E941A1"/>
    <w:rsid w:val="00E95CE3"/>
    <w:rsid w:val="00EA102F"/>
    <w:rsid w:val="00EA2825"/>
    <w:rsid w:val="00EA35D6"/>
    <w:rsid w:val="00EB5088"/>
    <w:rsid w:val="00ED1644"/>
    <w:rsid w:val="00ED40FC"/>
    <w:rsid w:val="00EF44A0"/>
    <w:rsid w:val="00EF4FED"/>
    <w:rsid w:val="00F050BD"/>
    <w:rsid w:val="00F05657"/>
    <w:rsid w:val="00F11EE8"/>
    <w:rsid w:val="00F20171"/>
    <w:rsid w:val="00F25578"/>
    <w:rsid w:val="00F258E5"/>
    <w:rsid w:val="00F300BC"/>
    <w:rsid w:val="00F3334E"/>
    <w:rsid w:val="00F50EC4"/>
    <w:rsid w:val="00F57A6D"/>
    <w:rsid w:val="00F638CC"/>
    <w:rsid w:val="00F64128"/>
    <w:rsid w:val="00F64CC1"/>
    <w:rsid w:val="00F770C4"/>
    <w:rsid w:val="00F8247A"/>
    <w:rsid w:val="00F93218"/>
    <w:rsid w:val="00F9629A"/>
    <w:rsid w:val="00FA5883"/>
    <w:rsid w:val="00FA6055"/>
    <w:rsid w:val="00FB322F"/>
    <w:rsid w:val="00FB442F"/>
    <w:rsid w:val="00FC1929"/>
    <w:rsid w:val="00FC5B46"/>
    <w:rsid w:val="00FD43EB"/>
    <w:rsid w:val="00FF00BD"/>
    <w:rsid w:val="00FF1ED4"/>
    <w:rsid w:val="00FF2801"/>
    <w:rsid w:val="00FF7FF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0D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34"/>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paragraph" w:customStyle="1" w:styleId="TableFooter">
    <w:name w:val="Table Footer"/>
    <w:basedOn w:val="Normal"/>
    <w:qFormat/>
    <w:rsid w:val="00F20171"/>
    <w:pPr>
      <w:widowControl w:val="0"/>
      <w:jc w:val="both"/>
    </w:pPr>
    <w:rPr>
      <w:rFonts w:ascii="Arial Narrow" w:hAnsi="Arial Narrow" w:cs="Arial"/>
      <w:snapToGrid w:val="0"/>
      <w:sz w:val="1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34"/>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paragraph" w:customStyle="1" w:styleId="TableFooter">
    <w:name w:val="Table Footer"/>
    <w:basedOn w:val="Normal"/>
    <w:qFormat/>
    <w:rsid w:val="00F20171"/>
    <w:pPr>
      <w:widowControl w:val="0"/>
      <w:jc w:val="both"/>
    </w:pPr>
    <w:rPr>
      <w:rFonts w:ascii="Arial Narrow" w:hAnsi="Arial Narrow" w:cs="Arial"/>
      <w:snapToGrid w:val="0"/>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2015-10-23T03:35:00Z</dcterms:created>
  <dcterms:modified xsi:type="dcterms:W3CDTF">2015-10-23T03:36:00Z</dcterms:modified>
</cp:coreProperties>
</file>