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74" w:rsidRDefault="00CD4074" w:rsidP="007453E6">
      <w:pPr>
        <w:pStyle w:val="Heading1"/>
      </w:pPr>
      <w:bookmarkStart w:id="0" w:name="_GoBack"/>
      <w:bookmarkEnd w:id="0"/>
      <w:r>
        <w:t>5.16</w:t>
      </w:r>
      <w:r w:rsidRPr="006D6EC7">
        <w:tab/>
      </w:r>
      <w:r>
        <w:t>LEUPRORELIN ACETATE</w:t>
      </w:r>
    </w:p>
    <w:p w:rsidR="00CD4074" w:rsidRDefault="00A74B8B" w:rsidP="007453E6">
      <w:pPr>
        <w:ind w:left="720"/>
        <w:rPr>
          <w:rFonts w:ascii="Arial" w:hAnsi="Arial"/>
          <w:b/>
          <w:sz w:val="28"/>
          <w:szCs w:val="28"/>
        </w:rPr>
      </w:pPr>
      <w:r w:rsidRPr="00A74B8B">
        <w:rPr>
          <w:rFonts w:ascii="Arial" w:hAnsi="Arial"/>
          <w:b/>
          <w:sz w:val="28"/>
          <w:szCs w:val="28"/>
        </w:rPr>
        <w:t>45 mg injection: modified release [1 x 45 mg syringe] (&amp;) inert substan</w:t>
      </w:r>
      <w:r w:rsidR="0082666A">
        <w:rPr>
          <w:rFonts w:ascii="Arial" w:hAnsi="Arial"/>
          <w:b/>
          <w:sz w:val="28"/>
          <w:szCs w:val="28"/>
        </w:rPr>
        <w:t>ce diluent [1 x 2 mL syringe]</w:t>
      </w:r>
    </w:p>
    <w:p w:rsidR="00CD4074" w:rsidRPr="006D6EC7" w:rsidRDefault="00CD4074" w:rsidP="007453E6">
      <w:pPr>
        <w:ind w:left="720"/>
        <w:rPr>
          <w:rFonts w:ascii="Arial" w:hAnsi="Arial"/>
          <w:b/>
          <w:sz w:val="28"/>
          <w:szCs w:val="28"/>
        </w:rPr>
      </w:pPr>
      <w:r>
        <w:rPr>
          <w:rFonts w:ascii="Arial" w:hAnsi="Arial"/>
          <w:b/>
          <w:sz w:val="28"/>
          <w:szCs w:val="28"/>
        </w:rPr>
        <w:t>Lucrin Depot 6 month PDS</w:t>
      </w:r>
      <w:r w:rsidRPr="006D6EC7">
        <w:rPr>
          <w:rFonts w:ascii="Arial" w:hAnsi="Arial"/>
          <w:b/>
          <w:sz w:val="28"/>
          <w:szCs w:val="28"/>
          <w:vertAlign w:val="superscript"/>
        </w:rPr>
        <w:t>®</w:t>
      </w:r>
      <w:r>
        <w:rPr>
          <w:rFonts w:ascii="Arial" w:hAnsi="Arial"/>
          <w:b/>
          <w:sz w:val="28"/>
          <w:szCs w:val="28"/>
        </w:rPr>
        <w:t>, AbbVie Pty Ltd</w:t>
      </w:r>
    </w:p>
    <w:p w:rsidR="00CD4074" w:rsidRDefault="00CD4074" w:rsidP="007453E6">
      <w:pPr>
        <w:pStyle w:val="NoSpacing"/>
      </w:pPr>
    </w:p>
    <w:p w:rsidR="00CD4074" w:rsidRPr="00882085" w:rsidRDefault="00CD4074" w:rsidP="007453E6">
      <w:pPr>
        <w:pStyle w:val="minorovrheadings"/>
        <w:rPr>
          <w:b/>
        </w:rPr>
      </w:pPr>
      <w:r w:rsidRPr="00882085">
        <w:rPr>
          <w:b/>
        </w:rPr>
        <w:t>Purpose of Application</w:t>
      </w:r>
    </w:p>
    <w:p w:rsidR="00CD4074" w:rsidRPr="00882085" w:rsidRDefault="00CD4074" w:rsidP="007453E6">
      <w:pPr>
        <w:jc w:val="both"/>
        <w:rPr>
          <w:rFonts w:ascii="Arial" w:hAnsi="Arial"/>
          <w:sz w:val="22"/>
          <w:szCs w:val="22"/>
        </w:rPr>
      </w:pPr>
    </w:p>
    <w:p w:rsidR="007D060A" w:rsidRPr="00C27B58" w:rsidRDefault="00CD4074" w:rsidP="007453E6">
      <w:pPr>
        <w:pStyle w:val="ListParagraph"/>
        <w:numPr>
          <w:ilvl w:val="1"/>
          <w:numId w:val="2"/>
        </w:numPr>
        <w:jc w:val="both"/>
      </w:pPr>
      <w:r>
        <w:rPr>
          <w:rFonts w:ascii="Arial" w:hAnsi="Arial"/>
          <w:sz w:val="22"/>
          <w:szCs w:val="22"/>
        </w:rPr>
        <w:t xml:space="preserve">The minor submission sought the listing of an additional strength of leuprorelin acetate modified release to be administered via intramuscular injection for the treatment of locally advanced (equivalent to stage C) or metastatic (equivalent to stage D) carcinoma of the prostate. </w:t>
      </w:r>
    </w:p>
    <w:p w:rsidR="00CD4074" w:rsidRPr="00882085" w:rsidRDefault="00CD4074" w:rsidP="007453E6">
      <w:pPr>
        <w:pStyle w:val="minorovrheadings"/>
        <w:rPr>
          <w:b/>
        </w:rPr>
      </w:pPr>
      <w:r w:rsidRPr="00882085">
        <w:rPr>
          <w:b/>
        </w:rPr>
        <w:t>Requested listing</w:t>
      </w:r>
    </w:p>
    <w:p w:rsidR="00CD4074" w:rsidRPr="00882085" w:rsidRDefault="00CD4074" w:rsidP="007453E6">
      <w:pPr>
        <w:jc w:val="both"/>
        <w:rPr>
          <w:rFonts w:ascii="Arial" w:hAnsi="Arial"/>
          <w:b/>
          <w:sz w:val="22"/>
          <w:szCs w:val="22"/>
        </w:rPr>
      </w:pPr>
    </w:p>
    <w:p w:rsidR="00CD4074" w:rsidRDefault="00CD4074" w:rsidP="007453E6">
      <w:pPr>
        <w:pStyle w:val="ListParagraph"/>
        <w:numPr>
          <w:ilvl w:val="1"/>
          <w:numId w:val="2"/>
        </w:numPr>
        <w:jc w:val="both"/>
        <w:rPr>
          <w:rFonts w:ascii="Arial" w:hAnsi="Arial"/>
          <w:sz w:val="22"/>
          <w:szCs w:val="22"/>
        </w:rPr>
      </w:pPr>
      <w:r>
        <w:rPr>
          <w:rFonts w:ascii="Arial" w:hAnsi="Arial"/>
          <w:sz w:val="22"/>
          <w:szCs w:val="22"/>
        </w:rPr>
        <w:t xml:space="preserve">The submission </w:t>
      </w:r>
      <w:r w:rsidR="001F6A2A">
        <w:rPr>
          <w:rFonts w:ascii="Arial" w:hAnsi="Arial"/>
          <w:sz w:val="22"/>
          <w:szCs w:val="22"/>
        </w:rPr>
        <w:t>requested the</w:t>
      </w:r>
      <w:r>
        <w:rPr>
          <w:rFonts w:ascii="Arial" w:hAnsi="Arial"/>
          <w:sz w:val="22"/>
          <w:szCs w:val="22"/>
        </w:rPr>
        <w:t xml:space="preserve"> listing </w:t>
      </w:r>
      <w:r w:rsidR="001F6A2A">
        <w:rPr>
          <w:rFonts w:ascii="Arial" w:hAnsi="Arial"/>
          <w:sz w:val="22"/>
          <w:szCs w:val="22"/>
        </w:rPr>
        <w:t>of the 45 mg</w:t>
      </w:r>
      <w:r>
        <w:rPr>
          <w:rFonts w:ascii="Arial" w:hAnsi="Arial"/>
          <w:sz w:val="22"/>
          <w:szCs w:val="22"/>
        </w:rPr>
        <w:t xml:space="preserve"> strength of leuprorelin acetate</w:t>
      </w:r>
      <w:r w:rsidR="001F6A2A">
        <w:rPr>
          <w:rFonts w:ascii="Arial" w:hAnsi="Arial"/>
          <w:sz w:val="22"/>
          <w:szCs w:val="22"/>
        </w:rPr>
        <w:t xml:space="preserve"> </w:t>
      </w:r>
      <w:r w:rsidR="007D4F78">
        <w:rPr>
          <w:rFonts w:ascii="Arial" w:hAnsi="Arial"/>
          <w:sz w:val="22"/>
          <w:szCs w:val="22"/>
        </w:rPr>
        <w:t>intramuscular formulation.</w:t>
      </w:r>
      <w:r>
        <w:rPr>
          <w:rFonts w:ascii="Arial" w:hAnsi="Arial"/>
          <w:sz w:val="22"/>
          <w:szCs w:val="22"/>
        </w:rPr>
        <w:t xml:space="preserve"> </w:t>
      </w:r>
      <w:r w:rsidR="001F6A2A">
        <w:rPr>
          <w:rFonts w:ascii="Arial" w:hAnsi="Arial"/>
          <w:sz w:val="22"/>
          <w:szCs w:val="22"/>
        </w:rPr>
        <w:t>The submission requested the same restriction</w:t>
      </w:r>
      <w:r w:rsidR="00AD2D09">
        <w:rPr>
          <w:rFonts w:ascii="Arial" w:hAnsi="Arial"/>
          <w:sz w:val="22"/>
          <w:szCs w:val="22"/>
        </w:rPr>
        <w:t xml:space="preserve"> for the new strength</w:t>
      </w:r>
      <w:r w:rsidR="001F6A2A">
        <w:rPr>
          <w:rFonts w:ascii="Arial" w:hAnsi="Arial"/>
          <w:sz w:val="22"/>
          <w:szCs w:val="22"/>
        </w:rPr>
        <w:t xml:space="preserve"> as </w:t>
      </w:r>
      <w:r w:rsidR="00AD2D09">
        <w:rPr>
          <w:rFonts w:ascii="Arial" w:hAnsi="Arial"/>
          <w:sz w:val="22"/>
          <w:szCs w:val="22"/>
        </w:rPr>
        <w:t xml:space="preserve">for </w:t>
      </w:r>
      <w:r w:rsidR="001F6A2A">
        <w:rPr>
          <w:rFonts w:ascii="Arial" w:hAnsi="Arial"/>
          <w:sz w:val="22"/>
          <w:szCs w:val="22"/>
        </w:rPr>
        <w:t xml:space="preserve">the currently listed strengths </w:t>
      </w:r>
      <w:r w:rsidR="007D4F78">
        <w:rPr>
          <w:rFonts w:ascii="Arial" w:hAnsi="Arial"/>
          <w:sz w:val="22"/>
          <w:szCs w:val="22"/>
        </w:rPr>
        <w:t xml:space="preserve">of the intramuscular formulation: </w:t>
      </w:r>
      <w:r w:rsidR="00751D78">
        <w:rPr>
          <w:rFonts w:ascii="Arial" w:hAnsi="Arial"/>
          <w:sz w:val="22"/>
          <w:szCs w:val="22"/>
        </w:rPr>
        <w:t>7.5 mg, 22.5 mg and 30 mg.</w:t>
      </w:r>
    </w:p>
    <w:p w:rsidR="007D060A" w:rsidRDefault="007D060A" w:rsidP="007453E6">
      <w:pPr>
        <w:pStyle w:val="ListParagraph"/>
        <w:jc w:val="both"/>
        <w:rPr>
          <w:rFonts w:ascii="Arial" w:hAnsi="Arial"/>
          <w:sz w:val="22"/>
          <w:szCs w:val="22"/>
        </w:rPr>
      </w:pPr>
    </w:p>
    <w:p w:rsidR="007D060A" w:rsidRPr="007D060A" w:rsidRDefault="007D060A" w:rsidP="007453E6">
      <w:pPr>
        <w:pStyle w:val="ListParagraph"/>
        <w:ind w:left="709"/>
        <w:jc w:val="both"/>
        <w:rPr>
          <w:rFonts w:ascii="Arial" w:hAnsi="Arial"/>
          <w:i/>
          <w:sz w:val="22"/>
          <w:szCs w:val="22"/>
        </w:rPr>
      </w:pPr>
      <w:r w:rsidRPr="00A81FBA">
        <w:rPr>
          <w:rFonts w:ascii="Arial" w:hAnsi="Arial"/>
          <w:i/>
          <w:sz w:val="22"/>
          <w:szCs w:val="22"/>
        </w:rPr>
        <w:t>For more detail on PBAC’s view, see section 6 “PBAC outcome”</w:t>
      </w:r>
    </w:p>
    <w:p w:rsidR="00CD4074" w:rsidRPr="00882085" w:rsidRDefault="00CD4074" w:rsidP="007453E6">
      <w:pPr>
        <w:pStyle w:val="minorovrheadings"/>
      </w:pPr>
      <w:r w:rsidRPr="00882085">
        <w:rPr>
          <w:b/>
        </w:rPr>
        <w:t>Background</w:t>
      </w:r>
    </w:p>
    <w:p w:rsidR="00CD4074" w:rsidRPr="00882085" w:rsidRDefault="00CD4074" w:rsidP="007453E6">
      <w:pPr>
        <w:jc w:val="both"/>
        <w:rPr>
          <w:rFonts w:ascii="Arial" w:hAnsi="Arial"/>
          <w:sz w:val="22"/>
          <w:szCs w:val="22"/>
        </w:rPr>
      </w:pPr>
    </w:p>
    <w:p w:rsidR="00467443" w:rsidRPr="00714083" w:rsidRDefault="00714083" w:rsidP="007453E6">
      <w:pPr>
        <w:pStyle w:val="ListParagraph"/>
        <w:numPr>
          <w:ilvl w:val="1"/>
          <w:numId w:val="2"/>
        </w:numPr>
        <w:jc w:val="both"/>
        <w:rPr>
          <w:rFonts w:ascii="Arial" w:hAnsi="Arial"/>
          <w:sz w:val="22"/>
          <w:szCs w:val="22"/>
        </w:rPr>
      </w:pPr>
      <w:r>
        <w:rPr>
          <w:rFonts w:ascii="Arial" w:hAnsi="Arial"/>
          <w:sz w:val="22"/>
          <w:szCs w:val="22"/>
        </w:rPr>
        <w:t>Leuprorelin is currently listed on the PBS for the treatment of l</w:t>
      </w:r>
      <w:r w:rsidRPr="00714083">
        <w:rPr>
          <w:rFonts w:ascii="Arial" w:hAnsi="Arial"/>
          <w:sz w:val="22"/>
          <w:szCs w:val="22"/>
        </w:rPr>
        <w:t>ocally advanced (equivalent to stage C) or metastatic (equivalent to stage D) carcinoma of the prostate</w:t>
      </w:r>
      <w:r w:rsidR="00467443" w:rsidRPr="00714083">
        <w:rPr>
          <w:rFonts w:ascii="Arial" w:hAnsi="Arial"/>
          <w:sz w:val="22"/>
          <w:szCs w:val="22"/>
        </w:rPr>
        <w:t xml:space="preserve"> </w:t>
      </w:r>
      <w:r>
        <w:rPr>
          <w:rFonts w:ascii="Arial" w:hAnsi="Arial"/>
          <w:sz w:val="22"/>
          <w:szCs w:val="22"/>
        </w:rPr>
        <w:t xml:space="preserve">in two forms: a subcutaneous injection and an intramuscular injection. There are </w:t>
      </w:r>
      <w:r w:rsidR="00CB26EF">
        <w:rPr>
          <w:rFonts w:ascii="Arial" w:hAnsi="Arial"/>
          <w:sz w:val="22"/>
          <w:szCs w:val="22"/>
        </w:rPr>
        <w:t>four</w:t>
      </w:r>
      <w:r>
        <w:rPr>
          <w:rFonts w:ascii="Arial" w:hAnsi="Arial"/>
          <w:sz w:val="22"/>
          <w:szCs w:val="22"/>
        </w:rPr>
        <w:t xml:space="preserve"> strengths listed for the </w:t>
      </w:r>
      <w:r w:rsidR="006F7E61">
        <w:rPr>
          <w:rFonts w:ascii="Arial" w:hAnsi="Arial"/>
          <w:sz w:val="22"/>
          <w:szCs w:val="22"/>
        </w:rPr>
        <w:t>subcutaneous injection: 7.5 mg, 22.5 mg, 30 mg and 45</w:t>
      </w:r>
      <w:r w:rsidR="00CB26EF">
        <w:rPr>
          <w:rFonts w:ascii="Arial" w:hAnsi="Arial"/>
          <w:sz w:val="22"/>
          <w:szCs w:val="22"/>
        </w:rPr>
        <w:t> </w:t>
      </w:r>
      <w:r w:rsidR="006F7E61">
        <w:rPr>
          <w:rFonts w:ascii="Arial" w:hAnsi="Arial"/>
          <w:sz w:val="22"/>
          <w:szCs w:val="22"/>
        </w:rPr>
        <w:t xml:space="preserve">mg. There are </w:t>
      </w:r>
      <w:r w:rsidR="00CB26EF">
        <w:rPr>
          <w:rFonts w:ascii="Arial" w:hAnsi="Arial"/>
          <w:sz w:val="22"/>
          <w:szCs w:val="22"/>
        </w:rPr>
        <w:t>three</w:t>
      </w:r>
      <w:r w:rsidR="006F7E61">
        <w:rPr>
          <w:rFonts w:ascii="Arial" w:hAnsi="Arial"/>
          <w:sz w:val="22"/>
          <w:szCs w:val="22"/>
        </w:rPr>
        <w:t xml:space="preserve"> strengths listed for the intramuscular injection: 7.5 mg, 22.5</w:t>
      </w:r>
      <w:r w:rsidR="00CB26EF">
        <w:rPr>
          <w:rFonts w:ascii="Arial" w:hAnsi="Arial"/>
          <w:sz w:val="22"/>
          <w:szCs w:val="22"/>
        </w:rPr>
        <w:t> </w:t>
      </w:r>
      <w:r w:rsidR="006F7E61">
        <w:rPr>
          <w:rFonts w:ascii="Arial" w:hAnsi="Arial"/>
          <w:sz w:val="22"/>
          <w:szCs w:val="22"/>
        </w:rPr>
        <w:t>mg and 30 mg.</w:t>
      </w:r>
    </w:p>
    <w:p w:rsidR="00467443" w:rsidRPr="00467443" w:rsidRDefault="00467443" w:rsidP="007453E6">
      <w:pPr>
        <w:pStyle w:val="ListParagraph"/>
        <w:jc w:val="both"/>
        <w:rPr>
          <w:rFonts w:ascii="Arial" w:hAnsi="Arial"/>
          <w:i/>
          <w:sz w:val="22"/>
          <w:szCs w:val="22"/>
        </w:rPr>
      </w:pPr>
      <w:r>
        <w:rPr>
          <w:rFonts w:ascii="Arial" w:hAnsi="Arial"/>
          <w:sz w:val="22"/>
          <w:szCs w:val="22"/>
        </w:rPr>
        <w:t xml:space="preserve"> </w:t>
      </w:r>
    </w:p>
    <w:p w:rsidR="00CD4074" w:rsidRPr="00476245" w:rsidRDefault="009572EE" w:rsidP="007453E6">
      <w:pPr>
        <w:pStyle w:val="ListParagraph"/>
        <w:numPr>
          <w:ilvl w:val="1"/>
          <w:numId w:val="2"/>
        </w:numPr>
        <w:jc w:val="both"/>
        <w:rPr>
          <w:rFonts w:ascii="Arial" w:hAnsi="Arial"/>
          <w:i/>
          <w:sz w:val="22"/>
          <w:szCs w:val="22"/>
        </w:rPr>
      </w:pPr>
      <w:r>
        <w:rPr>
          <w:rFonts w:ascii="Arial" w:hAnsi="Arial"/>
          <w:sz w:val="22"/>
          <w:szCs w:val="22"/>
        </w:rPr>
        <w:t xml:space="preserve">The </w:t>
      </w:r>
      <w:r w:rsidR="00714083">
        <w:rPr>
          <w:rFonts w:ascii="Arial" w:hAnsi="Arial"/>
          <w:sz w:val="22"/>
          <w:szCs w:val="22"/>
        </w:rPr>
        <w:t xml:space="preserve">requested </w:t>
      </w:r>
      <w:r>
        <w:rPr>
          <w:rFonts w:ascii="Arial" w:hAnsi="Arial"/>
          <w:sz w:val="22"/>
          <w:szCs w:val="22"/>
        </w:rPr>
        <w:t xml:space="preserve">45 mg strength </w:t>
      </w:r>
      <w:r w:rsidR="00714083">
        <w:rPr>
          <w:rFonts w:ascii="Arial" w:hAnsi="Arial"/>
          <w:sz w:val="22"/>
          <w:szCs w:val="22"/>
        </w:rPr>
        <w:t>of leuprorelin (intramuscular injection</w:t>
      </w:r>
      <w:r>
        <w:rPr>
          <w:rFonts w:ascii="Arial" w:hAnsi="Arial"/>
          <w:sz w:val="22"/>
          <w:szCs w:val="22"/>
        </w:rPr>
        <w:t xml:space="preserve">) was TGA registered on 5 May 2015 for the </w:t>
      </w:r>
      <w:r w:rsidRPr="009572EE">
        <w:rPr>
          <w:rFonts w:ascii="Arial" w:hAnsi="Arial"/>
          <w:sz w:val="22"/>
          <w:szCs w:val="22"/>
        </w:rPr>
        <w:t>palliative treatment of metastatic or locally advanced prostate cancer.</w:t>
      </w:r>
    </w:p>
    <w:p w:rsidR="00CD4074" w:rsidRPr="00882085" w:rsidRDefault="00CD4074" w:rsidP="007453E6">
      <w:pPr>
        <w:pStyle w:val="ListParagraph"/>
        <w:jc w:val="both"/>
        <w:rPr>
          <w:rFonts w:ascii="Arial" w:hAnsi="Arial"/>
          <w:sz w:val="22"/>
          <w:szCs w:val="22"/>
        </w:rPr>
      </w:pPr>
    </w:p>
    <w:p w:rsidR="00CD4074" w:rsidRDefault="009572EE" w:rsidP="007453E6">
      <w:pPr>
        <w:pStyle w:val="ListParagraph"/>
        <w:numPr>
          <w:ilvl w:val="1"/>
          <w:numId w:val="2"/>
        </w:numPr>
        <w:jc w:val="both"/>
        <w:rPr>
          <w:rFonts w:ascii="Arial" w:hAnsi="Arial"/>
          <w:sz w:val="22"/>
          <w:szCs w:val="22"/>
        </w:rPr>
      </w:pPr>
      <w:r>
        <w:rPr>
          <w:rFonts w:ascii="Arial" w:hAnsi="Arial"/>
          <w:sz w:val="22"/>
          <w:szCs w:val="22"/>
        </w:rPr>
        <w:t>The 45 mg strength has</w:t>
      </w:r>
      <w:r w:rsidR="00CD4074" w:rsidRPr="00882085">
        <w:rPr>
          <w:rFonts w:ascii="Arial" w:hAnsi="Arial"/>
          <w:sz w:val="22"/>
          <w:szCs w:val="22"/>
        </w:rPr>
        <w:t xml:space="preserve"> not </w:t>
      </w:r>
      <w:r w:rsidR="007D4F78">
        <w:rPr>
          <w:rFonts w:ascii="Arial" w:hAnsi="Arial"/>
          <w:sz w:val="22"/>
          <w:szCs w:val="22"/>
        </w:rPr>
        <w:t xml:space="preserve">previously been </w:t>
      </w:r>
      <w:r w:rsidR="00CD4074" w:rsidRPr="00882085">
        <w:rPr>
          <w:rFonts w:ascii="Arial" w:hAnsi="Arial"/>
          <w:sz w:val="22"/>
          <w:szCs w:val="22"/>
        </w:rPr>
        <w:t>considered by PBAC</w:t>
      </w:r>
      <w:r w:rsidR="007D4F78">
        <w:rPr>
          <w:rFonts w:ascii="Arial" w:hAnsi="Arial"/>
          <w:sz w:val="22"/>
          <w:szCs w:val="22"/>
        </w:rPr>
        <w:t>.</w:t>
      </w:r>
    </w:p>
    <w:p w:rsidR="00CD4074" w:rsidRPr="00882085" w:rsidRDefault="00CD4074" w:rsidP="007453E6">
      <w:pPr>
        <w:pStyle w:val="minorovrheadings"/>
        <w:rPr>
          <w:b/>
        </w:rPr>
      </w:pPr>
      <w:r w:rsidRPr="00882085">
        <w:rPr>
          <w:b/>
        </w:rPr>
        <w:t>Clinical place for the proposed therapy</w:t>
      </w:r>
    </w:p>
    <w:p w:rsidR="00CD4074" w:rsidRPr="006F7E61" w:rsidRDefault="00CD4074" w:rsidP="007453E6">
      <w:pPr>
        <w:jc w:val="both"/>
        <w:rPr>
          <w:rFonts w:ascii="Arial" w:hAnsi="Arial"/>
          <w:sz w:val="22"/>
          <w:szCs w:val="22"/>
        </w:rPr>
      </w:pPr>
    </w:p>
    <w:p w:rsidR="0027798A" w:rsidRPr="00765F39" w:rsidRDefault="009572EE" w:rsidP="007453E6">
      <w:pPr>
        <w:pStyle w:val="ListParagraph"/>
        <w:numPr>
          <w:ilvl w:val="1"/>
          <w:numId w:val="2"/>
        </w:numPr>
        <w:jc w:val="both"/>
        <w:rPr>
          <w:rFonts w:ascii="Arial" w:hAnsi="Arial"/>
          <w:sz w:val="22"/>
          <w:szCs w:val="22"/>
        </w:rPr>
      </w:pPr>
      <w:r>
        <w:rPr>
          <w:rFonts w:ascii="Arial" w:hAnsi="Arial"/>
          <w:sz w:val="22"/>
          <w:szCs w:val="22"/>
        </w:rPr>
        <w:t xml:space="preserve">The submission claimed that the introduction of the 45 mg strength </w:t>
      </w:r>
      <w:r w:rsidR="005F4194">
        <w:rPr>
          <w:rFonts w:ascii="Arial" w:hAnsi="Arial"/>
          <w:sz w:val="22"/>
          <w:szCs w:val="22"/>
        </w:rPr>
        <w:t>would provide 6</w:t>
      </w:r>
      <w:r w:rsidR="00CB26EF">
        <w:rPr>
          <w:rFonts w:ascii="Arial" w:hAnsi="Arial"/>
          <w:sz w:val="22"/>
          <w:szCs w:val="22"/>
        </w:rPr>
        <w:t> </w:t>
      </w:r>
      <w:r w:rsidR="005F4194">
        <w:rPr>
          <w:rFonts w:ascii="Arial" w:hAnsi="Arial"/>
          <w:sz w:val="22"/>
          <w:szCs w:val="22"/>
        </w:rPr>
        <w:t>months (24 weeks) of treatment and</w:t>
      </w:r>
      <w:r w:rsidR="006F7E61">
        <w:rPr>
          <w:rFonts w:ascii="Arial" w:hAnsi="Arial"/>
          <w:sz w:val="22"/>
          <w:szCs w:val="22"/>
        </w:rPr>
        <w:t xml:space="preserve"> </w:t>
      </w:r>
      <w:r w:rsidR="0027798A">
        <w:rPr>
          <w:rFonts w:ascii="Arial" w:hAnsi="Arial"/>
          <w:sz w:val="22"/>
          <w:szCs w:val="22"/>
        </w:rPr>
        <w:t>that it would allow for greater time between doses.</w:t>
      </w:r>
      <w:r w:rsidR="00765F39">
        <w:rPr>
          <w:rFonts w:ascii="Arial" w:hAnsi="Arial"/>
          <w:sz w:val="22"/>
          <w:szCs w:val="22"/>
        </w:rPr>
        <w:t xml:space="preserve"> </w:t>
      </w:r>
      <w:r w:rsidR="0027798A" w:rsidRPr="00765F39">
        <w:rPr>
          <w:rFonts w:ascii="Arial" w:hAnsi="Arial"/>
          <w:sz w:val="22"/>
          <w:szCs w:val="22"/>
        </w:rPr>
        <w:t>The submission also claimed that this would better align with the expected interval between clinical consultations.</w:t>
      </w:r>
      <w:r w:rsidR="00765F39" w:rsidRPr="00765F39">
        <w:rPr>
          <w:rFonts w:ascii="Arial" w:hAnsi="Arial"/>
          <w:sz w:val="22"/>
          <w:szCs w:val="22"/>
        </w:rPr>
        <w:t xml:space="preserve"> </w:t>
      </w:r>
    </w:p>
    <w:p w:rsidR="0027798A" w:rsidRPr="0027798A" w:rsidRDefault="0027798A" w:rsidP="007453E6">
      <w:pPr>
        <w:pStyle w:val="ListParagraph"/>
        <w:rPr>
          <w:rFonts w:ascii="Arial" w:hAnsi="Arial"/>
          <w:sz w:val="22"/>
          <w:szCs w:val="22"/>
        </w:rPr>
      </w:pPr>
    </w:p>
    <w:p w:rsidR="007D060A" w:rsidRPr="007D060A" w:rsidRDefault="0027798A" w:rsidP="007453E6">
      <w:pPr>
        <w:pStyle w:val="ListParagraph"/>
        <w:numPr>
          <w:ilvl w:val="1"/>
          <w:numId w:val="2"/>
        </w:numPr>
        <w:jc w:val="both"/>
        <w:rPr>
          <w:rFonts w:ascii="Arial" w:hAnsi="Arial"/>
          <w:sz w:val="22"/>
          <w:szCs w:val="22"/>
        </w:rPr>
      </w:pPr>
      <w:r>
        <w:rPr>
          <w:rFonts w:ascii="Arial" w:hAnsi="Arial"/>
          <w:sz w:val="22"/>
          <w:szCs w:val="22"/>
        </w:rPr>
        <w:t xml:space="preserve">The submission also </w:t>
      </w:r>
      <w:r w:rsidR="00765F39">
        <w:rPr>
          <w:rFonts w:ascii="Arial" w:hAnsi="Arial"/>
          <w:sz w:val="22"/>
          <w:szCs w:val="22"/>
        </w:rPr>
        <w:t>argued</w:t>
      </w:r>
      <w:r>
        <w:rPr>
          <w:rFonts w:ascii="Arial" w:hAnsi="Arial"/>
          <w:sz w:val="22"/>
          <w:szCs w:val="22"/>
        </w:rPr>
        <w:t xml:space="preserve"> that the new strength would</w:t>
      </w:r>
      <w:r w:rsidR="005F4194">
        <w:rPr>
          <w:rFonts w:ascii="Arial" w:hAnsi="Arial"/>
          <w:sz w:val="22"/>
          <w:szCs w:val="22"/>
        </w:rPr>
        <w:t xml:space="preserve"> provide patient and clinician choice in the route of administration </w:t>
      </w:r>
      <w:r w:rsidR="00193AEA">
        <w:rPr>
          <w:rFonts w:ascii="Arial" w:hAnsi="Arial"/>
          <w:sz w:val="22"/>
          <w:szCs w:val="22"/>
        </w:rPr>
        <w:t>(intramuscular or subcutaneous).</w:t>
      </w:r>
      <w:r w:rsidR="001B0F70">
        <w:rPr>
          <w:rFonts w:ascii="Arial" w:hAnsi="Arial"/>
          <w:sz w:val="22"/>
          <w:szCs w:val="22"/>
        </w:rPr>
        <w:t xml:space="preserve"> </w:t>
      </w:r>
    </w:p>
    <w:p w:rsidR="0035635D" w:rsidRPr="009C042C" w:rsidRDefault="007D060A" w:rsidP="007453E6">
      <w:pPr>
        <w:pStyle w:val="minorovrheadings"/>
        <w:numPr>
          <w:ilvl w:val="0"/>
          <w:numId w:val="0"/>
        </w:numPr>
        <w:ind w:left="720"/>
        <w:rPr>
          <w:i/>
        </w:rPr>
      </w:pPr>
      <w:r w:rsidRPr="009C042C">
        <w:rPr>
          <w:i/>
        </w:rPr>
        <w:lastRenderedPageBreak/>
        <w:t>For more detail on PBAC’s view, see section 6 “PBAC outcome”</w:t>
      </w:r>
    </w:p>
    <w:p w:rsidR="00CD4074" w:rsidRPr="00882085" w:rsidRDefault="00CD4074" w:rsidP="007453E6">
      <w:pPr>
        <w:pStyle w:val="minorovrheadings"/>
        <w:rPr>
          <w:b/>
        </w:rPr>
      </w:pPr>
      <w:r>
        <w:rPr>
          <w:b/>
        </w:rPr>
        <w:t>Consideration of the evidence</w:t>
      </w:r>
    </w:p>
    <w:p w:rsidR="00CD4074" w:rsidRDefault="00CD4074" w:rsidP="007453E6">
      <w:pPr>
        <w:jc w:val="both"/>
        <w:rPr>
          <w:rFonts w:ascii="Arial" w:hAnsi="Arial"/>
          <w:sz w:val="22"/>
          <w:szCs w:val="22"/>
        </w:rPr>
      </w:pPr>
    </w:p>
    <w:p w:rsidR="007D060A" w:rsidRPr="00AD32CF" w:rsidRDefault="007D060A" w:rsidP="007453E6">
      <w:pPr>
        <w:spacing w:after="200" w:line="276" w:lineRule="auto"/>
        <w:jc w:val="both"/>
        <w:rPr>
          <w:rFonts w:ascii="Arial" w:hAnsi="Arial" w:cs="Arial"/>
          <w:b/>
          <w:bCs/>
          <w:i/>
          <w:snapToGrid w:val="0"/>
          <w:sz w:val="22"/>
          <w:szCs w:val="22"/>
        </w:rPr>
      </w:pPr>
      <w:r w:rsidRPr="00AD32CF">
        <w:rPr>
          <w:rFonts w:ascii="Arial" w:hAnsi="Arial" w:cs="Arial"/>
          <w:b/>
          <w:bCs/>
          <w:i/>
          <w:snapToGrid w:val="0"/>
          <w:sz w:val="22"/>
          <w:szCs w:val="22"/>
        </w:rPr>
        <w:t>Sponsor hearing</w:t>
      </w:r>
    </w:p>
    <w:p w:rsidR="007D060A" w:rsidRPr="00AD32CF" w:rsidRDefault="007D060A" w:rsidP="007453E6">
      <w:pPr>
        <w:numPr>
          <w:ilvl w:val="1"/>
          <w:numId w:val="2"/>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7D060A" w:rsidRDefault="007D060A" w:rsidP="007453E6">
      <w:pPr>
        <w:jc w:val="both"/>
        <w:rPr>
          <w:rFonts w:ascii="Arial" w:hAnsi="Arial" w:cs="Arial"/>
          <w:bCs/>
          <w:snapToGrid w:val="0"/>
          <w:sz w:val="22"/>
          <w:szCs w:val="22"/>
        </w:rPr>
      </w:pPr>
    </w:p>
    <w:p w:rsidR="0035635D" w:rsidRPr="0035635D" w:rsidRDefault="0035635D" w:rsidP="007453E6">
      <w:pPr>
        <w:jc w:val="both"/>
        <w:rPr>
          <w:rFonts w:ascii="Arial" w:hAnsi="Arial" w:cs="Arial"/>
          <w:b/>
          <w:bCs/>
          <w:i/>
          <w:snapToGrid w:val="0"/>
          <w:sz w:val="22"/>
          <w:szCs w:val="22"/>
        </w:rPr>
      </w:pPr>
      <w:r>
        <w:rPr>
          <w:rFonts w:ascii="Arial" w:hAnsi="Arial" w:cs="Arial"/>
          <w:b/>
          <w:bCs/>
          <w:i/>
          <w:snapToGrid w:val="0"/>
          <w:sz w:val="22"/>
          <w:szCs w:val="22"/>
        </w:rPr>
        <w:t xml:space="preserve">Consumer comments </w:t>
      </w:r>
    </w:p>
    <w:p w:rsidR="0035635D" w:rsidRPr="00AD32CF" w:rsidRDefault="0035635D" w:rsidP="007453E6">
      <w:pPr>
        <w:jc w:val="both"/>
        <w:rPr>
          <w:rFonts w:ascii="Arial" w:hAnsi="Arial" w:cs="Arial"/>
          <w:bCs/>
          <w:snapToGrid w:val="0"/>
          <w:sz w:val="22"/>
          <w:szCs w:val="22"/>
        </w:rPr>
      </w:pPr>
    </w:p>
    <w:p w:rsidR="007D060A" w:rsidRPr="00AD32CF" w:rsidRDefault="007D060A" w:rsidP="007453E6">
      <w:pPr>
        <w:numPr>
          <w:ilvl w:val="1"/>
          <w:numId w:val="2"/>
        </w:numPr>
        <w:contextualSpacing/>
        <w:jc w:val="both"/>
        <w:rPr>
          <w:rFonts w:ascii="Arial" w:hAnsi="Arial" w:cs="Arial"/>
          <w:bCs/>
          <w:snapToGrid w:val="0"/>
          <w:sz w:val="22"/>
          <w:szCs w:val="22"/>
        </w:rPr>
      </w:pPr>
      <w:r w:rsidRPr="00AD32CF">
        <w:rPr>
          <w:rFonts w:ascii="Arial" w:hAnsi="Arial" w:cs="Arial"/>
          <w:bCs/>
          <w:snapToGrid w:val="0"/>
          <w:sz w:val="22"/>
          <w:szCs w:val="22"/>
        </w:rPr>
        <w:t>The PBAC noted that no consumer comments were received for this item.</w:t>
      </w:r>
    </w:p>
    <w:p w:rsidR="00CD4074" w:rsidRPr="00882085" w:rsidRDefault="00CD4074" w:rsidP="007453E6">
      <w:pPr>
        <w:pStyle w:val="minoroverviewsubheading"/>
      </w:pPr>
      <w:r>
        <w:t>Clinical trials</w:t>
      </w:r>
    </w:p>
    <w:p w:rsidR="00CD4074" w:rsidRPr="00F9629A" w:rsidRDefault="00CD4074" w:rsidP="007453E6">
      <w:pPr>
        <w:jc w:val="both"/>
        <w:rPr>
          <w:rFonts w:ascii="Arial" w:hAnsi="Arial"/>
          <w:sz w:val="22"/>
          <w:szCs w:val="22"/>
        </w:rPr>
      </w:pPr>
    </w:p>
    <w:p w:rsidR="00CD4074" w:rsidRDefault="005F4194" w:rsidP="007453E6">
      <w:pPr>
        <w:pStyle w:val="ListParagraph"/>
        <w:numPr>
          <w:ilvl w:val="1"/>
          <w:numId w:val="2"/>
        </w:numPr>
        <w:jc w:val="both"/>
        <w:rPr>
          <w:rFonts w:ascii="Arial" w:hAnsi="Arial"/>
          <w:sz w:val="22"/>
          <w:szCs w:val="22"/>
        </w:rPr>
      </w:pPr>
      <w:r>
        <w:rPr>
          <w:rFonts w:ascii="Arial" w:hAnsi="Arial"/>
          <w:sz w:val="22"/>
          <w:szCs w:val="22"/>
        </w:rPr>
        <w:t>The submission highlighted that the TGA registration was supported by an open label</w:t>
      </w:r>
      <w:r w:rsidR="00017F42">
        <w:rPr>
          <w:rFonts w:ascii="Arial" w:hAnsi="Arial"/>
          <w:sz w:val="22"/>
          <w:szCs w:val="22"/>
        </w:rPr>
        <w:t xml:space="preserve"> </w:t>
      </w:r>
      <w:r>
        <w:rPr>
          <w:rFonts w:ascii="Arial" w:hAnsi="Arial"/>
          <w:sz w:val="22"/>
          <w:szCs w:val="22"/>
        </w:rPr>
        <w:t>study</w:t>
      </w:r>
      <w:r w:rsidR="003E7338">
        <w:rPr>
          <w:rFonts w:ascii="Arial" w:hAnsi="Arial"/>
          <w:sz w:val="22"/>
          <w:szCs w:val="22"/>
        </w:rPr>
        <w:t xml:space="preserve"> (Spitz, 2012</w:t>
      </w:r>
      <w:r w:rsidR="009C042C">
        <w:rPr>
          <w:rFonts w:ascii="Arial" w:hAnsi="Arial"/>
          <w:sz w:val="22"/>
          <w:szCs w:val="22"/>
        </w:rPr>
        <w:t>)</w:t>
      </w:r>
      <w:r w:rsidR="004B482A">
        <w:rPr>
          <w:rFonts w:ascii="Arial" w:hAnsi="Arial"/>
          <w:sz w:val="22"/>
          <w:szCs w:val="22"/>
        </w:rPr>
        <w:t>, which</w:t>
      </w:r>
      <w:r w:rsidR="003E7338">
        <w:rPr>
          <w:rFonts w:ascii="Arial" w:hAnsi="Arial"/>
          <w:sz w:val="22"/>
          <w:szCs w:val="22"/>
        </w:rPr>
        <w:t xml:space="preserve"> assessed</w:t>
      </w:r>
      <w:r>
        <w:rPr>
          <w:rFonts w:ascii="Arial" w:hAnsi="Arial"/>
          <w:sz w:val="22"/>
          <w:szCs w:val="22"/>
        </w:rPr>
        <w:t xml:space="preserve"> the safety, efficacy and pharmacokinetics of leuprorelin acetate 45 mg </w:t>
      </w:r>
      <w:r w:rsidR="0027798A">
        <w:rPr>
          <w:rFonts w:ascii="Arial" w:hAnsi="Arial"/>
          <w:sz w:val="22"/>
          <w:szCs w:val="22"/>
        </w:rPr>
        <w:t>over 48 weeks in men with prost</w:t>
      </w:r>
      <w:r>
        <w:rPr>
          <w:rFonts w:ascii="Arial" w:hAnsi="Arial"/>
          <w:sz w:val="22"/>
          <w:szCs w:val="22"/>
        </w:rPr>
        <w:t>ate cancer.</w:t>
      </w:r>
    </w:p>
    <w:p w:rsidR="003E7338" w:rsidRDefault="003E7338" w:rsidP="007453E6">
      <w:pPr>
        <w:pStyle w:val="ListParagraph"/>
        <w:jc w:val="both"/>
        <w:rPr>
          <w:rFonts w:ascii="Arial" w:hAnsi="Arial"/>
          <w:sz w:val="22"/>
          <w:szCs w:val="22"/>
        </w:rPr>
      </w:pPr>
      <w:r>
        <w:rPr>
          <w:rFonts w:ascii="Arial" w:hAnsi="Arial"/>
          <w:sz w:val="22"/>
          <w:szCs w:val="22"/>
        </w:rPr>
        <w:t xml:space="preserve"> </w:t>
      </w:r>
    </w:p>
    <w:p w:rsidR="003E7338" w:rsidRPr="003E7338" w:rsidRDefault="003E7338" w:rsidP="007453E6">
      <w:pPr>
        <w:pStyle w:val="ListParagraph"/>
        <w:numPr>
          <w:ilvl w:val="1"/>
          <w:numId w:val="2"/>
        </w:numPr>
        <w:jc w:val="both"/>
        <w:rPr>
          <w:rFonts w:ascii="Arial" w:hAnsi="Arial"/>
          <w:sz w:val="22"/>
          <w:szCs w:val="22"/>
        </w:rPr>
      </w:pPr>
      <w:r>
        <w:rPr>
          <w:rFonts w:ascii="Arial" w:hAnsi="Arial"/>
          <w:sz w:val="22"/>
          <w:szCs w:val="22"/>
        </w:rPr>
        <w:t>The primary efficacy endpoint in the study was suppression of serum testosterone to, and maintenance at, medica</w:t>
      </w:r>
      <w:r w:rsidR="003C7FE4">
        <w:rPr>
          <w:rFonts w:ascii="Arial" w:hAnsi="Arial"/>
          <w:sz w:val="22"/>
          <w:szCs w:val="22"/>
        </w:rPr>
        <w:t>l</w:t>
      </w:r>
      <w:r>
        <w:rPr>
          <w:rFonts w:ascii="Arial" w:hAnsi="Arial"/>
          <w:sz w:val="22"/>
          <w:szCs w:val="22"/>
        </w:rPr>
        <w:t>ly castrate levels (</w:t>
      </w:r>
      <w:r>
        <w:rPr>
          <w:rFonts w:ascii="Arial" w:hAnsi="Arial" w:cs="Arial"/>
          <w:sz w:val="22"/>
          <w:szCs w:val="22"/>
        </w:rPr>
        <w:t>≤ 50 ng/dL)</w:t>
      </w:r>
      <w:r>
        <w:rPr>
          <w:rFonts w:ascii="Arial" w:hAnsi="Arial"/>
          <w:sz w:val="22"/>
          <w:szCs w:val="22"/>
        </w:rPr>
        <w:t xml:space="preserve">. </w:t>
      </w:r>
      <w:r w:rsidRPr="003E7338">
        <w:rPr>
          <w:rFonts w:ascii="Arial" w:hAnsi="Arial"/>
          <w:sz w:val="22"/>
          <w:szCs w:val="22"/>
        </w:rPr>
        <w:t>The submission claimed that this was a well-established surrogate outcome measure in the prostate cancer treatment setting.</w:t>
      </w:r>
      <w:r>
        <w:rPr>
          <w:rFonts w:ascii="Arial" w:hAnsi="Arial"/>
          <w:sz w:val="22"/>
          <w:szCs w:val="22"/>
        </w:rPr>
        <w:t xml:space="preserve"> </w:t>
      </w:r>
    </w:p>
    <w:p w:rsidR="003E7338" w:rsidRPr="003E7338" w:rsidRDefault="003E7338" w:rsidP="007453E6">
      <w:pPr>
        <w:pStyle w:val="ListParagraph"/>
        <w:rPr>
          <w:rFonts w:ascii="Arial" w:hAnsi="Arial"/>
          <w:sz w:val="22"/>
          <w:szCs w:val="22"/>
        </w:rPr>
      </w:pPr>
    </w:p>
    <w:p w:rsidR="00CD4074" w:rsidRDefault="003E7338" w:rsidP="007453E6">
      <w:pPr>
        <w:pStyle w:val="ListParagraph"/>
        <w:numPr>
          <w:ilvl w:val="1"/>
          <w:numId w:val="2"/>
        </w:numPr>
        <w:jc w:val="both"/>
        <w:rPr>
          <w:rFonts w:ascii="Arial" w:hAnsi="Arial"/>
          <w:sz w:val="22"/>
          <w:szCs w:val="22"/>
        </w:rPr>
      </w:pPr>
      <w:r>
        <w:rPr>
          <w:rFonts w:ascii="Arial" w:hAnsi="Arial"/>
          <w:sz w:val="22"/>
          <w:szCs w:val="22"/>
        </w:rPr>
        <w:t xml:space="preserve">According to the submission, the study demonstrated that </w:t>
      </w:r>
      <w:r w:rsidR="00DD33F3">
        <w:rPr>
          <w:rFonts w:ascii="Arial" w:hAnsi="Arial"/>
          <w:sz w:val="22"/>
          <w:szCs w:val="22"/>
        </w:rPr>
        <w:t>testosterone</w:t>
      </w:r>
      <w:r>
        <w:rPr>
          <w:rFonts w:ascii="Arial" w:hAnsi="Arial"/>
          <w:sz w:val="22"/>
          <w:szCs w:val="22"/>
        </w:rPr>
        <w:t xml:space="preserve"> suppression to and below castration levels was rapid and sustained throughout the 48 week treatment period, where 93.</w:t>
      </w:r>
      <w:r w:rsidR="00BC1F09">
        <w:rPr>
          <w:rFonts w:ascii="Arial" w:hAnsi="Arial"/>
          <w:sz w:val="22"/>
          <w:szCs w:val="22"/>
        </w:rPr>
        <w:t>7</w:t>
      </w:r>
      <w:r>
        <w:rPr>
          <w:rFonts w:ascii="Arial" w:hAnsi="Arial"/>
          <w:sz w:val="22"/>
          <w:szCs w:val="22"/>
        </w:rPr>
        <w:t xml:space="preserve">% </w:t>
      </w:r>
      <w:r w:rsidR="00DD33F3">
        <w:rPr>
          <w:rFonts w:ascii="Arial" w:hAnsi="Arial"/>
          <w:sz w:val="22"/>
          <w:szCs w:val="22"/>
        </w:rPr>
        <w:t xml:space="preserve">of subjects had castrate levels of testosterone from week 4 through to week 48. </w:t>
      </w:r>
    </w:p>
    <w:p w:rsidR="00BC1F09" w:rsidRPr="00BC1F09" w:rsidRDefault="00BC1F09" w:rsidP="007453E6">
      <w:pPr>
        <w:pStyle w:val="ListParagraph"/>
        <w:rPr>
          <w:rFonts w:ascii="Arial" w:hAnsi="Arial"/>
          <w:sz w:val="22"/>
          <w:szCs w:val="22"/>
        </w:rPr>
      </w:pPr>
    </w:p>
    <w:p w:rsidR="00BC1F09" w:rsidRPr="00BC1F09" w:rsidRDefault="00BC1F09" w:rsidP="007453E6">
      <w:pPr>
        <w:pStyle w:val="ListParagraph"/>
        <w:numPr>
          <w:ilvl w:val="1"/>
          <w:numId w:val="2"/>
        </w:numPr>
        <w:jc w:val="both"/>
        <w:rPr>
          <w:rFonts w:ascii="Arial" w:hAnsi="Arial"/>
          <w:sz w:val="22"/>
          <w:szCs w:val="22"/>
        </w:rPr>
      </w:pPr>
      <w:r>
        <w:rPr>
          <w:rFonts w:ascii="Arial" w:hAnsi="Arial"/>
          <w:sz w:val="22"/>
          <w:szCs w:val="22"/>
        </w:rPr>
        <w:t>During evaluation for registration, the</w:t>
      </w:r>
      <w:r w:rsidR="009C042C">
        <w:rPr>
          <w:rFonts w:ascii="Arial" w:hAnsi="Arial"/>
          <w:sz w:val="22"/>
          <w:szCs w:val="22"/>
        </w:rPr>
        <w:t xml:space="preserve"> </w:t>
      </w:r>
      <w:r w:rsidRPr="00CB26EF">
        <w:rPr>
          <w:rFonts w:ascii="Arial" w:hAnsi="Arial"/>
          <w:sz w:val="22"/>
          <w:szCs w:val="22"/>
        </w:rPr>
        <w:t>TGA delegate commented that “the failure to achieve testosterone suppression in 6.3% [of subjects] is of concern, given the implications of incomplete control [in the context of] medications that require concomitant castrate levels for their efficacy (eg androgen receptor inhibitors).”</w:t>
      </w:r>
    </w:p>
    <w:p w:rsidR="00CD4074" w:rsidRPr="00882085" w:rsidRDefault="00CD4074" w:rsidP="007453E6">
      <w:pPr>
        <w:pStyle w:val="minoroverviewsubheading"/>
        <w:rPr>
          <w:b w:val="0"/>
          <w:i w:val="0"/>
        </w:rPr>
      </w:pPr>
      <w:r w:rsidRPr="00882085">
        <w:t>Comparative effectiveness</w:t>
      </w:r>
    </w:p>
    <w:p w:rsidR="00CD4074" w:rsidRPr="00882085" w:rsidRDefault="00CD4074" w:rsidP="007453E6">
      <w:pPr>
        <w:jc w:val="both"/>
        <w:rPr>
          <w:rFonts w:ascii="Arial" w:hAnsi="Arial"/>
          <w:sz w:val="22"/>
          <w:szCs w:val="22"/>
        </w:rPr>
      </w:pPr>
    </w:p>
    <w:p w:rsidR="007C696A" w:rsidRPr="00107D51" w:rsidRDefault="00712FBD" w:rsidP="007453E6">
      <w:pPr>
        <w:pStyle w:val="ListParagraph"/>
        <w:numPr>
          <w:ilvl w:val="1"/>
          <w:numId w:val="2"/>
        </w:numPr>
        <w:ind w:left="709"/>
        <w:jc w:val="both"/>
        <w:rPr>
          <w:rFonts w:ascii="Arial" w:hAnsi="Arial"/>
          <w:sz w:val="22"/>
          <w:szCs w:val="22"/>
        </w:rPr>
      </w:pPr>
      <w:r>
        <w:rPr>
          <w:rFonts w:ascii="Arial" w:hAnsi="Arial"/>
          <w:sz w:val="22"/>
          <w:szCs w:val="22"/>
        </w:rPr>
        <w:t>The submission</w:t>
      </w:r>
      <w:r w:rsidR="00765F39">
        <w:rPr>
          <w:rFonts w:ascii="Arial" w:hAnsi="Arial"/>
          <w:sz w:val="22"/>
          <w:szCs w:val="22"/>
        </w:rPr>
        <w:t xml:space="preserve"> asserted</w:t>
      </w:r>
      <w:r>
        <w:rPr>
          <w:rFonts w:ascii="Arial" w:hAnsi="Arial"/>
          <w:sz w:val="22"/>
          <w:szCs w:val="22"/>
        </w:rPr>
        <w:t xml:space="preserve"> that the results were similar to those observed for the 3</w:t>
      </w:r>
      <w:r w:rsidR="00CB26EF">
        <w:rPr>
          <w:rFonts w:ascii="Arial" w:hAnsi="Arial"/>
          <w:sz w:val="22"/>
          <w:szCs w:val="22"/>
        </w:rPr>
        <w:noBreakHyphen/>
      </w:r>
      <w:r w:rsidR="008D7EFA">
        <w:rPr>
          <w:rFonts w:ascii="Arial" w:hAnsi="Arial"/>
          <w:sz w:val="22"/>
          <w:szCs w:val="22"/>
        </w:rPr>
        <w:t>month (12 weeks) and 4-</w:t>
      </w:r>
      <w:r>
        <w:rPr>
          <w:rFonts w:ascii="Arial" w:hAnsi="Arial"/>
          <w:sz w:val="22"/>
          <w:szCs w:val="22"/>
        </w:rPr>
        <w:t>month (16 weeks) strengths</w:t>
      </w:r>
      <w:r w:rsidR="00765F39">
        <w:rPr>
          <w:rFonts w:ascii="Arial" w:hAnsi="Arial"/>
          <w:i/>
          <w:sz w:val="22"/>
          <w:szCs w:val="22"/>
        </w:rPr>
        <w:t>.</w:t>
      </w:r>
      <w:r>
        <w:rPr>
          <w:rFonts w:ascii="Arial" w:hAnsi="Arial"/>
          <w:sz w:val="22"/>
          <w:szCs w:val="22"/>
        </w:rPr>
        <w:t xml:space="preserve"> </w:t>
      </w:r>
    </w:p>
    <w:p w:rsidR="00CD4074" w:rsidRPr="004B5459" w:rsidRDefault="00712FBD" w:rsidP="007453E6">
      <w:pPr>
        <w:pStyle w:val="minoroverviewsubheading"/>
      </w:pPr>
      <w:r w:rsidRPr="004B5459">
        <w:t>Comparative harms</w:t>
      </w:r>
    </w:p>
    <w:p w:rsidR="00712FBD" w:rsidRPr="00712FBD" w:rsidRDefault="00712FBD" w:rsidP="007453E6">
      <w:pPr>
        <w:jc w:val="both"/>
        <w:rPr>
          <w:rFonts w:ascii="Arial" w:hAnsi="Arial"/>
          <w:b/>
          <w:i/>
          <w:sz w:val="22"/>
          <w:szCs w:val="22"/>
        </w:rPr>
      </w:pPr>
    </w:p>
    <w:p w:rsidR="00CD4074" w:rsidRDefault="00712FBD" w:rsidP="007453E6">
      <w:pPr>
        <w:pStyle w:val="ListParagraph"/>
        <w:numPr>
          <w:ilvl w:val="1"/>
          <w:numId w:val="2"/>
        </w:numPr>
        <w:jc w:val="both"/>
        <w:rPr>
          <w:rFonts w:ascii="Arial" w:hAnsi="Arial"/>
          <w:sz w:val="22"/>
          <w:szCs w:val="22"/>
        </w:rPr>
      </w:pPr>
      <w:r>
        <w:rPr>
          <w:rFonts w:ascii="Arial" w:hAnsi="Arial"/>
          <w:sz w:val="22"/>
          <w:szCs w:val="22"/>
        </w:rPr>
        <w:t xml:space="preserve">The submission </w:t>
      </w:r>
      <w:r w:rsidR="008D7EFA">
        <w:rPr>
          <w:rFonts w:ascii="Arial" w:hAnsi="Arial"/>
          <w:sz w:val="22"/>
          <w:szCs w:val="22"/>
        </w:rPr>
        <w:t>asserted</w:t>
      </w:r>
      <w:r>
        <w:rPr>
          <w:rFonts w:ascii="Arial" w:hAnsi="Arial"/>
          <w:sz w:val="22"/>
          <w:szCs w:val="22"/>
        </w:rPr>
        <w:t xml:space="preserve"> that the 6-monthly injection was well tolerated with a safety profile consistent with the current PBS listed strengths of the </w:t>
      </w:r>
      <w:r w:rsidR="00920262">
        <w:rPr>
          <w:rFonts w:ascii="Arial" w:hAnsi="Arial"/>
          <w:sz w:val="22"/>
          <w:szCs w:val="22"/>
        </w:rPr>
        <w:t>intramuscular formulation</w:t>
      </w:r>
      <w:r>
        <w:rPr>
          <w:rFonts w:ascii="Arial" w:hAnsi="Arial"/>
          <w:sz w:val="22"/>
          <w:szCs w:val="22"/>
        </w:rPr>
        <w:t>.</w:t>
      </w:r>
      <w:r w:rsidR="008D7EFA">
        <w:rPr>
          <w:rFonts w:ascii="Arial" w:hAnsi="Arial"/>
          <w:sz w:val="22"/>
          <w:szCs w:val="22"/>
        </w:rPr>
        <w:t xml:space="preserve"> </w:t>
      </w:r>
    </w:p>
    <w:p w:rsidR="007C696A" w:rsidRDefault="007C696A" w:rsidP="007453E6">
      <w:pPr>
        <w:pStyle w:val="ListParagraph"/>
        <w:jc w:val="both"/>
        <w:rPr>
          <w:rFonts w:ascii="Arial" w:hAnsi="Arial"/>
          <w:sz w:val="22"/>
          <w:szCs w:val="22"/>
        </w:rPr>
      </w:pPr>
    </w:p>
    <w:p w:rsidR="007C696A" w:rsidRPr="008D7EFA" w:rsidRDefault="007C696A" w:rsidP="007453E6">
      <w:pPr>
        <w:pStyle w:val="ListParagraph"/>
        <w:numPr>
          <w:ilvl w:val="1"/>
          <w:numId w:val="2"/>
        </w:numPr>
        <w:jc w:val="both"/>
        <w:rPr>
          <w:rFonts w:ascii="Arial" w:hAnsi="Arial"/>
          <w:sz w:val="22"/>
          <w:szCs w:val="22"/>
        </w:rPr>
      </w:pPr>
      <w:r>
        <w:rPr>
          <w:rFonts w:ascii="Arial" w:hAnsi="Arial"/>
          <w:sz w:val="22"/>
          <w:szCs w:val="22"/>
        </w:rPr>
        <w:t>The approved</w:t>
      </w:r>
      <w:r w:rsidR="00750AB4">
        <w:rPr>
          <w:rFonts w:ascii="Arial" w:hAnsi="Arial"/>
          <w:sz w:val="22"/>
          <w:szCs w:val="22"/>
        </w:rPr>
        <w:t xml:space="preserve"> Product Information</w:t>
      </w:r>
      <w:r>
        <w:rPr>
          <w:rFonts w:ascii="Arial" w:hAnsi="Arial"/>
          <w:sz w:val="22"/>
          <w:szCs w:val="22"/>
        </w:rPr>
        <w:t xml:space="preserve"> </w:t>
      </w:r>
      <w:r w:rsidR="00750AB4">
        <w:rPr>
          <w:rFonts w:ascii="Arial" w:hAnsi="Arial"/>
          <w:sz w:val="22"/>
          <w:szCs w:val="22"/>
        </w:rPr>
        <w:t>(</w:t>
      </w:r>
      <w:r>
        <w:rPr>
          <w:rFonts w:ascii="Arial" w:hAnsi="Arial"/>
          <w:sz w:val="22"/>
          <w:szCs w:val="22"/>
        </w:rPr>
        <w:t>PI</w:t>
      </w:r>
      <w:r w:rsidR="00750AB4">
        <w:rPr>
          <w:rFonts w:ascii="Arial" w:hAnsi="Arial"/>
          <w:sz w:val="22"/>
          <w:szCs w:val="22"/>
        </w:rPr>
        <w:t>)</w:t>
      </w:r>
      <w:r>
        <w:rPr>
          <w:rFonts w:ascii="Arial" w:hAnsi="Arial"/>
          <w:sz w:val="22"/>
          <w:szCs w:val="22"/>
        </w:rPr>
        <w:t xml:space="preserve"> for intramuscular leuprorelin 45 mg states that “</w:t>
      </w:r>
      <w:r w:rsidRPr="007C696A">
        <w:rPr>
          <w:rFonts w:ascii="Arial" w:hAnsi="Arial" w:cs="Arial"/>
          <w:sz w:val="22"/>
          <w:szCs w:val="22"/>
        </w:rPr>
        <w:t>In a clinical trial of Lucrin Depot 7.5 mg Injection and in two clinical trials with Lucrin Depot 3 Month 22.5 mg Injection and the abovementioned clinical trials with Lucrin Depot 4-Month 30mg Injection and Lucrin Depot 6-Month 45mg injection, reactions were reported to have a possible or probable relationship to drug as ascribed by the treating physician in 5% or more of the patients receiving the drug.  Often, causality is difficult to assess in patients with metastatic prostate cancer. Reactions considered not drug related are excluded”</w:t>
      </w:r>
      <w:r w:rsidR="00CB26EF">
        <w:rPr>
          <w:rFonts w:ascii="Arial" w:hAnsi="Arial" w:cs="Arial"/>
          <w:sz w:val="22"/>
          <w:szCs w:val="22"/>
        </w:rPr>
        <w:t>.</w:t>
      </w:r>
    </w:p>
    <w:p w:rsidR="00CD4074" w:rsidRPr="007453E6" w:rsidRDefault="00CD4074" w:rsidP="007453E6">
      <w:pPr>
        <w:pStyle w:val="minoroverviewsubheading"/>
        <w:rPr>
          <w:b w:val="0"/>
          <w:i w:val="0"/>
        </w:rPr>
      </w:pPr>
      <w:r w:rsidRPr="00A55FEE">
        <w:t xml:space="preserve">Drug </w:t>
      </w:r>
      <w:r w:rsidRPr="00A74B8B">
        <w:t>c</w:t>
      </w:r>
      <w:r w:rsidR="00920262" w:rsidRPr="00A74B8B">
        <w:t>ost/patient/</w:t>
      </w:r>
      <w:r w:rsidR="00920262" w:rsidRPr="007453E6">
        <w:t>year: $</w:t>
      </w:r>
      <w:r w:rsidR="00A3276C" w:rsidRPr="004A736D">
        <w:t>4,248.64</w:t>
      </w:r>
    </w:p>
    <w:p w:rsidR="00CD4074" w:rsidRPr="007453E6" w:rsidRDefault="00CD4074" w:rsidP="007453E6">
      <w:pPr>
        <w:ind w:left="720" w:hanging="720"/>
        <w:jc w:val="both"/>
        <w:rPr>
          <w:rFonts w:ascii="Arial" w:hAnsi="Arial"/>
          <w:b/>
          <w:i/>
          <w:sz w:val="22"/>
          <w:szCs w:val="22"/>
        </w:rPr>
      </w:pPr>
    </w:p>
    <w:p w:rsidR="005B6858" w:rsidRPr="007C696A" w:rsidRDefault="00920262" w:rsidP="007453E6">
      <w:pPr>
        <w:pStyle w:val="ListParagraph"/>
        <w:numPr>
          <w:ilvl w:val="1"/>
          <w:numId w:val="2"/>
        </w:numPr>
        <w:jc w:val="both"/>
        <w:rPr>
          <w:rFonts w:ascii="Arial" w:hAnsi="Arial"/>
          <w:sz w:val="22"/>
          <w:szCs w:val="22"/>
        </w:rPr>
      </w:pPr>
      <w:r w:rsidRPr="007453E6">
        <w:rPr>
          <w:rFonts w:ascii="Arial" w:hAnsi="Arial"/>
          <w:sz w:val="22"/>
          <w:szCs w:val="22"/>
        </w:rPr>
        <w:t xml:space="preserve">The proposed price </w:t>
      </w:r>
      <w:r w:rsidR="006C26D5" w:rsidRPr="007453E6">
        <w:rPr>
          <w:rFonts w:ascii="Arial" w:hAnsi="Arial"/>
          <w:sz w:val="22"/>
          <w:szCs w:val="22"/>
        </w:rPr>
        <w:t xml:space="preserve">ex-manufacturer price </w:t>
      </w:r>
      <w:r w:rsidRPr="007453E6">
        <w:rPr>
          <w:rFonts w:ascii="Arial" w:hAnsi="Arial"/>
          <w:sz w:val="22"/>
          <w:szCs w:val="22"/>
        </w:rPr>
        <w:t xml:space="preserve">for the </w:t>
      </w:r>
      <w:r w:rsidR="007D4F78" w:rsidRPr="007453E6">
        <w:rPr>
          <w:rFonts w:ascii="Arial" w:hAnsi="Arial"/>
          <w:sz w:val="22"/>
          <w:szCs w:val="22"/>
        </w:rPr>
        <w:t>45 mg</w:t>
      </w:r>
      <w:r w:rsidRPr="007453E6">
        <w:rPr>
          <w:rFonts w:ascii="Arial" w:hAnsi="Arial"/>
          <w:sz w:val="22"/>
          <w:szCs w:val="22"/>
        </w:rPr>
        <w:t xml:space="preserve"> intramuscular </w:t>
      </w:r>
      <w:r w:rsidR="007D4F78" w:rsidRPr="007453E6">
        <w:rPr>
          <w:rFonts w:ascii="Arial" w:hAnsi="Arial"/>
          <w:sz w:val="22"/>
          <w:szCs w:val="22"/>
        </w:rPr>
        <w:t>formulation</w:t>
      </w:r>
      <w:r w:rsidRPr="007453E6">
        <w:rPr>
          <w:rFonts w:ascii="Arial" w:hAnsi="Arial"/>
          <w:sz w:val="22"/>
          <w:szCs w:val="22"/>
        </w:rPr>
        <w:t xml:space="preserve"> is $</w:t>
      </w:r>
      <w:r w:rsidR="006C26D5" w:rsidRPr="004A736D">
        <w:rPr>
          <w:rFonts w:ascii="Arial" w:hAnsi="Arial"/>
          <w:sz w:val="22"/>
          <w:szCs w:val="22"/>
        </w:rPr>
        <w:t>1,977.62</w:t>
      </w:r>
      <w:r w:rsidRPr="007453E6">
        <w:rPr>
          <w:rFonts w:ascii="Arial" w:hAnsi="Arial"/>
          <w:sz w:val="22"/>
          <w:szCs w:val="22"/>
        </w:rPr>
        <w:t>. The sub</w:t>
      </w:r>
      <w:r>
        <w:rPr>
          <w:rFonts w:ascii="Arial" w:hAnsi="Arial"/>
          <w:sz w:val="22"/>
          <w:szCs w:val="22"/>
        </w:rPr>
        <w:t xml:space="preserve">mission has assumed that patients will require two injections per year. </w:t>
      </w:r>
      <w:r w:rsidR="00467443">
        <w:rPr>
          <w:rFonts w:ascii="Arial" w:hAnsi="Arial"/>
          <w:sz w:val="22"/>
          <w:szCs w:val="22"/>
        </w:rPr>
        <w:t>This price is the same as that of the 6 month sub</w:t>
      </w:r>
      <w:r w:rsidR="007D4F78">
        <w:rPr>
          <w:rFonts w:ascii="Arial" w:hAnsi="Arial"/>
          <w:sz w:val="22"/>
          <w:szCs w:val="22"/>
        </w:rPr>
        <w:t>cutaneous</w:t>
      </w:r>
      <w:r w:rsidR="00467443">
        <w:rPr>
          <w:rFonts w:ascii="Arial" w:hAnsi="Arial"/>
          <w:sz w:val="22"/>
          <w:szCs w:val="22"/>
        </w:rPr>
        <w:t xml:space="preserve"> injection.</w:t>
      </w:r>
    </w:p>
    <w:p w:rsidR="007D4F78" w:rsidRPr="007C696A" w:rsidRDefault="007C696A" w:rsidP="007453E6">
      <w:pPr>
        <w:pStyle w:val="ListParagraph"/>
        <w:jc w:val="both"/>
        <w:rPr>
          <w:rFonts w:ascii="Arial" w:hAnsi="Arial"/>
          <w:sz w:val="22"/>
          <w:szCs w:val="22"/>
        </w:rPr>
      </w:pPr>
      <w:r>
        <w:rPr>
          <w:rFonts w:ascii="Arial" w:hAnsi="Arial"/>
          <w:i/>
          <w:sz w:val="22"/>
          <w:szCs w:val="22"/>
        </w:rPr>
        <w:t xml:space="preserve"> </w:t>
      </w:r>
    </w:p>
    <w:p w:rsidR="007D4F78" w:rsidRPr="00DE0BAB" w:rsidRDefault="005B6858" w:rsidP="007453E6">
      <w:pPr>
        <w:tabs>
          <w:tab w:val="left" w:pos="6211"/>
        </w:tabs>
        <w:ind w:firstLine="720"/>
        <w:rPr>
          <w:rFonts w:ascii="Arial Narrow" w:hAnsi="Arial Narrow"/>
          <w:b/>
          <w:sz w:val="22"/>
          <w:szCs w:val="22"/>
        </w:rPr>
      </w:pPr>
      <w:r w:rsidRPr="00DE0BAB">
        <w:rPr>
          <w:rFonts w:ascii="Arial Narrow" w:hAnsi="Arial Narrow"/>
          <w:b/>
          <w:sz w:val="22"/>
          <w:szCs w:val="22"/>
        </w:rPr>
        <w:t>Table 1: Pricing of currently listed leuprorelin formulations</w:t>
      </w:r>
    </w:p>
    <w:tbl>
      <w:tblPr>
        <w:tblStyle w:val="TableGrid"/>
        <w:tblW w:w="0" w:type="auto"/>
        <w:tblInd w:w="817" w:type="dxa"/>
        <w:tblLook w:val="04A0" w:firstRow="1" w:lastRow="0" w:firstColumn="1" w:lastColumn="0" w:noHBand="0" w:noVBand="1"/>
        <w:tblCaption w:val="Table 1: Pricing of currently listed leuprorelin formulation"/>
        <w:tblDescription w:val="The table shows the pricing of currently listed leuprorelin formulations. "/>
      </w:tblPr>
      <w:tblGrid>
        <w:gridCol w:w="3804"/>
        <w:gridCol w:w="4621"/>
      </w:tblGrid>
      <w:tr w:rsidR="007D4F78" w:rsidTr="009D36AB">
        <w:trPr>
          <w:tblHeader/>
        </w:trPr>
        <w:tc>
          <w:tcPr>
            <w:tcW w:w="3804" w:type="dxa"/>
          </w:tcPr>
          <w:p w:rsidR="007D4F78" w:rsidRPr="007D4F78" w:rsidRDefault="007D4F78" w:rsidP="007453E6">
            <w:pPr>
              <w:jc w:val="both"/>
              <w:rPr>
                <w:rFonts w:ascii="Arial Narrow" w:hAnsi="Arial Narrow"/>
                <w:b/>
                <w:sz w:val="20"/>
                <w:szCs w:val="20"/>
              </w:rPr>
            </w:pPr>
            <w:r w:rsidRPr="007D4F78">
              <w:rPr>
                <w:rFonts w:ascii="Arial Narrow" w:hAnsi="Arial Narrow"/>
                <w:b/>
                <w:sz w:val="20"/>
                <w:szCs w:val="20"/>
              </w:rPr>
              <w:t>Leuprorelin acetate strength and formulation (subcutaneous or intramuscular)</w:t>
            </w:r>
          </w:p>
        </w:tc>
        <w:tc>
          <w:tcPr>
            <w:tcW w:w="4621" w:type="dxa"/>
          </w:tcPr>
          <w:p w:rsidR="007D4F78" w:rsidRPr="007D4F78" w:rsidRDefault="008D7EFA" w:rsidP="007453E6">
            <w:pPr>
              <w:jc w:val="both"/>
              <w:rPr>
                <w:rFonts w:ascii="Arial Narrow" w:hAnsi="Arial Narrow"/>
                <w:b/>
                <w:sz w:val="20"/>
                <w:szCs w:val="20"/>
              </w:rPr>
            </w:pPr>
            <w:r>
              <w:rPr>
                <w:rFonts w:ascii="Arial Narrow" w:hAnsi="Arial Narrow"/>
                <w:b/>
                <w:sz w:val="20"/>
                <w:szCs w:val="20"/>
              </w:rPr>
              <w:t>Ex-manufacturer price</w:t>
            </w:r>
          </w:p>
        </w:tc>
      </w:tr>
      <w:tr w:rsidR="007D4F78" w:rsidTr="005B6858">
        <w:tc>
          <w:tcPr>
            <w:tcW w:w="3804" w:type="dxa"/>
          </w:tcPr>
          <w:p w:rsidR="007D4F78" w:rsidRPr="007D4F78" w:rsidRDefault="00E30E27" w:rsidP="007453E6">
            <w:pPr>
              <w:jc w:val="both"/>
              <w:rPr>
                <w:rFonts w:ascii="Arial Narrow" w:hAnsi="Arial Narrow"/>
                <w:sz w:val="20"/>
                <w:szCs w:val="20"/>
              </w:rPr>
            </w:pPr>
            <w:r>
              <w:rPr>
                <w:rFonts w:ascii="Arial Narrow" w:hAnsi="Arial Narrow"/>
                <w:sz w:val="20"/>
                <w:szCs w:val="20"/>
              </w:rPr>
              <w:t>1 month – subcutaneous</w:t>
            </w:r>
          </w:p>
        </w:tc>
        <w:tc>
          <w:tcPr>
            <w:tcW w:w="4621" w:type="dxa"/>
          </w:tcPr>
          <w:p w:rsidR="007D4F78" w:rsidRPr="00107D51" w:rsidRDefault="00E30E27" w:rsidP="007453E6">
            <w:pPr>
              <w:jc w:val="both"/>
              <w:rPr>
                <w:rFonts w:ascii="Arial Narrow" w:hAnsi="Arial Narrow"/>
                <w:sz w:val="20"/>
                <w:szCs w:val="20"/>
              </w:rPr>
            </w:pPr>
            <w:r w:rsidRPr="00107D51">
              <w:rPr>
                <w:rFonts w:ascii="Arial Narrow" w:hAnsi="Arial Narrow"/>
                <w:sz w:val="20"/>
                <w:szCs w:val="20"/>
              </w:rPr>
              <w:t>$</w:t>
            </w:r>
            <w:r w:rsidR="008D7EFA" w:rsidRPr="00107D51">
              <w:rPr>
                <w:rFonts w:ascii="Arial Narrow" w:hAnsi="Arial Narrow"/>
                <w:sz w:val="20"/>
                <w:szCs w:val="20"/>
              </w:rPr>
              <w:t>368.10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 xml:space="preserve">7.5 mg – intramuscular </w:t>
            </w:r>
          </w:p>
        </w:tc>
        <w:tc>
          <w:tcPr>
            <w:tcW w:w="4621" w:type="dxa"/>
          </w:tcPr>
          <w:p w:rsidR="00E30E27" w:rsidRPr="00107D51" w:rsidRDefault="00E30E27" w:rsidP="007453E6">
            <w:pPr>
              <w:jc w:val="both"/>
              <w:rPr>
                <w:rFonts w:ascii="Arial Narrow" w:hAnsi="Arial Narrow"/>
                <w:sz w:val="20"/>
                <w:szCs w:val="20"/>
              </w:rPr>
            </w:pPr>
            <w:r w:rsidRPr="00107D51">
              <w:rPr>
                <w:rFonts w:ascii="Arial Narrow" w:hAnsi="Arial Narrow"/>
                <w:sz w:val="20"/>
                <w:szCs w:val="20"/>
              </w:rPr>
              <w:t>$</w:t>
            </w:r>
            <w:r w:rsidR="008D7EFA" w:rsidRPr="00107D51">
              <w:rPr>
                <w:rFonts w:ascii="Arial Narrow" w:hAnsi="Arial Narrow"/>
                <w:sz w:val="20"/>
                <w:szCs w:val="20"/>
              </w:rPr>
              <w:t>368.10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 xml:space="preserve">3 month </w:t>
            </w:r>
            <w:r w:rsidR="00C36B40">
              <w:rPr>
                <w:rFonts w:ascii="Arial Narrow" w:hAnsi="Arial Narrow"/>
                <w:sz w:val="20"/>
                <w:szCs w:val="20"/>
              </w:rPr>
              <w:t>(22.5 mg)</w:t>
            </w:r>
            <w:r>
              <w:rPr>
                <w:rFonts w:ascii="Arial Narrow" w:hAnsi="Arial Narrow"/>
                <w:sz w:val="20"/>
                <w:szCs w:val="20"/>
              </w:rPr>
              <w:t xml:space="preserve">– subcutaneous </w:t>
            </w:r>
          </w:p>
        </w:tc>
        <w:tc>
          <w:tcPr>
            <w:tcW w:w="4621" w:type="dxa"/>
          </w:tcPr>
          <w:p w:rsidR="00E30E27" w:rsidRPr="00107D51" w:rsidRDefault="00E30E27" w:rsidP="007453E6">
            <w:pPr>
              <w:jc w:val="both"/>
              <w:rPr>
                <w:rFonts w:ascii="Arial Narrow" w:hAnsi="Arial Narrow"/>
                <w:sz w:val="20"/>
                <w:szCs w:val="20"/>
              </w:rPr>
            </w:pPr>
            <w:r w:rsidRPr="00107D51">
              <w:rPr>
                <w:rFonts w:ascii="Arial Narrow" w:hAnsi="Arial Narrow"/>
                <w:sz w:val="20"/>
                <w:szCs w:val="20"/>
              </w:rPr>
              <w:t>$</w:t>
            </w:r>
            <w:r w:rsidR="008D7EFA" w:rsidRPr="00107D51">
              <w:rPr>
                <w:rFonts w:ascii="Arial Narrow" w:hAnsi="Arial Narrow"/>
                <w:sz w:val="20"/>
                <w:szCs w:val="20"/>
              </w:rPr>
              <w:t>990.00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 xml:space="preserve">3 month (22.5 mg)  - intramuscular </w:t>
            </w:r>
          </w:p>
        </w:tc>
        <w:tc>
          <w:tcPr>
            <w:tcW w:w="4621" w:type="dxa"/>
          </w:tcPr>
          <w:p w:rsidR="00E30E27" w:rsidRPr="00107D51" w:rsidRDefault="00E30E27" w:rsidP="007453E6">
            <w:pPr>
              <w:jc w:val="both"/>
              <w:rPr>
                <w:rFonts w:ascii="Arial Narrow" w:hAnsi="Arial Narrow"/>
                <w:sz w:val="20"/>
                <w:szCs w:val="20"/>
              </w:rPr>
            </w:pPr>
            <w:r w:rsidRPr="00107D51">
              <w:rPr>
                <w:rFonts w:ascii="Arial Narrow" w:hAnsi="Arial Narrow"/>
                <w:sz w:val="20"/>
                <w:szCs w:val="20"/>
              </w:rPr>
              <w:t>$</w:t>
            </w:r>
            <w:r w:rsidR="008D7EFA" w:rsidRPr="00107D51">
              <w:rPr>
                <w:rFonts w:ascii="Arial Narrow" w:hAnsi="Arial Narrow"/>
                <w:sz w:val="20"/>
                <w:szCs w:val="20"/>
              </w:rPr>
              <w:t>990.00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 xml:space="preserve">4 month </w:t>
            </w:r>
            <w:r w:rsidR="00C36B40">
              <w:rPr>
                <w:rFonts w:ascii="Arial Narrow" w:hAnsi="Arial Narrow"/>
                <w:sz w:val="20"/>
                <w:szCs w:val="20"/>
              </w:rPr>
              <w:t>(30 mg)</w:t>
            </w:r>
            <w:r>
              <w:rPr>
                <w:rFonts w:ascii="Arial Narrow" w:hAnsi="Arial Narrow"/>
                <w:sz w:val="20"/>
                <w:szCs w:val="20"/>
              </w:rPr>
              <w:t>- subcutaneous</w:t>
            </w:r>
          </w:p>
        </w:tc>
        <w:tc>
          <w:tcPr>
            <w:tcW w:w="4621" w:type="dxa"/>
          </w:tcPr>
          <w:p w:rsidR="00E30E27" w:rsidRPr="00107D51" w:rsidRDefault="00E30E27" w:rsidP="007453E6">
            <w:pPr>
              <w:jc w:val="both"/>
              <w:rPr>
                <w:rFonts w:ascii="Arial Narrow" w:hAnsi="Arial Narrow"/>
                <w:sz w:val="20"/>
                <w:szCs w:val="20"/>
              </w:rPr>
            </w:pPr>
            <w:r w:rsidRPr="00107D51">
              <w:rPr>
                <w:rFonts w:ascii="Arial Narrow" w:hAnsi="Arial Narrow"/>
                <w:sz w:val="20"/>
                <w:szCs w:val="20"/>
              </w:rPr>
              <w:t>$1</w:t>
            </w:r>
            <w:r w:rsidR="008D7EFA" w:rsidRPr="00107D51">
              <w:rPr>
                <w:rFonts w:ascii="Arial Narrow" w:hAnsi="Arial Narrow"/>
                <w:sz w:val="20"/>
                <w:szCs w:val="20"/>
              </w:rPr>
              <w:t>,319.40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 xml:space="preserve">4 month (30 mg) – intramuscular </w:t>
            </w:r>
          </w:p>
        </w:tc>
        <w:tc>
          <w:tcPr>
            <w:tcW w:w="4621" w:type="dxa"/>
          </w:tcPr>
          <w:p w:rsidR="00E30E27" w:rsidRPr="00107D51" w:rsidRDefault="00767BE3" w:rsidP="007453E6">
            <w:pPr>
              <w:jc w:val="both"/>
              <w:rPr>
                <w:rFonts w:ascii="Arial Narrow" w:hAnsi="Arial Narrow"/>
                <w:sz w:val="20"/>
                <w:szCs w:val="20"/>
              </w:rPr>
            </w:pPr>
            <w:r w:rsidRPr="00107D51">
              <w:rPr>
                <w:rFonts w:ascii="Arial Narrow" w:hAnsi="Arial Narrow"/>
                <w:sz w:val="20"/>
                <w:szCs w:val="20"/>
              </w:rPr>
              <w:t>$</w:t>
            </w:r>
            <w:r w:rsidR="008D7EFA" w:rsidRPr="00107D51">
              <w:rPr>
                <w:rFonts w:ascii="Arial Narrow" w:hAnsi="Arial Narrow"/>
                <w:sz w:val="20"/>
                <w:szCs w:val="20"/>
              </w:rPr>
              <w:t>1,319.40</w:t>
            </w:r>
          </w:p>
        </w:tc>
      </w:tr>
      <w:tr w:rsidR="00E30E27" w:rsidTr="005B6858">
        <w:tc>
          <w:tcPr>
            <w:tcW w:w="3804" w:type="dxa"/>
          </w:tcPr>
          <w:p w:rsidR="00E30E27" w:rsidRPr="007D4F78" w:rsidRDefault="00E30E27" w:rsidP="007453E6">
            <w:pPr>
              <w:jc w:val="both"/>
              <w:rPr>
                <w:rFonts w:ascii="Arial Narrow" w:hAnsi="Arial Narrow"/>
                <w:sz w:val="20"/>
                <w:szCs w:val="20"/>
              </w:rPr>
            </w:pPr>
            <w:r>
              <w:rPr>
                <w:rFonts w:ascii="Arial Narrow" w:hAnsi="Arial Narrow"/>
                <w:sz w:val="20"/>
                <w:szCs w:val="20"/>
              </w:rPr>
              <w:t>6 month</w:t>
            </w:r>
            <w:r w:rsidR="00C36B40">
              <w:rPr>
                <w:rFonts w:ascii="Arial Narrow" w:hAnsi="Arial Narrow"/>
                <w:sz w:val="20"/>
                <w:szCs w:val="20"/>
              </w:rPr>
              <w:t xml:space="preserve"> (45 mg)</w:t>
            </w:r>
            <w:r>
              <w:rPr>
                <w:rFonts w:ascii="Arial Narrow" w:hAnsi="Arial Narrow"/>
                <w:sz w:val="20"/>
                <w:szCs w:val="20"/>
              </w:rPr>
              <w:t xml:space="preserve"> – subcutaneous</w:t>
            </w:r>
          </w:p>
        </w:tc>
        <w:tc>
          <w:tcPr>
            <w:tcW w:w="4621" w:type="dxa"/>
          </w:tcPr>
          <w:p w:rsidR="00E30E27" w:rsidRPr="00107D51" w:rsidRDefault="00767BE3" w:rsidP="007453E6">
            <w:pPr>
              <w:jc w:val="both"/>
              <w:rPr>
                <w:rFonts w:ascii="Arial Narrow" w:hAnsi="Arial Narrow"/>
                <w:sz w:val="20"/>
                <w:szCs w:val="20"/>
              </w:rPr>
            </w:pPr>
            <w:r w:rsidRPr="00107D51">
              <w:rPr>
                <w:rFonts w:ascii="Arial Narrow" w:hAnsi="Arial Narrow"/>
                <w:sz w:val="20"/>
                <w:szCs w:val="20"/>
              </w:rPr>
              <w:t>$</w:t>
            </w:r>
            <w:r w:rsidR="006C26D5" w:rsidRPr="00107D51">
              <w:rPr>
                <w:rFonts w:ascii="Arial Narrow" w:hAnsi="Arial Narrow"/>
                <w:sz w:val="20"/>
                <w:szCs w:val="20"/>
              </w:rPr>
              <w:t>1,977.62</w:t>
            </w:r>
          </w:p>
        </w:tc>
      </w:tr>
      <w:tr w:rsidR="00E30E27" w:rsidTr="005B6858">
        <w:tc>
          <w:tcPr>
            <w:tcW w:w="3804" w:type="dxa"/>
            <w:shd w:val="clear" w:color="auto" w:fill="D9D9D9" w:themeFill="background1" w:themeFillShade="D9"/>
          </w:tcPr>
          <w:p w:rsidR="00E30E27" w:rsidRPr="007453E6" w:rsidRDefault="00E30E27" w:rsidP="007453E6">
            <w:pPr>
              <w:jc w:val="both"/>
              <w:rPr>
                <w:rFonts w:ascii="Arial Narrow" w:hAnsi="Arial Narrow"/>
                <w:sz w:val="20"/>
                <w:szCs w:val="20"/>
              </w:rPr>
            </w:pPr>
            <w:r w:rsidRPr="007453E6">
              <w:rPr>
                <w:rFonts w:ascii="Arial Narrow" w:hAnsi="Arial Narrow"/>
                <w:sz w:val="20"/>
                <w:szCs w:val="20"/>
              </w:rPr>
              <w:t xml:space="preserve">6 month (45 mg) – intramuscular </w:t>
            </w:r>
          </w:p>
        </w:tc>
        <w:tc>
          <w:tcPr>
            <w:tcW w:w="4621" w:type="dxa"/>
            <w:shd w:val="clear" w:color="auto" w:fill="D9D9D9" w:themeFill="background1" w:themeFillShade="D9"/>
          </w:tcPr>
          <w:p w:rsidR="00E30E27" w:rsidRPr="007453E6" w:rsidRDefault="00E30E27" w:rsidP="007453E6">
            <w:pPr>
              <w:jc w:val="both"/>
              <w:rPr>
                <w:rFonts w:ascii="Arial Narrow" w:hAnsi="Arial Narrow"/>
                <w:sz w:val="20"/>
                <w:szCs w:val="20"/>
              </w:rPr>
            </w:pPr>
            <w:r w:rsidRPr="007453E6">
              <w:rPr>
                <w:rFonts w:ascii="Arial Narrow" w:hAnsi="Arial Narrow"/>
                <w:sz w:val="20"/>
                <w:szCs w:val="20"/>
              </w:rPr>
              <w:t>Proposed price: $</w:t>
            </w:r>
            <w:r w:rsidR="006C26D5" w:rsidRPr="004A736D">
              <w:rPr>
                <w:rFonts w:ascii="Arial Narrow" w:hAnsi="Arial Narrow"/>
                <w:sz w:val="20"/>
                <w:szCs w:val="20"/>
              </w:rPr>
              <w:t>1,977.62</w:t>
            </w:r>
          </w:p>
        </w:tc>
      </w:tr>
    </w:tbl>
    <w:p w:rsidR="007D4F78" w:rsidRPr="00241652" w:rsidRDefault="007D4F78" w:rsidP="007453E6">
      <w:pPr>
        <w:jc w:val="both"/>
        <w:rPr>
          <w:rFonts w:ascii="Arial" w:hAnsi="Arial"/>
          <w:sz w:val="8"/>
          <w:szCs w:val="22"/>
        </w:rPr>
      </w:pPr>
    </w:p>
    <w:p w:rsidR="00CD4074" w:rsidRPr="00767BE3" w:rsidRDefault="00CD4074" w:rsidP="007453E6">
      <w:pPr>
        <w:pStyle w:val="minoroverviewsubheading"/>
        <w:rPr>
          <w:b w:val="0"/>
          <w:i w:val="0"/>
        </w:rPr>
      </w:pPr>
      <w:r w:rsidRPr="00882085">
        <w:t>Estimated PBS usage &amp; financial implications</w:t>
      </w:r>
    </w:p>
    <w:p w:rsidR="00CD4074" w:rsidRPr="00882085" w:rsidRDefault="00CD4074" w:rsidP="007453E6">
      <w:pPr>
        <w:ind w:left="720" w:hanging="720"/>
        <w:jc w:val="both"/>
        <w:rPr>
          <w:rFonts w:ascii="Arial" w:hAnsi="Arial"/>
          <w:b/>
          <w:i/>
          <w:sz w:val="22"/>
          <w:szCs w:val="22"/>
        </w:rPr>
      </w:pPr>
    </w:p>
    <w:p w:rsidR="00467443" w:rsidRPr="00467443" w:rsidRDefault="00920262" w:rsidP="007453E6">
      <w:pPr>
        <w:pStyle w:val="ListParagraph"/>
        <w:numPr>
          <w:ilvl w:val="1"/>
          <w:numId w:val="2"/>
        </w:numPr>
        <w:jc w:val="both"/>
        <w:rPr>
          <w:rFonts w:ascii="Arial" w:hAnsi="Arial"/>
          <w:sz w:val="22"/>
          <w:szCs w:val="22"/>
        </w:rPr>
      </w:pPr>
      <w:r>
        <w:rPr>
          <w:rFonts w:ascii="Arial" w:hAnsi="Arial"/>
          <w:sz w:val="22"/>
          <w:szCs w:val="22"/>
        </w:rPr>
        <w:t>The submission anticipated that the new strength of the intramuscular formu</w:t>
      </w:r>
      <w:r w:rsidR="0063311F">
        <w:rPr>
          <w:rFonts w:ascii="Arial" w:hAnsi="Arial"/>
          <w:sz w:val="22"/>
          <w:szCs w:val="22"/>
        </w:rPr>
        <w:t>lat</w:t>
      </w:r>
      <w:r>
        <w:rPr>
          <w:rFonts w:ascii="Arial" w:hAnsi="Arial"/>
          <w:sz w:val="22"/>
          <w:szCs w:val="22"/>
        </w:rPr>
        <w:t>ion will substitute for the alternative PBS listed 6 month subcutaneous formulation of leupr</w:t>
      </w:r>
      <w:r w:rsidR="0063311F">
        <w:rPr>
          <w:rFonts w:ascii="Arial" w:hAnsi="Arial"/>
          <w:sz w:val="22"/>
          <w:szCs w:val="22"/>
        </w:rPr>
        <w:t>o</w:t>
      </w:r>
      <w:r>
        <w:rPr>
          <w:rFonts w:ascii="Arial" w:hAnsi="Arial"/>
          <w:sz w:val="22"/>
          <w:szCs w:val="22"/>
        </w:rPr>
        <w:t xml:space="preserve">relin acetate as it offers an alternative route of administration. </w:t>
      </w:r>
      <w:r w:rsidR="00467443">
        <w:rPr>
          <w:rFonts w:ascii="Arial" w:hAnsi="Arial"/>
          <w:sz w:val="22"/>
          <w:szCs w:val="22"/>
        </w:rPr>
        <w:t xml:space="preserve">The submission estimated that this substitution will be cost neutral. </w:t>
      </w:r>
    </w:p>
    <w:p w:rsidR="00467443" w:rsidRPr="00467443" w:rsidRDefault="00467443" w:rsidP="007453E6">
      <w:pPr>
        <w:pStyle w:val="ListParagraph"/>
        <w:jc w:val="both"/>
        <w:rPr>
          <w:rFonts w:ascii="Arial" w:hAnsi="Arial"/>
          <w:sz w:val="22"/>
          <w:szCs w:val="22"/>
        </w:rPr>
      </w:pPr>
    </w:p>
    <w:p w:rsidR="00920262" w:rsidRDefault="00467443" w:rsidP="007453E6">
      <w:pPr>
        <w:pStyle w:val="ListParagraph"/>
        <w:numPr>
          <w:ilvl w:val="1"/>
          <w:numId w:val="2"/>
        </w:numPr>
        <w:jc w:val="both"/>
        <w:rPr>
          <w:rFonts w:ascii="Arial" w:hAnsi="Arial"/>
          <w:sz w:val="22"/>
          <w:szCs w:val="22"/>
        </w:rPr>
      </w:pPr>
      <w:r>
        <w:rPr>
          <w:rFonts w:ascii="Arial" w:hAnsi="Arial"/>
          <w:sz w:val="22"/>
          <w:szCs w:val="22"/>
        </w:rPr>
        <w:t>The submission also anticipated that substitution of the new formulation for the 3 and 4 month intramuscular formulations will occur due to the convenience of a 6 monthly dosing regimen</w:t>
      </w:r>
      <w:r>
        <w:rPr>
          <w:rFonts w:ascii="Arial" w:hAnsi="Arial"/>
          <w:i/>
          <w:sz w:val="22"/>
          <w:szCs w:val="22"/>
        </w:rPr>
        <w:t xml:space="preserve">. </w:t>
      </w:r>
      <w:r w:rsidRPr="00467443">
        <w:rPr>
          <w:rFonts w:ascii="Arial" w:hAnsi="Arial"/>
          <w:sz w:val="22"/>
          <w:szCs w:val="22"/>
        </w:rPr>
        <w:t xml:space="preserve">The submission </w:t>
      </w:r>
      <w:r w:rsidR="00122EEA">
        <w:rPr>
          <w:rFonts w:ascii="Arial" w:hAnsi="Arial"/>
          <w:sz w:val="22"/>
          <w:szCs w:val="22"/>
        </w:rPr>
        <w:t>estimated</w:t>
      </w:r>
      <w:r w:rsidRPr="00467443">
        <w:rPr>
          <w:rFonts w:ascii="Arial" w:hAnsi="Arial"/>
          <w:sz w:val="22"/>
          <w:szCs w:val="22"/>
        </w:rPr>
        <w:t xml:space="preserve"> that </w:t>
      </w:r>
      <w:r>
        <w:rPr>
          <w:rFonts w:ascii="Arial" w:hAnsi="Arial"/>
          <w:sz w:val="22"/>
          <w:szCs w:val="22"/>
        </w:rPr>
        <w:t xml:space="preserve">this substitution will result in a small net saving to the PBS through a predicted reduction in the number of dispensings. </w:t>
      </w:r>
    </w:p>
    <w:p w:rsidR="00920262" w:rsidRPr="00767BE3" w:rsidRDefault="00920262" w:rsidP="007453E6">
      <w:pPr>
        <w:jc w:val="both"/>
        <w:rPr>
          <w:rFonts w:ascii="Arial" w:hAnsi="Arial"/>
          <w:sz w:val="22"/>
          <w:szCs w:val="22"/>
        </w:rPr>
      </w:pPr>
    </w:p>
    <w:p w:rsidR="00CD4074" w:rsidRDefault="00122EEA" w:rsidP="007453E6">
      <w:pPr>
        <w:pStyle w:val="ListParagraph"/>
        <w:numPr>
          <w:ilvl w:val="1"/>
          <w:numId w:val="2"/>
        </w:numPr>
        <w:jc w:val="both"/>
        <w:rPr>
          <w:rFonts w:ascii="Arial" w:hAnsi="Arial"/>
          <w:sz w:val="22"/>
          <w:szCs w:val="22"/>
        </w:rPr>
      </w:pPr>
      <w:r>
        <w:rPr>
          <w:rFonts w:ascii="Arial" w:hAnsi="Arial"/>
          <w:sz w:val="22"/>
          <w:szCs w:val="22"/>
        </w:rPr>
        <w:t>The minor submission estimated</w:t>
      </w:r>
      <w:r w:rsidR="00CD4074" w:rsidRPr="00C00DA7">
        <w:rPr>
          <w:rFonts w:ascii="Arial" w:hAnsi="Arial"/>
          <w:sz w:val="22"/>
          <w:szCs w:val="22"/>
        </w:rPr>
        <w:t xml:space="preserve"> a </w:t>
      </w:r>
      <w:r w:rsidR="00CD4074" w:rsidRPr="007453E6">
        <w:rPr>
          <w:rFonts w:ascii="Arial" w:hAnsi="Arial"/>
          <w:sz w:val="22"/>
          <w:szCs w:val="22"/>
        </w:rPr>
        <w:t xml:space="preserve">net </w:t>
      </w:r>
      <w:r w:rsidR="00920262" w:rsidRPr="007453E6">
        <w:rPr>
          <w:rFonts w:ascii="Arial" w:hAnsi="Arial"/>
          <w:sz w:val="22"/>
          <w:szCs w:val="22"/>
        </w:rPr>
        <w:t>save</w:t>
      </w:r>
      <w:r w:rsidR="00CD4074" w:rsidRPr="007453E6">
        <w:rPr>
          <w:rFonts w:ascii="Arial" w:hAnsi="Arial"/>
          <w:sz w:val="22"/>
          <w:szCs w:val="22"/>
        </w:rPr>
        <w:t xml:space="preserve"> to the PBS of </w:t>
      </w:r>
      <w:r w:rsidR="00107D51" w:rsidRPr="007453E6">
        <w:rPr>
          <w:rFonts w:ascii="Arial" w:hAnsi="Arial"/>
          <w:sz w:val="22"/>
          <w:szCs w:val="22"/>
        </w:rPr>
        <w:t>less than $10 million per year</w:t>
      </w:r>
      <w:r w:rsidR="007453E6">
        <w:rPr>
          <w:rFonts w:ascii="Arial" w:hAnsi="Arial"/>
          <w:sz w:val="22"/>
          <w:szCs w:val="22"/>
        </w:rPr>
        <w:t xml:space="preserve"> </w:t>
      </w:r>
      <w:r w:rsidR="00CD4074" w:rsidRPr="007453E6">
        <w:rPr>
          <w:rFonts w:ascii="Arial" w:hAnsi="Arial"/>
          <w:sz w:val="22"/>
          <w:szCs w:val="22"/>
        </w:rPr>
        <w:t xml:space="preserve">in Year 5 of listing, with a total net save to the PBS of </w:t>
      </w:r>
      <w:r w:rsidR="007453E6" w:rsidRPr="007453E6">
        <w:rPr>
          <w:rFonts w:ascii="Arial" w:hAnsi="Arial"/>
          <w:sz w:val="22"/>
          <w:szCs w:val="22"/>
        </w:rPr>
        <w:t>less than $10 milli</w:t>
      </w:r>
      <w:r w:rsidR="007453E6">
        <w:rPr>
          <w:rFonts w:ascii="Arial" w:hAnsi="Arial"/>
          <w:sz w:val="22"/>
          <w:szCs w:val="22"/>
        </w:rPr>
        <w:t>on per year</w:t>
      </w:r>
      <w:r w:rsidR="007453E6" w:rsidRPr="00C00DA7">
        <w:rPr>
          <w:rFonts w:ascii="Arial" w:hAnsi="Arial"/>
          <w:sz w:val="22"/>
          <w:szCs w:val="22"/>
        </w:rPr>
        <w:t xml:space="preserve"> </w:t>
      </w:r>
      <w:r w:rsidR="00CD4074" w:rsidRPr="00C00DA7">
        <w:rPr>
          <w:rFonts w:ascii="Arial" w:hAnsi="Arial"/>
          <w:sz w:val="22"/>
          <w:szCs w:val="22"/>
        </w:rPr>
        <w:t>over th</w:t>
      </w:r>
      <w:r w:rsidR="00A06977">
        <w:rPr>
          <w:rFonts w:ascii="Arial" w:hAnsi="Arial"/>
          <w:sz w:val="22"/>
          <w:szCs w:val="22"/>
        </w:rPr>
        <w:t xml:space="preserve">e first </w:t>
      </w:r>
      <w:r w:rsidR="006B3B7C">
        <w:rPr>
          <w:rFonts w:ascii="Arial" w:hAnsi="Arial"/>
          <w:sz w:val="22"/>
          <w:szCs w:val="22"/>
        </w:rPr>
        <w:t>five</w:t>
      </w:r>
      <w:r w:rsidR="00A06977">
        <w:rPr>
          <w:rFonts w:ascii="Arial" w:hAnsi="Arial"/>
          <w:sz w:val="22"/>
          <w:szCs w:val="22"/>
        </w:rPr>
        <w:t xml:space="preserve"> years of listing</w:t>
      </w:r>
      <w:r w:rsidR="00161B02">
        <w:rPr>
          <w:rFonts w:ascii="Arial" w:hAnsi="Arial"/>
          <w:sz w:val="22"/>
          <w:szCs w:val="22"/>
        </w:rPr>
        <w:t>.</w:t>
      </w:r>
      <w:r w:rsidR="00A06977">
        <w:rPr>
          <w:rFonts w:ascii="Arial" w:hAnsi="Arial"/>
          <w:sz w:val="22"/>
          <w:szCs w:val="22"/>
        </w:rPr>
        <w:t xml:space="preserve"> </w:t>
      </w:r>
      <w:r w:rsidR="00CD4074" w:rsidRPr="00C00DA7">
        <w:rPr>
          <w:rFonts w:ascii="Arial" w:hAnsi="Arial"/>
          <w:sz w:val="22"/>
          <w:szCs w:val="22"/>
        </w:rPr>
        <w:t>This is summarised in the table below as well as the expected patient/prescription numbers.</w:t>
      </w:r>
      <w:r w:rsidR="00161B02">
        <w:rPr>
          <w:rFonts w:ascii="Arial" w:hAnsi="Arial"/>
          <w:sz w:val="22"/>
          <w:szCs w:val="22"/>
        </w:rPr>
        <w:t xml:space="preserve"> </w:t>
      </w:r>
    </w:p>
    <w:p w:rsidR="005C32E2" w:rsidRDefault="005C32E2" w:rsidP="007453E6">
      <w:pPr>
        <w:rPr>
          <w:rFonts w:ascii="Arial Narrow" w:hAnsi="Arial Narrow"/>
          <w:b/>
          <w:sz w:val="22"/>
          <w:szCs w:val="22"/>
        </w:rPr>
      </w:pPr>
    </w:p>
    <w:p w:rsidR="005B6858" w:rsidRPr="00A81FBA" w:rsidRDefault="005B6858" w:rsidP="007453E6">
      <w:pPr>
        <w:keepNext/>
        <w:tabs>
          <w:tab w:val="left" w:pos="6211"/>
        </w:tabs>
        <w:ind w:firstLine="720"/>
        <w:rPr>
          <w:rFonts w:ascii="Arial Narrow" w:hAnsi="Arial Narrow"/>
          <w:b/>
          <w:sz w:val="22"/>
          <w:szCs w:val="22"/>
        </w:rPr>
      </w:pPr>
      <w:r w:rsidRPr="00A81FBA">
        <w:rPr>
          <w:rFonts w:ascii="Arial Narrow" w:hAnsi="Arial Narrow"/>
          <w:b/>
          <w:sz w:val="22"/>
          <w:szCs w:val="22"/>
        </w:rPr>
        <w:t>Table 2: Financial estimates</w:t>
      </w:r>
      <w:r w:rsidR="0035635D">
        <w:rPr>
          <w:rFonts w:ascii="Arial Narrow" w:hAnsi="Arial Narrow"/>
          <w:b/>
          <w:sz w:val="22"/>
          <w:szCs w:val="22"/>
        </w:rPr>
        <w:tab/>
      </w:r>
    </w:p>
    <w:tbl>
      <w:tblPr>
        <w:tblStyle w:val="TableGrid"/>
        <w:tblW w:w="8425" w:type="dxa"/>
        <w:jc w:val="right"/>
        <w:tblLayout w:type="fixed"/>
        <w:tblLook w:val="04A0" w:firstRow="1" w:lastRow="0" w:firstColumn="1" w:lastColumn="0" w:noHBand="0" w:noVBand="1"/>
        <w:tblCaption w:val="Table 2: Financial estimates "/>
        <w:tblDescription w:val="The redacted table shows the financial estimates. "/>
      </w:tblPr>
      <w:tblGrid>
        <w:gridCol w:w="2234"/>
        <w:gridCol w:w="1276"/>
        <w:gridCol w:w="1134"/>
        <w:gridCol w:w="1417"/>
        <w:gridCol w:w="1134"/>
        <w:gridCol w:w="1230"/>
      </w:tblGrid>
      <w:tr w:rsidR="00767BE3" w:rsidRPr="007453E6" w:rsidTr="009D36AB">
        <w:trPr>
          <w:tblHeader/>
          <w:jc w:val="right"/>
        </w:trPr>
        <w:tc>
          <w:tcPr>
            <w:tcW w:w="2234" w:type="dxa"/>
          </w:tcPr>
          <w:p w:rsidR="00767BE3" w:rsidRPr="006A358F" w:rsidRDefault="00767BE3" w:rsidP="007453E6">
            <w:pPr>
              <w:keepNext/>
              <w:jc w:val="both"/>
              <w:rPr>
                <w:rFonts w:ascii="Arial Narrow" w:hAnsi="Arial Narrow"/>
                <w:sz w:val="20"/>
                <w:szCs w:val="20"/>
              </w:rPr>
            </w:pPr>
          </w:p>
        </w:tc>
        <w:tc>
          <w:tcPr>
            <w:tcW w:w="1276" w:type="dxa"/>
          </w:tcPr>
          <w:p w:rsidR="00767BE3" w:rsidRPr="007453E6" w:rsidRDefault="00767BE3" w:rsidP="007453E6">
            <w:pPr>
              <w:keepNext/>
              <w:jc w:val="both"/>
              <w:rPr>
                <w:rFonts w:ascii="Arial Narrow" w:hAnsi="Arial Narrow"/>
                <w:b/>
                <w:sz w:val="20"/>
                <w:szCs w:val="20"/>
              </w:rPr>
            </w:pPr>
            <w:r w:rsidRPr="007453E6">
              <w:rPr>
                <w:rFonts w:ascii="Arial Narrow" w:hAnsi="Arial Narrow"/>
                <w:b/>
                <w:sz w:val="20"/>
                <w:szCs w:val="20"/>
              </w:rPr>
              <w:t>Year 1</w:t>
            </w:r>
          </w:p>
        </w:tc>
        <w:tc>
          <w:tcPr>
            <w:tcW w:w="1134" w:type="dxa"/>
          </w:tcPr>
          <w:p w:rsidR="00767BE3" w:rsidRPr="007453E6" w:rsidRDefault="00767BE3" w:rsidP="007453E6">
            <w:pPr>
              <w:keepNext/>
              <w:jc w:val="both"/>
              <w:rPr>
                <w:rFonts w:ascii="Arial Narrow" w:hAnsi="Arial Narrow"/>
                <w:b/>
                <w:sz w:val="20"/>
                <w:szCs w:val="20"/>
              </w:rPr>
            </w:pPr>
            <w:r w:rsidRPr="007453E6">
              <w:rPr>
                <w:rFonts w:ascii="Arial Narrow" w:hAnsi="Arial Narrow"/>
                <w:b/>
                <w:sz w:val="20"/>
                <w:szCs w:val="20"/>
              </w:rPr>
              <w:t>Year 2</w:t>
            </w:r>
          </w:p>
        </w:tc>
        <w:tc>
          <w:tcPr>
            <w:tcW w:w="1417" w:type="dxa"/>
          </w:tcPr>
          <w:p w:rsidR="00767BE3" w:rsidRPr="007453E6" w:rsidRDefault="00767BE3" w:rsidP="007453E6">
            <w:pPr>
              <w:keepNext/>
              <w:jc w:val="both"/>
              <w:rPr>
                <w:rFonts w:ascii="Arial Narrow" w:hAnsi="Arial Narrow"/>
                <w:b/>
                <w:sz w:val="20"/>
                <w:szCs w:val="20"/>
              </w:rPr>
            </w:pPr>
            <w:r w:rsidRPr="007453E6">
              <w:rPr>
                <w:rFonts w:ascii="Arial Narrow" w:hAnsi="Arial Narrow"/>
                <w:b/>
                <w:sz w:val="20"/>
                <w:szCs w:val="20"/>
              </w:rPr>
              <w:t>Year 3</w:t>
            </w:r>
          </w:p>
        </w:tc>
        <w:tc>
          <w:tcPr>
            <w:tcW w:w="1134" w:type="dxa"/>
          </w:tcPr>
          <w:p w:rsidR="00767BE3" w:rsidRPr="007453E6" w:rsidRDefault="00767BE3" w:rsidP="007453E6">
            <w:pPr>
              <w:keepNext/>
              <w:jc w:val="both"/>
              <w:rPr>
                <w:rFonts w:ascii="Arial Narrow" w:hAnsi="Arial Narrow"/>
                <w:b/>
                <w:sz w:val="20"/>
                <w:szCs w:val="20"/>
              </w:rPr>
            </w:pPr>
            <w:r w:rsidRPr="007453E6">
              <w:rPr>
                <w:rFonts w:ascii="Arial Narrow" w:hAnsi="Arial Narrow"/>
                <w:b/>
                <w:sz w:val="20"/>
                <w:szCs w:val="20"/>
              </w:rPr>
              <w:t>Year 4</w:t>
            </w:r>
          </w:p>
        </w:tc>
        <w:tc>
          <w:tcPr>
            <w:tcW w:w="1230" w:type="dxa"/>
          </w:tcPr>
          <w:p w:rsidR="00767BE3" w:rsidRPr="007453E6" w:rsidRDefault="00767BE3" w:rsidP="007453E6">
            <w:pPr>
              <w:keepNext/>
              <w:jc w:val="both"/>
              <w:rPr>
                <w:rFonts w:ascii="Arial Narrow" w:hAnsi="Arial Narrow"/>
                <w:b/>
                <w:sz w:val="20"/>
                <w:szCs w:val="20"/>
              </w:rPr>
            </w:pPr>
            <w:r w:rsidRPr="007453E6">
              <w:rPr>
                <w:rFonts w:ascii="Arial Narrow" w:hAnsi="Arial Narrow"/>
                <w:b/>
                <w:sz w:val="20"/>
                <w:szCs w:val="20"/>
              </w:rPr>
              <w:t>Year 5</w:t>
            </w:r>
          </w:p>
        </w:tc>
      </w:tr>
      <w:tr w:rsidR="00BE3A59" w:rsidRPr="007453E6" w:rsidTr="00751D78">
        <w:trPr>
          <w:trHeight w:val="300"/>
          <w:jc w:val="right"/>
        </w:trPr>
        <w:tc>
          <w:tcPr>
            <w:tcW w:w="8425" w:type="dxa"/>
            <w:gridSpan w:val="6"/>
            <w:hideMark/>
          </w:tcPr>
          <w:p w:rsidR="00BE3A59" w:rsidRPr="007453E6" w:rsidRDefault="00122EEA" w:rsidP="007453E6">
            <w:pPr>
              <w:keepNext/>
              <w:rPr>
                <w:rFonts w:ascii="Arial Narrow" w:hAnsi="Arial Narrow" w:cs="Arial"/>
                <w:b/>
                <w:bCs/>
                <w:sz w:val="20"/>
                <w:szCs w:val="20"/>
              </w:rPr>
            </w:pPr>
            <w:r w:rsidRPr="007453E6">
              <w:rPr>
                <w:rFonts w:ascii="Arial Narrow" w:hAnsi="Arial Narrow" w:cs="Arial"/>
                <w:b/>
                <w:bCs/>
                <w:sz w:val="20"/>
                <w:szCs w:val="20"/>
              </w:rPr>
              <w:t>Patient numbers, pack numbers, and cost</w:t>
            </w:r>
            <w:r w:rsidR="006A358F" w:rsidRPr="007453E6">
              <w:rPr>
                <w:rFonts w:ascii="Arial Narrow" w:hAnsi="Arial Narrow" w:cs="Arial"/>
                <w:b/>
                <w:bCs/>
                <w:sz w:val="20"/>
                <w:szCs w:val="20"/>
              </w:rPr>
              <w:t xml:space="preserve"> of leuprorelin 6 month (intramuscular)</w:t>
            </w:r>
          </w:p>
        </w:tc>
      </w:tr>
      <w:tr w:rsidR="00122EEA" w:rsidRPr="007453E6" w:rsidTr="00751D78">
        <w:trPr>
          <w:trHeight w:val="300"/>
          <w:jc w:val="right"/>
        </w:trPr>
        <w:tc>
          <w:tcPr>
            <w:tcW w:w="2234" w:type="dxa"/>
          </w:tcPr>
          <w:p w:rsidR="00122EEA" w:rsidRPr="007453E6" w:rsidRDefault="00122EEA" w:rsidP="007453E6">
            <w:pPr>
              <w:keepNext/>
              <w:rPr>
                <w:rFonts w:ascii="Arial Narrow" w:hAnsi="Arial Narrow" w:cs="Arial"/>
                <w:sz w:val="20"/>
                <w:szCs w:val="20"/>
              </w:rPr>
            </w:pPr>
            <w:r w:rsidRPr="007453E6">
              <w:rPr>
                <w:rFonts w:ascii="Arial Narrow" w:hAnsi="Arial Narrow" w:cs="Arial"/>
                <w:sz w:val="20"/>
                <w:szCs w:val="20"/>
              </w:rPr>
              <w:t>Number of patients</w:t>
            </w:r>
          </w:p>
        </w:tc>
        <w:tc>
          <w:tcPr>
            <w:tcW w:w="1276"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134"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417"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134"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30"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122EEA" w:rsidRPr="007453E6" w:rsidTr="00751D78">
        <w:trPr>
          <w:trHeight w:val="300"/>
          <w:jc w:val="right"/>
        </w:trPr>
        <w:tc>
          <w:tcPr>
            <w:tcW w:w="2234" w:type="dxa"/>
          </w:tcPr>
          <w:p w:rsidR="00122EEA" w:rsidRPr="007453E6" w:rsidRDefault="00122EEA" w:rsidP="007453E6">
            <w:pPr>
              <w:keepNext/>
              <w:rPr>
                <w:rFonts w:ascii="Arial Narrow" w:hAnsi="Arial Narrow" w:cs="Arial"/>
                <w:sz w:val="20"/>
                <w:szCs w:val="20"/>
              </w:rPr>
            </w:pPr>
            <w:r w:rsidRPr="007453E6">
              <w:rPr>
                <w:rFonts w:ascii="Arial Narrow" w:hAnsi="Arial Narrow" w:cs="Arial"/>
                <w:sz w:val="20"/>
                <w:szCs w:val="20"/>
              </w:rPr>
              <w:t>Number of packs</w:t>
            </w:r>
          </w:p>
        </w:tc>
        <w:tc>
          <w:tcPr>
            <w:tcW w:w="1276"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134"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417"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134"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c>
          <w:tcPr>
            <w:tcW w:w="1230" w:type="dxa"/>
            <w:noWrap/>
          </w:tcPr>
          <w:p w:rsidR="00122EEA" w:rsidRPr="00FB00AE" w:rsidRDefault="00FB00AE" w:rsidP="007453E6">
            <w:pPr>
              <w:keepNext/>
              <w:rPr>
                <w:rFonts w:ascii="Arial Narrow" w:hAnsi="Arial Narrow" w:cs="Arial"/>
                <w:color w:val="000000"/>
                <w:sz w:val="20"/>
                <w:szCs w:val="20"/>
                <w:highlight w:val="black"/>
              </w:rPr>
            </w:pPr>
            <w:r>
              <w:rPr>
                <w:rFonts w:ascii="Arial Narrow" w:hAnsi="Arial Narrow" w:cs="Arial"/>
                <w:noProof/>
                <w:color w:val="000000"/>
                <w:sz w:val="20"/>
                <w:szCs w:val="20"/>
                <w:highlight w:val="black"/>
              </w:rPr>
              <w:t>'''''''''''''</w:t>
            </w:r>
          </w:p>
        </w:tc>
      </w:tr>
      <w:tr w:rsidR="00BE3A59" w:rsidRPr="007453E6" w:rsidTr="00751D78">
        <w:trPr>
          <w:trHeight w:val="300"/>
          <w:jc w:val="right"/>
        </w:trPr>
        <w:tc>
          <w:tcPr>
            <w:tcW w:w="2234" w:type="dxa"/>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Net cost to PBS</w:t>
            </w:r>
          </w:p>
        </w:tc>
        <w:tc>
          <w:tcPr>
            <w:tcW w:w="1276"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 xml:space="preserve">'''''''''''''''''''''' </w:t>
            </w:r>
          </w:p>
        </w:tc>
        <w:tc>
          <w:tcPr>
            <w:tcW w:w="1417"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RPr="007453E6" w:rsidTr="00751D78">
        <w:trPr>
          <w:trHeight w:val="300"/>
          <w:jc w:val="right"/>
        </w:trPr>
        <w:tc>
          <w:tcPr>
            <w:tcW w:w="2234" w:type="dxa"/>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Net cost to RPBS</w:t>
            </w:r>
          </w:p>
        </w:tc>
        <w:tc>
          <w:tcPr>
            <w:tcW w:w="1276"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RPr="007453E6" w:rsidTr="00751D78">
        <w:trPr>
          <w:trHeight w:val="300"/>
          <w:jc w:val="right"/>
        </w:trPr>
        <w:tc>
          <w:tcPr>
            <w:tcW w:w="2234" w:type="dxa"/>
            <w:tcBorders>
              <w:bottom w:val="single" w:sz="4" w:space="0" w:color="auto"/>
            </w:tcBorders>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Total net cost</w:t>
            </w:r>
          </w:p>
        </w:tc>
        <w:tc>
          <w:tcPr>
            <w:tcW w:w="1276" w:type="dxa"/>
            <w:tcBorders>
              <w:bottom w:val="single" w:sz="4" w:space="0" w:color="auto"/>
            </w:tcBorders>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tcBorders>
              <w:bottom w:val="single" w:sz="4" w:space="0" w:color="auto"/>
            </w:tcBorders>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tcBorders>
              <w:bottom w:val="single" w:sz="4" w:space="0" w:color="auto"/>
            </w:tcBorders>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RPr="007453E6" w:rsidTr="00751D78">
        <w:trPr>
          <w:trHeight w:val="300"/>
          <w:jc w:val="right"/>
        </w:trPr>
        <w:tc>
          <w:tcPr>
            <w:tcW w:w="8425" w:type="dxa"/>
            <w:gridSpan w:val="6"/>
            <w:tcBorders>
              <w:bottom w:val="single" w:sz="4" w:space="0" w:color="auto"/>
            </w:tcBorders>
          </w:tcPr>
          <w:p w:rsidR="00BE3A59" w:rsidRPr="007453E6" w:rsidRDefault="00BE3A59" w:rsidP="007453E6">
            <w:pPr>
              <w:keepNext/>
              <w:rPr>
                <w:rFonts w:ascii="Arial Narrow" w:hAnsi="Arial Narrow" w:cs="Arial"/>
                <w:b/>
                <w:color w:val="000000"/>
                <w:sz w:val="20"/>
                <w:szCs w:val="20"/>
              </w:rPr>
            </w:pPr>
            <w:r w:rsidRPr="007453E6">
              <w:rPr>
                <w:rFonts w:ascii="Arial Narrow" w:hAnsi="Arial Narrow" w:cs="Arial"/>
                <w:b/>
                <w:color w:val="000000"/>
                <w:sz w:val="20"/>
                <w:szCs w:val="20"/>
              </w:rPr>
              <w:t>Substitution from leuprorelin acetate 3 and 4 month (intram</w:t>
            </w:r>
            <w:r w:rsidR="006A358F" w:rsidRPr="007453E6">
              <w:rPr>
                <w:rFonts w:ascii="Arial Narrow" w:hAnsi="Arial Narrow" w:cs="Arial"/>
                <w:b/>
                <w:color w:val="000000"/>
                <w:sz w:val="20"/>
                <w:szCs w:val="20"/>
              </w:rPr>
              <w:t>uscular formulation) and leuprorelin</w:t>
            </w:r>
            <w:r w:rsidR="007453E6">
              <w:rPr>
                <w:rFonts w:ascii="Arial Narrow" w:hAnsi="Arial Narrow" w:cs="Arial"/>
                <w:b/>
                <w:color w:val="000000"/>
                <w:sz w:val="20"/>
                <w:szCs w:val="20"/>
              </w:rPr>
              <w:t xml:space="preserve"> acetate 6 </w:t>
            </w:r>
            <w:r w:rsidRPr="007453E6">
              <w:rPr>
                <w:rFonts w:ascii="Arial Narrow" w:hAnsi="Arial Narrow" w:cs="Arial"/>
                <w:b/>
                <w:color w:val="000000"/>
                <w:sz w:val="20"/>
                <w:szCs w:val="20"/>
              </w:rPr>
              <w:t>month (subcutaneous formulation)</w:t>
            </w:r>
          </w:p>
        </w:tc>
      </w:tr>
      <w:tr w:rsidR="00BE3A59" w:rsidRPr="007453E6" w:rsidTr="00751D78">
        <w:trPr>
          <w:trHeight w:val="300"/>
          <w:jc w:val="right"/>
        </w:trPr>
        <w:tc>
          <w:tcPr>
            <w:tcW w:w="2234" w:type="dxa"/>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Net saving to PBS</w:t>
            </w:r>
          </w:p>
        </w:tc>
        <w:tc>
          <w:tcPr>
            <w:tcW w:w="1276"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RPr="007453E6" w:rsidTr="00751D78">
        <w:trPr>
          <w:trHeight w:val="300"/>
          <w:jc w:val="right"/>
        </w:trPr>
        <w:tc>
          <w:tcPr>
            <w:tcW w:w="2234" w:type="dxa"/>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Net saving to RPBS</w:t>
            </w:r>
          </w:p>
        </w:tc>
        <w:tc>
          <w:tcPr>
            <w:tcW w:w="1276"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 xml:space="preserve">'''''''''''''''''''''''''' </w:t>
            </w:r>
          </w:p>
        </w:tc>
      </w:tr>
      <w:tr w:rsidR="00BE3A59" w:rsidRPr="007453E6" w:rsidTr="00751D78">
        <w:trPr>
          <w:trHeight w:val="300"/>
          <w:jc w:val="right"/>
        </w:trPr>
        <w:tc>
          <w:tcPr>
            <w:tcW w:w="2234" w:type="dxa"/>
            <w:hideMark/>
          </w:tcPr>
          <w:p w:rsidR="00BE3A59" w:rsidRPr="007453E6" w:rsidRDefault="00BE3A59" w:rsidP="007453E6">
            <w:pPr>
              <w:keepNext/>
              <w:rPr>
                <w:rFonts w:ascii="Arial Narrow" w:hAnsi="Arial Narrow" w:cs="Arial"/>
                <w:sz w:val="20"/>
                <w:szCs w:val="20"/>
              </w:rPr>
            </w:pPr>
            <w:r w:rsidRPr="007453E6">
              <w:rPr>
                <w:rFonts w:ascii="Arial Narrow" w:hAnsi="Arial Narrow" w:cs="Arial"/>
                <w:sz w:val="20"/>
                <w:szCs w:val="20"/>
              </w:rPr>
              <w:t>Total net saving</w:t>
            </w:r>
          </w:p>
        </w:tc>
        <w:tc>
          <w:tcPr>
            <w:tcW w:w="1276"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BE3A59" w:rsidRPr="007453E6" w:rsidRDefault="006A358F" w:rsidP="007453E6">
            <w:pPr>
              <w:keepNext/>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00BE3A59" w:rsidRPr="007453E6">
              <w:rPr>
                <w:rFonts w:ascii="Arial Narrow" w:hAnsi="Arial Narrow" w:cs="Arial"/>
                <w:color w:val="000000"/>
                <w:sz w:val="20"/>
                <w:szCs w:val="20"/>
              </w:rPr>
              <w:t xml:space="preserve"> </w:t>
            </w:r>
          </w:p>
        </w:tc>
        <w:tc>
          <w:tcPr>
            <w:tcW w:w="1230" w:type="dxa"/>
            <w:noWrap/>
            <w:hideMark/>
          </w:tcPr>
          <w:p w:rsidR="00BE3A59" w:rsidRPr="007453E6" w:rsidRDefault="00BE3A59" w:rsidP="007453E6">
            <w:pPr>
              <w:keepNext/>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RPr="007453E6" w:rsidTr="00751D78">
        <w:trPr>
          <w:trHeight w:val="300"/>
          <w:jc w:val="right"/>
        </w:trPr>
        <w:tc>
          <w:tcPr>
            <w:tcW w:w="8425" w:type="dxa"/>
            <w:gridSpan w:val="6"/>
          </w:tcPr>
          <w:p w:rsidR="00BE3A59" w:rsidRPr="007453E6" w:rsidRDefault="00BE3A59" w:rsidP="007453E6">
            <w:pPr>
              <w:keepNext/>
              <w:rPr>
                <w:rFonts w:ascii="Arial Narrow" w:hAnsi="Arial Narrow" w:cs="Arial"/>
                <w:b/>
                <w:color w:val="000000"/>
                <w:sz w:val="20"/>
                <w:szCs w:val="20"/>
              </w:rPr>
            </w:pPr>
            <w:r w:rsidRPr="007453E6">
              <w:rPr>
                <w:rFonts w:ascii="Arial Narrow" w:hAnsi="Arial Narrow" w:cs="Arial"/>
                <w:b/>
                <w:color w:val="000000"/>
                <w:sz w:val="20"/>
                <w:szCs w:val="20"/>
              </w:rPr>
              <w:t>Net cost to the PBS/RPBS</w:t>
            </w:r>
          </w:p>
        </w:tc>
      </w:tr>
      <w:tr w:rsidR="00BE3A59" w:rsidRPr="007453E6" w:rsidTr="00751D78">
        <w:trPr>
          <w:trHeight w:val="300"/>
          <w:jc w:val="right"/>
        </w:trPr>
        <w:tc>
          <w:tcPr>
            <w:tcW w:w="2234" w:type="dxa"/>
            <w:shd w:val="clear" w:color="auto" w:fill="D9D9D9" w:themeFill="background1" w:themeFillShade="D9"/>
            <w:hideMark/>
          </w:tcPr>
          <w:p w:rsidR="00767BE3" w:rsidRPr="007453E6" w:rsidRDefault="00767BE3" w:rsidP="007453E6">
            <w:pPr>
              <w:keepNext/>
              <w:rPr>
                <w:rFonts w:ascii="Arial Narrow" w:hAnsi="Arial Narrow" w:cs="Arial"/>
                <w:b/>
                <w:sz w:val="20"/>
                <w:szCs w:val="20"/>
              </w:rPr>
            </w:pPr>
            <w:r w:rsidRPr="007453E6">
              <w:rPr>
                <w:rFonts w:ascii="Arial Narrow" w:hAnsi="Arial Narrow" w:cs="Arial"/>
                <w:b/>
                <w:sz w:val="20"/>
                <w:szCs w:val="20"/>
              </w:rPr>
              <w:t>Net cost to PBS</w:t>
            </w:r>
          </w:p>
        </w:tc>
        <w:tc>
          <w:tcPr>
            <w:tcW w:w="1276" w:type="dxa"/>
            <w:shd w:val="clear" w:color="auto" w:fill="D9D9D9" w:themeFill="background1" w:themeFillShade="D9"/>
            <w:noWrap/>
            <w:hideMark/>
          </w:tcPr>
          <w:p w:rsidR="00767BE3" w:rsidRPr="007453E6" w:rsidRDefault="00767BE3" w:rsidP="007453E6">
            <w:pPr>
              <w:keepNext/>
              <w:rPr>
                <w:rFonts w:ascii="Arial Narrow" w:hAnsi="Arial Narrow" w:cs="Arial"/>
                <w:b/>
                <w:color w:val="000000"/>
                <w:sz w:val="20"/>
                <w:szCs w:val="20"/>
              </w:rPr>
            </w:pPr>
            <w:r w:rsidRPr="007453E6">
              <w:rPr>
                <w:rFonts w:ascii="Arial Narrow" w:hAnsi="Arial Narrow" w:cs="Arial"/>
                <w:b/>
                <w:color w:val="000000"/>
                <w:sz w:val="20"/>
                <w:szCs w:val="20"/>
              </w:rPr>
              <w:t>-$</w:t>
            </w:r>
            <w:r w:rsidR="00FB00AE">
              <w:rPr>
                <w:rFonts w:ascii="Arial Narrow" w:hAnsi="Arial Narrow" w:cs="Arial"/>
                <w:b/>
                <w:noProof/>
                <w:color w:val="000000"/>
                <w:sz w:val="20"/>
                <w:szCs w:val="20"/>
                <w:highlight w:val="black"/>
              </w:rPr>
              <w:t>''''''''''''''''</w:t>
            </w:r>
            <w:r w:rsidRPr="007453E6">
              <w:rPr>
                <w:rFonts w:ascii="Arial Narrow" w:hAnsi="Arial Narrow" w:cs="Arial"/>
                <w:b/>
                <w:color w:val="000000"/>
                <w:sz w:val="20"/>
                <w:szCs w:val="20"/>
              </w:rPr>
              <w:t xml:space="preserve"> </w:t>
            </w:r>
          </w:p>
        </w:tc>
        <w:tc>
          <w:tcPr>
            <w:tcW w:w="1134" w:type="dxa"/>
            <w:shd w:val="clear" w:color="auto" w:fill="D9D9D9" w:themeFill="background1" w:themeFillShade="D9"/>
            <w:noWrap/>
            <w:hideMark/>
          </w:tcPr>
          <w:p w:rsidR="00767BE3" w:rsidRPr="007453E6" w:rsidRDefault="00767BE3" w:rsidP="007453E6">
            <w:pPr>
              <w:keepNext/>
              <w:rPr>
                <w:rFonts w:ascii="Arial Narrow" w:hAnsi="Arial Narrow" w:cs="Arial"/>
                <w:b/>
                <w:color w:val="000000"/>
                <w:sz w:val="20"/>
                <w:szCs w:val="20"/>
              </w:rPr>
            </w:pPr>
            <w:r w:rsidRPr="007453E6">
              <w:rPr>
                <w:rFonts w:ascii="Arial Narrow" w:hAnsi="Arial Narrow" w:cs="Arial"/>
                <w:b/>
                <w:color w:val="000000"/>
                <w:sz w:val="20"/>
                <w:szCs w:val="20"/>
              </w:rPr>
              <w:t>-$</w:t>
            </w:r>
            <w:r w:rsidR="00FB00AE">
              <w:rPr>
                <w:rFonts w:ascii="Arial Narrow" w:hAnsi="Arial Narrow" w:cs="Arial"/>
                <w:b/>
                <w:noProof/>
                <w:color w:val="000000"/>
                <w:sz w:val="20"/>
                <w:szCs w:val="20"/>
                <w:highlight w:val="black"/>
              </w:rPr>
              <w:t>''''''''''''''''''</w:t>
            </w:r>
            <w:r w:rsidRPr="007453E6">
              <w:rPr>
                <w:rFonts w:ascii="Arial Narrow" w:hAnsi="Arial Narrow" w:cs="Arial"/>
                <w:b/>
                <w:color w:val="000000"/>
                <w:sz w:val="20"/>
                <w:szCs w:val="20"/>
              </w:rPr>
              <w:t xml:space="preserve"> </w:t>
            </w:r>
          </w:p>
        </w:tc>
        <w:tc>
          <w:tcPr>
            <w:tcW w:w="1417" w:type="dxa"/>
            <w:shd w:val="clear" w:color="auto" w:fill="D9D9D9" w:themeFill="background1" w:themeFillShade="D9"/>
            <w:noWrap/>
            <w:hideMark/>
          </w:tcPr>
          <w:p w:rsidR="00767BE3" w:rsidRPr="007453E6" w:rsidRDefault="00767BE3" w:rsidP="007453E6">
            <w:pPr>
              <w:keepNext/>
              <w:rPr>
                <w:rFonts w:ascii="Arial Narrow" w:hAnsi="Arial Narrow" w:cs="Arial"/>
                <w:b/>
                <w:color w:val="000000"/>
                <w:sz w:val="20"/>
                <w:szCs w:val="20"/>
              </w:rPr>
            </w:pPr>
            <w:r w:rsidRPr="007453E6">
              <w:rPr>
                <w:rFonts w:ascii="Arial Narrow" w:hAnsi="Arial Narrow" w:cs="Arial"/>
                <w:b/>
                <w:color w:val="000000"/>
                <w:sz w:val="20"/>
                <w:szCs w:val="20"/>
              </w:rPr>
              <w:t>-$</w:t>
            </w:r>
            <w:r w:rsidR="00FB00AE">
              <w:rPr>
                <w:rFonts w:ascii="Arial Narrow" w:hAnsi="Arial Narrow" w:cs="Arial"/>
                <w:b/>
                <w:noProof/>
                <w:color w:val="000000"/>
                <w:sz w:val="20"/>
                <w:szCs w:val="20"/>
                <w:highlight w:val="black"/>
              </w:rPr>
              <w:t>''''''''''''''''</w:t>
            </w:r>
            <w:r w:rsidRPr="007453E6">
              <w:rPr>
                <w:rFonts w:ascii="Arial Narrow" w:hAnsi="Arial Narrow" w:cs="Arial"/>
                <w:b/>
                <w:color w:val="000000"/>
                <w:sz w:val="20"/>
                <w:szCs w:val="20"/>
              </w:rPr>
              <w:t xml:space="preserve"> </w:t>
            </w:r>
          </w:p>
        </w:tc>
        <w:tc>
          <w:tcPr>
            <w:tcW w:w="1134" w:type="dxa"/>
            <w:shd w:val="clear" w:color="auto" w:fill="D9D9D9" w:themeFill="background1" w:themeFillShade="D9"/>
            <w:noWrap/>
            <w:hideMark/>
          </w:tcPr>
          <w:p w:rsidR="00767BE3" w:rsidRPr="007453E6" w:rsidRDefault="00767BE3" w:rsidP="007453E6">
            <w:pPr>
              <w:keepNext/>
              <w:rPr>
                <w:rFonts w:ascii="Arial Narrow" w:hAnsi="Arial Narrow" w:cs="Arial"/>
                <w:b/>
                <w:color w:val="000000"/>
                <w:sz w:val="20"/>
                <w:szCs w:val="20"/>
              </w:rPr>
            </w:pPr>
            <w:r w:rsidRPr="007453E6">
              <w:rPr>
                <w:rFonts w:ascii="Arial Narrow" w:hAnsi="Arial Narrow" w:cs="Arial"/>
                <w:b/>
                <w:color w:val="000000"/>
                <w:sz w:val="20"/>
                <w:szCs w:val="20"/>
              </w:rPr>
              <w:t>-$</w:t>
            </w:r>
            <w:r w:rsidR="00FB00AE">
              <w:rPr>
                <w:rFonts w:ascii="Arial Narrow" w:hAnsi="Arial Narrow" w:cs="Arial"/>
                <w:b/>
                <w:noProof/>
                <w:color w:val="000000"/>
                <w:sz w:val="20"/>
                <w:szCs w:val="20"/>
                <w:highlight w:val="black"/>
              </w:rPr>
              <w:t>'''''''''''''''</w:t>
            </w:r>
            <w:r w:rsidRPr="007453E6">
              <w:rPr>
                <w:rFonts w:ascii="Arial Narrow" w:hAnsi="Arial Narrow" w:cs="Arial"/>
                <w:b/>
                <w:color w:val="000000"/>
                <w:sz w:val="20"/>
                <w:szCs w:val="20"/>
              </w:rPr>
              <w:t xml:space="preserve"> </w:t>
            </w:r>
          </w:p>
        </w:tc>
        <w:tc>
          <w:tcPr>
            <w:tcW w:w="1230" w:type="dxa"/>
            <w:shd w:val="clear" w:color="auto" w:fill="D9D9D9" w:themeFill="background1" w:themeFillShade="D9"/>
            <w:noWrap/>
            <w:hideMark/>
          </w:tcPr>
          <w:p w:rsidR="00767BE3" w:rsidRPr="007453E6" w:rsidRDefault="00767BE3" w:rsidP="007453E6">
            <w:pPr>
              <w:keepNext/>
              <w:rPr>
                <w:rFonts w:ascii="Arial Narrow" w:hAnsi="Arial Narrow" w:cs="Arial"/>
                <w:b/>
                <w:color w:val="000000"/>
                <w:sz w:val="20"/>
                <w:szCs w:val="20"/>
              </w:rPr>
            </w:pPr>
            <w:r w:rsidRPr="007453E6">
              <w:rPr>
                <w:rFonts w:ascii="Arial Narrow" w:hAnsi="Arial Narrow" w:cs="Arial"/>
                <w:b/>
                <w:color w:val="000000"/>
                <w:sz w:val="20"/>
                <w:szCs w:val="20"/>
              </w:rPr>
              <w:t>-$</w:t>
            </w:r>
            <w:r w:rsidR="00FB00AE">
              <w:rPr>
                <w:rFonts w:ascii="Arial Narrow" w:hAnsi="Arial Narrow" w:cs="Arial"/>
                <w:b/>
                <w:noProof/>
                <w:color w:val="000000"/>
                <w:sz w:val="20"/>
                <w:szCs w:val="20"/>
                <w:highlight w:val="black"/>
              </w:rPr>
              <w:t>''''''''''''''''</w:t>
            </w:r>
            <w:r w:rsidRPr="007453E6">
              <w:rPr>
                <w:rFonts w:ascii="Arial Narrow" w:hAnsi="Arial Narrow" w:cs="Arial"/>
                <w:b/>
                <w:color w:val="000000"/>
                <w:sz w:val="20"/>
                <w:szCs w:val="20"/>
              </w:rPr>
              <w:t xml:space="preserve"> </w:t>
            </w:r>
          </w:p>
        </w:tc>
      </w:tr>
      <w:tr w:rsidR="00BE3A59" w:rsidRPr="007453E6" w:rsidTr="00751D78">
        <w:trPr>
          <w:trHeight w:val="300"/>
          <w:jc w:val="right"/>
        </w:trPr>
        <w:tc>
          <w:tcPr>
            <w:tcW w:w="2234" w:type="dxa"/>
            <w:hideMark/>
          </w:tcPr>
          <w:p w:rsidR="00767BE3" w:rsidRPr="007453E6" w:rsidRDefault="00767BE3" w:rsidP="007453E6">
            <w:pPr>
              <w:rPr>
                <w:rFonts w:ascii="Arial Narrow" w:hAnsi="Arial Narrow" w:cs="Arial"/>
                <w:sz w:val="20"/>
                <w:szCs w:val="20"/>
              </w:rPr>
            </w:pPr>
            <w:r w:rsidRPr="007453E6">
              <w:rPr>
                <w:rFonts w:ascii="Arial Narrow" w:hAnsi="Arial Narrow" w:cs="Arial"/>
                <w:sz w:val="20"/>
                <w:szCs w:val="20"/>
              </w:rPr>
              <w:t>Net cost to RPBS</w:t>
            </w:r>
          </w:p>
        </w:tc>
        <w:tc>
          <w:tcPr>
            <w:tcW w:w="1276" w:type="dxa"/>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 xml:space="preserve">-$ </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r w:rsidR="00BE3A59" w:rsidTr="00751D78">
        <w:trPr>
          <w:trHeight w:val="300"/>
          <w:jc w:val="right"/>
        </w:trPr>
        <w:tc>
          <w:tcPr>
            <w:tcW w:w="2234" w:type="dxa"/>
            <w:shd w:val="clear" w:color="auto" w:fill="FFFFFF" w:themeFill="background1"/>
            <w:hideMark/>
          </w:tcPr>
          <w:p w:rsidR="00767BE3" w:rsidRPr="007453E6" w:rsidRDefault="00767BE3" w:rsidP="007453E6">
            <w:pPr>
              <w:rPr>
                <w:rFonts w:ascii="Arial Narrow" w:hAnsi="Arial Narrow" w:cs="Arial"/>
                <w:sz w:val="20"/>
                <w:szCs w:val="20"/>
              </w:rPr>
            </w:pPr>
            <w:r w:rsidRPr="007453E6">
              <w:rPr>
                <w:rFonts w:ascii="Arial Narrow" w:hAnsi="Arial Narrow" w:cs="Arial"/>
                <w:sz w:val="20"/>
                <w:szCs w:val="20"/>
              </w:rPr>
              <w:t>Total net cost to PBS/RPBS</w:t>
            </w:r>
          </w:p>
        </w:tc>
        <w:tc>
          <w:tcPr>
            <w:tcW w:w="1276" w:type="dxa"/>
            <w:shd w:val="clear" w:color="auto" w:fill="FFFFFF" w:themeFill="background1"/>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shd w:val="clear" w:color="auto" w:fill="FFFFFF" w:themeFill="background1"/>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417" w:type="dxa"/>
            <w:shd w:val="clear" w:color="auto" w:fill="FFFFFF" w:themeFill="background1"/>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134" w:type="dxa"/>
            <w:shd w:val="clear" w:color="auto" w:fill="FFFFFF" w:themeFill="background1"/>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c>
          <w:tcPr>
            <w:tcW w:w="1230" w:type="dxa"/>
            <w:shd w:val="clear" w:color="auto" w:fill="FFFFFF" w:themeFill="background1"/>
            <w:noWrap/>
            <w:hideMark/>
          </w:tcPr>
          <w:p w:rsidR="00767BE3" w:rsidRPr="007453E6" w:rsidRDefault="00767BE3" w:rsidP="007453E6">
            <w:pPr>
              <w:rPr>
                <w:rFonts w:ascii="Arial Narrow" w:hAnsi="Arial Narrow" w:cs="Arial"/>
                <w:color w:val="000000"/>
                <w:sz w:val="20"/>
                <w:szCs w:val="20"/>
              </w:rPr>
            </w:pPr>
            <w:r w:rsidRPr="007453E6">
              <w:rPr>
                <w:rFonts w:ascii="Arial Narrow" w:hAnsi="Arial Narrow" w:cs="Arial"/>
                <w:color w:val="000000"/>
                <w:sz w:val="20"/>
                <w:szCs w:val="20"/>
              </w:rPr>
              <w:t>-$</w:t>
            </w:r>
            <w:r w:rsidR="00FB00AE">
              <w:rPr>
                <w:rFonts w:ascii="Arial Narrow" w:hAnsi="Arial Narrow" w:cs="Arial"/>
                <w:noProof/>
                <w:color w:val="000000"/>
                <w:sz w:val="20"/>
                <w:szCs w:val="20"/>
                <w:highlight w:val="black"/>
              </w:rPr>
              <w:t>''''''''''''''''''''</w:t>
            </w:r>
            <w:r w:rsidRPr="007453E6">
              <w:rPr>
                <w:rFonts w:ascii="Arial Narrow" w:hAnsi="Arial Narrow" w:cs="Arial"/>
                <w:color w:val="000000"/>
                <w:sz w:val="20"/>
                <w:szCs w:val="20"/>
              </w:rPr>
              <w:t xml:space="preserve"> </w:t>
            </w:r>
          </w:p>
        </w:tc>
      </w:tr>
    </w:tbl>
    <w:p w:rsidR="00A74B8B" w:rsidRDefault="00A74B8B" w:rsidP="007453E6"/>
    <w:p w:rsidR="00751D78" w:rsidRDefault="00751D78" w:rsidP="009D36AB">
      <w:pPr>
        <w:ind w:left="720"/>
        <w:jc w:val="both"/>
        <w:rPr>
          <w:rFonts w:ascii="Arial" w:hAnsi="Arial"/>
          <w:i/>
          <w:sz w:val="22"/>
          <w:szCs w:val="22"/>
        </w:rPr>
      </w:pPr>
      <w:r w:rsidRPr="009D36AB">
        <w:rPr>
          <w:rFonts w:ascii="Arial" w:hAnsi="Arial"/>
          <w:i/>
          <w:sz w:val="22"/>
          <w:szCs w:val="22"/>
        </w:rPr>
        <w:t xml:space="preserve">The redacted </w:t>
      </w:r>
      <w:r w:rsidR="009D36AB" w:rsidRPr="009D36AB">
        <w:rPr>
          <w:rFonts w:ascii="Arial" w:hAnsi="Arial"/>
          <w:i/>
          <w:sz w:val="22"/>
          <w:szCs w:val="22"/>
        </w:rPr>
        <w:t>table above shows that at year 5, the estimated number of packs was less than 10,000 and the net save to the PBS/RPBS would be less than $10 million per year.</w:t>
      </w:r>
      <w:r w:rsidR="009D36AB">
        <w:rPr>
          <w:rFonts w:ascii="Arial" w:hAnsi="Arial"/>
          <w:i/>
          <w:sz w:val="22"/>
          <w:szCs w:val="22"/>
        </w:rPr>
        <w:t xml:space="preserve"> </w:t>
      </w:r>
    </w:p>
    <w:p w:rsidR="00751D78" w:rsidRDefault="00751D78" w:rsidP="007453E6">
      <w:pPr>
        <w:ind w:firstLine="720"/>
        <w:jc w:val="both"/>
        <w:rPr>
          <w:rFonts w:ascii="Arial" w:hAnsi="Arial"/>
          <w:i/>
          <w:sz w:val="22"/>
          <w:szCs w:val="22"/>
        </w:rPr>
      </w:pPr>
    </w:p>
    <w:p w:rsidR="007D060A" w:rsidRPr="00A81FBA" w:rsidRDefault="007D060A" w:rsidP="007453E6">
      <w:pPr>
        <w:ind w:firstLine="720"/>
        <w:jc w:val="both"/>
        <w:rPr>
          <w:rFonts w:ascii="Arial" w:hAnsi="Arial"/>
          <w:i/>
          <w:sz w:val="22"/>
          <w:szCs w:val="22"/>
        </w:rPr>
      </w:pPr>
      <w:r w:rsidRPr="00980571">
        <w:rPr>
          <w:rFonts w:ascii="Arial" w:hAnsi="Arial"/>
          <w:i/>
          <w:sz w:val="22"/>
          <w:szCs w:val="22"/>
        </w:rPr>
        <w:t>For more detail on PBAC’s view, see section 6 “PBAC outcome”</w:t>
      </w:r>
    </w:p>
    <w:p w:rsidR="00CD4074" w:rsidRDefault="00CD4074" w:rsidP="007453E6">
      <w:pPr>
        <w:ind w:left="720"/>
        <w:jc w:val="both"/>
        <w:rPr>
          <w:rFonts w:ascii="Arial" w:hAnsi="Arial"/>
          <w:sz w:val="22"/>
          <w:szCs w:val="22"/>
        </w:rPr>
      </w:pPr>
    </w:p>
    <w:p w:rsidR="007453E6" w:rsidRPr="00C00DA7" w:rsidRDefault="007453E6" w:rsidP="007453E6">
      <w:pPr>
        <w:ind w:left="720"/>
        <w:jc w:val="both"/>
        <w:rPr>
          <w:rFonts w:ascii="Arial" w:hAnsi="Arial"/>
          <w:sz w:val="22"/>
          <w:szCs w:val="22"/>
        </w:rPr>
      </w:pPr>
    </w:p>
    <w:p w:rsidR="007D060A" w:rsidRPr="00A81FBA" w:rsidRDefault="007D060A" w:rsidP="007453E6">
      <w:pPr>
        <w:numPr>
          <w:ilvl w:val="0"/>
          <w:numId w:val="2"/>
        </w:numPr>
        <w:jc w:val="both"/>
        <w:rPr>
          <w:rFonts w:ascii="Arial" w:hAnsi="Arial" w:cs="Arial"/>
          <w:b/>
          <w:bCs/>
          <w:snapToGrid w:val="0"/>
          <w:sz w:val="22"/>
          <w:szCs w:val="22"/>
        </w:rPr>
      </w:pPr>
      <w:r w:rsidRPr="00A81FBA">
        <w:rPr>
          <w:rFonts w:ascii="Arial" w:hAnsi="Arial" w:cs="Arial"/>
          <w:b/>
          <w:bCs/>
          <w:snapToGrid w:val="0"/>
          <w:sz w:val="22"/>
          <w:szCs w:val="22"/>
        </w:rPr>
        <w:t>PBAC Outcome</w:t>
      </w:r>
    </w:p>
    <w:p w:rsidR="007D060A" w:rsidRPr="00A81FBA" w:rsidRDefault="007D060A" w:rsidP="007453E6">
      <w:pPr>
        <w:contextualSpacing/>
        <w:jc w:val="both"/>
        <w:rPr>
          <w:rFonts w:ascii="Arial" w:hAnsi="Arial" w:cs="Arial"/>
          <w:b/>
          <w:bCs/>
          <w:snapToGrid w:val="0"/>
          <w:sz w:val="22"/>
          <w:szCs w:val="22"/>
          <w:lang w:val="en-GB"/>
        </w:rPr>
      </w:pPr>
    </w:p>
    <w:p w:rsidR="009D36AB" w:rsidRDefault="00980571" w:rsidP="00751D78">
      <w:pPr>
        <w:numPr>
          <w:ilvl w:val="1"/>
          <w:numId w:val="2"/>
        </w:numPr>
        <w:contextualSpacing/>
        <w:jc w:val="both"/>
        <w:rPr>
          <w:rFonts w:ascii="Arial" w:hAnsi="Arial" w:cs="Arial"/>
          <w:b/>
          <w:bCs/>
          <w:snapToGrid w:val="0"/>
          <w:sz w:val="22"/>
          <w:szCs w:val="22"/>
          <w:lang w:val="en-GB"/>
        </w:rPr>
      </w:pPr>
      <w:r w:rsidRPr="009D36AB">
        <w:rPr>
          <w:rFonts w:ascii="Arial" w:hAnsi="Arial" w:cs="Arial"/>
          <w:bCs/>
          <w:snapToGrid w:val="0"/>
          <w:sz w:val="22"/>
          <w:szCs w:val="22"/>
          <w:lang w:val="en-GB"/>
        </w:rPr>
        <w:t>The PBAC recommended listing the additional strength (45 mg) of intramuscularly administered leuprorelin for the treatment of locally advanced (equivalent to stage C) or metastatic (equivalent to stage D) carcinoma of the prostate.</w:t>
      </w:r>
    </w:p>
    <w:p w:rsidR="00980571" w:rsidRPr="009D36AB" w:rsidRDefault="00980571" w:rsidP="009D36AB">
      <w:pPr>
        <w:ind w:left="720"/>
        <w:contextualSpacing/>
        <w:jc w:val="both"/>
        <w:rPr>
          <w:rFonts w:ascii="Arial" w:hAnsi="Arial" w:cs="Arial"/>
          <w:b/>
          <w:bCs/>
          <w:snapToGrid w:val="0"/>
          <w:sz w:val="22"/>
          <w:szCs w:val="22"/>
          <w:lang w:val="en-GB"/>
        </w:rPr>
      </w:pPr>
    </w:p>
    <w:p w:rsidR="00980571" w:rsidRPr="00CF6535" w:rsidRDefault="00CF6535" w:rsidP="007453E6">
      <w:pPr>
        <w:numPr>
          <w:ilvl w:val="1"/>
          <w:numId w:val="2"/>
        </w:numPr>
        <w:contextualSpacing/>
        <w:jc w:val="both"/>
        <w:rPr>
          <w:rFonts w:ascii="Arial" w:hAnsi="Arial" w:cs="Arial"/>
          <w:b/>
          <w:bCs/>
          <w:snapToGrid w:val="0"/>
          <w:sz w:val="22"/>
          <w:szCs w:val="22"/>
          <w:lang w:val="en-GB"/>
        </w:rPr>
      </w:pPr>
      <w:r w:rsidRPr="00CF6535">
        <w:rPr>
          <w:rFonts w:ascii="Arial" w:hAnsi="Arial" w:cs="Arial"/>
          <w:bCs/>
          <w:snapToGrid w:val="0"/>
          <w:sz w:val="22"/>
          <w:szCs w:val="22"/>
          <w:lang w:val="en-GB"/>
        </w:rPr>
        <w:t>The PBAC accepted that there was a clinical place for the additional strength</w:t>
      </w:r>
      <w:r w:rsidRPr="00CF6535">
        <w:rPr>
          <w:rFonts w:ascii="Arial" w:hAnsi="Arial" w:cs="Arial"/>
          <w:b/>
          <w:bCs/>
          <w:snapToGrid w:val="0"/>
          <w:sz w:val="22"/>
          <w:szCs w:val="22"/>
          <w:lang w:val="en-GB"/>
        </w:rPr>
        <w:t xml:space="preserve"> </w:t>
      </w:r>
      <w:r w:rsidRPr="00CF6535">
        <w:rPr>
          <w:rFonts w:ascii="Arial" w:hAnsi="Arial" w:cs="Arial"/>
          <w:bCs/>
          <w:snapToGrid w:val="0"/>
          <w:sz w:val="22"/>
          <w:szCs w:val="22"/>
          <w:lang w:val="en-GB"/>
        </w:rPr>
        <w:t xml:space="preserve">and accepted that the effectiveness of the 6-month formulation was acceptably similar to the 3- and 4-month formulations. </w:t>
      </w:r>
    </w:p>
    <w:p w:rsidR="00AD32CF" w:rsidRDefault="00AD32CF" w:rsidP="007453E6">
      <w:pPr>
        <w:pStyle w:val="ListParagraph"/>
        <w:rPr>
          <w:rFonts w:ascii="Arial" w:hAnsi="Arial" w:cs="Arial"/>
          <w:b/>
          <w:bCs/>
          <w:snapToGrid w:val="0"/>
          <w:sz w:val="22"/>
          <w:szCs w:val="22"/>
          <w:lang w:val="en-GB"/>
        </w:rPr>
      </w:pPr>
    </w:p>
    <w:p w:rsidR="00AD32CF" w:rsidRPr="00AD32CF" w:rsidRDefault="00AD32CF" w:rsidP="007453E6">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noted in the PI for the 6-month intramuscular </w:t>
      </w:r>
      <w:r w:rsidR="00812B9C">
        <w:rPr>
          <w:rFonts w:ascii="Arial" w:hAnsi="Arial" w:cs="Arial"/>
          <w:bCs/>
          <w:snapToGrid w:val="0"/>
          <w:sz w:val="22"/>
          <w:szCs w:val="22"/>
          <w:lang w:val="en-GB"/>
        </w:rPr>
        <w:t>formulation</w:t>
      </w:r>
      <w:r>
        <w:rPr>
          <w:rFonts w:ascii="Arial" w:hAnsi="Arial" w:cs="Arial"/>
          <w:bCs/>
          <w:snapToGrid w:val="0"/>
          <w:sz w:val="22"/>
          <w:szCs w:val="22"/>
          <w:lang w:val="en-GB"/>
        </w:rPr>
        <w:t xml:space="preserve"> that in the</w:t>
      </w:r>
      <w:r w:rsidRPr="007C696A">
        <w:rPr>
          <w:rFonts w:ascii="Arial" w:hAnsi="Arial" w:cs="Arial"/>
          <w:sz w:val="22"/>
          <w:szCs w:val="22"/>
        </w:rPr>
        <w:t xml:space="preserve"> clinical trials with </w:t>
      </w:r>
      <w:r>
        <w:rPr>
          <w:rFonts w:ascii="Arial" w:hAnsi="Arial" w:cs="Arial"/>
          <w:sz w:val="22"/>
          <w:szCs w:val="22"/>
        </w:rPr>
        <w:t xml:space="preserve">the 3- and 4-month </w:t>
      </w:r>
      <w:r w:rsidR="00812B9C">
        <w:rPr>
          <w:rFonts w:ascii="Arial" w:hAnsi="Arial" w:cs="Arial"/>
          <w:sz w:val="22"/>
          <w:szCs w:val="22"/>
        </w:rPr>
        <w:t>formulation</w:t>
      </w:r>
      <w:r w:rsidR="0082666A">
        <w:rPr>
          <w:rFonts w:ascii="Arial" w:hAnsi="Arial" w:cs="Arial"/>
          <w:sz w:val="22"/>
          <w:szCs w:val="22"/>
        </w:rPr>
        <w:t>s,</w:t>
      </w:r>
      <w:r>
        <w:rPr>
          <w:rFonts w:ascii="Arial" w:hAnsi="Arial" w:cs="Arial"/>
          <w:bCs/>
          <w:snapToGrid w:val="0"/>
          <w:sz w:val="22"/>
          <w:szCs w:val="22"/>
          <w:lang w:val="en-GB"/>
        </w:rPr>
        <w:t xml:space="preserve"> </w:t>
      </w:r>
      <w:r w:rsidR="000C5805">
        <w:rPr>
          <w:rFonts w:ascii="Arial" w:hAnsi="Arial" w:cs="Arial"/>
          <w:bCs/>
          <w:snapToGrid w:val="0"/>
          <w:sz w:val="22"/>
          <w:szCs w:val="22"/>
          <w:lang w:val="en-GB"/>
        </w:rPr>
        <w:t>possible or probable treatment related reactions</w:t>
      </w:r>
      <w:r>
        <w:rPr>
          <w:rFonts w:ascii="Arial" w:hAnsi="Arial" w:cs="Arial"/>
          <w:bCs/>
          <w:snapToGrid w:val="0"/>
          <w:sz w:val="22"/>
          <w:szCs w:val="22"/>
          <w:lang w:val="en-GB"/>
        </w:rPr>
        <w:t xml:space="preserve"> occurred in around 5% of patie</w:t>
      </w:r>
      <w:r w:rsidR="000C5805">
        <w:rPr>
          <w:rFonts w:ascii="Arial" w:hAnsi="Arial" w:cs="Arial"/>
          <w:bCs/>
          <w:snapToGrid w:val="0"/>
          <w:sz w:val="22"/>
          <w:szCs w:val="22"/>
          <w:lang w:val="en-GB"/>
        </w:rPr>
        <w:t>nts</w:t>
      </w:r>
      <w:r w:rsidR="0082666A">
        <w:rPr>
          <w:rFonts w:ascii="Arial" w:hAnsi="Arial" w:cs="Arial"/>
          <w:bCs/>
          <w:snapToGrid w:val="0"/>
          <w:sz w:val="22"/>
          <w:szCs w:val="22"/>
          <w:lang w:val="en-GB"/>
        </w:rPr>
        <w:t>. The PBAC</w:t>
      </w:r>
      <w:r w:rsidR="000C5805">
        <w:rPr>
          <w:rFonts w:ascii="Arial" w:hAnsi="Arial" w:cs="Arial"/>
          <w:bCs/>
          <w:snapToGrid w:val="0"/>
          <w:sz w:val="22"/>
          <w:szCs w:val="22"/>
          <w:lang w:val="en-GB"/>
        </w:rPr>
        <w:t xml:space="preserve"> considered</w:t>
      </w:r>
      <w:r w:rsidR="0082666A">
        <w:rPr>
          <w:rFonts w:ascii="Arial" w:hAnsi="Arial" w:cs="Arial"/>
          <w:bCs/>
          <w:snapToGrid w:val="0"/>
          <w:sz w:val="22"/>
          <w:szCs w:val="22"/>
          <w:lang w:val="en-GB"/>
        </w:rPr>
        <w:t>, however,</w:t>
      </w:r>
      <w:r w:rsidR="000C5805">
        <w:rPr>
          <w:rFonts w:ascii="Arial" w:hAnsi="Arial" w:cs="Arial"/>
          <w:bCs/>
          <w:snapToGrid w:val="0"/>
          <w:sz w:val="22"/>
          <w:szCs w:val="22"/>
          <w:lang w:val="en-GB"/>
        </w:rPr>
        <w:t xml:space="preserve"> that the </w:t>
      </w:r>
      <w:r w:rsidR="00980571">
        <w:rPr>
          <w:rFonts w:ascii="Arial" w:hAnsi="Arial" w:cs="Arial"/>
          <w:bCs/>
          <w:snapToGrid w:val="0"/>
          <w:sz w:val="22"/>
          <w:szCs w:val="22"/>
          <w:lang w:val="en-GB"/>
        </w:rPr>
        <w:t>adverse events</w:t>
      </w:r>
      <w:r w:rsidR="000C5805">
        <w:rPr>
          <w:rFonts w:ascii="Arial" w:hAnsi="Arial" w:cs="Arial"/>
          <w:bCs/>
          <w:snapToGrid w:val="0"/>
          <w:sz w:val="22"/>
          <w:szCs w:val="22"/>
          <w:lang w:val="en-GB"/>
        </w:rPr>
        <w:t xml:space="preserve"> profile remained acceptable. </w:t>
      </w:r>
    </w:p>
    <w:p w:rsidR="00AD32CF" w:rsidRDefault="00AD32CF" w:rsidP="007453E6">
      <w:pPr>
        <w:pStyle w:val="ListParagraph"/>
        <w:rPr>
          <w:rFonts w:ascii="Arial" w:hAnsi="Arial" w:cs="Arial"/>
          <w:b/>
          <w:bCs/>
          <w:snapToGrid w:val="0"/>
          <w:sz w:val="22"/>
          <w:szCs w:val="22"/>
          <w:lang w:val="en-GB"/>
        </w:rPr>
      </w:pPr>
    </w:p>
    <w:p w:rsidR="00AD32CF" w:rsidRPr="00812B9C" w:rsidRDefault="00AD32CF" w:rsidP="007453E6">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accepted the financial estimates presented and noted that listing the 45</w:t>
      </w:r>
      <w:r w:rsidR="006B3B7C">
        <w:rPr>
          <w:rFonts w:ascii="Arial" w:hAnsi="Arial" w:cs="Arial"/>
          <w:bCs/>
          <w:snapToGrid w:val="0"/>
          <w:sz w:val="22"/>
          <w:szCs w:val="22"/>
          <w:lang w:val="en-GB"/>
        </w:rPr>
        <w:t> </w:t>
      </w:r>
      <w:r>
        <w:rPr>
          <w:rFonts w:ascii="Arial" w:hAnsi="Arial" w:cs="Arial"/>
          <w:bCs/>
          <w:snapToGrid w:val="0"/>
          <w:sz w:val="22"/>
          <w:szCs w:val="22"/>
          <w:lang w:val="en-GB"/>
        </w:rPr>
        <w:t xml:space="preserve">mg intramuscular </w:t>
      </w:r>
      <w:r w:rsidR="00812B9C">
        <w:rPr>
          <w:rFonts w:ascii="Arial" w:hAnsi="Arial" w:cs="Arial"/>
          <w:bCs/>
          <w:snapToGrid w:val="0"/>
          <w:sz w:val="22"/>
          <w:szCs w:val="22"/>
          <w:lang w:val="en-GB"/>
        </w:rPr>
        <w:t>formulation</w:t>
      </w:r>
      <w:r>
        <w:rPr>
          <w:rFonts w:ascii="Arial" w:hAnsi="Arial" w:cs="Arial"/>
          <w:bCs/>
          <w:snapToGrid w:val="0"/>
          <w:sz w:val="22"/>
          <w:szCs w:val="22"/>
          <w:lang w:val="en-GB"/>
        </w:rPr>
        <w:t xml:space="preserve"> would result in </w:t>
      </w:r>
      <w:r w:rsidR="006C6FB4">
        <w:rPr>
          <w:rFonts w:ascii="Arial" w:hAnsi="Arial" w:cs="Arial"/>
          <w:bCs/>
          <w:snapToGrid w:val="0"/>
          <w:sz w:val="22"/>
          <w:szCs w:val="22"/>
          <w:lang w:val="en-GB"/>
        </w:rPr>
        <w:t xml:space="preserve">savings </w:t>
      </w:r>
      <w:r w:rsidR="00BC1F09">
        <w:rPr>
          <w:rFonts w:ascii="Arial" w:hAnsi="Arial" w:cs="Arial"/>
          <w:bCs/>
          <w:snapToGrid w:val="0"/>
          <w:sz w:val="22"/>
          <w:szCs w:val="22"/>
          <w:lang w:val="en-GB"/>
        </w:rPr>
        <w:t>to</w:t>
      </w:r>
      <w:r w:rsidRPr="00C00DA7">
        <w:rPr>
          <w:rFonts w:ascii="Arial" w:hAnsi="Arial"/>
          <w:sz w:val="22"/>
          <w:szCs w:val="22"/>
        </w:rPr>
        <w:t xml:space="preserve"> the PBS</w:t>
      </w:r>
      <w:r>
        <w:rPr>
          <w:rFonts w:ascii="Arial" w:hAnsi="Arial"/>
          <w:sz w:val="22"/>
          <w:szCs w:val="22"/>
        </w:rPr>
        <w:t xml:space="preserve">. </w:t>
      </w:r>
    </w:p>
    <w:p w:rsidR="00812B9C" w:rsidRPr="00812B9C" w:rsidRDefault="00812B9C" w:rsidP="007453E6">
      <w:pPr>
        <w:pStyle w:val="ListParagraph"/>
        <w:rPr>
          <w:rFonts w:ascii="Arial" w:hAnsi="Arial" w:cs="Arial"/>
          <w:b/>
          <w:bCs/>
          <w:snapToGrid w:val="0"/>
          <w:sz w:val="22"/>
          <w:szCs w:val="22"/>
          <w:lang w:val="en-GB"/>
        </w:rPr>
      </w:pPr>
    </w:p>
    <w:p w:rsidR="00812B9C" w:rsidRPr="00400B3D" w:rsidRDefault="00812B9C" w:rsidP="007453E6">
      <w:pPr>
        <w:pStyle w:val="ListParagraph"/>
        <w:numPr>
          <w:ilvl w:val="1"/>
          <w:numId w:val="2"/>
        </w:numPr>
        <w:jc w:val="both"/>
        <w:rPr>
          <w:rFonts w:ascii="Arial" w:hAnsi="Arial" w:cs="Arial"/>
          <w:b/>
          <w:sz w:val="22"/>
          <w:szCs w:val="22"/>
          <w:u w:val="single"/>
        </w:rPr>
      </w:pPr>
      <w:r w:rsidRPr="00400B3D">
        <w:rPr>
          <w:rFonts w:ascii="Arial" w:hAnsi="Arial" w:cs="Arial"/>
          <w:b/>
          <w:sz w:val="22"/>
          <w:szCs w:val="22"/>
          <w:u w:val="single"/>
        </w:rPr>
        <w:t>Advice to the Minister under subsection 101(3BA) of the Act</w:t>
      </w:r>
    </w:p>
    <w:p w:rsidR="00812B9C" w:rsidRPr="00812B9C" w:rsidRDefault="00812B9C" w:rsidP="007453E6">
      <w:pPr>
        <w:pStyle w:val="ListParagraph"/>
        <w:rPr>
          <w:rFonts w:ascii="Arial" w:hAnsi="Arial" w:cs="Arial"/>
          <w:sz w:val="22"/>
          <w:szCs w:val="22"/>
        </w:rPr>
      </w:pPr>
      <w:r w:rsidRPr="00812B9C">
        <w:rPr>
          <w:rFonts w:ascii="Arial" w:hAnsi="Arial" w:cs="Arial"/>
          <w:sz w:val="22"/>
          <w:szCs w:val="22"/>
        </w:rPr>
        <w:t xml:space="preserve">In accordance with subsection 101(3BA) of the Act, the PBAC advised that it is of the opinion that, on the basis of the material available to it, leuprorelin should not be treated as interchangeable on an individual patient basis with any other drug(s) or medicinal </w:t>
      </w:r>
      <w:r>
        <w:rPr>
          <w:rFonts w:ascii="Arial" w:hAnsi="Arial" w:cs="Arial"/>
          <w:sz w:val="22"/>
          <w:szCs w:val="22"/>
        </w:rPr>
        <w:t>formulation</w:t>
      </w:r>
      <w:r w:rsidRPr="00812B9C">
        <w:rPr>
          <w:rFonts w:ascii="Arial" w:hAnsi="Arial" w:cs="Arial"/>
          <w:sz w:val="22"/>
          <w:szCs w:val="22"/>
        </w:rPr>
        <w:t>(s).</w:t>
      </w:r>
    </w:p>
    <w:p w:rsidR="00812B9C" w:rsidRDefault="00812B9C" w:rsidP="007453E6">
      <w:pPr>
        <w:ind w:left="720"/>
        <w:contextualSpacing/>
        <w:jc w:val="both"/>
        <w:rPr>
          <w:rFonts w:ascii="Arial" w:hAnsi="Arial" w:cs="Arial"/>
          <w:b/>
          <w:bCs/>
          <w:snapToGrid w:val="0"/>
          <w:sz w:val="22"/>
          <w:szCs w:val="22"/>
          <w:lang w:val="en-GB"/>
        </w:rPr>
      </w:pPr>
    </w:p>
    <w:p w:rsidR="00812B9C" w:rsidRPr="00812B9C" w:rsidRDefault="00812B9C" w:rsidP="007453E6">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advised that leuprorelin is not suitable for prescribing by nurse practitioners. </w:t>
      </w:r>
    </w:p>
    <w:p w:rsidR="00812B9C" w:rsidRPr="00812B9C" w:rsidRDefault="00812B9C" w:rsidP="007453E6">
      <w:pPr>
        <w:ind w:left="720"/>
        <w:contextualSpacing/>
        <w:jc w:val="both"/>
        <w:rPr>
          <w:rFonts w:ascii="Arial" w:hAnsi="Arial" w:cs="Arial"/>
          <w:b/>
          <w:bCs/>
          <w:snapToGrid w:val="0"/>
          <w:sz w:val="22"/>
          <w:szCs w:val="22"/>
          <w:lang w:val="en-GB"/>
        </w:rPr>
      </w:pPr>
    </w:p>
    <w:p w:rsidR="00812B9C" w:rsidRPr="005D3FE1" w:rsidRDefault="00812B9C" w:rsidP="007453E6">
      <w:pPr>
        <w:numPr>
          <w:ilvl w:val="1"/>
          <w:numId w:val="2"/>
        </w:numPr>
        <w:contextualSpacing/>
        <w:jc w:val="both"/>
        <w:rPr>
          <w:rFonts w:ascii="Arial" w:hAnsi="Arial" w:cs="Arial"/>
          <w:b/>
          <w:bCs/>
          <w:snapToGrid w:val="0"/>
          <w:sz w:val="22"/>
          <w:szCs w:val="22"/>
          <w:lang w:val="en-GB"/>
        </w:rPr>
      </w:pPr>
      <w:r>
        <w:rPr>
          <w:rFonts w:ascii="Arial" w:hAnsi="Arial" w:cs="Arial"/>
          <w:bCs/>
          <w:snapToGrid w:val="0"/>
          <w:sz w:val="22"/>
          <w:szCs w:val="22"/>
          <w:lang w:val="en-GB"/>
        </w:rPr>
        <w:t>The PBAC recommended that the Safety Net 20 Day Rule should apply.</w:t>
      </w:r>
    </w:p>
    <w:p w:rsidR="00CF6535" w:rsidRPr="005D3FE1" w:rsidRDefault="005D3FE1" w:rsidP="007453E6">
      <w:pPr>
        <w:ind w:left="720"/>
        <w:contextualSpacing/>
        <w:jc w:val="both"/>
        <w:rPr>
          <w:rFonts w:ascii="Arial" w:hAnsi="Arial" w:cs="Arial"/>
          <w:b/>
          <w:bCs/>
          <w:snapToGrid w:val="0"/>
          <w:sz w:val="22"/>
          <w:szCs w:val="22"/>
          <w:lang w:val="en-GB"/>
        </w:rPr>
      </w:pPr>
      <w:r w:rsidRPr="00CF6535">
        <w:rPr>
          <w:rFonts w:ascii="Arial" w:hAnsi="Arial" w:cs="Arial"/>
          <w:bCs/>
          <w:snapToGrid w:val="0"/>
          <w:sz w:val="22"/>
          <w:szCs w:val="22"/>
          <w:lang w:val="en-GB"/>
        </w:rPr>
        <w:t xml:space="preserve"> </w:t>
      </w:r>
    </w:p>
    <w:p w:rsidR="007D060A" w:rsidRPr="00912D29" w:rsidRDefault="005D3FE1" w:rsidP="007453E6">
      <w:pPr>
        <w:numPr>
          <w:ilvl w:val="1"/>
          <w:numId w:val="2"/>
        </w:numPr>
        <w:contextualSpacing/>
        <w:jc w:val="both"/>
        <w:rPr>
          <w:rFonts w:ascii="Arial" w:hAnsi="Arial" w:cs="Arial"/>
          <w:b/>
          <w:bCs/>
          <w:snapToGrid w:val="0"/>
          <w:sz w:val="22"/>
          <w:szCs w:val="22"/>
          <w:lang w:val="en-GB"/>
        </w:rPr>
      </w:pPr>
      <w:r w:rsidRPr="00CF6535">
        <w:rPr>
          <w:rFonts w:ascii="Arial" w:hAnsi="Arial" w:cs="Arial"/>
          <w:bCs/>
          <w:snapToGrid w:val="0"/>
          <w:sz w:val="22"/>
          <w:szCs w:val="22"/>
          <w:lang w:val="en-GB"/>
        </w:rPr>
        <w:t>The PBAC noted that the existing leuprorelin restrictions do not comply with electronic media requirements and that the implementation of the newest leuprorelin restriction should also include remodelling of the existing restrictions.</w:t>
      </w:r>
      <w:r w:rsidR="00BA2173" w:rsidRPr="00CF6535">
        <w:rPr>
          <w:rFonts w:ascii="Arial" w:hAnsi="Arial" w:cs="Arial"/>
          <w:bCs/>
          <w:snapToGrid w:val="0"/>
          <w:sz w:val="22"/>
          <w:szCs w:val="22"/>
          <w:lang w:val="en-GB"/>
        </w:rPr>
        <w:br/>
      </w:r>
    </w:p>
    <w:p w:rsidR="007D060A" w:rsidRPr="00A81FBA" w:rsidRDefault="007D060A" w:rsidP="007453E6">
      <w:pPr>
        <w:jc w:val="both"/>
        <w:rPr>
          <w:rFonts w:ascii="Arial" w:hAnsi="Arial" w:cs="Arial"/>
          <w:b/>
          <w:bCs/>
          <w:snapToGrid w:val="0"/>
          <w:sz w:val="22"/>
          <w:szCs w:val="22"/>
          <w:lang w:val="en-GB"/>
        </w:rPr>
      </w:pPr>
    </w:p>
    <w:p w:rsidR="007D060A" w:rsidRPr="00A81FBA" w:rsidRDefault="007D060A" w:rsidP="007453E6">
      <w:pPr>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7D060A" w:rsidRPr="00A81FBA" w:rsidRDefault="007D060A" w:rsidP="007453E6">
      <w:pPr>
        <w:jc w:val="both"/>
        <w:rPr>
          <w:rFonts w:ascii="Arial" w:hAnsi="Arial" w:cs="Arial"/>
          <w:bCs/>
          <w:snapToGrid w:val="0"/>
          <w:sz w:val="22"/>
          <w:szCs w:val="22"/>
          <w:lang w:val="en-GB"/>
        </w:rPr>
      </w:pPr>
      <w:r w:rsidRPr="00A81FBA">
        <w:rPr>
          <w:rFonts w:ascii="Arial" w:hAnsi="Arial" w:cs="Arial"/>
          <w:bCs/>
          <w:snapToGrid w:val="0"/>
          <w:sz w:val="22"/>
          <w:szCs w:val="22"/>
          <w:lang w:val="en-GB"/>
        </w:rPr>
        <w:t xml:space="preserve">Recommended </w:t>
      </w:r>
    </w:p>
    <w:p w:rsidR="007D060A" w:rsidRDefault="007D060A" w:rsidP="007453E6">
      <w:pPr>
        <w:jc w:val="both"/>
        <w:rPr>
          <w:rFonts w:ascii="Arial" w:hAnsi="Arial" w:cs="Arial"/>
          <w:b/>
          <w:bCs/>
          <w:snapToGrid w:val="0"/>
          <w:sz w:val="22"/>
          <w:szCs w:val="22"/>
          <w:highlight w:val="yellow"/>
        </w:rPr>
      </w:pPr>
    </w:p>
    <w:p w:rsidR="007D060A" w:rsidRPr="005D3FE1" w:rsidRDefault="007D060A" w:rsidP="007453E6">
      <w:pPr>
        <w:numPr>
          <w:ilvl w:val="0"/>
          <w:numId w:val="2"/>
        </w:numPr>
        <w:jc w:val="both"/>
        <w:rPr>
          <w:rFonts w:ascii="Arial" w:hAnsi="Arial" w:cs="Arial"/>
          <w:b/>
          <w:bCs/>
          <w:i/>
          <w:snapToGrid w:val="0"/>
          <w:sz w:val="22"/>
          <w:szCs w:val="22"/>
          <w:lang w:val="en-GB"/>
        </w:rPr>
      </w:pPr>
      <w:r w:rsidRPr="005D3FE1">
        <w:rPr>
          <w:rFonts w:ascii="Arial" w:hAnsi="Arial" w:cs="Arial"/>
          <w:b/>
          <w:bCs/>
          <w:snapToGrid w:val="0"/>
          <w:sz w:val="22"/>
          <w:szCs w:val="22"/>
          <w:lang w:val="en-GB"/>
        </w:rPr>
        <w:t>Recommended listing</w:t>
      </w:r>
    </w:p>
    <w:p w:rsidR="007D060A" w:rsidRPr="005D3FE1" w:rsidRDefault="007D060A" w:rsidP="007453E6">
      <w:pPr>
        <w:jc w:val="both"/>
        <w:rPr>
          <w:rFonts w:ascii="Arial" w:hAnsi="Arial" w:cs="Arial"/>
          <w:b/>
          <w:bCs/>
          <w:i/>
          <w:snapToGrid w:val="0"/>
          <w:sz w:val="22"/>
          <w:szCs w:val="22"/>
          <w:lang w:val="en-GB"/>
        </w:rPr>
      </w:pPr>
    </w:p>
    <w:p w:rsidR="0094785D" w:rsidRDefault="00980571" w:rsidP="007453E6">
      <w:pPr>
        <w:numPr>
          <w:ilvl w:val="1"/>
          <w:numId w:val="2"/>
        </w:numPr>
        <w:contextualSpacing/>
        <w:jc w:val="both"/>
        <w:rPr>
          <w:rFonts w:ascii="Arial" w:hAnsi="Arial" w:cs="Arial"/>
          <w:bCs/>
          <w:snapToGrid w:val="0"/>
          <w:sz w:val="22"/>
          <w:szCs w:val="22"/>
        </w:rPr>
      </w:pPr>
      <w:r w:rsidRPr="005D3FE1">
        <w:rPr>
          <w:rFonts w:ascii="Arial" w:hAnsi="Arial" w:cs="Arial"/>
          <w:bCs/>
          <w:snapToGrid w:val="0"/>
          <w:sz w:val="22"/>
          <w:szCs w:val="22"/>
        </w:rPr>
        <w:t>Add</w:t>
      </w:r>
      <w:r w:rsidR="00C04A39" w:rsidRPr="005D3FE1">
        <w:rPr>
          <w:rFonts w:ascii="Arial" w:hAnsi="Arial" w:cs="Arial"/>
          <w:bCs/>
          <w:snapToGrid w:val="0"/>
          <w:sz w:val="22"/>
          <w:szCs w:val="22"/>
        </w:rPr>
        <w:t xml:space="preserve"> </w:t>
      </w:r>
      <w:r w:rsidR="007D060A" w:rsidRPr="005D3FE1">
        <w:rPr>
          <w:rFonts w:ascii="Arial" w:hAnsi="Arial" w:cs="Arial"/>
          <w:bCs/>
          <w:snapToGrid w:val="0"/>
          <w:sz w:val="22"/>
          <w:szCs w:val="22"/>
        </w:rPr>
        <w:t>new item:</w:t>
      </w:r>
    </w:p>
    <w:p w:rsidR="000524C0" w:rsidRPr="000524C0" w:rsidRDefault="000524C0" w:rsidP="007453E6">
      <w:pPr>
        <w:ind w:left="720"/>
        <w:contextualSpacing/>
        <w:jc w:val="both"/>
        <w:rPr>
          <w:rFonts w:ascii="Arial" w:hAnsi="Arial" w:cs="Arial"/>
          <w:bCs/>
          <w:snapToGrid w:val="0"/>
          <w:sz w:val="22"/>
          <w:szCs w:val="22"/>
        </w:rPr>
      </w:pPr>
    </w:p>
    <w:tbl>
      <w:tblPr>
        <w:tblW w:w="8363" w:type="dxa"/>
        <w:tblInd w:w="817" w:type="dxa"/>
        <w:tblBorders>
          <w:bottom w:val="single" w:sz="4" w:space="0" w:color="auto"/>
        </w:tblBorders>
        <w:tblLayout w:type="fixed"/>
        <w:tblLook w:val="0000" w:firstRow="0" w:lastRow="0" w:firstColumn="0" w:lastColumn="0" w:noHBand="0" w:noVBand="0"/>
      </w:tblPr>
      <w:tblGrid>
        <w:gridCol w:w="3119"/>
        <w:gridCol w:w="1275"/>
        <w:gridCol w:w="567"/>
        <w:gridCol w:w="284"/>
        <w:gridCol w:w="3118"/>
      </w:tblGrid>
      <w:tr w:rsidR="0094785D" w:rsidRPr="0039782C" w:rsidTr="000524C0">
        <w:trPr>
          <w:cantSplit/>
          <w:trHeight w:val="471"/>
        </w:trPr>
        <w:tc>
          <w:tcPr>
            <w:tcW w:w="3119" w:type="dxa"/>
          </w:tcPr>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1275" w:type="dxa"/>
          </w:tcPr>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Max.</w:t>
            </w:r>
          </w:p>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567" w:type="dxa"/>
          </w:tcPr>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№.of</w:t>
            </w:r>
          </w:p>
          <w:p w:rsidR="005D3FE1" w:rsidRPr="0039782C" w:rsidRDefault="005D3FE1" w:rsidP="007453E6">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84" w:type="dxa"/>
          </w:tcPr>
          <w:p w:rsidR="005D3FE1" w:rsidRPr="0039782C" w:rsidRDefault="005D3FE1" w:rsidP="007453E6">
            <w:pPr>
              <w:keepNext/>
              <w:ind w:left="-108"/>
              <w:jc w:val="both"/>
              <w:rPr>
                <w:rFonts w:ascii="Arial Narrow" w:hAnsi="Arial Narrow" w:cs="Arial"/>
                <w:b/>
                <w:sz w:val="20"/>
                <w:szCs w:val="20"/>
              </w:rPr>
            </w:pPr>
          </w:p>
        </w:tc>
        <w:tc>
          <w:tcPr>
            <w:tcW w:w="3118" w:type="dxa"/>
          </w:tcPr>
          <w:p w:rsidR="005D3FE1" w:rsidRPr="0039782C" w:rsidRDefault="005D3FE1" w:rsidP="007453E6">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bl>
    <w:p w:rsidR="007D060A" w:rsidRPr="006C307E" w:rsidRDefault="007D060A" w:rsidP="007453E6">
      <w:pPr>
        <w:jc w:val="both"/>
        <w:rPr>
          <w:rFonts w:ascii="Arial" w:hAnsi="Arial" w:cs="Arial"/>
          <w:b/>
          <w:bCs/>
          <w:snapToGrid w:val="0"/>
          <w:sz w:val="22"/>
          <w:szCs w:val="22"/>
          <w:highlight w:val="yellow"/>
        </w:rPr>
      </w:pPr>
    </w:p>
    <w:tbl>
      <w:tblPr>
        <w:tblW w:w="8363" w:type="dxa"/>
        <w:tblInd w:w="817" w:type="dxa"/>
        <w:tblLayout w:type="fixed"/>
        <w:tblLook w:val="0000" w:firstRow="0" w:lastRow="0" w:firstColumn="0" w:lastColumn="0" w:noHBand="0" w:noVBand="0"/>
      </w:tblPr>
      <w:tblGrid>
        <w:gridCol w:w="1985"/>
        <w:gridCol w:w="1701"/>
        <w:gridCol w:w="708"/>
        <w:gridCol w:w="284"/>
        <w:gridCol w:w="567"/>
        <w:gridCol w:w="1417"/>
        <w:gridCol w:w="1701"/>
      </w:tblGrid>
      <w:tr w:rsidR="0094785D" w:rsidRPr="00260CE3" w:rsidTr="0094785D">
        <w:trPr>
          <w:cantSplit/>
          <w:trHeight w:val="577"/>
        </w:trPr>
        <w:tc>
          <w:tcPr>
            <w:tcW w:w="3686" w:type="dxa"/>
            <w:gridSpan w:val="2"/>
          </w:tcPr>
          <w:p w:rsidR="005D3FE1" w:rsidRPr="00260CE3" w:rsidRDefault="005D3FE1" w:rsidP="007453E6">
            <w:pPr>
              <w:keepNext/>
              <w:ind w:left="-108"/>
              <w:jc w:val="both"/>
              <w:rPr>
                <w:rFonts w:ascii="Arial Narrow" w:hAnsi="Arial Narrow" w:cs="Arial"/>
                <w:sz w:val="20"/>
                <w:szCs w:val="20"/>
              </w:rPr>
            </w:pPr>
            <w:r>
              <w:rPr>
                <w:rFonts w:ascii="Arial Narrow" w:hAnsi="Arial Narrow" w:cs="Arial"/>
                <w:smallCaps/>
                <w:sz w:val="20"/>
                <w:szCs w:val="20"/>
              </w:rPr>
              <w:t>LEUPRORELIN</w:t>
            </w:r>
          </w:p>
          <w:p w:rsidR="000524C0" w:rsidRDefault="005D3FE1" w:rsidP="007453E6">
            <w:pPr>
              <w:keepNext/>
              <w:ind w:left="-108"/>
              <w:jc w:val="both"/>
              <w:rPr>
                <w:rFonts w:ascii="Arial Narrow" w:hAnsi="Arial Narrow" w:cs="Arial"/>
                <w:sz w:val="20"/>
                <w:szCs w:val="20"/>
              </w:rPr>
            </w:pPr>
            <w:r w:rsidRPr="005D3FE1">
              <w:rPr>
                <w:rFonts w:ascii="Arial Narrow" w:hAnsi="Arial Narrow" w:cs="Arial"/>
                <w:sz w:val="20"/>
                <w:szCs w:val="20"/>
              </w:rPr>
              <w:t xml:space="preserve">45 mg injection: modified release </w:t>
            </w:r>
          </w:p>
          <w:p w:rsidR="000524C0" w:rsidRDefault="005D3FE1" w:rsidP="007453E6">
            <w:pPr>
              <w:keepNext/>
              <w:ind w:left="-108"/>
              <w:jc w:val="both"/>
              <w:rPr>
                <w:rFonts w:ascii="Arial Narrow" w:hAnsi="Arial Narrow" w:cs="Arial"/>
                <w:sz w:val="20"/>
                <w:szCs w:val="20"/>
              </w:rPr>
            </w:pPr>
            <w:r w:rsidRPr="005D3FE1">
              <w:rPr>
                <w:rFonts w:ascii="Arial Narrow" w:hAnsi="Arial Narrow" w:cs="Arial"/>
                <w:sz w:val="20"/>
                <w:szCs w:val="20"/>
              </w:rPr>
              <w:t>[1 x 45 mg syringe] (&amp;) inert substance diluent</w:t>
            </w:r>
          </w:p>
          <w:p w:rsidR="005D3FE1" w:rsidRPr="00260CE3" w:rsidRDefault="005D3FE1" w:rsidP="007453E6">
            <w:pPr>
              <w:keepNext/>
              <w:ind w:left="-108"/>
              <w:jc w:val="both"/>
              <w:rPr>
                <w:rFonts w:ascii="Arial Narrow" w:hAnsi="Arial Narrow" w:cs="Arial"/>
                <w:sz w:val="20"/>
                <w:szCs w:val="20"/>
              </w:rPr>
            </w:pPr>
            <w:r w:rsidRPr="005D3FE1">
              <w:rPr>
                <w:rFonts w:ascii="Arial Narrow" w:hAnsi="Arial Narrow" w:cs="Arial"/>
                <w:sz w:val="20"/>
                <w:szCs w:val="20"/>
              </w:rPr>
              <w:t xml:space="preserve"> [1 x 2 mL syringe]</w:t>
            </w:r>
            <w:r w:rsidR="000524C0">
              <w:rPr>
                <w:rFonts w:ascii="Arial Narrow" w:hAnsi="Arial Narrow" w:cs="Arial"/>
                <w:sz w:val="20"/>
                <w:szCs w:val="20"/>
              </w:rPr>
              <w:t>, 1</w:t>
            </w:r>
          </w:p>
        </w:tc>
        <w:tc>
          <w:tcPr>
            <w:tcW w:w="708" w:type="dxa"/>
          </w:tcPr>
          <w:p w:rsidR="005D3FE1" w:rsidRPr="00260CE3" w:rsidRDefault="005D3FE1" w:rsidP="007453E6">
            <w:pPr>
              <w:keepNext/>
              <w:ind w:left="-108"/>
              <w:jc w:val="both"/>
              <w:rPr>
                <w:rFonts w:ascii="Arial Narrow" w:hAnsi="Arial Narrow" w:cs="Arial"/>
                <w:sz w:val="20"/>
                <w:szCs w:val="20"/>
              </w:rPr>
            </w:pPr>
          </w:p>
          <w:p w:rsidR="005D3FE1" w:rsidRPr="00260CE3" w:rsidRDefault="005D3FE1" w:rsidP="007453E6">
            <w:pPr>
              <w:keepNext/>
              <w:ind w:left="-108"/>
              <w:jc w:val="both"/>
              <w:rPr>
                <w:rFonts w:ascii="Arial Narrow" w:hAnsi="Arial Narrow" w:cs="Arial"/>
                <w:sz w:val="20"/>
                <w:szCs w:val="20"/>
              </w:rPr>
            </w:pPr>
            <w:r>
              <w:rPr>
                <w:rFonts w:ascii="Arial Narrow" w:hAnsi="Arial Narrow" w:cs="Arial"/>
                <w:sz w:val="20"/>
                <w:szCs w:val="20"/>
              </w:rPr>
              <w:t>1</w:t>
            </w:r>
          </w:p>
        </w:tc>
        <w:tc>
          <w:tcPr>
            <w:tcW w:w="284" w:type="dxa"/>
          </w:tcPr>
          <w:p w:rsidR="005D3FE1" w:rsidRPr="00260CE3" w:rsidRDefault="005D3FE1" w:rsidP="007453E6">
            <w:pPr>
              <w:keepNext/>
              <w:ind w:left="-108"/>
              <w:jc w:val="both"/>
              <w:rPr>
                <w:rFonts w:ascii="Arial Narrow" w:hAnsi="Arial Narrow" w:cs="Arial"/>
                <w:sz w:val="20"/>
                <w:szCs w:val="20"/>
              </w:rPr>
            </w:pPr>
          </w:p>
          <w:p w:rsidR="005D3FE1" w:rsidRPr="00260CE3" w:rsidRDefault="005D3FE1" w:rsidP="007453E6">
            <w:pPr>
              <w:keepNext/>
              <w:ind w:left="-108"/>
              <w:jc w:val="both"/>
              <w:rPr>
                <w:rFonts w:ascii="Arial Narrow" w:hAnsi="Arial Narrow" w:cs="Arial"/>
                <w:sz w:val="20"/>
                <w:szCs w:val="20"/>
              </w:rPr>
            </w:pPr>
            <w:r w:rsidRPr="007453E6">
              <w:rPr>
                <w:rFonts w:ascii="Arial Narrow" w:hAnsi="Arial Narrow" w:cs="Arial"/>
                <w:sz w:val="20"/>
                <w:szCs w:val="20"/>
              </w:rPr>
              <w:t>1</w:t>
            </w:r>
          </w:p>
        </w:tc>
        <w:tc>
          <w:tcPr>
            <w:tcW w:w="567" w:type="dxa"/>
          </w:tcPr>
          <w:p w:rsidR="005D3FE1" w:rsidRPr="00260CE3" w:rsidRDefault="005D3FE1" w:rsidP="007453E6">
            <w:pPr>
              <w:keepNext/>
              <w:ind w:left="-108"/>
              <w:jc w:val="both"/>
              <w:rPr>
                <w:rFonts w:ascii="Arial Narrow" w:hAnsi="Arial Narrow" w:cs="Arial"/>
                <w:sz w:val="20"/>
                <w:szCs w:val="20"/>
              </w:rPr>
            </w:pPr>
          </w:p>
        </w:tc>
        <w:tc>
          <w:tcPr>
            <w:tcW w:w="1417" w:type="dxa"/>
          </w:tcPr>
          <w:p w:rsidR="005D3FE1" w:rsidRDefault="005D3FE1" w:rsidP="007453E6">
            <w:pPr>
              <w:keepNext/>
              <w:jc w:val="both"/>
              <w:rPr>
                <w:rFonts w:ascii="Arial Narrow" w:hAnsi="Arial Narrow" w:cs="Arial"/>
                <w:sz w:val="20"/>
                <w:szCs w:val="20"/>
              </w:rPr>
            </w:pPr>
          </w:p>
          <w:p w:rsidR="005D3FE1" w:rsidRPr="00260CE3" w:rsidRDefault="0094785D" w:rsidP="007453E6">
            <w:pPr>
              <w:keepNext/>
              <w:jc w:val="both"/>
              <w:rPr>
                <w:rFonts w:ascii="Arial Narrow" w:hAnsi="Arial Narrow" w:cs="Arial"/>
                <w:sz w:val="20"/>
                <w:szCs w:val="20"/>
              </w:rPr>
            </w:pPr>
            <w:r>
              <w:rPr>
                <w:rFonts w:ascii="Arial Narrow" w:hAnsi="Arial Narrow" w:cs="Arial"/>
                <w:sz w:val="20"/>
                <w:szCs w:val="20"/>
              </w:rPr>
              <w:t>Lucrin Depot 6-month</w:t>
            </w:r>
          </w:p>
        </w:tc>
        <w:tc>
          <w:tcPr>
            <w:tcW w:w="1701" w:type="dxa"/>
          </w:tcPr>
          <w:p w:rsidR="005D3FE1" w:rsidRDefault="005D3FE1" w:rsidP="007453E6">
            <w:pPr>
              <w:keepNext/>
              <w:jc w:val="both"/>
              <w:rPr>
                <w:rFonts w:ascii="Arial Narrow" w:hAnsi="Arial Narrow" w:cs="Arial"/>
                <w:sz w:val="20"/>
                <w:szCs w:val="20"/>
              </w:rPr>
            </w:pPr>
          </w:p>
          <w:p w:rsidR="005D3FE1" w:rsidRPr="00260CE3" w:rsidRDefault="0094785D" w:rsidP="007453E6">
            <w:pPr>
              <w:keepNext/>
              <w:jc w:val="both"/>
              <w:rPr>
                <w:rFonts w:ascii="Arial Narrow" w:hAnsi="Arial Narrow" w:cs="Arial"/>
                <w:sz w:val="20"/>
                <w:szCs w:val="20"/>
              </w:rPr>
            </w:pPr>
            <w:r>
              <w:rPr>
                <w:rFonts w:ascii="Arial Narrow" w:hAnsi="Arial Narrow" w:cs="Arial"/>
                <w:sz w:val="20"/>
                <w:szCs w:val="20"/>
              </w:rPr>
              <w:t>AbbVie</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 xml:space="preserve">Category / </w:t>
            </w:r>
          </w:p>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5D3FE1" w:rsidRPr="00260CE3" w:rsidRDefault="005D3FE1" w:rsidP="007453E6">
            <w:pPr>
              <w:rPr>
                <w:rFonts w:ascii="Arial Narrow" w:hAnsi="Arial Narrow" w:cs="Arial"/>
                <w:sz w:val="20"/>
                <w:szCs w:val="20"/>
              </w:rPr>
            </w:pPr>
            <w:r w:rsidRPr="00260CE3">
              <w:rPr>
                <w:rFonts w:ascii="Arial Narrow" w:hAnsi="Arial Narrow" w:cs="Arial"/>
                <w:sz w:val="20"/>
                <w:szCs w:val="20"/>
              </w:rPr>
              <w:t>GENERAL – General Schedule (Code GE)</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5D3FE1" w:rsidRPr="00260CE3" w:rsidRDefault="005D3FE1" w:rsidP="007453E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0524C0">
              <w:rPr>
                <w:rFonts w:ascii="Arial Narrow" w:hAnsi="Arial Narrow" w:cs="Arial"/>
                <w:sz w:val="20"/>
                <w:szCs w:val="20"/>
              </w:rPr>
              <w:fldChar w:fldCharType="begin">
                <w:ffData>
                  <w:name w:val=""/>
                  <w:enabled/>
                  <w:calcOnExit w:val="0"/>
                  <w:checkBox>
                    <w:sizeAuto/>
                    <w:default w:val="1"/>
                  </w:checkBox>
                </w:ffData>
              </w:fldChar>
            </w:r>
            <w:r w:rsidR="000524C0">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000524C0">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D3FE1" w:rsidRPr="00260CE3" w:rsidRDefault="005D3FE1" w:rsidP="007453E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5D3FE1" w:rsidRPr="00260CE3" w:rsidRDefault="000524C0" w:rsidP="007453E6">
            <w:pPr>
              <w:rPr>
                <w:rFonts w:ascii="Arial Narrow" w:hAnsi="Arial Narrow" w:cs="Arial"/>
                <w:sz w:val="20"/>
                <w:szCs w:val="20"/>
              </w:rPr>
            </w:pPr>
            <w:r>
              <w:rPr>
                <w:rFonts w:ascii="Arial Narrow" w:hAnsi="Arial Narrow" w:cs="Arial"/>
                <w:sz w:val="20"/>
                <w:szCs w:val="20"/>
              </w:rPr>
              <w:t xml:space="preserve">Locally advanced (stage C) or metastatic (stage D) </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5D3FE1" w:rsidRPr="00260CE3" w:rsidRDefault="000524C0" w:rsidP="007453E6">
            <w:pPr>
              <w:rPr>
                <w:rFonts w:ascii="Arial Narrow" w:hAnsi="Arial Narrow" w:cs="Arial"/>
                <w:sz w:val="20"/>
                <w:szCs w:val="20"/>
              </w:rPr>
            </w:pPr>
            <w:r>
              <w:rPr>
                <w:rFonts w:ascii="Arial Narrow" w:hAnsi="Arial Narrow" w:cs="Arial"/>
                <w:sz w:val="20"/>
                <w:szCs w:val="20"/>
              </w:rPr>
              <w:t>Carcinoma of the prostate.</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5D3FE1" w:rsidRPr="00260CE3" w:rsidRDefault="000524C0" w:rsidP="007453E6">
            <w:pPr>
              <w:rPr>
                <w:rFonts w:ascii="Arial Narrow" w:hAnsi="Arial Narrow" w:cs="Arial"/>
                <w:sz w:val="20"/>
                <w:szCs w:val="20"/>
              </w:rPr>
            </w:pPr>
            <w:r>
              <w:rPr>
                <w:rFonts w:ascii="Arial Narrow" w:hAnsi="Arial Narrow" w:cs="Arial"/>
                <w:sz w:val="20"/>
                <w:szCs w:val="20"/>
              </w:rPr>
              <w:t xml:space="preserve">Locally advanced (stage C) or metastatic (stage D) carcinoma of the prostate. </w:t>
            </w:r>
          </w:p>
        </w:tc>
      </w:tr>
      <w:tr w:rsidR="005D3FE1" w:rsidRPr="00260CE3" w:rsidTr="007C34A2">
        <w:trPr>
          <w:cantSplit/>
          <w:trHeight w:val="360"/>
        </w:trPr>
        <w:tc>
          <w:tcPr>
            <w:tcW w:w="1985" w:type="dxa"/>
            <w:tcBorders>
              <w:top w:val="single" w:sz="4" w:space="0" w:color="auto"/>
              <w:left w:val="single" w:sz="4" w:space="0" w:color="auto"/>
              <w:bottom w:val="single" w:sz="4" w:space="0" w:color="auto"/>
              <w:right w:val="single" w:sz="4" w:space="0" w:color="auto"/>
            </w:tcBorders>
          </w:tcPr>
          <w:p w:rsidR="005D3FE1" w:rsidRPr="00260CE3" w:rsidRDefault="005D3FE1" w:rsidP="007453E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D3FE1" w:rsidRPr="00260CE3" w:rsidRDefault="005D3FE1" w:rsidP="007453E6">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D3FE1" w:rsidRPr="00106BCF" w:rsidRDefault="005D3FE1" w:rsidP="007453E6">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D3FE1" w:rsidRPr="00106BCF" w:rsidRDefault="005D3FE1" w:rsidP="007453E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D3FE1" w:rsidRPr="00106BCF" w:rsidRDefault="005D3FE1" w:rsidP="007453E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D3FE1" w:rsidRPr="00106BCF" w:rsidRDefault="005D3FE1" w:rsidP="007453E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5D3FE1" w:rsidRPr="00106BCF" w:rsidRDefault="005D3FE1" w:rsidP="007453E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D3FE1" w:rsidRPr="00260CE3" w:rsidRDefault="000524C0" w:rsidP="007453E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FB00AE">
              <w:rPr>
                <w:rFonts w:ascii="Arial Narrow" w:hAnsi="Arial Narrow" w:cs="Arial"/>
                <w:sz w:val="20"/>
                <w:szCs w:val="20"/>
              </w:rPr>
            </w:r>
            <w:r w:rsidR="00FB00AE">
              <w:rPr>
                <w:rFonts w:ascii="Arial Narrow" w:hAnsi="Arial Narrow" w:cs="Arial"/>
                <w:sz w:val="20"/>
                <w:szCs w:val="20"/>
              </w:rPr>
              <w:fldChar w:fldCharType="separate"/>
            </w:r>
            <w:r>
              <w:rPr>
                <w:rFonts w:ascii="Arial Narrow" w:hAnsi="Arial Narrow" w:cs="Arial"/>
                <w:sz w:val="20"/>
                <w:szCs w:val="20"/>
              </w:rPr>
              <w:fldChar w:fldCharType="end"/>
            </w:r>
            <w:bookmarkEnd w:id="1"/>
            <w:r w:rsidR="005D3FE1" w:rsidRPr="00106BCF">
              <w:rPr>
                <w:rFonts w:ascii="Arial Narrow" w:hAnsi="Arial Narrow" w:cs="Arial"/>
                <w:sz w:val="20"/>
                <w:szCs w:val="20"/>
              </w:rPr>
              <w:t>Streamlined</w:t>
            </w:r>
          </w:p>
        </w:tc>
      </w:tr>
    </w:tbl>
    <w:p w:rsidR="007D060A" w:rsidRPr="006C307E" w:rsidRDefault="007D060A" w:rsidP="007453E6">
      <w:pPr>
        <w:contextualSpacing/>
        <w:jc w:val="both"/>
        <w:rPr>
          <w:rFonts w:ascii="Arial" w:hAnsi="Arial" w:cs="Arial"/>
          <w:bCs/>
          <w:snapToGrid w:val="0"/>
          <w:sz w:val="22"/>
          <w:szCs w:val="22"/>
        </w:rPr>
      </w:pPr>
    </w:p>
    <w:p w:rsidR="00003743" w:rsidRPr="0017002B" w:rsidRDefault="0017002B" w:rsidP="007453E6">
      <w:pPr>
        <w:pStyle w:val="minorovrheadings"/>
        <w:rPr>
          <w:rStyle w:val="IntenseReference"/>
          <w:bCs/>
          <w:i w:val="0"/>
          <w:smallCaps w:val="0"/>
          <w:color w:val="auto"/>
          <w:spacing w:val="0"/>
        </w:rPr>
      </w:pPr>
      <w:r w:rsidRPr="0017002B">
        <w:rPr>
          <w:rStyle w:val="IntenseReference"/>
          <w:bCs/>
          <w:i w:val="0"/>
          <w:smallCaps w:val="0"/>
          <w:color w:val="auto"/>
          <w:spacing w:val="0"/>
        </w:rPr>
        <w:t xml:space="preserve">Context for Decision </w:t>
      </w:r>
    </w:p>
    <w:p w:rsidR="007453E6" w:rsidRDefault="0017002B" w:rsidP="007453E6">
      <w:pPr>
        <w:pStyle w:val="minorovrheadings"/>
        <w:numPr>
          <w:ilvl w:val="0"/>
          <w:numId w:val="0"/>
        </w:numPr>
        <w:ind w:left="720"/>
        <w:rPr>
          <w:snapToGrid w:val="0"/>
        </w:rPr>
      </w:pPr>
      <w:r>
        <w:rPr>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7002B" w:rsidRDefault="0017002B" w:rsidP="007453E6">
      <w:pPr>
        <w:pStyle w:val="minorovrheadings"/>
        <w:rPr>
          <w:b/>
          <w:snapToGrid w:val="0"/>
        </w:rPr>
      </w:pPr>
      <w:r w:rsidRPr="0017002B">
        <w:rPr>
          <w:b/>
          <w:snapToGrid w:val="0"/>
        </w:rPr>
        <w:t xml:space="preserve">Sponsor’s Comment </w:t>
      </w:r>
    </w:p>
    <w:p w:rsidR="009B168C" w:rsidRPr="009B168C" w:rsidRDefault="009B168C" w:rsidP="009B168C">
      <w:pPr>
        <w:pStyle w:val="minorovrheadings"/>
        <w:numPr>
          <w:ilvl w:val="0"/>
          <w:numId w:val="0"/>
        </w:numPr>
        <w:ind w:left="720"/>
        <w:rPr>
          <w:rStyle w:val="IntenseReference"/>
          <w:b w:val="0"/>
          <w:bCs/>
          <w:i w:val="0"/>
          <w:smallCaps w:val="0"/>
          <w:snapToGrid w:val="0"/>
          <w:color w:val="auto"/>
          <w:spacing w:val="0"/>
        </w:rPr>
      </w:pPr>
      <w:r w:rsidRPr="009B168C">
        <w:rPr>
          <w:rStyle w:val="IntenseReference"/>
          <w:b w:val="0"/>
          <w:bCs/>
          <w:i w:val="0"/>
          <w:smallCaps w:val="0"/>
          <w:snapToGrid w:val="0"/>
          <w:color w:val="auto"/>
          <w:spacing w:val="0"/>
        </w:rPr>
        <w:t>AbbVie welcome</w:t>
      </w:r>
      <w:r w:rsidR="002F1FA1">
        <w:rPr>
          <w:rStyle w:val="IntenseReference"/>
          <w:b w:val="0"/>
          <w:bCs/>
          <w:i w:val="0"/>
          <w:smallCaps w:val="0"/>
          <w:snapToGrid w:val="0"/>
          <w:color w:val="auto"/>
          <w:spacing w:val="0"/>
        </w:rPr>
        <w:t>s</w:t>
      </w:r>
      <w:r w:rsidRPr="009B168C">
        <w:rPr>
          <w:rStyle w:val="IntenseReference"/>
          <w:b w:val="0"/>
          <w:bCs/>
          <w:i w:val="0"/>
          <w:smallCaps w:val="0"/>
          <w:snapToGrid w:val="0"/>
          <w:color w:val="auto"/>
          <w:spacing w:val="0"/>
        </w:rPr>
        <w:t xml:space="preserve"> the</w:t>
      </w:r>
      <w:r>
        <w:rPr>
          <w:rStyle w:val="IntenseReference"/>
          <w:b w:val="0"/>
          <w:bCs/>
          <w:i w:val="0"/>
          <w:smallCaps w:val="0"/>
          <w:snapToGrid w:val="0"/>
          <w:color w:val="auto"/>
          <w:spacing w:val="0"/>
        </w:rPr>
        <w:t xml:space="preserve"> PBAC decision to recommend this</w:t>
      </w:r>
      <w:r w:rsidRPr="009B168C">
        <w:rPr>
          <w:rStyle w:val="IntenseReference"/>
          <w:b w:val="0"/>
          <w:bCs/>
          <w:i w:val="0"/>
          <w:smallCaps w:val="0"/>
          <w:snapToGrid w:val="0"/>
          <w:color w:val="auto"/>
          <w:spacing w:val="0"/>
        </w:rPr>
        <w:t xml:space="preserve"> </w:t>
      </w:r>
      <w:r>
        <w:rPr>
          <w:rStyle w:val="IntenseReference"/>
          <w:b w:val="0"/>
          <w:bCs/>
          <w:i w:val="0"/>
          <w:smallCaps w:val="0"/>
          <w:snapToGrid w:val="0"/>
          <w:color w:val="auto"/>
          <w:spacing w:val="0"/>
        </w:rPr>
        <w:t xml:space="preserve">PBS </w:t>
      </w:r>
      <w:r w:rsidRPr="009B168C">
        <w:rPr>
          <w:rStyle w:val="IntenseReference"/>
          <w:b w:val="0"/>
          <w:bCs/>
          <w:i w:val="0"/>
          <w:smallCaps w:val="0"/>
          <w:snapToGrid w:val="0"/>
          <w:color w:val="auto"/>
          <w:spacing w:val="0"/>
        </w:rPr>
        <w:t xml:space="preserve">listing to facilitate treatment of patients with </w:t>
      </w:r>
      <w:r>
        <w:rPr>
          <w:rStyle w:val="IntenseReference"/>
          <w:b w:val="0"/>
          <w:bCs/>
          <w:i w:val="0"/>
          <w:smallCaps w:val="0"/>
          <w:snapToGrid w:val="0"/>
          <w:color w:val="auto"/>
          <w:spacing w:val="0"/>
        </w:rPr>
        <w:t xml:space="preserve">leuprorelin every 6 months for </w:t>
      </w:r>
      <w:r w:rsidRPr="009B168C">
        <w:rPr>
          <w:rStyle w:val="IntenseReference"/>
          <w:b w:val="0"/>
          <w:bCs/>
          <w:i w:val="0"/>
          <w:smallCaps w:val="0"/>
          <w:snapToGrid w:val="0"/>
          <w:color w:val="auto"/>
          <w:spacing w:val="0"/>
        </w:rPr>
        <w:t>carcinoma of the prostate.</w:t>
      </w:r>
    </w:p>
    <w:sectPr w:rsidR="009B168C" w:rsidRPr="009B168C" w:rsidSect="00CD4074">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D6305" w15:done="0"/>
  <w15:commentEx w15:paraId="4BD34DA3" w15:paraIdParent="556D6305" w15:done="0"/>
  <w15:commentEx w15:paraId="784675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AE" w:rsidRDefault="00FB00AE">
      <w:r>
        <w:separator/>
      </w:r>
    </w:p>
  </w:endnote>
  <w:endnote w:type="continuationSeparator" w:id="0">
    <w:p w:rsidR="00FB00AE" w:rsidRDefault="00FB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4074" w:rsidTr="00CD4074">
      <w:trPr>
        <w:trHeight w:val="151"/>
      </w:trPr>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500" w:type="pct"/>
          <w:vMerge w:val="restart"/>
          <w:noWrap/>
          <w:vAlign w:val="center"/>
          <w:hideMark/>
        </w:tcPr>
        <w:p w:rsidR="00CD4074" w:rsidRPr="005A3173" w:rsidRDefault="00CD4074" w:rsidP="00CD40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r>
    <w:tr w:rsidR="00CD4074" w:rsidTr="00CD4074">
      <w:trPr>
        <w:trHeight w:val="150"/>
      </w:trPr>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0" w:type="auto"/>
          <w:vMerge/>
          <w:vAlign w:val="center"/>
          <w:hideMark/>
        </w:tcPr>
        <w:p w:rsidR="00CD4074" w:rsidRPr="005A3173" w:rsidRDefault="00CD4074" w:rsidP="00CD4074">
          <w:pPr>
            <w:rPr>
              <w:rFonts w:ascii="Calibri" w:hAnsi="Calibri"/>
              <w:color w:val="365F91"/>
              <w:sz w:val="22"/>
              <w:szCs w:val="22"/>
            </w:rPr>
          </w:pPr>
        </w:p>
      </w:tc>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r>
  </w:tbl>
  <w:p w:rsidR="00CD4074" w:rsidRDefault="00CD4074" w:rsidP="00CD4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4074" w:rsidRDefault="00CD4074">
    <w:pPr>
      <w:pStyle w:val="Footer"/>
    </w:pPr>
  </w:p>
  <w:p w:rsidR="00CD4074" w:rsidRDefault="00CD40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74" w:rsidRDefault="00CD4074" w:rsidP="00CD4074">
    <w:pPr>
      <w:pStyle w:val="Footer"/>
      <w:jc w:val="center"/>
      <w:rPr>
        <w:rFonts w:ascii="Arial" w:hAnsi="Arial" w:cs="Arial"/>
        <w:b/>
        <w:sz w:val="20"/>
        <w:szCs w:val="20"/>
      </w:rPr>
    </w:pPr>
  </w:p>
  <w:p w:rsidR="007D060A" w:rsidRPr="00651169" w:rsidRDefault="007D060A" w:rsidP="007D060A">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B00AE">
      <w:rPr>
        <w:rFonts w:ascii="Arial" w:hAnsi="Arial" w:cs="Arial"/>
        <w:noProof/>
        <w:sz w:val="20"/>
        <w:szCs w:val="20"/>
      </w:rPr>
      <w:t>1</w:t>
    </w:r>
    <w:r w:rsidRPr="00651169">
      <w:rPr>
        <w:rFonts w:ascii="Arial" w:hAnsi="Arial" w:cs="Arial"/>
        <w:noProof/>
        <w:sz w:val="20"/>
        <w:szCs w:val="20"/>
      </w:rPr>
      <w:fldChar w:fldCharType="end"/>
    </w:r>
  </w:p>
  <w:p w:rsidR="00CD4074" w:rsidRDefault="00CD4074" w:rsidP="007D060A">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D4074" w:rsidTr="00CD4074">
      <w:trPr>
        <w:trHeight w:val="151"/>
      </w:trPr>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500" w:type="pct"/>
          <w:vMerge w:val="restart"/>
          <w:noWrap/>
          <w:vAlign w:val="center"/>
          <w:hideMark/>
        </w:tcPr>
        <w:p w:rsidR="00CD4074" w:rsidRPr="005A3173" w:rsidRDefault="00CD4074" w:rsidP="00CD40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r>
    <w:tr w:rsidR="00CD4074" w:rsidTr="00CD4074">
      <w:trPr>
        <w:trHeight w:val="150"/>
      </w:trPr>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0" w:type="auto"/>
          <w:vMerge/>
          <w:vAlign w:val="center"/>
          <w:hideMark/>
        </w:tcPr>
        <w:p w:rsidR="00CD4074" w:rsidRPr="005A3173" w:rsidRDefault="00CD4074" w:rsidP="00CD4074">
          <w:pPr>
            <w:rPr>
              <w:rFonts w:ascii="Calibri" w:hAnsi="Calibri"/>
              <w:color w:val="365F91"/>
              <w:sz w:val="22"/>
              <w:szCs w:val="22"/>
            </w:rPr>
          </w:pPr>
        </w:p>
      </w:tc>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4074" w:rsidTr="00CD4074">
      <w:trPr>
        <w:trHeight w:val="151"/>
      </w:trPr>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500" w:type="pct"/>
          <w:vMerge w:val="restart"/>
          <w:noWrap/>
          <w:vAlign w:val="center"/>
          <w:hideMark/>
        </w:tcPr>
        <w:p w:rsidR="00CD4074" w:rsidRPr="005A3173" w:rsidRDefault="00CD4074" w:rsidP="00CD40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D4074" w:rsidRPr="005A3173" w:rsidRDefault="00CD4074" w:rsidP="00CD4074">
          <w:pPr>
            <w:pStyle w:val="Header"/>
            <w:spacing w:line="276" w:lineRule="auto"/>
            <w:rPr>
              <w:rFonts w:ascii="Calibri" w:eastAsia="MS Gothic" w:hAnsi="Calibri"/>
              <w:b/>
              <w:bCs/>
              <w:color w:val="4F81BD"/>
            </w:rPr>
          </w:pPr>
        </w:p>
      </w:tc>
    </w:tr>
    <w:tr w:rsidR="00CD4074" w:rsidTr="00CD4074">
      <w:trPr>
        <w:trHeight w:val="150"/>
      </w:trPr>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c>
        <w:tcPr>
          <w:tcW w:w="0" w:type="auto"/>
          <w:vMerge/>
          <w:vAlign w:val="center"/>
          <w:hideMark/>
        </w:tcPr>
        <w:p w:rsidR="00CD4074" w:rsidRPr="005A3173" w:rsidRDefault="00CD4074" w:rsidP="00CD4074">
          <w:pPr>
            <w:rPr>
              <w:rFonts w:ascii="Calibri" w:hAnsi="Calibri"/>
              <w:color w:val="365F91"/>
              <w:sz w:val="22"/>
              <w:szCs w:val="22"/>
            </w:rPr>
          </w:pPr>
        </w:p>
      </w:tc>
      <w:tc>
        <w:tcPr>
          <w:tcW w:w="2250" w:type="pct"/>
          <w:tcBorders>
            <w:top w:val="single" w:sz="4" w:space="0" w:color="4F81BD"/>
            <w:left w:val="nil"/>
            <w:bottom w:val="nil"/>
            <w:right w:val="nil"/>
          </w:tcBorders>
        </w:tcPr>
        <w:p w:rsidR="00CD4074" w:rsidRPr="005A3173" w:rsidRDefault="00CD4074" w:rsidP="00CD4074">
          <w:pPr>
            <w:pStyle w:val="Header"/>
            <w:spacing w:line="276" w:lineRule="auto"/>
            <w:rPr>
              <w:rFonts w:ascii="Calibri" w:eastAsia="MS Gothic" w:hAnsi="Calibri"/>
              <w:b/>
              <w:bCs/>
              <w:color w:val="4F81BD"/>
            </w:rPr>
          </w:pPr>
        </w:p>
      </w:tc>
    </w:tr>
  </w:tbl>
  <w:p w:rsidR="00CD4074" w:rsidRPr="007C0F57" w:rsidRDefault="00CD4074" w:rsidP="00CD4074">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D4074" w:rsidRPr="007C0F57" w:rsidRDefault="00CD4074" w:rsidP="00CD4074">
    <w:pPr>
      <w:pStyle w:val="Footer"/>
      <w:jc w:val="center"/>
      <w:rPr>
        <w:b/>
        <w:i/>
        <w:sz w:val="20"/>
        <w:szCs w:val="20"/>
      </w:rPr>
    </w:pPr>
    <w:r w:rsidRPr="007C0F57">
      <w:rPr>
        <w:b/>
        <w:i/>
        <w:sz w:val="20"/>
        <w:szCs w:val="20"/>
      </w:rPr>
      <w:t>Commercial-in-Confidence</w:t>
    </w:r>
  </w:p>
  <w:p w:rsidR="00CD4074" w:rsidRDefault="00CD40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AE" w:rsidRDefault="00FB00AE">
      <w:r>
        <w:separator/>
      </w:r>
    </w:p>
  </w:footnote>
  <w:footnote w:type="continuationSeparator" w:id="0">
    <w:p w:rsidR="00FB00AE" w:rsidRDefault="00FB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D4074" w:rsidRPr="008E0D90" w:rsidTr="00CD4074">
      <w:trPr>
        <w:trHeight w:val="151"/>
      </w:trPr>
      <w:tc>
        <w:tcPr>
          <w:tcW w:w="2389" w:type="pct"/>
          <w:tcBorders>
            <w:top w:val="nil"/>
            <w:left w:val="nil"/>
            <w:bottom w:val="single" w:sz="4" w:space="0" w:color="4F81BD"/>
            <w:right w:val="nil"/>
          </w:tcBorders>
        </w:tcPr>
        <w:p w:rsidR="00CD4074" w:rsidRPr="00A06225" w:rsidRDefault="00CD4074">
          <w:pPr>
            <w:pStyle w:val="Header"/>
            <w:spacing w:line="276" w:lineRule="auto"/>
            <w:rPr>
              <w:rFonts w:ascii="Cambria" w:eastAsia="MS Gothic" w:hAnsi="Cambria"/>
              <w:b/>
              <w:bCs/>
              <w:color w:val="4F81BD"/>
            </w:rPr>
          </w:pPr>
        </w:p>
      </w:tc>
      <w:tc>
        <w:tcPr>
          <w:tcW w:w="333" w:type="pct"/>
          <w:vMerge w:val="restart"/>
          <w:noWrap/>
          <w:vAlign w:val="center"/>
          <w:hideMark/>
        </w:tcPr>
        <w:p w:rsidR="00CD4074" w:rsidRPr="00A06225" w:rsidRDefault="00CD4074" w:rsidP="00CD4074">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D4074" w:rsidRPr="00A06225" w:rsidRDefault="00CD4074">
          <w:pPr>
            <w:pStyle w:val="Header"/>
            <w:spacing w:line="276" w:lineRule="auto"/>
            <w:rPr>
              <w:rFonts w:ascii="Cambria" w:eastAsia="MS Gothic" w:hAnsi="Cambria"/>
              <w:b/>
              <w:bCs/>
              <w:color w:val="4F81BD"/>
            </w:rPr>
          </w:pPr>
        </w:p>
      </w:tc>
    </w:tr>
    <w:tr w:rsidR="00CD4074" w:rsidRPr="008E0D90" w:rsidTr="00CD4074">
      <w:trPr>
        <w:trHeight w:val="150"/>
      </w:trPr>
      <w:tc>
        <w:tcPr>
          <w:tcW w:w="2389" w:type="pct"/>
          <w:tcBorders>
            <w:top w:val="single" w:sz="4" w:space="0" w:color="4F81BD"/>
            <w:left w:val="nil"/>
            <w:bottom w:val="nil"/>
            <w:right w:val="nil"/>
          </w:tcBorders>
        </w:tcPr>
        <w:p w:rsidR="00CD4074" w:rsidRPr="00A06225" w:rsidRDefault="00CD4074">
          <w:pPr>
            <w:pStyle w:val="Header"/>
            <w:spacing w:line="276" w:lineRule="auto"/>
            <w:rPr>
              <w:rFonts w:ascii="Cambria" w:eastAsia="MS Gothic" w:hAnsi="Cambria"/>
              <w:b/>
              <w:bCs/>
              <w:color w:val="4F81BD"/>
            </w:rPr>
          </w:pPr>
        </w:p>
      </w:tc>
      <w:tc>
        <w:tcPr>
          <w:tcW w:w="0" w:type="auto"/>
          <w:vMerge/>
          <w:vAlign w:val="center"/>
          <w:hideMark/>
        </w:tcPr>
        <w:p w:rsidR="00CD4074" w:rsidRPr="00A06225" w:rsidRDefault="00CD4074">
          <w:pPr>
            <w:rPr>
              <w:rFonts w:ascii="Cambria" w:hAnsi="Cambria"/>
              <w:color w:val="4F81BD"/>
              <w:sz w:val="22"/>
              <w:szCs w:val="22"/>
            </w:rPr>
          </w:pPr>
        </w:p>
      </w:tc>
      <w:tc>
        <w:tcPr>
          <w:tcW w:w="2278" w:type="pct"/>
          <w:tcBorders>
            <w:top w:val="single" w:sz="4" w:space="0" w:color="4F81BD"/>
            <w:left w:val="nil"/>
            <w:bottom w:val="nil"/>
            <w:right w:val="nil"/>
          </w:tcBorders>
        </w:tcPr>
        <w:p w:rsidR="00CD4074" w:rsidRPr="00A06225" w:rsidRDefault="00CD4074">
          <w:pPr>
            <w:pStyle w:val="Header"/>
            <w:spacing w:line="276" w:lineRule="auto"/>
            <w:rPr>
              <w:rFonts w:ascii="Cambria" w:eastAsia="MS Gothic" w:hAnsi="Cambria"/>
              <w:b/>
              <w:bCs/>
              <w:color w:val="4F81BD"/>
            </w:rPr>
          </w:pPr>
        </w:p>
      </w:tc>
    </w:tr>
  </w:tbl>
  <w:p w:rsidR="00CD4074" w:rsidRDefault="00CD4074">
    <w:pPr>
      <w:pStyle w:val="Header"/>
    </w:pPr>
  </w:p>
  <w:p w:rsidR="00CD4074" w:rsidRDefault="00CD40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0A" w:rsidRPr="00DF217D" w:rsidRDefault="0017002B" w:rsidP="007D060A">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7D060A" w:rsidRPr="00DF217D">
      <w:rPr>
        <w:rFonts w:ascii="Arial" w:hAnsi="Arial" w:cs="Arial"/>
        <w:i/>
        <w:color w:val="808080"/>
        <w:sz w:val="22"/>
      </w:rPr>
      <w:t xml:space="preserve">– </w:t>
    </w:r>
    <w:r w:rsidR="007D060A">
      <w:rPr>
        <w:rFonts w:ascii="Arial" w:hAnsi="Arial" w:cs="Arial"/>
        <w:i/>
        <w:color w:val="808080"/>
        <w:sz w:val="22"/>
      </w:rPr>
      <w:t xml:space="preserve">July 2015 </w:t>
    </w:r>
    <w:r w:rsidR="007D060A" w:rsidRPr="00DF217D">
      <w:rPr>
        <w:rFonts w:ascii="Arial" w:hAnsi="Arial" w:cs="Arial"/>
        <w:i/>
        <w:color w:val="808080"/>
        <w:sz w:val="22"/>
      </w:rPr>
      <w:t>PBAC</w:t>
    </w:r>
    <w:r w:rsidR="007D060A">
      <w:rPr>
        <w:rFonts w:ascii="Arial" w:hAnsi="Arial" w:cs="Arial"/>
        <w:i/>
        <w:color w:val="808080"/>
        <w:sz w:val="22"/>
      </w:rPr>
      <w:t xml:space="preserve"> </w:t>
    </w:r>
    <w:r w:rsidR="007D060A" w:rsidRPr="00DF217D">
      <w:rPr>
        <w:rFonts w:ascii="Arial" w:hAnsi="Arial" w:cs="Arial"/>
        <w:i/>
        <w:color w:val="808080"/>
        <w:sz w:val="22"/>
      </w:rPr>
      <w:t>Meeting</w:t>
    </w:r>
  </w:p>
  <w:p w:rsidR="00CD4074" w:rsidRDefault="00CD4074" w:rsidP="00CD4074">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C80131E"/>
    <w:multiLevelType w:val="hybridMultilevel"/>
    <w:tmpl w:val="AB58FE60"/>
    <w:lvl w:ilvl="0" w:tplc="22DE04E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4">
    <w:nsid w:val="28D641B7"/>
    <w:multiLevelType w:val="hybridMultilevel"/>
    <w:tmpl w:val="78A2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784D033C"/>
    <w:multiLevelType w:val="multilevel"/>
    <w:tmpl w:val="FBCEB588"/>
    <w:lvl w:ilvl="0">
      <w:start w:val="1"/>
      <w:numFmt w:val="decimal"/>
      <w:pStyle w:val="minorovrheadings"/>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num>
  <w:num w:numId="4">
    <w:abstractNumId w:val="6"/>
  </w:num>
  <w:num w:numId="5">
    <w:abstractNumId w:val="1"/>
  </w:num>
  <w:num w:numId="6">
    <w:abstractNumId w:val="7"/>
  </w:num>
  <w:num w:numId="7">
    <w:abstractNumId w:val="7"/>
  </w:num>
  <w:num w:numId="8">
    <w:abstractNumId w:val="7"/>
  </w:num>
  <w:num w:numId="9">
    <w:abstractNumId w:val="7"/>
  </w:num>
  <w:num w:numId="10">
    <w:abstractNumId w:val="7"/>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74"/>
    <w:rsid w:val="00003743"/>
    <w:rsid w:val="00017F42"/>
    <w:rsid w:val="0002310B"/>
    <w:rsid w:val="000524C0"/>
    <w:rsid w:val="00067456"/>
    <w:rsid w:val="000C5805"/>
    <w:rsid w:val="000C7368"/>
    <w:rsid w:val="00107D51"/>
    <w:rsid w:val="00122EEA"/>
    <w:rsid w:val="00161B02"/>
    <w:rsid w:val="0017002B"/>
    <w:rsid w:val="00193AEA"/>
    <w:rsid w:val="001A3DD8"/>
    <w:rsid w:val="001B0F70"/>
    <w:rsid w:val="001B3443"/>
    <w:rsid w:val="001F6A2A"/>
    <w:rsid w:val="00241652"/>
    <w:rsid w:val="0027798A"/>
    <w:rsid w:val="002A20E7"/>
    <w:rsid w:val="002C3126"/>
    <w:rsid w:val="002C5CA9"/>
    <w:rsid w:val="002F1FA1"/>
    <w:rsid w:val="0030786C"/>
    <w:rsid w:val="0035635D"/>
    <w:rsid w:val="00372FED"/>
    <w:rsid w:val="003C7FE4"/>
    <w:rsid w:val="003D17F9"/>
    <w:rsid w:val="003E7338"/>
    <w:rsid w:val="00400B3D"/>
    <w:rsid w:val="00401EB9"/>
    <w:rsid w:val="00467443"/>
    <w:rsid w:val="004867E2"/>
    <w:rsid w:val="004A736D"/>
    <w:rsid w:val="004B482A"/>
    <w:rsid w:val="004B5459"/>
    <w:rsid w:val="00533A35"/>
    <w:rsid w:val="00541F2D"/>
    <w:rsid w:val="005705B6"/>
    <w:rsid w:val="0058462C"/>
    <w:rsid w:val="005B6858"/>
    <w:rsid w:val="005C32E2"/>
    <w:rsid w:val="005D3FE1"/>
    <w:rsid w:val="005E049B"/>
    <w:rsid w:val="005F4194"/>
    <w:rsid w:val="0061464C"/>
    <w:rsid w:val="0063311F"/>
    <w:rsid w:val="006A358F"/>
    <w:rsid w:val="006A3CEE"/>
    <w:rsid w:val="006B3B7C"/>
    <w:rsid w:val="006C26D5"/>
    <w:rsid w:val="006C6FB4"/>
    <w:rsid w:val="006E035F"/>
    <w:rsid w:val="006F7E61"/>
    <w:rsid w:val="00712FBD"/>
    <w:rsid w:val="00714083"/>
    <w:rsid w:val="007305F9"/>
    <w:rsid w:val="007453E6"/>
    <w:rsid w:val="00746099"/>
    <w:rsid w:val="00750AB4"/>
    <w:rsid w:val="00751D78"/>
    <w:rsid w:val="00765F39"/>
    <w:rsid w:val="00767BE3"/>
    <w:rsid w:val="007939B1"/>
    <w:rsid w:val="007A1A8A"/>
    <w:rsid w:val="007C696A"/>
    <w:rsid w:val="007D060A"/>
    <w:rsid w:val="007D4F78"/>
    <w:rsid w:val="0080064A"/>
    <w:rsid w:val="00812B9C"/>
    <w:rsid w:val="008264EB"/>
    <w:rsid w:val="0082666A"/>
    <w:rsid w:val="008407A0"/>
    <w:rsid w:val="008B4C9E"/>
    <w:rsid w:val="008C027D"/>
    <w:rsid w:val="008D7EFA"/>
    <w:rsid w:val="008F7FDB"/>
    <w:rsid w:val="00912D29"/>
    <w:rsid w:val="00920262"/>
    <w:rsid w:val="00921699"/>
    <w:rsid w:val="00930F87"/>
    <w:rsid w:val="00934DE3"/>
    <w:rsid w:val="0094785D"/>
    <w:rsid w:val="009572EE"/>
    <w:rsid w:val="00980571"/>
    <w:rsid w:val="009A2B5B"/>
    <w:rsid w:val="009B168C"/>
    <w:rsid w:val="009B6E0C"/>
    <w:rsid w:val="009C042C"/>
    <w:rsid w:val="009D36AB"/>
    <w:rsid w:val="009E3261"/>
    <w:rsid w:val="009F340C"/>
    <w:rsid w:val="009F41CA"/>
    <w:rsid w:val="009F6665"/>
    <w:rsid w:val="00A06977"/>
    <w:rsid w:val="00A3276C"/>
    <w:rsid w:val="00A4512D"/>
    <w:rsid w:val="00A55557"/>
    <w:rsid w:val="00A705AF"/>
    <w:rsid w:val="00A74B8B"/>
    <w:rsid w:val="00A81FBA"/>
    <w:rsid w:val="00AD2D09"/>
    <w:rsid w:val="00AD32CF"/>
    <w:rsid w:val="00B30415"/>
    <w:rsid w:val="00B42354"/>
    <w:rsid w:val="00B42851"/>
    <w:rsid w:val="00B45C17"/>
    <w:rsid w:val="00BA2173"/>
    <w:rsid w:val="00BC1F09"/>
    <w:rsid w:val="00BE3A59"/>
    <w:rsid w:val="00C04A39"/>
    <w:rsid w:val="00C36B40"/>
    <w:rsid w:val="00C51685"/>
    <w:rsid w:val="00CB26EF"/>
    <w:rsid w:val="00CB5B1A"/>
    <w:rsid w:val="00CD4074"/>
    <w:rsid w:val="00CF6535"/>
    <w:rsid w:val="00D30852"/>
    <w:rsid w:val="00DD33F3"/>
    <w:rsid w:val="00DE0BAB"/>
    <w:rsid w:val="00DE1F80"/>
    <w:rsid w:val="00E30E27"/>
    <w:rsid w:val="00EF7127"/>
    <w:rsid w:val="00FB00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D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74"/>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CD4074"/>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CD4074"/>
    <w:rPr>
      <w:sz w:val="24"/>
      <w:szCs w:val="24"/>
    </w:rPr>
  </w:style>
  <w:style w:type="paragraph" w:styleId="Footer">
    <w:name w:val="footer"/>
    <w:basedOn w:val="Normal"/>
    <w:link w:val="FooterChar"/>
    <w:uiPriority w:val="99"/>
    <w:rsid w:val="00CD4074"/>
    <w:pPr>
      <w:tabs>
        <w:tab w:val="center" w:pos="4153"/>
        <w:tab w:val="right" w:pos="8306"/>
      </w:tabs>
    </w:pPr>
  </w:style>
  <w:style w:type="character" w:customStyle="1" w:styleId="FooterChar">
    <w:name w:val="Footer Char"/>
    <w:basedOn w:val="DefaultParagraphFont"/>
    <w:link w:val="Footer"/>
    <w:uiPriority w:val="99"/>
    <w:rsid w:val="00CD4074"/>
    <w:rPr>
      <w:sz w:val="24"/>
      <w:szCs w:val="24"/>
    </w:rPr>
  </w:style>
  <w:style w:type="character" w:styleId="PageNumber">
    <w:name w:val="page number"/>
    <w:basedOn w:val="DefaultParagraphFont"/>
    <w:rsid w:val="00CD4074"/>
  </w:style>
  <w:style w:type="paragraph" w:customStyle="1" w:styleId="MediumGrid21">
    <w:name w:val="Medium Grid 21"/>
    <w:link w:val="MediumGrid2Char"/>
    <w:qFormat/>
    <w:rsid w:val="00CD4074"/>
    <w:rPr>
      <w:rFonts w:ascii="PMingLiU" w:eastAsia="MS Mincho" w:hAnsi="PMingLiU"/>
      <w:sz w:val="22"/>
      <w:szCs w:val="22"/>
      <w:lang w:val="en-US" w:eastAsia="en-US"/>
    </w:rPr>
  </w:style>
  <w:style w:type="character" w:customStyle="1" w:styleId="MediumGrid2Char">
    <w:name w:val="Medium Grid 2 Char"/>
    <w:link w:val="MediumGrid21"/>
    <w:rsid w:val="00CD4074"/>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CD4074"/>
    <w:rPr>
      <w:sz w:val="16"/>
      <w:szCs w:val="16"/>
    </w:rPr>
  </w:style>
  <w:style w:type="paragraph" w:styleId="CommentText">
    <w:name w:val="annotation text"/>
    <w:basedOn w:val="Normal"/>
    <w:link w:val="CommentTextChar"/>
    <w:rsid w:val="00CD4074"/>
    <w:rPr>
      <w:sz w:val="20"/>
      <w:szCs w:val="20"/>
    </w:rPr>
  </w:style>
  <w:style w:type="character" w:customStyle="1" w:styleId="CommentTextChar">
    <w:name w:val="Comment Text Char"/>
    <w:basedOn w:val="DefaultParagraphFont"/>
    <w:link w:val="CommentText"/>
    <w:rsid w:val="00CD4074"/>
  </w:style>
  <w:style w:type="paragraph" w:customStyle="1" w:styleId="tablenotes">
    <w:name w:val="table notes"/>
    <w:basedOn w:val="BodyText2"/>
    <w:qFormat/>
    <w:rsid w:val="00CD4074"/>
    <w:pPr>
      <w:widowControl w:val="0"/>
      <w:spacing w:after="0" w:line="240" w:lineRule="auto"/>
      <w:jc w:val="both"/>
    </w:pPr>
    <w:rPr>
      <w:rFonts w:ascii="Arial" w:hAnsi="Arial"/>
      <w:snapToGrid w:val="0"/>
      <w:sz w:val="20"/>
      <w:szCs w:val="20"/>
      <w:lang w:eastAsia="en-US"/>
    </w:rPr>
  </w:style>
  <w:style w:type="paragraph" w:styleId="BodyText2">
    <w:name w:val="Body Text 2"/>
    <w:basedOn w:val="Normal"/>
    <w:link w:val="BodyText2Char"/>
    <w:rsid w:val="00CD4074"/>
    <w:pPr>
      <w:spacing w:after="120" w:line="480" w:lineRule="auto"/>
    </w:pPr>
  </w:style>
  <w:style w:type="character" w:customStyle="1" w:styleId="BodyText2Char">
    <w:name w:val="Body Text 2 Char"/>
    <w:basedOn w:val="DefaultParagraphFont"/>
    <w:link w:val="BodyText2"/>
    <w:rsid w:val="00CD4074"/>
    <w:rPr>
      <w:sz w:val="24"/>
      <w:szCs w:val="24"/>
    </w:rPr>
  </w:style>
  <w:style w:type="paragraph" w:styleId="BalloonText">
    <w:name w:val="Balloon Text"/>
    <w:basedOn w:val="Normal"/>
    <w:link w:val="BalloonTextChar"/>
    <w:rsid w:val="00CD4074"/>
    <w:rPr>
      <w:rFonts w:ascii="Tahoma" w:hAnsi="Tahoma" w:cs="Tahoma"/>
      <w:sz w:val="16"/>
      <w:szCs w:val="16"/>
    </w:rPr>
  </w:style>
  <w:style w:type="character" w:customStyle="1" w:styleId="BalloonTextChar">
    <w:name w:val="Balloon Text Char"/>
    <w:basedOn w:val="DefaultParagraphFont"/>
    <w:link w:val="BalloonText"/>
    <w:rsid w:val="00CD4074"/>
    <w:rPr>
      <w:rFonts w:ascii="Tahoma" w:hAnsi="Tahoma" w:cs="Tahoma"/>
      <w:sz w:val="16"/>
      <w:szCs w:val="16"/>
    </w:rPr>
  </w:style>
  <w:style w:type="paragraph" w:styleId="CommentSubject">
    <w:name w:val="annotation subject"/>
    <w:basedOn w:val="CommentText"/>
    <w:next w:val="CommentText"/>
    <w:link w:val="CommentSubjectChar"/>
    <w:rsid w:val="009572EE"/>
    <w:rPr>
      <w:b/>
      <w:bCs/>
    </w:rPr>
  </w:style>
  <w:style w:type="character" w:customStyle="1" w:styleId="CommentSubjectChar">
    <w:name w:val="Comment Subject Char"/>
    <w:basedOn w:val="CommentTextChar"/>
    <w:link w:val="CommentSubject"/>
    <w:rsid w:val="009572EE"/>
    <w:rPr>
      <w:b/>
      <w:bCs/>
    </w:rPr>
  </w:style>
  <w:style w:type="table" w:styleId="TableGrid">
    <w:name w:val="Table Grid"/>
    <w:basedOn w:val="TableNormal"/>
    <w:rsid w:val="007D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ovrheadings">
    <w:name w:val="minor ovr headings"/>
    <w:basedOn w:val="Heading1"/>
    <w:link w:val="minorovrheadingsChar"/>
    <w:qFormat/>
    <w:rsid w:val="004B5459"/>
    <w:pPr>
      <w:numPr>
        <w:numId w:val="2"/>
      </w:numPr>
      <w:jc w:val="both"/>
    </w:pPr>
    <w:rPr>
      <w:b w:val="0"/>
      <w:sz w:val="22"/>
      <w:szCs w:val="22"/>
    </w:rPr>
  </w:style>
  <w:style w:type="paragraph" w:customStyle="1" w:styleId="minoroverviewsubheading">
    <w:name w:val="minor overview subheading"/>
    <w:basedOn w:val="Heading3"/>
    <w:link w:val="minoroverviewsubheadingChar"/>
    <w:qFormat/>
    <w:rsid w:val="004B5459"/>
    <w:pPr>
      <w:jc w:val="both"/>
    </w:pPr>
    <w:rPr>
      <w:b/>
      <w:i/>
      <w:sz w:val="22"/>
      <w:szCs w:val="22"/>
    </w:rPr>
  </w:style>
  <w:style w:type="character" w:customStyle="1" w:styleId="ListParagraphChar">
    <w:name w:val="List Paragraph Char"/>
    <w:basedOn w:val="DefaultParagraphFont"/>
    <w:link w:val="ListParagraph"/>
    <w:uiPriority w:val="72"/>
    <w:rsid w:val="004B5459"/>
    <w:rPr>
      <w:sz w:val="24"/>
      <w:szCs w:val="24"/>
    </w:rPr>
  </w:style>
  <w:style w:type="character" w:customStyle="1" w:styleId="minorovrheadingsChar">
    <w:name w:val="minor ovr headings Char"/>
    <w:basedOn w:val="ListParagraphChar"/>
    <w:link w:val="minorovrheadings"/>
    <w:rsid w:val="004B5459"/>
    <w:rPr>
      <w:rFonts w:ascii="Arial" w:hAnsi="Arial" w:cs="Arial"/>
      <w:bCs/>
      <w:kern w:val="28"/>
      <w:sz w:val="22"/>
      <w:szCs w:val="22"/>
    </w:rPr>
  </w:style>
  <w:style w:type="paragraph" w:styleId="Index1">
    <w:name w:val="index 1"/>
    <w:basedOn w:val="Normal"/>
    <w:next w:val="Normal"/>
    <w:autoRedefine/>
    <w:rsid w:val="004B5459"/>
    <w:pPr>
      <w:ind w:left="240" w:hanging="240"/>
    </w:pPr>
  </w:style>
  <w:style w:type="paragraph" w:styleId="IndexHeading">
    <w:name w:val="index heading"/>
    <w:basedOn w:val="Normal"/>
    <w:next w:val="Index1"/>
    <w:rsid w:val="004B5459"/>
    <w:rPr>
      <w:rFonts w:asciiTheme="majorHAnsi" w:eastAsiaTheme="majorEastAsia" w:hAnsiTheme="majorHAnsi" w:cstheme="majorBidi"/>
      <w:b/>
      <w:bCs/>
    </w:rPr>
  </w:style>
  <w:style w:type="character" w:customStyle="1" w:styleId="Heading3Char">
    <w:name w:val="Heading 3 Char"/>
    <w:basedOn w:val="DefaultParagraphFont"/>
    <w:link w:val="Heading3"/>
    <w:rsid w:val="004B5459"/>
    <w:rPr>
      <w:rFonts w:ascii="Arial" w:hAnsi="Arial" w:cs="Arial"/>
      <w:bCs/>
      <w:sz w:val="24"/>
      <w:szCs w:val="26"/>
    </w:rPr>
  </w:style>
  <w:style w:type="character" w:customStyle="1" w:styleId="minoroverviewsubheadingChar">
    <w:name w:val="minor overview subheading Char"/>
    <w:basedOn w:val="Heading3Char"/>
    <w:link w:val="minoroverviewsubheading"/>
    <w:rsid w:val="004B5459"/>
    <w:rPr>
      <w:rFonts w:ascii="Arial" w:hAnsi="Arial" w:cs="Arial"/>
      <w:b/>
      <w:bCs/>
      <w:i/>
      <w:sz w:val="22"/>
      <w:szCs w:val="22"/>
    </w:rPr>
  </w:style>
  <w:style w:type="paragraph" w:customStyle="1" w:styleId="PBACHeading1">
    <w:name w:val="PBAC Heading 1"/>
    <w:qFormat/>
    <w:rsid w:val="007D060A"/>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074"/>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CD4074"/>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CD4074"/>
    <w:rPr>
      <w:sz w:val="24"/>
      <w:szCs w:val="24"/>
    </w:rPr>
  </w:style>
  <w:style w:type="paragraph" w:styleId="Footer">
    <w:name w:val="footer"/>
    <w:basedOn w:val="Normal"/>
    <w:link w:val="FooterChar"/>
    <w:uiPriority w:val="99"/>
    <w:rsid w:val="00CD4074"/>
    <w:pPr>
      <w:tabs>
        <w:tab w:val="center" w:pos="4153"/>
        <w:tab w:val="right" w:pos="8306"/>
      </w:tabs>
    </w:pPr>
  </w:style>
  <w:style w:type="character" w:customStyle="1" w:styleId="FooterChar">
    <w:name w:val="Footer Char"/>
    <w:basedOn w:val="DefaultParagraphFont"/>
    <w:link w:val="Footer"/>
    <w:uiPriority w:val="99"/>
    <w:rsid w:val="00CD4074"/>
    <w:rPr>
      <w:sz w:val="24"/>
      <w:szCs w:val="24"/>
    </w:rPr>
  </w:style>
  <w:style w:type="character" w:styleId="PageNumber">
    <w:name w:val="page number"/>
    <w:basedOn w:val="DefaultParagraphFont"/>
    <w:rsid w:val="00CD4074"/>
  </w:style>
  <w:style w:type="paragraph" w:customStyle="1" w:styleId="MediumGrid21">
    <w:name w:val="Medium Grid 21"/>
    <w:link w:val="MediumGrid2Char"/>
    <w:qFormat/>
    <w:rsid w:val="00CD4074"/>
    <w:rPr>
      <w:rFonts w:ascii="PMingLiU" w:eastAsia="MS Mincho" w:hAnsi="PMingLiU"/>
      <w:sz w:val="22"/>
      <w:szCs w:val="22"/>
      <w:lang w:val="en-US" w:eastAsia="en-US"/>
    </w:rPr>
  </w:style>
  <w:style w:type="character" w:customStyle="1" w:styleId="MediumGrid2Char">
    <w:name w:val="Medium Grid 2 Char"/>
    <w:link w:val="MediumGrid21"/>
    <w:rsid w:val="00CD4074"/>
    <w:rPr>
      <w:rFonts w:ascii="PMingLiU" w:eastAsia="MS Mincho" w:hAnsi="PMingLiU"/>
      <w:sz w:val="22"/>
      <w:szCs w:val="22"/>
      <w:lang w:val="en-US" w:eastAsia="en-US"/>
    </w:rPr>
  </w:style>
  <w:style w:type="character" w:styleId="CommentReference">
    <w:name w:val="annotation reference"/>
    <w:aliases w:val="Table Title"/>
    <w:basedOn w:val="DefaultParagraphFont"/>
    <w:qFormat/>
    <w:rsid w:val="00CD4074"/>
    <w:rPr>
      <w:sz w:val="16"/>
      <w:szCs w:val="16"/>
    </w:rPr>
  </w:style>
  <w:style w:type="paragraph" w:styleId="CommentText">
    <w:name w:val="annotation text"/>
    <w:basedOn w:val="Normal"/>
    <w:link w:val="CommentTextChar"/>
    <w:rsid w:val="00CD4074"/>
    <w:rPr>
      <w:sz w:val="20"/>
      <w:szCs w:val="20"/>
    </w:rPr>
  </w:style>
  <w:style w:type="character" w:customStyle="1" w:styleId="CommentTextChar">
    <w:name w:val="Comment Text Char"/>
    <w:basedOn w:val="DefaultParagraphFont"/>
    <w:link w:val="CommentText"/>
    <w:rsid w:val="00CD4074"/>
  </w:style>
  <w:style w:type="paragraph" w:customStyle="1" w:styleId="tablenotes">
    <w:name w:val="table notes"/>
    <w:basedOn w:val="BodyText2"/>
    <w:qFormat/>
    <w:rsid w:val="00CD4074"/>
    <w:pPr>
      <w:widowControl w:val="0"/>
      <w:spacing w:after="0" w:line="240" w:lineRule="auto"/>
      <w:jc w:val="both"/>
    </w:pPr>
    <w:rPr>
      <w:rFonts w:ascii="Arial" w:hAnsi="Arial"/>
      <w:snapToGrid w:val="0"/>
      <w:sz w:val="20"/>
      <w:szCs w:val="20"/>
      <w:lang w:eastAsia="en-US"/>
    </w:rPr>
  </w:style>
  <w:style w:type="paragraph" w:styleId="BodyText2">
    <w:name w:val="Body Text 2"/>
    <w:basedOn w:val="Normal"/>
    <w:link w:val="BodyText2Char"/>
    <w:rsid w:val="00CD4074"/>
    <w:pPr>
      <w:spacing w:after="120" w:line="480" w:lineRule="auto"/>
    </w:pPr>
  </w:style>
  <w:style w:type="character" w:customStyle="1" w:styleId="BodyText2Char">
    <w:name w:val="Body Text 2 Char"/>
    <w:basedOn w:val="DefaultParagraphFont"/>
    <w:link w:val="BodyText2"/>
    <w:rsid w:val="00CD4074"/>
    <w:rPr>
      <w:sz w:val="24"/>
      <w:szCs w:val="24"/>
    </w:rPr>
  </w:style>
  <w:style w:type="paragraph" w:styleId="BalloonText">
    <w:name w:val="Balloon Text"/>
    <w:basedOn w:val="Normal"/>
    <w:link w:val="BalloonTextChar"/>
    <w:rsid w:val="00CD4074"/>
    <w:rPr>
      <w:rFonts w:ascii="Tahoma" w:hAnsi="Tahoma" w:cs="Tahoma"/>
      <w:sz w:val="16"/>
      <w:szCs w:val="16"/>
    </w:rPr>
  </w:style>
  <w:style w:type="character" w:customStyle="1" w:styleId="BalloonTextChar">
    <w:name w:val="Balloon Text Char"/>
    <w:basedOn w:val="DefaultParagraphFont"/>
    <w:link w:val="BalloonText"/>
    <w:rsid w:val="00CD4074"/>
    <w:rPr>
      <w:rFonts w:ascii="Tahoma" w:hAnsi="Tahoma" w:cs="Tahoma"/>
      <w:sz w:val="16"/>
      <w:szCs w:val="16"/>
    </w:rPr>
  </w:style>
  <w:style w:type="paragraph" w:styleId="CommentSubject">
    <w:name w:val="annotation subject"/>
    <w:basedOn w:val="CommentText"/>
    <w:next w:val="CommentText"/>
    <w:link w:val="CommentSubjectChar"/>
    <w:rsid w:val="009572EE"/>
    <w:rPr>
      <w:b/>
      <w:bCs/>
    </w:rPr>
  </w:style>
  <w:style w:type="character" w:customStyle="1" w:styleId="CommentSubjectChar">
    <w:name w:val="Comment Subject Char"/>
    <w:basedOn w:val="CommentTextChar"/>
    <w:link w:val="CommentSubject"/>
    <w:rsid w:val="009572EE"/>
    <w:rPr>
      <w:b/>
      <w:bCs/>
    </w:rPr>
  </w:style>
  <w:style w:type="table" w:styleId="TableGrid">
    <w:name w:val="Table Grid"/>
    <w:basedOn w:val="TableNormal"/>
    <w:rsid w:val="007D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ovrheadings">
    <w:name w:val="minor ovr headings"/>
    <w:basedOn w:val="Heading1"/>
    <w:link w:val="minorovrheadingsChar"/>
    <w:qFormat/>
    <w:rsid w:val="004B5459"/>
    <w:pPr>
      <w:numPr>
        <w:numId w:val="2"/>
      </w:numPr>
      <w:jc w:val="both"/>
    </w:pPr>
    <w:rPr>
      <w:b w:val="0"/>
      <w:sz w:val="22"/>
      <w:szCs w:val="22"/>
    </w:rPr>
  </w:style>
  <w:style w:type="paragraph" w:customStyle="1" w:styleId="minoroverviewsubheading">
    <w:name w:val="minor overview subheading"/>
    <w:basedOn w:val="Heading3"/>
    <w:link w:val="minoroverviewsubheadingChar"/>
    <w:qFormat/>
    <w:rsid w:val="004B5459"/>
    <w:pPr>
      <w:jc w:val="both"/>
    </w:pPr>
    <w:rPr>
      <w:b/>
      <w:i/>
      <w:sz w:val="22"/>
      <w:szCs w:val="22"/>
    </w:rPr>
  </w:style>
  <w:style w:type="character" w:customStyle="1" w:styleId="ListParagraphChar">
    <w:name w:val="List Paragraph Char"/>
    <w:basedOn w:val="DefaultParagraphFont"/>
    <w:link w:val="ListParagraph"/>
    <w:uiPriority w:val="72"/>
    <w:rsid w:val="004B5459"/>
    <w:rPr>
      <w:sz w:val="24"/>
      <w:szCs w:val="24"/>
    </w:rPr>
  </w:style>
  <w:style w:type="character" w:customStyle="1" w:styleId="minorovrheadingsChar">
    <w:name w:val="minor ovr headings Char"/>
    <w:basedOn w:val="ListParagraphChar"/>
    <w:link w:val="minorovrheadings"/>
    <w:rsid w:val="004B5459"/>
    <w:rPr>
      <w:rFonts w:ascii="Arial" w:hAnsi="Arial" w:cs="Arial"/>
      <w:bCs/>
      <w:kern w:val="28"/>
      <w:sz w:val="22"/>
      <w:szCs w:val="22"/>
    </w:rPr>
  </w:style>
  <w:style w:type="paragraph" w:styleId="Index1">
    <w:name w:val="index 1"/>
    <w:basedOn w:val="Normal"/>
    <w:next w:val="Normal"/>
    <w:autoRedefine/>
    <w:rsid w:val="004B5459"/>
    <w:pPr>
      <w:ind w:left="240" w:hanging="240"/>
    </w:pPr>
  </w:style>
  <w:style w:type="paragraph" w:styleId="IndexHeading">
    <w:name w:val="index heading"/>
    <w:basedOn w:val="Normal"/>
    <w:next w:val="Index1"/>
    <w:rsid w:val="004B5459"/>
    <w:rPr>
      <w:rFonts w:asciiTheme="majorHAnsi" w:eastAsiaTheme="majorEastAsia" w:hAnsiTheme="majorHAnsi" w:cstheme="majorBidi"/>
      <w:b/>
      <w:bCs/>
    </w:rPr>
  </w:style>
  <w:style w:type="character" w:customStyle="1" w:styleId="Heading3Char">
    <w:name w:val="Heading 3 Char"/>
    <w:basedOn w:val="DefaultParagraphFont"/>
    <w:link w:val="Heading3"/>
    <w:rsid w:val="004B5459"/>
    <w:rPr>
      <w:rFonts w:ascii="Arial" w:hAnsi="Arial" w:cs="Arial"/>
      <w:bCs/>
      <w:sz w:val="24"/>
      <w:szCs w:val="26"/>
    </w:rPr>
  </w:style>
  <w:style w:type="character" w:customStyle="1" w:styleId="minoroverviewsubheadingChar">
    <w:name w:val="minor overview subheading Char"/>
    <w:basedOn w:val="Heading3Char"/>
    <w:link w:val="minoroverviewsubheading"/>
    <w:rsid w:val="004B5459"/>
    <w:rPr>
      <w:rFonts w:ascii="Arial" w:hAnsi="Arial" w:cs="Arial"/>
      <w:b/>
      <w:bCs/>
      <w:i/>
      <w:sz w:val="22"/>
      <w:szCs w:val="22"/>
    </w:rPr>
  </w:style>
  <w:style w:type="paragraph" w:customStyle="1" w:styleId="PBACHeading1">
    <w:name w:val="PBAC Heading 1"/>
    <w:qFormat/>
    <w:rsid w:val="007D060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1756">
      <w:bodyDiv w:val="1"/>
      <w:marLeft w:val="0"/>
      <w:marRight w:val="0"/>
      <w:marTop w:val="0"/>
      <w:marBottom w:val="0"/>
      <w:divBdr>
        <w:top w:val="none" w:sz="0" w:space="0" w:color="auto"/>
        <w:left w:val="none" w:sz="0" w:space="0" w:color="auto"/>
        <w:bottom w:val="none" w:sz="0" w:space="0" w:color="auto"/>
        <w:right w:val="none" w:sz="0" w:space="0" w:color="auto"/>
      </w:divBdr>
    </w:div>
    <w:div w:id="599678940">
      <w:bodyDiv w:val="1"/>
      <w:marLeft w:val="0"/>
      <w:marRight w:val="0"/>
      <w:marTop w:val="0"/>
      <w:marBottom w:val="0"/>
      <w:divBdr>
        <w:top w:val="none" w:sz="0" w:space="0" w:color="auto"/>
        <w:left w:val="none" w:sz="0" w:space="0" w:color="auto"/>
        <w:bottom w:val="none" w:sz="0" w:space="0" w:color="auto"/>
        <w:right w:val="none" w:sz="0" w:space="0" w:color="auto"/>
      </w:divBdr>
    </w:div>
    <w:div w:id="1361707674">
      <w:bodyDiv w:val="1"/>
      <w:marLeft w:val="0"/>
      <w:marRight w:val="0"/>
      <w:marTop w:val="0"/>
      <w:marBottom w:val="0"/>
      <w:divBdr>
        <w:top w:val="none" w:sz="0" w:space="0" w:color="auto"/>
        <w:left w:val="none" w:sz="0" w:space="0" w:color="auto"/>
        <w:bottom w:val="none" w:sz="0" w:space="0" w:color="auto"/>
        <w:right w:val="none" w:sz="0" w:space="0" w:color="auto"/>
      </w:divBdr>
    </w:div>
    <w:div w:id="1695110073">
      <w:bodyDiv w:val="1"/>
      <w:marLeft w:val="0"/>
      <w:marRight w:val="0"/>
      <w:marTop w:val="0"/>
      <w:marBottom w:val="0"/>
      <w:divBdr>
        <w:top w:val="none" w:sz="0" w:space="0" w:color="auto"/>
        <w:left w:val="none" w:sz="0" w:space="0" w:color="auto"/>
        <w:bottom w:val="none" w:sz="0" w:space="0" w:color="auto"/>
        <w:right w:val="none" w:sz="0" w:space="0" w:color="auto"/>
      </w:divBdr>
    </w:div>
    <w:div w:id="1767531338">
      <w:bodyDiv w:val="1"/>
      <w:marLeft w:val="0"/>
      <w:marRight w:val="0"/>
      <w:marTop w:val="0"/>
      <w:marBottom w:val="0"/>
      <w:divBdr>
        <w:top w:val="none" w:sz="0" w:space="0" w:color="auto"/>
        <w:left w:val="none" w:sz="0" w:space="0" w:color="auto"/>
        <w:bottom w:val="none" w:sz="0" w:space="0" w:color="auto"/>
        <w:right w:val="none" w:sz="0" w:space="0" w:color="auto"/>
      </w:divBdr>
      <w:divsChild>
        <w:div w:id="1585145038">
          <w:marLeft w:val="0"/>
          <w:marRight w:val="0"/>
          <w:marTop w:val="240"/>
          <w:marBottom w:val="480"/>
          <w:divBdr>
            <w:top w:val="none" w:sz="0" w:space="0" w:color="auto"/>
            <w:left w:val="none" w:sz="0" w:space="0" w:color="auto"/>
            <w:bottom w:val="none" w:sz="0" w:space="0" w:color="auto"/>
            <w:right w:val="none" w:sz="0" w:space="0" w:color="auto"/>
          </w:divBdr>
          <w:divsChild>
            <w:div w:id="1531722802">
              <w:marLeft w:val="0"/>
              <w:marRight w:val="0"/>
              <w:marTop w:val="0"/>
              <w:marBottom w:val="0"/>
              <w:divBdr>
                <w:top w:val="none" w:sz="0" w:space="0" w:color="auto"/>
                <w:left w:val="none" w:sz="0" w:space="0" w:color="auto"/>
                <w:bottom w:val="none" w:sz="0" w:space="0" w:color="auto"/>
                <w:right w:val="none" w:sz="0" w:space="0" w:color="auto"/>
              </w:divBdr>
              <w:divsChild>
                <w:div w:id="2042632675">
                  <w:marLeft w:val="0"/>
                  <w:marRight w:val="0"/>
                  <w:marTop w:val="0"/>
                  <w:marBottom w:val="0"/>
                  <w:divBdr>
                    <w:top w:val="none" w:sz="0" w:space="0" w:color="auto"/>
                    <w:left w:val="none" w:sz="0" w:space="0" w:color="auto"/>
                    <w:bottom w:val="none" w:sz="0" w:space="0" w:color="auto"/>
                    <w:right w:val="none" w:sz="0" w:space="0" w:color="auto"/>
                  </w:divBdr>
                  <w:divsChild>
                    <w:div w:id="396705586">
                      <w:marLeft w:val="0"/>
                      <w:marRight w:val="0"/>
                      <w:marTop w:val="0"/>
                      <w:marBottom w:val="0"/>
                      <w:divBdr>
                        <w:top w:val="none" w:sz="0" w:space="0" w:color="auto"/>
                        <w:left w:val="none" w:sz="0" w:space="0" w:color="auto"/>
                        <w:bottom w:val="none" w:sz="0" w:space="0" w:color="auto"/>
                        <w:right w:val="none" w:sz="0" w:space="0" w:color="auto"/>
                      </w:divBdr>
                      <w:divsChild>
                        <w:div w:id="1212764697">
                          <w:marLeft w:val="0"/>
                          <w:marRight w:val="0"/>
                          <w:marTop w:val="0"/>
                          <w:marBottom w:val="0"/>
                          <w:divBdr>
                            <w:top w:val="none" w:sz="0" w:space="0" w:color="auto"/>
                            <w:left w:val="none" w:sz="0" w:space="0" w:color="auto"/>
                            <w:bottom w:val="none" w:sz="0" w:space="0" w:color="auto"/>
                            <w:right w:val="none" w:sz="0" w:space="0" w:color="auto"/>
                          </w:divBdr>
                          <w:divsChild>
                            <w:div w:id="11142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4101">
      <w:bodyDiv w:val="1"/>
      <w:marLeft w:val="0"/>
      <w:marRight w:val="0"/>
      <w:marTop w:val="0"/>
      <w:marBottom w:val="0"/>
      <w:divBdr>
        <w:top w:val="none" w:sz="0" w:space="0" w:color="auto"/>
        <w:left w:val="none" w:sz="0" w:space="0" w:color="auto"/>
        <w:bottom w:val="none" w:sz="0" w:space="0" w:color="auto"/>
        <w:right w:val="none" w:sz="0" w:space="0" w:color="auto"/>
      </w:divBdr>
    </w:div>
    <w:div w:id="1903523731">
      <w:bodyDiv w:val="1"/>
      <w:marLeft w:val="0"/>
      <w:marRight w:val="0"/>
      <w:marTop w:val="0"/>
      <w:marBottom w:val="0"/>
      <w:divBdr>
        <w:top w:val="none" w:sz="0" w:space="0" w:color="auto"/>
        <w:left w:val="none" w:sz="0" w:space="0" w:color="auto"/>
        <w:bottom w:val="none" w:sz="0" w:space="0" w:color="auto"/>
        <w:right w:val="none" w:sz="0" w:space="0" w:color="auto"/>
      </w:divBdr>
    </w:div>
    <w:div w:id="19735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25D7-3C38-413C-B099-B201C433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2015-10-21T23:21:00Z</dcterms:created>
  <dcterms:modified xsi:type="dcterms:W3CDTF">2015-10-21T23:22:00Z</dcterms:modified>
</cp:coreProperties>
</file>