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Default="00D22811" w:rsidP="007C0F57">
      <w:pPr>
        <w:ind w:left="720" w:hanging="720"/>
        <w:rPr>
          <w:rFonts w:ascii="Arial" w:hAnsi="Arial"/>
          <w:b/>
          <w:sz w:val="28"/>
          <w:szCs w:val="28"/>
        </w:rPr>
      </w:pPr>
      <w:r>
        <w:rPr>
          <w:rFonts w:ascii="Arial" w:hAnsi="Arial"/>
          <w:b/>
          <w:sz w:val="28"/>
          <w:szCs w:val="28"/>
        </w:rPr>
        <w:t>6</w:t>
      </w:r>
      <w:r w:rsidR="0004240E" w:rsidRPr="006D6EC7">
        <w:rPr>
          <w:rFonts w:ascii="Arial" w:hAnsi="Arial"/>
          <w:b/>
          <w:sz w:val="28"/>
          <w:szCs w:val="28"/>
        </w:rPr>
        <w:t>.</w:t>
      </w:r>
      <w:r>
        <w:rPr>
          <w:rFonts w:ascii="Arial" w:hAnsi="Arial"/>
          <w:b/>
          <w:sz w:val="28"/>
          <w:szCs w:val="28"/>
        </w:rPr>
        <w:t>12</w:t>
      </w:r>
      <w:r w:rsidR="007C0F57" w:rsidRPr="006D6EC7">
        <w:rPr>
          <w:rFonts w:ascii="Arial" w:hAnsi="Arial"/>
          <w:b/>
          <w:sz w:val="28"/>
          <w:szCs w:val="28"/>
        </w:rPr>
        <w:tab/>
      </w:r>
      <w:r w:rsidR="007F1EC2">
        <w:rPr>
          <w:rFonts w:ascii="Arial" w:hAnsi="Arial"/>
          <w:b/>
          <w:sz w:val="28"/>
          <w:szCs w:val="28"/>
        </w:rPr>
        <w:t>MANNITOL</w:t>
      </w:r>
    </w:p>
    <w:p w:rsidR="00C27B58" w:rsidRDefault="007F1EC2" w:rsidP="00C27B58">
      <w:pPr>
        <w:ind w:left="720"/>
        <w:rPr>
          <w:rFonts w:ascii="Arial" w:hAnsi="Arial"/>
          <w:b/>
          <w:sz w:val="28"/>
          <w:szCs w:val="28"/>
        </w:rPr>
      </w:pPr>
      <w:proofErr w:type="gramStart"/>
      <w:r>
        <w:rPr>
          <w:rFonts w:ascii="Arial" w:hAnsi="Arial"/>
          <w:b/>
          <w:sz w:val="28"/>
          <w:szCs w:val="28"/>
        </w:rPr>
        <w:t>capsule</w:t>
      </w:r>
      <w:proofErr w:type="gramEnd"/>
      <w:r>
        <w:rPr>
          <w:rFonts w:ascii="Arial" w:hAnsi="Arial"/>
          <w:b/>
          <w:sz w:val="28"/>
          <w:szCs w:val="28"/>
        </w:rPr>
        <w:t xml:space="preserve"> containing powder for inhalation, 40mg</w:t>
      </w:r>
      <w:r w:rsidR="0004240E" w:rsidRPr="006D6EC7">
        <w:rPr>
          <w:rFonts w:ascii="Arial" w:hAnsi="Arial"/>
          <w:b/>
          <w:sz w:val="28"/>
          <w:szCs w:val="28"/>
        </w:rPr>
        <w:t>,</w:t>
      </w:r>
    </w:p>
    <w:p w:rsidR="00CE10C4" w:rsidRPr="00DD6F41" w:rsidRDefault="007F1EC2" w:rsidP="00DD6F41">
      <w:pPr>
        <w:ind w:left="720"/>
        <w:rPr>
          <w:rFonts w:ascii="Arial" w:hAnsi="Arial"/>
          <w:b/>
          <w:sz w:val="28"/>
          <w:szCs w:val="28"/>
        </w:rPr>
      </w:pPr>
      <w:proofErr w:type="spellStart"/>
      <w:r>
        <w:rPr>
          <w:rFonts w:ascii="Arial" w:hAnsi="Arial"/>
          <w:b/>
          <w:sz w:val="28"/>
          <w:szCs w:val="28"/>
        </w:rPr>
        <w:t>Bronchitol</w:t>
      </w:r>
      <w:proofErr w:type="spellEnd"/>
      <w:r w:rsidR="0004240E" w:rsidRPr="006D6EC7">
        <w:rPr>
          <w:rFonts w:ascii="Arial" w:hAnsi="Arial"/>
          <w:b/>
          <w:sz w:val="28"/>
          <w:szCs w:val="28"/>
          <w:vertAlign w:val="superscript"/>
        </w:rPr>
        <w:t>®</w:t>
      </w:r>
      <w:r w:rsidR="00EF44A0">
        <w:rPr>
          <w:rFonts w:ascii="Arial" w:hAnsi="Arial"/>
          <w:b/>
          <w:sz w:val="28"/>
          <w:szCs w:val="28"/>
        </w:rPr>
        <w:t xml:space="preserve">, </w:t>
      </w:r>
      <w:proofErr w:type="spellStart"/>
      <w:r>
        <w:rPr>
          <w:rFonts w:ascii="Arial" w:hAnsi="Arial"/>
          <w:b/>
          <w:sz w:val="28"/>
          <w:szCs w:val="28"/>
        </w:rPr>
        <w:t>Pharmaxis</w:t>
      </w:r>
      <w:proofErr w:type="spellEnd"/>
    </w:p>
    <w:p w:rsidR="00C27B58" w:rsidRDefault="00C27B58" w:rsidP="00C27B58">
      <w:pPr>
        <w:pStyle w:val="NoSpacing"/>
      </w:pPr>
    </w:p>
    <w:p w:rsidR="00CE10C4" w:rsidRPr="00882085" w:rsidRDefault="00CE10C4" w:rsidP="00F41DF8">
      <w:pPr>
        <w:pStyle w:val="ListParagraph"/>
        <w:numPr>
          <w:ilvl w:val="0"/>
          <w:numId w:val="1"/>
        </w:numPr>
        <w:jc w:val="both"/>
        <w:rPr>
          <w:rFonts w:ascii="Arial" w:hAnsi="Arial"/>
          <w:b/>
          <w:sz w:val="22"/>
          <w:szCs w:val="22"/>
        </w:rPr>
      </w:pPr>
      <w:r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5B6A30" w:rsidRPr="005B6A30" w:rsidRDefault="005B6A30" w:rsidP="00F41DF8">
      <w:pPr>
        <w:pStyle w:val="ListParagraph"/>
        <w:numPr>
          <w:ilvl w:val="1"/>
          <w:numId w:val="1"/>
        </w:numPr>
        <w:jc w:val="both"/>
        <w:rPr>
          <w:rFonts w:ascii="Arial" w:hAnsi="Arial"/>
          <w:sz w:val="22"/>
          <w:szCs w:val="22"/>
        </w:rPr>
      </w:pPr>
      <w:r>
        <w:rPr>
          <w:rFonts w:ascii="Arial" w:hAnsi="Arial"/>
          <w:sz w:val="22"/>
          <w:szCs w:val="22"/>
        </w:rPr>
        <w:t>The minor submission sought</w:t>
      </w:r>
      <w:r w:rsidR="00EF44A0" w:rsidRPr="005B6A30">
        <w:rPr>
          <w:rFonts w:ascii="Arial" w:hAnsi="Arial"/>
          <w:sz w:val="22"/>
          <w:szCs w:val="22"/>
        </w:rPr>
        <w:t xml:space="preserve"> to</w:t>
      </w:r>
      <w:r w:rsidR="000D1ADF">
        <w:rPr>
          <w:rFonts w:ascii="Arial" w:hAnsi="Arial"/>
          <w:sz w:val="22"/>
          <w:szCs w:val="22"/>
        </w:rPr>
        <w:t xml:space="preserve"> amend the</w:t>
      </w:r>
      <w:r w:rsidRPr="005B6A30">
        <w:rPr>
          <w:rFonts w:ascii="Arial" w:hAnsi="Arial"/>
          <w:sz w:val="22"/>
          <w:szCs w:val="22"/>
        </w:rPr>
        <w:t xml:space="preserve"> </w:t>
      </w:r>
      <w:r>
        <w:rPr>
          <w:rFonts w:ascii="Arial" w:hAnsi="Arial"/>
          <w:sz w:val="22"/>
          <w:szCs w:val="22"/>
        </w:rPr>
        <w:t xml:space="preserve">PBS </w:t>
      </w:r>
      <w:r w:rsidRPr="005B6A30">
        <w:rPr>
          <w:rFonts w:ascii="Arial" w:hAnsi="Arial"/>
          <w:sz w:val="22"/>
          <w:szCs w:val="22"/>
        </w:rPr>
        <w:t xml:space="preserve">listing for </w:t>
      </w:r>
      <w:r w:rsidR="007F1EC2">
        <w:rPr>
          <w:rFonts w:ascii="Arial" w:hAnsi="Arial"/>
          <w:sz w:val="22"/>
          <w:szCs w:val="22"/>
        </w:rPr>
        <w:t>dry powder inhaler (</w:t>
      </w:r>
      <w:r w:rsidRPr="005B6A30">
        <w:rPr>
          <w:rFonts w:ascii="Arial" w:hAnsi="Arial"/>
          <w:sz w:val="22"/>
          <w:szCs w:val="22"/>
        </w:rPr>
        <w:t>DPI</w:t>
      </w:r>
      <w:r w:rsidR="007F1EC2">
        <w:rPr>
          <w:rFonts w:ascii="Arial" w:hAnsi="Arial"/>
          <w:sz w:val="22"/>
          <w:szCs w:val="22"/>
        </w:rPr>
        <w:t>)</w:t>
      </w:r>
      <w:r w:rsidRPr="005B6A30">
        <w:rPr>
          <w:rFonts w:ascii="Arial" w:hAnsi="Arial"/>
          <w:sz w:val="22"/>
          <w:szCs w:val="22"/>
        </w:rPr>
        <w:t xml:space="preserve"> mannitol to reduce the</w:t>
      </w:r>
      <w:r w:rsidR="006F55B6">
        <w:rPr>
          <w:rFonts w:ascii="Arial" w:hAnsi="Arial"/>
          <w:sz w:val="22"/>
          <w:szCs w:val="22"/>
        </w:rPr>
        <w:t xml:space="preserve"> complexity of the </w:t>
      </w:r>
      <w:r w:rsidR="000D1ADF">
        <w:rPr>
          <w:rFonts w:ascii="Arial" w:hAnsi="Arial"/>
          <w:sz w:val="22"/>
          <w:szCs w:val="22"/>
        </w:rPr>
        <w:t xml:space="preserve">current </w:t>
      </w:r>
      <w:r w:rsidR="006F55B6">
        <w:rPr>
          <w:rFonts w:ascii="Arial" w:hAnsi="Arial"/>
          <w:sz w:val="22"/>
          <w:szCs w:val="22"/>
        </w:rPr>
        <w:t xml:space="preserve">restriction and </w:t>
      </w:r>
      <w:r>
        <w:rPr>
          <w:rFonts w:ascii="Arial" w:hAnsi="Arial"/>
          <w:sz w:val="22"/>
          <w:szCs w:val="22"/>
        </w:rPr>
        <w:t>to</w:t>
      </w:r>
      <w:r w:rsidR="006F55B6">
        <w:rPr>
          <w:rFonts w:ascii="Arial" w:hAnsi="Arial"/>
          <w:sz w:val="22"/>
          <w:szCs w:val="22"/>
        </w:rPr>
        <w:t xml:space="preserve"> permit the </w:t>
      </w:r>
      <w:r>
        <w:rPr>
          <w:rFonts w:ascii="Arial" w:hAnsi="Arial"/>
          <w:sz w:val="22"/>
          <w:szCs w:val="22"/>
        </w:rPr>
        <w:t>com</w:t>
      </w:r>
      <w:r w:rsidR="006F55B6">
        <w:rPr>
          <w:rFonts w:ascii="Arial" w:hAnsi="Arial"/>
          <w:sz w:val="22"/>
          <w:szCs w:val="22"/>
        </w:rPr>
        <w:t>bination use of DPI mannitol with</w:t>
      </w:r>
      <w:r>
        <w:rPr>
          <w:rFonts w:ascii="Arial" w:hAnsi="Arial"/>
          <w:sz w:val="22"/>
          <w:szCs w:val="22"/>
        </w:rPr>
        <w:t xml:space="preserve"> </w:t>
      </w:r>
      <w:proofErr w:type="spellStart"/>
      <w:r>
        <w:rPr>
          <w:rFonts w:ascii="Arial" w:hAnsi="Arial"/>
          <w:sz w:val="22"/>
          <w:szCs w:val="22"/>
        </w:rPr>
        <w:t>dornase</w:t>
      </w:r>
      <w:proofErr w:type="spellEnd"/>
      <w:r>
        <w:rPr>
          <w:rFonts w:ascii="Arial" w:hAnsi="Arial"/>
          <w:sz w:val="22"/>
          <w:szCs w:val="22"/>
        </w:rPr>
        <w:t xml:space="preserve"> </w:t>
      </w:r>
      <w:proofErr w:type="spellStart"/>
      <w:r>
        <w:rPr>
          <w:rFonts w:ascii="Arial" w:hAnsi="Arial"/>
          <w:sz w:val="22"/>
          <w:szCs w:val="22"/>
        </w:rPr>
        <w:t>alfa</w:t>
      </w:r>
      <w:proofErr w:type="spellEnd"/>
      <w:r w:rsidR="003F6884">
        <w:rPr>
          <w:rFonts w:ascii="Arial" w:hAnsi="Arial"/>
          <w:sz w:val="22"/>
          <w:szCs w:val="22"/>
        </w:rPr>
        <w:t>.</w:t>
      </w:r>
      <w:r>
        <w:rPr>
          <w:rFonts w:ascii="Arial" w:hAnsi="Arial"/>
          <w:sz w:val="22"/>
          <w:szCs w:val="22"/>
        </w:rPr>
        <w:t xml:space="preserve"> </w:t>
      </w:r>
    </w:p>
    <w:p w:rsidR="00EF44A0" w:rsidRPr="00C27B58" w:rsidRDefault="00EF44A0" w:rsidP="00C27B58">
      <w:pPr>
        <w:pStyle w:val="NoSpacing"/>
      </w:pPr>
    </w:p>
    <w:p w:rsidR="00614159" w:rsidRPr="00882085" w:rsidRDefault="006A12A5" w:rsidP="00F41DF8">
      <w:pPr>
        <w:pStyle w:val="ListParagraph"/>
        <w:numPr>
          <w:ilvl w:val="0"/>
          <w:numId w:val="1"/>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826F6D" w:rsidRPr="00826F6D" w:rsidRDefault="00EF44A0" w:rsidP="00F41DF8">
      <w:pPr>
        <w:pStyle w:val="ListParagraph"/>
        <w:numPr>
          <w:ilvl w:val="1"/>
          <w:numId w:val="1"/>
        </w:numPr>
        <w:jc w:val="both"/>
        <w:rPr>
          <w:rFonts w:ascii="Arial" w:hAnsi="Arial"/>
          <w:sz w:val="22"/>
          <w:szCs w:val="22"/>
        </w:rPr>
      </w:pPr>
      <w:r>
        <w:rPr>
          <w:rFonts w:ascii="Arial" w:hAnsi="Arial"/>
          <w:sz w:val="22"/>
          <w:szCs w:val="22"/>
        </w:rPr>
        <w:t>The submission s</w:t>
      </w:r>
      <w:r w:rsidR="00816F16">
        <w:rPr>
          <w:rFonts w:ascii="Arial" w:hAnsi="Arial"/>
          <w:sz w:val="22"/>
          <w:szCs w:val="22"/>
        </w:rPr>
        <w:t>ought</w:t>
      </w:r>
      <w:r>
        <w:rPr>
          <w:rFonts w:ascii="Arial" w:hAnsi="Arial"/>
          <w:sz w:val="22"/>
          <w:szCs w:val="22"/>
        </w:rPr>
        <w:t xml:space="preserve"> the following </w:t>
      </w:r>
      <w:r w:rsidR="007F1EC2">
        <w:rPr>
          <w:rFonts w:ascii="Arial" w:hAnsi="Arial"/>
          <w:sz w:val="22"/>
          <w:szCs w:val="22"/>
        </w:rPr>
        <w:t xml:space="preserve">deletions </w:t>
      </w:r>
      <w:r>
        <w:rPr>
          <w:rFonts w:ascii="Arial" w:hAnsi="Arial"/>
          <w:sz w:val="22"/>
          <w:szCs w:val="22"/>
        </w:rPr>
        <w:t>to the existing listing</w:t>
      </w:r>
      <w:r w:rsidR="00816F16">
        <w:rPr>
          <w:rFonts w:ascii="Arial" w:hAnsi="Arial"/>
          <w:sz w:val="22"/>
          <w:szCs w:val="22"/>
        </w:rPr>
        <w:t xml:space="preserve"> </w:t>
      </w:r>
      <w:r w:rsidR="007F1EC2">
        <w:rPr>
          <w:rFonts w:ascii="Arial" w:hAnsi="Arial"/>
          <w:sz w:val="22"/>
          <w:szCs w:val="22"/>
        </w:rPr>
        <w:t>(</w:t>
      </w:r>
      <w:r w:rsidR="007F1EC2" w:rsidRPr="00CE009E">
        <w:rPr>
          <w:rFonts w:ascii="Arial" w:hAnsi="Arial"/>
          <w:i/>
          <w:sz w:val="22"/>
          <w:szCs w:val="22"/>
        </w:rPr>
        <w:t>in strikethrough text</w:t>
      </w:r>
      <w:r w:rsidR="00816F16">
        <w:rPr>
          <w:rFonts w:ascii="Arial" w:hAnsi="Arial"/>
          <w:sz w:val="22"/>
          <w:szCs w:val="22"/>
        </w:rPr>
        <w:t>)</w:t>
      </w:r>
      <w:r w:rsidR="00826F6D">
        <w:rPr>
          <w:rFonts w:ascii="Arial" w:hAnsi="Arial"/>
          <w:sz w:val="22"/>
          <w:szCs w:val="22"/>
        </w:rPr>
        <w:t>:</w:t>
      </w:r>
    </w:p>
    <w:p w:rsidR="00826F6D" w:rsidRPr="00C27B58" w:rsidRDefault="00826F6D" w:rsidP="00C27B58">
      <w:pPr>
        <w:pStyle w:val="NoSpacing"/>
      </w:pPr>
    </w:p>
    <w:tbl>
      <w:tblPr>
        <w:tblW w:w="8363" w:type="dxa"/>
        <w:tblInd w:w="817" w:type="dxa"/>
        <w:tblLayout w:type="fixed"/>
        <w:tblLook w:val="0000" w:firstRow="0" w:lastRow="0" w:firstColumn="0" w:lastColumn="0" w:noHBand="0" w:noVBand="0"/>
      </w:tblPr>
      <w:tblGrid>
        <w:gridCol w:w="1985"/>
        <w:gridCol w:w="1134"/>
        <w:gridCol w:w="988"/>
        <w:gridCol w:w="571"/>
        <w:gridCol w:w="1559"/>
        <w:gridCol w:w="1047"/>
        <w:gridCol w:w="1079"/>
      </w:tblGrid>
      <w:tr w:rsidR="00826F6D" w:rsidRPr="0039782C" w:rsidTr="00E16B48">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988" w:type="dxa"/>
            <w:tcBorders>
              <w:bottom w:val="single" w:sz="4" w:space="0" w:color="auto"/>
            </w:tcBorders>
          </w:tcPr>
          <w:p w:rsidR="00826F6D" w:rsidRPr="0039782C" w:rsidRDefault="003E19C0" w:rsidP="003E19C0">
            <w:pPr>
              <w:keepNext/>
              <w:ind w:left="-108"/>
              <w:jc w:val="center"/>
              <w:rPr>
                <w:rFonts w:ascii="Arial Narrow" w:hAnsi="Arial Narrow" w:cs="Arial"/>
                <w:b/>
                <w:sz w:val="20"/>
                <w:szCs w:val="20"/>
              </w:rPr>
            </w:pPr>
            <w:r>
              <w:rPr>
                <w:rFonts w:ascii="Arial Narrow" w:hAnsi="Arial Narrow" w:cs="Arial"/>
                <w:b/>
                <w:sz w:val="20"/>
                <w:szCs w:val="20"/>
              </w:rPr>
              <w:t xml:space="preserve"> </w:t>
            </w:r>
            <w:r w:rsidR="00826F6D" w:rsidRPr="0039782C">
              <w:rPr>
                <w:rFonts w:ascii="Arial Narrow" w:hAnsi="Arial Narrow" w:cs="Arial"/>
                <w:b/>
                <w:sz w:val="20"/>
                <w:szCs w:val="20"/>
              </w:rPr>
              <w:t>Max.</w:t>
            </w:r>
          </w:p>
          <w:p w:rsidR="00826F6D" w:rsidRPr="0039782C" w:rsidRDefault="003E19C0" w:rsidP="003E19C0">
            <w:pPr>
              <w:keepNext/>
              <w:ind w:left="-108"/>
              <w:jc w:val="center"/>
              <w:rPr>
                <w:rFonts w:ascii="Arial Narrow" w:hAnsi="Arial Narrow" w:cs="Arial"/>
                <w:b/>
                <w:sz w:val="20"/>
                <w:szCs w:val="20"/>
              </w:rPr>
            </w:pPr>
            <w:r>
              <w:rPr>
                <w:rFonts w:ascii="Arial Narrow" w:hAnsi="Arial Narrow" w:cs="Arial"/>
                <w:b/>
                <w:sz w:val="20"/>
                <w:szCs w:val="20"/>
              </w:rPr>
              <w:t xml:space="preserve"> </w:t>
            </w:r>
            <w:r w:rsidR="00826F6D" w:rsidRPr="0039782C">
              <w:rPr>
                <w:rFonts w:ascii="Arial Narrow" w:hAnsi="Arial Narrow" w:cs="Arial"/>
                <w:b/>
                <w:sz w:val="20"/>
                <w:szCs w:val="20"/>
              </w:rPr>
              <w:t>Qty</w:t>
            </w:r>
            <w:r>
              <w:rPr>
                <w:rFonts w:ascii="Arial Narrow" w:hAnsi="Arial Narrow" w:cs="Arial"/>
                <w:b/>
                <w:sz w:val="20"/>
                <w:szCs w:val="20"/>
              </w:rPr>
              <w:t xml:space="preserve"> packs</w:t>
            </w:r>
          </w:p>
        </w:tc>
        <w:tc>
          <w:tcPr>
            <w:tcW w:w="571" w:type="dxa"/>
            <w:tcBorders>
              <w:bottom w:val="single" w:sz="4" w:space="0" w:color="auto"/>
            </w:tcBorders>
          </w:tcPr>
          <w:p w:rsidR="00826F6D" w:rsidRPr="0039782C" w:rsidRDefault="00826F6D" w:rsidP="003E19C0">
            <w:pPr>
              <w:keepNext/>
              <w:ind w:left="-108"/>
              <w:jc w:val="center"/>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3E19C0">
            <w:pPr>
              <w:keepNext/>
              <w:ind w:left="-108"/>
              <w:jc w:val="center"/>
              <w:rPr>
                <w:rFonts w:ascii="Arial Narrow" w:hAnsi="Arial Narrow" w:cs="Arial"/>
                <w:b/>
                <w:sz w:val="20"/>
                <w:szCs w:val="20"/>
              </w:rPr>
            </w:pPr>
            <w:r w:rsidRPr="0039782C">
              <w:rPr>
                <w:rFonts w:ascii="Arial Narrow" w:hAnsi="Arial Narrow" w:cs="Arial"/>
                <w:b/>
                <w:sz w:val="20"/>
                <w:szCs w:val="20"/>
              </w:rPr>
              <w:t>Rpts</w:t>
            </w:r>
          </w:p>
        </w:tc>
        <w:tc>
          <w:tcPr>
            <w:tcW w:w="1559" w:type="dxa"/>
            <w:tcBorders>
              <w:bottom w:val="single" w:sz="4" w:space="0" w:color="auto"/>
            </w:tcBorders>
          </w:tcPr>
          <w:p w:rsidR="00826F6D" w:rsidRPr="0039782C" w:rsidRDefault="003E19C0" w:rsidP="003E19C0">
            <w:pPr>
              <w:keepNext/>
              <w:ind w:left="-108"/>
              <w:jc w:val="center"/>
              <w:rPr>
                <w:rFonts w:ascii="Arial Narrow" w:hAnsi="Arial Narrow" w:cs="Arial"/>
                <w:b/>
                <w:sz w:val="20"/>
                <w:szCs w:val="20"/>
              </w:rPr>
            </w:pPr>
            <w:r>
              <w:rPr>
                <w:rFonts w:ascii="Arial Narrow" w:hAnsi="Arial Narrow" w:cs="Arial"/>
                <w:b/>
                <w:sz w:val="20"/>
                <w:szCs w:val="20"/>
              </w:rPr>
              <w:t>DPMQ</w:t>
            </w:r>
          </w:p>
        </w:tc>
        <w:tc>
          <w:tcPr>
            <w:tcW w:w="2126" w:type="dxa"/>
            <w:gridSpan w:val="2"/>
            <w:tcBorders>
              <w:bottom w:val="single" w:sz="4" w:space="0" w:color="auto"/>
            </w:tcBorders>
          </w:tcPr>
          <w:p w:rsidR="00826F6D" w:rsidRPr="0039782C" w:rsidRDefault="00826F6D" w:rsidP="003E19C0">
            <w:pPr>
              <w:keepNext/>
              <w:jc w:val="center"/>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E16B48">
        <w:trPr>
          <w:cantSplit/>
          <w:trHeight w:val="577"/>
        </w:trPr>
        <w:tc>
          <w:tcPr>
            <w:tcW w:w="3119" w:type="dxa"/>
            <w:gridSpan w:val="2"/>
            <w:tcBorders>
              <w:top w:val="single" w:sz="4" w:space="0" w:color="auto"/>
            </w:tcBorders>
          </w:tcPr>
          <w:p w:rsidR="00826F6D" w:rsidRPr="00260CE3" w:rsidRDefault="003E19C0" w:rsidP="00C27B58">
            <w:pPr>
              <w:keepNext/>
              <w:ind w:left="-108"/>
              <w:jc w:val="both"/>
              <w:rPr>
                <w:rFonts w:ascii="Arial Narrow" w:hAnsi="Arial Narrow" w:cs="Arial"/>
                <w:sz w:val="20"/>
                <w:szCs w:val="20"/>
              </w:rPr>
            </w:pPr>
            <w:r>
              <w:rPr>
                <w:rFonts w:ascii="Arial Narrow" w:hAnsi="Arial Narrow" w:cs="Arial"/>
                <w:sz w:val="20"/>
                <w:szCs w:val="20"/>
              </w:rPr>
              <w:t>MANNITOL</w:t>
            </w:r>
          </w:p>
          <w:p w:rsidR="00826F6D" w:rsidRPr="00260CE3" w:rsidRDefault="003E19C0" w:rsidP="00C27B58">
            <w:pPr>
              <w:keepNext/>
              <w:ind w:left="-108"/>
              <w:jc w:val="both"/>
              <w:rPr>
                <w:rFonts w:ascii="Arial Narrow" w:hAnsi="Arial Narrow" w:cs="Arial"/>
                <w:sz w:val="20"/>
                <w:szCs w:val="20"/>
              </w:rPr>
            </w:pPr>
            <w:r w:rsidRPr="003E19C0">
              <w:rPr>
                <w:rFonts w:ascii="Arial Narrow" w:hAnsi="Arial Narrow" w:cs="Arial"/>
                <w:sz w:val="20"/>
                <w:szCs w:val="20"/>
              </w:rPr>
              <w:t>Pack containing 280 capsules containing powder for inhalation 40 mg and 2 inhalers, 1</w:t>
            </w:r>
          </w:p>
        </w:tc>
        <w:tc>
          <w:tcPr>
            <w:tcW w:w="988" w:type="dxa"/>
            <w:tcBorders>
              <w:top w:val="single" w:sz="4" w:space="0" w:color="auto"/>
            </w:tcBorders>
          </w:tcPr>
          <w:p w:rsidR="00826F6D" w:rsidRPr="00260CE3" w:rsidRDefault="00826F6D" w:rsidP="003E19C0">
            <w:pPr>
              <w:keepNext/>
              <w:ind w:left="-108"/>
              <w:jc w:val="center"/>
              <w:rPr>
                <w:rFonts w:ascii="Arial Narrow" w:hAnsi="Arial Narrow" w:cs="Arial"/>
                <w:sz w:val="20"/>
                <w:szCs w:val="20"/>
              </w:rPr>
            </w:pPr>
          </w:p>
          <w:p w:rsidR="00826F6D" w:rsidRPr="00260CE3" w:rsidRDefault="003E19C0" w:rsidP="003E19C0">
            <w:pPr>
              <w:keepNext/>
              <w:ind w:left="-108"/>
              <w:jc w:val="center"/>
              <w:rPr>
                <w:rFonts w:ascii="Arial Narrow" w:hAnsi="Arial Narrow" w:cs="Arial"/>
                <w:sz w:val="20"/>
                <w:szCs w:val="20"/>
              </w:rPr>
            </w:pPr>
            <w:r>
              <w:rPr>
                <w:rFonts w:ascii="Arial Narrow" w:hAnsi="Arial Narrow" w:cs="Arial"/>
                <w:sz w:val="20"/>
                <w:szCs w:val="20"/>
              </w:rPr>
              <w:t>4</w:t>
            </w:r>
          </w:p>
        </w:tc>
        <w:tc>
          <w:tcPr>
            <w:tcW w:w="571" w:type="dxa"/>
            <w:tcBorders>
              <w:top w:val="single" w:sz="4" w:space="0" w:color="auto"/>
            </w:tcBorders>
          </w:tcPr>
          <w:p w:rsidR="00826F6D" w:rsidRPr="00260CE3" w:rsidRDefault="00826F6D" w:rsidP="003E19C0">
            <w:pPr>
              <w:keepNext/>
              <w:ind w:left="-108"/>
              <w:jc w:val="center"/>
              <w:rPr>
                <w:rFonts w:ascii="Arial Narrow" w:hAnsi="Arial Narrow" w:cs="Arial"/>
                <w:sz w:val="20"/>
                <w:szCs w:val="20"/>
              </w:rPr>
            </w:pPr>
          </w:p>
          <w:p w:rsidR="00826F6D" w:rsidRPr="00260CE3" w:rsidRDefault="003E19C0" w:rsidP="003E19C0">
            <w:pPr>
              <w:keepNext/>
              <w:ind w:left="-108"/>
              <w:jc w:val="center"/>
              <w:rPr>
                <w:rFonts w:ascii="Arial Narrow" w:hAnsi="Arial Narrow" w:cs="Arial"/>
                <w:sz w:val="20"/>
                <w:szCs w:val="20"/>
              </w:rPr>
            </w:pPr>
            <w:r>
              <w:rPr>
                <w:rFonts w:ascii="Arial Narrow" w:hAnsi="Arial Narrow" w:cs="Arial"/>
                <w:sz w:val="20"/>
                <w:szCs w:val="20"/>
              </w:rPr>
              <w:t>5</w:t>
            </w:r>
          </w:p>
        </w:tc>
        <w:tc>
          <w:tcPr>
            <w:tcW w:w="1559" w:type="dxa"/>
            <w:tcBorders>
              <w:top w:val="single" w:sz="4" w:space="0" w:color="auto"/>
            </w:tcBorders>
          </w:tcPr>
          <w:p w:rsidR="00826F6D" w:rsidRPr="00260CE3" w:rsidRDefault="00826F6D" w:rsidP="003E19C0">
            <w:pPr>
              <w:keepNext/>
              <w:ind w:left="-108"/>
              <w:jc w:val="center"/>
              <w:rPr>
                <w:rFonts w:ascii="Arial Narrow" w:hAnsi="Arial Narrow" w:cs="Arial"/>
                <w:sz w:val="20"/>
                <w:szCs w:val="20"/>
              </w:rPr>
            </w:pPr>
          </w:p>
          <w:p w:rsidR="00826F6D" w:rsidRDefault="003E19C0" w:rsidP="003E19C0">
            <w:pPr>
              <w:keepNext/>
              <w:ind w:left="-108"/>
              <w:jc w:val="center"/>
              <w:rPr>
                <w:rFonts w:ascii="Arial Narrow" w:hAnsi="Arial Narrow" w:cs="Arial"/>
                <w:sz w:val="20"/>
                <w:szCs w:val="20"/>
              </w:rPr>
            </w:pPr>
            <w:r>
              <w:rPr>
                <w:rFonts w:ascii="Arial Narrow" w:hAnsi="Arial Narrow" w:cs="Arial"/>
                <w:sz w:val="20"/>
                <w:szCs w:val="20"/>
              </w:rPr>
              <w:t>$</w:t>
            </w:r>
            <w:r w:rsidR="00545CFC">
              <w:rPr>
                <w:rFonts w:ascii="Arial Narrow" w:hAnsi="Arial Narrow" w:cs="Arial"/>
                <w:noProof/>
                <w:color w:val="000000"/>
                <w:sz w:val="20"/>
                <w:szCs w:val="20"/>
                <w:highlight w:val="black"/>
              </w:rPr>
              <w:t>''''''''''''''''''</w:t>
            </w:r>
            <w:r>
              <w:rPr>
                <w:rFonts w:ascii="Arial Narrow" w:hAnsi="Arial Narrow" w:cs="Arial"/>
                <w:sz w:val="20"/>
                <w:szCs w:val="20"/>
              </w:rPr>
              <w:t xml:space="preserve"> (Private)</w:t>
            </w:r>
          </w:p>
          <w:p w:rsidR="003E19C0" w:rsidRPr="00260CE3" w:rsidRDefault="003E19C0" w:rsidP="003E19C0">
            <w:pPr>
              <w:keepNext/>
              <w:ind w:left="-108"/>
              <w:jc w:val="center"/>
              <w:rPr>
                <w:rFonts w:ascii="Arial Narrow" w:hAnsi="Arial Narrow" w:cs="Arial"/>
                <w:sz w:val="20"/>
                <w:szCs w:val="20"/>
              </w:rPr>
            </w:pPr>
            <w:r>
              <w:rPr>
                <w:rFonts w:ascii="Arial Narrow" w:hAnsi="Arial Narrow" w:cs="Arial"/>
                <w:sz w:val="20"/>
                <w:szCs w:val="20"/>
              </w:rPr>
              <w:t>$</w:t>
            </w:r>
            <w:r w:rsidR="00545CFC">
              <w:rPr>
                <w:rFonts w:ascii="Arial Narrow" w:hAnsi="Arial Narrow" w:cs="Arial"/>
                <w:noProof/>
                <w:color w:val="000000"/>
                <w:sz w:val="20"/>
                <w:szCs w:val="20"/>
                <w:highlight w:val="black"/>
              </w:rPr>
              <w:t>''''''''''''''''''''''</w:t>
            </w:r>
            <w:r>
              <w:rPr>
                <w:rFonts w:ascii="Arial Narrow" w:hAnsi="Arial Narrow" w:cs="Arial"/>
                <w:sz w:val="20"/>
                <w:szCs w:val="20"/>
              </w:rPr>
              <w:t xml:space="preserve"> (Public)</w:t>
            </w:r>
          </w:p>
        </w:tc>
        <w:tc>
          <w:tcPr>
            <w:tcW w:w="1047" w:type="dxa"/>
            <w:tcBorders>
              <w:top w:val="single" w:sz="4" w:space="0" w:color="auto"/>
            </w:tcBorders>
          </w:tcPr>
          <w:p w:rsidR="00C27B58" w:rsidRDefault="00C27B58" w:rsidP="003E19C0">
            <w:pPr>
              <w:keepNext/>
              <w:jc w:val="center"/>
              <w:rPr>
                <w:rFonts w:ascii="Arial Narrow" w:hAnsi="Arial Narrow" w:cs="Arial"/>
                <w:sz w:val="20"/>
                <w:szCs w:val="20"/>
              </w:rPr>
            </w:pPr>
          </w:p>
          <w:p w:rsidR="00826F6D" w:rsidRPr="00260CE3" w:rsidRDefault="003E19C0" w:rsidP="003E19C0">
            <w:pPr>
              <w:keepNext/>
              <w:jc w:val="center"/>
              <w:rPr>
                <w:rFonts w:ascii="Arial Narrow" w:hAnsi="Arial Narrow" w:cs="Arial"/>
                <w:sz w:val="20"/>
                <w:szCs w:val="20"/>
              </w:rPr>
            </w:pPr>
            <w:proofErr w:type="spellStart"/>
            <w:r>
              <w:rPr>
                <w:rFonts w:ascii="Arial Narrow" w:hAnsi="Arial Narrow" w:cs="Arial"/>
                <w:sz w:val="20"/>
                <w:szCs w:val="20"/>
              </w:rPr>
              <w:t>Bronchitol</w:t>
            </w:r>
            <w:proofErr w:type="spellEnd"/>
            <w:r w:rsidRPr="00814E2D">
              <w:rPr>
                <w:b/>
                <w:sz w:val="20"/>
                <w:vertAlign w:val="superscript"/>
              </w:rPr>
              <w:t>®</w:t>
            </w:r>
          </w:p>
        </w:tc>
        <w:tc>
          <w:tcPr>
            <w:tcW w:w="1079" w:type="dxa"/>
            <w:tcBorders>
              <w:top w:val="single" w:sz="4" w:space="0" w:color="auto"/>
            </w:tcBorders>
          </w:tcPr>
          <w:p w:rsidR="00C27B58" w:rsidRDefault="00C27B58" w:rsidP="003E19C0">
            <w:pPr>
              <w:keepNext/>
              <w:jc w:val="center"/>
              <w:rPr>
                <w:rFonts w:ascii="Arial Narrow" w:hAnsi="Arial Narrow" w:cs="Arial"/>
                <w:sz w:val="20"/>
                <w:szCs w:val="20"/>
              </w:rPr>
            </w:pPr>
          </w:p>
          <w:p w:rsidR="00826F6D" w:rsidRPr="00260CE3" w:rsidRDefault="003E19C0" w:rsidP="003E19C0">
            <w:pPr>
              <w:keepNext/>
              <w:jc w:val="center"/>
              <w:rPr>
                <w:rFonts w:ascii="Arial Narrow" w:hAnsi="Arial Narrow" w:cs="Arial"/>
                <w:sz w:val="20"/>
                <w:szCs w:val="20"/>
              </w:rPr>
            </w:pPr>
            <w:proofErr w:type="spellStart"/>
            <w:r>
              <w:rPr>
                <w:rFonts w:ascii="Arial Narrow" w:hAnsi="Arial Narrow" w:cs="Arial"/>
                <w:sz w:val="20"/>
                <w:szCs w:val="20"/>
              </w:rPr>
              <w:t>Pharmaxis</w:t>
            </w:r>
            <w:proofErr w:type="spellEnd"/>
          </w:p>
        </w:tc>
      </w:tr>
      <w:tr w:rsidR="00826F6D" w:rsidRPr="00260CE3" w:rsidTr="00E16B48">
        <w:trPr>
          <w:cantSplit/>
          <w:trHeight w:val="360"/>
        </w:trPr>
        <w:tc>
          <w:tcPr>
            <w:tcW w:w="8363" w:type="dxa"/>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6753DF">
        <w:trPr>
          <w:cantSplit/>
          <w:trHeight w:val="257"/>
        </w:trPr>
        <w:tc>
          <w:tcPr>
            <w:tcW w:w="1985" w:type="dxa"/>
            <w:tcBorders>
              <w:top w:val="single" w:sz="4" w:space="0" w:color="auto"/>
              <w:left w:val="single" w:sz="4" w:space="0" w:color="auto"/>
              <w:bottom w:val="single" w:sz="4" w:space="0" w:color="auto"/>
              <w:right w:val="single" w:sz="4" w:space="0" w:color="auto"/>
            </w:tcBorders>
            <w:vAlign w:val="center"/>
          </w:tcPr>
          <w:p w:rsidR="00826F6D" w:rsidRPr="00260CE3" w:rsidRDefault="00826F6D" w:rsidP="006753DF">
            <w:pPr>
              <w:rPr>
                <w:rFonts w:ascii="Arial Narrow" w:hAnsi="Arial Narrow" w:cs="Arial"/>
                <w:b/>
                <w:sz w:val="20"/>
                <w:szCs w:val="20"/>
              </w:rPr>
            </w:pPr>
            <w:r w:rsidRPr="00260CE3">
              <w:rPr>
                <w:rFonts w:ascii="Arial Narrow" w:hAnsi="Arial Narrow" w:cs="Arial"/>
                <w:b/>
                <w:sz w:val="20"/>
                <w:szCs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26F6D" w:rsidRPr="00260CE3" w:rsidRDefault="00826F6D" w:rsidP="00D62AFD">
            <w:pPr>
              <w:rPr>
                <w:rFonts w:ascii="Arial Narrow" w:hAnsi="Arial Narrow" w:cs="Arial"/>
                <w:sz w:val="20"/>
                <w:szCs w:val="20"/>
              </w:rPr>
            </w:pPr>
            <w:r w:rsidRPr="00260CE3">
              <w:rPr>
                <w:rFonts w:ascii="Arial Narrow" w:hAnsi="Arial Narrow" w:cs="Arial"/>
                <w:sz w:val="20"/>
                <w:szCs w:val="20"/>
              </w:rPr>
              <w:t>Section 100 – Highly Specialised Drugs Program</w:t>
            </w:r>
          </w:p>
        </w:tc>
      </w:tr>
      <w:tr w:rsidR="00826F6D" w:rsidRPr="00260CE3" w:rsidTr="006753DF">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26F6D" w:rsidRPr="00260CE3" w:rsidRDefault="00826F6D" w:rsidP="006753DF">
            <w:pPr>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E369E1">
              <w:rPr>
                <w:rFonts w:ascii="Arial Narrow" w:hAnsi="Arial Narrow" w:cs="Arial"/>
                <w:sz w:val="20"/>
                <w:szCs w:val="20"/>
              </w:rPr>
            </w:r>
            <w:r w:rsidR="00E369E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D62AFD">
              <w:rPr>
                <w:rFonts w:ascii="Arial Narrow" w:hAnsi="Arial Narrow" w:cs="Arial"/>
                <w:sz w:val="20"/>
                <w:szCs w:val="20"/>
              </w:rPr>
              <w:fldChar w:fldCharType="begin">
                <w:ffData>
                  <w:name w:val=""/>
                  <w:enabled/>
                  <w:calcOnExit w:val="0"/>
                  <w:checkBox>
                    <w:sizeAuto/>
                    <w:default w:val="1"/>
                  </w:checkBox>
                </w:ffData>
              </w:fldChar>
            </w:r>
            <w:r w:rsidR="00D62AFD">
              <w:rPr>
                <w:rFonts w:ascii="Arial Narrow" w:hAnsi="Arial Narrow" w:cs="Arial"/>
                <w:sz w:val="20"/>
                <w:szCs w:val="20"/>
              </w:rPr>
              <w:instrText xml:space="preserve"> FORMCHECKBOX </w:instrText>
            </w:r>
            <w:r w:rsidR="00E369E1">
              <w:rPr>
                <w:rFonts w:ascii="Arial Narrow" w:hAnsi="Arial Narrow" w:cs="Arial"/>
                <w:sz w:val="20"/>
                <w:szCs w:val="20"/>
              </w:rPr>
            </w:r>
            <w:r w:rsidR="00E369E1">
              <w:rPr>
                <w:rFonts w:ascii="Arial Narrow" w:hAnsi="Arial Narrow" w:cs="Arial"/>
                <w:sz w:val="20"/>
                <w:szCs w:val="20"/>
              </w:rPr>
              <w:fldChar w:fldCharType="separate"/>
            </w:r>
            <w:r w:rsidR="00D62AFD">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E369E1">
              <w:rPr>
                <w:rFonts w:ascii="Arial Narrow" w:hAnsi="Arial Narrow" w:cs="Arial"/>
                <w:sz w:val="20"/>
                <w:szCs w:val="20"/>
              </w:rPr>
            </w:r>
            <w:r w:rsidR="00E369E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E369E1">
              <w:rPr>
                <w:rFonts w:ascii="Arial Narrow" w:hAnsi="Arial Narrow" w:cs="Arial"/>
                <w:sz w:val="20"/>
                <w:szCs w:val="20"/>
              </w:rPr>
            </w:r>
            <w:r w:rsidR="00E369E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E369E1">
              <w:rPr>
                <w:rFonts w:ascii="Arial Narrow" w:hAnsi="Arial Narrow" w:cs="Arial"/>
                <w:sz w:val="20"/>
                <w:szCs w:val="20"/>
              </w:rPr>
            </w:r>
            <w:r w:rsidR="00E369E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6753DF">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26F6D" w:rsidRPr="00260CE3" w:rsidRDefault="00826F6D" w:rsidP="006753DF">
            <w:pPr>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26F6D" w:rsidRPr="00260CE3" w:rsidRDefault="00F22F8D" w:rsidP="00F22F8D">
            <w:pPr>
              <w:rPr>
                <w:rFonts w:ascii="Arial Narrow" w:hAnsi="Arial Narrow" w:cs="Arial"/>
                <w:sz w:val="20"/>
                <w:szCs w:val="20"/>
              </w:rPr>
            </w:pPr>
            <w:r>
              <w:rPr>
                <w:rFonts w:ascii="Arial Narrow" w:hAnsi="Arial Narrow" w:cs="Arial"/>
                <w:sz w:val="20"/>
                <w:szCs w:val="20"/>
              </w:rPr>
              <w:t>Cystic fibrosis</w:t>
            </w:r>
          </w:p>
        </w:tc>
      </w:tr>
      <w:tr w:rsidR="00826F6D" w:rsidRPr="00260CE3" w:rsidTr="006753DF">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26F6D" w:rsidRPr="006753DF" w:rsidRDefault="00826F6D" w:rsidP="006753DF">
            <w:pPr>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106BCF" w:rsidRDefault="00F22F8D" w:rsidP="00C27B58">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0" w:name="Check3"/>
            <w:r>
              <w:rPr>
                <w:rFonts w:ascii="Arial Narrow" w:hAnsi="Arial Narrow" w:cs="Arial"/>
                <w:sz w:val="20"/>
                <w:szCs w:val="20"/>
              </w:rPr>
              <w:instrText xml:space="preserve"> FORMCHECKBOX </w:instrText>
            </w:r>
            <w:r w:rsidR="00E369E1">
              <w:rPr>
                <w:rFonts w:ascii="Arial Narrow" w:hAnsi="Arial Narrow" w:cs="Arial"/>
                <w:sz w:val="20"/>
                <w:szCs w:val="20"/>
              </w:rPr>
            </w:r>
            <w:r w:rsidR="00E369E1">
              <w:rPr>
                <w:rFonts w:ascii="Arial Narrow" w:hAnsi="Arial Narrow" w:cs="Arial"/>
                <w:sz w:val="20"/>
                <w:szCs w:val="20"/>
              </w:rPr>
              <w:fldChar w:fldCharType="separate"/>
            </w:r>
            <w:r>
              <w:rPr>
                <w:rFonts w:ascii="Arial Narrow" w:hAnsi="Arial Narrow" w:cs="Arial"/>
                <w:sz w:val="20"/>
                <w:szCs w:val="20"/>
              </w:rPr>
              <w:fldChar w:fldCharType="end"/>
            </w:r>
            <w:bookmarkEnd w:id="0"/>
            <w:r w:rsidR="006753DF">
              <w:rPr>
                <w:rFonts w:ascii="Arial Narrow" w:hAnsi="Arial Narrow" w:cs="Arial"/>
                <w:sz w:val="20"/>
                <w:szCs w:val="20"/>
              </w:rPr>
              <w:t>Authority Required</w:t>
            </w:r>
            <w:r>
              <w:rPr>
                <w:rFonts w:ascii="Arial Narrow" w:hAnsi="Arial Narrow" w:cs="Arial"/>
                <w:sz w:val="20"/>
                <w:szCs w:val="20"/>
              </w:rPr>
              <w:t xml:space="preserve"> (Private hospital)</w:t>
            </w:r>
          </w:p>
          <w:p w:rsidR="00826F6D" w:rsidRPr="00260CE3" w:rsidRDefault="00F22F8D" w:rsidP="00C27B5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E369E1">
              <w:rPr>
                <w:rFonts w:ascii="Arial Narrow" w:hAnsi="Arial Narrow" w:cs="Arial"/>
                <w:sz w:val="20"/>
                <w:szCs w:val="20"/>
              </w:rPr>
            </w:r>
            <w:r w:rsidR="00E369E1">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Streamlined</w:t>
            </w:r>
            <w:r>
              <w:rPr>
                <w:rFonts w:ascii="Arial Narrow" w:hAnsi="Arial Narrow" w:cs="Arial"/>
                <w:sz w:val="20"/>
                <w:szCs w:val="20"/>
              </w:rPr>
              <w:t xml:space="preserve"> (Public hospital)</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FD03EE" w:rsidRDefault="00826F6D" w:rsidP="00FD03EE">
            <w:pPr>
              <w:jc w:val="both"/>
              <w:rPr>
                <w:rFonts w:ascii="Arial Narrow" w:hAnsi="Arial Narrow" w:cs="Arial"/>
                <w:b/>
                <w:sz w:val="20"/>
                <w:szCs w:val="20"/>
              </w:rPr>
            </w:pPr>
            <w:r w:rsidRPr="00260CE3">
              <w:rPr>
                <w:rFonts w:ascii="Arial Narrow" w:hAnsi="Arial Narrow" w:cs="Arial"/>
                <w:b/>
                <w:sz w:val="20"/>
                <w:szCs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7024DD" w:rsidRPr="007024DD" w:rsidRDefault="007024DD" w:rsidP="007024DD">
            <w:pPr>
              <w:rPr>
                <w:rFonts w:ascii="Arial Narrow" w:hAnsi="Arial Narrow" w:cs="Arial"/>
                <w:sz w:val="20"/>
                <w:szCs w:val="20"/>
              </w:rPr>
            </w:pPr>
            <w:r w:rsidRPr="007024DD">
              <w:rPr>
                <w:rFonts w:ascii="Arial Narrow" w:hAnsi="Arial Narrow" w:cs="Arial"/>
                <w:sz w:val="20"/>
                <w:szCs w:val="20"/>
              </w:rPr>
              <w:t xml:space="preserve">Patient must have been assessed for bronchial </w:t>
            </w:r>
            <w:proofErr w:type="spellStart"/>
            <w:r w:rsidRPr="007024DD">
              <w:rPr>
                <w:rFonts w:ascii="Arial Narrow" w:hAnsi="Arial Narrow" w:cs="Arial"/>
                <w:sz w:val="20"/>
                <w:szCs w:val="20"/>
              </w:rPr>
              <w:t>hyperresponsiveness</w:t>
            </w:r>
            <w:proofErr w:type="spellEnd"/>
            <w:r w:rsidRPr="007024DD">
              <w:rPr>
                <w:rFonts w:ascii="Arial Narrow" w:hAnsi="Arial Narrow" w:cs="Arial"/>
                <w:sz w:val="20"/>
                <w:szCs w:val="20"/>
              </w:rPr>
              <w:t xml:space="preserve"> as per the TGA approved Product Information mannitol initiation dose assessment, prior to mannitol therapy. If the patient has a negative </w:t>
            </w:r>
            <w:proofErr w:type="spellStart"/>
            <w:r w:rsidRPr="007024DD">
              <w:rPr>
                <w:rFonts w:ascii="Arial Narrow" w:hAnsi="Arial Narrow" w:cs="Arial"/>
                <w:sz w:val="20"/>
                <w:szCs w:val="20"/>
              </w:rPr>
              <w:t>hyperresponsiveness</w:t>
            </w:r>
            <w:proofErr w:type="spellEnd"/>
            <w:r w:rsidRPr="007024DD">
              <w:rPr>
                <w:rFonts w:ascii="Arial Narrow" w:hAnsi="Arial Narrow" w:cs="Arial"/>
                <w:sz w:val="20"/>
                <w:szCs w:val="20"/>
              </w:rPr>
              <w:t xml:space="preserve"> test they may be eligible for PBS subsidised treatment with mannitol, </w:t>
            </w:r>
          </w:p>
          <w:p w:rsidR="007024DD" w:rsidRPr="007024DD" w:rsidRDefault="007024DD" w:rsidP="007024DD">
            <w:pPr>
              <w:rPr>
                <w:rFonts w:ascii="Arial Narrow" w:hAnsi="Arial Narrow" w:cs="Arial"/>
                <w:sz w:val="20"/>
                <w:szCs w:val="20"/>
              </w:rPr>
            </w:pPr>
          </w:p>
          <w:p w:rsidR="007024DD" w:rsidRPr="007024DD" w:rsidRDefault="007024DD" w:rsidP="007024DD">
            <w:pPr>
              <w:rPr>
                <w:rFonts w:ascii="Arial Narrow" w:hAnsi="Arial Narrow" w:cs="Arial"/>
                <w:sz w:val="20"/>
                <w:szCs w:val="20"/>
              </w:rPr>
            </w:pPr>
            <w:r w:rsidRPr="007024DD">
              <w:rPr>
                <w:rFonts w:ascii="Arial Narrow" w:hAnsi="Arial Narrow" w:cs="Arial"/>
                <w:sz w:val="20"/>
                <w:szCs w:val="20"/>
              </w:rPr>
              <w:t>AND</w:t>
            </w:r>
          </w:p>
          <w:p w:rsidR="007024DD" w:rsidRPr="007024DD" w:rsidRDefault="007024DD" w:rsidP="007024DD">
            <w:pPr>
              <w:rPr>
                <w:rFonts w:ascii="Arial Narrow" w:hAnsi="Arial Narrow" w:cs="Arial"/>
                <w:sz w:val="20"/>
                <w:szCs w:val="20"/>
              </w:rPr>
            </w:pPr>
          </w:p>
          <w:p w:rsidR="007024DD" w:rsidRPr="00077858" w:rsidRDefault="007024DD" w:rsidP="007024DD">
            <w:pPr>
              <w:rPr>
                <w:rFonts w:ascii="Arial Narrow" w:hAnsi="Arial Narrow" w:cs="Arial"/>
                <w:strike/>
                <w:sz w:val="20"/>
                <w:szCs w:val="20"/>
              </w:rPr>
            </w:pPr>
            <w:r w:rsidRPr="00077858">
              <w:rPr>
                <w:rFonts w:ascii="Arial Narrow" w:hAnsi="Arial Narrow" w:cs="Arial"/>
                <w:strike/>
                <w:sz w:val="20"/>
                <w:szCs w:val="20"/>
              </w:rPr>
              <w:t>Patient must have a forced expiratory volume in 1 second (FEV1) greater than 30% predicted for age, gender and height,</w:t>
            </w:r>
          </w:p>
          <w:p w:rsidR="007024DD" w:rsidRPr="007024DD" w:rsidRDefault="007024DD" w:rsidP="007024DD">
            <w:pPr>
              <w:rPr>
                <w:rFonts w:ascii="Arial Narrow" w:hAnsi="Arial Narrow" w:cs="Arial"/>
                <w:sz w:val="20"/>
                <w:szCs w:val="20"/>
              </w:rPr>
            </w:pPr>
          </w:p>
          <w:p w:rsidR="007024DD" w:rsidRPr="007024DD" w:rsidRDefault="007024DD" w:rsidP="007024DD">
            <w:pPr>
              <w:rPr>
                <w:rFonts w:ascii="Arial Narrow" w:hAnsi="Arial Narrow" w:cs="Arial"/>
                <w:sz w:val="20"/>
                <w:szCs w:val="20"/>
              </w:rPr>
            </w:pPr>
            <w:r w:rsidRPr="007024DD">
              <w:rPr>
                <w:rFonts w:ascii="Arial Narrow" w:hAnsi="Arial Narrow" w:cs="Arial"/>
                <w:sz w:val="20"/>
                <w:szCs w:val="20"/>
              </w:rPr>
              <w:t>AND</w:t>
            </w:r>
          </w:p>
          <w:p w:rsidR="007024DD" w:rsidRPr="007024DD" w:rsidRDefault="007024DD" w:rsidP="007024DD">
            <w:pPr>
              <w:rPr>
                <w:rFonts w:ascii="Arial Narrow" w:hAnsi="Arial Narrow" w:cs="Arial"/>
                <w:sz w:val="20"/>
                <w:szCs w:val="20"/>
              </w:rPr>
            </w:pPr>
          </w:p>
          <w:p w:rsidR="007024DD" w:rsidRPr="00F45D5E" w:rsidRDefault="007024DD" w:rsidP="007024DD">
            <w:pPr>
              <w:rPr>
                <w:rFonts w:ascii="Arial Narrow" w:hAnsi="Arial Narrow" w:cs="Arial"/>
                <w:strike/>
                <w:sz w:val="20"/>
                <w:szCs w:val="20"/>
              </w:rPr>
            </w:pPr>
            <w:r w:rsidRPr="00F45D5E">
              <w:rPr>
                <w:rFonts w:ascii="Arial Narrow" w:hAnsi="Arial Narrow" w:cs="Arial"/>
                <w:strike/>
                <w:sz w:val="20"/>
                <w:szCs w:val="20"/>
              </w:rPr>
              <w:t xml:space="preserve">Patient must be intolerant or inadequately responsive to </w:t>
            </w:r>
            <w:proofErr w:type="spellStart"/>
            <w:r w:rsidRPr="00F45D5E">
              <w:rPr>
                <w:rFonts w:ascii="Arial Narrow" w:hAnsi="Arial Narrow" w:cs="Arial"/>
                <w:strike/>
                <w:sz w:val="20"/>
                <w:szCs w:val="20"/>
              </w:rPr>
              <w:t>dornase</w:t>
            </w:r>
            <w:proofErr w:type="spellEnd"/>
            <w:r w:rsidRPr="00F45D5E">
              <w:rPr>
                <w:rFonts w:ascii="Arial Narrow" w:hAnsi="Arial Narrow" w:cs="Arial"/>
                <w:strike/>
                <w:sz w:val="20"/>
                <w:szCs w:val="20"/>
              </w:rPr>
              <w:t xml:space="preserve"> </w:t>
            </w:r>
            <w:proofErr w:type="spellStart"/>
            <w:r w:rsidRPr="00F45D5E">
              <w:rPr>
                <w:rFonts w:ascii="Arial Narrow" w:hAnsi="Arial Narrow" w:cs="Arial"/>
                <w:strike/>
                <w:sz w:val="20"/>
                <w:szCs w:val="20"/>
              </w:rPr>
              <w:t>alfa</w:t>
            </w:r>
            <w:proofErr w:type="spellEnd"/>
            <w:r w:rsidRPr="00F45D5E">
              <w:rPr>
                <w:rFonts w:ascii="Arial Narrow" w:hAnsi="Arial Narrow" w:cs="Arial"/>
                <w:strike/>
                <w:sz w:val="20"/>
                <w:szCs w:val="20"/>
              </w:rPr>
              <w:t>,</w:t>
            </w:r>
          </w:p>
          <w:p w:rsidR="007024DD" w:rsidRPr="007024DD" w:rsidRDefault="007024DD" w:rsidP="007024DD">
            <w:pPr>
              <w:rPr>
                <w:rFonts w:ascii="Arial Narrow" w:hAnsi="Arial Narrow" w:cs="Arial"/>
                <w:sz w:val="20"/>
                <w:szCs w:val="20"/>
              </w:rPr>
            </w:pPr>
          </w:p>
          <w:p w:rsidR="007024DD" w:rsidRPr="007024DD" w:rsidRDefault="007024DD" w:rsidP="007024DD">
            <w:pPr>
              <w:rPr>
                <w:rFonts w:ascii="Arial Narrow" w:hAnsi="Arial Narrow" w:cs="Arial"/>
                <w:sz w:val="20"/>
                <w:szCs w:val="20"/>
              </w:rPr>
            </w:pPr>
            <w:r w:rsidRPr="007024DD">
              <w:rPr>
                <w:rFonts w:ascii="Arial Narrow" w:hAnsi="Arial Narrow" w:cs="Arial"/>
                <w:sz w:val="20"/>
                <w:szCs w:val="20"/>
              </w:rPr>
              <w:t>AND</w:t>
            </w:r>
          </w:p>
          <w:p w:rsidR="007024DD" w:rsidRPr="007024DD" w:rsidRDefault="007024DD" w:rsidP="007024DD">
            <w:pPr>
              <w:rPr>
                <w:rFonts w:ascii="Arial Narrow" w:hAnsi="Arial Narrow" w:cs="Arial"/>
                <w:sz w:val="20"/>
                <w:szCs w:val="20"/>
              </w:rPr>
            </w:pPr>
          </w:p>
          <w:p w:rsidR="00826F6D" w:rsidRPr="00F45D5E" w:rsidRDefault="007024DD" w:rsidP="007024DD">
            <w:pPr>
              <w:rPr>
                <w:rFonts w:ascii="Arial Narrow" w:hAnsi="Arial Narrow" w:cs="Arial"/>
                <w:strike/>
                <w:sz w:val="20"/>
                <w:szCs w:val="20"/>
              </w:rPr>
            </w:pPr>
            <w:r w:rsidRPr="00F45D5E">
              <w:rPr>
                <w:rFonts w:ascii="Arial Narrow" w:hAnsi="Arial Narrow" w:cs="Arial"/>
                <w:strike/>
                <w:sz w:val="20"/>
                <w:szCs w:val="20"/>
              </w:rPr>
              <w:t xml:space="preserve">Patient must have evidence of chronic </w:t>
            </w:r>
            <w:proofErr w:type="spellStart"/>
            <w:r w:rsidRPr="00F45D5E">
              <w:rPr>
                <w:rFonts w:ascii="Arial Narrow" w:hAnsi="Arial Narrow" w:cs="Arial"/>
                <w:strike/>
                <w:sz w:val="20"/>
                <w:szCs w:val="20"/>
              </w:rPr>
              <w:t>suppurative</w:t>
            </w:r>
            <w:proofErr w:type="spellEnd"/>
            <w:r w:rsidRPr="00F45D5E">
              <w:rPr>
                <w:rFonts w:ascii="Arial Narrow" w:hAnsi="Arial Narrow" w:cs="Arial"/>
                <w:strike/>
                <w:sz w:val="20"/>
                <w:szCs w:val="20"/>
              </w:rPr>
              <w:t xml:space="preserve"> lung disease (cough and sputum most days of the week, or greater than 3 respiratory tract infections of more than 2 weeks' duration in any 12 months, or objective evidence of obstructive airways disease).</w:t>
            </w:r>
          </w:p>
        </w:tc>
      </w:tr>
      <w:tr w:rsidR="00826F6D" w:rsidRPr="00260CE3" w:rsidTr="000A31CF">
        <w:trPr>
          <w:trHeight w:val="360"/>
        </w:trPr>
        <w:tc>
          <w:tcPr>
            <w:tcW w:w="1985" w:type="dxa"/>
            <w:tcBorders>
              <w:top w:val="single" w:sz="4" w:space="0" w:color="auto"/>
              <w:left w:val="single" w:sz="4" w:space="0" w:color="auto"/>
              <w:bottom w:val="single" w:sz="4" w:space="0" w:color="auto"/>
              <w:right w:val="single" w:sz="4" w:space="0" w:color="auto"/>
            </w:tcBorders>
          </w:tcPr>
          <w:p w:rsidR="00826F6D" w:rsidRPr="00FD03EE" w:rsidRDefault="00826F6D" w:rsidP="00FD03EE">
            <w:pPr>
              <w:jc w:val="both"/>
              <w:rPr>
                <w:rFonts w:ascii="Arial Narrow" w:hAnsi="Arial Narrow" w:cs="Arial"/>
                <w:b/>
                <w:sz w:val="20"/>
                <w:szCs w:val="20"/>
              </w:rPr>
            </w:pPr>
            <w:r w:rsidRPr="00260CE3">
              <w:rPr>
                <w:rFonts w:ascii="Arial Narrow" w:hAnsi="Arial Narrow" w:cs="Arial"/>
                <w:b/>
                <w:sz w:val="20"/>
                <w:szCs w:val="20"/>
              </w:rPr>
              <w:t>Population criteria:</w:t>
            </w:r>
          </w:p>
        </w:tc>
        <w:tc>
          <w:tcPr>
            <w:tcW w:w="6378" w:type="dxa"/>
            <w:gridSpan w:val="6"/>
            <w:tcBorders>
              <w:top w:val="single" w:sz="4" w:space="0" w:color="auto"/>
              <w:left w:val="single" w:sz="4" w:space="0" w:color="auto"/>
              <w:bottom w:val="single" w:sz="4" w:space="0" w:color="auto"/>
              <w:right w:val="single" w:sz="4" w:space="0" w:color="auto"/>
            </w:tcBorders>
          </w:tcPr>
          <w:p w:rsidR="00077858" w:rsidRPr="00F45D5E" w:rsidRDefault="00077858" w:rsidP="00077858">
            <w:pPr>
              <w:rPr>
                <w:rFonts w:ascii="Arial Narrow" w:hAnsi="Arial Narrow" w:cs="Arial"/>
                <w:strike/>
                <w:sz w:val="20"/>
                <w:szCs w:val="20"/>
              </w:rPr>
            </w:pPr>
            <w:r w:rsidRPr="00F45D5E">
              <w:rPr>
                <w:rFonts w:ascii="Arial Narrow" w:hAnsi="Arial Narrow" w:cs="Arial"/>
                <w:strike/>
                <w:sz w:val="20"/>
                <w:szCs w:val="20"/>
              </w:rPr>
              <w:t>Patient must be 6 years of age or older.</w:t>
            </w:r>
          </w:p>
          <w:p w:rsidR="00077858" w:rsidRPr="00077858" w:rsidRDefault="00077858" w:rsidP="00077858">
            <w:pPr>
              <w:rPr>
                <w:rFonts w:ascii="Arial Narrow" w:hAnsi="Arial Narrow" w:cs="Arial"/>
                <w:sz w:val="20"/>
                <w:szCs w:val="20"/>
              </w:rPr>
            </w:pPr>
          </w:p>
          <w:p w:rsidR="00077858" w:rsidRPr="00077858" w:rsidRDefault="00077858" w:rsidP="00077858">
            <w:pPr>
              <w:rPr>
                <w:rFonts w:ascii="Arial Narrow" w:hAnsi="Arial Narrow" w:cs="Arial"/>
                <w:sz w:val="20"/>
                <w:szCs w:val="20"/>
              </w:rPr>
            </w:pPr>
            <w:r w:rsidRPr="00077858">
              <w:rPr>
                <w:rFonts w:ascii="Arial Narrow" w:hAnsi="Arial Narrow" w:cs="Arial"/>
                <w:sz w:val="20"/>
                <w:szCs w:val="20"/>
              </w:rPr>
              <w:t xml:space="preserve">Patient must be assessed at a cystic fibrosis clinic/centre which is under the control </w:t>
            </w:r>
            <w:r w:rsidRPr="00077858">
              <w:rPr>
                <w:rFonts w:ascii="Arial Narrow" w:hAnsi="Arial Narrow" w:cs="Arial"/>
                <w:sz w:val="20"/>
                <w:szCs w:val="20"/>
              </w:rPr>
              <w:lastRenderedPageBreak/>
              <w:t xml:space="preserve">of specialist respiratory physicians with experience and expertise in the management of cystic fibrosis. The prescribing of mannitol therapy under the HSD program is limited to such physicians. If attendance at such a unit is not possible because of geographical isolation, management (including prescribing) may be by a specialist physician or paediatrician in consultation with such a unit. </w:t>
            </w:r>
          </w:p>
          <w:p w:rsidR="00077858" w:rsidRPr="00077858" w:rsidRDefault="00077858" w:rsidP="00077858">
            <w:pPr>
              <w:rPr>
                <w:rFonts w:ascii="Arial Narrow" w:hAnsi="Arial Narrow" w:cs="Arial"/>
                <w:sz w:val="20"/>
                <w:szCs w:val="20"/>
              </w:rPr>
            </w:pPr>
          </w:p>
          <w:p w:rsidR="00077858" w:rsidRPr="00156543" w:rsidRDefault="00077858" w:rsidP="00077858">
            <w:pPr>
              <w:rPr>
                <w:rFonts w:ascii="Arial Narrow" w:hAnsi="Arial Narrow" w:cs="Arial"/>
                <w:strike/>
                <w:sz w:val="20"/>
                <w:szCs w:val="20"/>
              </w:rPr>
            </w:pPr>
            <w:r w:rsidRPr="00156543">
              <w:rPr>
                <w:rFonts w:ascii="Arial Narrow" w:hAnsi="Arial Narrow" w:cs="Arial"/>
                <w:strike/>
                <w:sz w:val="20"/>
                <w:szCs w:val="20"/>
              </w:rPr>
              <w:t xml:space="preserve">The measurement of lung function is to be conducted by independent (other than the treating doctor) experienced personnel at an established lung function testing laboratory, unless this is not possible because of geographical isolation. </w:t>
            </w:r>
          </w:p>
          <w:p w:rsidR="00077858" w:rsidRPr="00077858" w:rsidRDefault="00077858" w:rsidP="00077858">
            <w:pPr>
              <w:rPr>
                <w:rFonts w:ascii="Arial Narrow" w:hAnsi="Arial Narrow" w:cs="Arial"/>
                <w:sz w:val="20"/>
                <w:szCs w:val="20"/>
              </w:rPr>
            </w:pPr>
          </w:p>
          <w:p w:rsidR="00077858" w:rsidRPr="00077858" w:rsidRDefault="00077858" w:rsidP="00077858">
            <w:pPr>
              <w:rPr>
                <w:rFonts w:ascii="Arial Narrow" w:hAnsi="Arial Narrow" w:cs="Arial"/>
                <w:sz w:val="20"/>
                <w:szCs w:val="20"/>
              </w:rPr>
            </w:pPr>
            <w:r w:rsidRPr="00077858">
              <w:rPr>
                <w:rFonts w:ascii="Arial Narrow" w:hAnsi="Arial Narrow" w:cs="Arial"/>
                <w:sz w:val="20"/>
                <w:szCs w:val="20"/>
              </w:rPr>
              <w:t>Prior to mannitol therapy, a baseline measurement of FEV1 must be undertaken during a stable period of the disease.</w:t>
            </w:r>
          </w:p>
          <w:p w:rsidR="00077858" w:rsidRPr="00077858" w:rsidRDefault="00077858" w:rsidP="00077858">
            <w:pPr>
              <w:rPr>
                <w:rFonts w:ascii="Arial Narrow" w:hAnsi="Arial Narrow" w:cs="Arial"/>
                <w:sz w:val="20"/>
                <w:szCs w:val="20"/>
              </w:rPr>
            </w:pPr>
          </w:p>
          <w:p w:rsidR="00077858" w:rsidRPr="00077858" w:rsidRDefault="00077858" w:rsidP="00077858">
            <w:pPr>
              <w:rPr>
                <w:rFonts w:ascii="Arial Narrow" w:hAnsi="Arial Narrow" w:cs="Arial"/>
                <w:sz w:val="20"/>
                <w:szCs w:val="20"/>
              </w:rPr>
            </w:pPr>
            <w:r w:rsidRPr="00077858">
              <w:rPr>
                <w:rFonts w:ascii="Arial Narrow" w:hAnsi="Arial Narrow" w:cs="Arial"/>
                <w:sz w:val="20"/>
                <w:szCs w:val="20"/>
              </w:rPr>
              <w:t>Initial therapy is limited to 3 months treatment with mannitol at a dose of 400 mg twice daily.</w:t>
            </w:r>
          </w:p>
          <w:p w:rsidR="00077858" w:rsidRPr="00077858" w:rsidRDefault="00077858" w:rsidP="00077858">
            <w:pPr>
              <w:rPr>
                <w:rFonts w:ascii="Arial Narrow" w:hAnsi="Arial Narrow" w:cs="Arial"/>
                <w:sz w:val="20"/>
                <w:szCs w:val="20"/>
              </w:rPr>
            </w:pPr>
          </w:p>
          <w:p w:rsidR="00077858" w:rsidRPr="00077858" w:rsidRDefault="00077858" w:rsidP="00077858">
            <w:pPr>
              <w:rPr>
                <w:rFonts w:ascii="Arial Narrow" w:hAnsi="Arial Narrow" w:cs="Arial"/>
                <w:sz w:val="20"/>
                <w:szCs w:val="20"/>
              </w:rPr>
            </w:pPr>
            <w:r w:rsidRPr="00077858">
              <w:rPr>
                <w:rFonts w:ascii="Arial Narrow" w:hAnsi="Arial Narrow" w:cs="Arial"/>
                <w:sz w:val="20"/>
                <w:szCs w:val="20"/>
              </w:rPr>
              <w:t xml:space="preserve">FEV1 measurement (single test under conditions as above) and a global assessment of the patient involving the patient, the patient's family (in the case of paediatric patients), the treating physician(s) and an additional independent member of the cystic fibrosis treatment team must be undertaken and documented following 3 months of initial therapy. </w:t>
            </w:r>
          </w:p>
          <w:p w:rsidR="00077858" w:rsidRPr="00077858" w:rsidRDefault="00077858" w:rsidP="00077858">
            <w:pPr>
              <w:rPr>
                <w:rFonts w:ascii="Arial Narrow" w:hAnsi="Arial Narrow" w:cs="Arial"/>
                <w:sz w:val="20"/>
                <w:szCs w:val="20"/>
              </w:rPr>
            </w:pPr>
          </w:p>
          <w:p w:rsidR="00077858" w:rsidRPr="00077858" w:rsidRDefault="00077858" w:rsidP="00077858">
            <w:pPr>
              <w:rPr>
                <w:rFonts w:ascii="Arial Narrow" w:hAnsi="Arial Narrow" w:cs="Arial"/>
                <w:sz w:val="20"/>
                <w:szCs w:val="20"/>
              </w:rPr>
            </w:pPr>
            <w:r w:rsidRPr="00077858">
              <w:rPr>
                <w:rFonts w:ascii="Arial Narrow" w:hAnsi="Arial Narrow" w:cs="Arial"/>
                <w:sz w:val="20"/>
                <w:szCs w:val="20"/>
              </w:rPr>
              <w:t>To be eligible for continued PBS-subsidised treatment with mannitol following 3 months of initial treatment:</w:t>
            </w:r>
          </w:p>
          <w:p w:rsidR="00077858" w:rsidRPr="00077858" w:rsidRDefault="00077858" w:rsidP="00077858">
            <w:pPr>
              <w:rPr>
                <w:rFonts w:ascii="Arial Narrow" w:hAnsi="Arial Narrow" w:cs="Arial"/>
                <w:sz w:val="20"/>
                <w:szCs w:val="20"/>
              </w:rPr>
            </w:pPr>
          </w:p>
          <w:p w:rsidR="00077858" w:rsidRPr="00077858" w:rsidRDefault="00077858" w:rsidP="00077858">
            <w:pPr>
              <w:rPr>
                <w:rFonts w:ascii="Arial Narrow" w:hAnsi="Arial Narrow" w:cs="Arial"/>
                <w:sz w:val="20"/>
                <w:szCs w:val="20"/>
              </w:rPr>
            </w:pPr>
            <w:r w:rsidRPr="00077858">
              <w:rPr>
                <w:rFonts w:ascii="Arial Narrow" w:hAnsi="Arial Narrow" w:cs="Arial"/>
                <w:sz w:val="20"/>
                <w:szCs w:val="20"/>
              </w:rPr>
              <w:t>(1) the patient must demonstrate no deterioration in FEV1 compared to baseline; AND</w:t>
            </w:r>
          </w:p>
          <w:p w:rsidR="00077858" w:rsidRPr="00077858" w:rsidRDefault="00077858" w:rsidP="00077858">
            <w:pPr>
              <w:rPr>
                <w:rFonts w:ascii="Arial Narrow" w:hAnsi="Arial Narrow" w:cs="Arial"/>
                <w:sz w:val="20"/>
                <w:szCs w:val="20"/>
              </w:rPr>
            </w:pPr>
          </w:p>
          <w:p w:rsidR="00077858" w:rsidRPr="00077858" w:rsidRDefault="00077858" w:rsidP="00077858">
            <w:pPr>
              <w:rPr>
                <w:rFonts w:ascii="Arial Narrow" w:hAnsi="Arial Narrow" w:cs="Arial"/>
                <w:sz w:val="20"/>
                <w:szCs w:val="20"/>
              </w:rPr>
            </w:pPr>
            <w:r w:rsidRPr="00077858">
              <w:rPr>
                <w:rFonts w:ascii="Arial Narrow" w:hAnsi="Arial Narrow" w:cs="Arial"/>
                <w:sz w:val="20"/>
                <w:szCs w:val="20"/>
              </w:rPr>
              <w:t xml:space="preserve">(2) the patient or the patient's family (in the case of paediatric patients) must report improvement in the patient's airway clearance; AND </w:t>
            </w:r>
          </w:p>
          <w:p w:rsidR="00077858" w:rsidRPr="00077858" w:rsidRDefault="00077858" w:rsidP="00077858">
            <w:pPr>
              <w:rPr>
                <w:rFonts w:ascii="Arial Narrow" w:hAnsi="Arial Narrow" w:cs="Arial"/>
                <w:sz w:val="20"/>
                <w:szCs w:val="20"/>
              </w:rPr>
            </w:pPr>
          </w:p>
          <w:p w:rsidR="00077858" w:rsidRPr="00077858" w:rsidRDefault="00077858" w:rsidP="00077858">
            <w:pPr>
              <w:rPr>
                <w:rFonts w:ascii="Arial Narrow" w:hAnsi="Arial Narrow" w:cs="Arial"/>
                <w:sz w:val="20"/>
                <w:szCs w:val="20"/>
              </w:rPr>
            </w:pPr>
            <w:r w:rsidRPr="00077858">
              <w:rPr>
                <w:rFonts w:ascii="Arial Narrow" w:hAnsi="Arial Narrow" w:cs="Arial"/>
                <w:sz w:val="20"/>
                <w:szCs w:val="20"/>
              </w:rPr>
              <w:t xml:space="preserve">(3) </w:t>
            </w:r>
            <w:proofErr w:type="gramStart"/>
            <w:r w:rsidRPr="00077858">
              <w:rPr>
                <w:rFonts w:ascii="Arial Narrow" w:hAnsi="Arial Narrow" w:cs="Arial"/>
                <w:sz w:val="20"/>
                <w:szCs w:val="20"/>
              </w:rPr>
              <w:t>the</w:t>
            </w:r>
            <w:proofErr w:type="gramEnd"/>
            <w:r w:rsidRPr="00077858">
              <w:rPr>
                <w:rFonts w:ascii="Arial Narrow" w:hAnsi="Arial Narrow" w:cs="Arial"/>
                <w:sz w:val="20"/>
                <w:szCs w:val="20"/>
              </w:rPr>
              <w:t xml:space="preserve"> treating physician(s) must report a benefit in the clinical status of the patient.</w:t>
            </w:r>
          </w:p>
          <w:p w:rsidR="00077858" w:rsidRPr="00077858" w:rsidRDefault="00077858" w:rsidP="00077858">
            <w:pPr>
              <w:rPr>
                <w:rFonts w:ascii="Arial Narrow" w:hAnsi="Arial Narrow" w:cs="Arial"/>
                <w:sz w:val="20"/>
                <w:szCs w:val="20"/>
              </w:rPr>
            </w:pPr>
          </w:p>
          <w:p w:rsidR="00077858" w:rsidRPr="00077858" w:rsidRDefault="00077858" w:rsidP="00077858">
            <w:pPr>
              <w:rPr>
                <w:rFonts w:ascii="Arial Narrow" w:hAnsi="Arial Narrow" w:cs="Arial"/>
                <w:sz w:val="20"/>
                <w:szCs w:val="20"/>
              </w:rPr>
            </w:pPr>
            <w:r w:rsidRPr="00077858">
              <w:rPr>
                <w:rFonts w:ascii="Arial Narrow" w:hAnsi="Arial Narrow" w:cs="Arial"/>
                <w:sz w:val="20"/>
                <w:szCs w:val="20"/>
              </w:rPr>
              <w:t xml:space="preserve">Further reassessments involving the patient, the patient's family (in the case of paediatric patients), the treating physician(s) and an additional independent member of the cystic fibrosis treatment team must be undertaken and documented at six-monthly intervals to establish that all agree that mannitol treatment is continuing to produce worthwhile benefits. Mannitol therapy should cease if there is not general agreement of benefit as there is always the possibility of harm from unnecessary use. </w:t>
            </w:r>
          </w:p>
          <w:p w:rsidR="00077858" w:rsidRPr="00077858" w:rsidRDefault="00077858" w:rsidP="00077858">
            <w:pPr>
              <w:rPr>
                <w:rFonts w:ascii="Arial Narrow" w:hAnsi="Arial Narrow" w:cs="Arial"/>
                <w:sz w:val="20"/>
                <w:szCs w:val="20"/>
              </w:rPr>
            </w:pPr>
          </w:p>
          <w:p w:rsidR="00077858" w:rsidRPr="00077858" w:rsidRDefault="00077858" w:rsidP="00077858">
            <w:pPr>
              <w:rPr>
                <w:rFonts w:ascii="Arial Narrow" w:hAnsi="Arial Narrow" w:cs="Arial"/>
                <w:sz w:val="20"/>
                <w:szCs w:val="20"/>
              </w:rPr>
            </w:pPr>
            <w:r w:rsidRPr="00077858">
              <w:rPr>
                <w:rFonts w:ascii="Arial Narrow" w:hAnsi="Arial Narrow" w:cs="Arial"/>
                <w:sz w:val="20"/>
                <w:szCs w:val="20"/>
              </w:rPr>
              <w:t>Other aspects of treatment, such as physiotherapy, must be continued.</w:t>
            </w:r>
          </w:p>
          <w:p w:rsidR="00077858" w:rsidRPr="00077858" w:rsidRDefault="00077858" w:rsidP="00077858">
            <w:pPr>
              <w:rPr>
                <w:rFonts w:ascii="Arial Narrow" w:hAnsi="Arial Narrow" w:cs="Arial"/>
                <w:sz w:val="20"/>
                <w:szCs w:val="20"/>
              </w:rPr>
            </w:pPr>
          </w:p>
          <w:p w:rsidR="00826F6D" w:rsidRPr="00260CE3" w:rsidRDefault="00077858" w:rsidP="00077858">
            <w:pPr>
              <w:rPr>
                <w:rFonts w:ascii="Arial Narrow" w:hAnsi="Arial Narrow" w:cs="Arial"/>
                <w:sz w:val="20"/>
                <w:szCs w:val="20"/>
              </w:rPr>
            </w:pPr>
            <w:r w:rsidRPr="00077858">
              <w:rPr>
                <w:rFonts w:ascii="Arial Narrow" w:hAnsi="Arial Narrow" w:cs="Arial"/>
                <w:sz w:val="20"/>
                <w:szCs w:val="20"/>
              </w:rPr>
              <w:t>Where there is documented evidence that a patient already receiving mannitol therapy would have met the criteria for subsidy then the patient is eligible to continue treatment under the HSD program. Where such evidence is not available, patients will need to satisfy the initiation and continuation criteria as for new patients. (Four weeks is considered a suitable wash-out period.)</w:t>
            </w:r>
          </w:p>
        </w:tc>
      </w:tr>
      <w:tr w:rsidR="00077858"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077858" w:rsidRPr="00FD03EE" w:rsidRDefault="00077858" w:rsidP="00DC68E2">
            <w:pPr>
              <w:jc w:val="both"/>
              <w:rPr>
                <w:rFonts w:ascii="Arial Narrow" w:hAnsi="Arial Narrow" w:cs="Arial"/>
                <w:b/>
                <w:sz w:val="20"/>
                <w:szCs w:val="20"/>
              </w:rPr>
            </w:pPr>
            <w:r w:rsidRPr="00260CE3">
              <w:rPr>
                <w:rFonts w:ascii="Arial Narrow" w:hAnsi="Arial Narrow" w:cs="Arial"/>
                <w:b/>
                <w:sz w:val="20"/>
                <w:szCs w:val="20"/>
              </w:rPr>
              <w:lastRenderedPageBreak/>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077858" w:rsidRPr="009E60C5" w:rsidRDefault="00077858" w:rsidP="00077858">
            <w:pPr>
              <w:rPr>
                <w:rFonts w:ascii="Arial Narrow" w:hAnsi="Arial Narrow" w:cs="Arial"/>
                <w:strike/>
                <w:sz w:val="20"/>
                <w:szCs w:val="20"/>
              </w:rPr>
            </w:pPr>
            <w:r w:rsidRPr="009E60C5">
              <w:rPr>
                <w:rFonts w:ascii="Arial Narrow" w:hAnsi="Arial Narrow" w:cs="Arial"/>
                <w:strike/>
                <w:sz w:val="20"/>
                <w:szCs w:val="20"/>
              </w:rPr>
              <w:t>Patient must have initiated treatment with mannitol prior to 1 August 2012,</w:t>
            </w:r>
          </w:p>
          <w:p w:rsidR="00077858" w:rsidRPr="009E60C5" w:rsidRDefault="00077858" w:rsidP="00077858">
            <w:pPr>
              <w:rPr>
                <w:rFonts w:ascii="Arial Narrow" w:hAnsi="Arial Narrow" w:cs="Arial"/>
                <w:strike/>
                <w:sz w:val="20"/>
                <w:szCs w:val="20"/>
              </w:rPr>
            </w:pPr>
          </w:p>
          <w:p w:rsidR="00077858" w:rsidRPr="009E60C5" w:rsidRDefault="00077858" w:rsidP="00077858">
            <w:pPr>
              <w:rPr>
                <w:rFonts w:ascii="Arial Narrow" w:hAnsi="Arial Narrow" w:cs="Arial"/>
                <w:strike/>
                <w:sz w:val="20"/>
                <w:szCs w:val="20"/>
              </w:rPr>
            </w:pPr>
            <w:r w:rsidRPr="009E60C5">
              <w:rPr>
                <w:rFonts w:ascii="Arial Narrow" w:hAnsi="Arial Narrow" w:cs="Arial"/>
                <w:strike/>
                <w:sz w:val="20"/>
                <w:szCs w:val="20"/>
              </w:rPr>
              <w:t>AND</w:t>
            </w:r>
          </w:p>
          <w:p w:rsidR="00077858" w:rsidRPr="009E60C5" w:rsidRDefault="00077858" w:rsidP="00077858">
            <w:pPr>
              <w:rPr>
                <w:rFonts w:ascii="Arial Narrow" w:hAnsi="Arial Narrow" w:cs="Arial"/>
                <w:strike/>
                <w:sz w:val="20"/>
                <w:szCs w:val="20"/>
              </w:rPr>
            </w:pPr>
          </w:p>
          <w:p w:rsidR="00077858" w:rsidRPr="00077858" w:rsidRDefault="00077858" w:rsidP="00077858">
            <w:pPr>
              <w:rPr>
                <w:rFonts w:ascii="Arial Narrow" w:hAnsi="Arial Narrow" w:cs="Arial"/>
                <w:sz w:val="20"/>
                <w:szCs w:val="20"/>
              </w:rPr>
            </w:pPr>
            <w:r w:rsidRPr="009E60C5">
              <w:rPr>
                <w:rFonts w:ascii="Arial Narrow" w:hAnsi="Arial Narrow" w:cs="Arial"/>
                <w:strike/>
                <w:sz w:val="20"/>
                <w:szCs w:val="20"/>
              </w:rPr>
              <w:t>Patient must have undergone a comprehensive assessment involving the patient's family, the treating physician and an additional independent member of the cystic fibrosis team, which documents agreement that mannitol treatment is continuing to produce a worthwhile benefit.</w:t>
            </w:r>
          </w:p>
        </w:tc>
      </w:tr>
      <w:tr w:rsidR="00077858"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077858" w:rsidRPr="00260CE3" w:rsidRDefault="00077858" w:rsidP="00FD03EE">
            <w:pPr>
              <w:jc w:val="both"/>
              <w:rPr>
                <w:rFonts w:ascii="Arial Narrow" w:hAnsi="Arial Narrow" w:cs="Arial"/>
                <w:b/>
                <w:sz w:val="20"/>
                <w:szCs w:val="20"/>
              </w:rPr>
            </w:pPr>
            <w:r w:rsidRPr="00260CE3">
              <w:rPr>
                <w:rFonts w:ascii="Arial Narrow" w:hAnsi="Arial Narrow" w:cs="Arial"/>
                <w:b/>
                <w:sz w:val="20"/>
                <w:szCs w:val="20"/>
              </w:rPr>
              <w:t>Population criteria:</w:t>
            </w:r>
          </w:p>
        </w:tc>
        <w:tc>
          <w:tcPr>
            <w:tcW w:w="6378" w:type="dxa"/>
            <w:gridSpan w:val="6"/>
            <w:tcBorders>
              <w:top w:val="single" w:sz="4" w:space="0" w:color="auto"/>
              <w:left w:val="single" w:sz="4" w:space="0" w:color="auto"/>
              <w:bottom w:val="single" w:sz="4" w:space="0" w:color="auto"/>
              <w:right w:val="single" w:sz="4" w:space="0" w:color="auto"/>
            </w:tcBorders>
          </w:tcPr>
          <w:p w:rsidR="00077858" w:rsidRPr="009E60C5" w:rsidRDefault="00077858" w:rsidP="00077858">
            <w:pPr>
              <w:rPr>
                <w:rFonts w:ascii="Arial Narrow" w:hAnsi="Arial Narrow" w:cs="Arial"/>
                <w:strike/>
                <w:sz w:val="20"/>
                <w:szCs w:val="20"/>
              </w:rPr>
            </w:pPr>
            <w:r w:rsidRPr="009E60C5">
              <w:rPr>
                <w:rFonts w:ascii="Arial Narrow" w:hAnsi="Arial Narrow" w:cs="Arial"/>
                <w:strike/>
                <w:sz w:val="20"/>
                <w:szCs w:val="20"/>
              </w:rPr>
              <w:t>Patient must be 6 years of age or older.</w:t>
            </w:r>
          </w:p>
          <w:p w:rsidR="00077858" w:rsidRPr="009E60C5" w:rsidRDefault="00077858" w:rsidP="00077858">
            <w:pPr>
              <w:rPr>
                <w:rFonts w:ascii="Arial Narrow" w:hAnsi="Arial Narrow" w:cs="Arial"/>
                <w:strike/>
                <w:sz w:val="20"/>
                <w:szCs w:val="20"/>
              </w:rPr>
            </w:pPr>
          </w:p>
          <w:p w:rsidR="00077858" w:rsidRPr="00077858" w:rsidRDefault="00077858" w:rsidP="00077858">
            <w:pPr>
              <w:rPr>
                <w:rFonts w:ascii="Arial Narrow" w:hAnsi="Arial Narrow" w:cs="Arial"/>
                <w:sz w:val="20"/>
                <w:szCs w:val="20"/>
              </w:rPr>
            </w:pPr>
            <w:r w:rsidRPr="009E60C5">
              <w:rPr>
                <w:rFonts w:ascii="Arial Narrow" w:hAnsi="Arial Narrow" w:cs="Arial"/>
                <w:strike/>
                <w:sz w:val="20"/>
                <w:szCs w:val="20"/>
              </w:rPr>
              <w:t>Further reassessments are to be undertaken and documented every 6 months. Treatment with mannitol should cease if there is not agreement of benefit as there is always the possibility of harm from unnecessary use.</w:t>
            </w:r>
          </w:p>
        </w:tc>
      </w:tr>
      <w:tr w:rsidR="00077858"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077858" w:rsidRPr="00FD03EE" w:rsidRDefault="00077858" w:rsidP="00FD03EE">
            <w:pPr>
              <w:jc w:val="both"/>
              <w:rPr>
                <w:rFonts w:ascii="Arial Narrow" w:hAnsi="Arial Narrow" w:cs="Arial"/>
                <w:b/>
                <w:sz w:val="20"/>
                <w:szCs w:val="20"/>
              </w:rPr>
            </w:pPr>
            <w:r w:rsidRPr="00260CE3">
              <w:rPr>
                <w:rFonts w:ascii="Arial Narrow" w:hAnsi="Arial Narrow" w:cs="Arial"/>
                <w:b/>
                <w:sz w:val="20"/>
                <w:szCs w:val="20"/>
              </w:rPr>
              <w:t>Prescriber Instructions</w:t>
            </w:r>
          </w:p>
        </w:tc>
        <w:tc>
          <w:tcPr>
            <w:tcW w:w="6378" w:type="dxa"/>
            <w:gridSpan w:val="6"/>
            <w:tcBorders>
              <w:top w:val="single" w:sz="4" w:space="0" w:color="auto"/>
              <w:left w:val="single" w:sz="4" w:space="0" w:color="auto"/>
              <w:bottom w:val="single" w:sz="4" w:space="0" w:color="auto"/>
              <w:right w:val="single" w:sz="4" w:space="0" w:color="auto"/>
            </w:tcBorders>
          </w:tcPr>
          <w:p w:rsidR="002C0A12" w:rsidRPr="002C0A12" w:rsidRDefault="002C0A12" w:rsidP="00077858">
            <w:pPr>
              <w:rPr>
                <w:rFonts w:ascii="Arial Narrow" w:hAnsi="Arial Narrow" w:cs="Arial"/>
                <w:b/>
                <w:sz w:val="20"/>
                <w:szCs w:val="20"/>
                <w:u w:val="single"/>
              </w:rPr>
            </w:pPr>
            <w:r w:rsidRPr="00077858">
              <w:rPr>
                <w:rFonts w:ascii="Arial Narrow" w:hAnsi="Arial Narrow" w:cs="Arial"/>
                <w:b/>
                <w:sz w:val="20"/>
                <w:szCs w:val="20"/>
                <w:u w:val="single"/>
              </w:rPr>
              <w:t>Note</w:t>
            </w:r>
          </w:p>
          <w:p w:rsidR="00077858" w:rsidRDefault="00077858" w:rsidP="00077858">
            <w:pPr>
              <w:rPr>
                <w:rFonts w:ascii="Arial Narrow" w:hAnsi="Arial Narrow" w:cs="Arial"/>
                <w:sz w:val="20"/>
                <w:szCs w:val="20"/>
              </w:rPr>
            </w:pPr>
            <w:r w:rsidRPr="00077858">
              <w:rPr>
                <w:rFonts w:ascii="Arial Narrow" w:hAnsi="Arial Narrow" w:cs="Arial"/>
                <w:sz w:val="20"/>
                <w:szCs w:val="20"/>
              </w:rPr>
              <w:t>It is highly desirable that all patients be included in the national cystic fibrosis patient database.</w:t>
            </w:r>
          </w:p>
          <w:p w:rsidR="00077858" w:rsidRPr="00077858" w:rsidRDefault="00077858" w:rsidP="00077858">
            <w:pPr>
              <w:rPr>
                <w:rFonts w:ascii="Arial Narrow" w:hAnsi="Arial Narrow" w:cs="Arial"/>
                <w:sz w:val="20"/>
                <w:szCs w:val="20"/>
              </w:rPr>
            </w:pPr>
          </w:p>
          <w:p w:rsidR="00077858" w:rsidRPr="002C0A12" w:rsidRDefault="00077858" w:rsidP="00077858">
            <w:pPr>
              <w:rPr>
                <w:rFonts w:ascii="Arial Narrow" w:hAnsi="Arial Narrow" w:cs="Arial"/>
                <w:b/>
                <w:strike/>
                <w:sz w:val="20"/>
                <w:szCs w:val="20"/>
                <w:u w:val="single"/>
              </w:rPr>
            </w:pPr>
            <w:r w:rsidRPr="002C0A12">
              <w:rPr>
                <w:rFonts w:ascii="Arial Narrow" w:hAnsi="Arial Narrow" w:cs="Arial"/>
                <w:b/>
                <w:strike/>
                <w:sz w:val="20"/>
                <w:szCs w:val="20"/>
                <w:u w:val="single"/>
              </w:rPr>
              <w:t>Note</w:t>
            </w:r>
          </w:p>
          <w:p w:rsidR="00077858" w:rsidRPr="009E60C5" w:rsidRDefault="00077858" w:rsidP="00077858">
            <w:pPr>
              <w:rPr>
                <w:rFonts w:ascii="Arial Narrow" w:hAnsi="Arial Narrow" w:cs="Arial"/>
                <w:strike/>
                <w:sz w:val="20"/>
                <w:szCs w:val="20"/>
              </w:rPr>
            </w:pPr>
            <w:r w:rsidRPr="009E60C5">
              <w:rPr>
                <w:rFonts w:ascii="Arial Narrow" w:hAnsi="Arial Narrow" w:cs="Arial"/>
                <w:strike/>
                <w:sz w:val="20"/>
                <w:szCs w:val="20"/>
              </w:rPr>
              <w:t xml:space="preserve">Mannitol is not PBS-subsidised for use in combination with PBS-subsidised </w:t>
            </w:r>
            <w:proofErr w:type="spellStart"/>
            <w:r w:rsidRPr="009E60C5">
              <w:rPr>
                <w:rFonts w:ascii="Arial Narrow" w:hAnsi="Arial Narrow" w:cs="Arial"/>
                <w:strike/>
                <w:sz w:val="20"/>
                <w:szCs w:val="20"/>
              </w:rPr>
              <w:t>dornase</w:t>
            </w:r>
            <w:proofErr w:type="spellEnd"/>
            <w:r w:rsidRPr="009E60C5">
              <w:rPr>
                <w:rFonts w:ascii="Arial Narrow" w:hAnsi="Arial Narrow" w:cs="Arial"/>
                <w:strike/>
                <w:sz w:val="20"/>
                <w:szCs w:val="20"/>
              </w:rPr>
              <w:t xml:space="preserve"> </w:t>
            </w:r>
            <w:proofErr w:type="spellStart"/>
            <w:r w:rsidRPr="009E60C5">
              <w:rPr>
                <w:rFonts w:ascii="Arial Narrow" w:hAnsi="Arial Narrow" w:cs="Arial"/>
                <w:strike/>
                <w:sz w:val="20"/>
                <w:szCs w:val="20"/>
              </w:rPr>
              <w:t>alfa</w:t>
            </w:r>
            <w:proofErr w:type="spellEnd"/>
            <w:r w:rsidRPr="009E60C5">
              <w:rPr>
                <w:rFonts w:ascii="Arial Narrow" w:hAnsi="Arial Narrow" w:cs="Arial"/>
                <w:strike/>
                <w:sz w:val="20"/>
                <w:szCs w:val="20"/>
              </w:rPr>
              <w:t>.</w:t>
            </w:r>
          </w:p>
        </w:tc>
      </w:tr>
    </w:tbl>
    <w:p w:rsidR="00826F6D" w:rsidRDefault="00826F6D" w:rsidP="00826F6D">
      <w:pPr>
        <w:pStyle w:val="ListParagraph"/>
        <w:jc w:val="both"/>
        <w:rPr>
          <w:rFonts w:ascii="Arial" w:hAnsi="Arial"/>
          <w:sz w:val="22"/>
          <w:szCs w:val="22"/>
        </w:rPr>
      </w:pPr>
    </w:p>
    <w:p w:rsidR="003A3DF6" w:rsidRPr="00DD6F41" w:rsidRDefault="003A3DF6" w:rsidP="00DD6F41">
      <w:pPr>
        <w:jc w:val="both"/>
        <w:rPr>
          <w:rFonts w:ascii="Arial" w:hAnsi="Arial"/>
          <w:b/>
          <w:i/>
          <w:sz w:val="22"/>
          <w:szCs w:val="22"/>
        </w:rPr>
      </w:pPr>
      <w:r w:rsidRPr="00DD6F41">
        <w:rPr>
          <w:rFonts w:ascii="Arial" w:hAnsi="Arial"/>
          <w:b/>
          <w:i/>
          <w:sz w:val="22"/>
          <w:szCs w:val="22"/>
        </w:rPr>
        <w:t xml:space="preserve">Secretariat comments </w:t>
      </w:r>
    </w:p>
    <w:p w:rsidR="00F62B72" w:rsidRPr="008A0AEC" w:rsidRDefault="00F62B72" w:rsidP="008A0AEC">
      <w:pPr>
        <w:jc w:val="both"/>
        <w:rPr>
          <w:rFonts w:ascii="Arial" w:hAnsi="Arial"/>
          <w:i/>
          <w:sz w:val="22"/>
          <w:szCs w:val="22"/>
        </w:rPr>
      </w:pPr>
    </w:p>
    <w:p w:rsidR="00F62B72" w:rsidRPr="00412C7D" w:rsidRDefault="00F62B72" w:rsidP="00F41DF8">
      <w:pPr>
        <w:pStyle w:val="ListParagraph"/>
        <w:numPr>
          <w:ilvl w:val="1"/>
          <w:numId w:val="1"/>
        </w:numPr>
        <w:jc w:val="both"/>
        <w:rPr>
          <w:rFonts w:ascii="Arial" w:hAnsi="Arial"/>
          <w:sz w:val="22"/>
          <w:szCs w:val="22"/>
        </w:rPr>
      </w:pPr>
      <w:r w:rsidRPr="00412C7D">
        <w:rPr>
          <w:rFonts w:ascii="Arial" w:hAnsi="Arial"/>
          <w:sz w:val="22"/>
          <w:szCs w:val="22"/>
        </w:rPr>
        <w:t xml:space="preserve">The submission stated that </w:t>
      </w:r>
      <w:r w:rsidR="00052483" w:rsidRPr="00412C7D">
        <w:rPr>
          <w:rFonts w:ascii="Arial" w:hAnsi="Arial"/>
          <w:sz w:val="22"/>
          <w:szCs w:val="22"/>
        </w:rPr>
        <w:t xml:space="preserve">the </w:t>
      </w:r>
      <w:r w:rsidRPr="00412C7D">
        <w:rPr>
          <w:rFonts w:ascii="Arial" w:hAnsi="Arial"/>
          <w:sz w:val="22"/>
          <w:szCs w:val="22"/>
        </w:rPr>
        <w:t>proposed changes have the full support of the Cystic Fibrosis Australia Centre Directors and the Cystic Fibrosis Special Interest Group of the Thoracic Society of Australia and New Zealand (TSANZ)</w:t>
      </w:r>
      <w:r w:rsidR="007F1EC2" w:rsidRPr="00412C7D">
        <w:rPr>
          <w:rFonts w:ascii="Arial" w:hAnsi="Arial"/>
          <w:sz w:val="22"/>
          <w:szCs w:val="22"/>
        </w:rPr>
        <w:t>.</w:t>
      </w:r>
    </w:p>
    <w:p w:rsidR="00F62B72" w:rsidRPr="00412C7D" w:rsidRDefault="00F62B72" w:rsidP="00F62B72">
      <w:pPr>
        <w:pStyle w:val="ListParagraph"/>
        <w:jc w:val="both"/>
        <w:rPr>
          <w:rFonts w:ascii="Arial" w:hAnsi="Arial"/>
          <w:i/>
          <w:sz w:val="22"/>
          <w:szCs w:val="22"/>
        </w:rPr>
      </w:pPr>
    </w:p>
    <w:p w:rsidR="00055DFB" w:rsidRPr="00467F3A" w:rsidRDefault="009E60C5" w:rsidP="00F41DF8">
      <w:pPr>
        <w:pStyle w:val="ListParagraph"/>
        <w:numPr>
          <w:ilvl w:val="1"/>
          <w:numId w:val="1"/>
        </w:numPr>
        <w:jc w:val="both"/>
        <w:rPr>
          <w:rFonts w:ascii="Arial" w:hAnsi="Arial"/>
          <w:sz w:val="22"/>
          <w:szCs w:val="22"/>
        </w:rPr>
      </w:pPr>
      <w:r w:rsidRPr="00412C7D">
        <w:rPr>
          <w:rFonts w:ascii="Arial" w:hAnsi="Arial"/>
          <w:sz w:val="22"/>
          <w:szCs w:val="22"/>
        </w:rPr>
        <w:t xml:space="preserve">The submission requested removal of the </w:t>
      </w:r>
      <w:r w:rsidR="002A2C62" w:rsidRPr="00412C7D">
        <w:rPr>
          <w:rFonts w:ascii="Arial" w:hAnsi="Arial"/>
          <w:sz w:val="22"/>
          <w:szCs w:val="22"/>
        </w:rPr>
        <w:t>criterion</w:t>
      </w:r>
      <w:r w:rsidRPr="00412C7D">
        <w:rPr>
          <w:rFonts w:ascii="Arial" w:hAnsi="Arial"/>
          <w:sz w:val="22"/>
          <w:szCs w:val="22"/>
        </w:rPr>
        <w:t xml:space="preserve"> limiting treatment to </w:t>
      </w:r>
      <w:r w:rsidR="00251281" w:rsidRPr="00412C7D">
        <w:rPr>
          <w:rFonts w:ascii="Arial" w:hAnsi="Arial"/>
          <w:sz w:val="22"/>
          <w:szCs w:val="22"/>
        </w:rPr>
        <w:t>patients with FEV</w:t>
      </w:r>
      <w:r w:rsidR="00251281" w:rsidRPr="00412C7D">
        <w:rPr>
          <w:rFonts w:ascii="Arial" w:hAnsi="Arial"/>
          <w:sz w:val="22"/>
          <w:szCs w:val="22"/>
          <w:vertAlign w:val="subscript"/>
        </w:rPr>
        <w:t>1</w:t>
      </w:r>
      <w:r w:rsidR="00251281" w:rsidRPr="00412C7D">
        <w:rPr>
          <w:rFonts w:ascii="Arial" w:hAnsi="Arial"/>
          <w:sz w:val="22"/>
          <w:szCs w:val="22"/>
        </w:rPr>
        <w:t xml:space="preserve"> greater than 30% of predicte</w:t>
      </w:r>
      <w:r w:rsidR="00946D6D" w:rsidRPr="00412C7D">
        <w:rPr>
          <w:rFonts w:ascii="Arial" w:hAnsi="Arial"/>
          <w:sz w:val="22"/>
          <w:szCs w:val="22"/>
        </w:rPr>
        <w:t xml:space="preserve">d for age, gender and height. The submission </w:t>
      </w:r>
      <w:r w:rsidR="008C643B" w:rsidRPr="00412C7D">
        <w:rPr>
          <w:rFonts w:ascii="Arial" w:hAnsi="Arial"/>
          <w:sz w:val="22"/>
          <w:szCs w:val="22"/>
        </w:rPr>
        <w:t>argued</w:t>
      </w:r>
      <w:r w:rsidR="00946D6D" w:rsidRPr="00412C7D">
        <w:rPr>
          <w:rFonts w:ascii="Arial" w:hAnsi="Arial"/>
          <w:sz w:val="22"/>
          <w:szCs w:val="22"/>
        </w:rPr>
        <w:t xml:space="preserve"> that this cr</w:t>
      </w:r>
      <w:r w:rsidR="003E4D1B" w:rsidRPr="00412C7D">
        <w:rPr>
          <w:rFonts w:ascii="Arial" w:hAnsi="Arial"/>
          <w:sz w:val="22"/>
          <w:szCs w:val="22"/>
        </w:rPr>
        <w:t xml:space="preserve">iterion is redundant as </w:t>
      </w:r>
      <w:r w:rsidR="008C643B" w:rsidRPr="00412C7D">
        <w:rPr>
          <w:rFonts w:ascii="Arial" w:hAnsi="Arial"/>
          <w:sz w:val="22"/>
          <w:szCs w:val="22"/>
        </w:rPr>
        <w:t>the current TGA</w:t>
      </w:r>
      <w:r w:rsidR="003E4D1B" w:rsidRPr="00412C7D">
        <w:rPr>
          <w:rFonts w:ascii="Arial" w:hAnsi="Arial"/>
          <w:sz w:val="22"/>
          <w:szCs w:val="22"/>
        </w:rPr>
        <w:t xml:space="preserve">-approved </w:t>
      </w:r>
      <w:r w:rsidR="00676C93" w:rsidRPr="00412C7D">
        <w:rPr>
          <w:rFonts w:ascii="Arial" w:hAnsi="Arial"/>
          <w:sz w:val="22"/>
          <w:szCs w:val="22"/>
        </w:rPr>
        <w:t>product information</w:t>
      </w:r>
      <w:r w:rsidR="003E4D1B" w:rsidRPr="00412C7D">
        <w:rPr>
          <w:rFonts w:ascii="Arial" w:hAnsi="Arial"/>
          <w:sz w:val="22"/>
          <w:szCs w:val="22"/>
        </w:rPr>
        <w:t xml:space="preserve"> </w:t>
      </w:r>
      <w:r w:rsidR="007B3832" w:rsidRPr="00412C7D">
        <w:rPr>
          <w:rFonts w:ascii="Arial" w:hAnsi="Arial"/>
          <w:sz w:val="22"/>
          <w:szCs w:val="22"/>
        </w:rPr>
        <w:t xml:space="preserve">already </w:t>
      </w:r>
      <w:r w:rsidR="00676C93" w:rsidRPr="00412C7D">
        <w:rPr>
          <w:rFonts w:ascii="Arial" w:hAnsi="Arial"/>
          <w:sz w:val="22"/>
          <w:szCs w:val="22"/>
        </w:rPr>
        <w:t>warns</w:t>
      </w:r>
      <w:r w:rsidR="003E4D1B" w:rsidRPr="00412C7D">
        <w:rPr>
          <w:rFonts w:ascii="Arial" w:hAnsi="Arial"/>
          <w:sz w:val="22"/>
          <w:szCs w:val="22"/>
        </w:rPr>
        <w:t xml:space="preserve"> </w:t>
      </w:r>
      <w:r w:rsidR="00676C93" w:rsidRPr="00412C7D">
        <w:rPr>
          <w:rFonts w:ascii="Arial" w:hAnsi="Arial"/>
          <w:sz w:val="22"/>
          <w:szCs w:val="22"/>
        </w:rPr>
        <w:t>against using DPI mannitol in</w:t>
      </w:r>
      <w:r w:rsidR="003E4D1B" w:rsidRPr="00412C7D">
        <w:rPr>
          <w:rFonts w:ascii="Arial" w:hAnsi="Arial"/>
          <w:sz w:val="22"/>
          <w:szCs w:val="22"/>
        </w:rPr>
        <w:t xml:space="preserve"> patients</w:t>
      </w:r>
      <w:r w:rsidR="008C643B" w:rsidRPr="00412C7D">
        <w:rPr>
          <w:rFonts w:ascii="Arial" w:hAnsi="Arial"/>
          <w:sz w:val="22"/>
          <w:szCs w:val="22"/>
        </w:rPr>
        <w:t xml:space="preserve"> </w:t>
      </w:r>
      <w:r w:rsidR="00162308" w:rsidRPr="00412C7D">
        <w:rPr>
          <w:rFonts w:ascii="Arial" w:hAnsi="Arial"/>
          <w:sz w:val="22"/>
          <w:szCs w:val="22"/>
        </w:rPr>
        <w:t xml:space="preserve">with </w:t>
      </w:r>
      <w:r w:rsidR="00E25F55" w:rsidRPr="00412C7D">
        <w:rPr>
          <w:rFonts w:ascii="Arial" w:hAnsi="Arial"/>
          <w:sz w:val="22"/>
          <w:szCs w:val="22"/>
        </w:rPr>
        <w:t xml:space="preserve">severely </w:t>
      </w:r>
      <w:r w:rsidR="00162308" w:rsidRPr="00412C7D">
        <w:rPr>
          <w:rFonts w:ascii="Arial" w:hAnsi="Arial"/>
          <w:sz w:val="22"/>
          <w:szCs w:val="22"/>
        </w:rPr>
        <w:t>imp</w:t>
      </w:r>
      <w:r w:rsidR="00162308" w:rsidRPr="00467F3A">
        <w:rPr>
          <w:rFonts w:ascii="Arial" w:hAnsi="Arial"/>
          <w:sz w:val="22"/>
          <w:szCs w:val="22"/>
        </w:rPr>
        <w:t>aired lung function (</w:t>
      </w:r>
      <w:r w:rsidR="002B72E0" w:rsidRPr="00467F3A">
        <w:rPr>
          <w:rFonts w:ascii="Arial" w:hAnsi="Arial"/>
          <w:sz w:val="22"/>
          <w:szCs w:val="22"/>
        </w:rPr>
        <w:t>FEV</w:t>
      </w:r>
      <w:r w:rsidR="002B72E0" w:rsidRPr="00467F3A">
        <w:rPr>
          <w:rFonts w:ascii="Arial" w:hAnsi="Arial"/>
          <w:sz w:val="22"/>
          <w:szCs w:val="22"/>
          <w:vertAlign w:val="subscript"/>
        </w:rPr>
        <w:t>1</w:t>
      </w:r>
      <w:r w:rsidR="00162308" w:rsidRPr="00467F3A">
        <w:rPr>
          <w:rFonts w:ascii="Arial" w:hAnsi="Arial"/>
          <w:sz w:val="22"/>
          <w:szCs w:val="22"/>
        </w:rPr>
        <w:t xml:space="preserve"> &lt; 30%)</w:t>
      </w:r>
      <w:r w:rsidR="00753E24" w:rsidRPr="00467F3A">
        <w:rPr>
          <w:rFonts w:ascii="Arial" w:hAnsi="Arial"/>
          <w:sz w:val="22"/>
          <w:szCs w:val="22"/>
        </w:rPr>
        <w:t xml:space="preserve"> due to a lack of clinical data</w:t>
      </w:r>
      <w:r w:rsidR="001B7C1F" w:rsidRPr="00467F3A">
        <w:rPr>
          <w:rFonts w:ascii="Arial" w:hAnsi="Arial"/>
          <w:sz w:val="22"/>
          <w:szCs w:val="22"/>
        </w:rPr>
        <w:t xml:space="preserve">. </w:t>
      </w:r>
      <w:r w:rsidR="002B72E0" w:rsidRPr="00467F3A">
        <w:rPr>
          <w:rFonts w:ascii="Arial" w:hAnsi="Arial"/>
          <w:sz w:val="22"/>
          <w:szCs w:val="22"/>
        </w:rPr>
        <w:t>The Pre-PBAC Response</w:t>
      </w:r>
      <w:r w:rsidR="00F41DF8" w:rsidRPr="00467F3A">
        <w:rPr>
          <w:rFonts w:ascii="Arial" w:hAnsi="Arial"/>
          <w:sz w:val="22"/>
          <w:szCs w:val="22"/>
        </w:rPr>
        <w:t xml:space="preserve"> stated</w:t>
      </w:r>
      <w:r w:rsidR="002B72E0" w:rsidRPr="00467F3A">
        <w:rPr>
          <w:rFonts w:ascii="Arial" w:hAnsi="Arial"/>
          <w:sz w:val="22"/>
          <w:szCs w:val="22"/>
        </w:rPr>
        <w:t xml:space="preserve"> that the sponsor supports the recommendations regarding restriction wording outlined by TSANZ, wherein the FEV</w:t>
      </w:r>
      <w:r w:rsidR="002B72E0" w:rsidRPr="00467F3A">
        <w:rPr>
          <w:rFonts w:ascii="Arial" w:hAnsi="Arial"/>
          <w:sz w:val="22"/>
          <w:szCs w:val="22"/>
          <w:vertAlign w:val="subscript"/>
        </w:rPr>
        <w:t xml:space="preserve">1 </w:t>
      </w:r>
      <w:r w:rsidR="002B72E0" w:rsidRPr="00467F3A">
        <w:rPr>
          <w:rFonts w:ascii="Arial" w:hAnsi="Arial"/>
          <w:sz w:val="22"/>
          <w:szCs w:val="22"/>
        </w:rPr>
        <w:t xml:space="preserve">criterion is retained within a simplified listing. </w:t>
      </w:r>
    </w:p>
    <w:p w:rsidR="009E60C5" w:rsidRPr="00467F3A" w:rsidRDefault="009E60C5" w:rsidP="009D15D1">
      <w:pPr>
        <w:pStyle w:val="ListParagraph"/>
        <w:jc w:val="both"/>
        <w:rPr>
          <w:rFonts w:ascii="Arial" w:hAnsi="Arial"/>
          <w:sz w:val="22"/>
          <w:szCs w:val="22"/>
        </w:rPr>
      </w:pPr>
    </w:p>
    <w:p w:rsidR="00F94FD6" w:rsidRPr="00467F3A" w:rsidRDefault="009E60C5" w:rsidP="00F41DF8">
      <w:pPr>
        <w:pStyle w:val="ListParagraph"/>
        <w:numPr>
          <w:ilvl w:val="1"/>
          <w:numId w:val="1"/>
        </w:numPr>
        <w:jc w:val="both"/>
        <w:rPr>
          <w:rFonts w:ascii="Arial" w:hAnsi="Arial"/>
          <w:sz w:val="22"/>
          <w:szCs w:val="22"/>
        </w:rPr>
      </w:pPr>
      <w:r w:rsidRPr="00467F3A">
        <w:rPr>
          <w:rFonts w:ascii="Arial" w:hAnsi="Arial"/>
          <w:sz w:val="22"/>
          <w:szCs w:val="22"/>
        </w:rPr>
        <w:t xml:space="preserve">The submission requested removal of the </w:t>
      </w:r>
      <w:r w:rsidR="002A2C62" w:rsidRPr="00467F3A">
        <w:rPr>
          <w:rFonts w:ascii="Arial" w:hAnsi="Arial"/>
          <w:sz w:val="22"/>
          <w:szCs w:val="22"/>
        </w:rPr>
        <w:t>criterion</w:t>
      </w:r>
      <w:r w:rsidRPr="00467F3A">
        <w:rPr>
          <w:rFonts w:ascii="Arial" w:hAnsi="Arial"/>
          <w:sz w:val="22"/>
          <w:szCs w:val="22"/>
        </w:rPr>
        <w:t xml:space="preserve"> limiting treatment to </w:t>
      </w:r>
      <w:r w:rsidR="006824DE" w:rsidRPr="00467F3A">
        <w:rPr>
          <w:rFonts w:ascii="Arial" w:hAnsi="Arial"/>
          <w:sz w:val="22"/>
          <w:szCs w:val="22"/>
        </w:rPr>
        <w:t xml:space="preserve">patients who are intolerant or inadequately responsive to </w:t>
      </w:r>
      <w:proofErr w:type="spellStart"/>
      <w:r w:rsidR="006824DE" w:rsidRPr="00467F3A">
        <w:rPr>
          <w:rFonts w:ascii="Arial" w:hAnsi="Arial"/>
          <w:sz w:val="22"/>
          <w:szCs w:val="22"/>
        </w:rPr>
        <w:t>dornase</w:t>
      </w:r>
      <w:proofErr w:type="spellEnd"/>
      <w:r w:rsidR="006824DE" w:rsidRPr="00467F3A">
        <w:rPr>
          <w:rFonts w:ascii="Arial" w:hAnsi="Arial"/>
          <w:sz w:val="22"/>
          <w:szCs w:val="22"/>
        </w:rPr>
        <w:t xml:space="preserve"> </w:t>
      </w:r>
      <w:proofErr w:type="spellStart"/>
      <w:r w:rsidR="006824DE" w:rsidRPr="00467F3A">
        <w:rPr>
          <w:rFonts w:ascii="Arial" w:hAnsi="Arial"/>
          <w:sz w:val="22"/>
          <w:szCs w:val="22"/>
        </w:rPr>
        <w:t>alfa</w:t>
      </w:r>
      <w:proofErr w:type="spellEnd"/>
      <w:r w:rsidR="006824DE" w:rsidRPr="00467F3A">
        <w:rPr>
          <w:rFonts w:ascii="Arial" w:hAnsi="Arial"/>
          <w:sz w:val="22"/>
          <w:szCs w:val="22"/>
        </w:rPr>
        <w:t xml:space="preserve"> on the basis that this requirement is redundant as it is already specified in the TGA approved indication.</w:t>
      </w:r>
      <w:r w:rsidR="00C52904" w:rsidRPr="00467F3A">
        <w:rPr>
          <w:rFonts w:ascii="Arial" w:hAnsi="Arial"/>
          <w:sz w:val="22"/>
          <w:szCs w:val="22"/>
        </w:rPr>
        <w:t xml:space="preserve"> The</w:t>
      </w:r>
      <w:r w:rsidR="00F94FD6" w:rsidRPr="00467F3A">
        <w:rPr>
          <w:rFonts w:ascii="Arial" w:hAnsi="Arial"/>
          <w:sz w:val="22"/>
          <w:szCs w:val="22"/>
        </w:rPr>
        <w:t xml:space="preserve"> removal of this </w:t>
      </w:r>
      <w:r w:rsidR="002A2C62" w:rsidRPr="00467F3A">
        <w:rPr>
          <w:rFonts w:ascii="Arial" w:hAnsi="Arial"/>
          <w:sz w:val="22"/>
          <w:szCs w:val="22"/>
        </w:rPr>
        <w:t>criterion</w:t>
      </w:r>
      <w:r w:rsidR="00B259D3" w:rsidRPr="00467F3A">
        <w:rPr>
          <w:rFonts w:ascii="Arial" w:hAnsi="Arial"/>
          <w:sz w:val="22"/>
          <w:szCs w:val="22"/>
        </w:rPr>
        <w:t xml:space="preserve"> </w:t>
      </w:r>
      <w:r w:rsidR="00BB2E27" w:rsidRPr="00467F3A">
        <w:rPr>
          <w:rFonts w:ascii="Arial" w:hAnsi="Arial"/>
          <w:sz w:val="22"/>
          <w:szCs w:val="22"/>
        </w:rPr>
        <w:t>would</w:t>
      </w:r>
      <w:r w:rsidR="00C52904" w:rsidRPr="00467F3A">
        <w:rPr>
          <w:rFonts w:ascii="Arial" w:hAnsi="Arial"/>
          <w:sz w:val="22"/>
          <w:szCs w:val="22"/>
        </w:rPr>
        <w:t xml:space="preserve"> potentially allow subsidised treatment for an off-label use. The </w:t>
      </w:r>
      <w:r w:rsidR="00F94FD6" w:rsidRPr="00467F3A">
        <w:rPr>
          <w:rFonts w:ascii="Arial" w:hAnsi="Arial"/>
          <w:sz w:val="22"/>
          <w:szCs w:val="22"/>
        </w:rPr>
        <w:t xml:space="preserve">pivotal clinical trials included a broader population of patients than the current PBS restriction as they enrolled patients with no prior exposure to </w:t>
      </w:r>
      <w:proofErr w:type="spellStart"/>
      <w:r w:rsidR="00F94FD6" w:rsidRPr="00467F3A">
        <w:rPr>
          <w:rFonts w:ascii="Arial" w:hAnsi="Arial"/>
          <w:sz w:val="22"/>
          <w:szCs w:val="22"/>
        </w:rPr>
        <w:t>dornase</w:t>
      </w:r>
      <w:proofErr w:type="spellEnd"/>
      <w:r w:rsidR="00F94FD6" w:rsidRPr="00467F3A">
        <w:rPr>
          <w:rFonts w:ascii="Arial" w:hAnsi="Arial"/>
          <w:sz w:val="22"/>
          <w:szCs w:val="22"/>
        </w:rPr>
        <w:t xml:space="preserve"> </w:t>
      </w:r>
      <w:proofErr w:type="spellStart"/>
      <w:r w:rsidR="00F94FD6" w:rsidRPr="00467F3A">
        <w:rPr>
          <w:rFonts w:ascii="Arial" w:hAnsi="Arial"/>
          <w:sz w:val="22"/>
          <w:szCs w:val="22"/>
        </w:rPr>
        <w:t>alfa</w:t>
      </w:r>
      <w:proofErr w:type="spellEnd"/>
      <w:r w:rsidR="00F94FD6" w:rsidRPr="00467F3A">
        <w:rPr>
          <w:rFonts w:ascii="Arial" w:hAnsi="Arial"/>
          <w:sz w:val="22"/>
          <w:szCs w:val="22"/>
        </w:rPr>
        <w:t xml:space="preserve">, patients who were intolerant or inadequately </w:t>
      </w:r>
      <w:r w:rsidR="003A63BE" w:rsidRPr="00467F3A">
        <w:rPr>
          <w:rFonts w:ascii="Arial" w:hAnsi="Arial"/>
          <w:sz w:val="22"/>
          <w:szCs w:val="22"/>
        </w:rPr>
        <w:t xml:space="preserve">responsive to </w:t>
      </w:r>
      <w:proofErr w:type="spellStart"/>
      <w:r w:rsidR="003A63BE" w:rsidRPr="00467F3A">
        <w:rPr>
          <w:rFonts w:ascii="Arial" w:hAnsi="Arial"/>
          <w:sz w:val="22"/>
          <w:szCs w:val="22"/>
        </w:rPr>
        <w:t>dornase</w:t>
      </w:r>
      <w:proofErr w:type="spellEnd"/>
      <w:r w:rsidR="003A63BE" w:rsidRPr="00467F3A">
        <w:rPr>
          <w:rFonts w:ascii="Arial" w:hAnsi="Arial"/>
          <w:sz w:val="22"/>
          <w:szCs w:val="22"/>
        </w:rPr>
        <w:t xml:space="preserve"> </w:t>
      </w:r>
      <w:proofErr w:type="spellStart"/>
      <w:r w:rsidR="003A63BE" w:rsidRPr="00467F3A">
        <w:rPr>
          <w:rFonts w:ascii="Arial" w:hAnsi="Arial"/>
          <w:sz w:val="22"/>
          <w:szCs w:val="22"/>
        </w:rPr>
        <w:t>alfa</w:t>
      </w:r>
      <w:proofErr w:type="spellEnd"/>
      <w:r w:rsidR="003A63BE" w:rsidRPr="00467F3A">
        <w:rPr>
          <w:rFonts w:ascii="Arial" w:hAnsi="Arial"/>
          <w:sz w:val="22"/>
          <w:szCs w:val="22"/>
        </w:rPr>
        <w:t xml:space="preserve"> and</w:t>
      </w:r>
      <w:r w:rsidR="00F94FD6" w:rsidRPr="00467F3A">
        <w:rPr>
          <w:rFonts w:ascii="Arial" w:hAnsi="Arial"/>
          <w:sz w:val="22"/>
          <w:szCs w:val="22"/>
        </w:rPr>
        <w:t xml:space="preserve"> patients who were currently using </w:t>
      </w:r>
      <w:proofErr w:type="spellStart"/>
      <w:r w:rsidR="00F94FD6" w:rsidRPr="00467F3A">
        <w:rPr>
          <w:rFonts w:ascii="Arial" w:hAnsi="Arial"/>
          <w:sz w:val="22"/>
          <w:szCs w:val="22"/>
        </w:rPr>
        <w:t>dornase</w:t>
      </w:r>
      <w:proofErr w:type="spellEnd"/>
      <w:r w:rsidR="00F94FD6" w:rsidRPr="00467F3A">
        <w:rPr>
          <w:rFonts w:ascii="Arial" w:hAnsi="Arial"/>
          <w:sz w:val="22"/>
          <w:szCs w:val="22"/>
        </w:rPr>
        <w:t xml:space="preserve"> </w:t>
      </w:r>
      <w:proofErr w:type="spellStart"/>
      <w:r w:rsidR="00F94FD6" w:rsidRPr="00467F3A">
        <w:rPr>
          <w:rFonts w:ascii="Arial" w:hAnsi="Arial"/>
          <w:sz w:val="22"/>
          <w:szCs w:val="22"/>
        </w:rPr>
        <w:t>alfa</w:t>
      </w:r>
      <w:proofErr w:type="spellEnd"/>
      <w:r w:rsidR="00F94FD6" w:rsidRPr="00467F3A">
        <w:rPr>
          <w:rFonts w:ascii="Arial" w:hAnsi="Arial"/>
          <w:sz w:val="22"/>
          <w:szCs w:val="22"/>
        </w:rPr>
        <w:t xml:space="preserve">. The sponsor previously presented subgroup data to the PBAC for patients intolerant or inadequately responsive to </w:t>
      </w:r>
      <w:proofErr w:type="spellStart"/>
      <w:r w:rsidR="00F94FD6" w:rsidRPr="00467F3A">
        <w:rPr>
          <w:rFonts w:ascii="Arial" w:hAnsi="Arial"/>
          <w:sz w:val="22"/>
          <w:szCs w:val="22"/>
        </w:rPr>
        <w:t>dornase</w:t>
      </w:r>
      <w:proofErr w:type="spellEnd"/>
      <w:r w:rsidR="00F94FD6" w:rsidRPr="00467F3A">
        <w:rPr>
          <w:rFonts w:ascii="Arial" w:hAnsi="Arial"/>
          <w:sz w:val="22"/>
          <w:szCs w:val="22"/>
        </w:rPr>
        <w:t xml:space="preserve"> </w:t>
      </w:r>
      <w:proofErr w:type="spellStart"/>
      <w:r w:rsidR="00F94FD6" w:rsidRPr="00467F3A">
        <w:rPr>
          <w:rFonts w:ascii="Arial" w:hAnsi="Arial"/>
          <w:sz w:val="22"/>
          <w:szCs w:val="22"/>
        </w:rPr>
        <w:t>alfa</w:t>
      </w:r>
      <w:proofErr w:type="spellEnd"/>
      <w:r w:rsidR="00F94FD6" w:rsidRPr="00467F3A">
        <w:rPr>
          <w:rFonts w:ascii="Arial" w:hAnsi="Arial"/>
          <w:sz w:val="22"/>
          <w:szCs w:val="22"/>
        </w:rPr>
        <w:t xml:space="preserve"> and patients who were currently using </w:t>
      </w:r>
      <w:proofErr w:type="spellStart"/>
      <w:r w:rsidR="00F94FD6" w:rsidRPr="00467F3A">
        <w:rPr>
          <w:rFonts w:ascii="Arial" w:hAnsi="Arial"/>
          <w:sz w:val="22"/>
          <w:szCs w:val="22"/>
        </w:rPr>
        <w:t>dornase</w:t>
      </w:r>
      <w:proofErr w:type="spellEnd"/>
      <w:r w:rsidR="00F94FD6" w:rsidRPr="00467F3A">
        <w:rPr>
          <w:rFonts w:ascii="Arial" w:hAnsi="Arial"/>
          <w:sz w:val="22"/>
          <w:szCs w:val="22"/>
        </w:rPr>
        <w:t xml:space="preserve"> </w:t>
      </w:r>
      <w:proofErr w:type="spellStart"/>
      <w:r w:rsidR="00F94FD6" w:rsidRPr="00467F3A">
        <w:rPr>
          <w:rFonts w:ascii="Arial" w:hAnsi="Arial"/>
          <w:sz w:val="22"/>
          <w:szCs w:val="22"/>
        </w:rPr>
        <w:t>alfa</w:t>
      </w:r>
      <w:proofErr w:type="spellEnd"/>
      <w:r w:rsidR="00F94FD6" w:rsidRPr="00467F3A">
        <w:rPr>
          <w:rFonts w:ascii="Arial" w:hAnsi="Arial"/>
          <w:sz w:val="22"/>
          <w:szCs w:val="22"/>
        </w:rPr>
        <w:t xml:space="preserve"> but </w:t>
      </w:r>
      <w:r w:rsidR="004A4B16" w:rsidRPr="00467F3A">
        <w:rPr>
          <w:rFonts w:ascii="Arial" w:hAnsi="Arial"/>
          <w:sz w:val="22"/>
          <w:szCs w:val="22"/>
        </w:rPr>
        <w:t>did</w:t>
      </w:r>
      <w:r w:rsidR="00815417">
        <w:rPr>
          <w:rFonts w:ascii="Arial" w:hAnsi="Arial"/>
          <w:sz w:val="22"/>
          <w:szCs w:val="22"/>
        </w:rPr>
        <w:t xml:space="preserve"> not present</w:t>
      </w:r>
      <w:r w:rsidR="00F94FD6" w:rsidRPr="00467F3A">
        <w:rPr>
          <w:rFonts w:ascii="Arial" w:hAnsi="Arial"/>
          <w:sz w:val="22"/>
          <w:szCs w:val="22"/>
        </w:rPr>
        <w:t xml:space="preserve"> any data on DPI mannitol use in the subgroup o</w:t>
      </w:r>
      <w:r w:rsidR="001A4636" w:rsidRPr="00467F3A">
        <w:rPr>
          <w:rFonts w:ascii="Arial" w:hAnsi="Arial"/>
          <w:sz w:val="22"/>
          <w:szCs w:val="22"/>
        </w:rPr>
        <w:t xml:space="preserve">f patients with no prior exposure to </w:t>
      </w:r>
      <w:proofErr w:type="spellStart"/>
      <w:r w:rsidR="001A4636" w:rsidRPr="00467F3A">
        <w:rPr>
          <w:rFonts w:ascii="Arial" w:hAnsi="Arial"/>
          <w:sz w:val="22"/>
          <w:szCs w:val="22"/>
        </w:rPr>
        <w:t>dornase</w:t>
      </w:r>
      <w:proofErr w:type="spellEnd"/>
      <w:r w:rsidR="001A4636" w:rsidRPr="00467F3A">
        <w:rPr>
          <w:rFonts w:ascii="Arial" w:hAnsi="Arial"/>
          <w:sz w:val="22"/>
          <w:szCs w:val="22"/>
        </w:rPr>
        <w:t xml:space="preserve"> </w:t>
      </w:r>
      <w:proofErr w:type="spellStart"/>
      <w:r w:rsidR="001A4636" w:rsidRPr="00467F3A">
        <w:rPr>
          <w:rFonts w:ascii="Arial" w:hAnsi="Arial"/>
          <w:sz w:val="22"/>
          <w:szCs w:val="22"/>
        </w:rPr>
        <w:t>alfa</w:t>
      </w:r>
      <w:proofErr w:type="spellEnd"/>
      <w:r w:rsidR="00F94FD6" w:rsidRPr="00467F3A">
        <w:rPr>
          <w:rFonts w:ascii="Arial" w:hAnsi="Arial"/>
          <w:sz w:val="22"/>
          <w:szCs w:val="22"/>
        </w:rPr>
        <w:t xml:space="preserve">. </w:t>
      </w:r>
      <w:r w:rsidR="00DA7932" w:rsidRPr="00467F3A">
        <w:rPr>
          <w:rFonts w:ascii="Arial" w:hAnsi="Arial"/>
          <w:sz w:val="22"/>
          <w:szCs w:val="22"/>
        </w:rPr>
        <w:t>Th</w:t>
      </w:r>
      <w:r w:rsidR="00F41DF8" w:rsidRPr="00467F3A">
        <w:rPr>
          <w:rFonts w:ascii="Arial" w:hAnsi="Arial"/>
          <w:sz w:val="22"/>
          <w:szCs w:val="22"/>
        </w:rPr>
        <w:t>e Pre-PBAC response argued</w:t>
      </w:r>
      <w:r w:rsidR="00DA7932" w:rsidRPr="00467F3A">
        <w:rPr>
          <w:rFonts w:ascii="Arial" w:hAnsi="Arial"/>
          <w:sz w:val="22"/>
          <w:szCs w:val="22"/>
        </w:rPr>
        <w:t xml:space="preserve"> that there is no </w:t>
      </w:r>
      <w:r w:rsidR="0063720F" w:rsidRPr="00467F3A">
        <w:rPr>
          <w:rFonts w:ascii="Arial" w:hAnsi="Arial"/>
          <w:sz w:val="22"/>
          <w:szCs w:val="22"/>
        </w:rPr>
        <w:t xml:space="preserve">mechanistic basis to suggest that efficacy and/or safety would be compromised in the small sub-group of otherwise eligible patients who have had no prior exposure to </w:t>
      </w:r>
      <w:proofErr w:type="spellStart"/>
      <w:r w:rsidR="0063720F" w:rsidRPr="00467F3A">
        <w:rPr>
          <w:rFonts w:ascii="Arial" w:hAnsi="Arial"/>
          <w:sz w:val="22"/>
          <w:szCs w:val="22"/>
        </w:rPr>
        <w:t>dornase</w:t>
      </w:r>
      <w:proofErr w:type="spellEnd"/>
      <w:r w:rsidR="0063720F" w:rsidRPr="00467F3A">
        <w:rPr>
          <w:rFonts w:ascii="Arial" w:hAnsi="Arial"/>
          <w:sz w:val="22"/>
          <w:szCs w:val="22"/>
        </w:rPr>
        <w:t xml:space="preserve"> </w:t>
      </w:r>
      <w:proofErr w:type="spellStart"/>
      <w:r w:rsidR="0063720F" w:rsidRPr="00467F3A">
        <w:rPr>
          <w:rFonts w:ascii="Arial" w:hAnsi="Arial"/>
          <w:sz w:val="22"/>
          <w:szCs w:val="22"/>
        </w:rPr>
        <w:t>alfa</w:t>
      </w:r>
      <w:proofErr w:type="spellEnd"/>
      <w:r w:rsidR="0063720F" w:rsidRPr="00467F3A">
        <w:rPr>
          <w:rFonts w:ascii="Arial" w:hAnsi="Arial"/>
          <w:sz w:val="22"/>
          <w:szCs w:val="22"/>
        </w:rPr>
        <w:t>.</w:t>
      </w:r>
    </w:p>
    <w:p w:rsidR="00B971BF" w:rsidRPr="00412C7D" w:rsidRDefault="00B971BF" w:rsidP="00B971BF">
      <w:pPr>
        <w:pStyle w:val="ListParagraph"/>
        <w:rPr>
          <w:rFonts w:ascii="Arial" w:hAnsi="Arial"/>
          <w:sz w:val="22"/>
          <w:szCs w:val="22"/>
        </w:rPr>
      </w:pPr>
    </w:p>
    <w:p w:rsidR="009E60C5" w:rsidRPr="00412C7D" w:rsidRDefault="00B971BF" w:rsidP="00F41DF8">
      <w:pPr>
        <w:pStyle w:val="ListParagraph"/>
        <w:numPr>
          <w:ilvl w:val="1"/>
          <w:numId w:val="1"/>
        </w:numPr>
        <w:jc w:val="both"/>
        <w:rPr>
          <w:rFonts w:ascii="Arial" w:hAnsi="Arial"/>
          <w:i/>
          <w:sz w:val="22"/>
          <w:szCs w:val="22"/>
        </w:rPr>
      </w:pPr>
      <w:r w:rsidRPr="00412C7D">
        <w:rPr>
          <w:rFonts w:ascii="Arial" w:hAnsi="Arial"/>
          <w:sz w:val="22"/>
          <w:szCs w:val="22"/>
        </w:rPr>
        <w:lastRenderedPageBreak/>
        <w:t xml:space="preserve">The submission requested removal of the </w:t>
      </w:r>
      <w:r w:rsidR="001958C0" w:rsidRPr="00412C7D">
        <w:rPr>
          <w:rFonts w:ascii="Arial" w:hAnsi="Arial"/>
          <w:sz w:val="22"/>
          <w:szCs w:val="22"/>
        </w:rPr>
        <w:t>criterion</w:t>
      </w:r>
      <w:r w:rsidRPr="00412C7D">
        <w:rPr>
          <w:rFonts w:ascii="Arial" w:hAnsi="Arial"/>
          <w:sz w:val="22"/>
          <w:szCs w:val="22"/>
        </w:rPr>
        <w:t xml:space="preserve"> limiting treatment to</w:t>
      </w:r>
      <w:r w:rsidR="00AA21D1" w:rsidRPr="00412C7D">
        <w:rPr>
          <w:rFonts w:ascii="Arial" w:hAnsi="Arial"/>
          <w:sz w:val="22"/>
          <w:szCs w:val="22"/>
        </w:rPr>
        <w:t xml:space="preserve"> patients with specific disease symptoms (chronic </w:t>
      </w:r>
      <w:proofErr w:type="spellStart"/>
      <w:r w:rsidR="00AA21D1" w:rsidRPr="00412C7D">
        <w:rPr>
          <w:rFonts w:ascii="Arial" w:hAnsi="Arial"/>
          <w:sz w:val="22"/>
          <w:szCs w:val="22"/>
        </w:rPr>
        <w:t>suppurative</w:t>
      </w:r>
      <w:proofErr w:type="spellEnd"/>
      <w:r w:rsidR="00AA21D1" w:rsidRPr="00412C7D">
        <w:rPr>
          <w:rFonts w:ascii="Arial" w:hAnsi="Arial"/>
          <w:sz w:val="22"/>
          <w:szCs w:val="22"/>
        </w:rPr>
        <w:t xml:space="preserve"> lung disease, respiratory tract infection, </w:t>
      </w:r>
      <w:proofErr w:type="gramStart"/>
      <w:r w:rsidR="00AA21D1" w:rsidRPr="00412C7D">
        <w:rPr>
          <w:rFonts w:ascii="Arial" w:hAnsi="Arial"/>
          <w:sz w:val="22"/>
          <w:szCs w:val="22"/>
        </w:rPr>
        <w:t>obstructive</w:t>
      </w:r>
      <w:proofErr w:type="gramEnd"/>
      <w:r w:rsidR="00AA21D1" w:rsidRPr="00412C7D">
        <w:rPr>
          <w:rFonts w:ascii="Arial" w:hAnsi="Arial"/>
          <w:sz w:val="22"/>
          <w:szCs w:val="22"/>
        </w:rPr>
        <w:t xml:space="preserve"> airways disease) as it is not consistent with the sponsor’s understanding of the way cystic fibrosis</w:t>
      </w:r>
      <w:r w:rsidR="001179F9" w:rsidRPr="00412C7D">
        <w:rPr>
          <w:rFonts w:ascii="Arial" w:hAnsi="Arial"/>
          <w:sz w:val="22"/>
          <w:szCs w:val="22"/>
        </w:rPr>
        <w:t xml:space="preserve"> (CF)</w:t>
      </w:r>
      <w:r w:rsidR="00AA21D1" w:rsidRPr="00412C7D">
        <w:rPr>
          <w:rFonts w:ascii="Arial" w:hAnsi="Arial"/>
          <w:sz w:val="22"/>
          <w:szCs w:val="22"/>
        </w:rPr>
        <w:t xml:space="preserve"> is treated in Australia</w:t>
      </w:r>
      <w:r w:rsidR="00175644" w:rsidRPr="00412C7D">
        <w:rPr>
          <w:rFonts w:ascii="Arial" w:hAnsi="Arial"/>
          <w:sz w:val="22"/>
          <w:szCs w:val="22"/>
        </w:rPr>
        <w:t xml:space="preserve">. </w:t>
      </w:r>
      <w:r w:rsidR="002B2342" w:rsidRPr="00412C7D">
        <w:rPr>
          <w:rFonts w:ascii="Arial" w:hAnsi="Arial"/>
          <w:sz w:val="22"/>
          <w:szCs w:val="22"/>
        </w:rPr>
        <w:t xml:space="preserve">The pivotal trials for DPI mannitol did not use the presence/absence of respiratory complications as eligibility criteria. This criterion appeared to have originated from the </w:t>
      </w:r>
      <w:proofErr w:type="spellStart"/>
      <w:r w:rsidR="002B2342" w:rsidRPr="00412C7D">
        <w:rPr>
          <w:rFonts w:ascii="Arial" w:hAnsi="Arial"/>
          <w:sz w:val="22"/>
          <w:szCs w:val="22"/>
        </w:rPr>
        <w:t>dornase</w:t>
      </w:r>
      <w:proofErr w:type="spellEnd"/>
      <w:r w:rsidR="002B2342" w:rsidRPr="00412C7D">
        <w:rPr>
          <w:rFonts w:ascii="Arial" w:hAnsi="Arial"/>
          <w:sz w:val="22"/>
          <w:szCs w:val="22"/>
        </w:rPr>
        <w:t xml:space="preserve"> </w:t>
      </w:r>
      <w:proofErr w:type="spellStart"/>
      <w:r w:rsidR="002B2342" w:rsidRPr="00412C7D">
        <w:rPr>
          <w:rFonts w:ascii="Arial" w:hAnsi="Arial"/>
          <w:sz w:val="22"/>
          <w:szCs w:val="22"/>
        </w:rPr>
        <w:t>alfa</w:t>
      </w:r>
      <w:proofErr w:type="spellEnd"/>
      <w:r w:rsidR="002B2342" w:rsidRPr="00412C7D">
        <w:rPr>
          <w:rFonts w:ascii="Arial" w:hAnsi="Arial"/>
          <w:sz w:val="22"/>
          <w:szCs w:val="22"/>
        </w:rPr>
        <w:t xml:space="preserve"> PBS restriction which is TGA-approved and PBS-listed for the chronic treatment of respiratory complications associated with </w:t>
      </w:r>
      <w:r w:rsidR="001179F9" w:rsidRPr="00412C7D">
        <w:rPr>
          <w:rFonts w:ascii="Arial" w:hAnsi="Arial"/>
          <w:sz w:val="22"/>
          <w:szCs w:val="22"/>
        </w:rPr>
        <w:t>CF</w:t>
      </w:r>
      <w:r w:rsidR="002B2342" w:rsidRPr="00412C7D">
        <w:rPr>
          <w:rFonts w:ascii="Arial" w:hAnsi="Arial"/>
          <w:sz w:val="22"/>
          <w:szCs w:val="22"/>
        </w:rPr>
        <w:t xml:space="preserve">. </w:t>
      </w:r>
    </w:p>
    <w:p w:rsidR="00991AE2" w:rsidRPr="00412C7D" w:rsidRDefault="00991AE2" w:rsidP="00991AE2">
      <w:pPr>
        <w:jc w:val="both"/>
        <w:rPr>
          <w:rFonts w:ascii="Arial" w:hAnsi="Arial"/>
          <w:i/>
          <w:sz w:val="22"/>
          <w:szCs w:val="22"/>
        </w:rPr>
      </w:pPr>
    </w:p>
    <w:p w:rsidR="00B50242" w:rsidRPr="00467F3A" w:rsidRDefault="009E60C5" w:rsidP="00F41DF8">
      <w:pPr>
        <w:pStyle w:val="ListParagraph"/>
        <w:numPr>
          <w:ilvl w:val="1"/>
          <w:numId w:val="1"/>
        </w:numPr>
        <w:jc w:val="both"/>
        <w:rPr>
          <w:rFonts w:ascii="Arial" w:hAnsi="Arial"/>
          <w:sz w:val="22"/>
          <w:szCs w:val="22"/>
        </w:rPr>
      </w:pPr>
      <w:r w:rsidRPr="00412C7D">
        <w:rPr>
          <w:rFonts w:ascii="Arial" w:hAnsi="Arial"/>
          <w:sz w:val="22"/>
          <w:szCs w:val="22"/>
        </w:rPr>
        <w:t xml:space="preserve">The submission requested removal of the </w:t>
      </w:r>
      <w:r w:rsidR="001958C0" w:rsidRPr="00412C7D">
        <w:rPr>
          <w:rFonts w:ascii="Arial" w:hAnsi="Arial"/>
          <w:sz w:val="22"/>
          <w:szCs w:val="22"/>
        </w:rPr>
        <w:t>criterion</w:t>
      </w:r>
      <w:r w:rsidRPr="00412C7D">
        <w:rPr>
          <w:rFonts w:ascii="Arial" w:hAnsi="Arial"/>
          <w:sz w:val="22"/>
          <w:szCs w:val="22"/>
        </w:rPr>
        <w:t xml:space="preserve"> limiting treatment to</w:t>
      </w:r>
      <w:r w:rsidR="00CD4088" w:rsidRPr="00412C7D">
        <w:rPr>
          <w:rFonts w:ascii="Arial" w:hAnsi="Arial"/>
          <w:sz w:val="22"/>
          <w:szCs w:val="22"/>
        </w:rPr>
        <w:t xml:space="preserve"> adults and children</w:t>
      </w:r>
      <w:r w:rsidR="00B50242" w:rsidRPr="00412C7D">
        <w:rPr>
          <w:rFonts w:ascii="Arial" w:hAnsi="Arial"/>
          <w:sz w:val="22"/>
          <w:szCs w:val="22"/>
        </w:rPr>
        <w:t xml:space="preserve"> 6 years of age</w:t>
      </w:r>
      <w:r w:rsidR="00CD4088" w:rsidRPr="00412C7D">
        <w:rPr>
          <w:rFonts w:ascii="Arial" w:hAnsi="Arial"/>
          <w:sz w:val="22"/>
          <w:szCs w:val="22"/>
        </w:rPr>
        <w:t xml:space="preserve"> and older</w:t>
      </w:r>
      <w:r w:rsidR="00B50242" w:rsidRPr="00412C7D">
        <w:rPr>
          <w:rFonts w:ascii="Arial" w:hAnsi="Arial"/>
          <w:sz w:val="22"/>
          <w:szCs w:val="22"/>
        </w:rPr>
        <w:t xml:space="preserve"> on the basis that this requirement is redundant as it is already specified in the TGA approved indication.</w:t>
      </w:r>
      <w:r w:rsidRPr="00412C7D">
        <w:rPr>
          <w:rFonts w:ascii="Arial" w:hAnsi="Arial"/>
          <w:sz w:val="22"/>
          <w:szCs w:val="22"/>
        </w:rPr>
        <w:t xml:space="preserve"> </w:t>
      </w:r>
      <w:r w:rsidR="00B50242" w:rsidRPr="00412C7D">
        <w:rPr>
          <w:rFonts w:ascii="Arial" w:hAnsi="Arial"/>
          <w:sz w:val="22"/>
          <w:szCs w:val="22"/>
        </w:rPr>
        <w:t xml:space="preserve">There </w:t>
      </w:r>
      <w:r w:rsidR="003A3DF6" w:rsidRPr="00412C7D">
        <w:rPr>
          <w:rFonts w:ascii="Arial" w:hAnsi="Arial"/>
          <w:sz w:val="22"/>
          <w:szCs w:val="22"/>
        </w:rPr>
        <w:t>wa</w:t>
      </w:r>
      <w:r w:rsidR="00B50242" w:rsidRPr="00412C7D">
        <w:rPr>
          <w:rFonts w:ascii="Arial" w:hAnsi="Arial"/>
          <w:sz w:val="22"/>
          <w:szCs w:val="22"/>
        </w:rPr>
        <w:t>s no clinical evidence to support the use of DPI mannitol in children less than 6 years of age. In contrast,</w:t>
      </w:r>
      <w:r w:rsidR="00940706" w:rsidRPr="00412C7D">
        <w:rPr>
          <w:rFonts w:ascii="Arial" w:hAnsi="Arial"/>
          <w:sz w:val="22"/>
          <w:szCs w:val="22"/>
        </w:rPr>
        <w:t xml:space="preserve"> </w:t>
      </w:r>
      <w:proofErr w:type="spellStart"/>
      <w:r w:rsidR="00940706" w:rsidRPr="00412C7D">
        <w:rPr>
          <w:rFonts w:ascii="Arial" w:hAnsi="Arial"/>
          <w:sz w:val="22"/>
          <w:szCs w:val="22"/>
        </w:rPr>
        <w:t>dornase</w:t>
      </w:r>
      <w:proofErr w:type="spellEnd"/>
      <w:r w:rsidR="00940706" w:rsidRPr="00412C7D">
        <w:rPr>
          <w:rFonts w:ascii="Arial" w:hAnsi="Arial"/>
          <w:sz w:val="22"/>
          <w:szCs w:val="22"/>
        </w:rPr>
        <w:t xml:space="preserve"> </w:t>
      </w:r>
      <w:proofErr w:type="spellStart"/>
      <w:r w:rsidR="00940706" w:rsidRPr="00412C7D">
        <w:rPr>
          <w:rFonts w:ascii="Arial" w:hAnsi="Arial"/>
          <w:sz w:val="22"/>
          <w:szCs w:val="22"/>
        </w:rPr>
        <w:t>alfa</w:t>
      </w:r>
      <w:proofErr w:type="spellEnd"/>
      <w:r w:rsidR="00940706" w:rsidRPr="00412C7D">
        <w:rPr>
          <w:rFonts w:ascii="Arial" w:hAnsi="Arial"/>
          <w:sz w:val="22"/>
          <w:szCs w:val="22"/>
        </w:rPr>
        <w:t xml:space="preserve"> has been assessed in younger children and is both TGA-approved and PBS-listed for</w:t>
      </w:r>
      <w:r w:rsidR="00A377BB" w:rsidRPr="00412C7D">
        <w:rPr>
          <w:rFonts w:ascii="Arial" w:hAnsi="Arial"/>
          <w:sz w:val="22"/>
          <w:szCs w:val="22"/>
        </w:rPr>
        <w:t xml:space="preserve"> this patient group</w:t>
      </w:r>
      <w:r w:rsidR="00940706" w:rsidRPr="00412C7D">
        <w:rPr>
          <w:rFonts w:ascii="Arial" w:hAnsi="Arial"/>
          <w:sz w:val="22"/>
          <w:szCs w:val="22"/>
        </w:rPr>
        <w:t>.</w:t>
      </w:r>
      <w:r w:rsidR="00B50242" w:rsidRPr="00412C7D">
        <w:rPr>
          <w:rFonts w:ascii="Arial" w:hAnsi="Arial"/>
          <w:sz w:val="22"/>
          <w:szCs w:val="22"/>
        </w:rPr>
        <w:t xml:space="preserve"> </w:t>
      </w:r>
      <w:r w:rsidR="002E0B55" w:rsidRPr="00467F3A">
        <w:rPr>
          <w:rFonts w:ascii="Arial" w:hAnsi="Arial"/>
          <w:sz w:val="22"/>
          <w:szCs w:val="22"/>
        </w:rPr>
        <w:t>The Pr</w:t>
      </w:r>
      <w:r w:rsidR="00F41DF8" w:rsidRPr="00467F3A">
        <w:rPr>
          <w:rFonts w:ascii="Arial" w:hAnsi="Arial"/>
          <w:sz w:val="22"/>
          <w:szCs w:val="22"/>
        </w:rPr>
        <w:t>e-PBAC Response argued</w:t>
      </w:r>
      <w:r w:rsidR="002E0B55" w:rsidRPr="00467F3A">
        <w:rPr>
          <w:rFonts w:ascii="Arial" w:hAnsi="Arial"/>
          <w:sz w:val="22"/>
          <w:szCs w:val="22"/>
        </w:rPr>
        <w:t xml:space="preserve"> that the intent</w:t>
      </w:r>
      <w:r w:rsidR="003A3DF6" w:rsidRPr="00467F3A">
        <w:rPr>
          <w:rFonts w:ascii="Arial" w:hAnsi="Arial"/>
          <w:sz w:val="22"/>
          <w:szCs w:val="22"/>
        </w:rPr>
        <w:t>ion of removing this criterion wa</w:t>
      </w:r>
      <w:r w:rsidR="002E0B55" w:rsidRPr="00467F3A">
        <w:rPr>
          <w:rFonts w:ascii="Arial" w:hAnsi="Arial"/>
          <w:sz w:val="22"/>
          <w:szCs w:val="22"/>
        </w:rPr>
        <w:t xml:space="preserve">s not to remove the restriction on use in children under 6 years, but to simplify the restriction by removing elements that are covered in the </w:t>
      </w:r>
      <w:r w:rsidR="00F41DF8" w:rsidRPr="00467F3A">
        <w:rPr>
          <w:rFonts w:ascii="Arial" w:hAnsi="Arial"/>
          <w:sz w:val="22"/>
          <w:szCs w:val="22"/>
        </w:rPr>
        <w:t>approved</w:t>
      </w:r>
      <w:r w:rsidR="002E0B55" w:rsidRPr="00467F3A">
        <w:rPr>
          <w:rFonts w:ascii="Arial" w:hAnsi="Arial"/>
          <w:sz w:val="22"/>
          <w:szCs w:val="22"/>
        </w:rPr>
        <w:t xml:space="preserve"> indication.</w:t>
      </w:r>
    </w:p>
    <w:p w:rsidR="00156543" w:rsidRPr="00467F3A" w:rsidRDefault="00156543" w:rsidP="00156543">
      <w:pPr>
        <w:pStyle w:val="ListParagraph"/>
        <w:rPr>
          <w:rFonts w:ascii="Arial" w:hAnsi="Arial"/>
          <w:sz w:val="22"/>
          <w:szCs w:val="22"/>
        </w:rPr>
      </w:pPr>
    </w:p>
    <w:p w:rsidR="00156543" w:rsidRPr="00467F3A" w:rsidRDefault="00156543" w:rsidP="00F41DF8">
      <w:pPr>
        <w:pStyle w:val="ListParagraph"/>
        <w:numPr>
          <w:ilvl w:val="1"/>
          <w:numId w:val="1"/>
        </w:numPr>
        <w:jc w:val="both"/>
        <w:rPr>
          <w:rFonts w:ascii="Arial" w:hAnsi="Arial"/>
          <w:sz w:val="22"/>
          <w:szCs w:val="22"/>
        </w:rPr>
      </w:pPr>
      <w:r w:rsidRPr="00467F3A">
        <w:rPr>
          <w:rFonts w:ascii="Arial" w:hAnsi="Arial"/>
          <w:sz w:val="22"/>
          <w:szCs w:val="22"/>
        </w:rPr>
        <w:t xml:space="preserve">The submission requested removal of the </w:t>
      </w:r>
      <w:r w:rsidR="001958C0" w:rsidRPr="00467F3A">
        <w:rPr>
          <w:rFonts w:ascii="Arial" w:hAnsi="Arial"/>
          <w:sz w:val="22"/>
          <w:szCs w:val="22"/>
        </w:rPr>
        <w:t>criterion</w:t>
      </w:r>
      <w:r w:rsidRPr="00467F3A">
        <w:rPr>
          <w:rFonts w:ascii="Arial" w:hAnsi="Arial"/>
          <w:sz w:val="22"/>
          <w:szCs w:val="22"/>
        </w:rPr>
        <w:t xml:space="preserve"> requiring lung function testing to be conducted by an independent doctor </w:t>
      </w:r>
      <w:r w:rsidR="00CC454C" w:rsidRPr="00467F3A">
        <w:rPr>
          <w:rFonts w:ascii="Arial" w:hAnsi="Arial"/>
          <w:sz w:val="22"/>
          <w:szCs w:val="22"/>
        </w:rPr>
        <w:t>for simplification purposes</w:t>
      </w:r>
      <w:r w:rsidRPr="00467F3A">
        <w:rPr>
          <w:rFonts w:ascii="Arial" w:hAnsi="Arial"/>
          <w:sz w:val="22"/>
          <w:szCs w:val="22"/>
        </w:rPr>
        <w:t xml:space="preserve">. </w:t>
      </w:r>
    </w:p>
    <w:p w:rsidR="009E60C5" w:rsidRPr="00467F3A" w:rsidRDefault="009E60C5" w:rsidP="009E60C5">
      <w:pPr>
        <w:pStyle w:val="ListParagraph"/>
        <w:rPr>
          <w:rFonts w:ascii="Arial" w:hAnsi="Arial"/>
          <w:sz w:val="22"/>
          <w:szCs w:val="22"/>
        </w:rPr>
      </w:pPr>
    </w:p>
    <w:p w:rsidR="009E60C5" w:rsidRPr="00467F3A" w:rsidRDefault="009E60C5" w:rsidP="00F41DF8">
      <w:pPr>
        <w:pStyle w:val="ListParagraph"/>
        <w:numPr>
          <w:ilvl w:val="1"/>
          <w:numId w:val="1"/>
        </w:numPr>
        <w:jc w:val="both"/>
        <w:rPr>
          <w:rFonts w:ascii="Arial" w:hAnsi="Arial"/>
          <w:sz w:val="22"/>
          <w:szCs w:val="22"/>
        </w:rPr>
      </w:pPr>
      <w:r w:rsidRPr="00467F3A">
        <w:rPr>
          <w:rFonts w:ascii="Arial" w:hAnsi="Arial"/>
          <w:sz w:val="22"/>
          <w:szCs w:val="22"/>
        </w:rPr>
        <w:t xml:space="preserve">The submission requested removal of the </w:t>
      </w:r>
      <w:r w:rsidR="004759FA" w:rsidRPr="00467F3A">
        <w:rPr>
          <w:rFonts w:ascii="Arial" w:hAnsi="Arial"/>
          <w:sz w:val="22"/>
          <w:szCs w:val="22"/>
        </w:rPr>
        <w:t xml:space="preserve">‘grandfathering’ provision </w:t>
      </w:r>
      <w:r w:rsidR="00EC3FC7" w:rsidRPr="00467F3A">
        <w:rPr>
          <w:rFonts w:ascii="Arial" w:hAnsi="Arial"/>
          <w:sz w:val="22"/>
          <w:szCs w:val="22"/>
        </w:rPr>
        <w:t xml:space="preserve">as </w:t>
      </w:r>
      <w:r w:rsidR="00297077" w:rsidRPr="00467F3A">
        <w:rPr>
          <w:rFonts w:ascii="Arial" w:hAnsi="Arial"/>
          <w:sz w:val="22"/>
          <w:szCs w:val="22"/>
        </w:rPr>
        <w:t xml:space="preserve">it </w:t>
      </w:r>
      <w:r w:rsidR="003A3DF6" w:rsidRPr="00467F3A">
        <w:rPr>
          <w:rFonts w:ascii="Arial" w:hAnsi="Arial"/>
          <w:sz w:val="22"/>
          <w:szCs w:val="22"/>
        </w:rPr>
        <w:t>wa</w:t>
      </w:r>
      <w:r w:rsidR="00297077" w:rsidRPr="00467F3A">
        <w:rPr>
          <w:rFonts w:ascii="Arial" w:hAnsi="Arial"/>
          <w:sz w:val="22"/>
          <w:szCs w:val="22"/>
        </w:rPr>
        <w:t xml:space="preserve">s </w:t>
      </w:r>
      <w:r w:rsidR="00EC3FC7" w:rsidRPr="00467F3A">
        <w:rPr>
          <w:rFonts w:ascii="Arial" w:hAnsi="Arial"/>
          <w:sz w:val="22"/>
          <w:szCs w:val="22"/>
        </w:rPr>
        <w:t>no longer necessary</w:t>
      </w:r>
      <w:r w:rsidR="004759FA" w:rsidRPr="00467F3A">
        <w:rPr>
          <w:rFonts w:ascii="Arial" w:hAnsi="Arial"/>
          <w:sz w:val="22"/>
          <w:szCs w:val="22"/>
        </w:rPr>
        <w:t xml:space="preserve"> </w:t>
      </w:r>
      <w:r w:rsidR="003A3DF6" w:rsidRPr="00467F3A">
        <w:rPr>
          <w:rFonts w:ascii="Arial" w:hAnsi="Arial"/>
          <w:sz w:val="22"/>
          <w:szCs w:val="22"/>
        </w:rPr>
        <w:t>given</w:t>
      </w:r>
      <w:r w:rsidR="004759FA" w:rsidRPr="00467F3A">
        <w:rPr>
          <w:rFonts w:ascii="Arial" w:hAnsi="Arial"/>
          <w:sz w:val="22"/>
          <w:szCs w:val="22"/>
        </w:rPr>
        <w:t xml:space="preserve"> DPI mannitol has been listed on the PBS for over 2 years</w:t>
      </w:r>
      <w:r w:rsidR="00EC3FC7" w:rsidRPr="00467F3A">
        <w:rPr>
          <w:rFonts w:ascii="Arial" w:hAnsi="Arial"/>
          <w:sz w:val="22"/>
          <w:szCs w:val="22"/>
        </w:rPr>
        <w:t xml:space="preserve"> and patients are unlikely to receive treatment under this provision</w:t>
      </w:r>
      <w:r w:rsidR="004759FA" w:rsidRPr="00467F3A">
        <w:rPr>
          <w:rFonts w:ascii="Arial" w:hAnsi="Arial"/>
          <w:sz w:val="22"/>
          <w:szCs w:val="22"/>
        </w:rPr>
        <w:t xml:space="preserve">. </w:t>
      </w:r>
    </w:p>
    <w:p w:rsidR="00095B2D" w:rsidRPr="00467F3A" w:rsidRDefault="00095B2D" w:rsidP="00095B2D">
      <w:pPr>
        <w:jc w:val="both"/>
        <w:rPr>
          <w:rFonts w:ascii="Arial" w:hAnsi="Arial"/>
          <w:sz w:val="22"/>
          <w:szCs w:val="22"/>
        </w:rPr>
      </w:pPr>
    </w:p>
    <w:p w:rsidR="00857F98" w:rsidRPr="00467F3A" w:rsidRDefault="009E60C5" w:rsidP="00F41DF8">
      <w:pPr>
        <w:pStyle w:val="ListParagraph"/>
        <w:numPr>
          <w:ilvl w:val="1"/>
          <w:numId w:val="1"/>
        </w:numPr>
        <w:jc w:val="both"/>
        <w:rPr>
          <w:rFonts w:ascii="Arial" w:hAnsi="Arial"/>
          <w:i/>
          <w:sz w:val="22"/>
          <w:szCs w:val="22"/>
        </w:rPr>
      </w:pPr>
      <w:r w:rsidRPr="00467F3A">
        <w:rPr>
          <w:rFonts w:ascii="Arial" w:hAnsi="Arial"/>
          <w:sz w:val="22"/>
          <w:szCs w:val="22"/>
        </w:rPr>
        <w:t>The submission requested rem</w:t>
      </w:r>
      <w:r w:rsidR="0008508B" w:rsidRPr="00467F3A">
        <w:rPr>
          <w:rFonts w:ascii="Arial" w:hAnsi="Arial"/>
          <w:sz w:val="22"/>
          <w:szCs w:val="22"/>
        </w:rPr>
        <w:t xml:space="preserve">oval of the </w:t>
      </w:r>
      <w:r w:rsidR="004C1D7A" w:rsidRPr="00467F3A">
        <w:rPr>
          <w:rFonts w:ascii="Arial" w:hAnsi="Arial"/>
          <w:sz w:val="22"/>
          <w:szCs w:val="22"/>
        </w:rPr>
        <w:t>criterion</w:t>
      </w:r>
      <w:r w:rsidR="0008508B" w:rsidRPr="00467F3A">
        <w:rPr>
          <w:rFonts w:ascii="Arial" w:hAnsi="Arial"/>
          <w:sz w:val="22"/>
          <w:szCs w:val="22"/>
        </w:rPr>
        <w:t xml:space="preserve"> preventing combination</w:t>
      </w:r>
      <w:r w:rsidRPr="00467F3A">
        <w:rPr>
          <w:rFonts w:ascii="Arial" w:hAnsi="Arial"/>
          <w:sz w:val="22"/>
          <w:szCs w:val="22"/>
        </w:rPr>
        <w:t xml:space="preserve"> treatment</w:t>
      </w:r>
      <w:r w:rsidR="0008508B" w:rsidRPr="00467F3A">
        <w:rPr>
          <w:rFonts w:ascii="Arial" w:hAnsi="Arial"/>
          <w:sz w:val="22"/>
          <w:szCs w:val="22"/>
        </w:rPr>
        <w:t xml:space="preserve"> with DPI mannitol and </w:t>
      </w:r>
      <w:proofErr w:type="spellStart"/>
      <w:r w:rsidR="0008508B" w:rsidRPr="00467F3A">
        <w:rPr>
          <w:rFonts w:ascii="Arial" w:hAnsi="Arial"/>
          <w:sz w:val="22"/>
          <w:szCs w:val="22"/>
        </w:rPr>
        <w:t>dornase</w:t>
      </w:r>
      <w:proofErr w:type="spellEnd"/>
      <w:r w:rsidR="0008508B" w:rsidRPr="00467F3A">
        <w:rPr>
          <w:rFonts w:ascii="Arial" w:hAnsi="Arial"/>
          <w:sz w:val="22"/>
          <w:szCs w:val="22"/>
        </w:rPr>
        <w:t xml:space="preserve"> </w:t>
      </w:r>
      <w:proofErr w:type="spellStart"/>
      <w:r w:rsidR="0008508B" w:rsidRPr="00467F3A">
        <w:rPr>
          <w:rFonts w:ascii="Arial" w:hAnsi="Arial"/>
          <w:sz w:val="22"/>
          <w:szCs w:val="22"/>
        </w:rPr>
        <w:t>alfa</w:t>
      </w:r>
      <w:proofErr w:type="spellEnd"/>
      <w:r w:rsidR="00ED674A" w:rsidRPr="00467F3A">
        <w:rPr>
          <w:rFonts w:ascii="Arial" w:hAnsi="Arial"/>
          <w:sz w:val="22"/>
          <w:szCs w:val="22"/>
        </w:rPr>
        <w:t xml:space="preserve"> </w:t>
      </w:r>
      <w:r w:rsidR="00857F98" w:rsidRPr="00467F3A">
        <w:rPr>
          <w:rFonts w:ascii="Arial" w:hAnsi="Arial"/>
          <w:sz w:val="22"/>
          <w:szCs w:val="22"/>
        </w:rPr>
        <w:t>due to physician confusion about what constitutes</w:t>
      </w:r>
      <w:r w:rsidR="00377FC0" w:rsidRPr="00467F3A">
        <w:rPr>
          <w:rFonts w:ascii="Arial" w:hAnsi="Arial"/>
          <w:sz w:val="22"/>
          <w:szCs w:val="22"/>
        </w:rPr>
        <w:t xml:space="preserve"> combination therapy (e.g. patients cycling between DPI mannitol/</w:t>
      </w:r>
      <w:proofErr w:type="spellStart"/>
      <w:r w:rsidR="00377FC0" w:rsidRPr="00467F3A">
        <w:rPr>
          <w:rFonts w:ascii="Arial" w:hAnsi="Arial"/>
          <w:sz w:val="22"/>
          <w:szCs w:val="22"/>
        </w:rPr>
        <w:t>dornase</w:t>
      </w:r>
      <w:proofErr w:type="spellEnd"/>
      <w:r w:rsidR="00377FC0" w:rsidRPr="00467F3A">
        <w:rPr>
          <w:rFonts w:ascii="Arial" w:hAnsi="Arial"/>
          <w:sz w:val="22"/>
          <w:szCs w:val="22"/>
        </w:rPr>
        <w:t xml:space="preserve"> </w:t>
      </w:r>
      <w:proofErr w:type="spellStart"/>
      <w:r w:rsidR="00377FC0" w:rsidRPr="00467F3A">
        <w:rPr>
          <w:rFonts w:ascii="Arial" w:hAnsi="Arial"/>
          <w:sz w:val="22"/>
          <w:szCs w:val="22"/>
        </w:rPr>
        <w:t>alfa</w:t>
      </w:r>
      <w:proofErr w:type="spellEnd"/>
      <w:r w:rsidR="00377FC0" w:rsidRPr="00467F3A">
        <w:rPr>
          <w:rFonts w:ascii="Arial" w:hAnsi="Arial"/>
          <w:sz w:val="22"/>
          <w:szCs w:val="22"/>
        </w:rPr>
        <w:t xml:space="preserve"> treatment courses, patients alternating treatments in morning/evening, patients alternating treatment</w:t>
      </w:r>
      <w:r w:rsidR="002122F6" w:rsidRPr="00467F3A">
        <w:rPr>
          <w:rFonts w:ascii="Arial" w:hAnsi="Arial"/>
          <w:sz w:val="22"/>
          <w:szCs w:val="22"/>
        </w:rPr>
        <w:t>s</w:t>
      </w:r>
      <w:r w:rsidR="00377FC0" w:rsidRPr="00467F3A">
        <w:rPr>
          <w:rFonts w:ascii="Arial" w:hAnsi="Arial"/>
          <w:sz w:val="22"/>
          <w:szCs w:val="22"/>
        </w:rPr>
        <w:t xml:space="preserve"> on weekdays/weekends, patients intensifying treatment during exacerbations</w:t>
      </w:r>
      <w:r w:rsidR="004C1D7A" w:rsidRPr="00467F3A">
        <w:rPr>
          <w:rFonts w:ascii="Arial" w:hAnsi="Arial"/>
          <w:sz w:val="22"/>
          <w:szCs w:val="22"/>
        </w:rPr>
        <w:t>,</w:t>
      </w:r>
      <w:r w:rsidR="002122F6" w:rsidRPr="00467F3A">
        <w:rPr>
          <w:rFonts w:ascii="Arial" w:hAnsi="Arial"/>
          <w:sz w:val="22"/>
          <w:szCs w:val="22"/>
        </w:rPr>
        <w:t xml:space="preserve"> </w:t>
      </w:r>
      <w:proofErr w:type="spellStart"/>
      <w:r w:rsidR="002122F6" w:rsidRPr="00467F3A">
        <w:rPr>
          <w:rFonts w:ascii="Arial" w:hAnsi="Arial"/>
          <w:sz w:val="22"/>
          <w:szCs w:val="22"/>
        </w:rPr>
        <w:t>etc</w:t>
      </w:r>
      <w:proofErr w:type="spellEnd"/>
      <w:r w:rsidR="00857F98" w:rsidRPr="00467F3A">
        <w:rPr>
          <w:rFonts w:ascii="Arial" w:hAnsi="Arial"/>
          <w:sz w:val="22"/>
          <w:szCs w:val="22"/>
        </w:rPr>
        <w:t>).</w:t>
      </w:r>
      <w:r w:rsidR="00857F98" w:rsidRPr="00467F3A">
        <w:rPr>
          <w:rFonts w:ascii="Arial" w:hAnsi="Arial"/>
          <w:i/>
          <w:sz w:val="22"/>
          <w:szCs w:val="22"/>
        </w:rPr>
        <w:t xml:space="preserve"> </w:t>
      </w:r>
      <w:r w:rsidR="00857F98" w:rsidRPr="00467F3A">
        <w:rPr>
          <w:rFonts w:ascii="Arial" w:hAnsi="Arial"/>
          <w:sz w:val="22"/>
          <w:szCs w:val="22"/>
        </w:rPr>
        <w:t xml:space="preserve">The submission </w:t>
      </w:r>
      <w:r w:rsidR="004C1D7A" w:rsidRPr="00467F3A">
        <w:rPr>
          <w:rFonts w:ascii="Arial" w:hAnsi="Arial"/>
          <w:sz w:val="22"/>
          <w:szCs w:val="22"/>
        </w:rPr>
        <w:t xml:space="preserve">claimed </w:t>
      </w:r>
      <w:r w:rsidR="00C80958" w:rsidRPr="00467F3A">
        <w:rPr>
          <w:rFonts w:ascii="Arial" w:hAnsi="Arial"/>
          <w:sz w:val="22"/>
          <w:szCs w:val="22"/>
        </w:rPr>
        <w:t>that given the different mechanisms</w:t>
      </w:r>
      <w:r w:rsidR="00857F98" w:rsidRPr="00467F3A">
        <w:rPr>
          <w:rFonts w:ascii="Arial" w:hAnsi="Arial"/>
          <w:sz w:val="22"/>
          <w:szCs w:val="22"/>
        </w:rPr>
        <w:t xml:space="preserve"> of action between the two therapies it </w:t>
      </w:r>
      <w:r w:rsidR="0020750E" w:rsidRPr="00467F3A">
        <w:rPr>
          <w:rFonts w:ascii="Arial" w:hAnsi="Arial"/>
          <w:sz w:val="22"/>
          <w:szCs w:val="22"/>
        </w:rPr>
        <w:t>wa</w:t>
      </w:r>
      <w:r w:rsidR="00857F98" w:rsidRPr="00467F3A">
        <w:rPr>
          <w:rFonts w:ascii="Arial" w:hAnsi="Arial"/>
          <w:sz w:val="22"/>
          <w:szCs w:val="22"/>
        </w:rPr>
        <w:t xml:space="preserve">s likely that various combinations of the two agents would be beneficial to patients. </w:t>
      </w:r>
      <w:r w:rsidR="003E6855" w:rsidRPr="00467F3A">
        <w:rPr>
          <w:rFonts w:ascii="Arial" w:hAnsi="Arial"/>
          <w:sz w:val="22"/>
          <w:szCs w:val="22"/>
        </w:rPr>
        <w:t xml:space="preserve">The Pre-PBAC Response </w:t>
      </w:r>
      <w:r w:rsidR="00F41DF8" w:rsidRPr="00467F3A">
        <w:rPr>
          <w:rFonts w:ascii="Arial" w:hAnsi="Arial"/>
          <w:sz w:val="22"/>
          <w:szCs w:val="22"/>
        </w:rPr>
        <w:t>noted</w:t>
      </w:r>
      <w:r w:rsidR="003E6855" w:rsidRPr="00467F3A">
        <w:rPr>
          <w:rFonts w:ascii="Arial" w:hAnsi="Arial"/>
          <w:sz w:val="22"/>
          <w:szCs w:val="22"/>
        </w:rPr>
        <w:t xml:space="preserve"> th</w:t>
      </w:r>
      <w:r w:rsidR="00F41DF8" w:rsidRPr="00467F3A">
        <w:rPr>
          <w:rFonts w:ascii="Arial" w:hAnsi="Arial"/>
          <w:sz w:val="22"/>
          <w:szCs w:val="22"/>
        </w:rPr>
        <w:t>at the TSANZ submission provided</w:t>
      </w:r>
      <w:r w:rsidR="003E6855" w:rsidRPr="00467F3A">
        <w:rPr>
          <w:rFonts w:ascii="Arial" w:hAnsi="Arial"/>
          <w:sz w:val="22"/>
          <w:szCs w:val="22"/>
        </w:rPr>
        <w:t xml:space="preserve"> support for the co-administration or sequential use of inhaled mannitol and </w:t>
      </w:r>
      <w:proofErr w:type="spellStart"/>
      <w:r w:rsidR="003E6855" w:rsidRPr="00467F3A">
        <w:rPr>
          <w:rFonts w:ascii="Arial" w:hAnsi="Arial"/>
          <w:sz w:val="22"/>
          <w:szCs w:val="22"/>
        </w:rPr>
        <w:t>dornase</w:t>
      </w:r>
      <w:proofErr w:type="spellEnd"/>
      <w:r w:rsidR="003E6855" w:rsidRPr="00467F3A">
        <w:rPr>
          <w:rFonts w:ascii="Arial" w:hAnsi="Arial"/>
          <w:sz w:val="22"/>
          <w:szCs w:val="22"/>
        </w:rPr>
        <w:t xml:space="preserve"> </w:t>
      </w:r>
      <w:proofErr w:type="spellStart"/>
      <w:r w:rsidR="003E6855" w:rsidRPr="00467F3A">
        <w:rPr>
          <w:rFonts w:ascii="Arial" w:hAnsi="Arial"/>
          <w:sz w:val="22"/>
          <w:szCs w:val="22"/>
        </w:rPr>
        <w:t>alfa</w:t>
      </w:r>
      <w:proofErr w:type="spellEnd"/>
      <w:r w:rsidR="003E6855" w:rsidRPr="00467F3A">
        <w:rPr>
          <w:rFonts w:ascii="Arial" w:hAnsi="Arial"/>
          <w:sz w:val="22"/>
          <w:szCs w:val="22"/>
        </w:rPr>
        <w:t xml:space="preserve">, as the use of multiple therapies in combination or sequentially to enhance mucus clearance in CF patients represents best practice. </w:t>
      </w:r>
      <w:r w:rsidR="005D7E92" w:rsidRPr="00467F3A">
        <w:rPr>
          <w:rFonts w:ascii="Arial" w:hAnsi="Arial"/>
          <w:sz w:val="22"/>
          <w:szCs w:val="22"/>
        </w:rPr>
        <w:t xml:space="preserve">The Pre-PBAC Response also argued that previously submitted data (see paragraph </w:t>
      </w:r>
      <w:r w:rsidR="00E2697C" w:rsidRPr="00467F3A">
        <w:rPr>
          <w:rFonts w:ascii="Arial" w:hAnsi="Arial"/>
          <w:sz w:val="22"/>
          <w:szCs w:val="22"/>
        </w:rPr>
        <w:t>4.8</w:t>
      </w:r>
      <w:r w:rsidR="00F41DF8" w:rsidRPr="00467F3A">
        <w:rPr>
          <w:rFonts w:ascii="Arial" w:hAnsi="Arial"/>
          <w:sz w:val="22"/>
          <w:szCs w:val="22"/>
        </w:rPr>
        <w:t>)</w:t>
      </w:r>
      <w:r w:rsidR="003E6855" w:rsidRPr="00467F3A">
        <w:rPr>
          <w:rFonts w:ascii="Arial" w:hAnsi="Arial"/>
          <w:sz w:val="22"/>
          <w:szCs w:val="22"/>
        </w:rPr>
        <w:t xml:space="preserve"> </w:t>
      </w:r>
      <w:r w:rsidR="005D7E92" w:rsidRPr="00467F3A">
        <w:rPr>
          <w:rFonts w:ascii="Arial" w:hAnsi="Arial"/>
          <w:sz w:val="22"/>
          <w:szCs w:val="22"/>
        </w:rPr>
        <w:t>sup</w:t>
      </w:r>
      <w:r w:rsidR="00F41DF8" w:rsidRPr="00467F3A">
        <w:rPr>
          <w:rFonts w:ascii="Arial" w:hAnsi="Arial"/>
          <w:sz w:val="22"/>
          <w:szCs w:val="22"/>
        </w:rPr>
        <w:t>port</w:t>
      </w:r>
      <w:r w:rsidR="0020750E" w:rsidRPr="00467F3A">
        <w:rPr>
          <w:rFonts w:ascii="Arial" w:hAnsi="Arial"/>
          <w:sz w:val="22"/>
          <w:szCs w:val="22"/>
        </w:rPr>
        <w:t>ed</w:t>
      </w:r>
      <w:r w:rsidR="00F41DF8" w:rsidRPr="00467F3A">
        <w:rPr>
          <w:rFonts w:ascii="Arial" w:hAnsi="Arial"/>
          <w:sz w:val="22"/>
          <w:szCs w:val="22"/>
        </w:rPr>
        <w:t xml:space="preserve"> the clinical benefit of</w:t>
      </w:r>
      <w:r w:rsidR="005D7E92" w:rsidRPr="00467F3A">
        <w:rPr>
          <w:rFonts w:ascii="Arial" w:hAnsi="Arial"/>
          <w:sz w:val="22"/>
          <w:szCs w:val="22"/>
        </w:rPr>
        <w:t xml:space="preserve"> DPI mannitol either alone or with </w:t>
      </w:r>
      <w:proofErr w:type="spellStart"/>
      <w:r w:rsidR="005D7E92" w:rsidRPr="00467F3A">
        <w:rPr>
          <w:rFonts w:ascii="Arial" w:hAnsi="Arial"/>
          <w:sz w:val="22"/>
          <w:szCs w:val="22"/>
        </w:rPr>
        <w:t>dornase</w:t>
      </w:r>
      <w:proofErr w:type="spellEnd"/>
      <w:r w:rsidR="005D7E92" w:rsidRPr="00467F3A">
        <w:rPr>
          <w:rFonts w:ascii="Arial" w:hAnsi="Arial"/>
          <w:sz w:val="22"/>
          <w:szCs w:val="22"/>
        </w:rPr>
        <w:t xml:space="preserve"> </w:t>
      </w:r>
      <w:proofErr w:type="spellStart"/>
      <w:r w:rsidR="005D7E92" w:rsidRPr="00467F3A">
        <w:rPr>
          <w:rFonts w:ascii="Arial" w:hAnsi="Arial"/>
          <w:sz w:val="22"/>
          <w:szCs w:val="22"/>
        </w:rPr>
        <w:t>alfa</w:t>
      </w:r>
      <w:proofErr w:type="spellEnd"/>
      <w:r w:rsidR="005D7E92" w:rsidRPr="00467F3A">
        <w:rPr>
          <w:rFonts w:ascii="Arial" w:hAnsi="Arial"/>
          <w:sz w:val="22"/>
          <w:szCs w:val="22"/>
        </w:rPr>
        <w:t>.</w:t>
      </w:r>
    </w:p>
    <w:p w:rsidR="009E60C5" w:rsidRPr="008A0AEC" w:rsidRDefault="009E60C5" w:rsidP="008A0AEC">
      <w:pPr>
        <w:rPr>
          <w:rFonts w:ascii="Arial" w:hAnsi="Arial"/>
          <w:sz w:val="22"/>
          <w:szCs w:val="22"/>
        </w:rPr>
      </w:pPr>
    </w:p>
    <w:p w:rsidR="00536C12" w:rsidRDefault="00DE253E" w:rsidP="00F41DF8">
      <w:pPr>
        <w:pStyle w:val="ListParagraph"/>
        <w:numPr>
          <w:ilvl w:val="1"/>
          <w:numId w:val="1"/>
        </w:numPr>
        <w:jc w:val="both"/>
        <w:rPr>
          <w:rFonts w:ascii="Arial" w:hAnsi="Arial"/>
          <w:sz w:val="22"/>
          <w:szCs w:val="22"/>
        </w:rPr>
      </w:pPr>
      <w:r>
        <w:rPr>
          <w:rFonts w:ascii="Arial" w:hAnsi="Arial"/>
          <w:sz w:val="22"/>
          <w:szCs w:val="22"/>
        </w:rPr>
        <w:t>The submission noted</w:t>
      </w:r>
      <w:r w:rsidR="00536C12">
        <w:rPr>
          <w:rFonts w:ascii="Arial" w:hAnsi="Arial"/>
          <w:sz w:val="22"/>
          <w:szCs w:val="22"/>
        </w:rPr>
        <w:t xml:space="preserve"> that the PBS listing for DPI mannitol was originally modelled on the PBS listing for </w:t>
      </w:r>
      <w:proofErr w:type="spellStart"/>
      <w:r w:rsidR="00536C12">
        <w:rPr>
          <w:rFonts w:ascii="Arial" w:hAnsi="Arial"/>
          <w:sz w:val="22"/>
          <w:szCs w:val="22"/>
        </w:rPr>
        <w:t>dornase</w:t>
      </w:r>
      <w:proofErr w:type="spellEnd"/>
      <w:r w:rsidR="00536C12">
        <w:rPr>
          <w:rFonts w:ascii="Arial" w:hAnsi="Arial"/>
          <w:sz w:val="22"/>
          <w:szCs w:val="22"/>
        </w:rPr>
        <w:t xml:space="preserve"> </w:t>
      </w:r>
      <w:proofErr w:type="spellStart"/>
      <w:r w:rsidR="00536C12">
        <w:rPr>
          <w:rFonts w:ascii="Arial" w:hAnsi="Arial"/>
          <w:sz w:val="22"/>
          <w:szCs w:val="22"/>
        </w:rPr>
        <w:t>alfa</w:t>
      </w:r>
      <w:proofErr w:type="spellEnd"/>
      <w:r w:rsidR="00536C12">
        <w:rPr>
          <w:rFonts w:ascii="Arial" w:hAnsi="Arial"/>
          <w:sz w:val="22"/>
          <w:szCs w:val="22"/>
        </w:rPr>
        <w:t xml:space="preserve">. </w:t>
      </w:r>
      <w:r>
        <w:rPr>
          <w:rFonts w:ascii="Arial" w:hAnsi="Arial"/>
          <w:sz w:val="22"/>
          <w:szCs w:val="22"/>
        </w:rPr>
        <w:t>However, the submission argued</w:t>
      </w:r>
      <w:r w:rsidR="00536C12">
        <w:rPr>
          <w:rFonts w:ascii="Arial" w:hAnsi="Arial"/>
          <w:sz w:val="22"/>
          <w:szCs w:val="22"/>
        </w:rPr>
        <w:t xml:space="preserve"> that there </w:t>
      </w:r>
      <w:r w:rsidR="0020750E">
        <w:rPr>
          <w:rFonts w:ascii="Arial" w:hAnsi="Arial"/>
          <w:sz w:val="22"/>
          <w:szCs w:val="22"/>
        </w:rPr>
        <w:t>wa</w:t>
      </w:r>
      <w:r w:rsidR="00536C12">
        <w:rPr>
          <w:rFonts w:ascii="Arial" w:hAnsi="Arial"/>
          <w:sz w:val="22"/>
          <w:szCs w:val="22"/>
        </w:rPr>
        <w:t xml:space="preserve">s no specific reason why </w:t>
      </w:r>
      <w:r>
        <w:rPr>
          <w:rFonts w:ascii="Arial" w:hAnsi="Arial"/>
          <w:sz w:val="22"/>
          <w:szCs w:val="22"/>
        </w:rPr>
        <w:t xml:space="preserve">the listing of DPI mannitol should reflect </w:t>
      </w:r>
      <w:proofErr w:type="spellStart"/>
      <w:r>
        <w:rPr>
          <w:rFonts w:ascii="Arial" w:hAnsi="Arial"/>
          <w:sz w:val="22"/>
          <w:szCs w:val="22"/>
        </w:rPr>
        <w:t>dornase</w:t>
      </w:r>
      <w:proofErr w:type="spellEnd"/>
      <w:r>
        <w:rPr>
          <w:rFonts w:ascii="Arial" w:hAnsi="Arial"/>
          <w:sz w:val="22"/>
          <w:szCs w:val="22"/>
        </w:rPr>
        <w:t xml:space="preserve"> </w:t>
      </w:r>
      <w:proofErr w:type="spellStart"/>
      <w:r>
        <w:rPr>
          <w:rFonts w:ascii="Arial" w:hAnsi="Arial"/>
          <w:sz w:val="22"/>
          <w:szCs w:val="22"/>
        </w:rPr>
        <w:t>alfa</w:t>
      </w:r>
      <w:proofErr w:type="spellEnd"/>
      <w:r>
        <w:rPr>
          <w:rFonts w:ascii="Arial" w:hAnsi="Arial"/>
          <w:sz w:val="22"/>
          <w:szCs w:val="22"/>
        </w:rPr>
        <w:t xml:space="preserve"> and instead suggests that a simplified listing (such as</w:t>
      </w:r>
      <w:r w:rsidR="00730067">
        <w:rPr>
          <w:rFonts w:ascii="Arial" w:hAnsi="Arial"/>
          <w:sz w:val="22"/>
          <w:szCs w:val="22"/>
        </w:rPr>
        <w:t xml:space="preserve"> the listing recently recommended for inhaled tobramycin powder)</w:t>
      </w:r>
      <w:r>
        <w:rPr>
          <w:rFonts w:ascii="Arial" w:hAnsi="Arial"/>
          <w:sz w:val="22"/>
          <w:szCs w:val="22"/>
        </w:rPr>
        <w:t xml:space="preserve"> may be more appropriate. The submission offered</w:t>
      </w:r>
      <w:r w:rsidR="00730067">
        <w:rPr>
          <w:rFonts w:ascii="Arial" w:hAnsi="Arial"/>
          <w:sz w:val="22"/>
          <w:szCs w:val="22"/>
        </w:rPr>
        <w:t xml:space="preserve"> two alternate wordings:</w:t>
      </w:r>
    </w:p>
    <w:p w:rsidR="00730067" w:rsidRPr="00DD6F41" w:rsidRDefault="00730067" w:rsidP="00730067">
      <w:pPr>
        <w:pStyle w:val="ListParagraph"/>
        <w:rPr>
          <w:rFonts w:ascii="Arial" w:hAnsi="Arial"/>
          <w:sz w:val="10"/>
          <w:szCs w:val="22"/>
        </w:rPr>
      </w:pPr>
    </w:p>
    <w:p w:rsidR="00730067" w:rsidRDefault="00730067" w:rsidP="00730067">
      <w:pPr>
        <w:pStyle w:val="ListParagraph"/>
        <w:jc w:val="both"/>
        <w:rPr>
          <w:rFonts w:ascii="Arial" w:hAnsi="Arial"/>
          <w:sz w:val="22"/>
          <w:szCs w:val="22"/>
        </w:rPr>
      </w:pPr>
      <w:r>
        <w:rPr>
          <w:rFonts w:ascii="Arial" w:hAnsi="Arial"/>
          <w:sz w:val="22"/>
          <w:szCs w:val="22"/>
        </w:rPr>
        <w:t>“Confirmed diagnosis of CF”</w:t>
      </w:r>
    </w:p>
    <w:p w:rsidR="00730067" w:rsidRPr="00DD6F41" w:rsidRDefault="00730067" w:rsidP="00730067">
      <w:pPr>
        <w:pStyle w:val="ListParagraph"/>
        <w:jc w:val="both"/>
        <w:rPr>
          <w:rFonts w:ascii="Arial" w:hAnsi="Arial"/>
          <w:sz w:val="10"/>
          <w:szCs w:val="22"/>
        </w:rPr>
      </w:pPr>
    </w:p>
    <w:p w:rsidR="00730067" w:rsidRDefault="00730067" w:rsidP="00730067">
      <w:pPr>
        <w:pStyle w:val="ListParagraph"/>
        <w:jc w:val="both"/>
        <w:rPr>
          <w:rFonts w:ascii="Arial" w:hAnsi="Arial"/>
          <w:sz w:val="22"/>
          <w:szCs w:val="22"/>
        </w:rPr>
      </w:pPr>
      <w:r>
        <w:rPr>
          <w:rFonts w:ascii="Arial" w:hAnsi="Arial"/>
          <w:sz w:val="22"/>
          <w:szCs w:val="22"/>
        </w:rPr>
        <w:t>OR</w:t>
      </w:r>
    </w:p>
    <w:p w:rsidR="00730067" w:rsidRPr="00DD6F41" w:rsidRDefault="00730067" w:rsidP="00730067">
      <w:pPr>
        <w:pStyle w:val="ListParagraph"/>
        <w:jc w:val="both"/>
        <w:rPr>
          <w:rFonts w:ascii="Arial" w:hAnsi="Arial"/>
          <w:sz w:val="10"/>
          <w:szCs w:val="22"/>
        </w:rPr>
      </w:pPr>
    </w:p>
    <w:p w:rsidR="00730067" w:rsidRDefault="00730067" w:rsidP="00730067">
      <w:pPr>
        <w:pStyle w:val="ListParagraph"/>
        <w:jc w:val="both"/>
        <w:rPr>
          <w:rFonts w:ascii="Arial" w:hAnsi="Arial"/>
          <w:sz w:val="22"/>
          <w:szCs w:val="22"/>
        </w:rPr>
      </w:pPr>
      <w:proofErr w:type="gramStart"/>
      <w:r>
        <w:rPr>
          <w:rFonts w:ascii="Arial" w:hAnsi="Arial"/>
          <w:sz w:val="22"/>
          <w:szCs w:val="22"/>
        </w:rPr>
        <w:lastRenderedPageBreak/>
        <w:t>“</w:t>
      </w:r>
      <w:r w:rsidRPr="00730067">
        <w:rPr>
          <w:rFonts w:ascii="Arial" w:hAnsi="Arial"/>
          <w:sz w:val="22"/>
          <w:szCs w:val="22"/>
        </w:rPr>
        <w:t>Cystic fibrosis.</w:t>
      </w:r>
      <w:proofErr w:type="gramEnd"/>
      <w:r w:rsidRPr="00730067">
        <w:rPr>
          <w:rFonts w:ascii="Arial" w:hAnsi="Arial"/>
          <w:sz w:val="22"/>
          <w:szCs w:val="22"/>
        </w:rPr>
        <w:t xml:space="preserve"> Patients must be 6 years of age and older with an FEV1 &gt; 30% pred. Patient must be assessed at a cystic fibrosis clinic/centre which is under the control of specialist respiratory physicians with experience and expertise in the management of cystic fibrosis.</w:t>
      </w:r>
      <w:r>
        <w:rPr>
          <w:rFonts w:ascii="Arial" w:hAnsi="Arial"/>
          <w:sz w:val="22"/>
          <w:szCs w:val="22"/>
        </w:rPr>
        <w:t>”</w:t>
      </w:r>
    </w:p>
    <w:p w:rsidR="00B90423" w:rsidRPr="00730067" w:rsidRDefault="00B90423" w:rsidP="00730067">
      <w:pPr>
        <w:jc w:val="both"/>
        <w:rPr>
          <w:rFonts w:ascii="Arial" w:hAnsi="Arial"/>
          <w:sz w:val="22"/>
          <w:szCs w:val="22"/>
        </w:rPr>
      </w:pPr>
    </w:p>
    <w:p w:rsidR="004E79C2" w:rsidRPr="005D7E92" w:rsidRDefault="006A4489" w:rsidP="00D60144">
      <w:pPr>
        <w:pStyle w:val="ListParagraph"/>
        <w:jc w:val="both"/>
        <w:rPr>
          <w:rFonts w:ascii="Arial" w:hAnsi="Arial"/>
          <w:sz w:val="22"/>
          <w:szCs w:val="22"/>
        </w:rPr>
      </w:pPr>
      <w:r w:rsidRPr="005D7E92">
        <w:rPr>
          <w:rFonts w:ascii="Arial" w:hAnsi="Arial"/>
          <w:sz w:val="22"/>
          <w:szCs w:val="22"/>
        </w:rPr>
        <w:t xml:space="preserve">The submission provided no evidence to support the </w:t>
      </w:r>
      <w:r w:rsidR="00D60144" w:rsidRPr="005D7E92">
        <w:rPr>
          <w:rFonts w:ascii="Arial" w:hAnsi="Arial"/>
          <w:sz w:val="22"/>
          <w:szCs w:val="22"/>
        </w:rPr>
        <w:t>efficacy, safety and cost-effectiveness</w:t>
      </w:r>
      <w:r w:rsidRPr="005D7E92">
        <w:rPr>
          <w:rFonts w:ascii="Arial" w:hAnsi="Arial"/>
          <w:sz w:val="22"/>
          <w:szCs w:val="22"/>
        </w:rPr>
        <w:t xml:space="preserve"> of DPI mannitol</w:t>
      </w:r>
      <w:r w:rsidR="00D60144" w:rsidRPr="005D7E92">
        <w:rPr>
          <w:rFonts w:ascii="Arial" w:hAnsi="Arial"/>
          <w:sz w:val="22"/>
          <w:szCs w:val="22"/>
        </w:rPr>
        <w:t xml:space="preserve"> in broader cystic fibrosis populations.</w:t>
      </w:r>
      <w:r w:rsidR="00211185" w:rsidRPr="005D7E92">
        <w:rPr>
          <w:rFonts w:ascii="Arial" w:hAnsi="Arial"/>
          <w:sz w:val="22"/>
          <w:szCs w:val="22"/>
        </w:rPr>
        <w:t xml:space="preserve"> </w:t>
      </w:r>
    </w:p>
    <w:p w:rsidR="002A2E8B" w:rsidRPr="005D7E92" w:rsidRDefault="002A2E8B" w:rsidP="0006055F">
      <w:pPr>
        <w:jc w:val="both"/>
        <w:rPr>
          <w:rFonts w:ascii="Arial" w:hAnsi="Arial"/>
          <w:sz w:val="22"/>
          <w:szCs w:val="22"/>
        </w:rPr>
      </w:pPr>
    </w:p>
    <w:p w:rsidR="002C6C71" w:rsidRDefault="009E60C5" w:rsidP="00DD6F41">
      <w:pPr>
        <w:pStyle w:val="ListParagraph"/>
        <w:numPr>
          <w:ilvl w:val="1"/>
          <w:numId w:val="1"/>
        </w:numPr>
        <w:jc w:val="both"/>
        <w:rPr>
          <w:rFonts w:ascii="Arial" w:hAnsi="Arial"/>
          <w:i/>
          <w:sz w:val="22"/>
          <w:szCs w:val="22"/>
        </w:rPr>
      </w:pPr>
      <w:r w:rsidRPr="005D7E92">
        <w:rPr>
          <w:rFonts w:ascii="Arial" w:hAnsi="Arial"/>
          <w:sz w:val="22"/>
          <w:szCs w:val="22"/>
        </w:rPr>
        <w:t xml:space="preserve">Overall, </w:t>
      </w:r>
      <w:r w:rsidR="00B764F8" w:rsidRPr="005D7E92">
        <w:rPr>
          <w:rFonts w:ascii="Arial" w:hAnsi="Arial"/>
          <w:sz w:val="22"/>
          <w:szCs w:val="22"/>
        </w:rPr>
        <w:t>the changes proposed in the submission appeared to be more focused on broadening the eligible patient population rather than reducing the complexity of the current PBS restriction.</w:t>
      </w:r>
      <w:r w:rsidR="008623C7">
        <w:rPr>
          <w:rFonts w:ascii="Arial" w:hAnsi="Arial"/>
          <w:i/>
          <w:sz w:val="22"/>
          <w:szCs w:val="22"/>
        </w:rPr>
        <w:t xml:space="preserve"> </w:t>
      </w:r>
      <w:r w:rsidR="005D7E92" w:rsidRPr="005D7E92">
        <w:rPr>
          <w:rFonts w:ascii="Arial" w:hAnsi="Arial"/>
          <w:sz w:val="22"/>
          <w:szCs w:val="22"/>
        </w:rPr>
        <w:t>Th</w:t>
      </w:r>
      <w:r w:rsidR="00187D9A">
        <w:rPr>
          <w:rFonts w:ascii="Arial" w:hAnsi="Arial"/>
          <w:sz w:val="22"/>
          <w:szCs w:val="22"/>
        </w:rPr>
        <w:t>e Pre-PBAC Response stated</w:t>
      </w:r>
      <w:r w:rsidR="005D7E92" w:rsidRPr="005D7E92">
        <w:rPr>
          <w:rFonts w:ascii="Arial" w:hAnsi="Arial"/>
          <w:sz w:val="22"/>
          <w:szCs w:val="22"/>
        </w:rPr>
        <w:t xml:space="preserve"> that the proposed changes suggested by the sponsor a</w:t>
      </w:r>
      <w:r w:rsidR="00187D9A">
        <w:rPr>
          <w:rFonts w:ascii="Arial" w:hAnsi="Arial"/>
          <w:sz w:val="22"/>
          <w:szCs w:val="22"/>
        </w:rPr>
        <w:t>re</w:t>
      </w:r>
      <w:r w:rsidR="005D7E92" w:rsidRPr="005D7E92">
        <w:rPr>
          <w:rFonts w:ascii="Arial" w:hAnsi="Arial"/>
          <w:sz w:val="22"/>
          <w:szCs w:val="22"/>
        </w:rPr>
        <w:t xml:space="preserve"> primarily to simplify the wording of the current listing and to allow concurrent or intermittent use of DPI mannitol and </w:t>
      </w:r>
      <w:proofErr w:type="spellStart"/>
      <w:r w:rsidR="005D7E92" w:rsidRPr="005D7E92">
        <w:rPr>
          <w:rFonts w:ascii="Arial" w:hAnsi="Arial"/>
          <w:sz w:val="22"/>
          <w:szCs w:val="22"/>
        </w:rPr>
        <w:t>dornase</w:t>
      </w:r>
      <w:proofErr w:type="spellEnd"/>
      <w:r w:rsidR="005D7E92" w:rsidRPr="005D7E92">
        <w:rPr>
          <w:rFonts w:ascii="Arial" w:hAnsi="Arial"/>
          <w:sz w:val="22"/>
          <w:szCs w:val="22"/>
        </w:rPr>
        <w:t xml:space="preserve"> </w:t>
      </w:r>
      <w:proofErr w:type="spellStart"/>
      <w:r w:rsidR="005D7E92" w:rsidRPr="005D7E92">
        <w:rPr>
          <w:rFonts w:ascii="Arial" w:hAnsi="Arial"/>
          <w:sz w:val="22"/>
          <w:szCs w:val="22"/>
        </w:rPr>
        <w:t>alfa</w:t>
      </w:r>
      <w:proofErr w:type="spellEnd"/>
      <w:r w:rsidR="005D7E92" w:rsidRPr="005D7E92">
        <w:rPr>
          <w:rFonts w:ascii="Arial" w:hAnsi="Arial"/>
          <w:sz w:val="22"/>
          <w:szCs w:val="22"/>
        </w:rPr>
        <w:t xml:space="preserve"> in patients for whom this combination is clinically appropriate.</w:t>
      </w:r>
      <w:r w:rsidR="005D7E92">
        <w:rPr>
          <w:rFonts w:ascii="Arial" w:hAnsi="Arial"/>
          <w:i/>
          <w:sz w:val="22"/>
          <w:szCs w:val="22"/>
        </w:rPr>
        <w:t xml:space="preserve"> </w:t>
      </w:r>
    </w:p>
    <w:p w:rsidR="00DD6F41" w:rsidRDefault="00DD6F41" w:rsidP="00DD6F41">
      <w:pPr>
        <w:pStyle w:val="ListParagraph"/>
        <w:jc w:val="both"/>
        <w:rPr>
          <w:rFonts w:ascii="Arial" w:hAnsi="Arial"/>
          <w:i/>
          <w:sz w:val="22"/>
          <w:szCs w:val="22"/>
        </w:rPr>
      </w:pPr>
    </w:p>
    <w:p w:rsidR="00DD6F41" w:rsidRPr="00DD6F41" w:rsidRDefault="00DD6F41" w:rsidP="00DD6F41">
      <w:pPr>
        <w:pStyle w:val="ListParagraph"/>
        <w:rPr>
          <w:rFonts w:ascii="Arial" w:hAnsi="Arial" w:cs="Arial"/>
          <w:i/>
          <w:sz w:val="22"/>
          <w:szCs w:val="22"/>
        </w:rPr>
      </w:pPr>
      <w:r w:rsidRPr="00C638BD">
        <w:rPr>
          <w:rFonts w:ascii="Arial" w:hAnsi="Arial" w:cs="Arial"/>
          <w:i/>
          <w:sz w:val="22"/>
          <w:szCs w:val="22"/>
        </w:rPr>
        <w:t>For more deta</w:t>
      </w:r>
      <w:r>
        <w:rPr>
          <w:rFonts w:ascii="Arial" w:hAnsi="Arial" w:cs="Arial"/>
          <w:i/>
          <w:sz w:val="22"/>
          <w:szCs w:val="22"/>
        </w:rPr>
        <w:t>il on PBAC’s view, see section 5</w:t>
      </w:r>
      <w:r w:rsidRPr="00C638BD">
        <w:rPr>
          <w:rFonts w:ascii="Arial" w:hAnsi="Arial" w:cs="Arial"/>
          <w:i/>
          <w:sz w:val="22"/>
          <w:szCs w:val="22"/>
        </w:rPr>
        <w:t xml:space="preserve"> “PBAC outcome”</w:t>
      </w:r>
    </w:p>
    <w:p w:rsidR="005B22B4" w:rsidRDefault="005B22B4">
      <w:pPr>
        <w:rPr>
          <w:rFonts w:ascii="Arial" w:hAnsi="Arial"/>
          <w:b/>
          <w:sz w:val="22"/>
          <w:szCs w:val="22"/>
        </w:rPr>
      </w:pPr>
    </w:p>
    <w:p w:rsidR="00CE10C4" w:rsidRPr="00882085" w:rsidRDefault="00CE10C4" w:rsidP="00187D9A">
      <w:pPr>
        <w:pStyle w:val="ListParagraph"/>
        <w:numPr>
          <w:ilvl w:val="0"/>
          <w:numId w:val="1"/>
        </w:numPr>
        <w:jc w:val="both"/>
        <w:rPr>
          <w:rFonts w:ascii="Arial" w:hAnsi="Arial"/>
          <w:sz w:val="22"/>
          <w:szCs w:val="22"/>
        </w:rPr>
      </w:pPr>
      <w:r w:rsidRPr="00882085">
        <w:rPr>
          <w:rFonts w:ascii="Arial" w:hAnsi="Arial"/>
          <w:b/>
          <w:sz w:val="22"/>
          <w:szCs w:val="22"/>
        </w:rPr>
        <w:t>Background</w:t>
      </w:r>
    </w:p>
    <w:p w:rsidR="006A12A5" w:rsidRPr="008B2D6B" w:rsidRDefault="006A12A5" w:rsidP="00882085">
      <w:pPr>
        <w:jc w:val="both"/>
        <w:rPr>
          <w:rFonts w:ascii="Arial" w:hAnsi="Arial"/>
          <w:sz w:val="18"/>
          <w:szCs w:val="22"/>
        </w:rPr>
      </w:pPr>
    </w:p>
    <w:p w:rsidR="002B1AE6" w:rsidRPr="007B2656" w:rsidRDefault="005349F1" w:rsidP="00187D9A">
      <w:pPr>
        <w:pStyle w:val="ListParagraph"/>
        <w:numPr>
          <w:ilvl w:val="1"/>
          <w:numId w:val="1"/>
        </w:numPr>
        <w:jc w:val="both"/>
        <w:rPr>
          <w:rFonts w:ascii="Arial" w:hAnsi="Arial"/>
          <w:i/>
          <w:sz w:val="22"/>
          <w:szCs w:val="22"/>
        </w:rPr>
      </w:pPr>
      <w:r>
        <w:rPr>
          <w:rFonts w:ascii="Arial" w:hAnsi="Arial"/>
          <w:sz w:val="22"/>
          <w:szCs w:val="22"/>
        </w:rPr>
        <w:t>DPI mannitol</w:t>
      </w:r>
      <w:r w:rsidR="00476245">
        <w:rPr>
          <w:rFonts w:ascii="Arial" w:hAnsi="Arial"/>
          <w:sz w:val="22"/>
          <w:szCs w:val="22"/>
        </w:rPr>
        <w:t xml:space="preserve"> is TGA registered for</w:t>
      </w:r>
      <w:r>
        <w:rPr>
          <w:rFonts w:ascii="Arial" w:hAnsi="Arial"/>
          <w:sz w:val="22"/>
          <w:szCs w:val="22"/>
        </w:rPr>
        <w:t xml:space="preserve"> </w:t>
      </w:r>
      <w:r w:rsidR="007B2656">
        <w:rPr>
          <w:rFonts w:ascii="Arial" w:hAnsi="Arial"/>
          <w:sz w:val="22"/>
          <w:szCs w:val="22"/>
        </w:rPr>
        <w:t xml:space="preserve">the ‘treatment of </w:t>
      </w:r>
      <w:r w:rsidR="001179F9">
        <w:rPr>
          <w:rFonts w:ascii="Arial" w:hAnsi="Arial"/>
          <w:sz w:val="22"/>
          <w:szCs w:val="22"/>
        </w:rPr>
        <w:t>CF</w:t>
      </w:r>
      <w:r w:rsidR="007B2656">
        <w:rPr>
          <w:rFonts w:ascii="Arial" w:hAnsi="Arial"/>
          <w:sz w:val="22"/>
          <w:szCs w:val="22"/>
        </w:rPr>
        <w:t xml:space="preserve"> </w:t>
      </w:r>
      <w:r w:rsidR="007B2656" w:rsidRPr="007B2656">
        <w:rPr>
          <w:rFonts w:ascii="Arial" w:hAnsi="Arial"/>
          <w:sz w:val="22"/>
          <w:szCs w:val="22"/>
        </w:rPr>
        <w:t xml:space="preserve">in both paediatric and adult populations six years and above as either an add-on therapy to </w:t>
      </w:r>
      <w:proofErr w:type="spellStart"/>
      <w:r w:rsidR="007B2656" w:rsidRPr="007B2656">
        <w:rPr>
          <w:rFonts w:ascii="Arial" w:hAnsi="Arial"/>
          <w:sz w:val="22"/>
          <w:szCs w:val="22"/>
        </w:rPr>
        <w:t>dornase</w:t>
      </w:r>
      <w:proofErr w:type="spellEnd"/>
      <w:r w:rsidR="007B2656" w:rsidRPr="007B2656">
        <w:rPr>
          <w:rFonts w:ascii="Arial" w:hAnsi="Arial"/>
          <w:sz w:val="22"/>
          <w:szCs w:val="22"/>
        </w:rPr>
        <w:t xml:space="preserve"> </w:t>
      </w:r>
      <w:proofErr w:type="spellStart"/>
      <w:r w:rsidR="007B2656" w:rsidRPr="007B2656">
        <w:rPr>
          <w:rFonts w:ascii="Arial" w:hAnsi="Arial"/>
          <w:sz w:val="22"/>
          <w:szCs w:val="22"/>
        </w:rPr>
        <w:t>alfa</w:t>
      </w:r>
      <w:proofErr w:type="spellEnd"/>
      <w:r w:rsidR="007B2656" w:rsidRPr="007B2656">
        <w:rPr>
          <w:rFonts w:ascii="Arial" w:hAnsi="Arial"/>
          <w:sz w:val="22"/>
          <w:szCs w:val="22"/>
        </w:rPr>
        <w:t xml:space="preserve"> or in patients intolerant </w:t>
      </w:r>
      <w:proofErr w:type="gramStart"/>
      <w:r w:rsidR="007B2656" w:rsidRPr="007B2656">
        <w:rPr>
          <w:rFonts w:ascii="Arial" w:hAnsi="Arial"/>
          <w:sz w:val="22"/>
          <w:szCs w:val="22"/>
        </w:rPr>
        <w:t>to</w:t>
      </w:r>
      <w:r w:rsidR="004C1D7A">
        <w:rPr>
          <w:rFonts w:ascii="Arial" w:hAnsi="Arial"/>
          <w:sz w:val="22"/>
          <w:szCs w:val="22"/>
        </w:rPr>
        <w:t>,</w:t>
      </w:r>
      <w:proofErr w:type="gramEnd"/>
      <w:r w:rsidR="007B2656" w:rsidRPr="007B2656">
        <w:rPr>
          <w:rFonts w:ascii="Arial" w:hAnsi="Arial"/>
          <w:sz w:val="22"/>
          <w:szCs w:val="22"/>
        </w:rPr>
        <w:t xml:space="preserve"> or inadequately responsive to </w:t>
      </w:r>
      <w:proofErr w:type="spellStart"/>
      <w:r w:rsidR="007B2656" w:rsidRPr="007B2656">
        <w:rPr>
          <w:rFonts w:ascii="Arial" w:hAnsi="Arial"/>
          <w:sz w:val="22"/>
          <w:szCs w:val="22"/>
        </w:rPr>
        <w:t>dornase</w:t>
      </w:r>
      <w:proofErr w:type="spellEnd"/>
      <w:r w:rsidR="007B2656" w:rsidRPr="007B2656">
        <w:rPr>
          <w:rFonts w:ascii="Arial" w:hAnsi="Arial"/>
          <w:sz w:val="22"/>
          <w:szCs w:val="22"/>
        </w:rPr>
        <w:t xml:space="preserve"> </w:t>
      </w:r>
      <w:proofErr w:type="spellStart"/>
      <w:r w:rsidR="007B2656" w:rsidRPr="007B2656">
        <w:rPr>
          <w:rFonts w:ascii="Arial" w:hAnsi="Arial"/>
          <w:sz w:val="22"/>
          <w:szCs w:val="22"/>
        </w:rPr>
        <w:t>alfa</w:t>
      </w:r>
      <w:proofErr w:type="spellEnd"/>
      <w:r w:rsidR="004C1D7A">
        <w:rPr>
          <w:rFonts w:ascii="Arial" w:hAnsi="Arial"/>
          <w:sz w:val="22"/>
          <w:szCs w:val="22"/>
        </w:rPr>
        <w:t>’.</w:t>
      </w:r>
    </w:p>
    <w:p w:rsidR="006B0D94" w:rsidRPr="008B2D6B" w:rsidRDefault="006B0D94" w:rsidP="00882085">
      <w:pPr>
        <w:pStyle w:val="ListParagraph"/>
        <w:jc w:val="both"/>
        <w:rPr>
          <w:rFonts w:ascii="Arial" w:hAnsi="Arial"/>
          <w:sz w:val="18"/>
          <w:szCs w:val="22"/>
        </w:rPr>
      </w:pPr>
    </w:p>
    <w:p w:rsidR="00326E79" w:rsidRPr="00CC1B2D" w:rsidRDefault="00B96987" w:rsidP="00187D9A">
      <w:pPr>
        <w:pStyle w:val="ListParagraph"/>
        <w:numPr>
          <w:ilvl w:val="1"/>
          <w:numId w:val="1"/>
        </w:numPr>
        <w:jc w:val="both"/>
        <w:rPr>
          <w:rFonts w:ascii="Arial" w:hAnsi="Arial"/>
          <w:sz w:val="22"/>
          <w:szCs w:val="22"/>
        </w:rPr>
      </w:pPr>
      <w:r>
        <w:rPr>
          <w:rFonts w:ascii="Arial" w:hAnsi="Arial"/>
          <w:sz w:val="22"/>
          <w:szCs w:val="22"/>
        </w:rPr>
        <w:t>There have been four</w:t>
      </w:r>
      <w:r w:rsidR="00CC1B2D" w:rsidRPr="00CC1B2D">
        <w:rPr>
          <w:rFonts w:ascii="Arial" w:hAnsi="Arial"/>
          <w:sz w:val="22"/>
          <w:szCs w:val="22"/>
        </w:rPr>
        <w:t xml:space="preserve"> previous </w:t>
      </w:r>
      <w:r w:rsidR="00CC1B2D">
        <w:rPr>
          <w:rFonts w:ascii="Arial" w:hAnsi="Arial"/>
          <w:sz w:val="22"/>
          <w:szCs w:val="22"/>
        </w:rPr>
        <w:t xml:space="preserve">PBAC </w:t>
      </w:r>
      <w:r w:rsidR="00CC1B2D" w:rsidRPr="00CC1B2D">
        <w:rPr>
          <w:rFonts w:ascii="Arial" w:hAnsi="Arial"/>
          <w:sz w:val="22"/>
          <w:szCs w:val="22"/>
        </w:rPr>
        <w:t>submissions and one DUSC review for DPI mannitol.</w:t>
      </w:r>
    </w:p>
    <w:p w:rsidR="006A12A5" w:rsidRPr="008B2D6B" w:rsidRDefault="006A12A5" w:rsidP="00882085">
      <w:pPr>
        <w:pStyle w:val="ListParagraph"/>
        <w:jc w:val="both"/>
        <w:rPr>
          <w:rFonts w:ascii="Arial" w:hAnsi="Arial"/>
          <w:sz w:val="18"/>
          <w:szCs w:val="22"/>
        </w:rPr>
      </w:pPr>
    </w:p>
    <w:p w:rsidR="004C3150" w:rsidRPr="004C3150" w:rsidRDefault="004C3150" w:rsidP="004C3150">
      <w:pPr>
        <w:pStyle w:val="ListParagraph"/>
        <w:rPr>
          <w:rFonts w:ascii="Arial Narrow" w:hAnsi="Arial Narrow"/>
          <w:b/>
          <w:sz w:val="20"/>
        </w:rPr>
      </w:pPr>
      <w:r w:rsidRPr="004C3150">
        <w:rPr>
          <w:rFonts w:ascii="Arial Narrow" w:hAnsi="Arial Narrow"/>
          <w:b/>
          <w:sz w:val="20"/>
        </w:rPr>
        <w:t>Previous PBAC con</w:t>
      </w:r>
      <w:r>
        <w:rPr>
          <w:rFonts w:ascii="Arial Narrow" w:hAnsi="Arial Narrow"/>
          <w:b/>
          <w:sz w:val="20"/>
        </w:rPr>
        <w:t>siderations of DPI mannitol</w:t>
      </w:r>
    </w:p>
    <w:tbl>
      <w:tblPr>
        <w:tblStyle w:val="TableGrid"/>
        <w:tblW w:w="0" w:type="auto"/>
        <w:tblInd w:w="817" w:type="dxa"/>
        <w:tblLook w:val="04A0" w:firstRow="1" w:lastRow="0" w:firstColumn="1" w:lastColumn="0" w:noHBand="0" w:noVBand="1"/>
        <w:tblCaption w:val="Previous PBAC considerations of DPI mannitol"/>
        <w:tblDescription w:val="The table describes the previous PBAC considerations of DPI mannitol in March 2011, November 2011, March 2012, March 2013 and October 2014. "/>
      </w:tblPr>
      <w:tblGrid>
        <w:gridCol w:w="1041"/>
        <w:gridCol w:w="7322"/>
      </w:tblGrid>
      <w:tr w:rsidR="004C3150" w:rsidRPr="001179A7" w:rsidTr="00AB700A">
        <w:trPr>
          <w:tblHeader/>
        </w:trPr>
        <w:tc>
          <w:tcPr>
            <w:tcW w:w="1041" w:type="dxa"/>
            <w:vAlign w:val="center"/>
          </w:tcPr>
          <w:p w:rsidR="004C3150" w:rsidRPr="001179A7" w:rsidRDefault="004C3150" w:rsidP="004C7D83">
            <w:pPr>
              <w:jc w:val="center"/>
              <w:rPr>
                <w:rFonts w:ascii="Arial Narrow" w:hAnsi="Arial Narrow"/>
                <w:b/>
                <w:sz w:val="20"/>
              </w:rPr>
            </w:pPr>
            <w:r w:rsidRPr="001179A7">
              <w:rPr>
                <w:rFonts w:ascii="Arial Narrow" w:hAnsi="Arial Narrow"/>
                <w:b/>
                <w:sz w:val="20"/>
              </w:rPr>
              <w:t>PBAC meeting</w:t>
            </w:r>
          </w:p>
        </w:tc>
        <w:tc>
          <w:tcPr>
            <w:tcW w:w="7322" w:type="dxa"/>
            <w:vAlign w:val="center"/>
          </w:tcPr>
          <w:p w:rsidR="004C3150" w:rsidRPr="001179A7" w:rsidRDefault="004C3150" w:rsidP="004C7D83">
            <w:pPr>
              <w:jc w:val="center"/>
              <w:rPr>
                <w:rFonts w:ascii="Arial Narrow" w:hAnsi="Arial Narrow"/>
                <w:b/>
                <w:sz w:val="20"/>
              </w:rPr>
            </w:pPr>
            <w:r>
              <w:rPr>
                <w:rFonts w:ascii="Arial Narrow" w:hAnsi="Arial Narrow"/>
                <w:b/>
                <w:sz w:val="20"/>
              </w:rPr>
              <w:t>Details</w:t>
            </w:r>
          </w:p>
        </w:tc>
      </w:tr>
      <w:tr w:rsidR="004C3150" w:rsidRPr="001179A7" w:rsidTr="00DD6F41">
        <w:tc>
          <w:tcPr>
            <w:tcW w:w="1041" w:type="dxa"/>
            <w:vAlign w:val="center"/>
          </w:tcPr>
          <w:p w:rsidR="004C3150" w:rsidRDefault="004C3150" w:rsidP="00EA4587">
            <w:pPr>
              <w:jc w:val="center"/>
              <w:rPr>
                <w:rFonts w:ascii="Arial Narrow" w:hAnsi="Arial Narrow"/>
                <w:sz w:val="20"/>
              </w:rPr>
            </w:pPr>
            <w:r>
              <w:rPr>
                <w:rFonts w:ascii="Arial Narrow" w:hAnsi="Arial Narrow"/>
                <w:sz w:val="20"/>
              </w:rPr>
              <w:t>March</w:t>
            </w:r>
          </w:p>
          <w:p w:rsidR="004C3150" w:rsidRPr="001179A7" w:rsidRDefault="004C3150" w:rsidP="00EA4587">
            <w:pPr>
              <w:jc w:val="center"/>
              <w:rPr>
                <w:rFonts w:ascii="Arial Narrow" w:hAnsi="Arial Narrow"/>
                <w:sz w:val="20"/>
              </w:rPr>
            </w:pPr>
            <w:r>
              <w:rPr>
                <w:rFonts w:ascii="Arial Narrow" w:hAnsi="Arial Narrow"/>
                <w:sz w:val="20"/>
              </w:rPr>
              <w:t>2011</w:t>
            </w:r>
          </w:p>
        </w:tc>
        <w:tc>
          <w:tcPr>
            <w:tcW w:w="7322" w:type="dxa"/>
          </w:tcPr>
          <w:p w:rsidR="004C3150" w:rsidRDefault="004C3150" w:rsidP="004C7D83">
            <w:pPr>
              <w:rPr>
                <w:rFonts w:ascii="Arial Narrow" w:hAnsi="Arial Narrow"/>
                <w:sz w:val="20"/>
              </w:rPr>
            </w:pPr>
            <w:r w:rsidRPr="001179A7">
              <w:rPr>
                <w:rFonts w:ascii="Arial Narrow" w:hAnsi="Arial Narrow"/>
                <w:b/>
                <w:sz w:val="20"/>
              </w:rPr>
              <w:t>Purpose:</w:t>
            </w:r>
            <w:r w:rsidRPr="0061115F">
              <w:rPr>
                <w:rFonts w:ascii="Arial Narrow" w:hAnsi="Arial Narrow"/>
                <w:sz w:val="20"/>
              </w:rPr>
              <w:t xml:space="preserve"> </w:t>
            </w:r>
            <w:r w:rsidR="001E493D">
              <w:rPr>
                <w:rFonts w:ascii="Arial Narrow" w:hAnsi="Arial Narrow"/>
                <w:sz w:val="20"/>
              </w:rPr>
              <w:t>Request</w:t>
            </w:r>
            <w:r w:rsidR="004C1D7A">
              <w:rPr>
                <w:rFonts w:ascii="Arial Narrow" w:hAnsi="Arial Narrow"/>
                <w:sz w:val="20"/>
              </w:rPr>
              <w:t>ed</w:t>
            </w:r>
            <w:r w:rsidR="001E493D">
              <w:rPr>
                <w:rFonts w:ascii="Arial Narrow" w:hAnsi="Arial Narrow"/>
                <w:sz w:val="20"/>
              </w:rPr>
              <w:t xml:space="preserve"> listing</w:t>
            </w:r>
            <w:r w:rsidR="00E85E64">
              <w:rPr>
                <w:rFonts w:ascii="Arial Narrow" w:hAnsi="Arial Narrow"/>
                <w:sz w:val="20"/>
              </w:rPr>
              <w:t xml:space="preserve"> of DPI mannitol</w:t>
            </w:r>
            <w:r w:rsidR="001E493D">
              <w:rPr>
                <w:rFonts w:ascii="Arial Narrow" w:hAnsi="Arial Narrow"/>
                <w:sz w:val="20"/>
              </w:rPr>
              <w:t xml:space="preserve"> </w:t>
            </w:r>
            <w:r w:rsidR="00C9562B" w:rsidRPr="00C9562B">
              <w:rPr>
                <w:rFonts w:ascii="Arial Narrow" w:hAnsi="Arial Narrow"/>
                <w:sz w:val="20"/>
              </w:rPr>
              <w:t>for the t</w:t>
            </w:r>
            <w:r w:rsidR="00C9562B">
              <w:rPr>
                <w:rFonts w:ascii="Arial Narrow" w:hAnsi="Arial Narrow"/>
                <w:sz w:val="20"/>
              </w:rPr>
              <w:t>reatment of cystic fibrosis</w:t>
            </w:r>
            <w:r w:rsidR="00C9562B" w:rsidRPr="00C9562B">
              <w:rPr>
                <w:rFonts w:ascii="Arial Narrow" w:hAnsi="Arial Narrow"/>
                <w:sz w:val="20"/>
              </w:rPr>
              <w:t xml:space="preserve"> in both paediatric (six years and above) and adult populations as either add on therapy to </w:t>
            </w:r>
            <w:proofErr w:type="spellStart"/>
            <w:r w:rsidR="00C9562B" w:rsidRPr="00C9562B">
              <w:rPr>
                <w:rFonts w:ascii="Arial Narrow" w:hAnsi="Arial Narrow"/>
                <w:sz w:val="20"/>
              </w:rPr>
              <w:t>dornase</w:t>
            </w:r>
            <w:proofErr w:type="spellEnd"/>
            <w:r w:rsidR="00C9562B" w:rsidRPr="00C9562B">
              <w:rPr>
                <w:rFonts w:ascii="Arial Narrow" w:hAnsi="Arial Narrow"/>
                <w:sz w:val="20"/>
              </w:rPr>
              <w:t xml:space="preserve"> </w:t>
            </w:r>
            <w:proofErr w:type="spellStart"/>
            <w:r w:rsidR="00C9562B" w:rsidRPr="00C9562B">
              <w:rPr>
                <w:rFonts w:ascii="Arial Narrow" w:hAnsi="Arial Narrow"/>
                <w:sz w:val="20"/>
              </w:rPr>
              <w:t>alfa</w:t>
            </w:r>
            <w:proofErr w:type="spellEnd"/>
            <w:r w:rsidR="00C9562B" w:rsidRPr="00C9562B">
              <w:rPr>
                <w:rFonts w:ascii="Arial Narrow" w:hAnsi="Arial Narrow"/>
                <w:sz w:val="20"/>
              </w:rPr>
              <w:t xml:space="preserve"> or in patients intolerant to, or inadequately responsive to </w:t>
            </w:r>
            <w:proofErr w:type="spellStart"/>
            <w:r w:rsidR="00C9562B" w:rsidRPr="00C9562B">
              <w:rPr>
                <w:rFonts w:ascii="Arial Narrow" w:hAnsi="Arial Narrow"/>
                <w:sz w:val="20"/>
              </w:rPr>
              <w:t>dornase</w:t>
            </w:r>
            <w:proofErr w:type="spellEnd"/>
            <w:r w:rsidR="00C9562B" w:rsidRPr="00C9562B">
              <w:rPr>
                <w:rFonts w:ascii="Arial Narrow" w:hAnsi="Arial Narrow"/>
                <w:sz w:val="20"/>
              </w:rPr>
              <w:t xml:space="preserve"> </w:t>
            </w:r>
            <w:proofErr w:type="spellStart"/>
            <w:r w:rsidR="00C9562B" w:rsidRPr="00C9562B">
              <w:rPr>
                <w:rFonts w:ascii="Arial Narrow" w:hAnsi="Arial Narrow"/>
                <w:sz w:val="20"/>
              </w:rPr>
              <w:t>alfa</w:t>
            </w:r>
            <w:proofErr w:type="spellEnd"/>
            <w:r w:rsidR="00C9562B" w:rsidRPr="00C9562B">
              <w:rPr>
                <w:rFonts w:ascii="Arial Narrow" w:hAnsi="Arial Narrow"/>
                <w:sz w:val="20"/>
              </w:rPr>
              <w:t>.</w:t>
            </w:r>
          </w:p>
          <w:p w:rsidR="004C3150" w:rsidRPr="001179A7" w:rsidRDefault="004C3150" w:rsidP="004C7D83">
            <w:pPr>
              <w:rPr>
                <w:rFonts w:ascii="Arial Narrow" w:hAnsi="Arial Narrow"/>
                <w:b/>
                <w:sz w:val="20"/>
              </w:rPr>
            </w:pPr>
            <w:r w:rsidRPr="001179A7">
              <w:rPr>
                <w:rFonts w:ascii="Arial Narrow" w:hAnsi="Arial Narrow"/>
                <w:b/>
                <w:sz w:val="20"/>
              </w:rPr>
              <w:t>Comparator:</w:t>
            </w:r>
            <w:r w:rsidRPr="0061115F">
              <w:rPr>
                <w:rFonts w:ascii="Arial Narrow" w:hAnsi="Arial Narrow"/>
                <w:sz w:val="20"/>
              </w:rPr>
              <w:t xml:space="preserve"> </w:t>
            </w:r>
            <w:proofErr w:type="spellStart"/>
            <w:r w:rsidR="00C9562B">
              <w:rPr>
                <w:rFonts w:ascii="Arial Narrow" w:hAnsi="Arial Narrow"/>
                <w:sz w:val="20"/>
              </w:rPr>
              <w:t>Dornase</w:t>
            </w:r>
            <w:proofErr w:type="spellEnd"/>
            <w:r w:rsidR="00C9562B">
              <w:rPr>
                <w:rFonts w:ascii="Arial Narrow" w:hAnsi="Arial Narrow"/>
                <w:sz w:val="20"/>
              </w:rPr>
              <w:t xml:space="preserve"> </w:t>
            </w:r>
            <w:proofErr w:type="spellStart"/>
            <w:r w:rsidR="00C9562B">
              <w:rPr>
                <w:rFonts w:ascii="Arial Narrow" w:hAnsi="Arial Narrow"/>
                <w:sz w:val="20"/>
              </w:rPr>
              <w:t>alfa</w:t>
            </w:r>
            <w:proofErr w:type="spellEnd"/>
          </w:p>
          <w:p w:rsidR="00C9562B" w:rsidRDefault="004C3150" w:rsidP="004C7D83">
            <w:pPr>
              <w:rPr>
                <w:rFonts w:ascii="Arial Narrow" w:hAnsi="Arial Narrow"/>
                <w:sz w:val="20"/>
              </w:rPr>
            </w:pPr>
            <w:r w:rsidRPr="001179A7">
              <w:rPr>
                <w:rFonts w:ascii="Arial Narrow" w:hAnsi="Arial Narrow"/>
                <w:b/>
                <w:sz w:val="20"/>
              </w:rPr>
              <w:t>Evidence base:</w:t>
            </w:r>
            <w:r>
              <w:rPr>
                <w:rFonts w:ascii="Arial Narrow" w:hAnsi="Arial Narrow"/>
                <w:sz w:val="20"/>
              </w:rPr>
              <w:t xml:space="preserve"> </w:t>
            </w:r>
            <w:r w:rsidR="00C9562B">
              <w:rPr>
                <w:rFonts w:ascii="Arial Narrow" w:hAnsi="Arial Narrow"/>
                <w:sz w:val="20"/>
              </w:rPr>
              <w:t xml:space="preserve"> Direct comparison of DPI mannitol vs. </w:t>
            </w:r>
            <w:proofErr w:type="spellStart"/>
            <w:r w:rsidR="00C9562B">
              <w:rPr>
                <w:rFonts w:ascii="Arial Narrow" w:hAnsi="Arial Narrow"/>
                <w:sz w:val="20"/>
              </w:rPr>
              <w:t>dornase</w:t>
            </w:r>
            <w:proofErr w:type="spellEnd"/>
            <w:r w:rsidR="00C9562B">
              <w:rPr>
                <w:rFonts w:ascii="Arial Narrow" w:hAnsi="Arial Narrow"/>
                <w:sz w:val="20"/>
              </w:rPr>
              <w:t xml:space="preserve"> </w:t>
            </w:r>
            <w:proofErr w:type="spellStart"/>
            <w:r w:rsidR="00C9562B">
              <w:rPr>
                <w:rFonts w:ascii="Arial Narrow" w:hAnsi="Arial Narrow"/>
                <w:sz w:val="20"/>
              </w:rPr>
              <w:t>alfa</w:t>
            </w:r>
            <w:proofErr w:type="spellEnd"/>
            <w:r w:rsidR="00C9562B">
              <w:rPr>
                <w:rFonts w:ascii="Arial Narrow" w:hAnsi="Arial Narrow"/>
                <w:sz w:val="20"/>
              </w:rPr>
              <w:t xml:space="preserve"> vs. DPI mannitol/</w:t>
            </w:r>
            <w:proofErr w:type="spellStart"/>
            <w:r w:rsidR="00C9562B">
              <w:rPr>
                <w:rFonts w:ascii="Arial Narrow" w:hAnsi="Arial Narrow"/>
                <w:sz w:val="20"/>
              </w:rPr>
              <w:t>dornase</w:t>
            </w:r>
            <w:proofErr w:type="spellEnd"/>
            <w:r w:rsidR="00C9562B">
              <w:rPr>
                <w:rFonts w:ascii="Arial Narrow" w:hAnsi="Arial Narrow"/>
                <w:sz w:val="20"/>
              </w:rPr>
              <w:t xml:space="preserve"> </w:t>
            </w:r>
            <w:proofErr w:type="spellStart"/>
            <w:r w:rsidR="00C9562B">
              <w:rPr>
                <w:rFonts w:ascii="Arial Narrow" w:hAnsi="Arial Narrow"/>
                <w:sz w:val="20"/>
              </w:rPr>
              <w:t>alfa</w:t>
            </w:r>
            <w:proofErr w:type="spellEnd"/>
            <w:r w:rsidR="00C9562B">
              <w:rPr>
                <w:rFonts w:ascii="Arial Narrow" w:hAnsi="Arial Narrow"/>
                <w:sz w:val="20"/>
              </w:rPr>
              <w:t xml:space="preserve"> combination therapy (CF-203). Post-hoc subgroup analysis of DPI mannitol vs. control in </w:t>
            </w:r>
            <w:proofErr w:type="spellStart"/>
            <w:r w:rsidR="00C9562B">
              <w:rPr>
                <w:rFonts w:ascii="Arial Narrow" w:hAnsi="Arial Narrow"/>
                <w:sz w:val="20"/>
              </w:rPr>
              <w:t>dornase</w:t>
            </w:r>
            <w:proofErr w:type="spellEnd"/>
            <w:r w:rsidR="00C9562B">
              <w:rPr>
                <w:rFonts w:ascii="Arial Narrow" w:hAnsi="Arial Narrow"/>
                <w:sz w:val="20"/>
              </w:rPr>
              <w:t xml:space="preserve"> users/non-users (CF-301, CF-302). Indirect comparison of DPI mannitol (CF-301, CF-302) vs. </w:t>
            </w:r>
            <w:proofErr w:type="spellStart"/>
            <w:r w:rsidR="00C9562B">
              <w:rPr>
                <w:rFonts w:ascii="Arial Narrow" w:hAnsi="Arial Narrow"/>
                <w:sz w:val="20"/>
              </w:rPr>
              <w:t>dornase</w:t>
            </w:r>
            <w:proofErr w:type="spellEnd"/>
            <w:r w:rsidR="00C9562B">
              <w:rPr>
                <w:rFonts w:ascii="Arial Narrow" w:hAnsi="Arial Narrow"/>
                <w:sz w:val="20"/>
              </w:rPr>
              <w:t xml:space="preserve"> </w:t>
            </w:r>
            <w:proofErr w:type="spellStart"/>
            <w:r w:rsidR="00C9562B">
              <w:rPr>
                <w:rFonts w:ascii="Arial Narrow" w:hAnsi="Arial Narrow"/>
                <w:sz w:val="20"/>
              </w:rPr>
              <w:t>alfa</w:t>
            </w:r>
            <w:proofErr w:type="spellEnd"/>
            <w:r w:rsidR="00C9562B">
              <w:rPr>
                <w:rFonts w:ascii="Arial Narrow" w:hAnsi="Arial Narrow"/>
                <w:sz w:val="20"/>
              </w:rPr>
              <w:t xml:space="preserve"> (Fuchs 1994)</w:t>
            </w:r>
            <w:r w:rsidR="00862446">
              <w:rPr>
                <w:rFonts w:ascii="Arial Narrow" w:hAnsi="Arial Narrow"/>
                <w:sz w:val="20"/>
              </w:rPr>
              <w:t>. Main outcomes: lung function measures and exacerbations.</w:t>
            </w:r>
          </w:p>
          <w:p w:rsidR="0099257A" w:rsidRDefault="00862446" w:rsidP="004C7D83">
            <w:pPr>
              <w:rPr>
                <w:rFonts w:ascii="Arial Narrow" w:hAnsi="Arial Narrow"/>
                <w:sz w:val="20"/>
              </w:rPr>
            </w:pPr>
            <w:r w:rsidRPr="00862446">
              <w:rPr>
                <w:rFonts w:ascii="Arial Narrow" w:hAnsi="Arial Narrow"/>
                <w:b/>
                <w:sz w:val="20"/>
              </w:rPr>
              <w:t>Clinical claim</w:t>
            </w:r>
            <w:r>
              <w:rPr>
                <w:rFonts w:ascii="Arial Narrow" w:hAnsi="Arial Narrow"/>
                <w:sz w:val="20"/>
              </w:rPr>
              <w:t xml:space="preserve">: </w:t>
            </w:r>
            <w:r w:rsidR="0099257A" w:rsidRPr="0099257A">
              <w:rPr>
                <w:rFonts w:ascii="Arial Narrow" w:hAnsi="Arial Narrow"/>
                <w:sz w:val="20"/>
              </w:rPr>
              <w:t xml:space="preserve">The submission described </w:t>
            </w:r>
            <w:r w:rsidR="0099257A">
              <w:rPr>
                <w:rFonts w:ascii="Arial Narrow" w:hAnsi="Arial Narrow"/>
                <w:sz w:val="20"/>
              </w:rPr>
              <w:t xml:space="preserve">DPI mannitol as similar in terms of </w:t>
            </w:r>
            <w:r w:rsidR="0099257A" w:rsidRPr="0099257A">
              <w:rPr>
                <w:rFonts w:ascii="Arial Narrow" w:hAnsi="Arial Narrow"/>
                <w:sz w:val="20"/>
              </w:rPr>
              <w:t xml:space="preserve">efficacy and </w:t>
            </w:r>
            <w:r w:rsidR="0099257A">
              <w:rPr>
                <w:rFonts w:ascii="Arial Narrow" w:hAnsi="Arial Narrow"/>
                <w:sz w:val="20"/>
              </w:rPr>
              <w:t xml:space="preserve">safety compared to </w:t>
            </w:r>
            <w:proofErr w:type="spellStart"/>
            <w:r w:rsidR="0099257A">
              <w:rPr>
                <w:rFonts w:ascii="Arial Narrow" w:hAnsi="Arial Narrow"/>
                <w:sz w:val="20"/>
              </w:rPr>
              <w:t>dornase</w:t>
            </w:r>
            <w:proofErr w:type="spellEnd"/>
            <w:r w:rsidR="008060D4">
              <w:rPr>
                <w:rFonts w:ascii="Arial Narrow" w:hAnsi="Arial Narrow"/>
                <w:sz w:val="20"/>
              </w:rPr>
              <w:t xml:space="preserve"> </w:t>
            </w:r>
            <w:proofErr w:type="spellStart"/>
            <w:r w:rsidR="008060D4">
              <w:rPr>
                <w:rFonts w:ascii="Arial Narrow" w:hAnsi="Arial Narrow"/>
                <w:sz w:val="20"/>
              </w:rPr>
              <w:t>alfa</w:t>
            </w:r>
            <w:proofErr w:type="spellEnd"/>
            <w:r w:rsidR="0099257A">
              <w:rPr>
                <w:rFonts w:ascii="Arial Narrow" w:hAnsi="Arial Narrow"/>
                <w:sz w:val="20"/>
              </w:rPr>
              <w:t xml:space="preserve">. </w:t>
            </w:r>
            <w:r w:rsidR="0099257A" w:rsidRPr="0099257A">
              <w:rPr>
                <w:rFonts w:ascii="Arial Narrow" w:hAnsi="Arial Narrow"/>
                <w:sz w:val="20"/>
              </w:rPr>
              <w:t xml:space="preserve">The submission described </w:t>
            </w:r>
            <w:r w:rsidR="0099257A">
              <w:rPr>
                <w:rFonts w:ascii="Arial Narrow" w:hAnsi="Arial Narrow"/>
                <w:sz w:val="20"/>
              </w:rPr>
              <w:t xml:space="preserve">DPI mannitol in combination with </w:t>
            </w:r>
            <w:proofErr w:type="spellStart"/>
            <w:r w:rsidR="0099257A">
              <w:rPr>
                <w:rFonts w:ascii="Arial Narrow" w:hAnsi="Arial Narrow"/>
                <w:sz w:val="20"/>
              </w:rPr>
              <w:t>dornase</w:t>
            </w:r>
            <w:proofErr w:type="spellEnd"/>
            <w:r w:rsidR="0099257A">
              <w:rPr>
                <w:rFonts w:ascii="Arial Narrow" w:hAnsi="Arial Narrow"/>
                <w:sz w:val="20"/>
              </w:rPr>
              <w:t xml:space="preserve"> </w:t>
            </w:r>
            <w:proofErr w:type="spellStart"/>
            <w:r w:rsidR="0099257A">
              <w:rPr>
                <w:rFonts w:ascii="Arial Narrow" w:hAnsi="Arial Narrow"/>
                <w:sz w:val="20"/>
              </w:rPr>
              <w:t>alfa</w:t>
            </w:r>
            <w:proofErr w:type="spellEnd"/>
            <w:r w:rsidR="0099257A">
              <w:rPr>
                <w:rFonts w:ascii="Arial Narrow" w:hAnsi="Arial Narrow"/>
                <w:sz w:val="20"/>
              </w:rPr>
              <w:t xml:space="preserve"> as superior in terms of </w:t>
            </w:r>
            <w:r w:rsidR="0099257A" w:rsidRPr="0099257A">
              <w:rPr>
                <w:rFonts w:ascii="Arial Narrow" w:hAnsi="Arial Narrow"/>
                <w:sz w:val="20"/>
              </w:rPr>
              <w:t>efficacy</w:t>
            </w:r>
            <w:r w:rsidR="0099257A">
              <w:rPr>
                <w:rFonts w:ascii="Arial Narrow" w:hAnsi="Arial Narrow"/>
                <w:sz w:val="20"/>
              </w:rPr>
              <w:t xml:space="preserve"> but inferior in terms of safety compared to </w:t>
            </w:r>
            <w:proofErr w:type="spellStart"/>
            <w:r w:rsidR="0099257A">
              <w:rPr>
                <w:rFonts w:ascii="Arial Narrow" w:hAnsi="Arial Narrow"/>
                <w:sz w:val="20"/>
              </w:rPr>
              <w:t>dornase</w:t>
            </w:r>
            <w:proofErr w:type="spellEnd"/>
            <w:r w:rsidR="0099257A">
              <w:rPr>
                <w:rFonts w:ascii="Arial Narrow" w:hAnsi="Arial Narrow"/>
                <w:sz w:val="20"/>
              </w:rPr>
              <w:t xml:space="preserve"> </w:t>
            </w:r>
            <w:proofErr w:type="spellStart"/>
            <w:r w:rsidR="0099257A">
              <w:rPr>
                <w:rFonts w:ascii="Arial Narrow" w:hAnsi="Arial Narrow"/>
                <w:sz w:val="20"/>
              </w:rPr>
              <w:t>alfa</w:t>
            </w:r>
            <w:proofErr w:type="spellEnd"/>
            <w:r w:rsidR="0099257A">
              <w:rPr>
                <w:rFonts w:ascii="Arial Narrow" w:hAnsi="Arial Narrow"/>
                <w:sz w:val="20"/>
              </w:rPr>
              <w:t xml:space="preserve"> alone</w:t>
            </w:r>
            <w:r w:rsidR="004C1D7A">
              <w:rPr>
                <w:rFonts w:ascii="Arial Narrow" w:hAnsi="Arial Narrow"/>
                <w:sz w:val="20"/>
              </w:rPr>
              <w:t>.</w:t>
            </w:r>
            <w:r w:rsidR="0099257A">
              <w:rPr>
                <w:rFonts w:ascii="Arial Narrow" w:hAnsi="Arial Narrow"/>
                <w:sz w:val="20"/>
              </w:rPr>
              <w:t xml:space="preserve"> </w:t>
            </w:r>
          </w:p>
          <w:p w:rsidR="004C3150" w:rsidRPr="001179A7" w:rsidRDefault="004C3150" w:rsidP="004C7D83">
            <w:pPr>
              <w:rPr>
                <w:rFonts w:ascii="Arial Narrow" w:hAnsi="Arial Narrow"/>
                <w:b/>
                <w:sz w:val="20"/>
              </w:rPr>
            </w:pPr>
            <w:r w:rsidRPr="001179A7">
              <w:rPr>
                <w:rFonts w:ascii="Arial Narrow" w:hAnsi="Arial Narrow"/>
                <w:b/>
                <w:sz w:val="20"/>
              </w:rPr>
              <w:t>Economic evaluation:</w:t>
            </w:r>
            <w:r w:rsidRPr="0061115F">
              <w:rPr>
                <w:rFonts w:ascii="Arial Narrow" w:hAnsi="Arial Narrow"/>
                <w:sz w:val="20"/>
              </w:rPr>
              <w:t xml:space="preserve"> </w:t>
            </w:r>
            <w:r>
              <w:rPr>
                <w:rFonts w:ascii="Arial Narrow" w:hAnsi="Arial Narrow"/>
                <w:sz w:val="20"/>
              </w:rPr>
              <w:t>C</w:t>
            </w:r>
            <w:r w:rsidRPr="0061115F">
              <w:rPr>
                <w:rFonts w:ascii="Arial Narrow" w:hAnsi="Arial Narrow"/>
                <w:sz w:val="20"/>
              </w:rPr>
              <w:t>ost minimisation</w:t>
            </w:r>
            <w:r>
              <w:rPr>
                <w:rFonts w:ascii="Arial Narrow" w:hAnsi="Arial Narrow"/>
                <w:sz w:val="20"/>
              </w:rPr>
              <w:t xml:space="preserve"> </w:t>
            </w:r>
            <w:r w:rsidR="00C9562B">
              <w:rPr>
                <w:rFonts w:ascii="Arial Narrow" w:hAnsi="Arial Narrow"/>
                <w:sz w:val="20"/>
              </w:rPr>
              <w:t>analysis of DPI mannitol monotherapy</w:t>
            </w:r>
            <w:r w:rsidR="00862446">
              <w:rPr>
                <w:rFonts w:ascii="Arial Narrow" w:hAnsi="Arial Narrow"/>
                <w:sz w:val="20"/>
              </w:rPr>
              <w:t xml:space="preserve"> (400mg twice a day)</w:t>
            </w:r>
            <w:r w:rsidR="00C9562B">
              <w:rPr>
                <w:rFonts w:ascii="Arial Narrow" w:hAnsi="Arial Narrow"/>
                <w:sz w:val="20"/>
              </w:rPr>
              <w:t xml:space="preserve"> vs. </w:t>
            </w:r>
            <w:proofErr w:type="spellStart"/>
            <w:r w:rsidR="00C9562B">
              <w:rPr>
                <w:rFonts w:ascii="Arial Narrow" w:hAnsi="Arial Narrow"/>
                <w:sz w:val="20"/>
              </w:rPr>
              <w:t>dornase</w:t>
            </w:r>
            <w:proofErr w:type="spellEnd"/>
            <w:r w:rsidR="00C9562B">
              <w:rPr>
                <w:rFonts w:ascii="Arial Narrow" w:hAnsi="Arial Narrow"/>
                <w:sz w:val="20"/>
              </w:rPr>
              <w:t xml:space="preserve"> </w:t>
            </w:r>
            <w:proofErr w:type="spellStart"/>
            <w:r w:rsidR="00C9562B">
              <w:rPr>
                <w:rFonts w:ascii="Arial Narrow" w:hAnsi="Arial Narrow"/>
                <w:sz w:val="20"/>
              </w:rPr>
              <w:t>alfa</w:t>
            </w:r>
            <w:proofErr w:type="spellEnd"/>
            <w:r w:rsidR="00862446">
              <w:rPr>
                <w:rFonts w:ascii="Arial Narrow" w:hAnsi="Arial Narrow"/>
                <w:sz w:val="20"/>
              </w:rPr>
              <w:t xml:space="preserve"> (2.5mg once a day)</w:t>
            </w:r>
            <w:r w:rsidR="00C9562B">
              <w:rPr>
                <w:rFonts w:ascii="Arial Narrow" w:hAnsi="Arial Narrow"/>
                <w:sz w:val="20"/>
              </w:rPr>
              <w:t>. Cost utility analysis of DPI mannitol/</w:t>
            </w:r>
            <w:proofErr w:type="spellStart"/>
            <w:r w:rsidR="00C9562B">
              <w:rPr>
                <w:rFonts w:ascii="Arial Narrow" w:hAnsi="Arial Narrow"/>
                <w:sz w:val="20"/>
              </w:rPr>
              <w:t>dornase</w:t>
            </w:r>
            <w:proofErr w:type="spellEnd"/>
            <w:r w:rsidR="00C9562B">
              <w:rPr>
                <w:rFonts w:ascii="Arial Narrow" w:hAnsi="Arial Narrow"/>
                <w:sz w:val="20"/>
              </w:rPr>
              <w:t xml:space="preserve"> </w:t>
            </w:r>
            <w:proofErr w:type="spellStart"/>
            <w:r w:rsidR="00C9562B">
              <w:rPr>
                <w:rFonts w:ascii="Arial Narrow" w:hAnsi="Arial Narrow"/>
                <w:sz w:val="20"/>
              </w:rPr>
              <w:t>alfa</w:t>
            </w:r>
            <w:proofErr w:type="spellEnd"/>
            <w:r w:rsidR="00C9562B">
              <w:rPr>
                <w:rFonts w:ascii="Arial Narrow" w:hAnsi="Arial Narrow"/>
                <w:sz w:val="20"/>
              </w:rPr>
              <w:t xml:space="preserve"> combination therapy vs. </w:t>
            </w:r>
            <w:proofErr w:type="spellStart"/>
            <w:r w:rsidR="00C9562B">
              <w:rPr>
                <w:rFonts w:ascii="Arial Narrow" w:hAnsi="Arial Narrow"/>
                <w:sz w:val="20"/>
              </w:rPr>
              <w:t>dornase</w:t>
            </w:r>
            <w:proofErr w:type="spellEnd"/>
            <w:r w:rsidR="00C9562B">
              <w:rPr>
                <w:rFonts w:ascii="Arial Narrow" w:hAnsi="Arial Narrow"/>
                <w:sz w:val="20"/>
              </w:rPr>
              <w:t xml:space="preserve"> </w:t>
            </w:r>
            <w:proofErr w:type="spellStart"/>
            <w:r w:rsidR="00C9562B">
              <w:rPr>
                <w:rFonts w:ascii="Arial Narrow" w:hAnsi="Arial Narrow"/>
                <w:sz w:val="20"/>
              </w:rPr>
              <w:t>alfa</w:t>
            </w:r>
            <w:proofErr w:type="spellEnd"/>
            <w:r w:rsidR="00C9562B">
              <w:rPr>
                <w:rFonts w:ascii="Arial Narrow" w:hAnsi="Arial Narrow"/>
                <w:sz w:val="20"/>
              </w:rPr>
              <w:t xml:space="preserve"> alone</w:t>
            </w:r>
            <w:r w:rsidR="00862446">
              <w:rPr>
                <w:rFonts w:ascii="Arial Narrow" w:hAnsi="Arial Narrow"/>
                <w:sz w:val="20"/>
              </w:rPr>
              <w:t xml:space="preserve"> (ICER $</w:t>
            </w:r>
            <w:r w:rsidR="00CD28BC" w:rsidRPr="00CD28BC">
              <w:rPr>
                <w:rFonts w:ascii="Arial Narrow" w:hAnsi="Arial Narrow"/>
                <w:sz w:val="20"/>
              </w:rPr>
              <w:t>45,000 - $75,000</w:t>
            </w:r>
            <w:r w:rsidR="00862446" w:rsidRPr="00CD28BC">
              <w:rPr>
                <w:rFonts w:ascii="Arial Narrow" w:hAnsi="Arial Narrow"/>
                <w:sz w:val="20"/>
              </w:rPr>
              <w:t xml:space="preserve"> </w:t>
            </w:r>
            <w:r w:rsidR="00862446">
              <w:rPr>
                <w:rFonts w:ascii="Arial Narrow" w:hAnsi="Arial Narrow"/>
                <w:sz w:val="20"/>
              </w:rPr>
              <w:t>per QALY gained)</w:t>
            </w:r>
            <w:r w:rsidR="004C1D7A">
              <w:rPr>
                <w:rFonts w:ascii="Arial Narrow" w:hAnsi="Arial Narrow"/>
                <w:sz w:val="20"/>
              </w:rPr>
              <w:t>.</w:t>
            </w:r>
          </w:p>
          <w:p w:rsidR="004C3150" w:rsidRPr="001179A7" w:rsidRDefault="004C3150" w:rsidP="004C7D83">
            <w:pPr>
              <w:rPr>
                <w:rFonts w:ascii="Arial Narrow" w:hAnsi="Arial Narrow"/>
                <w:b/>
                <w:sz w:val="20"/>
              </w:rPr>
            </w:pPr>
            <w:r w:rsidRPr="001179A7">
              <w:rPr>
                <w:rFonts w:ascii="Arial Narrow" w:hAnsi="Arial Narrow"/>
                <w:b/>
                <w:sz w:val="20"/>
              </w:rPr>
              <w:t>PBAC recommendation:</w:t>
            </w:r>
            <w:r w:rsidRPr="0061115F">
              <w:rPr>
                <w:rFonts w:ascii="Arial Narrow" w:hAnsi="Arial Narrow"/>
                <w:sz w:val="20"/>
              </w:rPr>
              <w:t xml:space="preserve"> </w:t>
            </w:r>
            <w:r w:rsidR="00862446">
              <w:rPr>
                <w:rFonts w:ascii="Arial Narrow" w:hAnsi="Arial Narrow"/>
                <w:sz w:val="20"/>
              </w:rPr>
              <w:t>Rejected</w:t>
            </w:r>
            <w:r w:rsidR="0099257A">
              <w:rPr>
                <w:rFonts w:ascii="Arial Narrow" w:hAnsi="Arial Narrow"/>
                <w:sz w:val="20"/>
              </w:rPr>
              <w:t>. Main issues included:</w:t>
            </w:r>
            <w:r w:rsidR="00827DED">
              <w:rPr>
                <w:rFonts w:ascii="Arial Narrow" w:hAnsi="Arial Narrow"/>
                <w:sz w:val="20"/>
              </w:rPr>
              <w:t xml:space="preserve"> uncertain clinical place in therapy, </w:t>
            </w:r>
            <w:r w:rsidR="0099257A">
              <w:rPr>
                <w:rFonts w:ascii="Arial Narrow" w:hAnsi="Arial Narrow"/>
                <w:sz w:val="20"/>
              </w:rPr>
              <w:t>uncertain</w:t>
            </w:r>
            <w:r w:rsidR="00827DED">
              <w:rPr>
                <w:rFonts w:ascii="Arial Narrow" w:hAnsi="Arial Narrow"/>
                <w:sz w:val="20"/>
              </w:rPr>
              <w:t xml:space="preserve"> main comparator (</w:t>
            </w:r>
            <w:proofErr w:type="spellStart"/>
            <w:r w:rsidR="00827DED">
              <w:rPr>
                <w:rFonts w:ascii="Arial Narrow" w:hAnsi="Arial Narrow"/>
                <w:sz w:val="20"/>
              </w:rPr>
              <w:t>dornase</w:t>
            </w:r>
            <w:proofErr w:type="spellEnd"/>
            <w:r w:rsidR="00827DED">
              <w:rPr>
                <w:rFonts w:ascii="Arial Narrow" w:hAnsi="Arial Narrow"/>
                <w:sz w:val="20"/>
              </w:rPr>
              <w:t xml:space="preserve"> </w:t>
            </w:r>
            <w:proofErr w:type="spellStart"/>
            <w:r w:rsidR="00827DED">
              <w:rPr>
                <w:rFonts w:ascii="Arial Narrow" w:hAnsi="Arial Narrow"/>
                <w:sz w:val="20"/>
              </w:rPr>
              <w:t>alfa</w:t>
            </w:r>
            <w:proofErr w:type="spellEnd"/>
            <w:r w:rsidR="00827DED">
              <w:rPr>
                <w:rFonts w:ascii="Arial Narrow" w:hAnsi="Arial Narrow"/>
                <w:sz w:val="20"/>
              </w:rPr>
              <w:t xml:space="preserve"> or nebulised hypertonic saline), </w:t>
            </w:r>
            <w:r w:rsidR="0099257A">
              <w:rPr>
                <w:rFonts w:ascii="Arial Narrow" w:hAnsi="Arial Narrow"/>
                <w:sz w:val="20"/>
              </w:rPr>
              <w:t>uncertain effectiveness of DPI mannitol, uncertain cost-effectiveness</w:t>
            </w:r>
            <w:r w:rsidR="004C1D7A">
              <w:rPr>
                <w:rFonts w:ascii="Arial Narrow" w:hAnsi="Arial Narrow"/>
                <w:sz w:val="20"/>
              </w:rPr>
              <w:t>.</w:t>
            </w:r>
          </w:p>
        </w:tc>
      </w:tr>
      <w:tr w:rsidR="004C3150" w:rsidRPr="001179A7" w:rsidTr="00DD6F41">
        <w:tc>
          <w:tcPr>
            <w:tcW w:w="1041" w:type="dxa"/>
            <w:vAlign w:val="center"/>
          </w:tcPr>
          <w:p w:rsidR="004C3150" w:rsidRDefault="008060D4" w:rsidP="00EA4587">
            <w:pPr>
              <w:jc w:val="center"/>
              <w:rPr>
                <w:rFonts w:ascii="Arial Narrow" w:hAnsi="Arial Narrow"/>
                <w:sz w:val="20"/>
              </w:rPr>
            </w:pPr>
            <w:r>
              <w:rPr>
                <w:rFonts w:ascii="Arial Narrow" w:hAnsi="Arial Narrow"/>
                <w:sz w:val="20"/>
              </w:rPr>
              <w:t>November</w:t>
            </w:r>
          </w:p>
          <w:p w:rsidR="004C3150" w:rsidRPr="001179A7" w:rsidRDefault="004C3150" w:rsidP="00EA4587">
            <w:pPr>
              <w:jc w:val="center"/>
              <w:rPr>
                <w:rFonts w:ascii="Arial Narrow" w:hAnsi="Arial Narrow"/>
                <w:sz w:val="20"/>
              </w:rPr>
            </w:pPr>
            <w:r>
              <w:rPr>
                <w:rFonts w:ascii="Arial Narrow" w:hAnsi="Arial Narrow"/>
                <w:sz w:val="20"/>
              </w:rPr>
              <w:t>20</w:t>
            </w:r>
            <w:r w:rsidR="008060D4">
              <w:rPr>
                <w:rFonts w:ascii="Arial Narrow" w:hAnsi="Arial Narrow"/>
                <w:sz w:val="20"/>
              </w:rPr>
              <w:t>11</w:t>
            </w:r>
          </w:p>
        </w:tc>
        <w:tc>
          <w:tcPr>
            <w:tcW w:w="7322" w:type="dxa"/>
          </w:tcPr>
          <w:p w:rsidR="008060D4" w:rsidRDefault="004C3150" w:rsidP="008060D4">
            <w:pPr>
              <w:rPr>
                <w:rFonts w:ascii="Arial Narrow" w:hAnsi="Arial Narrow"/>
                <w:sz w:val="20"/>
              </w:rPr>
            </w:pPr>
            <w:r w:rsidRPr="001179A7">
              <w:rPr>
                <w:rFonts w:ascii="Arial Narrow" w:hAnsi="Arial Narrow"/>
                <w:b/>
                <w:sz w:val="20"/>
              </w:rPr>
              <w:t>Purpose:</w:t>
            </w:r>
            <w:r>
              <w:rPr>
                <w:rFonts w:ascii="Arial Narrow" w:hAnsi="Arial Narrow"/>
                <w:sz w:val="20"/>
              </w:rPr>
              <w:t xml:space="preserve"> </w:t>
            </w:r>
            <w:r w:rsidR="001E493D">
              <w:rPr>
                <w:rFonts w:ascii="Arial Narrow" w:hAnsi="Arial Narrow"/>
                <w:sz w:val="20"/>
              </w:rPr>
              <w:t xml:space="preserve">Requested listing </w:t>
            </w:r>
            <w:r w:rsidR="00E85E64">
              <w:rPr>
                <w:rFonts w:ascii="Arial Narrow" w:hAnsi="Arial Narrow"/>
                <w:sz w:val="20"/>
              </w:rPr>
              <w:t xml:space="preserve">of DPI mannitol monotherapy </w:t>
            </w:r>
            <w:r w:rsidR="001E493D">
              <w:rPr>
                <w:rFonts w:ascii="Arial Narrow" w:hAnsi="Arial Narrow"/>
                <w:sz w:val="20"/>
              </w:rPr>
              <w:t xml:space="preserve">for </w:t>
            </w:r>
            <w:r w:rsidR="008060D4" w:rsidRPr="008060D4">
              <w:rPr>
                <w:rFonts w:ascii="Arial Narrow" w:hAnsi="Arial Narrow"/>
                <w:sz w:val="20"/>
              </w:rPr>
              <w:t>the tr</w:t>
            </w:r>
            <w:r w:rsidR="006D3AB0">
              <w:rPr>
                <w:rFonts w:ascii="Arial Narrow" w:hAnsi="Arial Narrow"/>
                <w:sz w:val="20"/>
              </w:rPr>
              <w:t xml:space="preserve">eatment of cystic fibrosis as an alternative to </w:t>
            </w:r>
            <w:proofErr w:type="spellStart"/>
            <w:r w:rsidR="006D3AB0">
              <w:rPr>
                <w:rFonts w:ascii="Arial Narrow" w:hAnsi="Arial Narrow"/>
                <w:sz w:val="20"/>
              </w:rPr>
              <w:t>dornase</w:t>
            </w:r>
            <w:proofErr w:type="spellEnd"/>
            <w:r w:rsidR="006D3AB0">
              <w:rPr>
                <w:rFonts w:ascii="Arial Narrow" w:hAnsi="Arial Narrow"/>
                <w:sz w:val="20"/>
              </w:rPr>
              <w:t xml:space="preserve"> </w:t>
            </w:r>
            <w:proofErr w:type="spellStart"/>
            <w:r w:rsidR="006D3AB0">
              <w:rPr>
                <w:rFonts w:ascii="Arial Narrow" w:hAnsi="Arial Narrow"/>
                <w:sz w:val="20"/>
              </w:rPr>
              <w:t>alfa</w:t>
            </w:r>
            <w:proofErr w:type="spellEnd"/>
            <w:r w:rsidR="006D3AB0">
              <w:rPr>
                <w:rFonts w:ascii="Arial Narrow" w:hAnsi="Arial Narrow"/>
                <w:sz w:val="20"/>
              </w:rPr>
              <w:t xml:space="preserve"> in patients who have</w:t>
            </w:r>
            <w:r w:rsidR="008060D4" w:rsidRPr="008060D4">
              <w:rPr>
                <w:rFonts w:ascii="Arial Narrow" w:hAnsi="Arial Narrow"/>
                <w:sz w:val="20"/>
              </w:rPr>
              <w:t xml:space="preserve"> previously failed PBS-subsidised initiati</w:t>
            </w:r>
            <w:r w:rsidR="006D3AB0">
              <w:rPr>
                <w:rFonts w:ascii="Arial Narrow" w:hAnsi="Arial Narrow"/>
                <w:sz w:val="20"/>
              </w:rPr>
              <w:t xml:space="preserve">on criteria for </w:t>
            </w:r>
            <w:proofErr w:type="spellStart"/>
            <w:r w:rsidR="006D3AB0">
              <w:rPr>
                <w:rFonts w:ascii="Arial Narrow" w:hAnsi="Arial Narrow"/>
                <w:sz w:val="20"/>
              </w:rPr>
              <w:t>dornase</w:t>
            </w:r>
            <w:proofErr w:type="spellEnd"/>
            <w:r w:rsidR="006D3AB0">
              <w:rPr>
                <w:rFonts w:ascii="Arial Narrow" w:hAnsi="Arial Narrow"/>
                <w:sz w:val="20"/>
              </w:rPr>
              <w:t xml:space="preserve"> </w:t>
            </w:r>
            <w:proofErr w:type="spellStart"/>
            <w:r w:rsidR="006D3AB0">
              <w:rPr>
                <w:rFonts w:ascii="Arial Narrow" w:hAnsi="Arial Narrow"/>
                <w:sz w:val="20"/>
              </w:rPr>
              <w:t>alfa</w:t>
            </w:r>
            <w:proofErr w:type="spellEnd"/>
            <w:r w:rsidR="006D3AB0">
              <w:rPr>
                <w:rFonts w:ascii="Arial Narrow" w:hAnsi="Arial Narrow"/>
                <w:sz w:val="20"/>
              </w:rPr>
              <w:t>;</w:t>
            </w:r>
            <w:r w:rsidR="008060D4" w:rsidRPr="008060D4">
              <w:rPr>
                <w:rFonts w:ascii="Arial Narrow" w:hAnsi="Arial Narrow"/>
                <w:sz w:val="20"/>
              </w:rPr>
              <w:t xml:space="preserve"> </w:t>
            </w:r>
            <w:r w:rsidR="006D3AB0">
              <w:rPr>
                <w:rFonts w:ascii="Arial Narrow" w:hAnsi="Arial Narrow"/>
                <w:sz w:val="20"/>
              </w:rPr>
              <w:t xml:space="preserve">in </w:t>
            </w:r>
            <w:r w:rsidR="008060D4" w:rsidRPr="008060D4">
              <w:rPr>
                <w:rFonts w:ascii="Arial Narrow" w:hAnsi="Arial Narrow"/>
                <w:sz w:val="20"/>
              </w:rPr>
              <w:t>patient</w:t>
            </w:r>
            <w:r w:rsidR="006D3AB0">
              <w:rPr>
                <w:rFonts w:ascii="Arial Narrow" w:hAnsi="Arial Narrow"/>
                <w:sz w:val="20"/>
              </w:rPr>
              <w:t>s who have</w:t>
            </w:r>
            <w:r w:rsidR="008060D4" w:rsidRPr="008060D4">
              <w:rPr>
                <w:rFonts w:ascii="Arial Narrow" w:hAnsi="Arial Narrow"/>
                <w:sz w:val="20"/>
              </w:rPr>
              <w:t xml:space="preserve"> discontinued </w:t>
            </w:r>
            <w:proofErr w:type="spellStart"/>
            <w:r w:rsidR="008060D4" w:rsidRPr="008060D4">
              <w:rPr>
                <w:rFonts w:ascii="Arial Narrow" w:hAnsi="Arial Narrow"/>
                <w:sz w:val="20"/>
              </w:rPr>
              <w:t>dornase</w:t>
            </w:r>
            <w:proofErr w:type="spellEnd"/>
            <w:r w:rsidR="008060D4" w:rsidRPr="008060D4">
              <w:rPr>
                <w:rFonts w:ascii="Arial Narrow" w:hAnsi="Arial Narrow"/>
                <w:sz w:val="20"/>
              </w:rPr>
              <w:t xml:space="preserve"> </w:t>
            </w:r>
            <w:proofErr w:type="spellStart"/>
            <w:r w:rsidR="008060D4" w:rsidRPr="008060D4">
              <w:rPr>
                <w:rFonts w:ascii="Arial Narrow" w:hAnsi="Arial Narrow"/>
                <w:sz w:val="20"/>
              </w:rPr>
              <w:t>alfa</w:t>
            </w:r>
            <w:proofErr w:type="spellEnd"/>
            <w:r w:rsidR="008060D4" w:rsidRPr="008060D4">
              <w:rPr>
                <w:rFonts w:ascii="Arial Narrow" w:hAnsi="Arial Narrow"/>
                <w:sz w:val="20"/>
              </w:rPr>
              <w:t xml:space="preserve"> despite a </w:t>
            </w:r>
            <w:r w:rsidR="006D3AB0">
              <w:rPr>
                <w:rFonts w:ascii="Arial Narrow" w:hAnsi="Arial Narrow"/>
                <w:sz w:val="20"/>
              </w:rPr>
              <w:t xml:space="preserve">previous successful trial </w:t>
            </w:r>
            <w:r w:rsidR="00E85E64">
              <w:rPr>
                <w:rFonts w:ascii="Arial Narrow" w:hAnsi="Arial Narrow"/>
                <w:sz w:val="20"/>
              </w:rPr>
              <w:t>but were</w:t>
            </w:r>
            <w:r w:rsidR="008060D4" w:rsidRPr="008060D4">
              <w:rPr>
                <w:rFonts w:ascii="Arial Narrow" w:hAnsi="Arial Narrow"/>
                <w:sz w:val="20"/>
              </w:rPr>
              <w:t xml:space="preserve"> cons</w:t>
            </w:r>
            <w:r w:rsidR="006D3AB0">
              <w:rPr>
                <w:rFonts w:ascii="Arial Narrow" w:hAnsi="Arial Narrow"/>
                <w:sz w:val="20"/>
              </w:rPr>
              <w:t>idering recommencing therapy;</w:t>
            </w:r>
            <w:r w:rsidR="008060D4" w:rsidRPr="008060D4">
              <w:rPr>
                <w:rFonts w:ascii="Arial Narrow" w:hAnsi="Arial Narrow"/>
                <w:sz w:val="20"/>
              </w:rPr>
              <w:t xml:space="preserve"> </w:t>
            </w:r>
            <w:r w:rsidR="006D3AB0">
              <w:rPr>
                <w:rFonts w:ascii="Arial Narrow" w:hAnsi="Arial Narrow"/>
                <w:sz w:val="20"/>
              </w:rPr>
              <w:t xml:space="preserve">in </w:t>
            </w:r>
            <w:r w:rsidR="008060D4" w:rsidRPr="008060D4">
              <w:rPr>
                <w:rFonts w:ascii="Arial Narrow" w:hAnsi="Arial Narrow"/>
                <w:sz w:val="20"/>
              </w:rPr>
              <w:t>patient</w:t>
            </w:r>
            <w:r w:rsidR="006D3AB0">
              <w:rPr>
                <w:rFonts w:ascii="Arial Narrow" w:hAnsi="Arial Narrow"/>
                <w:sz w:val="20"/>
              </w:rPr>
              <w:t xml:space="preserve">s currently on </w:t>
            </w:r>
            <w:proofErr w:type="spellStart"/>
            <w:r w:rsidR="006D3AB0">
              <w:rPr>
                <w:rFonts w:ascii="Arial Narrow" w:hAnsi="Arial Narrow"/>
                <w:sz w:val="20"/>
              </w:rPr>
              <w:t>dornase</w:t>
            </w:r>
            <w:proofErr w:type="spellEnd"/>
            <w:r w:rsidR="006D3AB0">
              <w:rPr>
                <w:rFonts w:ascii="Arial Narrow" w:hAnsi="Arial Narrow"/>
                <w:sz w:val="20"/>
              </w:rPr>
              <w:t xml:space="preserve"> </w:t>
            </w:r>
            <w:proofErr w:type="spellStart"/>
            <w:r w:rsidR="006D3AB0">
              <w:rPr>
                <w:rFonts w:ascii="Arial Narrow" w:hAnsi="Arial Narrow"/>
                <w:sz w:val="20"/>
              </w:rPr>
              <w:t>alfa</w:t>
            </w:r>
            <w:proofErr w:type="spellEnd"/>
            <w:r w:rsidR="008060D4" w:rsidRPr="008060D4">
              <w:rPr>
                <w:rFonts w:ascii="Arial Narrow" w:hAnsi="Arial Narrow"/>
                <w:sz w:val="20"/>
              </w:rPr>
              <w:t xml:space="preserve"> where a change of therapy might improve outcome</w:t>
            </w:r>
            <w:r w:rsidR="007C5547">
              <w:rPr>
                <w:rFonts w:ascii="Arial Narrow" w:hAnsi="Arial Narrow"/>
                <w:sz w:val="20"/>
              </w:rPr>
              <w:t>s</w:t>
            </w:r>
            <w:r w:rsidR="008060D4" w:rsidRPr="008060D4">
              <w:rPr>
                <w:rFonts w:ascii="Arial Narrow" w:hAnsi="Arial Narrow"/>
                <w:sz w:val="20"/>
              </w:rPr>
              <w:t xml:space="preserve"> based on clinical global assessment.</w:t>
            </w:r>
          </w:p>
          <w:p w:rsidR="008060D4" w:rsidRDefault="008060D4" w:rsidP="004C7D83">
            <w:pPr>
              <w:rPr>
                <w:rFonts w:ascii="Arial Narrow" w:hAnsi="Arial Narrow"/>
                <w:sz w:val="20"/>
              </w:rPr>
            </w:pPr>
            <w:r w:rsidRPr="008060D4">
              <w:rPr>
                <w:rFonts w:ascii="Arial Narrow" w:hAnsi="Arial Narrow"/>
                <w:b/>
                <w:sz w:val="20"/>
              </w:rPr>
              <w:t>Comparator</w:t>
            </w:r>
            <w:r>
              <w:rPr>
                <w:rFonts w:ascii="Arial Narrow" w:hAnsi="Arial Narrow"/>
                <w:sz w:val="20"/>
              </w:rPr>
              <w:t xml:space="preserve">: </w:t>
            </w:r>
            <w:proofErr w:type="spellStart"/>
            <w:r>
              <w:rPr>
                <w:rFonts w:ascii="Arial Narrow" w:hAnsi="Arial Narrow"/>
                <w:sz w:val="20"/>
              </w:rPr>
              <w:t>Dornase</w:t>
            </w:r>
            <w:proofErr w:type="spellEnd"/>
            <w:r>
              <w:rPr>
                <w:rFonts w:ascii="Arial Narrow" w:hAnsi="Arial Narrow"/>
                <w:sz w:val="20"/>
              </w:rPr>
              <w:t xml:space="preserve"> </w:t>
            </w:r>
            <w:proofErr w:type="spellStart"/>
            <w:r>
              <w:rPr>
                <w:rFonts w:ascii="Arial Narrow" w:hAnsi="Arial Narrow"/>
                <w:sz w:val="20"/>
              </w:rPr>
              <w:t>alfa</w:t>
            </w:r>
            <w:proofErr w:type="spellEnd"/>
          </w:p>
          <w:p w:rsidR="004C3150" w:rsidRPr="00EA4587" w:rsidRDefault="006D3AB0" w:rsidP="004C7D83">
            <w:pPr>
              <w:rPr>
                <w:rFonts w:ascii="Arial Narrow" w:hAnsi="Arial Narrow"/>
                <w:sz w:val="20"/>
              </w:rPr>
            </w:pPr>
            <w:r w:rsidRPr="001179A7">
              <w:rPr>
                <w:rFonts w:ascii="Arial Narrow" w:hAnsi="Arial Narrow"/>
                <w:b/>
                <w:sz w:val="20"/>
              </w:rPr>
              <w:t>Evidence base</w:t>
            </w:r>
            <w:r>
              <w:rPr>
                <w:rFonts w:ascii="Arial Narrow" w:hAnsi="Arial Narrow"/>
                <w:b/>
                <w:sz w:val="20"/>
              </w:rPr>
              <w:t xml:space="preserve">: </w:t>
            </w:r>
            <w:r w:rsidR="00EA4587">
              <w:rPr>
                <w:rFonts w:ascii="Arial Narrow" w:hAnsi="Arial Narrow"/>
                <w:sz w:val="20"/>
              </w:rPr>
              <w:t>Pooled analysis of individual patient data for DPI mannitol vs. control in non-</w:t>
            </w:r>
            <w:proofErr w:type="spellStart"/>
            <w:r w:rsidR="00EA4587">
              <w:rPr>
                <w:rFonts w:ascii="Arial Narrow" w:hAnsi="Arial Narrow"/>
                <w:sz w:val="20"/>
              </w:rPr>
              <w:lastRenderedPageBreak/>
              <w:t>dornase</w:t>
            </w:r>
            <w:proofErr w:type="spellEnd"/>
            <w:r w:rsidR="00EA4587">
              <w:rPr>
                <w:rFonts w:ascii="Arial Narrow" w:hAnsi="Arial Narrow"/>
                <w:sz w:val="20"/>
              </w:rPr>
              <w:t xml:space="preserve"> users (CF-301, CF-302). </w:t>
            </w:r>
            <w:r>
              <w:rPr>
                <w:rFonts w:ascii="Arial Narrow" w:hAnsi="Arial Narrow"/>
                <w:sz w:val="20"/>
              </w:rPr>
              <w:t>Additional post-hoc subgroup analysis of</w:t>
            </w:r>
            <w:r w:rsidR="00EA4587">
              <w:rPr>
                <w:rFonts w:ascii="Arial Narrow" w:hAnsi="Arial Narrow"/>
                <w:sz w:val="20"/>
              </w:rPr>
              <w:t xml:space="preserve"> </w:t>
            </w:r>
            <w:r w:rsidR="00021EBE">
              <w:rPr>
                <w:rFonts w:ascii="Arial Narrow" w:hAnsi="Arial Narrow"/>
                <w:sz w:val="20"/>
              </w:rPr>
              <w:t xml:space="preserve">DPI </w:t>
            </w:r>
            <w:r w:rsidR="00EA4587">
              <w:rPr>
                <w:rFonts w:ascii="Arial Narrow" w:hAnsi="Arial Narrow"/>
                <w:sz w:val="20"/>
              </w:rPr>
              <w:t>mannitol vs. control in</w:t>
            </w:r>
            <w:r>
              <w:rPr>
                <w:rFonts w:ascii="Arial Narrow" w:hAnsi="Arial Narrow"/>
                <w:sz w:val="20"/>
              </w:rPr>
              <w:t xml:space="preserve"> patients intolerant/unresponsive to </w:t>
            </w:r>
            <w:proofErr w:type="spellStart"/>
            <w:r>
              <w:rPr>
                <w:rFonts w:ascii="Arial Narrow" w:hAnsi="Arial Narrow"/>
                <w:sz w:val="20"/>
              </w:rPr>
              <w:t>dornase</w:t>
            </w:r>
            <w:proofErr w:type="spellEnd"/>
            <w:r>
              <w:rPr>
                <w:rFonts w:ascii="Arial Narrow" w:hAnsi="Arial Narrow"/>
                <w:sz w:val="20"/>
              </w:rPr>
              <w:t xml:space="preserve"> </w:t>
            </w:r>
            <w:proofErr w:type="spellStart"/>
            <w:r>
              <w:rPr>
                <w:rFonts w:ascii="Arial Narrow" w:hAnsi="Arial Narrow"/>
                <w:sz w:val="20"/>
              </w:rPr>
              <w:t>alfa</w:t>
            </w:r>
            <w:proofErr w:type="spellEnd"/>
            <w:r>
              <w:rPr>
                <w:rFonts w:ascii="Arial Narrow" w:hAnsi="Arial Narrow"/>
                <w:sz w:val="20"/>
              </w:rPr>
              <w:t xml:space="preserve"> (CF-301, CF-302</w:t>
            </w:r>
            <w:r w:rsidR="00E85E64">
              <w:rPr>
                <w:rFonts w:ascii="Arial Narrow" w:hAnsi="Arial Narrow"/>
                <w:sz w:val="20"/>
              </w:rPr>
              <w:t>).</w:t>
            </w:r>
            <w:r w:rsidR="00EA4587">
              <w:rPr>
                <w:rFonts w:ascii="Arial Narrow" w:hAnsi="Arial Narrow"/>
                <w:sz w:val="20"/>
              </w:rPr>
              <w:t xml:space="preserve"> </w:t>
            </w:r>
            <w:r w:rsidR="004C3150">
              <w:rPr>
                <w:rFonts w:ascii="Arial Narrow" w:hAnsi="Arial Narrow"/>
                <w:sz w:val="20"/>
              </w:rPr>
              <w:t xml:space="preserve"> </w:t>
            </w:r>
            <w:r w:rsidR="00EA4587">
              <w:rPr>
                <w:rFonts w:ascii="Arial Narrow" w:hAnsi="Arial Narrow"/>
                <w:sz w:val="20"/>
              </w:rPr>
              <w:t>Indirect comparison of DPI mannitol in non-</w:t>
            </w:r>
            <w:proofErr w:type="spellStart"/>
            <w:r w:rsidR="00EA4587">
              <w:rPr>
                <w:rFonts w:ascii="Arial Narrow" w:hAnsi="Arial Narrow"/>
                <w:sz w:val="20"/>
              </w:rPr>
              <w:t>dornase</w:t>
            </w:r>
            <w:proofErr w:type="spellEnd"/>
            <w:r w:rsidR="00EA4587">
              <w:rPr>
                <w:rFonts w:ascii="Arial Narrow" w:hAnsi="Arial Narrow"/>
                <w:sz w:val="20"/>
              </w:rPr>
              <w:t xml:space="preserve"> users (CF-301, CF-302) vs. </w:t>
            </w:r>
            <w:proofErr w:type="spellStart"/>
            <w:r w:rsidR="00EA4587">
              <w:rPr>
                <w:rFonts w:ascii="Arial Narrow" w:hAnsi="Arial Narrow"/>
                <w:sz w:val="20"/>
              </w:rPr>
              <w:t>dornase</w:t>
            </w:r>
            <w:proofErr w:type="spellEnd"/>
            <w:r w:rsidR="00EA4587">
              <w:rPr>
                <w:rFonts w:ascii="Arial Narrow" w:hAnsi="Arial Narrow"/>
                <w:sz w:val="20"/>
              </w:rPr>
              <w:t xml:space="preserve"> </w:t>
            </w:r>
            <w:proofErr w:type="spellStart"/>
            <w:r w:rsidR="00EA4587">
              <w:rPr>
                <w:rFonts w:ascii="Arial Narrow" w:hAnsi="Arial Narrow"/>
                <w:sz w:val="20"/>
              </w:rPr>
              <w:t>alfa</w:t>
            </w:r>
            <w:proofErr w:type="spellEnd"/>
            <w:r w:rsidR="00EA4587">
              <w:rPr>
                <w:rFonts w:ascii="Arial Narrow" w:hAnsi="Arial Narrow"/>
                <w:sz w:val="20"/>
              </w:rPr>
              <w:t xml:space="preserve"> (Fuchs 1994). Main outcomes: lung function measures and exacerbations. Additional efficacy and safety data from longer-term extension studies up to 78 weeks</w:t>
            </w:r>
            <w:r w:rsidR="007C5547">
              <w:rPr>
                <w:rFonts w:ascii="Arial Narrow" w:hAnsi="Arial Narrow"/>
                <w:sz w:val="20"/>
              </w:rPr>
              <w:t>.</w:t>
            </w:r>
          </w:p>
          <w:p w:rsidR="00EA4587" w:rsidRPr="00EA4587" w:rsidRDefault="00EA4587" w:rsidP="004C7D83">
            <w:pPr>
              <w:rPr>
                <w:rFonts w:ascii="Arial Narrow" w:hAnsi="Arial Narrow"/>
                <w:sz w:val="20"/>
              </w:rPr>
            </w:pPr>
            <w:r>
              <w:rPr>
                <w:rFonts w:ascii="Arial Narrow" w:hAnsi="Arial Narrow"/>
                <w:b/>
                <w:sz w:val="20"/>
              </w:rPr>
              <w:t xml:space="preserve">Clinical claim: </w:t>
            </w:r>
            <w:r w:rsidR="00EE418B" w:rsidRPr="0099257A">
              <w:rPr>
                <w:rFonts w:ascii="Arial Narrow" w:hAnsi="Arial Narrow"/>
                <w:sz w:val="20"/>
              </w:rPr>
              <w:t xml:space="preserve">The submission described </w:t>
            </w:r>
            <w:r w:rsidR="00EE418B">
              <w:rPr>
                <w:rFonts w:ascii="Arial Narrow" w:hAnsi="Arial Narrow"/>
                <w:sz w:val="20"/>
              </w:rPr>
              <w:t xml:space="preserve">DPI mannitol as non-inferior in terms of </w:t>
            </w:r>
            <w:r w:rsidR="00EE418B" w:rsidRPr="0099257A">
              <w:rPr>
                <w:rFonts w:ascii="Arial Narrow" w:hAnsi="Arial Narrow"/>
                <w:sz w:val="20"/>
              </w:rPr>
              <w:t>efficacy</w:t>
            </w:r>
            <w:r w:rsidR="00EE418B">
              <w:rPr>
                <w:rFonts w:ascii="Arial Narrow" w:hAnsi="Arial Narrow"/>
                <w:sz w:val="20"/>
              </w:rPr>
              <w:t xml:space="preserve"> and similar in terms of safety compared to </w:t>
            </w:r>
            <w:proofErr w:type="spellStart"/>
            <w:r w:rsidR="00EE418B">
              <w:rPr>
                <w:rFonts w:ascii="Arial Narrow" w:hAnsi="Arial Narrow"/>
                <w:sz w:val="20"/>
              </w:rPr>
              <w:t>dornase</w:t>
            </w:r>
            <w:proofErr w:type="spellEnd"/>
            <w:r w:rsidR="00EE418B">
              <w:rPr>
                <w:rFonts w:ascii="Arial Narrow" w:hAnsi="Arial Narrow"/>
                <w:sz w:val="20"/>
              </w:rPr>
              <w:t xml:space="preserve"> </w:t>
            </w:r>
            <w:proofErr w:type="spellStart"/>
            <w:r w:rsidR="00EE418B">
              <w:rPr>
                <w:rFonts w:ascii="Arial Narrow" w:hAnsi="Arial Narrow"/>
                <w:sz w:val="20"/>
              </w:rPr>
              <w:t>alfa</w:t>
            </w:r>
            <w:proofErr w:type="spellEnd"/>
            <w:r w:rsidR="00EE418B">
              <w:rPr>
                <w:rFonts w:ascii="Arial Narrow" w:hAnsi="Arial Narrow"/>
                <w:sz w:val="20"/>
              </w:rPr>
              <w:t>.</w:t>
            </w:r>
          </w:p>
          <w:p w:rsidR="00DA48A5" w:rsidRPr="001179A7" w:rsidRDefault="004C3150" w:rsidP="00DA48A5">
            <w:pPr>
              <w:rPr>
                <w:rFonts w:ascii="Arial Narrow" w:hAnsi="Arial Narrow"/>
                <w:b/>
                <w:sz w:val="20"/>
              </w:rPr>
            </w:pPr>
            <w:r w:rsidRPr="001179A7">
              <w:rPr>
                <w:rFonts w:ascii="Arial Narrow" w:hAnsi="Arial Narrow"/>
                <w:b/>
                <w:sz w:val="20"/>
              </w:rPr>
              <w:t>Economic evaluation:</w:t>
            </w:r>
            <w:r w:rsidRPr="009E5CD0">
              <w:rPr>
                <w:rFonts w:ascii="Arial Narrow" w:hAnsi="Arial Narrow"/>
                <w:sz w:val="20"/>
              </w:rPr>
              <w:t xml:space="preserve"> </w:t>
            </w:r>
            <w:r w:rsidR="00DA48A5">
              <w:rPr>
                <w:rFonts w:ascii="Arial Narrow" w:hAnsi="Arial Narrow"/>
                <w:sz w:val="20"/>
              </w:rPr>
              <w:t>Weighted c</w:t>
            </w:r>
            <w:r w:rsidR="00DA48A5" w:rsidRPr="0061115F">
              <w:rPr>
                <w:rFonts w:ascii="Arial Narrow" w:hAnsi="Arial Narrow"/>
                <w:sz w:val="20"/>
              </w:rPr>
              <w:t>ost minimisation</w:t>
            </w:r>
            <w:r w:rsidR="00DA48A5">
              <w:rPr>
                <w:rFonts w:ascii="Arial Narrow" w:hAnsi="Arial Narrow"/>
                <w:sz w:val="20"/>
              </w:rPr>
              <w:t xml:space="preserve"> analysis of DPI mannitol monotherapy</w:t>
            </w:r>
            <w:r w:rsidR="00E85E64">
              <w:rPr>
                <w:rFonts w:ascii="Arial Narrow" w:hAnsi="Arial Narrow"/>
                <w:sz w:val="20"/>
              </w:rPr>
              <w:t xml:space="preserve"> (400mg twice a day)</w:t>
            </w:r>
            <w:r w:rsidR="00DA48A5">
              <w:rPr>
                <w:rFonts w:ascii="Arial Narrow" w:hAnsi="Arial Narrow"/>
                <w:sz w:val="20"/>
              </w:rPr>
              <w:t xml:space="preserve"> vs </w:t>
            </w:r>
            <w:proofErr w:type="spellStart"/>
            <w:r w:rsidR="00DA48A5">
              <w:rPr>
                <w:rFonts w:ascii="Arial Narrow" w:hAnsi="Arial Narrow"/>
                <w:sz w:val="20"/>
              </w:rPr>
              <w:t>dornase</w:t>
            </w:r>
            <w:proofErr w:type="spellEnd"/>
            <w:r w:rsidR="00DA48A5">
              <w:rPr>
                <w:rFonts w:ascii="Arial Narrow" w:hAnsi="Arial Narrow"/>
                <w:sz w:val="20"/>
              </w:rPr>
              <w:t xml:space="preserve"> </w:t>
            </w:r>
            <w:proofErr w:type="spellStart"/>
            <w:r w:rsidR="00DA48A5">
              <w:rPr>
                <w:rFonts w:ascii="Arial Narrow" w:hAnsi="Arial Narrow"/>
                <w:sz w:val="20"/>
              </w:rPr>
              <w:t>alfa</w:t>
            </w:r>
            <w:proofErr w:type="spellEnd"/>
            <w:r w:rsidR="00DA48A5">
              <w:rPr>
                <w:rFonts w:ascii="Arial Narrow" w:hAnsi="Arial Narrow"/>
                <w:sz w:val="20"/>
              </w:rPr>
              <w:t xml:space="preserve"> (</w:t>
            </w:r>
            <w:r w:rsidR="00E85E64">
              <w:rPr>
                <w:rFonts w:ascii="Arial Narrow" w:hAnsi="Arial Narrow"/>
                <w:sz w:val="20"/>
              </w:rPr>
              <w:t xml:space="preserve">2.5mg once a day, </w:t>
            </w:r>
            <w:r w:rsidR="00DA48A5">
              <w:rPr>
                <w:rFonts w:ascii="Arial Narrow" w:hAnsi="Arial Narrow"/>
                <w:sz w:val="20"/>
              </w:rPr>
              <w:t>79% of use) and nebulised hypertonic saline (</w:t>
            </w:r>
            <w:r w:rsidR="00E85E64">
              <w:rPr>
                <w:rFonts w:ascii="Arial Narrow" w:hAnsi="Arial Narrow"/>
                <w:sz w:val="20"/>
              </w:rPr>
              <w:t xml:space="preserve">assumed no cost for this therapy, </w:t>
            </w:r>
            <w:r w:rsidR="00DA48A5">
              <w:rPr>
                <w:rFonts w:ascii="Arial Narrow" w:hAnsi="Arial Narrow"/>
                <w:sz w:val="20"/>
              </w:rPr>
              <w:t xml:space="preserve">21% of use) </w:t>
            </w:r>
          </w:p>
          <w:p w:rsidR="004C3150" w:rsidRPr="001179A7" w:rsidRDefault="004C3150" w:rsidP="00E85E64">
            <w:pPr>
              <w:rPr>
                <w:rFonts w:ascii="Arial Narrow" w:hAnsi="Arial Narrow"/>
                <w:b/>
                <w:sz w:val="20"/>
              </w:rPr>
            </w:pPr>
            <w:r w:rsidRPr="001179A7">
              <w:rPr>
                <w:rFonts w:ascii="Arial Narrow" w:hAnsi="Arial Narrow"/>
                <w:b/>
                <w:sz w:val="20"/>
              </w:rPr>
              <w:t>PBAC recommendation:</w:t>
            </w:r>
            <w:r w:rsidRPr="00326A17">
              <w:rPr>
                <w:rFonts w:ascii="Arial Narrow" w:hAnsi="Arial Narrow"/>
                <w:sz w:val="20"/>
              </w:rPr>
              <w:t xml:space="preserve"> </w:t>
            </w:r>
            <w:r>
              <w:rPr>
                <w:rFonts w:ascii="Arial Narrow" w:hAnsi="Arial Narrow"/>
                <w:sz w:val="20"/>
              </w:rPr>
              <w:t>Reject</w:t>
            </w:r>
            <w:r w:rsidRPr="001D460E">
              <w:rPr>
                <w:rFonts w:ascii="Arial Narrow" w:hAnsi="Arial Narrow"/>
                <w:sz w:val="20"/>
              </w:rPr>
              <w:t>ed</w:t>
            </w:r>
            <w:r w:rsidR="00E85E64">
              <w:rPr>
                <w:rFonts w:ascii="Arial Narrow" w:hAnsi="Arial Narrow"/>
                <w:sz w:val="20"/>
              </w:rPr>
              <w:t>.</w:t>
            </w:r>
            <w:r w:rsidRPr="001D460E">
              <w:rPr>
                <w:rFonts w:ascii="Arial Narrow" w:hAnsi="Arial Narrow"/>
                <w:sz w:val="20"/>
              </w:rPr>
              <w:t xml:space="preserve"> </w:t>
            </w:r>
            <w:r w:rsidR="00E85E64">
              <w:rPr>
                <w:rFonts w:ascii="Arial Narrow" w:hAnsi="Arial Narrow"/>
                <w:sz w:val="20"/>
              </w:rPr>
              <w:t>Main issues included: uncertain clinical place in therapy, uncertain main comparator (</w:t>
            </w:r>
            <w:proofErr w:type="spellStart"/>
            <w:r w:rsidR="00E85E64">
              <w:rPr>
                <w:rFonts w:ascii="Arial Narrow" w:hAnsi="Arial Narrow"/>
                <w:sz w:val="20"/>
              </w:rPr>
              <w:t>dornase</w:t>
            </w:r>
            <w:proofErr w:type="spellEnd"/>
            <w:r w:rsidR="00E85E64">
              <w:rPr>
                <w:rFonts w:ascii="Arial Narrow" w:hAnsi="Arial Narrow"/>
                <w:sz w:val="20"/>
              </w:rPr>
              <w:t xml:space="preserve"> </w:t>
            </w:r>
            <w:proofErr w:type="spellStart"/>
            <w:r w:rsidR="00E85E64">
              <w:rPr>
                <w:rFonts w:ascii="Arial Narrow" w:hAnsi="Arial Narrow"/>
                <w:sz w:val="20"/>
              </w:rPr>
              <w:t>alfa</w:t>
            </w:r>
            <w:proofErr w:type="spellEnd"/>
            <w:r w:rsidR="00E85E64">
              <w:rPr>
                <w:rFonts w:ascii="Arial Narrow" w:hAnsi="Arial Narrow"/>
                <w:sz w:val="20"/>
              </w:rPr>
              <w:t xml:space="preserve"> or nebulised hypertonic saline), uncertain effectiveness of DPI mannitol, uncertain cost-effectiveness</w:t>
            </w:r>
            <w:r w:rsidR="007C5547">
              <w:rPr>
                <w:rFonts w:ascii="Arial Narrow" w:hAnsi="Arial Narrow"/>
                <w:sz w:val="20"/>
              </w:rPr>
              <w:t>.</w:t>
            </w:r>
          </w:p>
        </w:tc>
      </w:tr>
      <w:tr w:rsidR="004C3150" w:rsidRPr="001179A7" w:rsidTr="00DD6F41">
        <w:tc>
          <w:tcPr>
            <w:tcW w:w="1041" w:type="dxa"/>
            <w:vAlign w:val="center"/>
          </w:tcPr>
          <w:p w:rsidR="00E85E64" w:rsidRDefault="00E85E64" w:rsidP="00EA4587">
            <w:pPr>
              <w:jc w:val="center"/>
              <w:rPr>
                <w:rFonts w:ascii="Arial Narrow" w:hAnsi="Arial Narrow"/>
                <w:sz w:val="20"/>
              </w:rPr>
            </w:pPr>
            <w:r>
              <w:rPr>
                <w:rFonts w:ascii="Arial Narrow" w:hAnsi="Arial Narrow"/>
                <w:sz w:val="20"/>
              </w:rPr>
              <w:lastRenderedPageBreak/>
              <w:t xml:space="preserve">March </w:t>
            </w:r>
          </w:p>
          <w:p w:rsidR="004C3150" w:rsidRDefault="00E85E64" w:rsidP="00EA4587">
            <w:pPr>
              <w:jc w:val="center"/>
              <w:rPr>
                <w:rFonts w:ascii="Arial Narrow" w:hAnsi="Arial Narrow"/>
                <w:sz w:val="20"/>
              </w:rPr>
            </w:pPr>
            <w:r>
              <w:rPr>
                <w:rFonts w:ascii="Arial Narrow" w:hAnsi="Arial Narrow"/>
                <w:sz w:val="20"/>
              </w:rPr>
              <w:t>2012</w:t>
            </w:r>
          </w:p>
          <w:p w:rsidR="00E85E64" w:rsidRPr="001179A7" w:rsidRDefault="00E85E64" w:rsidP="00EA4587">
            <w:pPr>
              <w:jc w:val="center"/>
              <w:rPr>
                <w:rFonts w:ascii="Arial Narrow" w:hAnsi="Arial Narrow"/>
                <w:sz w:val="20"/>
              </w:rPr>
            </w:pPr>
            <w:r>
              <w:rPr>
                <w:rFonts w:ascii="Arial Narrow" w:hAnsi="Arial Narrow"/>
                <w:sz w:val="20"/>
              </w:rPr>
              <w:t>(minor)</w:t>
            </w:r>
          </w:p>
        </w:tc>
        <w:tc>
          <w:tcPr>
            <w:tcW w:w="7322" w:type="dxa"/>
          </w:tcPr>
          <w:p w:rsidR="004C3150" w:rsidRDefault="00E85E64" w:rsidP="00E85E64">
            <w:pPr>
              <w:rPr>
                <w:rFonts w:ascii="Arial Narrow" w:hAnsi="Arial Narrow"/>
                <w:sz w:val="20"/>
              </w:rPr>
            </w:pPr>
            <w:r w:rsidRPr="001179A7">
              <w:rPr>
                <w:rFonts w:ascii="Arial Narrow" w:hAnsi="Arial Narrow"/>
                <w:b/>
                <w:sz w:val="20"/>
              </w:rPr>
              <w:t>Purpose:</w:t>
            </w:r>
            <w:r>
              <w:rPr>
                <w:rFonts w:ascii="Arial Narrow" w:hAnsi="Arial Narrow"/>
                <w:sz w:val="20"/>
              </w:rPr>
              <w:t xml:space="preserve"> Requested listing of DPI mannitol monotherapy for </w:t>
            </w:r>
            <w:r w:rsidRPr="008060D4">
              <w:rPr>
                <w:rFonts w:ascii="Arial Narrow" w:hAnsi="Arial Narrow"/>
                <w:sz w:val="20"/>
              </w:rPr>
              <w:t>the tr</w:t>
            </w:r>
            <w:r>
              <w:rPr>
                <w:rFonts w:ascii="Arial Narrow" w:hAnsi="Arial Narrow"/>
                <w:sz w:val="20"/>
              </w:rPr>
              <w:t>eatment</w:t>
            </w:r>
            <w:r>
              <w:t xml:space="preserve"> </w:t>
            </w:r>
            <w:r>
              <w:rPr>
                <w:rFonts w:ascii="Arial Narrow" w:hAnsi="Arial Narrow"/>
                <w:sz w:val="20"/>
              </w:rPr>
              <w:t xml:space="preserve">of cystic fibrosis in </w:t>
            </w:r>
            <w:r w:rsidRPr="00E85E64">
              <w:rPr>
                <w:rFonts w:ascii="Arial Narrow" w:hAnsi="Arial Narrow"/>
                <w:sz w:val="20"/>
              </w:rPr>
              <w:t xml:space="preserve">patients who fail initiation criteria for </w:t>
            </w:r>
            <w:proofErr w:type="spellStart"/>
            <w:r w:rsidRPr="00E85E64">
              <w:rPr>
                <w:rFonts w:ascii="Arial Narrow" w:hAnsi="Arial Narrow"/>
                <w:sz w:val="20"/>
              </w:rPr>
              <w:t>dornase</w:t>
            </w:r>
            <w:proofErr w:type="spellEnd"/>
            <w:r w:rsidRPr="00E85E64">
              <w:rPr>
                <w:rFonts w:ascii="Arial Narrow" w:hAnsi="Arial Narrow"/>
                <w:sz w:val="20"/>
              </w:rPr>
              <w:t xml:space="preserve"> </w:t>
            </w:r>
            <w:proofErr w:type="spellStart"/>
            <w:r w:rsidRPr="00E85E64">
              <w:rPr>
                <w:rFonts w:ascii="Arial Narrow" w:hAnsi="Arial Narrow"/>
                <w:sz w:val="20"/>
              </w:rPr>
              <w:t>alfa</w:t>
            </w:r>
            <w:proofErr w:type="spellEnd"/>
            <w:r w:rsidRPr="00E85E64">
              <w:rPr>
                <w:rFonts w:ascii="Arial Narrow" w:hAnsi="Arial Narrow"/>
                <w:sz w:val="20"/>
              </w:rPr>
              <w:t>;</w:t>
            </w:r>
            <w:r>
              <w:rPr>
                <w:rFonts w:ascii="Arial Narrow" w:hAnsi="Arial Narrow"/>
                <w:sz w:val="20"/>
              </w:rPr>
              <w:t xml:space="preserve"> </w:t>
            </w:r>
            <w:r w:rsidRPr="00E85E64">
              <w:rPr>
                <w:rFonts w:ascii="Arial Narrow" w:hAnsi="Arial Narrow"/>
                <w:sz w:val="20"/>
              </w:rPr>
              <w:t xml:space="preserve">patients using </w:t>
            </w:r>
            <w:proofErr w:type="spellStart"/>
            <w:r w:rsidRPr="00E85E64">
              <w:rPr>
                <w:rFonts w:ascii="Arial Narrow" w:hAnsi="Arial Narrow"/>
                <w:sz w:val="20"/>
              </w:rPr>
              <w:t>dornase</w:t>
            </w:r>
            <w:proofErr w:type="spellEnd"/>
            <w:r w:rsidRPr="00E85E64">
              <w:rPr>
                <w:rFonts w:ascii="Arial Narrow" w:hAnsi="Arial Narrow"/>
                <w:sz w:val="20"/>
              </w:rPr>
              <w:t xml:space="preserve"> </w:t>
            </w:r>
            <w:proofErr w:type="spellStart"/>
            <w:r w:rsidRPr="00E85E64">
              <w:rPr>
                <w:rFonts w:ascii="Arial Narrow" w:hAnsi="Arial Narrow"/>
                <w:sz w:val="20"/>
              </w:rPr>
              <w:t>alfa</w:t>
            </w:r>
            <w:proofErr w:type="spellEnd"/>
            <w:r w:rsidRPr="00E85E64">
              <w:rPr>
                <w:rFonts w:ascii="Arial Narrow" w:hAnsi="Arial Narrow"/>
                <w:sz w:val="20"/>
              </w:rPr>
              <w:t xml:space="preserve"> intermittently;</w:t>
            </w:r>
            <w:r>
              <w:rPr>
                <w:rFonts w:ascii="Arial Narrow" w:hAnsi="Arial Narrow"/>
                <w:sz w:val="20"/>
              </w:rPr>
              <w:t xml:space="preserve"> </w:t>
            </w:r>
            <w:r w:rsidRPr="00E85E64">
              <w:rPr>
                <w:rFonts w:ascii="Arial Narrow" w:hAnsi="Arial Narrow"/>
                <w:sz w:val="20"/>
              </w:rPr>
              <w:t xml:space="preserve">patients who are using </w:t>
            </w:r>
            <w:proofErr w:type="spellStart"/>
            <w:r w:rsidRPr="00E85E64">
              <w:rPr>
                <w:rFonts w:ascii="Arial Narrow" w:hAnsi="Arial Narrow"/>
                <w:sz w:val="20"/>
              </w:rPr>
              <w:t>dornase</w:t>
            </w:r>
            <w:proofErr w:type="spellEnd"/>
            <w:r w:rsidRPr="00E85E64">
              <w:rPr>
                <w:rFonts w:ascii="Arial Narrow" w:hAnsi="Arial Narrow"/>
                <w:sz w:val="20"/>
              </w:rPr>
              <w:t xml:space="preserve"> </w:t>
            </w:r>
            <w:proofErr w:type="spellStart"/>
            <w:r w:rsidRPr="00E85E64">
              <w:rPr>
                <w:rFonts w:ascii="Arial Narrow" w:hAnsi="Arial Narrow"/>
                <w:sz w:val="20"/>
              </w:rPr>
              <w:t>alfa</w:t>
            </w:r>
            <w:proofErr w:type="spellEnd"/>
            <w:r w:rsidRPr="00E85E64">
              <w:rPr>
                <w:rFonts w:ascii="Arial Narrow" w:hAnsi="Arial Narrow"/>
                <w:sz w:val="20"/>
              </w:rPr>
              <w:t xml:space="preserve">, but are inadequately responsive, and it is considered may improve with </w:t>
            </w:r>
            <w:r w:rsidR="007C5547">
              <w:rPr>
                <w:rFonts w:ascii="Arial Narrow" w:hAnsi="Arial Narrow"/>
                <w:sz w:val="20"/>
              </w:rPr>
              <w:t xml:space="preserve">DPI </w:t>
            </w:r>
            <w:r w:rsidRPr="00E85E64">
              <w:rPr>
                <w:rFonts w:ascii="Arial Narrow" w:hAnsi="Arial Narrow"/>
                <w:sz w:val="20"/>
              </w:rPr>
              <w:t xml:space="preserve">mannitol as an alternative to </w:t>
            </w:r>
            <w:proofErr w:type="spellStart"/>
            <w:r w:rsidRPr="00E85E64">
              <w:rPr>
                <w:rFonts w:ascii="Arial Narrow" w:hAnsi="Arial Narrow"/>
                <w:sz w:val="20"/>
              </w:rPr>
              <w:t>dornase</w:t>
            </w:r>
            <w:proofErr w:type="spellEnd"/>
            <w:r w:rsidRPr="00E85E64">
              <w:rPr>
                <w:rFonts w:ascii="Arial Narrow" w:hAnsi="Arial Narrow"/>
                <w:sz w:val="20"/>
              </w:rPr>
              <w:t xml:space="preserve"> </w:t>
            </w:r>
            <w:proofErr w:type="spellStart"/>
            <w:r w:rsidRPr="00E85E64">
              <w:rPr>
                <w:rFonts w:ascii="Arial Narrow" w:hAnsi="Arial Narrow"/>
                <w:sz w:val="20"/>
              </w:rPr>
              <w:t>alfa</w:t>
            </w:r>
            <w:proofErr w:type="spellEnd"/>
            <w:r w:rsidRPr="00E85E64">
              <w:rPr>
                <w:rFonts w:ascii="Arial Narrow" w:hAnsi="Arial Narrow"/>
                <w:sz w:val="20"/>
              </w:rPr>
              <w:t>.</w:t>
            </w:r>
          </w:p>
          <w:p w:rsidR="00E85E64" w:rsidRDefault="00E85E64" w:rsidP="00634769">
            <w:pPr>
              <w:rPr>
                <w:rFonts w:ascii="Arial Narrow" w:hAnsi="Arial Narrow"/>
                <w:sz w:val="20"/>
              </w:rPr>
            </w:pPr>
            <w:r w:rsidRPr="00E85E64">
              <w:rPr>
                <w:rFonts w:ascii="Arial Narrow" w:hAnsi="Arial Narrow"/>
                <w:b/>
                <w:sz w:val="20"/>
              </w:rPr>
              <w:t>Evidence base</w:t>
            </w:r>
            <w:r>
              <w:rPr>
                <w:rFonts w:ascii="Arial Narrow" w:hAnsi="Arial Narrow"/>
                <w:sz w:val="20"/>
              </w:rPr>
              <w:t xml:space="preserve">: No new data presented. The submission </w:t>
            </w:r>
            <w:r w:rsidR="00634769">
              <w:rPr>
                <w:rFonts w:ascii="Arial Narrow" w:hAnsi="Arial Narrow"/>
                <w:sz w:val="20"/>
              </w:rPr>
              <w:t>sought to address uncertainty regarding place in therapy (argued that therapy is tailored to individual patient needs) and main comparator (argued that hypertonic saline is an unregistered product that is not frequently used in Australia).</w:t>
            </w:r>
          </w:p>
          <w:p w:rsidR="00634769" w:rsidRDefault="00634769" w:rsidP="00634769">
            <w:pPr>
              <w:rPr>
                <w:rFonts w:ascii="Arial Narrow" w:hAnsi="Arial Narrow"/>
                <w:sz w:val="20"/>
              </w:rPr>
            </w:pPr>
            <w:r w:rsidRPr="001179A7">
              <w:rPr>
                <w:rFonts w:ascii="Arial Narrow" w:hAnsi="Arial Narrow"/>
                <w:b/>
                <w:sz w:val="20"/>
              </w:rPr>
              <w:t>Economic evaluation:</w:t>
            </w:r>
            <w:r w:rsidRPr="009E5CD0">
              <w:rPr>
                <w:rFonts w:ascii="Arial Narrow" w:hAnsi="Arial Narrow"/>
                <w:sz w:val="20"/>
              </w:rPr>
              <w:t xml:space="preserve"> </w:t>
            </w:r>
            <w:r>
              <w:rPr>
                <w:rFonts w:ascii="Arial Narrow" w:hAnsi="Arial Narrow"/>
                <w:sz w:val="20"/>
              </w:rPr>
              <w:t>Weighted c</w:t>
            </w:r>
            <w:r w:rsidRPr="0061115F">
              <w:rPr>
                <w:rFonts w:ascii="Arial Narrow" w:hAnsi="Arial Narrow"/>
                <w:sz w:val="20"/>
              </w:rPr>
              <w:t>ost minimisation</w:t>
            </w:r>
            <w:r>
              <w:rPr>
                <w:rFonts w:ascii="Arial Narrow" w:hAnsi="Arial Narrow"/>
                <w:sz w:val="20"/>
              </w:rPr>
              <w:t xml:space="preserve"> analysis of DPI mannitol monotherapy (400mg twice a day) vs </w:t>
            </w:r>
            <w:proofErr w:type="spellStart"/>
            <w:r>
              <w:rPr>
                <w:rFonts w:ascii="Arial Narrow" w:hAnsi="Arial Narrow"/>
                <w:sz w:val="20"/>
              </w:rPr>
              <w:t>dornase</w:t>
            </w:r>
            <w:proofErr w:type="spellEnd"/>
            <w:r>
              <w:rPr>
                <w:rFonts w:ascii="Arial Narrow" w:hAnsi="Arial Narrow"/>
                <w:sz w:val="20"/>
              </w:rPr>
              <w:t xml:space="preserve"> </w:t>
            </w:r>
            <w:proofErr w:type="spellStart"/>
            <w:r>
              <w:rPr>
                <w:rFonts w:ascii="Arial Narrow" w:hAnsi="Arial Narrow"/>
                <w:sz w:val="20"/>
              </w:rPr>
              <w:t>alfa</w:t>
            </w:r>
            <w:proofErr w:type="spellEnd"/>
            <w:r>
              <w:rPr>
                <w:rFonts w:ascii="Arial Narrow" w:hAnsi="Arial Narrow"/>
                <w:sz w:val="20"/>
              </w:rPr>
              <w:t xml:space="preserve"> (2.5mg once a day, 70% of use) and nebulised hypertonic saline (assumed no cost for this therapy, 30% of use). </w:t>
            </w:r>
            <w:r w:rsidR="007C5547">
              <w:rPr>
                <w:rFonts w:ascii="Arial Narrow" w:hAnsi="Arial Narrow"/>
                <w:sz w:val="20"/>
              </w:rPr>
              <w:t>The s</w:t>
            </w:r>
            <w:r>
              <w:rPr>
                <w:rFonts w:ascii="Arial Narrow" w:hAnsi="Arial Narrow"/>
                <w:sz w:val="20"/>
              </w:rPr>
              <w:t>ponsor offered to provide access to combination therapy through a compassionate access program</w:t>
            </w:r>
            <w:r w:rsidR="007C5547">
              <w:rPr>
                <w:rFonts w:ascii="Arial Narrow" w:hAnsi="Arial Narrow"/>
                <w:sz w:val="20"/>
              </w:rPr>
              <w:t>.</w:t>
            </w:r>
          </w:p>
          <w:p w:rsidR="00634769" w:rsidRPr="00634769" w:rsidRDefault="00634769" w:rsidP="00634769">
            <w:pPr>
              <w:rPr>
                <w:rFonts w:ascii="Arial Narrow" w:hAnsi="Arial Narrow"/>
                <w:b/>
                <w:sz w:val="20"/>
              </w:rPr>
            </w:pPr>
            <w:r w:rsidRPr="001179A7">
              <w:rPr>
                <w:rFonts w:ascii="Arial Narrow" w:hAnsi="Arial Narrow"/>
                <w:b/>
                <w:sz w:val="20"/>
              </w:rPr>
              <w:t>PBAC recommendation:</w:t>
            </w:r>
            <w:r w:rsidRPr="00326A17">
              <w:rPr>
                <w:rFonts w:ascii="Arial Narrow" w:hAnsi="Arial Narrow"/>
                <w:sz w:val="20"/>
              </w:rPr>
              <w:t xml:space="preserve"> </w:t>
            </w:r>
            <w:r>
              <w:rPr>
                <w:rFonts w:ascii="Arial Narrow" w:hAnsi="Arial Narrow"/>
                <w:sz w:val="20"/>
              </w:rPr>
              <w:t>Recommended</w:t>
            </w:r>
            <w:r w:rsidR="007C5547">
              <w:rPr>
                <w:rFonts w:ascii="Arial Narrow" w:hAnsi="Arial Narrow"/>
                <w:sz w:val="20"/>
              </w:rPr>
              <w:t>.</w:t>
            </w:r>
          </w:p>
        </w:tc>
      </w:tr>
      <w:tr w:rsidR="00CF238B" w:rsidRPr="001179A7" w:rsidTr="00DD6F41">
        <w:tc>
          <w:tcPr>
            <w:tcW w:w="1041" w:type="dxa"/>
            <w:vAlign w:val="center"/>
          </w:tcPr>
          <w:p w:rsidR="00CF238B" w:rsidRDefault="00CF238B" w:rsidP="00EA4587">
            <w:pPr>
              <w:jc w:val="center"/>
              <w:rPr>
                <w:rFonts w:ascii="Arial Narrow" w:hAnsi="Arial Narrow"/>
                <w:sz w:val="20"/>
              </w:rPr>
            </w:pPr>
            <w:r>
              <w:rPr>
                <w:rFonts w:ascii="Arial Narrow" w:hAnsi="Arial Narrow"/>
                <w:sz w:val="20"/>
              </w:rPr>
              <w:t>March 2013 (minor)</w:t>
            </w:r>
          </w:p>
        </w:tc>
        <w:tc>
          <w:tcPr>
            <w:tcW w:w="7322" w:type="dxa"/>
          </w:tcPr>
          <w:p w:rsidR="00CF238B" w:rsidRDefault="00CB71CB" w:rsidP="00CB71CB">
            <w:pPr>
              <w:rPr>
                <w:rFonts w:ascii="Arial Narrow" w:hAnsi="Arial Narrow"/>
                <w:sz w:val="20"/>
              </w:rPr>
            </w:pPr>
            <w:r>
              <w:rPr>
                <w:rFonts w:ascii="Arial Narrow" w:hAnsi="Arial Narrow"/>
                <w:b/>
                <w:sz w:val="20"/>
              </w:rPr>
              <w:t>Purpose</w:t>
            </w:r>
            <w:r w:rsidRPr="00CB71CB">
              <w:rPr>
                <w:rFonts w:ascii="Arial Narrow" w:hAnsi="Arial Narrow"/>
                <w:b/>
                <w:sz w:val="20"/>
              </w:rPr>
              <w:t>:</w:t>
            </w:r>
            <w:r w:rsidRPr="00CB71CB">
              <w:rPr>
                <w:rFonts w:ascii="Arial Narrow" w:hAnsi="Arial Narrow"/>
                <w:sz w:val="20"/>
              </w:rPr>
              <w:t xml:space="preserve"> </w:t>
            </w:r>
            <w:r>
              <w:rPr>
                <w:rFonts w:ascii="Arial Narrow" w:hAnsi="Arial Narrow"/>
                <w:sz w:val="20"/>
              </w:rPr>
              <w:t xml:space="preserve">Requested an amendment to the PBS listing to simplify treatment continuation rules </w:t>
            </w:r>
            <w:r w:rsidR="00B00935">
              <w:rPr>
                <w:rFonts w:ascii="Arial Narrow" w:hAnsi="Arial Narrow"/>
                <w:sz w:val="20"/>
              </w:rPr>
              <w:t xml:space="preserve">(i.e. removal of </w:t>
            </w:r>
            <w:r w:rsidR="004D6E79">
              <w:rPr>
                <w:rFonts w:ascii="Arial Narrow" w:hAnsi="Arial Narrow"/>
                <w:sz w:val="20"/>
              </w:rPr>
              <w:t>continuation rules</w:t>
            </w:r>
            <w:r w:rsidR="00B00935">
              <w:rPr>
                <w:rFonts w:ascii="Arial Narrow" w:hAnsi="Arial Narrow"/>
                <w:sz w:val="20"/>
              </w:rPr>
              <w:t xml:space="preserve"> or replace </w:t>
            </w:r>
            <w:r w:rsidR="00BB3C33">
              <w:rPr>
                <w:rFonts w:ascii="Arial Narrow" w:hAnsi="Arial Narrow"/>
                <w:sz w:val="20"/>
              </w:rPr>
              <w:t xml:space="preserve">10% FEV1 improvement rule with a </w:t>
            </w:r>
            <w:r w:rsidR="00B00935">
              <w:rPr>
                <w:rFonts w:ascii="Arial Narrow" w:hAnsi="Arial Narrow"/>
                <w:sz w:val="20"/>
              </w:rPr>
              <w:t xml:space="preserve"> ‘global consensus’ assessment </w:t>
            </w:r>
            <w:r w:rsidR="007C5547">
              <w:rPr>
                <w:rFonts w:ascii="Arial Narrow" w:hAnsi="Arial Narrow"/>
                <w:sz w:val="20"/>
              </w:rPr>
              <w:t xml:space="preserve">of treatment benefit </w:t>
            </w:r>
            <w:r w:rsidR="00BB3C33">
              <w:rPr>
                <w:rFonts w:ascii="Arial Narrow" w:hAnsi="Arial Narrow"/>
                <w:sz w:val="20"/>
              </w:rPr>
              <w:t xml:space="preserve">by </w:t>
            </w:r>
            <w:r w:rsidR="00B00935">
              <w:rPr>
                <w:rFonts w:ascii="Arial Narrow" w:hAnsi="Arial Narrow"/>
                <w:sz w:val="20"/>
              </w:rPr>
              <w:t>the patient/family and physician)</w:t>
            </w:r>
            <w:r w:rsidR="007C5547">
              <w:rPr>
                <w:rFonts w:ascii="Arial Narrow" w:hAnsi="Arial Narrow"/>
                <w:sz w:val="20"/>
              </w:rPr>
              <w:t>.</w:t>
            </w:r>
          </w:p>
          <w:p w:rsidR="00CB71CB" w:rsidRPr="00CB71CB" w:rsidRDefault="00CB71CB" w:rsidP="00CB71CB">
            <w:pPr>
              <w:rPr>
                <w:rFonts w:ascii="Arial Narrow" w:hAnsi="Arial Narrow"/>
                <w:sz w:val="20"/>
              </w:rPr>
            </w:pPr>
            <w:r w:rsidRPr="00E85E64">
              <w:rPr>
                <w:rFonts w:ascii="Arial Narrow" w:hAnsi="Arial Narrow"/>
                <w:b/>
                <w:sz w:val="20"/>
              </w:rPr>
              <w:t>Evidence base</w:t>
            </w:r>
            <w:r>
              <w:rPr>
                <w:rFonts w:ascii="Arial Narrow" w:hAnsi="Arial Narrow"/>
                <w:sz w:val="20"/>
              </w:rPr>
              <w:t>: No new data presented. The submission argued that changing the</w:t>
            </w:r>
            <w:r w:rsidRPr="00CB71CB">
              <w:rPr>
                <w:rFonts w:ascii="Arial Narrow" w:hAnsi="Arial Narrow"/>
                <w:sz w:val="20"/>
              </w:rPr>
              <w:t xml:space="preserve"> continuation rule in the restriction for</w:t>
            </w:r>
            <w:r w:rsidR="00021EBE">
              <w:rPr>
                <w:rFonts w:ascii="Arial Narrow" w:hAnsi="Arial Narrow"/>
                <w:sz w:val="20"/>
              </w:rPr>
              <w:t xml:space="preserve"> DPI</w:t>
            </w:r>
            <w:r w:rsidRPr="00CB71CB">
              <w:rPr>
                <w:rFonts w:ascii="Arial Narrow" w:hAnsi="Arial Narrow"/>
                <w:sz w:val="20"/>
              </w:rPr>
              <w:t xml:space="preserve"> mannitol would </w:t>
            </w:r>
            <w:r>
              <w:rPr>
                <w:rFonts w:ascii="Arial Narrow" w:hAnsi="Arial Narrow"/>
                <w:sz w:val="20"/>
              </w:rPr>
              <w:t xml:space="preserve">improve </w:t>
            </w:r>
            <w:r w:rsidR="00032C05">
              <w:rPr>
                <w:rFonts w:ascii="Arial Narrow" w:hAnsi="Arial Narrow"/>
                <w:sz w:val="20"/>
              </w:rPr>
              <w:t xml:space="preserve">patient </w:t>
            </w:r>
            <w:r>
              <w:rPr>
                <w:rFonts w:ascii="Arial Narrow" w:hAnsi="Arial Narrow"/>
                <w:sz w:val="20"/>
              </w:rPr>
              <w:t>access and better align the PBS listing with clinical practice and the clinical trial evidence.</w:t>
            </w:r>
          </w:p>
          <w:p w:rsidR="00CB71CB" w:rsidRDefault="00CB71CB" w:rsidP="00CB71CB">
            <w:pPr>
              <w:rPr>
                <w:rFonts w:ascii="Arial Narrow" w:hAnsi="Arial Narrow"/>
                <w:sz w:val="20"/>
              </w:rPr>
            </w:pPr>
            <w:r w:rsidRPr="001179A7">
              <w:rPr>
                <w:rFonts w:ascii="Arial Narrow" w:hAnsi="Arial Narrow"/>
                <w:b/>
                <w:sz w:val="20"/>
              </w:rPr>
              <w:t>PBAC recommendation:</w:t>
            </w:r>
            <w:r w:rsidRPr="00326A17">
              <w:rPr>
                <w:rFonts w:ascii="Arial Narrow" w:hAnsi="Arial Narrow"/>
                <w:sz w:val="20"/>
              </w:rPr>
              <w:t xml:space="preserve"> </w:t>
            </w:r>
            <w:r>
              <w:rPr>
                <w:rFonts w:ascii="Arial Narrow" w:hAnsi="Arial Narrow"/>
                <w:sz w:val="20"/>
              </w:rPr>
              <w:t>Deferred, to</w:t>
            </w:r>
            <w:r w:rsidRPr="00CB71CB">
              <w:rPr>
                <w:rFonts w:ascii="Arial Narrow" w:hAnsi="Arial Narrow"/>
                <w:sz w:val="20"/>
              </w:rPr>
              <w:t xml:space="preserve"> seek further advice from Cystic Fibrosis Special Interest Group of the Thoracic Society of Australia and New Zealand (TSANZ)</w:t>
            </w:r>
            <w:r w:rsidR="007C5547">
              <w:rPr>
                <w:rFonts w:ascii="Arial Narrow" w:hAnsi="Arial Narrow"/>
                <w:sz w:val="20"/>
              </w:rPr>
              <w:t>.</w:t>
            </w:r>
          </w:p>
          <w:p w:rsidR="00B96987" w:rsidRPr="00CB71CB" w:rsidRDefault="00B96987" w:rsidP="007C5547">
            <w:pPr>
              <w:rPr>
                <w:rFonts w:ascii="Arial Narrow" w:hAnsi="Arial Narrow"/>
                <w:sz w:val="20"/>
              </w:rPr>
            </w:pPr>
            <w:r w:rsidRPr="001179A7">
              <w:rPr>
                <w:rFonts w:ascii="Arial Narrow" w:hAnsi="Arial Narrow"/>
                <w:b/>
                <w:sz w:val="20"/>
              </w:rPr>
              <w:t>PBAC recommendation:</w:t>
            </w:r>
            <w:r w:rsidRPr="00326A17">
              <w:rPr>
                <w:rFonts w:ascii="Arial Narrow" w:hAnsi="Arial Narrow"/>
                <w:sz w:val="20"/>
              </w:rPr>
              <w:t xml:space="preserve"> </w:t>
            </w:r>
            <w:r>
              <w:rPr>
                <w:rFonts w:ascii="Arial Narrow" w:hAnsi="Arial Narrow"/>
                <w:sz w:val="20"/>
              </w:rPr>
              <w:t xml:space="preserve">Recommended an amendment to both the DPI mannitol and </w:t>
            </w:r>
            <w:proofErr w:type="spellStart"/>
            <w:r>
              <w:rPr>
                <w:rFonts w:ascii="Arial Narrow" w:hAnsi="Arial Narrow"/>
                <w:sz w:val="20"/>
              </w:rPr>
              <w:t>dornase</w:t>
            </w:r>
            <w:proofErr w:type="spellEnd"/>
            <w:r>
              <w:rPr>
                <w:rFonts w:ascii="Arial Narrow" w:hAnsi="Arial Narrow"/>
                <w:sz w:val="20"/>
              </w:rPr>
              <w:t xml:space="preserve"> </w:t>
            </w:r>
            <w:proofErr w:type="spellStart"/>
            <w:r>
              <w:rPr>
                <w:rFonts w:ascii="Arial Narrow" w:hAnsi="Arial Narrow"/>
                <w:sz w:val="20"/>
              </w:rPr>
              <w:t>alfa</w:t>
            </w:r>
            <w:proofErr w:type="spellEnd"/>
            <w:r>
              <w:rPr>
                <w:rFonts w:ascii="Arial Narrow" w:hAnsi="Arial Narrow"/>
                <w:sz w:val="20"/>
              </w:rPr>
              <w:t xml:space="preserve"> listings in July 2013, changing the continuation criteria to </w:t>
            </w:r>
            <w:r w:rsidRPr="00BB3C33">
              <w:rPr>
                <w:rFonts w:ascii="Arial Narrow" w:hAnsi="Arial Narrow"/>
                <w:sz w:val="20"/>
              </w:rPr>
              <w:t>patient</w:t>
            </w:r>
            <w:r>
              <w:rPr>
                <w:rFonts w:ascii="Arial Narrow" w:hAnsi="Arial Narrow"/>
                <w:sz w:val="20"/>
              </w:rPr>
              <w:t>s who</w:t>
            </w:r>
            <w:r w:rsidRPr="00BB3C33">
              <w:rPr>
                <w:rFonts w:ascii="Arial Narrow" w:hAnsi="Arial Narrow"/>
                <w:sz w:val="20"/>
              </w:rPr>
              <w:t xml:space="preserve"> demonstrate no deterioration in FEV1 compared to baseline; AND the patient or the patient’s family (in the case of paediatric patients) must report improvement in the patient’s airway clearance; AND the treating physician(s) must report a benefit in the clinical status of the patient</w:t>
            </w:r>
            <w:r w:rsidR="007C5547">
              <w:rPr>
                <w:rFonts w:ascii="Arial Narrow" w:hAnsi="Arial Narrow"/>
                <w:sz w:val="20"/>
              </w:rPr>
              <w:t>.</w:t>
            </w:r>
          </w:p>
        </w:tc>
      </w:tr>
      <w:tr w:rsidR="008B713B" w:rsidRPr="001179A7" w:rsidTr="00DD6F41">
        <w:tc>
          <w:tcPr>
            <w:tcW w:w="1041" w:type="dxa"/>
            <w:vAlign w:val="center"/>
          </w:tcPr>
          <w:p w:rsidR="008B713B" w:rsidRDefault="008B713B" w:rsidP="00EA4587">
            <w:pPr>
              <w:jc w:val="center"/>
              <w:rPr>
                <w:rFonts w:ascii="Arial Narrow" w:hAnsi="Arial Narrow"/>
                <w:sz w:val="20"/>
              </w:rPr>
            </w:pPr>
            <w:r>
              <w:rPr>
                <w:rFonts w:ascii="Arial Narrow" w:hAnsi="Arial Narrow"/>
                <w:sz w:val="20"/>
              </w:rPr>
              <w:t>October 2014 (DUSC review)</w:t>
            </w:r>
          </w:p>
        </w:tc>
        <w:tc>
          <w:tcPr>
            <w:tcW w:w="7322" w:type="dxa"/>
          </w:tcPr>
          <w:p w:rsidR="008B713B" w:rsidRDefault="008B713B" w:rsidP="00CB71CB">
            <w:pPr>
              <w:rPr>
                <w:rFonts w:ascii="Arial Narrow" w:hAnsi="Arial Narrow"/>
                <w:b/>
                <w:sz w:val="20"/>
              </w:rPr>
            </w:pPr>
            <w:r>
              <w:rPr>
                <w:rFonts w:ascii="Arial Narrow" w:hAnsi="Arial Narrow"/>
                <w:b/>
                <w:sz w:val="20"/>
              </w:rPr>
              <w:t xml:space="preserve">Purpose: </w:t>
            </w:r>
            <w:r w:rsidRPr="008B713B">
              <w:rPr>
                <w:rFonts w:ascii="Arial Narrow" w:hAnsi="Arial Narrow"/>
                <w:sz w:val="20"/>
              </w:rPr>
              <w:t xml:space="preserve">To examine the utilisation of </w:t>
            </w:r>
            <w:proofErr w:type="spellStart"/>
            <w:r w:rsidRPr="008B713B">
              <w:rPr>
                <w:rFonts w:ascii="Arial Narrow" w:hAnsi="Arial Narrow"/>
                <w:sz w:val="20"/>
              </w:rPr>
              <w:t>dornase</w:t>
            </w:r>
            <w:proofErr w:type="spellEnd"/>
            <w:r w:rsidRPr="008B713B">
              <w:rPr>
                <w:rFonts w:ascii="Arial Narrow" w:hAnsi="Arial Narrow"/>
                <w:sz w:val="20"/>
              </w:rPr>
              <w:t xml:space="preserve"> </w:t>
            </w:r>
            <w:proofErr w:type="spellStart"/>
            <w:r w:rsidRPr="008B713B">
              <w:rPr>
                <w:rFonts w:ascii="Arial Narrow" w:hAnsi="Arial Narrow"/>
                <w:sz w:val="20"/>
              </w:rPr>
              <w:t>alfa</w:t>
            </w:r>
            <w:proofErr w:type="spellEnd"/>
            <w:r w:rsidRPr="008B713B">
              <w:rPr>
                <w:rFonts w:ascii="Arial Narrow" w:hAnsi="Arial Narrow"/>
                <w:sz w:val="20"/>
              </w:rPr>
              <w:t xml:space="preserve"> and </w:t>
            </w:r>
            <w:r w:rsidR="007C5547">
              <w:rPr>
                <w:rFonts w:ascii="Arial Narrow" w:hAnsi="Arial Narrow"/>
                <w:sz w:val="20"/>
              </w:rPr>
              <w:t xml:space="preserve">DPI </w:t>
            </w:r>
            <w:r w:rsidRPr="008B713B">
              <w:rPr>
                <w:rFonts w:ascii="Arial Narrow" w:hAnsi="Arial Narrow"/>
                <w:sz w:val="20"/>
              </w:rPr>
              <w:t>mannitol for cystic fibrosis, including a predicted versus actual (</w:t>
            </w:r>
            <w:proofErr w:type="spellStart"/>
            <w:r w:rsidRPr="008B713B">
              <w:rPr>
                <w:rFonts w:ascii="Arial Narrow" w:hAnsi="Arial Narrow"/>
                <w:sz w:val="20"/>
              </w:rPr>
              <w:t>PvA</w:t>
            </w:r>
            <w:proofErr w:type="spellEnd"/>
            <w:r w:rsidRPr="008B713B">
              <w:rPr>
                <w:rFonts w:ascii="Arial Narrow" w:hAnsi="Arial Narrow"/>
                <w:sz w:val="20"/>
              </w:rPr>
              <w:t xml:space="preserve">) analysis of </w:t>
            </w:r>
            <w:r w:rsidR="007C5547">
              <w:rPr>
                <w:rFonts w:ascii="Arial Narrow" w:hAnsi="Arial Narrow"/>
                <w:sz w:val="20"/>
              </w:rPr>
              <w:t xml:space="preserve">DPI </w:t>
            </w:r>
            <w:r w:rsidRPr="008B713B">
              <w:rPr>
                <w:rFonts w:ascii="Arial Narrow" w:hAnsi="Arial Narrow"/>
                <w:sz w:val="20"/>
              </w:rPr>
              <w:t>mannitol in its first year of listing on the Pharmaceutical Benefits Scheme (PBS).</w:t>
            </w:r>
            <w:r w:rsidRPr="008B713B">
              <w:rPr>
                <w:rFonts w:ascii="Arial Narrow" w:hAnsi="Arial Narrow"/>
                <w:b/>
                <w:sz w:val="20"/>
              </w:rPr>
              <w:t xml:space="preserve">  </w:t>
            </w:r>
          </w:p>
          <w:p w:rsidR="006444C3" w:rsidRDefault="006444C3" w:rsidP="00CB71CB">
            <w:pPr>
              <w:rPr>
                <w:rFonts w:ascii="Arial Narrow" w:hAnsi="Arial Narrow"/>
                <w:sz w:val="20"/>
              </w:rPr>
            </w:pPr>
            <w:r>
              <w:rPr>
                <w:rFonts w:ascii="Arial Narrow" w:hAnsi="Arial Narrow"/>
                <w:b/>
                <w:sz w:val="20"/>
              </w:rPr>
              <w:t>Key findings:</w:t>
            </w:r>
            <w:r>
              <w:rPr>
                <w:rFonts w:ascii="Arial Narrow" w:hAnsi="Arial Narrow"/>
                <w:sz w:val="20"/>
              </w:rPr>
              <w:t xml:space="preserve"> </w:t>
            </w:r>
            <w:r w:rsidR="002A4C34" w:rsidRPr="002A4C34">
              <w:rPr>
                <w:rFonts w:ascii="Arial Narrow" w:hAnsi="Arial Narrow"/>
                <w:sz w:val="20"/>
              </w:rPr>
              <w:t xml:space="preserve">In the 12 months from May 2013 to April 2014, </w:t>
            </w:r>
            <w:r w:rsidR="008720A2">
              <w:rPr>
                <w:rFonts w:ascii="Arial Narrow" w:hAnsi="Arial Narrow"/>
                <w:sz w:val="20"/>
              </w:rPr>
              <w:t>l</w:t>
            </w:r>
            <w:r w:rsidR="00CD28BC" w:rsidRPr="00CD28BC">
              <w:rPr>
                <w:rFonts w:ascii="Arial Narrow" w:hAnsi="Arial Narrow"/>
                <w:sz w:val="20"/>
              </w:rPr>
              <w:t>ess than 10,000</w:t>
            </w:r>
            <w:r w:rsidR="002A4C34" w:rsidRPr="002A4C34">
              <w:rPr>
                <w:rFonts w:ascii="Arial Narrow" w:hAnsi="Arial Narrow"/>
                <w:sz w:val="20"/>
              </w:rPr>
              <w:t xml:space="preserve"> patients received </w:t>
            </w:r>
            <w:proofErr w:type="spellStart"/>
            <w:r w:rsidR="002A4C34" w:rsidRPr="002A4C34">
              <w:rPr>
                <w:rFonts w:ascii="Arial Narrow" w:hAnsi="Arial Narrow"/>
                <w:sz w:val="20"/>
              </w:rPr>
              <w:t>dornase</w:t>
            </w:r>
            <w:proofErr w:type="spellEnd"/>
            <w:r w:rsidR="002A4C34" w:rsidRPr="002A4C34">
              <w:rPr>
                <w:rFonts w:ascii="Arial Narrow" w:hAnsi="Arial Narrow"/>
                <w:sz w:val="20"/>
              </w:rPr>
              <w:t xml:space="preserve"> </w:t>
            </w:r>
            <w:proofErr w:type="spellStart"/>
            <w:r w:rsidR="002A4C34" w:rsidRPr="002A4C34">
              <w:rPr>
                <w:rFonts w:ascii="Arial Narrow" w:hAnsi="Arial Narrow"/>
                <w:sz w:val="20"/>
              </w:rPr>
              <w:t>alfa</w:t>
            </w:r>
            <w:proofErr w:type="spellEnd"/>
            <w:r w:rsidR="002A4C34" w:rsidRPr="002A4C34">
              <w:rPr>
                <w:rFonts w:ascii="Arial Narrow" w:hAnsi="Arial Narrow"/>
                <w:sz w:val="20"/>
              </w:rPr>
              <w:t xml:space="preserve"> and </w:t>
            </w:r>
            <w:r w:rsidR="008720A2">
              <w:rPr>
                <w:rFonts w:ascii="Arial Narrow" w:hAnsi="Arial Narrow"/>
                <w:sz w:val="20"/>
              </w:rPr>
              <w:t>l</w:t>
            </w:r>
            <w:r w:rsidR="00CD28BC" w:rsidRPr="00CD28BC">
              <w:rPr>
                <w:rFonts w:ascii="Arial Narrow" w:hAnsi="Arial Narrow"/>
                <w:sz w:val="20"/>
              </w:rPr>
              <w:t>ess than 10,000</w:t>
            </w:r>
            <w:r w:rsidR="00CD28BC">
              <w:rPr>
                <w:rFonts w:ascii="Arial Narrow" w:hAnsi="Arial Narrow"/>
                <w:sz w:val="20"/>
              </w:rPr>
              <w:t xml:space="preserve"> </w:t>
            </w:r>
            <w:r w:rsidR="002A4C34" w:rsidRPr="002A4C34">
              <w:rPr>
                <w:rFonts w:ascii="Arial Narrow" w:hAnsi="Arial Narrow"/>
                <w:sz w:val="20"/>
              </w:rPr>
              <w:t xml:space="preserve">patients received </w:t>
            </w:r>
            <w:r w:rsidR="00021EBE">
              <w:rPr>
                <w:rFonts w:ascii="Arial Narrow" w:hAnsi="Arial Narrow"/>
                <w:sz w:val="20"/>
              </w:rPr>
              <w:t xml:space="preserve">DPI </w:t>
            </w:r>
            <w:r w:rsidR="002A4C34" w:rsidRPr="002A4C34">
              <w:rPr>
                <w:rFonts w:ascii="Arial Narrow" w:hAnsi="Arial Narrow"/>
                <w:sz w:val="20"/>
              </w:rPr>
              <w:t xml:space="preserve">mannitol on the PBS. The utilisation of </w:t>
            </w:r>
            <w:r w:rsidR="00021EBE">
              <w:rPr>
                <w:rFonts w:ascii="Arial Narrow" w:hAnsi="Arial Narrow"/>
                <w:sz w:val="20"/>
              </w:rPr>
              <w:t xml:space="preserve">DPI </w:t>
            </w:r>
            <w:r w:rsidR="002A4C34" w:rsidRPr="002A4C34">
              <w:rPr>
                <w:rFonts w:ascii="Arial Narrow" w:hAnsi="Arial Narrow"/>
                <w:sz w:val="20"/>
              </w:rPr>
              <w:t xml:space="preserve">mannitol in its first year of listing was lower than expected. The utilisation of </w:t>
            </w:r>
            <w:proofErr w:type="spellStart"/>
            <w:r w:rsidR="002A4C34" w:rsidRPr="002A4C34">
              <w:rPr>
                <w:rFonts w:ascii="Arial Narrow" w:hAnsi="Arial Narrow"/>
                <w:sz w:val="20"/>
              </w:rPr>
              <w:t>dornase</w:t>
            </w:r>
            <w:proofErr w:type="spellEnd"/>
            <w:r w:rsidR="002A4C34" w:rsidRPr="002A4C34">
              <w:rPr>
                <w:rFonts w:ascii="Arial Narrow" w:hAnsi="Arial Narrow"/>
                <w:sz w:val="20"/>
              </w:rPr>
              <w:t xml:space="preserve"> </w:t>
            </w:r>
            <w:proofErr w:type="spellStart"/>
            <w:r w:rsidR="002A4C34" w:rsidRPr="002A4C34">
              <w:rPr>
                <w:rFonts w:ascii="Arial Narrow" w:hAnsi="Arial Narrow"/>
                <w:sz w:val="20"/>
              </w:rPr>
              <w:t>alfa</w:t>
            </w:r>
            <w:proofErr w:type="spellEnd"/>
            <w:r w:rsidR="002A4C34" w:rsidRPr="002A4C34">
              <w:rPr>
                <w:rFonts w:ascii="Arial Narrow" w:hAnsi="Arial Narrow"/>
                <w:sz w:val="20"/>
              </w:rPr>
              <w:t xml:space="preserve"> has increased steadily since 2004.</w:t>
            </w:r>
          </w:p>
          <w:p w:rsidR="002A4C34" w:rsidRDefault="002A4C34" w:rsidP="00CB71CB">
            <w:pPr>
              <w:rPr>
                <w:rFonts w:ascii="Arial Narrow" w:hAnsi="Arial Narrow"/>
                <w:sz w:val="20"/>
              </w:rPr>
            </w:pPr>
            <w:r w:rsidRPr="002A4C34">
              <w:rPr>
                <w:rFonts w:ascii="Arial Narrow" w:hAnsi="Arial Narrow"/>
                <w:b/>
                <w:sz w:val="20"/>
              </w:rPr>
              <w:t>Discussion</w:t>
            </w:r>
            <w:r>
              <w:rPr>
                <w:rFonts w:ascii="Arial Narrow" w:hAnsi="Arial Narrow"/>
                <w:sz w:val="20"/>
              </w:rPr>
              <w:t>: DUSC considered that the lower than expected utilisation of</w:t>
            </w:r>
            <w:r w:rsidR="00021EBE">
              <w:rPr>
                <w:rFonts w:ascii="Arial Narrow" w:hAnsi="Arial Narrow"/>
                <w:sz w:val="20"/>
              </w:rPr>
              <w:t xml:space="preserve"> DPI</w:t>
            </w:r>
            <w:r>
              <w:rPr>
                <w:rFonts w:ascii="Arial Narrow" w:hAnsi="Arial Narrow"/>
                <w:sz w:val="20"/>
              </w:rPr>
              <w:t xml:space="preserve"> mannitol may be affected by the need for bronchi</w:t>
            </w:r>
            <w:r w:rsidR="00BF44E1">
              <w:rPr>
                <w:rFonts w:ascii="Arial Narrow" w:hAnsi="Arial Narrow"/>
                <w:sz w:val="20"/>
              </w:rPr>
              <w:t>al hyper-responsiveness testing; treatment burden (20 capsules per day);</w:t>
            </w:r>
            <w:r>
              <w:rPr>
                <w:rFonts w:ascii="Arial Narrow" w:hAnsi="Arial Narrow"/>
                <w:sz w:val="20"/>
              </w:rPr>
              <w:t xml:space="preserve"> patient</w:t>
            </w:r>
            <w:r w:rsidR="002F0BCF">
              <w:rPr>
                <w:rFonts w:ascii="Arial Narrow" w:hAnsi="Arial Narrow"/>
                <w:sz w:val="20"/>
              </w:rPr>
              <w:t>/physician</w:t>
            </w:r>
            <w:r>
              <w:rPr>
                <w:rFonts w:ascii="Arial Narrow" w:hAnsi="Arial Narrow"/>
                <w:sz w:val="20"/>
              </w:rPr>
              <w:t xml:space="preserve"> preference for nebulised hypertonic saline</w:t>
            </w:r>
            <w:r w:rsidR="00BF44E1">
              <w:rPr>
                <w:rFonts w:ascii="Arial Narrow" w:hAnsi="Arial Narrow"/>
                <w:sz w:val="20"/>
              </w:rPr>
              <w:t xml:space="preserve">; confusion about what constitutes combination therapy with </w:t>
            </w:r>
            <w:proofErr w:type="spellStart"/>
            <w:r w:rsidR="00BF44E1">
              <w:rPr>
                <w:rFonts w:ascii="Arial Narrow" w:hAnsi="Arial Narrow"/>
                <w:sz w:val="20"/>
              </w:rPr>
              <w:t>dornase</w:t>
            </w:r>
            <w:proofErr w:type="spellEnd"/>
            <w:r w:rsidR="00BF44E1">
              <w:rPr>
                <w:rFonts w:ascii="Arial Narrow" w:hAnsi="Arial Narrow"/>
                <w:sz w:val="20"/>
              </w:rPr>
              <w:t xml:space="preserve"> </w:t>
            </w:r>
            <w:proofErr w:type="spellStart"/>
            <w:r w:rsidR="00BF44E1">
              <w:rPr>
                <w:rFonts w:ascii="Arial Narrow" w:hAnsi="Arial Narrow"/>
                <w:sz w:val="20"/>
              </w:rPr>
              <w:t>alfa</w:t>
            </w:r>
            <w:proofErr w:type="spellEnd"/>
            <w:r w:rsidR="00BF44E1">
              <w:rPr>
                <w:rFonts w:ascii="Arial Narrow" w:hAnsi="Arial Narrow"/>
                <w:sz w:val="20"/>
              </w:rPr>
              <w:t xml:space="preserve">; </w:t>
            </w:r>
            <w:r>
              <w:rPr>
                <w:rFonts w:ascii="Arial Narrow" w:hAnsi="Arial Narrow"/>
                <w:sz w:val="20"/>
              </w:rPr>
              <w:t>as well as international regulatory concerns regarding the lack of efficacy, incidence of haemoptysis and uncertain risk/benefit ratio in children</w:t>
            </w:r>
            <w:r w:rsidR="002F0BCF">
              <w:rPr>
                <w:rFonts w:ascii="Arial Narrow" w:hAnsi="Arial Narrow"/>
                <w:sz w:val="20"/>
              </w:rPr>
              <w:t>. DUSC disagreed with the sponsor that the complexity of the restriction was limiting utilisation.</w:t>
            </w:r>
          </w:p>
          <w:p w:rsidR="002F0BCF" w:rsidRPr="006444C3" w:rsidRDefault="002F0BCF" w:rsidP="00CB71CB">
            <w:pPr>
              <w:rPr>
                <w:rFonts w:ascii="Arial Narrow" w:hAnsi="Arial Narrow"/>
                <w:sz w:val="20"/>
              </w:rPr>
            </w:pPr>
            <w:r w:rsidRPr="002F0BCF">
              <w:rPr>
                <w:rFonts w:ascii="Arial Narrow" w:hAnsi="Arial Narrow"/>
                <w:b/>
                <w:sz w:val="20"/>
              </w:rPr>
              <w:t>Outcome</w:t>
            </w:r>
            <w:r w:rsidR="00B34CDC">
              <w:rPr>
                <w:rFonts w:ascii="Arial Narrow" w:hAnsi="Arial Narrow"/>
                <w:b/>
                <w:sz w:val="20"/>
              </w:rPr>
              <w:t xml:space="preserve"> statement</w:t>
            </w:r>
            <w:r>
              <w:rPr>
                <w:rFonts w:ascii="Arial Narrow" w:hAnsi="Arial Narrow"/>
                <w:sz w:val="20"/>
              </w:rPr>
              <w:t>: DUSC requested that advice</w:t>
            </w:r>
            <w:r w:rsidR="00101F39">
              <w:rPr>
                <w:rFonts w:ascii="Arial Narrow" w:hAnsi="Arial Narrow"/>
                <w:sz w:val="20"/>
              </w:rPr>
              <w:t xml:space="preserve"> be sought</w:t>
            </w:r>
            <w:r>
              <w:rPr>
                <w:rFonts w:ascii="Arial Narrow" w:hAnsi="Arial Narrow"/>
                <w:sz w:val="20"/>
              </w:rPr>
              <w:t xml:space="preserve"> from cystic fibrosis physicians regarding the low uptake of </w:t>
            </w:r>
            <w:r w:rsidR="00021EBE">
              <w:rPr>
                <w:rFonts w:ascii="Arial Narrow" w:hAnsi="Arial Narrow"/>
                <w:sz w:val="20"/>
              </w:rPr>
              <w:t xml:space="preserve">DPI </w:t>
            </w:r>
            <w:r>
              <w:rPr>
                <w:rFonts w:ascii="Arial Narrow" w:hAnsi="Arial Narrow"/>
                <w:sz w:val="20"/>
              </w:rPr>
              <w:t>mannitol and that this advice be provided to the PBAC</w:t>
            </w:r>
            <w:r w:rsidR="00021EBE">
              <w:rPr>
                <w:rFonts w:ascii="Arial Narrow" w:hAnsi="Arial Narrow"/>
                <w:sz w:val="20"/>
              </w:rPr>
              <w:t>.</w:t>
            </w:r>
          </w:p>
        </w:tc>
      </w:tr>
    </w:tbl>
    <w:p w:rsidR="008A1956" w:rsidRPr="00476245" w:rsidRDefault="008A1956" w:rsidP="00476245">
      <w:pPr>
        <w:jc w:val="both"/>
        <w:rPr>
          <w:rFonts w:ascii="Arial" w:hAnsi="Arial"/>
          <w:sz w:val="22"/>
          <w:szCs w:val="22"/>
        </w:rPr>
      </w:pPr>
    </w:p>
    <w:p w:rsidR="000B558D" w:rsidRPr="00882085" w:rsidRDefault="008D7A41" w:rsidP="00187D9A">
      <w:pPr>
        <w:pStyle w:val="Header"/>
        <w:numPr>
          <w:ilvl w:val="0"/>
          <w:numId w:val="1"/>
        </w:numPr>
        <w:tabs>
          <w:tab w:val="clear" w:pos="4153"/>
          <w:tab w:val="clear" w:pos="8306"/>
        </w:tabs>
        <w:jc w:val="both"/>
        <w:rPr>
          <w:rFonts w:ascii="Arial" w:hAnsi="Arial"/>
          <w:b/>
          <w:sz w:val="22"/>
          <w:szCs w:val="22"/>
        </w:rPr>
      </w:pPr>
      <w:r>
        <w:rPr>
          <w:rFonts w:ascii="Arial" w:hAnsi="Arial"/>
          <w:b/>
          <w:sz w:val="22"/>
          <w:szCs w:val="22"/>
        </w:rPr>
        <w:t>C</w:t>
      </w:r>
      <w:r w:rsidR="00D84934">
        <w:rPr>
          <w:rFonts w:ascii="Arial" w:hAnsi="Arial"/>
          <w:b/>
          <w:sz w:val="22"/>
          <w:szCs w:val="22"/>
        </w:rPr>
        <w:t>onsideration of the evidence</w:t>
      </w:r>
    </w:p>
    <w:p w:rsidR="00BB7EC3" w:rsidRDefault="00BB7EC3" w:rsidP="00F9629A">
      <w:pPr>
        <w:jc w:val="both"/>
        <w:rPr>
          <w:rFonts w:ascii="Arial" w:hAnsi="Arial"/>
          <w:sz w:val="22"/>
          <w:szCs w:val="22"/>
        </w:rPr>
      </w:pPr>
    </w:p>
    <w:p w:rsidR="005D7E92" w:rsidRPr="005D7E92" w:rsidRDefault="005D7E92" w:rsidP="005D7E92">
      <w:pPr>
        <w:widowControl w:val="0"/>
        <w:spacing w:after="200" w:line="276" w:lineRule="auto"/>
        <w:jc w:val="both"/>
        <w:rPr>
          <w:rFonts w:ascii="Arial" w:hAnsi="Arial" w:cs="Arial"/>
          <w:b/>
          <w:bCs/>
          <w:i/>
          <w:snapToGrid w:val="0"/>
          <w:sz w:val="22"/>
          <w:szCs w:val="22"/>
        </w:rPr>
      </w:pPr>
      <w:r w:rsidRPr="005D7E92">
        <w:rPr>
          <w:rFonts w:ascii="Arial" w:hAnsi="Arial" w:cs="Arial"/>
          <w:b/>
          <w:bCs/>
          <w:i/>
          <w:snapToGrid w:val="0"/>
          <w:sz w:val="22"/>
          <w:szCs w:val="22"/>
        </w:rPr>
        <w:t>Sponsor hearing</w:t>
      </w:r>
    </w:p>
    <w:p w:rsidR="005D7E92" w:rsidRPr="005D7E92" w:rsidRDefault="005D7E92" w:rsidP="00187D9A">
      <w:pPr>
        <w:widowControl w:val="0"/>
        <w:numPr>
          <w:ilvl w:val="1"/>
          <w:numId w:val="1"/>
        </w:numPr>
        <w:contextualSpacing/>
        <w:jc w:val="both"/>
        <w:rPr>
          <w:rFonts w:ascii="Arial" w:hAnsi="Arial" w:cs="Arial"/>
          <w:bCs/>
          <w:snapToGrid w:val="0"/>
          <w:sz w:val="22"/>
          <w:szCs w:val="22"/>
        </w:rPr>
      </w:pPr>
      <w:r w:rsidRPr="005D7E92">
        <w:rPr>
          <w:rFonts w:ascii="Arial" w:hAnsi="Arial" w:cs="Arial"/>
          <w:bCs/>
          <w:snapToGrid w:val="0"/>
          <w:sz w:val="22"/>
          <w:szCs w:val="22"/>
        </w:rPr>
        <w:t>There was no hearing for this item as it was a minor submission.</w:t>
      </w:r>
    </w:p>
    <w:p w:rsidR="005D7E92" w:rsidRPr="005D7E92" w:rsidRDefault="005D7E92" w:rsidP="005D7E92">
      <w:pPr>
        <w:jc w:val="both"/>
        <w:rPr>
          <w:rFonts w:ascii="Arial" w:hAnsi="Arial" w:cs="Arial"/>
          <w:bCs/>
          <w:snapToGrid w:val="0"/>
          <w:sz w:val="22"/>
          <w:szCs w:val="22"/>
        </w:rPr>
      </w:pPr>
    </w:p>
    <w:p w:rsidR="005D7E92" w:rsidRPr="005D7E92" w:rsidRDefault="005D7E92" w:rsidP="005D7E92">
      <w:pPr>
        <w:widowControl w:val="0"/>
        <w:spacing w:after="200" w:line="276" w:lineRule="auto"/>
        <w:jc w:val="both"/>
        <w:rPr>
          <w:rFonts w:ascii="Arial" w:hAnsi="Arial" w:cs="Arial"/>
          <w:b/>
          <w:bCs/>
          <w:snapToGrid w:val="0"/>
          <w:sz w:val="22"/>
          <w:szCs w:val="22"/>
        </w:rPr>
      </w:pPr>
      <w:r w:rsidRPr="005D7E92">
        <w:rPr>
          <w:rFonts w:ascii="Arial" w:hAnsi="Arial" w:cs="Arial"/>
          <w:b/>
          <w:bCs/>
          <w:snapToGrid w:val="0"/>
          <w:sz w:val="22"/>
          <w:szCs w:val="22"/>
        </w:rPr>
        <w:t>Consumer comments</w:t>
      </w:r>
    </w:p>
    <w:p w:rsidR="005D7E92" w:rsidRPr="008720A2" w:rsidRDefault="00B53CC1" w:rsidP="00187D9A">
      <w:pPr>
        <w:widowControl w:val="0"/>
        <w:numPr>
          <w:ilvl w:val="1"/>
          <w:numId w:val="1"/>
        </w:numPr>
        <w:contextualSpacing/>
        <w:jc w:val="both"/>
        <w:rPr>
          <w:rFonts w:ascii="Arial" w:hAnsi="Arial" w:cs="Arial"/>
          <w:bCs/>
          <w:snapToGrid w:val="0"/>
          <w:sz w:val="22"/>
          <w:szCs w:val="22"/>
        </w:rPr>
      </w:pPr>
      <w:r w:rsidRPr="008720A2">
        <w:rPr>
          <w:rFonts w:ascii="Arial" w:hAnsi="Arial" w:cs="Arial"/>
          <w:bCs/>
          <w:snapToGrid w:val="0"/>
          <w:sz w:val="22"/>
          <w:szCs w:val="22"/>
        </w:rPr>
        <w:t xml:space="preserve">The PBAC noted and welcomed the input from the Thoracic Society of Australia and New Zealand (TSANZ) on the current listing of DPI mannitol. The TSANZ noted that the current restrictions are not felt to be in the best interests of patients with </w:t>
      </w:r>
      <w:r w:rsidR="001179F9" w:rsidRPr="008720A2">
        <w:rPr>
          <w:rFonts w:ascii="Arial" w:hAnsi="Arial" w:cs="Arial"/>
          <w:bCs/>
          <w:snapToGrid w:val="0"/>
          <w:sz w:val="22"/>
          <w:szCs w:val="22"/>
        </w:rPr>
        <w:t>CF</w:t>
      </w:r>
      <w:r w:rsidRPr="008720A2">
        <w:rPr>
          <w:rFonts w:ascii="Arial" w:hAnsi="Arial" w:cs="Arial"/>
          <w:bCs/>
          <w:snapToGrid w:val="0"/>
          <w:sz w:val="22"/>
          <w:szCs w:val="22"/>
        </w:rPr>
        <w:t xml:space="preserve"> or their clinicians</w:t>
      </w:r>
      <w:r w:rsidR="001179F9" w:rsidRPr="008720A2">
        <w:rPr>
          <w:rFonts w:ascii="Arial" w:hAnsi="Arial" w:cs="Arial"/>
          <w:bCs/>
          <w:snapToGrid w:val="0"/>
          <w:sz w:val="22"/>
          <w:szCs w:val="22"/>
        </w:rPr>
        <w:t>,</w:t>
      </w:r>
      <w:r w:rsidRPr="008720A2">
        <w:rPr>
          <w:rFonts w:ascii="Arial" w:hAnsi="Arial" w:cs="Arial"/>
          <w:bCs/>
          <w:snapToGrid w:val="0"/>
          <w:sz w:val="22"/>
          <w:szCs w:val="22"/>
        </w:rPr>
        <w:t xml:space="preserve"> as current clinical practice involves </w:t>
      </w:r>
      <w:r w:rsidRPr="008720A2">
        <w:rPr>
          <w:rFonts w:ascii="Arial" w:hAnsi="Arial" w:cs="Arial"/>
          <w:sz w:val="22"/>
          <w:szCs w:val="22"/>
        </w:rPr>
        <w:t xml:space="preserve">the use of multiple therapies in combination or sequentially to enhance mucus clearance in CF patients. </w:t>
      </w:r>
      <w:r w:rsidR="001179F9" w:rsidRPr="008720A2">
        <w:rPr>
          <w:rFonts w:ascii="Arial" w:hAnsi="Arial" w:cs="Arial"/>
          <w:sz w:val="22"/>
          <w:szCs w:val="22"/>
        </w:rPr>
        <w:t>The TSANZ further state</w:t>
      </w:r>
      <w:r w:rsidR="00187D9A" w:rsidRPr="008720A2">
        <w:rPr>
          <w:rFonts w:ascii="Arial" w:hAnsi="Arial" w:cs="Arial"/>
          <w:sz w:val="22"/>
          <w:szCs w:val="22"/>
        </w:rPr>
        <w:t>d</w:t>
      </w:r>
      <w:r w:rsidR="001179F9" w:rsidRPr="008720A2">
        <w:rPr>
          <w:rFonts w:ascii="Arial" w:hAnsi="Arial" w:cs="Arial"/>
          <w:sz w:val="22"/>
          <w:szCs w:val="22"/>
        </w:rPr>
        <w:t xml:space="preserve"> that they support the co-administration or sequential use of in</w:t>
      </w:r>
      <w:r w:rsidR="00187D9A" w:rsidRPr="008720A2">
        <w:rPr>
          <w:rFonts w:ascii="Arial" w:hAnsi="Arial" w:cs="Arial"/>
          <w:sz w:val="22"/>
          <w:szCs w:val="22"/>
        </w:rPr>
        <w:t xml:space="preserve">haled mannitol and </w:t>
      </w:r>
      <w:proofErr w:type="spellStart"/>
      <w:r w:rsidR="00187D9A" w:rsidRPr="008720A2">
        <w:rPr>
          <w:rFonts w:ascii="Arial" w:hAnsi="Arial" w:cs="Arial"/>
          <w:sz w:val="22"/>
          <w:szCs w:val="22"/>
        </w:rPr>
        <w:t>dornase</w:t>
      </w:r>
      <w:proofErr w:type="spellEnd"/>
      <w:r w:rsidR="00187D9A" w:rsidRPr="008720A2">
        <w:rPr>
          <w:rFonts w:ascii="Arial" w:hAnsi="Arial" w:cs="Arial"/>
          <w:sz w:val="22"/>
          <w:szCs w:val="22"/>
        </w:rPr>
        <w:t xml:space="preserve"> </w:t>
      </w:r>
      <w:proofErr w:type="spellStart"/>
      <w:r w:rsidR="00187D9A" w:rsidRPr="008720A2">
        <w:rPr>
          <w:rFonts w:ascii="Arial" w:hAnsi="Arial" w:cs="Arial"/>
          <w:sz w:val="22"/>
          <w:szCs w:val="22"/>
        </w:rPr>
        <w:t>alfa</w:t>
      </w:r>
      <w:proofErr w:type="spellEnd"/>
      <w:r w:rsidR="001179F9" w:rsidRPr="008720A2">
        <w:rPr>
          <w:rFonts w:ascii="Arial" w:hAnsi="Arial" w:cs="Arial"/>
          <w:sz w:val="22"/>
          <w:szCs w:val="22"/>
        </w:rPr>
        <w:t xml:space="preserve"> and encourage a simplification of the criteria regarding the use of these agents (as outlined in section 2). </w:t>
      </w:r>
      <w:r w:rsidR="0020750E" w:rsidRPr="008720A2">
        <w:rPr>
          <w:rFonts w:ascii="Arial" w:hAnsi="Arial" w:cs="Arial"/>
          <w:sz w:val="22"/>
          <w:szCs w:val="22"/>
        </w:rPr>
        <w:t xml:space="preserve">The PBAC </w:t>
      </w:r>
      <w:r w:rsidR="000D5B78" w:rsidRPr="008720A2">
        <w:rPr>
          <w:rFonts w:ascii="Arial" w:hAnsi="Arial" w:cs="Arial"/>
          <w:sz w:val="22"/>
          <w:szCs w:val="22"/>
        </w:rPr>
        <w:t xml:space="preserve">was supportive of the simplification of the restriction for </w:t>
      </w:r>
      <w:r w:rsidR="00C412E8" w:rsidRPr="008720A2">
        <w:rPr>
          <w:rFonts w:ascii="Arial" w:hAnsi="Arial" w:cs="Arial"/>
          <w:sz w:val="22"/>
          <w:szCs w:val="22"/>
        </w:rPr>
        <w:t>mannitol;</w:t>
      </w:r>
      <w:r w:rsidR="000D5B78" w:rsidRPr="008720A2">
        <w:rPr>
          <w:rFonts w:ascii="Arial" w:hAnsi="Arial" w:cs="Arial"/>
          <w:sz w:val="22"/>
          <w:szCs w:val="22"/>
        </w:rPr>
        <w:t xml:space="preserve"> however, the Committee </w:t>
      </w:r>
      <w:r w:rsidR="0020750E" w:rsidRPr="008720A2">
        <w:rPr>
          <w:rFonts w:ascii="Arial" w:hAnsi="Arial" w:cs="Arial"/>
          <w:sz w:val="22"/>
          <w:szCs w:val="22"/>
        </w:rPr>
        <w:t xml:space="preserve">did not consider they had evidence of cost-effectiveness in </w:t>
      </w:r>
      <w:r w:rsidR="000D5B78" w:rsidRPr="008720A2">
        <w:rPr>
          <w:rFonts w:ascii="Arial" w:hAnsi="Arial" w:cs="Arial"/>
          <w:sz w:val="22"/>
          <w:szCs w:val="22"/>
        </w:rPr>
        <w:t xml:space="preserve">first-line use of mannitol or </w:t>
      </w:r>
      <w:r w:rsidR="0020750E" w:rsidRPr="008720A2">
        <w:rPr>
          <w:rFonts w:ascii="Arial" w:hAnsi="Arial" w:cs="Arial"/>
          <w:sz w:val="22"/>
          <w:szCs w:val="22"/>
        </w:rPr>
        <w:t xml:space="preserve">co-administered mannitol and </w:t>
      </w:r>
      <w:proofErr w:type="spellStart"/>
      <w:r w:rsidR="0020750E" w:rsidRPr="008720A2">
        <w:rPr>
          <w:rFonts w:ascii="Arial" w:hAnsi="Arial" w:cs="Arial"/>
          <w:sz w:val="22"/>
          <w:szCs w:val="22"/>
        </w:rPr>
        <w:t>dornase</w:t>
      </w:r>
      <w:proofErr w:type="spellEnd"/>
      <w:r w:rsidR="0020750E" w:rsidRPr="008720A2">
        <w:rPr>
          <w:rFonts w:ascii="Arial" w:hAnsi="Arial" w:cs="Arial"/>
          <w:sz w:val="22"/>
          <w:szCs w:val="22"/>
        </w:rPr>
        <w:t xml:space="preserve"> </w:t>
      </w:r>
      <w:proofErr w:type="spellStart"/>
      <w:r w:rsidR="0020750E" w:rsidRPr="008720A2">
        <w:rPr>
          <w:rFonts w:ascii="Arial" w:hAnsi="Arial" w:cs="Arial"/>
          <w:sz w:val="22"/>
          <w:szCs w:val="22"/>
        </w:rPr>
        <w:t>alfa</w:t>
      </w:r>
      <w:proofErr w:type="spellEnd"/>
      <w:r w:rsidR="000D5B78" w:rsidRPr="008720A2">
        <w:rPr>
          <w:rFonts w:ascii="Arial" w:hAnsi="Arial" w:cs="Arial"/>
          <w:sz w:val="22"/>
          <w:szCs w:val="22"/>
        </w:rPr>
        <w:t>.</w:t>
      </w:r>
    </w:p>
    <w:p w:rsidR="000D5B78" w:rsidRPr="008720A2" w:rsidRDefault="000D5B78" w:rsidP="000D5B78">
      <w:pPr>
        <w:widowControl w:val="0"/>
        <w:ind w:left="720"/>
        <w:contextualSpacing/>
        <w:jc w:val="both"/>
        <w:rPr>
          <w:rFonts w:ascii="Arial" w:hAnsi="Arial" w:cs="Arial"/>
          <w:bCs/>
          <w:snapToGrid w:val="0"/>
          <w:sz w:val="22"/>
          <w:szCs w:val="22"/>
        </w:rPr>
      </w:pPr>
    </w:p>
    <w:p w:rsidR="000D5B78" w:rsidRPr="008720A2" w:rsidRDefault="000D5B78" w:rsidP="000D5B78">
      <w:pPr>
        <w:pStyle w:val="ListParagraph"/>
        <w:rPr>
          <w:rFonts w:ascii="Arial" w:hAnsi="Arial" w:cs="Arial"/>
          <w:sz w:val="22"/>
          <w:szCs w:val="22"/>
        </w:rPr>
      </w:pPr>
      <w:r w:rsidRPr="008720A2">
        <w:rPr>
          <w:rFonts w:ascii="Arial" w:hAnsi="Arial" w:cs="Arial"/>
          <w:sz w:val="22"/>
          <w:szCs w:val="22"/>
        </w:rPr>
        <w:t>For more deta</w:t>
      </w:r>
      <w:r w:rsidR="00DD6F41" w:rsidRPr="008720A2">
        <w:rPr>
          <w:rFonts w:ascii="Arial" w:hAnsi="Arial" w:cs="Arial"/>
          <w:sz w:val="22"/>
          <w:szCs w:val="22"/>
        </w:rPr>
        <w:t>il on PBAC’s view, see section 5</w:t>
      </w:r>
      <w:r w:rsidRPr="008720A2">
        <w:rPr>
          <w:rFonts w:ascii="Arial" w:hAnsi="Arial" w:cs="Arial"/>
          <w:sz w:val="22"/>
          <w:szCs w:val="22"/>
        </w:rPr>
        <w:t xml:space="preserve"> “PBAC outcome”</w:t>
      </w:r>
    </w:p>
    <w:p w:rsidR="005D7E92" w:rsidRDefault="005D7E92" w:rsidP="00F9629A">
      <w:pPr>
        <w:jc w:val="both"/>
        <w:rPr>
          <w:rFonts w:ascii="Arial" w:hAnsi="Arial"/>
          <w:sz w:val="22"/>
          <w:szCs w:val="22"/>
        </w:rPr>
      </w:pPr>
    </w:p>
    <w:p w:rsidR="00D84934" w:rsidRPr="00882085" w:rsidRDefault="00D84934" w:rsidP="00D84934">
      <w:pPr>
        <w:jc w:val="both"/>
        <w:rPr>
          <w:rFonts w:ascii="Arial" w:hAnsi="Arial"/>
          <w:b/>
          <w:i/>
          <w:sz w:val="22"/>
          <w:szCs w:val="22"/>
        </w:rPr>
      </w:pPr>
      <w:r>
        <w:rPr>
          <w:rFonts w:ascii="Arial" w:hAnsi="Arial"/>
          <w:b/>
          <w:i/>
          <w:sz w:val="22"/>
          <w:szCs w:val="22"/>
        </w:rPr>
        <w:t>Clinical trials</w:t>
      </w:r>
    </w:p>
    <w:p w:rsidR="00D84934" w:rsidRPr="00F9629A" w:rsidRDefault="00D84934" w:rsidP="00F9629A">
      <w:pPr>
        <w:jc w:val="both"/>
        <w:rPr>
          <w:rFonts w:ascii="Arial" w:hAnsi="Arial"/>
          <w:sz w:val="22"/>
          <w:szCs w:val="22"/>
        </w:rPr>
      </w:pPr>
    </w:p>
    <w:p w:rsidR="0076420C" w:rsidRDefault="003669FD" w:rsidP="00187D9A">
      <w:pPr>
        <w:pStyle w:val="ListParagraph"/>
        <w:numPr>
          <w:ilvl w:val="1"/>
          <w:numId w:val="1"/>
        </w:numPr>
        <w:jc w:val="both"/>
        <w:rPr>
          <w:rFonts w:ascii="Arial" w:hAnsi="Arial"/>
          <w:sz w:val="22"/>
          <w:szCs w:val="22"/>
        </w:rPr>
      </w:pPr>
      <w:r>
        <w:rPr>
          <w:rFonts w:ascii="Arial" w:hAnsi="Arial"/>
          <w:sz w:val="22"/>
          <w:szCs w:val="22"/>
        </w:rPr>
        <w:t>N</w:t>
      </w:r>
      <w:r w:rsidR="000C0674">
        <w:rPr>
          <w:rFonts w:ascii="Arial" w:hAnsi="Arial"/>
          <w:sz w:val="22"/>
          <w:szCs w:val="22"/>
        </w:rPr>
        <w:t>o new</w:t>
      </w:r>
      <w:r w:rsidR="0076420C">
        <w:rPr>
          <w:rFonts w:ascii="Arial" w:hAnsi="Arial"/>
          <w:sz w:val="22"/>
          <w:szCs w:val="22"/>
        </w:rPr>
        <w:t xml:space="preserve"> clinical t</w:t>
      </w:r>
      <w:r>
        <w:rPr>
          <w:rFonts w:ascii="Arial" w:hAnsi="Arial"/>
          <w:sz w:val="22"/>
          <w:szCs w:val="22"/>
        </w:rPr>
        <w:t>rials were</w:t>
      </w:r>
      <w:r w:rsidR="000C0674">
        <w:rPr>
          <w:rFonts w:ascii="Arial" w:hAnsi="Arial"/>
          <w:sz w:val="22"/>
          <w:szCs w:val="22"/>
        </w:rPr>
        <w:t xml:space="preserve"> presented in the</w:t>
      </w:r>
      <w:r>
        <w:rPr>
          <w:rFonts w:ascii="Arial" w:hAnsi="Arial"/>
          <w:sz w:val="22"/>
          <w:szCs w:val="22"/>
        </w:rPr>
        <w:t xml:space="preserve"> minor</w:t>
      </w:r>
      <w:r w:rsidR="000C0674">
        <w:rPr>
          <w:rFonts w:ascii="Arial" w:hAnsi="Arial"/>
          <w:sz w:val="22"/>
          <w:szCs w:val="22"/>
        </w:rPr>
        <w:t xml:space="preserve"> </w:t>
      </w:r>
      <w:r w:rsidR="0076420C">
        <w:rPr>
          <w:rFonts w:ascii="Arial" w:hAnsi="Arial"/>
          <w:sz w:val="22"/>
          <w:szCs w:val="22"/>
        </w:rPr>
        <w:t>submission.</w:t>
      </w:r>
    </w:p>
    <w:p w:rsidR="00A94623" w:rsidRDefault="00A94623" w:rsidP="00A94623">
      <w:pPr>
        <w:pStyle w:val="ListParagraph"/>
        <w:jc w:val="both"/>
        <w:rPr>
          <w:rFonts w:ascii="Arial" w:hAnsi="Arial"/>
          <w:sz w:val="22"/>
          <w:szCs w:val="22"/>
        </w:rPr>
      </w:pPr>
    </w:p>
    <w:p w:rsidR="0099320F" w:rsidRPr="000E76D5" w:rsidRDefault="001A71FE" w:rsidP="00187D9A">
      <w:pPr>
        <w:pStyle w:val="ListParagraph"/>
        <w:numPr>
          <w:ilvl w:val="1"/>
          <w:numId w:val="1"/>
        </w:numPr>
        <w:jc w:val="both"/>
        <w:rPr>
          <w:rFonts w:ascii="Arial" w:hAnsi="Arial"/>
          <w:sz w:val="22"/>
          <w:szCs w:val="22"/>
        </w:rPr>
      </w:pPr>
      <w:r w:rsidRPr="000E76D5">
        <w:rPr>
          <w:rFonts w:ascii="Arial" w:hAnsi="Arial"/>
          <w:sz w:val="22"/>
          <w:szCs w:val="22"/>
        </w:rPr>
        <w:t xml:space="preserve">No data </w:t>
      </w:r>
      <w:r w:rsidR="00021EBE" w:rsidRPr="000E76D5">
        <w:rPr>
          <w:rFonts w:ascii="Arial" w:hAnsi="Arial"/>
          <w:sz w:val="22"/>
          <w:szCs w:val="22"/>
        </w:rPr>
        <w:t xml:space="preserve">were </w:t>
      </w:r>
      <w:r w:rsidRPr="000E76D5">
        <w:rPr>
          <w:rFonts w:ascii="Arial" w:hAnsi="Arial"/>
          <w:sz w:val="22"/>
          <w:szCs w:val="22"/>
        </w:rPr>
        <w:t xml:space="preserve">presented on the use of DPI mannitol from the national </w:t>
      </w:r>
      <w:r w:rsidR="001179F9">
        <w:rPr>
          <w:rFonts w:ascii="Arial" w:hAnsi="Arial"/>
          <w:sz w:val="22"/>
          <w:szCs w:val="22"/>
        </w:rPr>
        <w:t>CF</w:t>
      </w:r>
      <w:r w:rsidRPr="000E76D5">
        <w:rPr>
          <w:rFonts w:ascii="Arial" w:hAnsi="Arial"/>
          <w:sz w:val="22"/>
          <w:szCs w:val="22"/>
        </w:rPr>
        <w:t xml:space="preserve"> patient database. No data </w:t>
      </w:r>
      <w:r w:rsidR="00021EBE" w:rsidRPr="000E76D5">
        <w:rPr>
          <w:rFonts w:ascii="Arial" w:hAnsi="Arial"/>
          <w:sz w:val="22"/>
          <w:szCs w:val="22"/>
        </w:rPr>
        <w:t xml:space="preserve">were </w:t>
      </w:r>
      <w:r w:rsidRPr="000E76D5">
        <w:rPr>
          <w:rFonts w:ascii="Arial" w:hAnsi="Arial"/>
          <w:sz w:val="22"/>
          <w:szCs w:val="22"/>
        </w:rPr>
        <w:t xml:space="preserve">presented on combination use of DPI mannitol and </w:t>
      </w:r>
      <w:proofErr w:type="spellStart"/>
      <w:r w:rsidRPr="000E76D5">
        <w:rPr>
          <w:rFonts w:ascii="Arial" w:hAnsi="Arial"/>
          <w:sz w:val="22"/>
          <w:szCs w:val="22"/>
        </w:rPr>
        <w:t>dornase</w:t>
      </w:r>
      <w:proofErr w:type="spellEnd"/>
      <w:r w:rsidRPr="000E76D5">
        <w:rPr>
          <w:rFonts w:ascii="Arial" w:hAnsi="Arial"/>
          <w:sz w:val="22"/>
          <w:szCs w:val="22"/>
        </w:rPr>
        <w:t xml:space="preserve"> </w:t>
      </w:r>
      <w:proofErr w:type="spellStart"/>
      <w:r w:rsidRPr="000E76D5">
        <w:rPr>
          <w:rFonts w:ascii="Arial" w:hAnsi="Arial"/>
          <w:sz w:val="22"/>
          <w:szCs w:val="22"/>
        </w:rPr>
        <w:t>alfa</w:t>
      </w:r>
      <w:proofErr w:type="spellEnd"/>
      <w:r w:rsidRPr="000E76D5">
        <w:rPr>
          <w:rFonts w:ascii="Arial" w:hAnsi="Arial"/>
          <w:sz w:val="22"/>
          <w:szCs w:val="22"/>
        </w:rPr>
        <w:t xml:space="preserve"> from the sponsor’s compassionate access program.</w:t>
      </w:r>
    </w:p>
    <w:p w:rsidR="00BB7EC3" w:rsidRPr="00882085" w:rsidRDefault="00BB7EC3" w:rsidP="009B0F67">
      <w:pPr>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effectiveness</w:t>
      </w:r>
    </w:p>
    <w:p w:rsidR="005A3173" w:rsidRPr="000C2062" w:rsidRDefault="005A3173" w:rsidP="00882085">
      <w:pPr>
        <w:jc w:val="both"/>
        <w:rPr>
          <w:rFonts w:ascii="Arial" w:hAnsi="Arial"/>
          <w:sz w:val="22"/>
          <w:szCs w:val="22"/>
        </w:rPr>
      </w:pPr>
    </w:p>
    <w:p w:rsidR="009B0F67" w:rsidRDefault="009B0F67" w:rsidP="00187D9A">
      <w:pPr>
        <w:pStyle w:val="ListParagraph"/>
        <w:numPr>
          <w:ilvl w:val="1"/>
          <w:numId w:val="1"/>
        </w:numPr>
        <w:jc w:val="both"/>
        <w:rPr>
          <w:rFonts w:ascii="Arial" w:hAnsi="Arial"/>
          <w:sz w:val="22"/>
          <w:szCs w:val="22"/>
        </w:rPr>
      </w:pPr>
      <w:r w:rsidRPr="000C2062">
        <w:rPr>
          <w:rFonts w:ascii="Arial" w:hAnsi="Arial"/>
          <w:sz w:val="22"/>
          <w:szCs w:val="22"/>
        </w:rPr>
        <w:t>The trial results remain unchanged from the previous submission</w:t>
      </w:r>
      <w:r w:rsidR="00CC1B2D" w:rsidRPr="000C2062">
        <w:rPr>
          <w:rFonts w:ascii="Arial" w:hAnsi="Arial"/>
          <w:sz w:val="22"/>
          <w:szCs w:val="22"/>
        </w:rPr>
        <w:t>s</w:t>
      </w:r>
      <w:r w:rsidRPr="000C2062">
        <w:rPr>
          <w:rFonts w:ascii="Arial" w:hAnsi="Arial"/>
          <w:sz w:val="22"/>
          <w:szCs w:val="22"/>
        </w:rPr>
        <w:t>.</w:t>
      </w:r>
      <w:r w:rsidR="00CC1B2D" w:rsidRPr="000C2062">
        <w:rPr>
          <w:rFonts w:ascii="Arial" w:hAnsi="Arial"/>
          <w:sz w:val="22"/>
          <w:szCs w:val="22"/>
        </w:rPr>
        <w:t xml:space="preserve"> Relevant results from the </w:t>
      </w:r>
      <w:r w:rsidR="003F577C" w:rsidRPr="000C2062">
        <w:rPr>
          <w:rFonts w:ascii="Arial" w:hAnsi="Arial"/>
          <w:sz w:val="22"/>
          <w:szCs w:val="22"/>
        </w:rPr>
        <w:t>March 2011 and November 2011</w:t>
      </w:r>
      <w:r w:rsidR="00CC1B2D" w:rsidRPr="000C2062">
        <w:rPr>
          <w:rFonts w:ascii="Arial" w:hAnsi="Arial"/>
          <w:sz w:val="22"/>
          <w:szCs w:val="22"/>
        </w:rPr>
        <w:t xml:space="preserve"> submission</w:t>
      </w:r>
      <w:r w:rsidR="003F577C" w:rsidRPr="000C2062">
        <w:rPr>
          <w:rFonts w:ascii="Arial" w:hAnsi="Arial"/>
          <w:sz w:val="22"/>
          <w:szCs w:val="22"/>
        </w:rPr>
        <w:t>s</w:t>
      </w:r>
      <w:r w:rsidR="00CC1B2D" w:rsidRPr="000C2062">
        <w:rPr>
          <w:rFonts w:ascii="Arial" w:hAnsi="Arial"/>
          <w:sz w:val="22"/>
          <w:szCs w:val="22"/>
        </w:rPr>
        <w:t xml:space="preserve"> are rep</w:t>
      </w:r>
      <w:r w:rsidR="00840D42">
        <w:rPr>
          <w:rFonts w:ascii="Arial" w:hAnsi="Arial"/>
          <w:sz w:val="22"/>
          <w:szCs w:val="22"/>
        </w:rPr>
        <w:t>roduced</w:t>
      </w:r>
      <w:r w:rsidR="00CC1B2D" w:rsidRPr="000C2062">
        <w:rPr>
          <w:rFonts w:ascii="Arial" w:hAnsi="Arial"/>
          <w:sz w:val="22"/>
          <w:szCs w:val="22"/>
        </w:rPr>
        <w:t xml:space="preserve"> below.</w:t>
      </w:r>
    </w:p>
    <w:p w:rsidR="00D54428" w:rsidRDefault="00D54428" w:rsidP="00D54428">
      <w:pPr>
        <w:pStyle w:val="ListParagraph"/>
        <w:jc w:val="both"/>
        <w:rPr>
          <w:rFonts w:ascii="Arial" w:hAnsi="Arial"/>
          <w:sz w:val="22"/>
          <w:szCs w:val="22"/>
        </w:rPr>
      </w:pPr>
    </w:p>
    <w:p w:rsidR="00D54428" w:rsidRPr="000E76D5" w:rsidRDefault="00D54428" w:rsidP="00187D9A">
      <w:pPr>
        <w:pStyle w:val="ListParagraph"/>
        <w:numPr>
          <w:ilvl w:val="1"/>
          <w:numId w:val="1"/>
        </w:numPr>
        <w:jc w:val="both"/>
        <w:rPr>
          <w:rFonts w:ascii="Arial" w:hAnsi="Arial"/>
          <w:sz w:val="22"/>
          <w:szCs w:val="22"/>
        </w:rPr>
      </w:pPr>
      <w:r w:rsidRPr="000E76D5">
        <w:rPr>
          <w:rFonts w:ascii="Arial" w:hAnsi="Arial"/>
          <w:sz w:val="22"/>
          <w:szCs w:val="22"/>
        </w:rPr>
        <w:t xml:space="preserve">One </w:t>
      </w:r>
      <w:r w:rsidR="0005650E" w:rsidRPr="000E76D5">
        <w:rPr>
          <w:rFonts w:ascii="Arial" w:hAnsi="Arial"/>
          <w:sz w:val="22"/>
          <w:szCs w:val="22"/>
        </w:rPr>
        <w:t>small</w:t>
      </w:r>
      <w:r w:rsidR="00C66A61" w:rsidRPr="000E76D5">
        <w:rPr>
          <w:rFonts w:ascii="Arial" w:hAnsi="Arial"/>
          <w:sz w:val="22"/>
          <w:szCs w:val="22"/>
        </w:rPr>
        <w:t>,</w:t>
      </w:r>
      <w:r w:rsidR="00B267FF" w:rsidRPr="000E76D5">
        <w:rPr>
          <w:rFonts w:ascii="Arial" w:hAnsi="Arial"/>
          <w:sz w:val="22"/>
          <w:szCs w:val="22"/>
        </w:rPr>
        <w:t xml:space="preserve"> </w:t>
      </w:r>
      <w:r w:rsidR="00C66A61" w:rsidRPr="000E76D5">
        <w:rPr>
          <w:rFonts w:ascii="Arial" w:hAnsi="Arial"/>
          <w:sz w:val="22"/>
          <w:szCs w:val="22"/>
        </w:rPr>
        <w:t>open-label</w:t>
      </w:r>
      <w:r w:rsidR="008D35F4" w:rsidRPr="000E76D5">
        <w:rPr>
          <w:rFonts w:ascii="Arial" w:hAnsi="Arial"/>
          <w:sz w:val="22"/>
          <w:szCs w:val="22"/>
        </w:rPr>
        <w:t>,</w:t>
      </w:r>
      <w:r w:rsidRPr="000E76D5">
        <w:rPr>
          <w:rFonts w:ascii="Arial" w:hAnsi="Arial"/>
          <w:sz w:val="22"/>
          <w:szCs w:val="22"/>
        </w:rPr>
        <w:t xml:space="preserve"> </w:t>
      </w:r>
      <w:r w:rsidR="008D35F4" w:rsidRPr="000E76D5">
        <w:rPr>
          <w:rFonts w:ascii="Arial" w:hAnsi="Arial"/>
          <w:sz w:val="22"/>
          <w:szCs w:val="22"/>
        </w:rPr>
        <w:t xml:space="preserve">crossover </w:t>
      </w:r>
      <w:r w:rsidRPr="000E76D5">
        <w:rPr>
          <w:rFonts w:ascii="Arial" w:hAnsi="Arial"/>
          <w:sz w:val="22"/>
          <w:szCs w:val="22"/>
        </w:rPr>
        <w:t>trial</w:t>
      </w:r>
      <w:r w:rsidR="00CE51D4" w:rsidRPr="000E76D5">
        <w:rPr>
          <w:rFonts w:ascii="Arial" w:hAnsi="Arial"/>
          <w:sz w:val="22"/>
          <w:szCs w:val="22"/>
        </w:rPr>
        <w:t xml:space="preserve"> (12 week treatment phases with 0-2 week washout periods)</w:t>
      </w:r>
      <w:r w:rsidRPr="002B72E0">
        <w:rPr>
          <w:rFonts w:ascii="Arial" w:hAnsi="Arial"/>
          <w:sz w:val="22"/>
          <w:szCs w:val="22"/>
        </w:rPr>
        <w:t xml:space="preserve"> directly compared </w:t>
      </w:r>
      <w:r w:rsidRPr="005D7E92">
        <w:rPr>
          <w:rFonts w:ascii="Arial" w:hAnsi="Arial"/>
          <w:sz w:val="22"/>
          <w:szCs w:val="22"/>
        </w:rPr>
        <w:t xml:space="preserve">DPI mannitol vs. </w:t>
      </w:r>
      <w:proofErr w:type="spellStart"/>
      <w:r w:rsidRPr="005D7E92">
        <w:rPr>
          <w:rFonts w:ascii="Arial" w:hAnsi="Arial"/>
          <w:sz w:val="22"/>
          <w:szCs w:val="22"/>
        </w:rPr>
        <w:t>dornase</w:t>
      </w:r>
      <w:proofErr w:type="spellEnd"/>
      <w:r w:rsidRPr="005D7E92">
        <w:rPr>
          <w:rFonts w:ascii="Arial" w:hAnsi="Arial"/>
          <w:sz w:val="22"/>
          <w:szCs w:val="22"/>
        </w:rPr>
        <w:t xml:space="preserve"> </w:t>
      </w:r>
      <w:proofErr w:type="spellStart"/>
      <w:r w:rsidRPr="005D7E92">
        <w:rPr>
          <w:rFonts w:ascii="Arial" w:hAnsi="Arial"/>
          <w:sz w:val="22"/>
          <w:szCs w:val="22"/>
        </w:rPr>
        <w:t>alfa</w:t>
      </w:r>
      <w:proofErr w:type="spellEnd"/>
      <w:r w:rsidRPr="005D7E92">
        <w:rPr>
          <w:rFonts w:ascii="Arial" w:hAnsi="Arial"/>
          <w:sz w:val="22"/>
          <w:szCs w:val="22"/>
        </w:rPr>
        <w:t xml:space="preserve"> vs. DPI mannitol and </w:t>
      </w:r>
      <w:proofErr w:type="spellStart"/>
      <w:r w:rsidRPr="005D7E92">
        <w:rPr>
          <w:rFonts w:ascii="Arial" w:hAnsi="Arial"/>
          <w:sz w:val="22"/>
          <w:szCs w:val="22"/>
        </w:rPr>
        <w:t>dornase</w:t>
      </w:r>
      <w:proofErr w:type="spellEnd"/>
      <w:r w:rsidRPr="005D7E92">
        <w:rPr>
          <w:rFonts w:ascii="Arial" w:hAnsi="Arial"/>
          <w:sz w:val="22"/>
          <w:szCs w:val="22"/>
        </w:rPr>
        <w:t xml:space="preserve"> </w:t>
      </w:r>
      <w:proofErr w:type="spellStart"/>
      <w:r w:rsidRPr="005D7E92">
        <w:rPr>
          <w:rFonts w:ascii="Arial" w:hAnsi="Arial"/>
          <w:sz w:val="22"/>
          <w:szCs w:val="22"/>
        </w:rPr>
        <w:t>alfa</w:t>
      </w:r>
      <w:proofErr w:type="spellEnd"/>
      <w:r w:rsidRPr="005D7E92">
        <w:rPr>
          <w:rFonts w:ascii="Arial" w:hAnsi="Arial"/>
          <w:sz w:val="22"/>
          <w:szCs w:val="22"/>
        </w:rPr>
        <w:t xml:space="preserve"> combination in children with </w:t>
      </w:r>
      <w:r w:rsidR="001179F9">
        <w:rPr>
          <w:rFonts w:ascii="Arial" w:hAnsi="Arial"/>
          <w:sz w:val="22"/>
          <w:szCs w:val="22"/>
        </w:rPr>
        <w:t>CF</w:t>
      </w:r>
      <w:r w:rsidRPr="005D7E92">
        <w:rPr>
          <w:rFonts w:ascii="Arial" w:hAnsi="Arial"/>
          <w:sz w:val="22"/>
          <w:szCs w:val="22"/>
        </w:rPr>
        <w:t xml:space="preserve"> (CF-203). </w:t>
      </w:r>
      <w:r w:rsidRPr="000E76D5">
        <w:rPr>
          <w:rFonts w:ascii="Arial" w:hAnsi="Arial"/>
          <w:sz w:val="22"/>
          <w:szCs w:val="22"/>
        </w:rPr>
        <w:t>Combination therapy was defined as use of both treatments on the same day</w:t>
      </w:r>
      <w:r w:rsidR="00341FAF" w:rsidRPr="000E76D5">
        <w:rPr>
          <w:rFonts w:ascii="Arial" w:hAnsi="Arial"/>
          <w:sz w:val="22"/>
          <w:szCs w:val="22"/>
        </w:rPr>
        <w:t xml:space="preserve"> (DPI mannitol twice </w:t>
      </w:r>
      <w:r w:rsidR="00640D65" w:rsidRPr="000E76D5">
        <w:rPr>
          <w:rFonts w:ascii="Arial" w:hAnsi="Arial"/>
          <w:sz w:val="22"/>
          <w:szCs w:val="22"/>
        </w:rPr>
        <w:t xml:space="preserve">daily, </w:t>
      </w:r>
      <w:proofErr w:type="spellStart"/>
      <w:r w:rsidR="00640D65" w:rsidRPr="000E76D5">
        <w:rPr>
          <w:rFonts w:ascii="Arial" w:hAnsi="Arial"/>
          <w:sz w:val="22"/>
          <w:szCs w:val="22"/>
        </w:rPr>
        <w:t>dornase</w:t>
      </w:r>
      <w:proofErr w:type="spellEnd"/>
      <w:r w:rsidR="00640D65" w:rsidRPr="000E76D5">
        <w:rPr>
          <w:rFonts w:ascii="Arial" w:hAnsi="Arial"/>
          <w:sz w:val="22"/>
          <w:szCs w:val="22"/>
        </w:rPr>
        <w:t xml:space="preserve"> </w:t>
      </w:r>
      <w:proofErr w:type="spellStart"/>
      <w:r w:rsidR="00640D65" w:rsidRPr="000E76D5">
        <w:rPr>
          <w:rFonts w:ascii="Arial" w:hAnsi="Arial"/>
          <w:sz w:val="22"/>
          <w:szCs w:val="22"/>
        </w:rPr>
        <w:t>alfa</w:t>
      </w:r>
      <w:proofErr w:type="spellEnd"/>
      <w:r w:rsidR="00640D65" w:rsidRPr="000E76D5">
        <w:rPr>
          <w:rFonts w:ascii="Arial" w:hAnsi="Arial"/>
          <w:sz w:val="22"/>
          <w:szCs w:val="22"/>
        </w:rPr>
        <w:t xml:space="preserve"> once daily</w:t>
      </w:r>
      <w:r w:rsidR="00341FAF" w:rsidRPr="000E76D5">
        <w:rPr>
          <w:rFonts w:ascii="Arial" w:hAnsi="Arial"/>
          <w:sz w:val="22"/>
          <w:szCs w:val="22"/>
        </w:rPr>
        <w:t>)</w:t>
      </w:r>
      <w:r w:rsidRPr="000E76D5">
        <w:rPr>
          <w:rFonts w:ascii="Arial" w:hAnsi="Arial"/>
          <w:sz w:val="22"/>
          <w:szCs w:val="22"/>
        </w:rPr>
        <w:t>.</w:t>
      </w:r>
    </w:p>
    <w:p w:rsidR="000C2062" w:rsidRPr="00C66A61" w:rsidRDefault="000C2062" w:rsidP="00C66A61">
      <w:pPr>
        <w:jc w:val="both"/>
        <w:rPr>
          <w:rFonts w:ascii="Arial" w:hAnsi="Arial"/>
          <w:sz w:val="22"/>
          <w:szCs w:val="22"/>
        </w:rPr>
      </w:pPr>
    </w:p>
    <w:p w:rsidR="00330C88" w:rsidRPr="00BE0220" w:rsidRDefault="00DD6F41" w:rsidP="00330C88">
      <w:pPr>
        <w:pStyle w:val="ListParagraph"/>
        <w:keepNext/>
        <w:rPr>
          <w:rFonts w:ascii="Arial Narrow" w:hAnsi="Arial Narrow"/>
          <w:b/>
          <w:sz w:val="20"/>
        </w:rPr>
      </w:pPr>
      <w:r>
        <w:rPr>
          <w:rFonts w:ascii="Arial Narrow" w:hAnsi="Arial Narrow"/>
          <w:b/>
          <w:sz w:val="20"/>
        </w:rPr>
        <w:lastRenderedPageBreak/>
        <w:t xml:space="preserve">Table 1: </w:t>
      </w:r>
      <w:r w:rsidR="00330C88" w:rsidRPr="00BE0220">
        <w:rPr>
          <w:rFonts w:ascii="Arial Narrow" w:hAnsi="Arial Narrow"/>
          <w:b/>
          <w:sz w:val="20"/>
        </w:rPr>
        <w:t xml:space="preserve">Key outcomes reported in the head-to-head trial of DPI mannitol vs. </w:t>
      </w:r>
      <w:proofErr w:type="spellStart"/>
      <w:r w:rsidR="00330C88" w:rsidRPr="00BE0220">
        <w:rPr>
          <w:rFonts w:ascii="Arial Narrow" w:hAnsi="Arial Narrow"/>
          <w:b/>
          <w:sz w:val="20"/>
        </w:rPr>
        <w:t>dornase</w:t>
      </w:r>
      <w:proofErr w:type="spellEnd"/>
      <w:r w:rsidR="00330C88" w:rsidRPr="00BE0220">
        <w:rPr>
          <w:rFonts w:ascii="Arial Narrow" w:hAnsi="Arial Narrow"/>
          <w:b/>
          <w:sz w:val="20"/>
        </w:rPr>
        <w:t xml:space="preserve"> </w:t>
      </w:r>
      <w:proofErr w:type="spellStart"/>
      <w:r w:rsidR="00330C88" w:rsidRPr="00BE0220">
        <w:rPr>
          <w:rFonts w:ascii="Arial Narrow" w:hAnsi="Arial Narrow"/>
          <w:b/>
          <w:sz w:val="20"/>
        </w:rPr>
        <w:t>alfa</w:t>
      </w:r>
      <w:proofErr w:type="spellEnd"/>
      <w:r w:rsidR="00330C88" w:rsidRPr="00BE0220">
        <w:rPr>
          <w:rFonts w:ascii="Arial Narrow" w:hAnsi="Arial Narrow"/>
          <w:b/>
          <w:sz w:val="20"/>
        </w:rPr>
        <w:t xml:space="preserve"> vs. DPI mannitol/</w:t>
      </w:r>
      <w:proofErr w:type="spellStart"/>
      <w:r w:rsidR="00330C88" w:rsidRPr="00BE0220">
        <w:rPr>
          <w:rFonts w:ascii="Arial Narrow" w:hAnsi="Arial Narrow"/>
          <w:b/>
          <w:sz w:val="20"/>
        </w:rPr>
        <w:t>dornase</w:t>
      </w:r>
      <w:proofErr w:type="spellEnd"/>
      <w:r w:rsidR="00330C88" w:rsidRPr="00BE0220">
        <w:rPr>
          <w:rFonts w:ascii="Arial Narrow" w:hAnsi="Arial Narrow"/>
          <w:b/>
          <w:sz w:val="20"/>
        </w:rPr>
        <w:t xml:space="preserve"> </w:t>
      </w:r>
      <w:proofErr w:type="spellStart"/>
      <w:r w:rsidR="00330C88" w:rsidRPr="00BE0220">
        <w:rPr>
          <w:rFonts w:ascii="Arial Narrow" w:hAnsi="Arial Narrow"/>
          <w:b/>
          <w:sz w:val="20"/>
        </w:rPr>
        <w:t>alfa</w:t>
      </w:r>
      <w:proofErr w:type="spellEnd"/>
      <w:r w:rsidR="00330C88" w:rsidRPr="00BE0220">
        <w:rPr>
          <w:rFonts w:ascii="Arial Narrow" w:hAnsi="Arial Narrow"/>
          <w:b/>
          <w:sz w:val="20"/>
        </w:rPr>
        <w:t xml:space="preserve"> combination (CF-203)</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1"/>
        <w:gridCol w:w="1462"/>
        <w:gridCol w:w="1465"/>
        <w:gridCol w:w="1464"/>
      </w:tblGrid>
      <w:tr w:rsidR="00330C88" w:rsidRPr="00BE0220" w:rsidTr="00330C88">
        <w:trPr>
          <w:trHeight w:val="700"/>
          <w:tblHeader/>
        </w:trPr>
        <w:tc>
          <w:tcPr>
            <w:tcW w:w="3981" w:type="dxa"/>
            <w:vAlign w:val="center"/>
          </w:tcPr>
          <w:p w:rsidR="00330C88" w:rsidRPr="00BE0220" w:rsidRDefault="00330C88" w:rsidP="00DC68E2">
            <w:pPr>
              <w:keepNext/>
              <w:rPr>
                <w:rFonts w:ascii="Arial Narrow" w:hAnsi="Arial Narrow"/>
                <w:b/>
                <w:sz w:val="20"/>
              </w:rPr>
            </w:pPr>
            <w:r w:rsidRPr="00BE0220">
              <w:rPr>
                <w:rFonts w:ascii="Arial Narrow" w:hAnsi="Arial Narrow"/>
                <w:b/>
                <w:sz w:val="20"/>
              </w:rPr>
              <w:t>Outcomes</w:t>
            </w:r>
          </w:p>
        </w:tc>
        <w:tc>
          <w:tcPr>
            <w:tcW w:w="1462" w:type="dxa"/>
            <w:vAlign w:val="center"/>
          </w:tcPr>
          <w:p w:rsidR="00330C88" w:rsidRPr="00BE0220" w:rsidRDefault="00330C88" w:rsidP="00DC68E2">
            <w:pPr>
              <w:keepNext/>
              <w:jc w:val="center"/>
              <w:rPr>
                <w:rFonts w:ascii="Arial Narrow" w:hAnsi="Arial Narrow"/>
                <w:b/>
                <w:sz w:val="20"/>
              </w:rPr>
            </w:pPr>
            <w:r w:rsidRPr="00BE0220">
              <w:rPr>
                <w:rFonts w:ascii="Arial Narrow" w:hAnsi="Arial Narrow"/>
                <w:b/>
                <w:sz w:val="20"/>
              </w:rPr>
              <w:t xml:space="preserve">DPI mannitol </w:t>
            </w:r>
          </w:p>
          <w:p w:rsidR="00330C88" w:rsidRPr="00BE0220" w:rsidRDefault="00330C88" w:rsidP="00DC68E2">
            <w:pPr>
              <w:keepNext/>
              <w:jc w:val="center"/>
              <w:rPr>
                <w:rFonts w:ascii="Arial Narrow" w:hAnsi="Arial Narrow"/>
                <w:b/>
                <w:sz w:val="20"/>
              </w:rPr>
            </w:pPr>
            <w:r w:rsidRPr="00BE0220">
              <w:rPr>
                <w:rFonts w:ascii="Arial Narrow" w:hAnsi="Arial Narrow"/>
                <w:b/>
                <w:sz w:val="20"/>
              </w:rPr>
              <w:t>(N = 23)</w:t>
            </w:r>
          </w:p>
        </w:tc>
        <w:tc>
          <w:tcPr>
            <w:tcW w:w="1465" w:type="dxa"/>
            <w:vAlign w:val="center"/>
          </w:tcPr>
          <w:p w:rsidR="00330C88" w:rsidRPr="00BE0220" w:rsidRDefault="00330C88" w:rsidP="00DC68E2">
            <w:pPr>
              <w:keepNext/>
              <w:jc w:val="center"/>
              <w:rPr>
                <w:rFonts w:ascii="Arial Narrow" w:hAnsi="Arial Narrow"/>
                <w:b/>
                <w:sz w:val="20"/>
              </w:rPr>
            </w:pPr>
            <w:proofErr w:type="spellStart"/>
            <w:r w:rsidRPr="00BE0220">
              <w:rPr>
                <w:rFonts w:ascii="Arial Narrow" w:hAnsi="Arial Narrow"/>
                <w:b/>
                <w:sz w:val="20"/>
              </w:rPr>
              <w:t>Dornase</w:t>
            </w:r>
            <w:proofErr w:type="spellEnd"/>
            <w:r w:rsidRPr="00BE0220">
              <w:rPr>
                <w:rFonts w:ascii="Arial Narrow" w:hAnsi="Arial Narrow"/>
                <w:b/>
                <w:sz w:val="20"/>
              </w:rPr>
              <w:t xml:space="preserve"> </w:t>
            </w:r>
            <w:proofErr w:type="spellStart"/>
            <w:r w:rsidRPr="00BE0220">
              <w:rPr>
                <w:rFonts w:ascii="Arial Narrow" w:hAnsi="Arial Narrow"/>
                <w:b/>
                <w:sz w:val="20"/>
              </w:rPr>
              <w:t>alfa</w:t>
            </w:r>
            <w:proofErr w:type="spellEnd"/>
            <w:r w:rsidRPr="00BE0220">
              <w:rPr>
                <w:rFonts w:ascii="Arial Narrow" w:hAnsi="Arial Narrow"/>
                <w:b/>
                <w:sz w:val="20"/>
              </w:rPr>
              <w:t xml:space="preserve"> </w:t>
            </w:r>
          </w:p>
          <w:p w:rsidR="00330C88" w:rsidRPr="00BE0220" w:rsidRDefault="00330C88" w:rsidP="00DC68E2">
            <w:pPr>
              <w:keepNext/>
              <w:jc w:val="center"/>
              <w:rPr>
                <w:rFonts w:ascii="Arial Narrow" w:hAnsi="Arial Narrow"/>
                <w:b/>
                <w:sz w:val="20"/>
              </w:rPr>
            </w:pPr>
            <w:r w:rsidRPr="00BE0220">
              <w:rPr>
                <w:rFonts w:ascii="Arial Narrow" w:hAnsi="Arial Narrow"/>
                <w:b/>
                <w:sz w:val="20"/>
              </w:rPr>
              <w:t>(N = 21)</w:t>
            </w:r>
          </w:p>
        </w:tc>
        <w:tc>
          <w:tcPr>
            <w:tcW w:w="1462" w:type="dxa"/>
            <w:vAlign w:val="center"/>
          </w:tcPr>
          <w:p w:rsidR="00330C88" w:rsidRPr="00BE0220" w:rsidRDefault="00330C88" w:rsidP="00DC68E2">
            <w:pPr>
              <w:keepNext/>
              <w:jc w:val="center"/>
              <w:rPr>
                <w:rFonts w:ascii="Arial Narrow" w:hAnsi="Arial Narrow"/>
                <w:b/>
                <w:sz w:val="20"/>
              </w:rPr>
            </w:pPr>
            <w:r w:rsidRPr="00BE0220">
              <w:rPr>
                <w:rFonts w:ascii="Arial Narrow" w:hAnsi="Arial Narrow"/>
                <w:b/>
                <w:sz w:val="20"/>
              </w:rPr>
              <w:t xml:space="preserve">DPI mannitol with </w:t>
            </w:r>
            <w:proofErr w:type="spellStart"/>
            <w:r w:rsidRPr="00BE0220">
              <w:rPr>
                <w:rFonts w:ascii="Arial Narrow" w:hAnsi="Arial Narrow"/>
                <w:b/>
                <w:sz w:val="20"/>
              </w:rPr>
              <w:t>dornase</w:t>
            </w:r>
            <w:proofErr w:type="spellEnd"/>
            <w:r w:rsidRPr="00BE0220">
              <w:rPr>
                <w:rFonts w:ascii="Arial Narrow" w:hAnsi="Arial Narrow"/>
                <w:b/>
                <w:sz w:val="20"/>
              </w:rPr>
              <w:t xml:space="preserve"> </w:t>
            </w:r>
            <w:proofErr w:type="spellStart"/>
            <w:r w:rsidRPr="00BE0220">
              <w:rPr>
                <w:rFonts w:ascii="Arial Narrow" w:hAnsi="Arial Narrow"/>
                <w:b/>
                <w:sz w:val="20"/>
              </w:rPr>
              <w:t>alfa</w:t>
            </w:r>
            <w:proofErr w:type="spellEnd"/>
            <w:r w:rsidRPr="00BE0220">
              <w:rPr>
                <w:rFonts w:ascii="Arial Narrow" w:hAnsi="Arial Narrow"/>
                <w:b/>
                <w:sz w:val="20"/>
              </w:rPr>
              <w:t xml:space="preserve"> </w:t>
            </w:r>
          </w:p>
          <w:p w:rsidR="00330C88" w:rsidRPr="00BE0220" w:rsidRDefault="00330C88" w:rsidP="00DC68E2">
            <w:pPr>
              <w:keepNext/>
              <w:jc w:val="center"/>
              <w:rPr>
                <w:rFonts w:ascii="Arial Narrow" w:hAnsi="Arial Narrow"/>
                <w:b/>
                <w:sz w:val="20"/>
              </w:rPr>
            </w:pPr>
            <w:r w:rsidRPr="00BE0220">
              <w:rPr>
                <w:rFonts w:ascii="Arial Narrow" w:hAnsi="Arial Narrow"/>
                <w:b/>
                <w:sz w:val="20"/>
              </w:rPr>
              <w:t>(N = 23)</w:t>
            </w:r>
          </w:p>
        </w:tc>
      </w:tr>
      <w:tr w:rsidR="00330C88" w:rsidRPr="00BE0220" w:rsidTr="00330C88">
        <w:tc>
          <w:tcPr>
            <w:tcW w:w="8370" w:type="dxa"/>
            <w:gridSpan w:val="4"/>
            <w:vAlign w:val="center"/>
          </w:tcPr>
          <w:p w:rsidR="00330C88" w:rsidRPr="00BE0220" w:rsidRDefault="00330C88" w:rsidP="00DC68E2">
            <w:pPr>
              <w:keepNext/>
              <w:rPr>
                <w:rFonts w:ascii="Arial Narrow" w:hAnsi="Arial Narrow"/>
                <w:sz w:val="20"/>
              </w:rPr>
            </w:pPr>
            <w:r w:rsidRPr="00BE0220">
              <w:rPr>
                <w:rFonts w:ascii="Arial Narrow" w:hAnsi="Arial Narrow"/>
                <w:b/>
                <w:sz w:val="20"/>
              </w:rPr>
              <w:t>Mean change in FEV</w:t>
            </w:r>
            <w:r w:rsidRPr="00BE0220">
              <w:rPr>
                <w:rFonts w:ascii="Arial Narrow" w:hAnsi="Arial Narrow"/>
                <w:b/>
                <w:sz w:val="20"/>
                <w:vertAlign w:val="subscript"/>
              </w:rPr>
              <w:t>1</w:t>
            </w:r>
            <w:r w:rsidRPr="00BE0220">
              <w:rPr>
                <w:rFonts w:ascii="Arial Narrow" w:hAnsi="Arial Narrow"/>
                <w:b/>
                <w:sz w:val="20"/>
              </w:rPr>
              <w:t xml:space="preserve"> (L) from baseline (SD)</w:t>
            </w:r>
          </w:p>
        </w:tc>
      </w:tr>
      <w:tr w:rsidR="00330C88" w:rsidRPr="00BE0220" w:rsidTr="00330C88">
        <w:tc>
          <w:tcPr>
            <w:tcW w:w="3981" w:type="dxa"/>
            <w:vAlign w:val="center"/>
          </w:tcPr>
          <w:p w:rsidR="00330C88" w:rsidRPr="00BE0220" w:rsidRDefault="00330C88" w:rsidP="00DC68E2">
            <w:pPr>
              <w:keepNext/>
              <w:rPr>
                <w:rFonts w:ascii="Arial Narrow" w:hAnsi="Arial Narrow"/>
                <w:sz w:val="20"/>
              </w:rPr>
            </w:pPr>
            <w:r w:rsidRPr="00BE0220">
              <w:rPr>
                <w:rFonts w:ascii="Arial Narrow" w:hAnsi="Arial Narrow"/>
                <w:sz w:val="20"/>
              </w:rPr>
              <w:t>Baseline</w:t>
            </w:r>
          </w:p>
        </w:tc>
        <w:tc>
          <w:tcPr>
            <w:tcW w:w="1462" w:type="dxa"/>
          </w:tcPr>
          <w:p w:rsidR="00330C88" w:rsidRPr="00BE0220" w:rsidRDefault="00330C88" w:rsidP="00DC68E2">
            <w:pPr>
              <w:keepNext/>
              <w:jc w:val="center"/>
              <w:rPr>
                <w:rFonts w:ascii="Arial Narrow" w:hAnsi="Arial Narrow"/>
                <w:sz w:val="20"/>
              </w:rPr>
            </w:pPr>
            <w:r w:rsidRPr="00BE0220">
              <w:rPr>
                <w:rFonts w:ascii="Arial Narrow" w:hAnsi="Arial Narrow"/>
                <w:sz w:val="20"/>
              </w:rPr>
              <w:t>1.74 (0.64)</w:t>
            </w:r>
          </w:p>
        </w:tc>
        <w:tc>
          <w:tcPr>
            <w:tcW w:w="1465" w:type="dxa"/>
          </w:tcPr>
          <w:p w:rsidR="00330C88" w:rsidRPr="00BE0220" w:rsidRDefault="00330C88" w:rsidP="00DC68E2">
            <w:pPr>
              <w:keepNext/>
              <w:jc w:val="center"/>
              <w:rPr>
                <w:rFonts w:ascii="Arial Narrow" w:hAnsi="Arial Narrow"/>
                <w:sz w:val="20"/>
              </w:rPr>
            </w:pPr>
            <w:r w:rsidRPr="00BE0220">
              <w:rPr>
                <w:rFonts w:ascii="Arial Narrow" w:hAnsi="Arial Narrow"/>
                <w:sz w:val="20"/>
              </w:rPr>
              <w:t>1.61 (0.59)</w:t>
            </w:r>
          </w:p>
        </w:tc>
        <w:tc>
          <w:tcPr>
            <w:tcW w:w="1462" w:type="dxa"/>
          </w:tcPr>
          <w:p w:rsidR="00330C88" w:rsidRPr="00BE0220" w:rsidRDefault="00330C88" w:rsidP="00DC68E2">
            <w:pPr>
              <w:keepNext/>
              <w:jc w:val="center"/>
              <w:rPr>
                <w:rFonts w:ascii="Arial Narrow" w:hAnsi="Arial Narrow"/>
                <w:sz w:val="20"/>
              </w:rPr>
            </w:pPr>
            <w:r w:rsidRPr="00BE0220">
              <w:rPr>
                <w:rFonts w:ascii="Arial Narrow" w:hAnsi="Arial Narrow"/>
                <w:sz w:val="20"/>
              </w:rPr>
              <w:t>1.66 (0.42)</w:t>
            </w:r>
          </w:p>
        </w:tc>
      </w:tr>
      <w:tr w:rsidR="00330C88" w:rsidRPr="00BE0220" w:rsidTr="00330C88">
        <w:tc>
          <w:tcPr>
            <w:tcW w:w="3981" w:type="dxa"/>
            <w:vAlign w:val="center"/>
          </w:tcPr>
          <w:p w:rsidR="00330C88" w:rsidRPr="00BE0220" w:rsidRDefault="00330C88" w:rsidP="00DC68E2">
            <w:pPr>
              <w:keepNext/>
              <w:rPr>
                <w:rFonts w:ascii="Arial Narrow" w:hAnsi="Arial Narrow"/>
                <w:sz w:val="20"/>
              </w:rPr>
            </w:pPr>
            <w:r w:rsidRPr="00BE0220">
              <w:rPr>
                <w:rFonts w:ascii="Arial Narrow" w:hAnsi="Arial Narrow"/>
                <w:sz w:val="20"/>
              </w:rPr>
              <w:t>Endpoint</w:t>
            </w:r>
          </w:p>
        </w:tc>
        <w:tc>
          <w:tcPr>
            <w:tcW w:w="1462" w:type="dxa"/>
          </w:tcPr>
          <w:p w:rsidR="00330C88" w:rsidRPr="00BE0220" w:rsidRDefault="00330C88" w:rsidP="00DC68E2">
            <w:pPr>
              <w:keepNext/>
              <w:jc w:val="center"/>
              <w:rPr>
                <w:rFonts w:ascii="Arial Narrow" w:hAnsi="Arial Narrow"/>
                <w:sz w:val="20"/>
              </w:rPr>
            </w:pPr>
            <w:r w:rsidRPr="00BE0220">
              <w:rPr>
                <w:rFonts w:ascii="Arial Narrow" w:hAnsi="Arial Narrow"/>
                <w:sz w:val="20"/>
              </w:rPr>
              <w:t>1.82 (0.64)</w:t>
            </w:r>
          </w:p>
        </w:tc>
        <w:tc>
          <w:tcPr>
            <w:tcW w:w="1465" w:type="dxa"/>
          </w:tcPr>
          <w:p w:rsidR="00330C88" w:rsidRPr="00BE0220" w:rsidRDefault="00330C88" w:rsidP="00DC68E2">
            <w:pPr>
              <w:keepNext/>
              <w:jc w:val="center"/>
              <w:rPr>
                <w:rFonts w:ascii="Arial Narrow" w:hAnsi="Arial Narrow"/>
                <w:sz w:val="20"/>
              </w:rPr>
            </w:pPr>
            <w:r w:rsidRPr="00BE0220">
              <w:rPr>
                <w:rFonts w:ascii="Arial Narrow" w:hAnsi="Arial Narrow"/>
                <w:sz w:val="20"/>
              </w:rPr>
              <w:t>1.72 (0.56)</w:t>
            </w:r>
          </w:p>
        </w:tc>
        <w:tc>
          <w:tcPr>
            <w:tcW w:w="1462" w:type="dxa"/>
          </w:tcPr>
          <w:p w:rsidR="00330C88" w:rsidRPr="00BE0220" w:rsidRDefault="00330C88" w:rsidP="00DC68E2">
            <w:pPr>
              <w:keepNext/>
              <w:jc w:val="center"/>
              <w:rPr>
                <w:rFonts w:ascii="Arial Narrow" w:hAnsi="Arial Narrow"/>
                <w:sz w:val="20"/>
              </w:rPr>
            </w:pPr>
            <w:r w:rsidRPr="00BE0220">
              <w:rPr>
                <w:rFonts w:ascii="Arial Narrow" w:hAnsi="Arial Narrow"/>
                <w:sz w:val="20"/>
              </w:rPr>
              <w:t>1.66 (0.59)</w:t>
            </w:r>
          </w:p>
        </w:tc>
      </w:tr>
      <w:tr w:rsidR="00330C88" w:rsidRPr="00BE0220" w:rsidTr="00330C88">
        <w:tc>
          <w:tcPr>
            <w:tcW w:w="3981" w:type="dxa"/>
            <w:vAlign w:val="center"/>
          </w:tcPr>
          <w:p w:rsidR="00330C88" w:rsidRPr="00BE0220" w:rsidRDefault="00330C88" w:rsidP="00DC68E2">
            <w:pPr>
              <w:keepNext/>
              <w:rPr>
                <w:rFonts w:ascii="Arial Narrow" w:hAnsi="Arial Narrow"/>
                <w:sz w:val="20"/>
              </w:rPr>
            </w:pPr>
            <w:r w:rsidRPr="00BE0220">
              <w:rPr>
                <w:rFonts w:ascii="Arial Narrow" w:hAnsi="Arial Narrow"/>
                <w:sz w:val="20"/>
              </w:rPr>
              <w:t>Mean change (% change from baseline)</w:t>
            </w:r>
          </w:p>
        </w:tc>
        <w:tc>
          <w:tcPr>
            <w:tcW w:w="1462" w:type="dxa"/>
          </w:tcPr>
          <w:p w:rsidR="00330C88" w:rsidRPr="00BE0220" w:rsidRDefault="00330C88" w:rsidP="00DC68E2">
            <w:pPr>
              <w:keepNext/>
              <w:jc w:val="center"/>
              <w:rPr>
                <w:rFonts w:ascii="Arial Narrow" w:hAnsi="Arial Narrow"/>
                <w:sz w:val="20"/>
              </w:rPr>
            </w:pPr>
            <w:r w:rsidRPr="00BE0220">
              <w:rPr>
                <w:rFonts w:ascii="Arial Narrow" w:hAnsi="Arial Narrow"/>
                <w:sz w:val="20"/>
              </w:rPr>
              <w:t>6.38%</w:t>
            </w:r>
          </w:p>
        </w:tc>
        <w:tc>
          <w:tcPr>
            <w:tcW w:w="1465" w:type="dxa"/>
          </w:tcPr>
          <w:p w:rsidR="00330C88" w:rsidRPr="00BE0220" w:rsidRDefault="00330C88" w:rsidP="00DC68E2">
            <w:pPr>
              <w:keepNext/>
              <w:jc w:val="center"/>
              <w:rPr>
                <w:rFonts w:ascii="Arial Narrow" w:hAnsi="Arial Narrow"/>
                <w:sz w:val="20"/>
              </w:rPr>
            </w:pPr>
            <w:r w:rsidRPr="00BE0220">
              <w:rPr>
                <w:rFonts w:ascii="Arial Narrow" w:hAnsi="Arial Narrow"/>
                <w:sz w:val="20"/>
              </w:rPr>
              <w:t>9.07%</w:t>
            </w:r>
          </w:p>
        </w:tc>
        <w:tc>
          <w:tcPr>
            <w:tcW w:w="1462" w:type="dxa"/>
          </w:tcPr>
          <w:p w:rsidR="00330C88" w:rsidRPr="00BE0220" w:rsidRDefault="00330C88" w:rsidP="00DC68E2">
            <w:pPr>
              <w:keepNext/>
              <w:jc w:val="center"/>
              <w:rPr>
                <w:rFonts w:ascii="Arial Narrow" w:hAnsi="Arial Narrow"/>
                <w:sz w:val="20"/>
              </w:rPr>
            </w:pPr>
            <w:r w:rsidRPr="00BE0220">
              <w:rPr>
                <w:rFonts w:ascii="Arial Narrow" w:hAnsi="Arial Narrow"/>
                <w:sz w:val="20"/>
              </w:rPr>
              <w:t>-0.77%</w:t>
            </w:r>
          </w:p>
        </w:tc>
      </w:tr>
      <w:tr w:rsidR="00330C88" w:rsidRPr="00BE0220" w:rsidTr="00330C88">
        <w:tc>
          <w:tcPr>
            <w:tcW w:w="6908" w:type="dxa"/>
            <w:gridSpan w:val="3"/>
            <w:vAlign w:val="center"/>
          </w:tcPr>
          <w:p w:rsidR="00330C88" w:rsidRPr="00BE0220" w:rsidRDefault="00330C88" w:rsidP="00DC68E2">
            <w:pPr>
              <w:jc w:val="right"/>
              <w:rPr>
                <w:rFonts w:ascii="Arial Narrow" w:hAnsi="Arial Narrow"/>
                <w:sz w:val="20"/>
              </w:rPr>
            </w:pPr>
            <w:r w:rsidRPr="00BE0220">
              <w:rPr>
                <w:rFonts w:ascii="Arial Narrow" w:hAnsi="Arial Narrow"/>
                <w:sz w:val="20"/>
              </w:rPr>
              <w:t xml:space="preserve">DPI mannitol vs </w:t>
            </w:r>
            <w:proofErr w:type="spellStart"/>
            <w:r w:rsidRPr="00BE0220">
              <w:rPr>
                <w:rFonts w:ascii="Arial Narrow" w:hAnsi="Arial Narrow"/>
                <w:sz w:val="20"/>
              </w:rPr>
              <w:t>dornase</w:t>
            </w:r>
            <w:proofErr w:type="spellEnd"/>
            <w:r w:rsidRPr="00BE0220">
              <w:rPr>
                <w:rFonts w:ascii="Arial Narrow" w:hAnsi="Arial Narrow"/>
                <w:sz w:val="20"/>
              </w:rPr>
              <w:t xml:space="preserve"> </w:t>
            </w:r>
            <w:proofErr w:type="spellStart"/>
            <w:r w:rsidRPr="00BE0220">
              <w:rPr>
                <w:rFonts w:ascii="Arial Narrow" w:hAnsi="Arial Narrow"/>
                <w:sz w:val="20"/>
              </w:rPr>
              <w:t>alfa</w:t>
            </w:r>
            <w:proofErr w:type="spellEnd"/>
            <w:r w:rsidRPr="00BE0220">
              <w:rPr>
                <w:rFonts w:ascii="Arial Narrow" w:hAnsi="Arial Narrow"/>
                <w:sz w:val="20"/>
              </w:rPr>
              <w:t xml:space="preserve"> (</w:t>
            </w:r>
            <w:r w:rsidRPr="00BE0220">
              <w:rPr>
                <w:rFonts w:ascii="Arial Narrow" w:hAnsi="Arial Narrow"/>
                <w:i/>
                <w:sz w:val="20"/>
              </w:rPr>
              <w:t>p</w:t>
            </w:r>
            <w:r w:rsidRPr="00BE0220">
              <w:rPr>
                <w:rFonts w:ascii="Arial Narrow" w:hAnsi="Arial Narrow"/>
                <w:sz w:val="20"/>
              </w:rPr>
              <w:t xml:space="preserve"> value)</w:t>
            </w:r>
          </w:p>
        </w:tc>
        <w:tc>
          <w:tcPr>
            <w:tcW w:w="1462" w:type="dxa"/>
          </w:tcPr>
          <w:p w:rsidR="00330C88" w:rsidRPr="00BE0220" w:rsidRDefault="00330C88" w:rsidP="00DC68E2">
            <w:pPr>
              <w:jc w:val="center"/>
              <w:rPr>
                <w:rFonts w:ascii="Arial Narrow" w:hAnsi="Arial Narrow"/>
                <w:sz w:val="20"/>
              </w:rPr>
            </w:pPr>
            <w:r w:rsidRPr="00BE0220">
              <w:rPr>
                <w:rFonts w:ascii="Arial Narrow" w:hAnsi="Arial Narrow"/>
                <w:sz w:val="20"/>
              </w:rPr>
              <w:t>0.5632</w:t>
            </w:r>
          </w:p>
        </w:tc>
      </w:tr>
      <w:tr w:rsidR="00330C88" w:rsidRPr="00BE0220" w:rsidTr="00330C88">
        <w:tc>
          <w:tcPr>
            <w:tcW w:w="6908" w:type="dxa"/>
            <w:gridSpan w:val="3"/>
            <w:vAlign w:val="center"/>
          </w:tcPr>
          <w:p w:rsidR="00330C88" w:rsidRPr="00BE0220" w:rsidRDefault="00330C88" w:rsidP="00DC68E2">
            <w:pPr>
              <w:jc w:val="right"/>
              <w:rPr>
                <w:rFonts w:ascii="Arial Narrow" w:hAnsi="Arial Narrow"/>
                <w:sz w:val="20"/>
              </w:rPr>
            </w:pPr>
            <w:r w:rsidRPr="00BE0220">
              <w:rPr>
                <w:rFonts w:ascii="Arial Narrow" w:hAnsi="Arial Narrow"/>
                <w:sz w:val="20"/>
              </w:rPr>
              <w:t xml:space="preserve">DPI mannitol with </w:t>
            </w:r>
            <w:proofErr w:type="spellStart"/>
            <w:r w:rsidRPr="00BE0220">
              <w:rPr>
                <w:rFonts w:ascii="Arial Narrow" w:hAnsi="Arial Narrow"/>
                <w:sz w:val="20"/>
              </w:rPr>
              <w:t>dornase</w:t>
            </w:r>
            <w:proofErr w:type="spellEnd"/>
            <w:r w:rsidRPr="00BE0220">
              <w:rPr>
                <w:rFonts w:ascii="Arial Narrow" w:hAnsi="Arial Narrow"/>
                <w:sz w:val="20"/>
              </w:rPr>
              <w:t xml:space="preserve"> </w:t>
            </w:r>
            <w:proofErr w:type="spellStart"/>
            <w:r w:rsidRPr="00BE0220">
              <w:rPr>
                <w:rFonts w:ascii="Arial Narrow" w:hAnsi="Arial Narrow"/>
                <w:sz w:val="20"/>
              </w:rPr>
              <w:t>alfa</w:t>
            </w:r>
            <w:proofErr w:type="spellEnd"/>
            <w:r w:rsidRPr="00BE0220">
              <w:rPr>
                <w:rFonts w:ascii="Arial Narrow" w:hAnsi="Arial Narrow"/>
                <w:sz w:val="20"/>
              </w:rPr>
              <w:t xml:space="preserve"> vs </w:t>
            </w:r>
            <w:proofErr w:type="spellStart"/>
            <w:r w:rsidRPr="00BE0220">
              <w:rPr>
                <w:rFonts w:ascii="Arial Narrow" w:hAnsi="Arial Narrow"/>
                <w:sz w:val="20"/>
              </w:rPr>
              <w:t>dornase</w:t>
            </w:r>
            <w:proofErr w:type="spellEnd"/>
            <w:r w:rsidRPr="00BE0220">
              <w:rPr>
                <w:rFonts w:ascii="Arial Narrow" w:hAnsi="Arial Narrow"/>
                <w:sz w:val="20"/>
              </w:rPr>
              <w:t xml:space="preserve"> </w:t>
            </w:r>
            <w:proofErr w:type="spellStart"/>
            <w:r w:rsidRPr="00BE0220">
              <w:rPr>
                <w:rFonts w:ascii="Arial Narrow" w:hAnsi="Arial Narrow"/>
                <w:sz w:val="20"/>
              </w:rPr>
              <w:t>alfa</w:t>
            </w:r>
            <w:proofErr w:type="spellEnd"/>
            <w:r w:rsidRPr="00BE0220">
              <w:rPr>
                <w:rFonts w:ascii="Arial Narrow" w:hAnsi="Arial Narrow"/>
                <w:sz w:val="20"/>
              </w:rPr>
              <w:t xml:space="preserve"> (</w:t>
            </w:r>
            <w:r w:rsidRPr="00BE0220">
              <w:rPr>
                <w:rFonts w:ascii="Arial Narrow" w:hAnsi="Arial Narrow"/>
                <w:i/>
                <w:sz w:val="20"/>
              </w:rPr>
              <w:t>p</w:t>
            </w:r>
            <w:r w:rsidRPr="00BE0220">
              <w:rPr>
                <w:rFonts w:ascii="Arial Narrow" w:hAnsi="Arial Narrow"/>
                <w:sz w:val="20"/>
              </w:rPr>
              <w:t xml:space="preserve"> value)</w:t>
            </w:r>
          </w:p>
        </w:tc>
        <w:tc>
          <w:tcPr>
            <w:tcW w:w="1462" w:type="dxa"/>
          </w:tcPr>
          <w:p w:rsidR="00330C88" w:rsidRPr="00BE0220" w:rsidRDefault="00330C88" w:rsidP="00DC68E2">
            <w:pPr>
              <w:jc w:val="center"/>
              <w:rPr>
                <w:rFonts w:ascii="Arial Narrow" w:hAnsi="Arial Narrow"/>
                <w:sz w:val="20"/>
              </w:rPr>
            </w:pPr>
            <w:r w:rsidRPr="00BE0220">
              <w:rPr>
                <w:rFonts w:ascii="Arial Narrow" w:hAnsi="Arial Narrow"/>
                <w:sz w:val="20"/>
              </w:rPr>
              <w:t>0.1337</w:t>
            </w:r>
          </w:p>
        </w:tc>
      </w:tr>
      <w:tr w:rsidR="00330C88" w:rsidRPr="00BE0220" w:rsidTr="00330C88">
        <w:tc>
          <w:tcPr>
            <w:tcW w:w="8370" w:type="dxa"/>
            <w:gridSpan w:val="4"/>
            <w:vAlign w:val="center"/>
          </w:tcPr>
          <w:p w:rsidR="00330C88" w:rsidRPr="00BE0220" w:rsidRDefault="00330C88" w:rsidP="00DC68E2">
            <w:pPr>
              <w:rPr>
                <w:rFonts w:ascii="Arial Narrow" w:hAnsi="Arial Narrow"/>
                <w:sz w:val="20"/>
              </w:rPr>
            </w:pPr>
            <w:r w:rsidRPr="00BE0220">
              <w:rPr>
                <w:rFonts w:ascii="Arial Narrow" w:hAnsi="Arial Narrow" w:cs="Arial"/>
                <w:b/>
                <w:sz w:val="20"/>
              </w:rPr>
              <w:t>Proportion of patients with PDPE events [n (%)]</w:t>
            </w:r>
          </w:p>
        </w:tc>
      </w:tr>
      <w:tr w:rsidR="00330C88" w:rsidRPr="00BE0220" w:rsidTr="00330C88">
        <w:tc>
          <w:tcPr>
            <w:tcW w:w="3981" w:type="dxa"/>
            <w:vAlign w:val="center"/>
          </w:tcPr>
          <w:p w:rsidR="00330C88" w:rsidRPr="00BE0220" w:rsidRDefault="00330C88" w:rsidP="00DC68E2">
            <w:pPr>
              <w:rPr>
                <w:rFonts w:ascii="Arial Narrow" w:hAnsi="Arial Narrow" w:cs="Arial"/>
                <w:sz w:val="20"/>
              </w:rPr>
            </w:pPr>
            <w:r w:rsidRPr="00BE0220">
              <w:rPr>
                <w:rFonts w:ascii="Arial Narrow" w:hAnsi="Arial Narrow" w:cs="Arial"/>
                <w:sz w:val="20"/>
              </w:rPr>
              <w:t>Endpoint</w:t>
            </w:r>
          </w:p>
        </w:tc>
        <w:tc>
          <w:tcPr>
            <w:tcW w:w="1462" w:type="dxa"/>
          </w:tcPr>
          <w:p w:rsidR="00330C88" w:rsidRPr="00BE0220" w:rsidRDefault="00330C88" w:rsidP="00DC68E2">
            <w:pPr>
              <w:jc w:val="center"/>
              <w:rPr>
                <w:rFonts w:ascii="Arial Narrow" w:hAnsi="Arial Narrow"/>
                <w:sz w:val="20"/>
              </w:rPr>
            </w:pPr>
            <w:r w:rsidRPr="00BE0220">
              <w:rPr>
                <w:rFonts w:ascii="Arial Narrow" w:hAnsi="Arial Narrow"/>
                <w:sz w:val="20"/>
              </w:rPr>
              <w:t>3 (14.3)</w:t>
            </w:r>
          </w:p>
        </w:tc>
        <w:tc>
          <w:tcPr>
            <w:tcW w:w="1465" w:type="dxa"/>
          </w:tcPr>
          <w:p w:rsidR="00330C88" w:rsidRPr="00BE0220" w:rsidRDefault="00330C88" w:rsidP="00DC68E2">
            <w:pPr>
              <w:jc w:val="center"/>
              <w:rPr>
                <w:rFonts w:ascii="Arial Narrow" w:hAnsi="Arial Narrow"/>
                <w:sz w:val="20"/>
              </w:rPr>
            </w:pPr>
            <w:r w:rsidRPr="00BE0220">
              <w:rPr>
                <w:rFonts w:ascii="Arial Narrow" w:hAnsi="Arial Narrow"/>
                <w:sz w:val="20"/>
              </w:rPr>
              <w:t>3 (13.0)</w:t>
            </w:r>
          </w:p>
        </w:tc>
        <w:tc>
          <w:tcPr>
            <w:tcW w:w="1462" w:type="dxa"/>
          </w:tcPr>
          <w:p w:rsidR="00330C88" w:rsidRPr="00BE0220" w:rsidRDefault="00330C88" w:rsidP="00DC68E2">
            <w:pPr>
              <w:jc w:val="center"/>
              <w:rPr>
                <w:rFonts w:ascii="Arial Narrow" w:hAnsi="Arial Narrow"/>
                <w:sz w:val="20"/>
              </w:rPr>
            </w:pPr>
            <w:r w:rsidRPr="00BE0220">
              <w:rPr>
                <w:rFonts w:ascii="Arial Narrow" w:hAnsi="Arial Narrow"/>
                <w:sz w:val="20"/>
              </w:rPr>
              <w:t>6 (26.1)</w:t>
            </w:r>
          </w:p>
        </w:tc>
      </w:tr>
      <w:tr w:rsidR="00330C88" w:rsidRPr="00BE0220" w:rsidTr="00330C88">
        <w:tc>
          <w:tcPr>
            <w:tcW w:w="6906" w:type="dxa"/>
            <w:gridSpan w:val="3"/>
            <w:vAlign w:val="center"/>
          </w:tcPr>
          <w:p w:rsidR="00330C88" w:rsidRPr="00BE0220" w:rsidRDefault="00330C88" w:rsidP="00DC68E2">
            <w:pPr>
              <w:jc w:val="right"/>
              <w:rPr>
                <w:rFonts w:ascii="Arial Narrow" w:hAnsi="Arial Narrow"/>
                <w:sz w:val="20"/>
              </w:rPr>
            </w:pPr>
            <w:r w:rsidRPr="00BE0220">
              <w:rPr>
                <w:rFonts w:ascii="Arial Narrow" w:hAnsi="Arial Narrow"/>
                <w:sz w:val="20"/>
              </w:rPr>
              <w:t xml:space="preserve">DPI mannitol vs </w:t>
            </w:r>
            <w:proofErr w:type="spellStart"/>
            <w:r w:rsidRPr="00BE0220">
              <w:rPr>
                <w:rFonts w:ascii="Arial Narrow" w:hAnsi="Arial Narrow"/>
                <w:sz w:val="20"/>
              </w:rPr>
              <w:t>dornase</w:t>
            </w:r>
            <w:proofErr w:type="spellEnd"/>
            <w:r w:rsidRPr="00BE0220">
              <w:rPr>
                <w:rFonts w:ascii="Arial Narrow" w:hAnsi="Arial Narrow"/>
                <w:sz w:val="20"/>
              </w:rPr>
              <w:t xml:space="preserve"> </w:t>
            </w:r>
            <w:proofErr w:type="spellStart"/>
            <w:r w:rsidRPr="00BE0220">
              <w:rPr>
                <w:rFonts w:ascii="Arial Narrow" w:hAnsi="Arial Narrow"/>
                <w:sz w:val="20"/>
              </w:rPr>
              <w:t>alfa</w:t>
            </w:r>
            <w:proofErr w:type="spellEnd"/>
            <w:r w:rsidRPr="00BE0220">
              <w:rPr>
                <w:rFonts w:ascii="Arial Narrow" w:hAnsi="Arial Narrow"/>
                <w:sz w:val="20"/>
              </w:rPr>
              <w:t xml:space="preserve"> (</w:t>
            </w:r>
            <w:r w:rsidRPr="00BE0220">
              <w:rPr>
                <w:rFonts w:ascii="Arial Narrow" w:hAnsi="Arial Narrow"/>
                <w:i/>
                <w:sz w:val="20"/>
              </w:rPr>
              <w:t>p</w:t>
            </w:r>
            <w:r w:rsidRPr="00BE0220">
              <w:rPr>
                <w:rFonts w:ascii="Arial Narrow" w:hAnsi="Arial Narrow"/>
                <w:sz w:val="20"/>
              </w:rPr>
              <w:t xml:space="preserve"> value)</w:t>
            </w:r>
          </w:p>
        </w:tc>
        <w:tc>
          <w:tcPr>
            <w:tcW w:w="1464" w:type="dxa"/>
          </w:tcPr>
          <w:p w:rsidR="00330C88" w:rsidRPr="00BE0220" w:rsidRDefault="00330C88" w:rsidP="00DC68E2">
            <w:pPr>
              <w:jc w:val="center"/>
              <w:rPr>
                <w:rFonts w:ascii="Arial Narrow" w:hAnsi="Arial Narrow"/>
                <w:sz w:val="20"/>
              </w:rPr>
            </w:pPr>
            <w:r w:rsidRPr="00BE0220">
              <w:rPr>
                <w:rFonts w:ascii="Arial Narrow" w:hAnsi="Arial Narrow"/>
                <w:sz w:val="20"/>
              </w:rPr>
              <w:t>1.0000</w:t>
            </w:r>
          </w:p>
        </w:tc>
      </w:tr>
      <w:tr w:rsidR="00330C88" w:rsidRPr="00BE0220" w:rsidTr="00330C88">
        <w:tc>
          <w:tcPr>
            <w:tcW w:w="6906" w:type="dxa"/>
            <w:gridSpan w:val="3"/>
            <w:vAlign w:val="center"/>
          </w:tcPr>
          <w:p w:rsidR="00330C88" w:rsidRPr="00BE0220" w:rsidRDefault="00330C88" w:rsidP="00DC68E2">
            <w:pPr>
              <w:jc w:val="right"/>
              <w:rPr>
                <w:rFonts w:ascii="Arial Narrow" w:hAnsi="Arial Narrow"/>
                <w:sz w:val="20"/>
              </w:rPr>
            </w:pPr>
            <w:r w:rsidRPr="00BE0220">
              <w:rPr>
                <w:rFonts w:ascii="Arial Narrow" w:hAnsi="Arial Narrow"/>
                <w:sz w:val="20"/>
              </w:rPr>
              <w:t xml:space="preserve">DPI mannitol with </w:t>
            </w:r>
            <w:proofErr w:type="spellStart"/>
            <w:r w:rsidRPr="00BE0220">
              <w:rPr>
                <w:rFonts w:ascii="Arial Narrow" w:hAnsi="Arial Narrow"/>
                <w:sz w:val="20"/>
              </w:rPr>
              <w:t>dornase</w:t>
            </w:r>
            <w:proofErr w:type="spellEnd"/>
            <w:r w:rsidRPr="00BE0220">
              <w:rPr>
                <w:rFonts w:ascii="Arial Narrow" w:hAnsi="Arial Narrow"/>
                <w:sz w:val="20"/>
              </w:rPr>
              <w:t xml:space="preserve"> </w:t>
            </w:r>
            <w:proofErr w:type="spellStart"/>
            <w:r w:rsidRPr="00BE0220">
              <w:rPr>
                <w:rFonts w:ascii="Arial Narrow" w:hAnsi="Arial Narrow"/>
                <w:sz w:val="20"/>
              </w:rPr>
              <w:t>alfa</w:t>
            </w:r>
            <w:proofErr w:type="spellEnd"/>
            <w:r w:rsidRPr="00BE0220">
              <w:rPr>
                <w:rFonts w:ascii="Arial Narrow" w:hAnsi="Arial Narrow"/>
                <w:sz w:val="20"/>
              </w:rPr>
              <w:t xml:space="preserve"> vs </w:t>
            </w:r>
            <w:proofErr w:type="spellStart"/>
            <w:r w:rsidRPr="00BE0220">
              <w:rPr>
                <w:rFonts w:ascii="Arial Narrow" w:hAnsi="Arial Narrow"/>
                <w:sz w:val="20"/>
              </w:rPr>
              <w:t>dornase</w:t>
            </w:r>
            <w:proofErr w:type="spellEnd"/>
            <w:r w:rsidRPr="00BE0220">
              <w:rPr>
                <w:rFonts w:ascii="Arial Narrow" w:hAnsi="Arial Narrow"/>
                <w:sz w:val="20"/>
              </w:rPr>
              <w:t xml:space="preserve"> </w:t>
            </w:r>
            <w:proofErr w:type="spellStart"/>
            <w:r w:rsidRPr="00BE0220">
              <w:rPr>
                <w:rFonts w:ascii="Arial Narrow" w:hAnsi="Arial Narrow"/>
                <w:sz w:val="20"/>
              </w:rPr>
              <w:t>alfa</w:t>
            </w:r>
            <w:proofErr w:type="spellEnd"/>
            <w:r w:rsidRPr="00BE0220">
              <w:rPr>
                <w:rFonts w:ascii="Arial Narrow" w:hAnsi="Arial Narrow"/>
                <w:sz w:val="20"/>
              </w:rPr>
              <w:t xml:space="preserve"> (</w:t>
            </w:r>
            <w:r w:rsidRPr="00BE0220">
              <w:rPr>
                <w:rFonts w:ascii="Arial Narrow" w:hAnsi="Arial Narrow"/>
                <w:i/>
                <w:sz w:val="20"/>
              </w:rPr>
              <w:t>p</w:t>
            </w:r>
            <w:r w:rsidRPr="00BE0220">
              <w:rPr>
                <w:rFonts w:ascii="Arial Narrow" w:hAnsi="Arial Narrow"/>
                <w:sz w:val="20"/>
              </w:rPr>
              <w:t xml:space="preserve"> value)</w:t>
            </w:r>
          </w:p>
        </w:tc>
        <w:tc>
          <w:tcPr>
            <w:tcW w:w="1464" w:type="dxa"/>
          </w:tcPr>
          <w:p w:rsidR="00330C88" w:rsidRPr="00BE0220" w:rsidRDefault="00330C88" w:rsidP="00DC68E2">
            <w:pPr>
              <w:jc w:val="center"/>
              <w:rPr>
                <w:rFonts w:ascii="Arial Narrow" w:hAnsi="Arial Narrow"/>
                <w:sz w:val="20"/>
              </w:rPr>
            </w:pPr>
            <w:r w:rsidRPr="00BE0220">
              <w:rPr>
                <w:rFonts w:ascii="Arial Narrow" w:hAnsi="Arial Narrow"/>
                <w:sz w:val="20"/>
              </w:rPr>
              <w:t>0.2568</w:t>
            </w:r>
          </w:p>
        </w:tc>
      </w:tr>
    </w:tbl>
    <w:p w:rsidR="00330C88" w:rsidRPr="00BE0220" w:rsidRDefault="00330C88" w:rsidP="00330C88">
      <w:pPr>
        <w:pStyle w:val="ListParagraph"/>
        <w:rPr>
          <w:rFonts w:ascii="Arial Narrow" w:hAnsi="Arial Narrow" w:cs="Arial"/>
          <w:sz w:val="18"/>
          <w:szCs w:val="18"/>
        </w:rPr>
      </w:pPr>
      <w:r w:rsidRPr="00BE0220">
        <w:rPr>
          <w:rFonts w:ascii="Arial Narrow" w:hAnsi="Arial Narrow" w:cs="Arial"/>
          <w:sz w:val="18"/>
          <w:szCs w:val="18"/>
        </w:rPr>
        <w:t>Abbreviations: PDPE, protocol defined pulmonary exacerbation; SD, standard deviation; SE, standard error</w:t>
      </w:r>
    </w:p>
    <w:p w:rsidR="00330C88" w:rsidRPr="00BE0220" w:rsidRDefault="00330C88" w:rsidP="00330C88">
      <w:pPr>
        <w:pStyle w:val="ListParagraph"/>
        <w:rPr>
          <w:rFonts w:ascii="Arial Narrow" w:hAnsi="Arial Narrow" w:cs="Arial"/>
          <w:sz w:val="18"/>
          <w:szCs w:val="18"/>
        </w:rPr>
      </w:pPr>
      <w:r w:rsidRPr="00BE0220">
        <w:rPr>
          <w:rFonts w:ascii="Arial Narrow" w:hAnsi="Arial Narrow" w:cs="Arial"/>
          <w:sz w:val="18"/>
          <w:szCs w:val="18"/>
        </w:rPr>
        <w:t xml:space="preserve">Source: </w:t>
      </w:r>
      <w:r w:rsidR="006971E2">
        <w:rPr>
          <w:rFonts w:ascii="Arial Narrow" w:hAnsi="Arial Narrow" w:cs="Arial"/>
          <w:sz w:val="18"/>
          <w:szCs w:val="18"/>
        </w:rPr>
        <w:t>adapted from March 20</w:t>
      </w:r>
      <w:r w:rsidRPr="00BE0220">
        <w:rPr>
          <w:rFonts w:ascii="Arial Narrow" w:hAnsi="Arial Narrow" w:cs="Arial"/>
          <w:sz w:val="18"/>
          <w:szCs w:val="18"/>
        </w:rPr>
        <w:t>11 PBAC meeting minutes</w:t>
      </w:r>
      <w:r w:rsidR="00E60A5A">
        <w:rPr>
          <w:rFonts w:ascii="Arial Narrow" w:hAnsi="Arial Narrow" w:cs="Arial"/>
          <w:sz w:val="18"/>
          <w:szCs w:val="18"/>
        </w:rPr>
        <w:t xml:space="preserve"> and PES commentary</w:t>
      </w:r>
    </w:p>
    <w:p w:rsidR="00E36CCF" w:rsidRPr="00330C88" w:rsidRDefault="00E36CCF" w:rsidP="00330C88">
      <w:pPr>
        <w:rPr>
          <w:rFonts w:ascii="Arial" w:hAnsi="Arial"/>
          <w:sz w:val="22"/>
          <w:szCs w:val="22"/>
        </w:rPr>
      </w:pPr>
    </w:p>
    <w:p w:rsidR="00ED7D9C" w:rsidRDefault="00ED7D9C" w:rsidP="00187D9A">
      <w:pPr>
        <w:pStyle w:val="ListParagraph"/>
        <w:numPr>
          <w:ilvl w:val="1"/>
          <w:numId w:val="1"/>
        </w:numPr>
        <w:jc w:val="both"/>
        <w:rPr>
          <w:rFonts w:ascii="Arial" w:hAnsi="Arial"/>
          <w:sz w:val="22"/>
          <w:szCs w:val="22"/>
        </w:rPr>
      </w:pPr>
      <w:r w:rsidRPr="00ED7D9C">
        <w:rPr>
          <w:rFonts w:ascii="Arial" w:hAnsi="Arial"/>
          <w:sz w:val="22"/>
          <w:szCs w:val="22"/>
        </w:rPr>
        <w:t>The PBAC</w:t>
      </w:r>
      <w:r>
        <w:rPr>
          <w:rFonts w:ascii="Arial" w:hAnsi="Arial"/>
          <w:sz w:val="22"/>
          <w:szCs w:val="22"/>
        </w:rPr>
        <w:t xml:space="preserve"> previously</w:t>
      </w:r>
      <w:r w:rsidRPr="00ED7D9C">
        <w:rPr>
          <w:rFonts w:ascii="Arial" w:hAnsi="Arial"/>
          <w:sz w:val="22"/>
          <w:szCs w:val="22"/>
        </w:rPr>
        <w:t xml:space="preserve"> noted that there were no statistically significant differences in lung function, protocol-defined pulmonary exacerbation (PDPE) events or respiratory quality of life scores between treatment groups. However, the combination of DPI mannitol and </w:t>
      </w:r>
      <w:proofErr w:type="spellStart"/>
      <w:r w:rsidRPr="00ED7D9C">
        <w:rPr>
          <w:rFonts w:ascii="Arial" w:hAnsi="Arial"/>
          <w:sz w:val="22"/>
          <w:szCs w:val="22"/>
        </w:rPr>
        <w:t>dornase</w:t>
      </w:r>
      <w:proofErr w:type="spellEnd"/>
      <w:r w:rsidRPr="00ED7D9C">
        <w:rPr>
          <w:rFonts w:ascii="Arial" w:hAnsi="Arial"/>
          <w:sz w:val="22"/>
          <w:szCs w:val="22"/>
        </w:rPr>
        <w:t xml:space="preserve"> </w:t>
      </w:r>
      <w:proofErr w:type="spellStart"/>
      <w:r w:rsidRPr="00ED7D9C">
        <w:rPr>
          <w:rFonts w:ascii="Arial" w:hAnsi="Arial"/>
          <w:sz w:val="22"/>
          <w:szCs w:val="22"/>
        </w:rPr>
        <w:t>alfa</w:t>
      </w:r>
      <w:proofErr w:type="spellEnd"/>
      <w:r w:rsidRPr="00ED7D9C">
        <w:rPr>
          <w:rFonts w:ascii="Arial" w:hAnsi="Arial"/>
          <w:sz w:val="22"/>
          <w:szCs w:val="22"/>
        </w:rPr>
        <w:t xml:space="preserve"> appeared to perform worse than either tr</w:t>
      </w:r>
      <w:r>
        <w:rPr>
          <w:rFonts w:ascii="Arial" w:hAnsi="Arial"/>
          <w:sz w:val="22"/>
          <w:szCs w:val="22"/>
        </w:rPr>
        <w:t>eatment administered separately</w:t>
      </w:r>
      <w:r w:rsidR="00E36CCF">
        <w:rPr>
          <w:rFonts w:ascii="Arial" w:hAnsi="Arial"/>
          <w:sz w:val="22"/>
          <w:szCs w:val="22"/>
        </w:rPr>
        <w:t xml:space="preserve"> (</w:t>
      </w:r>
      <w:r w:rsidR="00E36CCF" w:rsidRPr="008720A2">
        <w:rPr>
          <w:rFonts w:ascii="Arial" w:hAnsi="Arial"/>
          <w:sz w:val="22"/>
          <w:szCs w:val="22"/>
        </w:rPr>
        <w:t xml:space="preserve">March 2011 PBAC </w:t>
      </w:r>
      <w:r w:rsidR="008720A2" w:rsidRPr="008720A2">
        <w:rPr>
          <w:rFonts w:ascii="Arial" w:hAnsi="Arial"/>
          <w:sz w:val="22"/>
          <w:szCs w:val="22"/>
        </w:rPr>
        <w:t xml:space="preserve">public </w:t>
      </w:r>
      <w:r w:rsidR="008720A2">
        <w:rPr>
          <w:rFonts w:ascii="Arial" w:hAnsi="Arial"/>
          <w:sz w:val="22"/>
          <w:szCs w:val="22"/>
        </w:rPr>
        <w:t>summary document (PSD)</w:t>
      </w:r>
      <w:r w:rsidR="00E36CCF">
        <w:rPr>
          <w:rFonts w:ascii="Arial" w:hAnsi="Arial"/>
          <w:sz w:val="22"/>
          <w:szCs w:val="22"/>
        </w:rPr>
        <w:t>)</w:t>
      </w:r>
      <w:r w:rsidRPr="00ED7D9C">
        <w:rPr>
          <w:rFonts w:ascii="Arial" w:hAnsi="Arial"/>
          <w:sz w:val="22"/>
          <w:szCs w:val="22"/>
        </w:rPr>
        <w:t>.</w:t>
      </w:r>
    </w:p>
    <w:p w:rsidR="001241C6" w:rsidRDefault="001241C6" w:rsidP="001241C6">
      <w:pPr>
        <w:pStyle w:val="ListParagraph"/>
        <w:jc w:val="both"/>
        <w:rPr>
          <w:rFonts w:ascii="Arial" w:hAnsi="Arial"/>
          <w:sz w:val="22"/>
          <w:szCs w:val="22"/>
        </w:rPr>
      </w:pPr>
    </w:p>
    <w:p w:rsidR="00E353A8" w:rsidRPr="000E76D5" w:rsidRDefault="006971E2" w:rsidP="00187D9A">
      <w:pPr>
        <w:pStyle w:val="ListParagraph"/>
        <w:numPr>
          <w:ilvl w:val="1"/>
          <w:numId w:val="1"/>
        </w:numPr>
        <w:jc w:val="both"/>
        <w:rPr>
          <w:rFonts w:ascii="Arial" w:hAnsi="Arial"/>
          <w:sz w:val="22"/>
          <w:szCs w:val="22"/>
        </w:rPr>
      </w:pPr>
      <w:r w:rsidRPr="000E76D5">
        <w:rPr>
          <w:rFonts w:ascii="Arial" w:hAnsi="Arial"/>
          <w:sz w:val="22"/>
          <w:szCs w:val="22"/>
        </w:rPr>
        <w:t>The efficacy</w:t>
      </w:r>
      <w:r w:rsidR="00AE3AD2" w:rsidRPr="000E76D5">
        <w:rPr>
          <w:rFonts w:ascii="Arial" w:hAnsi="Arial"/>
          <w:sz w:val="22"/>
          <w:szCs w:val="22"/>
        </w:rPr>
        <w:t xml:space="preserve"> of concomitant</w:t>
      </w:r>
      <w:r w:rsidR="001241C6" w:rsidRPr="000E76D5">
        <w:rPr>
          <w:rFonts w:ascii="Arial" w:hAnsi="Arial"/>
          <w:sz w:val="22"/>
          <w:szCs w:val="22"/>
        </w:rPr>
        <w:t xml:space="preserve"> therapy was also assessed </w:t>
      </w:r>
      <w:r w:rsidR="004E2C21" w:rsidRPr="002B72E0">
        <w:rPr>
          <w:rFonts w:ascii="Arial" w:hAnsi="Arial"/>
          <w:sz w:val="22"/>
          <w:szCs w:val="22"/>
        </w:rPr>
        <w:t>in p</w:t>
      </w:r>
      <w:r w:rsidR="001241C6" w:rsidRPr="002B72E0">
        <w:rPr>
          <w:rFonts w:ascii="Arial" w:hAnsi="Arial"/>
          <w:sz w:val="22"/>
          <w:szCs w:val="22"/>
        </w:rPr>
        <w:t>ost-hoc subgroup analyses of</w:t>
      </w:r>
      <w:r w:rsidR="004E2C21" w:rsidRPr="002B72E0">
        <w:rPr>
          <w:rFonts w:ascii="Arial" w:hAnsi="Arial"/>
          <w:sz w:val="22"/>
          <w:szCs w:val="22"/>
        </w:rPr>
        <w:t xml:space="preserve"> </w:t>
      </w:r>
      <w:proofErr w:type="spellStart"/>
      <w:r w:rsidR="004E2C21" w:rsidRPr="002B72E0">
        <w:rPr>
          <w:rFonts w:ascii="Arial" w:hAnsi="Arial"/>
          <w:sz w:val="22"/>
          <w:szCs w:val="22"/>
        </w:rPr>
        <w:t>dornase</w:t>
      </w:r>
      <w:proofErr w:type="spellEnd"/>
      <w:r w:rsidR="004E2C21" w:rsidRPr="002B72E0">
        <w:rPr>
          <w:rFonts w:ascii="Arial" w:hAnsi="Arial"/>
          <w:sz w:val="22"/>
          <w:szCs w:val="22"/>
        </w:rPr>
        <w:t xml:space="preserve"> </w:t>
      </w:r>
      <w:proofErr w:type="spellStart"/>
      <w:r w:rsidR="004E2C21" w:rsidRPr="002B72E0">
        <w:rPr>
          <w:rFonts w:ascii="Arial" w:hAnsi="Arial"/>
          <w:sz w:val="22"/>
          <w:szCs w:val="22"/>
        </w:rPr>
        <w:t>alfa</w:t>
      </w:r>
      <w:proofErr w:type="spellEnd"/>
      <w:r w:rsidR="004E2C21" w:rsidRPr="002B72E0">
        <w:rPr>
          <w:rFonts w:ascii="Arial" w:hAnsi="Arial"/>
          <w:sz w:val="22"/>
          <w:szCs w:val="22"/>
        </w:rPr>
        <w:t xml:space="preserve"> users and non-users in the</w:t>
      </w:r>
      <w:r w:rsidR="001241C6" w:rsidRPr="005D7E92">
        <w:rPr>
          <w:rFonts w:ascii="Arial" w:hAnsi="Arial"/>
          <w:sz w:val="22"/>
          <w:szCs w:val="22"/>
        </w:rPr>
        <w:t xml:space="preserve"> pivotal DPI mannitol trials </w:t>
      </w:r>
      <w:r w:rsidR="008720A2">
        <w:rPr>
          <w:rFonts w:ascii="Arial" w:hAnsi="Arial"/>
          <w:sz w:val="22"/>
          <w:szCs w:val="22"/>
        </w:rPr>
        <w:t>(CF</w:t>
      </w:r>
      <w:r w:rsidR="008720A2">
        <w:rPr>
          <w:rFonts w:ascii="Arial" w:hAnsi="Arial"/>
          <w:sz w:val="22"/>
          <w:szCs w:val="22"/>
        </w:rPr>
        <w:noBreakHyphen/>
      </w:r>
      <w:r w:rsidR="004E2C21" w:rsidRPr="005D7E92">
        <w:rPr>
          <w:rFonts w:ascii="Arial" w:hAnsi="Arial"/>
          <w:sz w:val="22"/>
          <w:szCs w:val="22"/>
        </w:rPr>
        <w:t>301, CF-302). These were multi-centre, parallel-group, double-blind trials comparing DPI mannitol with sub-therapeutic mannitol</w:t>
      </w:r>
      <w:r w:rsidR="00797B57" w:rsidRPr="005D7E92">
        <w:rPr>
          <w:rFonts w:ascii="Arial" w:hAnsi="Arial"/>
          <w:sz w:val="22"/>
          <w:szCs w:val="22"/>
        </w:rPr>
        <w:t xml:space="preserve"> (as a control arm)</w:t>
      </w:r>
      <w:r w:rsidR="004E2C21" w:rsidRPr="005D7E92">
        <w:rPr>
          <w:rFonts w:ascii="Arial" w:hAnsi="Arial"/>
          <w:sz w:val="22"/>
          <w:szCs w:val="22"/>
        </w:rPr>
        <w:t xml:space="preserve"> in adults and children with </w:t>
      </w:r>
      <w:r w:rsidR="001179F9">
        <w:rPr>
          <w:rFonts w:ascii="Arial" w:hAnsi="Arial"/>
          <w:sz w:val="22"/>
          <w:szCs w:val="22"/>
        </w:rPr>
        <w:t>CF</w:t>
      </w:r>
      <w:r w:rsidR="004E2C21" w:rsidRPr="005D7E92">
        <w:rPr>
          <w:rFonts w:ascii="Arial" w:hAnsi="Arial"/>
          <w:sz w:val="22"/>
          <w:szCs w:val="22"/>
        </w:rPr>
        <w:t xml:space="preserve"> over </w:t>
      </w:r>
      <w:proofErr w:type="gramStart"/>
      <w:r w:rsidR="004E2C21" w:rsidRPr="005D7E92">
        <w:rPr>
          <w:rFonts w:ascii="Arial" w:hAnsi="Arial"/>
          <w:sz w:val="22"/>
          <w:szCs w:val="22"/>
        </w:rPr>
        <w:t>a 26</w:t>
      </w:r>
      <w:proofErr w:type="gramEnd"/>
      <w:r w:rsidR="004E2C21" w:rsidRPr="005D7E92">
        <w:rPr>
          <w:rFonts w:ascii="Arial" w:hAnsi="Arial"/>
          <w:sz w:val="22"/>
          <w:szCs w:val="22"/>
        </w:rPr>
        <w:t xml:space="preserve"> week duration.</w:t>
      </w:r>
      <w:r w:rsidR="00C31FB5" w:rsidRPr="005D7E92">
        <w:rPr>
          <w:rFonts w:ascii="Arial" w:hAnsi="Arial"/>
          <w:sz w:val="22"/>
          <w:szCs w:val="22"/>
        </w:rPr>
        <w:t xml:space="preserve"> </w:t>
      </w:r>
      <w:r w:rsidR="00C31FB5" w:rsidRPr="000E76D5">
        <w:rPr>
          <w:rFonts w:ascii="Arial" w:hAnsi="Arial"/>
          <w:sz w:val="22"/>
          <w:szCs w:val="22"/>
        </w:rPr>
        <w:t xml:space="preserve">Categorisation of </w:t>
      </w:r>
      <w:proofErr w:type="spellStart"/>
      <w:r w:rsidR="00C31FB5" w:rsidRPr="000E76D5">
        <w:rPr>
          <w:rFonts w:ascii="Arial" w:hAnsi="Arial"/>
          <w:sz w:val="22"/>
          <w:szCs w:val="22"/>
        </w:rPr>
        <w:t>dornase</w:t>
      </w:r>
      <w:proofErr w:type="spellEnd"/>
      <w:r w:rsidR="00C31FB5" w:rsidRPr="000E76D5">
        <w:rPr>
          <w:rFonts w:ascii="Arial" w:hAnsi="Arial"/>
          <w:sz w:val="22"/>
          <w:szCs w:val="22"/>
        </w:rPr>
        <w:t xml:space="preserve"> </w:t>
      </w:r>
      <w:proofErr w:type="spellStart"/>
      <w:r w:rsidR="00C31FB5" w:rsidRPr="000E76D5">
        <w:rPr>
          <w:rFonts w:ascii="Arial" w:hAnsi="Arial"/>
          <w:sz w:val="22"/>
          <w:szCs w:val="22"/>
        </w:rPr>
        <w:t>alfa</w:t>
      </w:r>
      <w:proofErr w:type="spellEnd"/>
      <w:r w:rsidR="00C31FB5" w:rsidRPr="000E76D5">
        <w:rPr>
          <w:rFonts w:ascii="Arial" w:hAnsi="Arial"/>
          <w:sz w:val="22"/>
          <w:szCs w:val="22"/>
        </w:rPr>
        <w:t xml:space="preserve"> user</w:t>
      </w:r>
      <w:r w:rsidR="00CF7DFD" w:rsidRPr="000E76D5">
        <w:rPr>
          <w:rFonts w:ascii="Arial" w:hAnsi="Arial"/>
          <w:sz w:val="22"/>
          <w:szCs w:val="22"/>
        </w:rPr>
        <w:t>s</w:t>
      </w:r>
      <w:r w:rsidR="00C31FB5" w:rsidRPr="000E76D5">
        <w:rPr>
          <w:rFonts w:ascii="Arial" w:hAnsi="Arial"/>
          <w:sz w:val="22"/>
          <w:szCs w:val="22"/>
        </w:rPr>
        <w:t xml:space="preserve">/non-users was based on whether patients were </w:t>
      </w:r>
      <w:r w:rsidR="00B078D5" w:rsidRPr="000E76D5">
        <w:rPr>
          <w:rFonts w:ascii="Arial" w:hAnsi="Arial"/>
          <w:sz w:val="22"/>
          <w:szCs w:val="22"/>
        </w:rPr>
        <w:t>‘</w:t>
      </w:r>
      <w:r w:rsidR="00C31FB5" w:rsidRPr="000E76D5">
        <w:rPr>
          <w:rFonts w:ascii="Arial" w:hAnsi="Arial"/>
          <w:sz w:val="22"/>
          <w:szCs w:val="22"/>
        </w:rPr>
        <w:t>routinely</w:t>
      </w:r>
      <w:r w:rsidR="00B078D5" w:rsidRPr="000E76D5">
        <w:rPr>
          <w:rFonts w:ascii="Arial" w:hAnsi="Arial"/>
          <w:sz w:val="22"/>
          <w:szCs w:val="22"/>
        </w:rPr>
        <w:t>’</w:t>
      </w:r>
      <w:r w:rsidR="00C31FB5" w:rsidRPr="000E76D5">
        <w:rPr>
          <w:rFonts w:ascii="Arial" w:hAnsi="Arial"/>
          <w:sz w:val="22"/>
          <w:szCs w:val="22"/>
        </w:rPr>
        <w:t xml:space="preserve"> using </w:t>
      </w:r>
      <w:proofErr w:type="spellStart"/>
      <w:r w:rsidR="00C31FB5" w:rsidRPr="000E76D5">
        <w:rPr>
          <w:rFonts w:ascii="Arial" w:hAnsi="Arial"/>
          <w:sz w:val="22"/>
          <w:szCs w:val="22"/>
        </w:rPr>
        <w:t>dornase</w:t>
      </w:r>
      <w:proofErr w:type="spellEnd"/>
      <w:r w:rsidR="00C31FB5" w:rsidRPr="000E76D5">
        <w:rPr>
          <w:rFonts w:ascii="Arial" w:hAnsi="Arial"/>
          <w:sz w:val="22"/>
          <w:szCs w:val="22"/>
        </w:rPr>
        <w:t xml:space="preserve"> </w:t>
      </w:r>
      <w:proofErr w:type="spellStart"/>
      <w:r w:rsidR="00C31FB5" w:rsidRPr="000E76D5">
        <w:rPr>
          <w:rFonts w:ascii="Arial" w:hAnsi="Arial"/>
          <w:sz w:val="22"/>
          <w:szCs w:val="22"/>
        </w:rPr>
        <w:t>alfa</w:t>
      </w:r>
      <w:proofErr w:type="spellEnd"/>
      <w:r w:rsidR="00C31FB5" w:rsidRPr="000E76D5">
        <w:rPr>
          <w:rFonts w:ascii="Arial" w:hAnsi="Arial"/>
          <w:sz w:val="22"/>
          <w:szCs w:val="22"/>
        </w:rPr>
        <w:t xml:space="preserve"> at baseline. </w:t>
      </w:r>
    </w:p>
    <w:p w:rsidR="00B078D5" w:rsidRPr="00B078D5" w:rsidRDefault="00B078D5" w:rsidP="00B078D5">
      <w:pPr>
        <w:jc w:val="both"/>
        <w:rPr>
          <w:rFonts w:ascii="Arial" w:hAnsi="Arial"/>
          <w:i/>
          <w:sz w:val="22"/>
          <w:szCs w:val="22"/>
        </w:rPr>
      </w:pPr>
    </w:p>
    <w:p w:rsidR="00E60A5A" w:rsidRPr="00E60A5A" w:rsidRDefault="00DD6F41" w:rsidP="008720A2">
      <w:pPr>
        <w:pStyle w:val="ListParagraph"/>
        <w:keepNext/>
        <w:jc w:val="both"/>
        <w:rPr>
          <w:rFonts w:ascii="Arial Narrow" w:hAnsi="Arial Narrow"/>
          <w:b/>
          <w:sz w:val="20"/>
          <w:szCs w:val="20"/>
        </w:rPr>
      </w:pPr>
      <w:r>
        <w:rPr>
          <w:rFonts w:ascii="Arial Narrow" w:hAnsi="Arial Narrow"/>
          <w:b/>
          <w:sz w:val="20"/>
          <w:szCs w:val="20"/>
        </w:rPr>
        <w:lastRenderedPageBreak/>
        <w:t xml:space="preserve">Table 2: </w:t>
      </w:r>
      <w:r w:rsidR="00E60A5A" w:rsidRPr="00E60A5A">
        <w:rPr>
          <w:rFonts w:ascii="Arial Narrow" w:hAnsi="Arial Narrow"/>
          <w:b/>
          <w:sz w:val="20"/>
          <w:szCs w:val="20"/>
        </w:rPr>
        <w:t xml:space="preserve">Key outcomes reported in the </w:t>
      </w:r>
      <w:proofErr w:type="spellStart"/>
      <w:r w:rsidR="00E60A5A" w:rsidRPr="00E60A5A">
        <w:rPr>
          <w:rFonts w:ascii="Arial Narrow" w:hAnsi="Arial Narrow"/>
          <w:b/>
          <w:sz w:val="20"/>
          <w:szCs w:val="20"/>
        </w:rPr>
        <w:t>dornase</w:t>
      </w:r>
      <w:proofErr w:type="spellEnd"/>
      <w:r w:rsidR="00E60A5A" w:rsidRPr="00E60A5A">
        <w:rPr>
          <w:rFonts w:ascii="Arial Narrow" w:hAnsi="Arial Narrow"/>
          <w:b/>
          <w:sz w:val="20"/>
          <w:szCs w:val="20"/>
        </w:rPr>
        <w:t xml:space="preserve"> </w:t>
      </w:r>
      <w:proofErr w:type="spellStart"/>
      <w:r w:rsidR="00E60A5A" w:rsidRPr="00E60A5A">
        <w:rPr>
          <w:rFonts w:ascii="Arial Narrow" w:hAnsi="Arial Narrow"/>
          <w:b/>
          <w:sz w:val="20"/>
          <w:szCs w:val="20"/>
        </w:rPr>
        <w:t>alfa</w:t>
      </w:r>
      <w:proofErr w:type="spellEnd"/>
      <w:r w:rsidR="00E60A5A" w:rsidRPr="00E60A5A">
        <w:rPr>
          <w:rFonts w:ascii="Arial Narrow" w:hAnsi="Arial Narrow"/>
          <w:b/>
          <w:sz w:val="20"/>
          <w:szCs w:val="20"/>
        </w:rPr>
        <w:t xml:space="preserve"> users/non-users subgroups of the DPI mannitol vs. control trials (CF-301, CF-302)</w:t>
      </w:r>
    </w:p>
    <w:tbl>
      <w:tblPr>
        <w:tblW w:w="83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1236"/>
        <w:gridCol w:w="1244"/>
        <w:gridCol w:w="6"/>
        <w:gridCol w:w="1232"/>
        <w:gridCol w:w="1238"/>
        <w:gridCol w:w="1239"/>
        <w:gridCol w:w="13"/>
        <w:gridCol w:w="1233"/>
      </w:tblGrid>
      <w:tr w:rsidR="00CD1465" w:rsidRPr="00E60A5A" w:rsidTr="009C5198">
        <w:trPr>
          <w:trHeight w:val="113"/>
        </w:trPr>
        <w:tc>
          <w:tcPr>
            <w:tcW w:w="935" w:type="dxa"/>
            <w:vMerge w:val="restart"/>
            <w:vAlign w:val="center"/>
          </w:tcPr>
          <w:p w:rsidR="00E60A5A" w:rsidRPr="00E60A5A" w:rsidRDefault="00E60A5A" w:rsidP="008720A2">
            <w:pPr>
              <w:keepNext/>
              <w:rPr>
                <w:rFonts w:ascii="Arial Narrow" w:hAnsi="Arial Narrow"/>
                <w:sz w:val="20"/>
                <w:szCs w:val="20"/>
              </w:rPr>
            </w:pPr>
            <w:r w:rsidRPr="00E60A5A">
              <w:rPr>
                <w:rFonts w:ascii="Arial Narrow" w:hAnsi="Arial Narrow"/>
                <w:b/>
                <w:sz w:val="20"/>
                <w:szCs w:val="20"/>
              </w:rPr>
              <w:t>Trial ID</w:t>
            </w:r>
          </w:p>
        </w:tc>
        <w:tc>
          <w:tcPr>
            <w:tcW w:w="3718" w:type="dxa"/>
            <w:gridSpan w:val="4"/>
            <w:tcBorders>
              <w:right w:val="double" w:sz="4" w:space="0" w:color="auto"/>
            </w:tcBorders>
            <w:vAlign w:val="center"/>
          </w:tcPr>
          <w:p w:rsidR="00E60A5A" w:rsidRPr="00E60A5A" w:rsidRDefault="00E60A5A" w:rsidP="008720A2">
            <w:pPr>
              <w:keepNext/>
              <w:jc w:val="center"/>
              <w:rPr>
                <w:rFonts w:ascii="Arial Narrow" w:hAnsi="Arial Narrow"/>
                <w:b/>
                <w:sz w:val="20"/>
                <w:szCs w:val="20"/>
              </w:rPr>
            </w:pPr>
            <w:proofErr w:type="spellStart"/>
            <w:r w:rsidRPr="00E60A5A">
              <w:rPr>
                <w:rFonts w:ascii="Arial Narrow" w:hAnsi="Arial Narrow"/>
                <w:b/>
                <w:sz w:val="20"/>
                <w:szCs w:val="20"/>
              </w:rPr>
              <w:t>Dornase</w:t>
            </w:r>
            <w:proofErr w:type="spellEnd"/>
            <w:r w:rsidRPr="00E60A5A">
              <w:rPr>
                <w:rFonts w:ascii="Arial Narrow" w:hAnsi="Arial Narrow"/>
                <w:b/>
                <w:sz w:val="20"/>
                <w:szCs w:val="20"/>
              </w:rPr>
              <w:t xml:space="preserve"> </w:t>
            </w:r>
            <w:proofErr w:type="spellStart"/>
            <w:r w:rsidRPr="00E60A5A">
              <w:rPr>
                <w:rFonts w:ascii="Arial Narrow" w:hAnsi="Arial Narrow"/>
                <w:b/>
                <w:sz w:val="20"/>
                <w:szCs w:val="20"/>
              </w:rPr>
              <w:t>alfa</w:t>
            </w:r>
            <w:proofErr w:type="spellEnd"/>
            <w:r w:rsidRPr="00E60A5A">
              <w:rPr>
                <w:rFonts w:ascii="Arial Narrow" w:hAnsi="Arial Narrow"/>
                <w:b/>
                <w:sz w:val="20"/>
                <w:szCs w:val="20"/>
              </w:rPr>
              <w:t xml:space="preserve"> users </w:t>
            </w:r>
          </w:p>
        </w:tc>
        <w:tc>
          <w:tcPr>
            <w:tcW w:w="3723" w:type="dxa"/>
            <w:gridSpan w:val="4"/>
            <w:tcBorders>
              <w:left w:val="double" w:sz="4" w:space="0" w:color="auto"/>
            </w:tcBorders>
            <w:shd w:val="clear" w:color="auto" w:fill="auto"/>
            <w:vAlign w:val="center"/>
          </w:tcPr>
          <w:p w:rsidR="00E60A5A" w:rsidRPr="00E60A5A" w:rsidRDefault="00E60A5A" w:rsidP="008720A2">
            <w:pPr>
              <w:keepNext/>
              <w:jc w:val="center"/>
              <w:rPr>
                <w:rFonts w:ascii="Arial Narrow" w:hAnsi="Arial Narrow"/>
                <w:b/>
                <w:sz w:val="20"/>
                <w:szCs w:val="20"/>
              </w:rPr>
            </w:pPr>
            <w:proofErr w:type="spellStart"/>
            <w:r w:rsidRPr="00E60A5A">
              <w:rPr>
                <w:rFonts w:ascii="Arial Narrow" w:hAnsi="Arial Narrow"/>
                <w:b/>
                <w:sz w:val="20"/>
                <w:szCs w:val="20"/>
              </w:rPr>
              <w:t>Dornase</w:t>
            </w:r>
            <w:proofErr w:type="spellEnd"/>
            <w:r w:rsidRPr="00E60A5A">
              <w:rPr>
                <w:rFonts w:ascii="Arial Narrow" w:hAnsi="Arial Narrow"/>
                <w:b/>
                <w:sz w:val="20"/>
                <w:szCs w:val="20"/>
              </w:rPr>
              <w:t xml:space="preserve"> </w:t>
            </w:r>
            <w:proofErr w:type="spellStart"/>
            <w:r w:rsidRPr="00E60A5A">
              <w:rPr>
                <w:rFonts w:ascii="Arial Narrow" w:hAnsi="Arial Narrow"/>
                <w:b/>
                <w:sz w:val="20"/>
                <w:szCs w:val="20"/>
              </w:rPr>
              <w:t>alfa</w:t>
            </w:r>
            <w:proofErr w:type="spellEnd"/>
            <w:r w:rsidRPr="00E60A5A">
              <w:rPr>
                <w:rFonts w:ascii="Arial Narrow" w:hAnsi="Arial Narrow"/>
                <w:b/>
                <w:sz w:val="20"/>
                <w:szCs w:val="20"/>
              </w:rPr>
              <w:t xml:space="preserve"> non-users</w:t>
            </w:r>
          </w:p>
        </w:tc>
      </w:tr>
      <w:tr w:rsidR="00CD1465" w:rsidRPr="00E60A5A" w:rsidTr="009C5198">
        <w:trPr>
          <w:trHeight w:val="112"/>
        </w:trPr>
        <w:tc>
          <w:tcPr>
            <w:tcW w:w="935" w:type="dxa"/>
            <w:vMerge/>
          </w:tcPr>
          <w:p w:rsidR="00E60A5A" w:rsidRPr="00E60A5A" w:rsidRDefault="00E60A5A" w:rsidP="008720A2">
            <w:pPr>
              <w:keepNext/>
              <w:rPr>
                <w:rFonts w:ascii="Arial Narrow" w:hAnsi="Arial Narrow"/>
                <w:b/>
                <w:sz w:val="20"/>
                <w:szCs w:val="20"/>
              </w:rPr>
            </w:pPr>
          </w:p>
        </w:tc>
        <w:tc>
          <w:tcPr>
            <w:tcW w:w="1236" w:type="dxa"/>
            <w:vAlign w:val="center"/>
          </w:tcPr>
          <w:p w:rsidR="00E60A5A" w:rsidRPr="00E60A5A" w:rsidRDefault="00E60A5A" w:rsidP="008720A2">
            <w:pPr>
              <w:keepNext/>
              <w:jc w:val="center"/>
              <w:rPr>
                <w:rFonts w:ascii="Arial Narrow" w:hAnsi="Arial Narrow"/>
                <w:b/>
                <w:sz w:val="20"/>
                <w:szCs w:val="20"/>
              </w:rPr>
            </w:pPr>
            <w:r w:rsidRPr="00E60A5A">
              <w:rPr>
                <w:rFonts w:ascii="Arial Narrow" w:hAnsi="Arial Narrow"/>
                <w:b/>
                <w:sz w:val="20"/>
                <w:szCs w:val="20"/>
              </w:rPr>
              <w:t>DPI mannitol</w:t>
            </w:r>
          </w:p>
        </w:tc>
        <w:tc>
          <w:tcPr>
            <w:tcW w:w="1244" w:type="dxa"/>
            <w:vAlign w:val="center"/>
          </w:tcPr>
          <w:p w:rsidR="00E60A5A" w:rsidRPr="00E60A5A" w:rsidRDefault="00E60A5A" w:rsidP="008720A2">
            <w:pPr>
              <w:keepNext/>
              <w:jc w:val="center"/>
              <w:rPr>
                <w:rFonts w:ascii="Arial Narrow" w:hAnsi="Arial Narrow"/>
                <w:b/>
                <w:sz w:val="20"/>
                <w:szCs w:val="20"/>
              </w:rPr>
            </w:pPr>
            <w:r w:rsidRPr="00E60A5A">
              <w:rPr>
                <w:rFonts w:ascii="Arial Narrow" w:hAnsi="Arial Narrow"/>
                <w:b/>
                <w:sz w:val="20"/>
                <w:szCs w:val="20"/>
              </w:rPr>
              <w:t>Control</w:t>
            </w:r>
          </w:p>
        </w:tc>
        <w:tc>
          <w:tcPr>
            <w:tcW w:w="1238" w:type="dxa"/>
            <w:gridSpan w:val="2"/>
            <w:tcBorders>
              <w:right w:val="double" w:sz="4" w:space="0" w:color="auto"/>
            </w:tcBorders>
            <w:shd w:val="clear" w:color="auto" w:fill="auto"/>
            <w:vAlign w:val="center"/>
          </w:tcPr>
          <w:p w:rsidR="00E60A5A" w:rsidRPr="00E60A5A" w:rsidRDefault="00E60A5A" w:rsidP="008720A2">
            <w:pPr>
              <w:keepNext/>
              <w:jc w:val="center"/>
              <w:rPr>
                <w:rFonts w:ascii="Arial Narrow" w:hAnsi="Arial Narrow"/>
                <w:b/>
                <w:sz w:val="20"/>
                <w:szCs w:val="20"/>
              </w:rPr>
            </w:pPr>
            <w:r w:rsidRPr="00E60A5A">
              <w:rPr>
                <w:rFonts w:ascii="Arial Narrow" w:hAnsi="Arial Narrow"/>
                <w:b/>
                <w:sz w:val="20"/>
                <w:szCs w:val="20"/>
              </w:rPr>
              <w:t>Difference</w:t>
            </w:r>
          </w:p>
        </w:tc>
        <w:tc>
          <w:tcPr>
            <w:tcW w:w="1238" w:type="dxa"/>
            <w:tcBorders>
              <w:left w:val="double" w:sz="4" w:space="0" w:color="auto"/>
            </w:tcBorders>
            <w:shd w:val="clear" w:color="auto" w:fill="auto"/>
            <w:vAlign w:val="center"/>
          </w:tcPr>
          <w:p w:rsidR="00E60A5A" w:rsidRPr="00E60A5A" w:rsidRDefault="00E60A5A" w:rsidP="008720A2">
            <w:pPr>
              <w:keepNext/>
              <w:jc w:val="center"/>
              <w:rPr>
                <w:rFonts w:ascii="Arial Narrow" w:hAnsi="Arial Narrow"/>
                <w:b/>
                <w:sz w:val="20"/>
                <w:szCs w:val="20"/>
              </w:rPr>
            </w:pPr>
            <w:r w:rsidRPr="00E60A5A">
              <w:rPr>
                <w:rFonts w:ascii="Arial Narrow" w:hAnsi="Arial Narrow"/>
                <w:b/>
                <w:sz w:val="20"/>
                <w:szCs w:val="20"/>
              </w:rPr>
              <w:t>DPI mannitol</w:t>
            </w:r>
          </w:p>
        </w:tc>
        <w:tc>
          <w:tcPr>
            <w:tcW w:w="1252" w:type="dxa"/>
            <w:gridSpan w:val="2"/>
            <w:shd w:val="clear" w:color="auto" w:fill="auto"/>
            <w:vAlign w:val="center"/>
          </w:tcPr>
          <w:p w:rsidR="00E60A5A" w:rsidRPr="00E60A5A" w:rsidRDefault="00E60A5A" w:rsidP="008720A2">
            <w:pPr>
              <w:keepNext/>
              <w:jc w:val="center"/>
              <w:rPr>
                <w:rFonts w:ascii="Arial Narrow" w:hAnsi="Arial Narrow"/>
                <w:b/>
                <w:sz w:val="20"/>
                <w:szCs w:val="20"/>
              </w:rPr>
            </w:pPr>
            <w:r w:rsidRPr="00E60A5A">
              <w:rPr>
                <w:rFonts w:ascii="Arial Narrow" w:hAnsi="Arial Narrow"/>
                <w:b/>
                <w:sz w:val="20"/>
                <w:szCs w:val="20"/>
              </w:rPr>
              <w:t>Control</w:t>
            </w:r>
          </w:p>
        </w:tc>
        <w:tc>
          <w:tcPr>
            <w:tcW w:w="1233" w:type="dxa"/>
            <w:shd w:val="clear" w:color="auto" w:fill="auto"/>
            <w:vAlign w:val="center"/>
          </w:tcPr>
          <w:p w:rsidR="00E60A5A" w:rsidRPr="00E60A5A" w:rsidRDefault="00E60A5A" w:rsidP="008720A2">
            <w:pPr>
              <w:keepNext/>
              <w:jc w:val="center"/>
              <w:rPr>
                <w:rFonts w:ascii="Arial Narrow" w:hAnsi="Arial Narrow"/>
                <w:b/>
                <w:sz w:val="20"/>
                <w:szCs w:val="20"/>
              </w:rPr>
            </w:pPr>
            <w:r w:rsidRPr="00E60A5A">
              <w:rPr>
                <w:rFonts w:ascii="Arial Narrow" w:hAnsi="Arial Narrow"/>
                <w:b/>
                <w:sz w:val="20"/>
                <w:szCs w:val="20"/>
              </w:rPr>
              <w:t>Difference</w:t>
            </w:r>
          </w:p>
        </w:tc>
      </w:tr>
      <w:tr w:rsidR="00E60A5A" w:rsidRPr="00E60A5A" w:rsidTr="00A84E14">
        <w:tc>
          <w:tcPr>
            <w:tcW w:w="8376" w:type="dxa"/>
            <w:gridSpan w:val="9"/>
          </w:tcPr>
          <w:p w:rsidR="00E60A5A" w:rsidRPr="00E60A5A" w:rsidRDefault="00E60A5A" w:rsidP="008720A2">
            <w:pPr>
              <w:keepNext/>
              <w:rPr>
                <w:rFonts w:ascii="Arial Narrow" w:hAnsi="Arial Narrow"/>
                <w:sz w:val="20"/>
                <w:szCs w:val="20"/>
              </w:rPr>
            </w:pPr>
            <w:r w:rsidRPr="00E60A5A">
              <w:rPr>
                <w:rFonts w:ascii="Arial Narrow" w:hAnsi="Arial Narrow" w:cs="Arial"/>
                <w:b/>
                <w:sz w:val="20"/>
                <w:szCs w:val="20"/>
              </w:rPr>
              <w:t>Overall change (</w:t>
            </w:r>
            <w:r w:rsidR="000E50C1">
              <w:rPr>
                <w:rFonts w:ascii="Arial Narrow" w:hAnsi="Arial Narrow" w:cs="Arial"/>
                <w:b/>
                <w:sz w:val="20"/>
                <w:szCs w:val="20"/>
              </w:rPr>
              <w:t xml:space="preserve">averaged over </w:t>
            </w:r>
            <w:r w:rsidRPr="00E60A5A">
              <w:rPr>
                <w:rFonts w:ascii="Arial Narrow" w:hAnsi="Arial Narrow" w:cs="Arial"/>
                <w:b/>
                <w:sz w:val="20"/>
                <w:szCs w:val="20"/>
              </w:rPr>
              <w:t>Week 6-26) in FEV</w:t>
            </w:r>
            <w:r w:rsidRPr="00E60A5A">
              <w:rPr>
                <w:rFonts w:ascii="Arial Narrow" w:hAnsi="Arial Narrow" w:cs="Arial"/>
                <w:b/>
                <w:sz w:val="20"/>
                <w:szCs w:val="20"/>
                <w:vertAlign w:val="subscript"/>
              </w:rPr>
              <w:t>1</w:t>
            </w:r>
            <w:r w:rsidRPr="00E60A5A">
              <w:rPr>
                <w:rFonts w:ascii="Arial Narrow" w:hAnsi="Arial Narrow" w:cs="Arial"/>
                <w:b/>
                <w:sz w:val="20"/>
                <w:szCs w:val="20"/>
              </w:rPr>
              <w:t xml:space="preserve"> (%) from baseline (SE)</w:t>
            </w:r>
          </w:p>
        </w:tc>
      </w:tr>
      <w:tr w:rsidR="00CD1465" w:rsidRPr="00E60A5A" w:rsidTr="009C5198">
        <w:tc>
          <w:tcPr>
            <w:tcW w:w="935" w:type="dxa"/>
            <w:vAlign w:val="center"/>
          </w:tcPr>
          <w:p w:rsidR="00E60A5A" w:rsidRDefault="00E60A5A" w:rsidP="008720A2">
            <w:pPr>
              <w:keepNext/>
              <w:rPr>
                <w:rFonts w:ascii="Arial Narrow" w:hAnsi="Arial Narrow"/>
                <w:sz w:val="20"/>
                <w:szCs w:val="20"/>
              </w:rPr>
            </w:pPr>
            <w:r w:rsidRPr="00E60A5A">
              <w:rPr>
                <w:rFonts w:ascii="Arial Narrow" w:hAnsi="Arial Narrow"/>
                <w:sz w:val="20"/>
                <w:szCs w:val="20"/>
              </w:rPr>
              <w:t>CF-301</w:t>
            </w:r>
          </w:p>
          <w:p w:rsidR="00CD1465" w:rsidRPr="00E60A5A" w:rsidRDefault="00CD1465" w:rsidP="008720A2">
            <w:pPr>
              <w:keepNext/>
              <w:rPr>
                <w:rFonts w:ascii="Arial Narrow" w:hAnsi="Arial Narrow"/>
                <w:sz w:val="20"/>
                <w:szCs w:val="20"/>
              </w:rPr>
            </w:pPr>
            <w:r>
              <w:rPr>
                <w:rFonts w:ascii="Arial Narrow" w:hAnsi="Arial Narrow"/>
                <w:sz w:val="20"/>
                <w:szCs w:val="20"/>
              </w:rPr>
              <w:t>(N = 324)</w:t>
            </w:r>
          </w:p>
        </w:tc>
        <w:tc>
          <w:tcPr>
            <w:tcW w:w="1236" w:type="dxa"/>
            <w:vAlign w:val="center"/>
          </w:tcPr>
          <w:p w:rsidR="00E60A5A" w:rsidRPr="00E60A5A" w:rsidRDefault="00E60A5A" w:rsidP="008720A2">
            <w:pPr>
              <w:keepNext/>
              <w:jc w:val="center"/>
              <w:rPr>
                <w:rFonts w:ascii="Arial Narrow" w:hAnsi="Arial Narrow"/>
                <w:sz w:val="20"/>
                <w:szCs w:val="20"/>
              </w:rPr>
            </w:pPr>
            <w:r w:rsidRPr="00E60A5A">
              <w:rPr>
                <w:rFonts w:ascii="Arial Narrow" w:hAnsi="Arial Narrow"/>
                <w:sz w:val="20"/>
                <w:szCs w:val="20"/>
              </w:rPr>
              <w:t>4.47 (1.17)</w:t>
            </w:r>
          </w:p>
        </w:tc>
        <w:tc>
          <w:tcPr>
            <w:tcW w:w="1244" w:type="dxa"/>
            <w:vAlign w:val="center"/>
          </w:tcPr>
          <w:p w:rsidR="00E60A5A" w:rsidRPr="00E60A5A" w:rsidRDefault="00E60A5A" w:rsidP="008720A2">
            <w:pPr>
              <w:keepNext/>
              <w:jc w:val="center"/>
              <w:rPr>
                <w:rFonts w:ascii="Arial Narrow" w:hAnsi="Arial Narrow"/>
                <w:sz w:val="20"/>
                <w:szCs w:val="20"/>
              </w:rPr>
            </w:pPr>
            <w:r w:rsidRPr="00E60A5A">
              <w:rPr>
                <w:rFonts w:ascii="Arial Narrow" w:hAnsi="Arial Narrow"/>
                <w:sz w:val="20"/>
                <w:szCs w:val="20"/>
              </w:rPr>
              <w:t>1.59 (1.37)</w:t>
            </w:r>
          </w:p>
        </w:tc>
        <w:tc>
          <w:tcPr>
            <w:tcW w:w="1238" w:type="dxa"/>
            <w:gridSpan w:val="2"/>
            <w:tcBorders>
              <w:right w:val="double" w:sz="4" w:space="0" w:color="auto"/>
            </w:tcBorders>
            <w:vAlign w:val="center"/>
          </w:tcPr>
          <w:p w:rsidR="00E60A5A" w:rsidRPr="00E60A5A" w:rsidRDefault="00E60A5A" w:rsidP="008720A2">
            <w:pPr>
              <w:keepNext/>
              <w:jc w:val="center"/>
              <w:rPr>
                <w:rFonts w:ascii="Arial Narrow" w:hAnsi="Arial Narrow"/>
                <w:sz w:val="20"/>
                <w:szCs w:val="20"/>
              </w:rPr>
            </w:pPr>
            <w:r w:rsidRPr="00E60A5A">
              <w:rPr>
                <w:rFonts w:ascii="Arial Narrow" w:hAnsi="Arial Narrow"/>
                <w:sz w:val="20"/>
                <w:szCs w:val="20"/>
              </w:rPr>
              <w:t>2.88 (1.75)</w:t>
            </w:r>
          </w:p>
          <w:p w:rsidR="00E60A5A" w:rsidRPr="00E60A5A" w:rsidRDefault="00E60A5A" w:rsidP="008720A2">
            <w:pPr>
              <w:keepNext/>
              <w:jc w:val="center"/>
              <w:rPr>
                <w:rFonts w:ascii="Arial Narrow" w:hAnsi="Arial Narrow"/>
                <w:sz w:val="20"/>
                <w:szCs w:val="20"/>
              </w:rPr>
            </w:pPr>
            <w:r w:rsidRPr="00E60A5A">
              <w:rPr>
                <w:rFonts w:ascii="Arial Narrow" w:hAnsi="Arial Narrow"/>
                <w:i/>
                <w:sz w:val="20"/>
                <w:szCs w:val="20"/>
              </w:rPr>
              <w:t>p</w:t>
            </w:r>
            <w:r w:rsidRPr="00E60A5A">
              <w:rPr>
                <w:rFonts w:ascii="Arial Narrow" w:hAnsi="Arial Narrow"/>
                <w:sz w:val="20"/>
                <w:szCs w:val="20"/>
              </w:rPr>
              <w:t xml:space="preserve"> = 0.101</w:t>
            </w:r>
          </w:p>
        </w:tc>
        <w:tc>
          <w:tcPr>
            <w:tcW w:w="1238" w:type="dxa"/>
            <w:tcBorders>
              <w:left w:val="double" w:sz="4" w:space="0" w:color="auto"/>
            </w:tcBorders>
            <w:vAlign w:val="center"/>
          </w:tcPr>
          <w:p w:rsidR="00E60A5A" w:rsidRPr="00E60A5A" w:rsidRDefault="00E60A5A" w:rsidP="008720A2">
            <w:pPr>
              <w:keepNext/>
              <w:jc w:val="center"/>
              <w:rPr>
                <w:rFonts w:ascii="Arial Narrow" w:hAnsi="Arial Narrow"/>
                <w:sz w:val="20"/>
                <w:szCs w:val="20"/>
              </w:rPr>
            </w:pPr>
            <w:r w:rsidRPr="00E60A5A">
              <w:rPr>
                <w:rFonts w:ascii="Arial Narrow" w:hAnsi="Arial Narrow"/>
                <w:sz w:val="20"/>
                <w:szCs w:val="20"/>
              </w:rPr>
              <w:t>7.98 (1.29)</w:t>
            </w:r>
          </w:p>
        </w:tc>
        <w:tc>
          <w:tcPr>
            <w:tcW w:w="1239" w:type="dxa"/>
            <w:vAlign w:val="center"/>
          </w:tcPr>
          <w:p w:rsidR="00E60A5A" w:rsidRPr="00E60A5A" w:rsidRDefault="00E60A5A" w:rsidP="008720A2">
            <w:pPr>
              <w:keepNext/>
              <w:jc w:val="center"/>
              <w:rPr>
                <w:rFonts w:ascii="Arial Narrow" w:hAnsi="Arial Narrow"/>
                <w:sz w:val="20"/>
                <w:szCs w:val="20"/>
              </w:rPr>
            </w:pPr>
            <w:r w:rsidRPr="00E60A5A">
              <w:rPr>
                <w:rFonts w:ascii="Arial Narrow" w:hAnsi="Arial Narrow"/>
                <w:sz w:val="20"/>
                <w:szCs w:val="20"/>
              </w:rPr>
              <w:t>3.46 (1.49)</w:t>
            </w:r>
          </w:p>
        </w:tc>
        <w:tc>
          <w:tcPr>
            <w:tcW w:w="1246" w:type="dxa"/>
            <w:gridSpan w:val="2"/>
            <w:vAlign w:val="center"/>
          </w:tcPr>
          <w:p w:rsidR="00E60A5A" w:rsidRPr="000E50C1" w:rsidRDefault="00E60A5A" w:rsidP="008720A2">
            <w:pPr>
              <w:keepNext/>
              <w:jc w:val="center"/>
              <w:rPr>
                <w:rFonts w:ascii="Arial Narrow" w:hAnsi="Arial Narrow"/>
                <w:b/>
                <w:sz w:val="20"/>
                <w:szCs w:val="20"/>
              </w:rPr>
            </w:pPr>
            <w:r w:rsidRPr="000E50C1">
              <w:rPr>
                <w:rFonts w:ascii="Arial Narrow" w:hAnsi="Arial Narrow"/>
                <w:b/>
                <w:sz w:val="20"/>
                <w:szCs w:val="20"/>
              </w:rPr>
              <w:t>4.53 (1.93)</w:t>
            </w:r>
          </w:p>
          <w:p w:rsidR="00E60A5A" w:rsidRPr="00E60A5A" w:rsidRDefault="00E60A5A" w:rsidP="008720A2">
            <w:pPr>
              <w:keepNext/>
              <w:jc w:val="center"/>
              <w:rPr>
                <w:rFonts w:ascii="Arial Narrow" w:hAnsi="Arial Narrow"/>
                <w:sz w:val="20"/>
                <w:szCs w:val="20"/>
              </w:rPr>
            </w:pPr>
            <w:r w:rsidRPr="000E50C1">
              <w:rPr>
                <w:rFonts w:ascii="Arial Narrow" w:hAnsi="Arial Narrow"/>
                <w:b/>
                <w:i/>
                <w:sz w:val="20"/>
                <w:szCs w:val="20"/>
              </w:rPr>
              <w:t>p</w:t>
            </w:r>
            <w:r w:rsidRPr="000E50C1">
              <w:rPr>
                <w:rFonts w:ascii="Arial Narrow" w:hAnsi="Arial Narrow"/>
                <w:b/>
                <w:sz w:val="20"/>
                <w:szCs w:val="20"/>
              </w:rPr>
              <w:t xml:space="preserve"> = 0.020</w:t>
            </w:r>
          </w:p>
        </w:tc>
      </w:tr>
      <w:tr w:rsidR="00CD1465" w:rsidRPr="00E60A5A" w:rsidTr="009C5198">
        <w:tc>
          <w:tcPr>
            <w:tcW w:w="935" w:type="dxa"/>
            <w:vAlign w:val="center"/>
          </w:tcPr>
          <w:p w:rsidR="00E60A5A" w:rsidRDefault="00E60A5A" w:rsidP="008720A2">
            <w:pPr>
              <w:keepNext/>
              <w:rPr>
                <w:rFonts w:ascii="Arial Narrow" w:hAnsi="Arial Narrow"/>
                <w:sz w:val="20"/>
                <w:szCs w:val="20"/>
              </w:rPr>
            </w:pPr>
            <w:r w:rsidRPr="00E60A5A">
              <w:rPr>
                <w:rFonts w:ascii="Arial Narrow" w:hAnsi="Arial Narrow"/>
                <w:sz w:val="20"/>
                <w:szCs w:val="20"/>
              </w:rPr>
              <w:t>CF-302</w:t>
            </w:r>
          </w:p>
          <w:p w:rsidR="00CD1465" w:rsidRPr="00E60A5A" w:rsidRDefault="00CD1465" w:rsidP="008720A2">
            <w:pPr>
              <w:keepNext/>
              <w:rPr>
                <w:rFonts w:ascii="Arial Narrow" w:hAnsi="Arial Narrow"/>
                <w:sz w:val="20"/>
                <w:szCs w:val="20"/>
              </w:rPr>
            </w:pPr>
            <w:r>
              <w:rPr>
                <w:rFonts w:ascii="Arial Narrow" w:hAnsi="Arial Narrow"/>
                <w:sz w:val="20"/>
                <w:szCs w:val="20"/>
              </w:rPr>
              <w:t>(N = 318)</w:t>
            </w:r>
          </w:p>
        </w:tc>
        <w:tc>
          <w:tcPr>
            <w:tcW w:w="1236" w:type="dxa"/>
            <w:vAlign w:val="center"/>
          </w:tcPr>
          <w:p w:rsidR="00E60A5A" w:rsidRPr="00E60A5A" w:rsidRDefault="00E60A5A" w:rsidP="008720A2">
            <w:pPr>
              <w:keepNext/>
              <w:jc w:val="center"/>
              <w:rPr>
                <w:rFonts w:ascii="Arial Narrow" w:hAnsi="Arial Narrow"/>
                <w:sz w:val="20"/>
                <w:szCs w:val="20"/>
              </w:rPr>
            </w:pPr>
            <w:r w:rsidRPr="00E60A5A">
              <w:rPr>
                <w:rFonts w:ascii="Arial Narrow" w:hAnsi="Arial Narrow"/>
                <w:sz w:val="20"/>
                <w:szCs w:val="20"/>
              </w:rPr>
              <w:t>6.50 (1.56)</w:t>
            </w:r>
          </w:p>
        </w:tc>
        <w:tc>
          <w:tcPr>
            <w:tcW w:w="1244" w:type="dxa"/>
            <w:vAlign w:val="center"/>
          </w:tcPr>
          <w:p w:rsidR="00E60A5A" w:rsidRPr="00E60A5A" w:rsidRDefault="00E60A5A" w:rsidP="008720A2">
            <w:pPr>
              <w:keepNext/>
              <w:jc w:val="center"/>
              <w:rPr>
                <w:rFonts w:ascii="Arial Narrow" w:hAnsi="Arial Narrow"/>
                <w:sz w:val="20"/>
                <w:szCs w:val="20"/>
              </w:rPr>
            </w:pPr>
            <w:r w:rsidRPr="00E60A5A">
              <w:rPr>
                <w:rFonts w:ascii="Arial Narrow" w:hAnsi="Arial Narrow"/>
                <w:sz w:val="20"/>
                <w:szCs w:val="20"/>
              </w:rPr>
              <w:t>2.90 (1.72)</w:t>
            </w:r>
          </w:p>
        </w:tc>
        <w:tc>
          <w:tcPr>
            <w:tcW w:w="1238" w:type="dxa"/>
            <w:gridSpan w:val="2"/>
            <w:tcBorders>
              <w:right w:val="double" w:sz="4" w:space="0" w:color="auto"/>
            </w:tcBorders>
            <w:vAlign w:val="center"/>
          </w:tcPr>
          <w:p w:rsidR="00E60A5A" w:rsidRPr="00E60A5A" w:rsidRDefault="00E60A5A" w:rsidP="008720A2">
            <w:pPr>
              <w:keepNext/>
              <w:jc w:val="center"/>
              <w:rPr>
                <w:rFonts w:ascii="Arial Narrow" w:hAnsi="Arial Narrow"/>
                <w:sz w:val="20"/>
                <w:szCs w:val="20"/>
              </w:rPr>
            </w:pPr>
            <w:r w:rsidRPr="00E60A5A">
              <w:rPr>
                <w:rFonts w:ascii="Arial Narrow" w:hAnsi="Arial Narrow"/>
                <w:sz w:val="20"/>
                <w:szCs w:val="20"/>
              </w:rPr>
              <w:t>3.59 (1.95)</w:t>
            </w:r>
          </w:p>
          <w:p w:rsidR="00E60A5A" w:rsidRPr="00E60A5A" w:rsidRDefault="00E60A5A" w:rsidP="008720A2">
            <w:pPr>
              <w:keepNext/>
              <w:jc w:val="center"/>
              <w:rPr>
                <w:rFonts w:ascii="Arial Narrow" w:hAnsi="Arial Narrow"/>
                <w:sz w:val="20"/>
                <w:szCs w:val="20"/>
              </w:rPr>
            </w:pPr>
            <w:r w:rsidRPr="00E60A5A">
              <w:rPr>
                <w:rFonts w:ascii="Arial Narrow" w:hAnsi="Arial Narrow"/>
                <w:i/>
                <w:sz w:val="20"/>
                <w:szCs w:val="20"/>
              </w:rPr>
              <w:t>p</w:t>
            </w:r>
            <w:r w:rsidRPr="00E60A5A">
              <w:rPr>
                <w:rFonts w:ascii="Arial Narrow" w:hAnsi="Arial Narrow"/>
                <w:sz w:val="20"/>
                <w:szCs w:val="20"/>
              </w:rPr>
              <w:t xml:space="preserve"> = 0.066</w:t>
            </w:r>
          </w:p>
        </w:tc>
        <w:tc>
          <w:tcPr>
            <w:tcW w:w="1238" w:type="dxa"/>
            <w:tcBorders>
              <w:left w:val="double" w:sz="4" w:space="0" w:color="auto"/>
            </w:tcBorders>
            <w:vAlign w:val="center"/>
          </w:tcPr>
          <w:p w:rsidR="00E60A5A" w:rsidRPr="00E60A5A" w:rsidRDefault="00E60A5A" w:rsidP="008720A2">
            <w:pPr>
              <w:keepNext/>
              <w:jc w:val="center"/>
              <w:rPr>
                <w:rFonts w:ascii="Arial Narrow" w:hAnsi="Arial Narrow"/>
                <w:sz w:val="20"/>
                <w:szCs w:val="20"/>
              </w:rPr>
            </w:pPr>
            <w:r w:rsidRPr="00E60A5A">
              <w:rPr>
                <w:rFonts w:ascii="Arial Narrow" w:hAnsi="Arial Narrow"/>
                <w:sz w:val="20"/>
                <w:szCs w:val="20"/>
              </w:rPr>
              <w:t>10.43 (2.23)</w:t>
            </w:r>
          </w:p>
        </w:tc>
        <w:tc>
          <w:tcPr>
            <w:tcW w:w="1239" w:type="dxa"/>
            <w:vAlign w:val="center"/>
          </w:tcPr>
          <w:p w:rsidR="00E60A5A" w:rsidRPr="00E60A5A" w:rsidRDefault="00E60A5A" w:rsidP="008720A2">
            <w:pPr>
              <w:keepNext/>
              <w:jc w:val="center"/>
              <w:rPr>
                <w:rFonts w:ascii="Arial Narrow" w:hAnsi="Arial Narrow"/>
                <w:sz w:val="20"/>
                <w:szCs w:val="20"/>
              </w:rPr>
            </w:pPr>
            <w:r w:rsidRPr="00E60A5A">
              <w:rPr>
                <w:rFonts w:ascii="Arial Narrow" w:hAnsi="Arial Narrow"/>
                <w:sz w:val="20"/>
                <w:szCs w:val="20"/>
              </w:rPr>
              <w:t>5.27 (2.72)</w:t>
            </w:r>
          </w:p>
        </w:tc>
        <w:tc>
          <w:tcPr>
            <w:tcW w:w="1246" w:type="dxa"/>
            <w:gridSpan w:val="2"/>
            <w:vAlign w:val="center"/>
          </w:tcPr>
          <w:p w:rsidR="00E60A5A" w:rsidRPr="00E60A5A" w:rsidRDefault="00E60A5A" w:rsidP="008720A2">
            <w:pPr>
              <w:keepNext/>
              <w:jc w:val="center"/>
              <w:rPr>
                <w:rFonts w:ascii="Arial Narrow" w:hAnsi="Arial Narrow"/>
                <w:sz w:val="20"/>
                <w:szCs w:val="20"/>
              </w:rPr>
            </w:pPr>
            <w:r w:rsidRPr="00E60A5A">
              <w:rPr>
                <w:rFonts w:ascii="Arial Narrow" w:hAnsi="Arial Narrow"/>
                <w:sz w:val="20"/>
                <w:szCs w:val="20"/>
              </w:rPr>
              <w:t>5.16 (3.99)</w:t>
            </w:r>
          </w:p>
          <w:p w:rsidR="00E60A5A" w:rsidRPr="00E60A5A" w:rsidRDefault="00E60A5A" w:rsidP="008720A2">
            <w:pPr>
              <w:keepNext/>
              <w:jc w:val="center"/>
              <w:rPr>
                <w:rFonts w:ascii="Arial Narrow" w:hAnsi="Arial Narrow"/>
                <w:sz w:val="20"/>
                <w:szCs w:val="20"/>
              </w:rPr>
            </w:pPr>
            <w:r w:rsidRPr="00E60A5A">
              <w:rPr>
                <w:rFonts w:ascii="Arial Narrow" w:hAnsi="Arial Narrow"/>
                <w:i/>
                <w:sz w:val="20"/>
                <w:szCs w:val="20"/>
              </w:rPr>
              <w:t>p</w:t>
            </w:r>
            <w:r w:rsidRPr="00E60A5A">
              <w:rPr>
                <w:rFonts w:ascii="Arial Narrow" w:hAnsi="Arial Narrow"/>
                <w:sz w:val="20"/>
                <w:szCs w:val="20"/>
              </w:rPr>
              <w:t xml:space="preserve"> = 0.129</w:t>
            </w:r>
          </w:p>
        </w:tc>
      </w:tr>
      <w:tr w:rsidR="00CD1465" w:rsidRPr="00E60A5A" w:rsidTr="009C5198">
        <w:tc>
          <w:tcPr>
            <w:tcW w:w="3415" w:type="dxa"/>
            <w:gridSpan w:val="3"/>
            <w:vAlign w:val="center"/>
          </w:tcPr>
          <w:p w:rsidR="00C45EC8" w:rsidRDefault="00874AA0" w:rsidP="008720A2">
            <w:pPr>
              <w:keepNext/>
              <w:jc w:val="right"/>
              <w:rPr>
                <w:rFonts w:ascii="Arial Narrow" w:hAnsi="Arial Narrow"/>
                <w:sz w:val="20"/>
                <w:szCs w:val="20"/>
              </w:rPr>
            </w:pPr>
            <w:r w:rsidRPr="00E60A5A">
              <w:rPr>
                <w:rFonts w:ascii="Arial Narrow" w:hAnsi="Arial Narrow"/>
                <w:sz w:val="20"/>
                <w:szCs w:val="20"/>
              </w:rPr>
              <w:t xml:space="preserve">Meta-analysis of </w:t>
            </w:r>
            <w:proofErr w:type="spellStart"/>
            <w:r w:rsidRPr="00E60A5A">
              <w:rPr>
                <w:rFonts w:ascii="Arial Narrow" w:hAnsi="Arial Narrow"/>
                <w:sz w:val="20"/>
                <w:szCs w:val="20"/>
              </w:rPr>
              <w:t>dornase</w:t>
            </w:r>
            <w:proofErr w:type="spellEnd"/>
            <w:r w:rsidRPr="00E60A5A">
              <w:rPr>
                <w:rFonts w:ascii="Arial Narrow" w:hAnsi="Arial Narrow"/>
                <w:sz w:val="20"/>
                <w:szCs w:val="20"/>
              </w:rPr>
              <w:t xml:space="preserve"> </w:t>
            </w:r>
            <w:proofErr w:type="spellStart"/>
            <w:r w:rsidRPr="00E60A5A">
              <w:rPr>
                <w:rFonts w:ascii="Arial Narrow" w:hAnsi="Arial Narrow"/>
                <w:sz w:val="20"/>
                <w:szCs w:val="20"/>
              </w:rPr>
              <w:t>alfa</w:t>
            </w:r>
            <w:proofErr w:type="spellEnd"/>
            <w:r w:rsidRPr="00E60A5A">
              <w:rPr>
                <w:rFonts w:ascii="Arial Narrow" w:hAnsi="Arial Narrow"/>
                <w:sz w:val="20"/>
                <w:szCs w:val="20"/>
              </w:rPr>
              <w:t xml:space="preserve"> users</w:t>
            </w:r>
          </w:p>
          <w:p w:rsidR="00874AA0" w:rsidRPr="00E60A5A" w:rsidRDefault="00C45EC8" w:rsidP="008720A2">
            <w:pPr>
              <w:keepNext/>
              <w:jc w:val="right"/>
              <w:rPr>
                <w:rFonts w:ascii="Arial Narrow" w:hAnsi="Arial Narrow"/>
                <w:sz w:val="20"/>
                <w:szCs w:val="20"/>
              </w:rPr>
            </w:pPr>
            <w:r>
              <w:rPr>
                <w:rFonts w:ascii="Arial Narrow" w:hAnsi="Arial Narrow"/>
                <w:sz w:val="20"/>
                <w:szCs w:val="20"/>
              </w:rPr>
              <w:t xml:space="preserve"> (PES commentary)</w:t>
            </w:r>
            <w:r w:rsidR="00874AA0" w:rsidRPr="00E60A5A">
              <w:rPr>
                <w:rFonts w:ascii="Arial Narrow" w:hAnsi="Arial Narrow"/>
                <w:sz w:val="20"/>
                <w:szCs w:val="20"/>
              </w:rPr>
              <w:t xml:space="preserve"> </w:t>
            </w:r>
          </w:p>
        </w:tc>
        <w:tc>
          <w:tcPr>
            <w:tcW w:w="1238" w:type="dxa"/>
            <w:gridSpan w:val="2"/>
            <w:tcBorders>
              <w:right w:val="double" w:sz="4" w:space="0" w:color="auto"/>
            </w:tcBorders>
            <w:vAlign w:val="center"/>
          </w:tcPr>
          <w:p w:rsidR="00357217" w:rsidRPr="000E50C1" w:rsidRDefault="003B4908" w:rsidP="008720A2">
            <w:pPr>
              <w:keepNext/>
              <w:jc w:val="center"/>
              <w:rPr>
                <w:rFonts w:ascii="Arial Narrow" w:hAnsi="Arial Narrow"/>
                <w:b/>
                <w:sz w:val="20"/>
                <w:szCs w:val="20"/>
              </w:rPr>
            </w:pPr>
            <w:r>
              <w:rPr>
                <w:rFonts w:ascii="Arial Narrow" w:hAnsi="Arial Narrow"/>
                <w:b/>
                <w:sz w:val="20"/>
                <w:szCs w:val="20"/>
              </w:rPr>
              <w:t>3.20 (1.30)</w:t>
            </w:r>
          </w:p>
          <w:p w:rsidR="00874AA0" w:rsidRPr="000E50C1" w:rsidRDefault="00874AA0" w:rsidP="008720A2">
            <w:pPr>
              <w:keepNext/>
              <w:jc w:val="center"/>
              <w:rPr>
                <w:rFonts w:ascii="Arial Narrow" w:hAnsi="Arial Narrow"/>
                <w:b/>
                <w:sz w:val="20"/>
                <w:szCs w:val="20"/>
              </w:rPr>
            </w:pPr>
            <w:r w:rsidRPr="000E50C1">
              <w:rPr>
                <w:rFonts w:ascii="Arial Narrow" w:hAnsi="Arial Narrow"/>
                <w:b/>
                <w:sz w:val="20"/>
                <w:szCs w:val="20"/>
              </w:rPr>
              <w:t>p = 0.014</w:t>
            </w:r>
          </w:p>
          <w:p w:rsidR="00874AA0" w:rsidRPr="000E50C1" w:rsidRDefault="00874AA0" w:rsidP="008720A2">
            <w:pPr>
              <w:keepNext/>
              <w:jc w:val="center"/>
              <w:rPr>
                <w:rFonts w:ascii="Arial Narrow" w:hAnsi="Arial Narrow"/>
                <w:sz w:val="20"/>
                <w:szCs w:val="20"/>
              </w:rPr>
            </w:pPr>
            <w:r w:rsidRPr="000E50C1">
              <w:rPr>
                <w:rFonts w:ascii="Arial Narrow" w:hAnsi="Arial Narrow"/>
                <w:sz w:val="20"/>
                <w:szCs w:val="20"/>
              </w:rPr>
              <w:t>I</w:t>
            </w:r>
            <w:r w:rsidRPr="000E50C1">
              <w:rPr>
                <w:rFonts w:ascii="Arial Narrow" w:hAnsi="Arial Narrow"/>
                <w:sz w:val="20"/>
                <w:szCs w:val="20"/>
                <w:vertAlign w:val="superscript"/>
              </w:rPr>
              <w:t>2</w:t>
            </w:r>
            <w:r w:rsidRPr="000E50C1">
              <w:rPr>
                <w:rFonts w:ascii="Arial Narrow" w:hAnsi="Arial Narrow"/>
                <w:sz w:val="20"/>
                <w:szCs w:val="20"/>
              </w:rPr>
              <w:t xml:space="preserve"> = 0</w:t>
            </w:r>
          </w:p>
        </w:tc>
        <w:tc>
          <w:tcPr>
            <w:tcW w:w="2477" w:type="dxa"/>
            <w:gridSpan w:val="2"/>
            <w:tcBorders>
              <w:left w:val="double" w:sz="4" w:space="0" w:color="auto"/>
            </w:tcBorders>
            <w:vAlign w:val="center"/>
          </w:tcPr>
          <w:p w:rsidR="00874AA0" w:rsidRPr="00C45EC8" w:rsidRDefault="00874AA0" w:rsidP="008720A2">
            <w:pPr>
              <w:keepNext/>
              <w:jc w:val="right"/>
              <w:rPr>
                <w:rFonts w:ascii="Arial Narrow" w:hAnsi="Arial Narrow"/>
                <w:sz w:val="20"/>
                <w:szCs w:val="20"/>
              </w:rPr>
            </w:pPr>
            <w:r w:rsidRPr="00E60A5A">
              <w:rPr>
                <w:rFonts w:ascii="Arial Narrow" w:hAnsi="Arial Narrow"/>
                <w:sz w:val="20"/>
                <w:szCs w:val="20"/>
              </w:rPr>
              <w:t xml:space="preserve">Meta-analysis of </w:t>
            </w:r>
            <w:proofErr w:type="spellStart"/>
            <w:r w:rsidRPr="00E60A5A">
              <w:rPr>
                <w:rFonts w:ascii="Arial Narrow" w:hAnsi="Arial Narrow"/>
                <w:sz w:val="20"/>
                <w:szCs w:val="20"/>
              </w:rPr>
              <w:t>dornase</w:t>
            </w:r>
            <w:proofErr w:type="spellEnd"/>
            <w:r w:rsidRPr="00E60A5A">
              <w:rPr>
                <w:rFonts w:ascii="Arial Narrow" w:hAnsi="Arial Narrow"/>
                <w:sz w:val="20"/>
                <w:szCs w:val="20"/>
              </w:rPr>
              <w:t xml:space="preserve"> </w:t>
            </w:r>
            <w:proofErr w:type="spellStart"/>
            <w:r w:rsidRPr="00E60A5A">
              <w:rPr>
                <w:rFonts w:ascii="Arial Narrow" w:hAnsi="Arial Narrow"/>
                <w:sz w:val="20"/>
                <w:szCs w:val="20"/>
              </w:rPr>
              <w:t>alfa</w:t>
            </w:r>
            <w:proofErr w:type="spellEnd"/>
            <w:r w:rsidRPr="00E60A5A">
              <w:rPr>
                <w:rFonts w:ascii="Arial Narrow" w:hAnsi="Arial Narrow"/>
                <w:sz w:val="20"/>
                <w:szCs w:val="20"/>
              </w:rPr>
              <w:t xml:space="preserve"> non-user</w:t>
            </w:r>
            <w:r w:rsidR="00C45EC8">
              <w:rPr>
                <w:rFonts w:ascii="Arial Narrow" w:hAnsi="Arial Narrow"/>
                <w:sz w:val="20"/>
                <w:szCs w:val="20"/>
              </w:rPr>
              <w:t xml:space="preserve"> (PES commentary)</w:t>
            </w:r>
          </w:p>
        </w:tc>
        <w:tc>
          <w:tcPr>
            <w:tcW w:w="1246" w:type="dxa"/>
            <w:gridSpan w:val="2"/>
            <w:vAlign w:val="center"/>
          </w:tcPr>
          <w:p w:rsidR="00357217" w:rsidRPr="000E50C1" w:rsidRDefault="003B4908" w:rsidP="008720A2">
            <w:pPr>
              <w:keepNext/>
              <w:jc w:val="center"/>
              <w:rPr>
                <w:rFonts w:ascii="Arial Narrow" w:hAnsi="Arial Narrow"/>
                <w:b/>
                <w:sz w:val="20"/>
                <w:szCs w:val="20"/>
              </w:rPr>
            </w:pPr>
            <w:r>
              <w:rPr>
                <w:rFonts w:ascii="Arial Narrow" w:hAnsi="Arial Narrow"/>
                <w:b/>
                <w:sz w:val="20"/>
                <w:szCs w:val="20"/>
              </w:rPr>
              <w:t>4.65 (1.74)</w:t>
            </w:r>
          </w:p>
          <w:p w:rsidR="00874AA0" w:rsidRPr="000E50C1" w:rsidRDefault="00874AA0" w:rsidP="008720A2">
            <w:pPr>
              <w:keepNext/>
              <w:jc w:val="center"/>
              <w:rPr>
                <w:rFonts w:ascii="Arial Narrow" w:hAnsi="Arial Narrow"/>
                <w:b/>
                <w:sz w:val="20"/>
                <w:szCs w:val="20"/>
              </w:rPr>
            </w:pPr>
            <w:r w:rsidRPr="000E50C1">
              <w:rPr>
                <w:rFonts w:ascii="Arial Narrow" w:hAnsi="Arial Narrow"/>
                <w:b/>
                <w:sz w:val="20"/>
                <w:szCs w:val="20"/>
              </w:rPr>
              <w:t>p = 0.007</w:t>
            </w:r>
          </w:p>
          <w:p w:rsidR="00874AA0" w:rsidRPr="000E50C1" w:rsidRDefault="00874AA0" w:rsidP="008720A2">
            <w:pPr>
              <w:keepNext/>
              <w:jc w:val="center"/>
              <w:rPr>
                <w:rFonts w:ascii="Arial Narrow" w:hAnsi="Arial Narrow"/>
                <w:i/>
                <w:sz w:val="20"/>
                <w:szCs w:val="20"/>
              </w:rPr>
            </w:pPr>
            <w:r w:rsidRPr="000E50C1">
              <w:rPr>
                <w:rFonts w:ascii="Arial Narrow" w:hAnsi="Arial Narrow"/>
                <w:sz w:val="20"/>
                <w:szCs w:val="20"/>
              </w:rPr>
              <w:t>I</w:t>
            </w:r>
            <w:r w:rsidRPr="000E50C1">
              <w:rPr>
                <w:rFonts w:ascii="Arial Narrow" w:hAnsi="Arial Narrow"/>
                <w:sz w:val="20"/>
                <w:szCs w:val="20"/>
                <w:vertAlign w:val="superscript"/>
              </w:rPr>
              <w:t>2</w:t>
            </w:r>
            <w:r w:rsidRPr="000E50C1">
              <w:rPr>
                <w:rFonts w:ascii="Arial Narrow" w:hAnsi="Arial Narrow"/>
                <w:sz w:val="20"/>
                <w:szCs w:val="20"/>
              </w:rPr>
              <w:t xml:space="preserve"> = 0</w:t>
            </w:r>
          </w:p>
        </w:tc>
      </w:tr>
      <w:tr w:rsidR="00E60A5A" w:rsidRPr="00E60A5A" w:rsidTr="00A84E14">
        <w:tc>
          <w:tcPr>
            <w:tcW w:w="8376" w:type="dxa"/>
            <w:gridSpan w:val="9"/>
          </w:tcPr>
          <w:p w:rsidR="00E60A5A" w:rsidRPr="00E60A5A" w:rsidRDefault="00E60A5A" w:rsidP="008720A2">
            <w:pPr>
              <w:keepNext/>
              <w:rPr>
                <w:rFonts w:ascii="Arial Narrow" w:hAnsi="Arial Narrow"/>
                <w:sz w:val="20"/>
                <w:szCs w:val="20"/>
              </w:rPr>
            </w:pPr>
            <w:r w:rsidRPr="00E60A5A">
              <w:rPr>
                <w:rFonts w:ascii="Arial Narrow" w:hAnsi="Arial Narrow" w:cs="Arial"/>
                <w:b/>
                <w:sz w:val="20"/>
                <w:szCs w:val="20"/>
              </w:rPr>
              <w:t>Mean change in FEV</w:t>
            </w:r>
            <w:r w:rsidRPr="00E60A5A">
              <w:rPr>
                <w:rFonts w:ascii="Arial Narrow" w:hAnsi="Arial Narrow" w:cs="Arial"/>
                <w:b/>
                <w:sz w:val="20"/>
                <w:szCs w:val="20"/>
                <w:vertAlign w:val="subscript"/>
              </w:rPr>
              <w:t>1</w:t>
            </w:r>
            <w:r w:rsidRPr="00E60A5A">
              <w:rPr>
                <w:rFonts w:ascii="Arial Narrow" w:hAnsi="Arial Narrow" w:cs="Arial"/>
                <w:b/>
                <w:sz w:val="20"/>
                <w:szCs w:val="20"/>
              </w:rPr>
              <w:t xml:space="preserve"> (%) from baseline to Week 26 (SE)</w:t>
            </w:r>
          </w:p>
        </w:tc>
      </w:tr>
      <w:tr w:rsidR="00CD1465" w:rsidRPr="00E60A5A" w:rsidTr="009C5198">
        <w:tc>
          <w:tcPr>
            <w:tcW w:w="935" w:type="dxa"/>
            <w:vAlign w:val="center"/>
          </w:tcPr>
          <w:p w:rsidR="00CD1465" w:rsidRDefault="00CD1465" w:rsidP="008720A2">
            <w:pPr>
              <w:keepNext/>
              <w:rPr>
                <w:rFonts w:ascii="Arial Narrow" w:hAnsi="Arial Narrow"/>
                <w:sz w:val="20"/>
                <w:szCs w:val="20"/>
              </w:rPr>
            </w:pPr>
            <w:r w:rsidRPr="00E60A5A">
              <w:rPr>
                <w:rFonts w:ascii="Arial Narrow" w:hAnsi="Arial Narrow"/>
                <w:sz w:val="20"/>
                <w:szCs w:val="20"/>
              </w:rPr>
              <w:t>CF-301</w:t>
            </w:r>
          </w:p>
          <w:p w:rsidR="00CD1465" w:rsidRPr="00E60A5A" w:rsidRDefault="00CD1465" w:rsidP="008720A2">
            <w:pPr>
              <w:keepNext/>
              <w:rPr>
                <w:rFonts w:ascii="Arial Narrow" w:hAnsi="Arial Narrow"/>
                <w:sz w:val="20"/>
                <w:szCs w:val="20"/>
              </w:rPr>
            </w:pPr>
            <w:r>
              <w:rPr>
                <w:rFonts w:ascii="Arial Narrow" w:hAnsi="Arial Narrow"/>
                <w:sz w:val="20"/>
                <w:szCs w:val="20"/>
              </w:rPr>
              <w:t>(N = 324)</w:t>
            </w:r>
          </w:p>
        </w:tc>
        <w:tc>
          <w:tcPr>
            <w:tcW w:w="1236" w:type="dxa"/>
            <w:vAlign w:val="center"/>
          </w:tcPr>
          <w:p w:rsidR="00CD1465" w:rsidRPr="00E60A5A" w:rsidRDefault="00CD1465" w:rsidP="008720A2">
            <w:pPr>
              <w:keepNext/>
              <w:jc w:val="center"/>
              <w:rPr>
                <w:rFonts w:ascii="Arial Narrow" w:hAnsi="Arial Narrow"/>
                <w:sz w:val="20"/>
                <w:szCs w:val="20"/>
              </w:rPr>
            </w:pPr>
            <w:r w:rsidRPr="00E60A5A">
              <w:rPr>
                <w:rFonts w:ascii="Arial Narrow" w:hAnsi="Arial Narrow"/>
                <w:sz w:val="20"/>
                <w:szCs w:val="20"/>
              </w:rPr>
              <w:t>4.48 (1.52)</w:t>
            </w:r>
          </w:p>
        </w:tc>
        <w:tc>
          <w:tcPr>
            <w:tcW w:w="1244" w:type="dxa"/>
            <w:vAlign w:val="center"/>
          </w:tcPr>
          <w:p w:rsidR="00CD1465" w:rsidRPr="00E60A5A" w:rsidRDefault="00CD1465" w:rsidP="008720A2">
            <w:pPr>
              <w:keepNext/>
              <w:jc w:val="center"/>
              <w:rPr>
                <w:rFonts w:ascii="Arial Narrow" w:hAnsi="Arial Narrow"/>
                <w:sz w:val="20"/>
                <w:szCs w:val="20"/>
              </w:rPr>
            </w:pPr>
            <w:r w:rsidRPr="00E60A5A">
              <w:rPr>
                <w:rFonts w:ascii="Arial Narrow" w:hAnsi="Arial Narrow"/>
                <w:sz w:val="20"/>
                <w:szCs w:val="20"/>
              </w:rPr>
              <w:t>-0.75 (1.74)</w:t>
            </w:r>
          </w:p>
        </w:tc>
        <w:tc>
          <w:tcPr>
            <w:tcW w:w="1238" w:type="dxa"/>
            <w:gridSpan w:val="2"/>
            <w:tcBorders>
              <w:right w:val="double" w:sz="4" w:space="0" w:color="auto"/>
            </w:tcBorders>
            <w:vAlign w:val="center"/>
          </w:tcPr>
          <w:p w:rsidR="00CD1465" w:rsidRPr="000E50C1" w:rsidRDefault="00CD1465" w:rsidP="008720A2">
            <w:pPr>
              <w:keepNext/>
              <w:jc w:val="center"/>
              <w:rPr>
                <w:rFonts w:ascii="Arial Narrow" w:hAnsi="Arial Narrow"/>
                <w:b/>
                <w:sz w:val="20"/>
                <w:szCs w:val="20"/>
              </w:rPr>
            </w:pPr>
            <w:r w:rsidRPr="000E50C1">
              <w:rPr>
                <w:rFonts w:ascii="Arial Narrow" w:hAnsi="Arial Narrow"/>
                <w:b/>
                <w:sz w:val="20"/>
                <w:szCs w:val="20"/>
              </w:rPr>
              <w:t>5.23 (2.28)</w:t>
            </w:r>
          </w:p>
          <w:p w:rsidR="00CD1465" w:rsidRPr="00E60A5A" w:rsidRDefault="00CD1465" w:rsidP="008720A2">
            <w:pPr>
              <w:keepNext/>
              <w:jc w:val="center"/>
              <w:rPr>
                <w:rFonts w:ascii="Arial Narrow" w:hAnsi="Arial Narrow"/>
                <w:sz w:val="20"/>
                <w:szCs w:val="20"/>
              </w:rPr>
            </w:pPr>
            <w:r w:rsidRPr="000E50C1">
              <w:rPr>
                <w:rFonts w:ascii="Arial Narrow" w:hAnsi="Arial Narrow"/>
                <w:b/>
                <w:sz w:val="20"/>
                <w:szCs w:val="20"/>
              </w:rPr>
              <w:t>p = 0.023</w:t>
            </w:r>
          </w:p>
        </w:tc>
        <w:tc>
          <w:tcPr>
            <w:tcW w:w="1238" w:type="dxa"/>
            <w:tcBorders>
              <w:left w:val="double" w:sz="4" w:space="0" w:color="auto"/>
            </w:tcBorders>
            <w:vAlign w:val="center"/>
          </w:tcPr>
          <w:p w:rsidR="00CD1465" w:rsidRPr="00E60A5A" w:rsidRDefault="00CD1465" w:rsidP="008720A2">
            <w:pPr>
              <w:keepNext/>
              <w:jc w:val="center"/>
              <w:rPr>
                <w:rFonts w:ascii="Arial Narrow" w:hAnsi="Arial Narrow"/>
                <w:sz w:val="20"/>
                <w:szCs w:val="20"/>
              </w:rPr>
            </w:pPr>
            <w:r w:rsidRPr="00E60A5A">
              <w:rPr>
                <w:rFonts w:ascii="Arial Narrow" w:hAnsi="Arial Narrow"/>
                <w:sz w:val="20"/>
                <w:szCs w:val="20"/>
              </w:rPr>
              <w:t>8.79 (1.64)</w:t>
            </w:r>
          </w:p>
        </w:tc>
        <w:tc>
          <w:tcPr>
            <w:tcW w:w="1239" w:type="dxa"/>
            <w:vAlign w:val="center"/>
          </w:tcPr>
          <w:p w:rsidR="00CD1465" w:rsidRPr="00E60A5A" w:rsidRDefault="00CD1465" w:rsidP="008720A2">
            <w:pPr>
              <w:keepNext/>
              <w:jc w:val="center"/>
              <w:rPr>
                <w:rFonts w:ascii="Arial Narrow" w:hAnsi="Arial Narrow"/>
                <w:sz w:val="20"/>
                <w:szCs w:val="20"/>
              </w:rPr>
            </w:pPr>
            <w:r w:rsidRPr="00E60A5A">
              <w:rPr>
                <w:rFonts w:ascii="Arial Narrow" w:hAnsi="Arial Narrow"/>
                <w:sz w:val="20"/>
                <w:szCs w:val="20"/>
              </w:rPr>
              <w:t>4.45 (1.94)</w:t>
            </w:r>
          </w:p>
        </w:tc>
        <w:tc>
          <w:tcPr>
            <w:tcW w:w="1246" w:type="dxa"/>
            <w:gridSpan w:val="2"/>
            <w:vAlign w:val="center"/>
          </w:tcPr>
          <w:p w:rsidR="00CD1465" w:rsidRPr="00E60A5A" w:rsidRDefault="00CD1465" w:rsidP="008720A2">
            <w:pPr>
              <w:keepNext/>
              <w:jc w:val="center"/>
              <w:rPr>
                <w:rFonts w:ascii="Arial Narrow" w:hAnsi="Arial Narrow"/>
                <w:sz w:val="20"/>
                <w:szCs w:val="20"/>
              </w:rPr>
            </w:pPr>
            <w:r w:rsidRPr="00E60A5A">
              <w:rPr>
                <w:rFonts w:ascii="Arial Narrow" w:hAnsi="Arial Narrow"/>
                <w:sz w:val="20"/>
                <w:szCs w:val="20"/>
              </w:rPr>
              <w:t>4.34 (2.52)</w:t>
            </w:r>
          </w:p>
          <w:p w:rsidR="00CD1465" w:rsidRPr="00E60A5A" w:rsidRDefault="00CD1465" w:rsidP="008720A2">
            <w:pPr>
              <w:keepNext/>
              <w:jc w:val="center"/>
              <w:rPr>
                <w:rFonts w:ascii="Arial Narrow" w:hAnsi="Arial Narrow"/>
                <w:sz w:val="20"/>
                <w:szCs w:val="20"/>
              </w:rPr>
            </w:pPr>
            <w:r w:rsidRPr="00E60A5A">
              <w:rPr>
                <w:rFonts w:ascii="Arial Narrow" w:hAnsi="Arial Narrow"/>
                <w:i/>
                <w:sz w:val="20"/>
                <w:szCs w:val="20"/>
              </w:rPr>
              <w:t>p</w:t>
            </w:r>
            <w:r w:rsidRPr="00E60A5A">
              <w:rPr>
                <w:rFonts w:ascii="Arial Narrow" w:hAnsi="Arial Narrow"/>
                <w:sz w:val="20"/>
                <w:szCs w:val="20"/>
              </w:rPr>
              <w:t xml:space="preserve"> = 0.086</w:t>
            </w:r>
          </w:p>
        </w:tc>
      </w:tr>
      <w:tr w:rsidR="00CD1465" w:rsidRPr="00E60A5A" w:rsidTr="009C5198">
        <w:tc>
          <w:tcPr>
            <w:tcW w:w="935" w:type="dxa"/>
            <w:vAlign w:val="center"/>
          </w:tcPr>
          <w:p w:rsidR="00CD1465" w:rsidRDefault="00CD1465" w:rsidP="008720A2">
            <w:pPr>
              <w:keepNext/>
              <w:rPr>
                <w:rFonts w:ascii="Arial Narrow" w:hAnsi="Arial Narrow"/>
                <w:sz w:val="20"/>
                <w:szCs w:val="20"/>
              </w:rPr>
            </w:pPr>
            <w:r w:rsidRPr="00E60A5A">
              <w:rPr>
                <w:rFonts w:ascii="Arial Narrow" w:hAnsi="Arial Narrow"/>
                <w:sz w:val="20"/>
                <w:szCs w:val="20"/>
              </w:rPr>
              <w:t>CF-302</w:t>
            </w:r>
          </w:p>
          <w:p w:rsidR="00CD1465" w:rsidRPr="00E60A5A" w:rsidRDefault="00CD1465" w:rsidP="008720A2">
            <w:pPr>
              <w:keepNext/>
              <w:rPr>
                <w:rFonts w:ascii="Arial Narrow" w:hAnsi="Arial Narrow"/>
                <w:sz w:val="20"/>
                <w:szCs w:val="20"/>
              </w:rPr>
            </w:pPr>
            <w:r>
              <w:rPr>
                <w:rFonts w:ascii="Arial Narrow" w:hAnsi="Arial Narrow"/>
                <w:sz w:val="20"/>
                <w:szCs w:val="20"/>
              </w:rPr>
              <w:t>(N = 318)</w:t>
            </w:r>
          </w:p>
        </w:tc>
        <w:tc>
          <w:tcPr>
            <w:tcW w:w="1236" w:type="dxa"/>
            <w:vAlign w:val="center"/>
          </w:tcPr>
          <w:p w:rsidR="00CD1465" w:rsidRPr="00E60A5A" w:rsidRDefault="00CD1465" w:rsidP="008720A2">
            <w:pPr>
              <w:keepNext/>
              <w:jc w:val="center"/>
              <w:rPr>
                <w:rFonts w:ascii="Arial Narrow" w:hAnsi="Arial Narrow"/>
                <w:sz w:val="20"/>
                <w:szCs w:val="20"/>
              </w:rPr>
            </w:pPr>
            <w:r w:rsidRPr="00E60A5A">
              <w:rPr>
                <w:rFonts w:ascii="Arial Narrow" w:hAnsi="Arial Narrow"/>
                <w:sz w:val="20"/>
                <w:szCs w:val="20"/>
              </w:rPr>
              <w:t>6.80 (1.83)</w:t>
            </w:r>
          </w:p>
        </w:tc>
        <w:tc>
          <w:tcPr>
            <w:tcW w:w="1244" w:type="dxa"/>
            <w:vAlign w:val="center"/>
          </w:tcPr>
          <w:p w:rsidR="00CD1465" w:rsidRPr="00E60A5A" w:rsidRDefault="00CD1465" w:rsidP="008720A2">
            <w:pPr>
              <w:keepNext/>
              <w:jc w:val="center"/>
              <w:rPr>
                <w:rFonts w:ascii="Arial Narrow" w:hAnsi="Arial Narrow"/>
                <w:sz w:val="20"/>
                <w:szCs w:val="20"/>
              </w:rPr>
            </w:pPr>
            <w:r w:rsidRPr="00E60A5A">
              <w:rPr>
                <w:rFonts w:ascii="Arial Narrow" w:hAnsi="Arial Narrow"/>
                <w:sz w:val="20"/>
                <w:szCs w:val="20"/>
              </w:rPr>
              <w:t>2.14 (2.05)</w:t>
            </w:r>
          </w:p>
        </w:tc>
        <w:tc>
          <w:tcPr>
            <w:tcW w:w="1238" w:type="dxa"/>
            <w:gridSpan w:val="2"/>
            <w:tcBorders>
              <w:right w:val="double" w:sz="4" w:space="0" w:color="auto"/>
            </w:tcBorders>
            <w:vAlign w:val="center"/>
          </w:tcPr>
          <w:p w:rsidR="00CD1465" w:rsidRPr="00E60A5A" w:rsidRDefault="00CD1465" w:rsidP="008720A2">
            <w:pPr>
              <w:keepNext/>
              <w:jc w:val="center"/>
              <w:rPr>
                <w:rFonts w:ascii="Arial Narrow" w:hAnsi="Arial Narrow"/>
                <w:sz w:val="20"/>
                <w:szCs w:val="20"/>
              </w:rPr>
            </w:pPr>
            <w:r w:rsidRPr="00E60A5A">
              <w:rPr>
                <w:rFonts w:ascii="Arial Narrow" w:hAnsi="Arial Narrow"/>
                <w:sz w:val="20"/>
                <w:szCs w:val="20"/>
              </w:rPr>
              <w:t>4.66 (2.45)</w:t>
            </w:r>
          </w:p>
          <w:p w:rsidR="00CD1465" w:rsidRPr="00E60A5A" w:rsidRDefault="00CD1465" w:rsidP="008720A2">
            <w:pPr>
              <w:keepNext/>
              <w:jc w:val="center"/>
              <w:rPr>
                <w:rFonts w:ascii="Arial Narrow" w:hAnsi="Arial Narrow"/>
                <w:sz w:val="20"/>
                <w:szCs w:val="20"/>
              </w:rPr>
            </w:pPr>
            <w:r w:rsidRPr="00E60A5A">
              <w:rPr>
                <w:rFonts w:ascii="Arial Narrow" w:hAnsi="Arial Narrow"/>
                <w:i/>
                <w:sz w:val="20"/>
                <w:szCs w:val="20"/>
              </w:rPr>
              <w:t>p</w:t>
            </w:r>
            <w:r w:rsidRPr="00E60A5A">
              <w:rPr>
                <w:rFonts w:ascii="Arial Narrow" w:hAnsi="Arial Narrow"/>
                <w:sz w:val="20"/>
                <w:szCs w:val="20"/>
              </w:rPr>
              <w:t xml:space="preserve"> = 0.058</w:t>
            </w:r>
          </w:p>
        </w:tc>
        <w:tc>
          <w:tcPr>
            <w:tcW w:w="1238" w:type="dxa"/>
            <w:tcBorders>
              <w:left w:val="double" w:sz="4" w:space="0" w:color="auto"/>
            </w:tcBorders>
            <w:vAlign w:val="center"/>
          </w:tcPr>
          <w:p w:rsidR="00CD1465" w:rsidRPr="00E60A5A" w:rsidRDefault="00CD1465" w:rsidP="008720A2">
            <w:pPr>
              <w:keepNext/>
              <w:jc w:val="center"/>
              <w:rPr>
                <w:rFonts w:ascii="Arial Narrow" w:hAnsi="Arial Narrow"/>
                <w:sz w:val="20"/>
                <w:szCs w:val="20"/>
              </w:rPr>
            </w:pPr>
            <w:r w:rsidRPr="00E60A5A">
              <w:rPr>
                <w:rFonts w:ascii="Arial Narrow" w:hAnsi="Arial Narrow"/>
                <w:sz w:val="20"/>
                <w:szCs w:val="20"/>
              </w:rPr>
              <w:t>10.77 (2.74)</w:t>
            </w:r>
          </w:p>
        </w:tc>
        <w:tc>
          <w:tcPr>
            <w:tcW w:w="1239" w:type="dxa"/>
            <w:vAlign w:val="center"/>
          </w:tcPr>
          <w:p w:rsidR="00CD1465" w:rsidRPr="00E60A5A" w:rsidRDefault="00CD1465" w:rsidP="008720A2">
            <w:pPr>
              <w:keepNext/>
              <w:jc w:val="center"/>
              <w:rPr>
                <w:rFonts w:ascii="Arial Narrow" w:hAnsi="Arial Narrow"/>
                <w:sz w:val="20"/>
                <w:szCs w:val="20"/>
              </w:rPr>
            </w:pPr>
            <w:r w:rsidRPr="00E60A5A">
              <w:rPr>
                <w:rFonts w:ascii="Arial Narrow" w:hAnsi="Arial Narrow"/>
                <w:sz w:val="20"/>
                <w:szCs w:val="20"/>
              </w:rPr>
              <w:t>6.24 (3.40)</w:t>
            </w:r>
          </w:p>
        </w:tc>
        <w:tc>
          <w:tcPr>
            <w:tcW w:w="1246" w:type="dxa"/>
            <w:gridSpan w:val="2"/>
            <w:vAlign w:val="center"/>
          </w:tcPr>
          <w:p w:rsidR="00CD1465" w:rsidRPr="00E60A5A" w:rsidRDefault="00CD1465" w:rsidP="008720A2">
            <w:pPr>
              <w:keepNext/>
              <w:jc w:val="center"/>
              <w:rPr>
                <w:rFonts w:ascii="Arial Narrow" w:hAnsi="Arial Narrow"/>
                <w:sz w:val="20"/>
                <w:szCs w:val="20"/>
              </w:rPr>
            </w:pPr>
            <w:r w:rsidRPr="00E60A5A">
              <w:rPr>
                <w:rFonts w:ascii="Arial Narrow" w:hAnsi="Arial Narrow"/>
                <w:sz w:val="20"/>
                <w:szCs w:val="20"/>
              </w:rPr>
              <w:t>4.52 (4.27)</w:t>
            </w:r>
          </w:p>
          <w:p w:rsidR="00CD1465" w:rsidRPr="00E60A5A" w:rsidRDefault="00CD1465" w:rsidP="008720A2">
            <w:pPr>
              <w:keepNext/>
              <w:jc w:val="center"/>
              <w:rPr>
                <w:rFonts w:ascii="Arial Narrow" w:hAnsi="Arial Narrow"/>
                <w:sz w:val="20"/>
                <w:szCs w:val="20"/>
              </w:rPr>
            </w:pPr>
            <w:r w:rsidRPr="00E60A5A">
              <w:rPr>
                <w:rFonts w:ascii="Arial Narrow" w:hAnsi="Arial Narrow"/>
                <w:i/>
                <w:sz w:val="20"/>
                <w:szCs w:val="20"/>
              </w:rPr>
              <w:t>p</w:t>
            </w:r>
            <w:r w:rsidRPr="00E60A5A">
              <w:rPr>
                <w:rFonts w:ascii="Arial Narrow" w:hAnsi="Arial Narrow"/>
                <w:sz w:val="20"/>
                <w:szCs w:val="20"/>
              </w:rPr>
              <w:t xml:space="preserve"> = 0.290</w:t>
            </w:r>
          </w:p>
        </w:tc>
      </w:tr>
      <w:tr w:rsidR="00CD1465" w:rsidRPr="00E60A5A" w:rsidTr="009C5198">
        <w:tc>
          <w:tcPr>
            <w:tcW w:w="3415" w:type="dxa"/>
            <w:gridSpan w:val="3"/>
            <w:vAlign w:val="center"/>
          </w:tcPr>
          <w:p w:rsidR="00C45EC8" w:rsidRDefault="00C45EC8" w:rsidP="008720A2">
            <w:pPr>
              <w:keepNext/>
              <w:jc w:val="right"/>
              <w:rPr>
                <w:rFonts w:ascii="Arial Narrow" w:hAnsi="Arial Narrow"/>
                <w:sz w:val="20"/>
                <w:szCs w:val="20"/>
              </w:rPr>
            </w:pPr>
            <w:r w:rsidRPr="00E60A5A">
              <w:rPr>
                <w:rFonts w:ascii="Arial Narrow" w:hAnsi="Arial Narrow"/>
                <w:sz w:val="20"/>
                <w:szCs w:val="20"/>
              </w:rPr>
              <w:t xml:space="preserve">Meta-analysis of </w:t>
            </w:r>
            <w:proofErr w:type="spellStart"/>
            <w:r w:rsidRPr="00E60A5A">
              <w:rPr>
                <w:rFonts w:ascii="Arial Narrow" w:hAnsi="Arial Narrow"/>
                <w:sz w:val="20"/>
                <w:szCs w:val="20"/>
              </w:rPr>
              <w:t>dornase</w:t>
            </w:r>
            <w:proofErr w:type="spellEnd"/>
            <w:r w:rsidRPr="00E60A5A">
              <w:rPr>
                <w:rFonts w:ascii="Arial Narrow" w:hAnsi="Arial Narrow"/>
                <w:sz w:val="20"/>
                <w:szCs w:val="20"/>
              </w:rPr>
              <w:t xml:space="preserve"> </w:t>
            </w:r>
            <w:proofErr w:type="spellStart"/>
            <w:r w:rsidRPr="00E60A5A">
              <w:rPr>
                <w:rFonts w:ascii="Arial Narrow" w:hAnsi="Arial Narrow"/>
                <w:sz w:val="20"/>
                <w:szCs w:val="20"/>
              </w:rPr>
              <w:t>alfa</w:t>
            </w:r>
            <w:proofErr w:type="spellEnd"/>
            <w:r w:rsidRPr="00E60A5A">
              <w:rPr>
                <w:rFonts w:ascii="Arial Narrow" w:hAnsi="Arial Narrow"/>
                <w:sz w:val="20"/>
                <w:szCs w:val="20"/>
              </w:rPr>
              <w:t xml:space="preserve"> users</w:t>
            </w:r>
          </w:p>
          <w:p w:rsidR="00874AA0" w:rsidRPr="00E60A5A" w:rsidRDefault="00C45EC8" w:rsidP="008720A2">
            <w:pPr>
              <w:keepNext/>
              <w:jc w:val="right"/>
              <w:rPr>
                <w:rFonts w:ascii="Arial Narrow" w:hAnsi="Arial Narrow"/>
                <w:sz w:val="20"/>
                <w:szCs w:val="20"/>
              </w:rPr>
            </w:pPr>
            <w:r>
              <w:rPr>
                <w:rFonts w:ascii="Arial Narrow" w:hAnsi="Arial Narrow"/>
                <w:sz w:val="20"/>
                <w:szCs w:val="20"/>
              </w:rPr>
              <w:t xml:space="preserve"> (PES commentary)</w:t>
            </w:r>
          </w:p>
        </w:tc>
        <w:tc>
          <w:tcPr>
            <w:tcW w:w="1238" w:type="dxa"/>
            <w:gridSpan w:val="2"/>
            <w:tcBorders>
              <w:right w:val="double" w:sz="4" w:space="0" w:color="auto"/>
            </w:tcBorders>
            <w:vAlign w:val="center"/>
          </w:tcPr>
          <w:p w:rsidR="00357217" w:rsidRPr="000E50C1" w:rsidRDefault="003B4908" w:rsidP="008720A2">
            <w:pPr>
              <w:keepNext/>
              <w:jc w:val="center"/>
              <w:rPr>
                <w:rFonts w:ascii="Arial Narrow" w:hAnsi="Arial Narrow"/>
                <w:b/>
                <w:sz w:val="20"/>
                <w:szCs w:val="20"/>
              </w:rPr>
            </w:pPr>
            <w:r>
              <w:rPr>
                <w:rFonts w:ascii="Arial Narrow" w:hAnsi="Arial Narrow"/>
                <w:b/>
                <w:sz w:val="20"/>
                <w:szCs w:val="20"/>
              </w:rPr>
              <w:t>4.97 (1.67)</w:t>
            </w:r>
          </w:p>
          <w:p w:rsidR="00874AA0" w:rsidRPr="000E50C1" w:rsidRDefault="00874AA0" w:rsidP="008720A2">
            <w:pPr>
              <w:keepNext/>
              <w:jc w:val="center"/>
              <w:rPr>
                <w:rFonts w:ascii="Arial Narrow" w:hAnsi="Arial Narrow"/>
                <w:b/>
                <w:sz w:val="20"/>
                <w:szCs w:val="20"/>
              </w:rPr>
            </w:pPr>
            <w:r w:rsidRPr="000E50C1">
              <w:rPr>
                <w:rFonts w:ascii="Arial Narrow" w:hAnsi="Arial Narrow"/>
                <w:b/>
                <w:sz w:val="20"/>
                <w:szCs w:val="20"/>
              </w:rPr>
              <w:t>p = 0.002</w:t>
            </w:r>
          </w:p>
          <w:p w:rsidR="00874AA0" w:rsidRPr="00E60A5A" w:rsidRDefault="00874AA0" w:rsidP="008720A2">
            <w:pPr>
              <w:keepNext/>
              <w:jc w:val="center"/>
              <w:rPr>
                <w:rFonts w:ascii="Arial Narrow" w:hAnsi="Arial Narrow"/>
                <w:sz w:val="20"/>
                <w:szCs w:val="20"/>
              </w:rPr>
            </w:pPr>
            <w:r w:rsidRPr="000E50C1">
              <w:rPr>
                <w:rFonts w:ascii="Arial Narrow" w:hAnsi="Arial Narrow"/>
                <w:sz w:val="20"/>
                <w:szCs w:val="20"/>
              </w:rPr>
              <w:t>I</w:t>
            </w:r>
            <w:r w:rsidRPr="000E50C1">
              <w:rPr>
                <w:rFonts w:ascii="Arial Narrow" w:hAnsi="Arial Narrow"/>
                <w:sz w:val="20"/>
                <w:szCs w:val="20"/>
                <w:vertAlign w:val="superscript"/>
              </w:rPr>
              <w:t>2</w:t>
            </w:r>
            <w:r w:rsidRPr="000E50C1">
              <w:rPr>
                <w:rFonts w:ascii="Arial Narrow" w:hAnsi="Arial Narrow"/>
                <w:sz w:val="20"/>
                <w:szCs w:val="20"/>
              </w:rPr>
              <w:t xml:space="preserve"> = 0</w:t>
            </w:r>
          </w:p>
        </w:tc>
        <w:tc>
          <w:tcPr>
            <w:tcW w:w="2477" w:type="dxa"/>
            <w:gridSpan w:val="2"/>
            <w:tcBorders>
              <w:left w:val="double" w:sz="4" w:space="0" w:color="auto"/>
            </w:tcBorders>
            <w:vAlign w:val="center"/>
          </w:tcPr>
          <w:p w:rsidR="00874AA0" w:rsidRPr="00E60A5A" w:rsidRDefault="00C45EC8" w:rsidP="008720A2">
            <w:pPr>
              <w:keepNext/>
              <w:jc w:val="right"/>
              <w:rPr>
                <w:rFonts w:ascii="Arial Narrow" w:hAnsi="Arial Narrow"/>
                <w:i/>
                <w:sz w:val="20"/>
                <w:szCs w:val="20"/>
              </w:rPr>
            </w:pPr>
            <w:r w:rsidRPr="00E60A5A">
              <w:rPr>
                <w:rFonts w:ascii="Arial Narrow" w:hAnsi="Arial Narrow"/>
                <w:sz w:val="20"/>
                <w:szCs w:val="20"/>
              </w:rPr>
              <w:t xml:space="preserve">Meta-analysis of </w:t>
            </w:r>
            <w:proofErr w:type="spellStart"/>
            <w:r w:rsidRPr="00E60A5A">
              <w:rPr>
                <w:rFonts w:ascii="Arial Narrow" w:hAnsi="Arial Narrow"/>
                <w:sz w:val="20"/>
                <w:szCs w:val="20"/>
              </w:rPr>
              <w:t>dornase</w:t>
            </w:r>
            <w:proofErr w:type="spellEnd"/>
            <w:r w:rsidRPr="00E60A5A">
              <w:rPr>
                <w:rFonts w:ascii="Arial Narrow" w:hAnsi="Arial Narrow"/>
                <w:sz w:val="20"/>
                <w:szCs w:val="20"/>
              </w:rPr>
              <w:t xml:space="preserve"> </w:t>
            </w:r>
            <w:proofErr w:type="spellStart"/>
            <w:r w:rsidRPr="00E60A5A">
              <w:rPr>
                <w:rFonts w:ascii="Arial Narrow" w:hAnsi="Arial Narrow"/>
                <w:sz w:val="20"/>
                <w:szCs w:val="20"/>
              </w:rPr>
              <w:t>alfa</w:t>
            </w:r>
            <w:proofErr w:type="spellEnd"/>
            <w:r w:rsidRPr="00E60A5A">
              <w:rPr>
                <w:rFonts w:ascii="Arial Narrow" w:hAnsi="Arial Narrow"/>
                <w:sz w:val="20"/>
                <w:szCs w:val="20"/>
              </w:rPr>
              <w:t xml:space="preserve"> non-user</w:t>
            </w:r>
            <w:r>
              <w:rPr>
                <w:rFonts w:ascii="Arial Narrow" w:hAnsi="Arial Narrow"/>
                <w:sz w:val="20"/>
                <w:szCs w:val="20"/>
              </w:rPr>
              <w:t xml:space="preserve"> (PES commentary)</w:t>
            </w:r>
          </w:p>
        </w:tc>
        <w:tc>
          <w:tcPr>
            <w:tcW w:w="1246" w:type="dxa"/>
            <w:gridSpan w:val="2"/>
            <w:vAlign w:val="center"/>
          </w:tcPr>
          <w:p w:rsidR="00357217" w:rsidRPr="000E50C1" w:rsidRDefault="003B4908" w:rsidP="008720A2">
            <w:pPr>
              <w:keepNext/>
              <w:jc w:val="center"/>
              <w:rPr>
                <w:rFonts w:ascii="Arial Narrow" w:hAnsi="Arial Narrow"/>
                <w:b/>
                <w:sz w:val="20"/>
                <w:szCs w:val="20"/>
              </w:rPr>
            </w:pPr>
            <w:r>
              <w:rPr>
                <w:rFonts w:ascii="Arial Narrow" w:hAnsi="Arial Narrow"/>
                <w:b/>
                <w:sz w:val="20"/>
                <w:szCs w:val="20"/>
              </w:rPr>
              <w:t>4.39 (2.17)</w:t>
            </w:r>
          </w:p>
          <w:p w:rsidR="00874AA0" w:rsidRPr="000E50C1" w:rsidRDefault="00874AA0" w:rsidP="008720A2">
            <w:pPr>
              <w:keepNext/>
              <w:jc w:val="center"/>
              <w:rPr>
                <w:rFonts w:ascii="Arial Narrow" w:hAnsi="Arial Narrow"/>
                <w:sz w:val="20"/>
                <w:szCs w:val="20"/>
              </w:rPr>
            </w:pPr>
            <w:r w:rsidRPr="000E50C1">
              <w:rPr>
                <w:rFonts w:ascii="Arial Narrow" w:hAnsi="Arial Narrow"/>
                <w:b/>
                <w:sz w:val="20"/>
                <w:szCs w:val="20"/>
              </w:rPr>
              <w:t>p = 0.043</w:t>
            </w:r>
          </w:p>
          <w:p w:rsidR="00874AA0" w:rsidRPr="00E60A5A" w:rsidRDefault="00874AA0" w:rsidP="008720A2">
            <w:pPr>
              <w:keepNext/>
              <w:jc w:val="center"/>
              <w:rPr>
                <w:rFonts w:ascii="Arial Narrow" w:hAnsi="Arial Narrow"/>
                <w:i/>
                <w:sz w:val="20"/>
                <w:szCs w:val="20"/>
              </w:rPr>
            </w:pPr>
            <w:r w:rsidRPr="000E50C1">
              <w:rPr>
                <w:rFonts w:ascii="Arial Narrow" w:hAnsi="Arial Narrow"/>
                <w:sz w:val="20"/>
                <w:szCs w:val="20"/>
              </w:rPr>
              <w:t>I</w:t>
            </w:r>
            <w:r w:rsidRPr="000E50C1">
              <w:rPr>
                <w:rFonts w:ascii="Arial Narrow" w:hAnsi="Arial Narrow"/>
                <w:sz w:val="20"/>
                <w:szCs w:val="20"/>
                <w:vertAlign w:val="superscript"/>
              </w:rPr>
              <w:t>2</w:t>
            </w:r>
            <w:r w:rsidRPr="000E50C1">
              <w:rPr>
                <w:rFonts w:ascii="Arial Narrow" w:hAnsi="Arial Narrow"/>
                <w:sz w:val="20"/>
                <w:szCs w:val="20"/>
              </w:rPr>
              <w:t xml:space="preserve"> = 0</w:t>
            </w:r>
          </w:p>
        </w:tc>
      </w:tr>
      <w:tr w:rsidR="00A84E14" w:rsidRPr="00E60A5A" w:rsidTr="00A84E14">
        <w:tc>
          <w:tcPr>
            <w:tcW w:w="8376" w:type="dxa"/>
            <w:gridSpan w:val="9"/>
          </w:tcPr>
          <w:p w:rsidR="00A84E14" w:rsidRPr="00A84E14" w:rsidRDefault="00A84E14" w:rsidP="008720A2">
            <w:pPr>
              <w:keepNext/>
              <w:rPr>
                <w:rFonts w:ascii="Arial Narrow" w:hAnsi="Arial Narrow"/>
                <w:b/>
                <w:sz w:val="20"/>
                <w:szCs w:val="20"/>
              </w:rPr>
            </w:pPr>
            <w:r w:rsidRPr="00A84E14">
              <w:rPr>
                <w:rFonts w:ascii="Arial Narrow" w:hAnsi="Arial Narrow"/>
                <w:b/>
                <w:sz w:val="20"/>
                <w:szCs w:val="20"/>
              </w:rPr>
              <w:t>Mean annualised rate of PDPE events per patient</w:t>
            </w:r>
            <w:r w:rsidR="008E39F1">
              <w:rPr>
                <w:rFonts w:ascii="Arial Narrow" w:hAnsi="Arial Narrow"/>
                <w:b/>
                <w:sz w:val="20"/>
                <w:szCs w:val="20"/>
              </w:rPr>
              <w:t xml:space="preserve"> (SD or 95% CI)</w:t>
            </w:r>
          </w:p>
        </w:tc>
      </w:tr>
      <w:tr w:rsidR="00CD1465" w:rsidRPr="00E60A5A" w:rsidTr="009C5198">
        <w:tc>
          <w:tcPr>
            <w:tcW w:w="935" w:type="dxa"/>
            <w:vAlign w:val="center"/>
          </w:tcPr>
          <w:p w:rsidR="00CD1465" w:rsidRDefault="00CD1465" w:rsidP="008720A2">
            <w:pPr>
              <w:keepNext/>
              <w:rPr>
                <w:rFonts w:ascii="Arial Narrow" w:hAnsi="Arial Narrow"/>
                <w:sz w:val="20"/>
                <w:szCs w:val="20"/>
              </w:rPr>
            </w:pPr>
            <w:r w:rsidRPr="00E60A5A">
              <w:rPr>
                <w:rFonts w:ascii="Arial Narrow" w:hAnsi="Arial Narrow"/>
                <w:sz w:val="20"/>
                <w:szCs w:val="20"/>
              </w:rPr>
              <w:t>CF-301</w:t>
            </w:r>
          </w:p>
          <w:p w:rsidR="00CD1465" w:rsidRPr="00E60A5A" w:rsidRDefault="00CD1465" w:rsidP="008720A2">
            <w:pPr>
              <w:keepNext/>
              <w:rPr>
                <w:rFonts w:ascii="Arial Narrow" w:hAnsi="Arial Narrow"/>
                <w:sz w:val="20"/>
                <w:szCs w:val="20"/>
              </w:rPr>
            </w:pPr>
            <w:r>
              <w:rPr>
                <w:rFonts w:ascii="Arial Narrow" w:hAnsi="Arial Narrow"/>
                <w:sz w:val="20"/>
                <w:szCs w:val="20"/>
              </w:rPr>
              <w:t>(N = 324)</w:t>
            </w:r>
          </w:p>
        </w:tc>
        <w:tc>
          <w:tcPr>
            <w:tcW w:w="1236" w:type="dxa"/>
            <w:vAlign w:val="center"/>
          </w:tcPr>
          <w:p w:rsidR="00CD1465" w:rsidRDefault="00CD1465" w:rsidP="008720A2">
            <w:pPr>
              <w:keepNext/>
              <w:jc w:val="center"/>
              <w:rPr>
                <w:rFonts w:ascii="Arial Narrow" w:hAnsi="Arial Narrow"/>
                <w:sz w:val="20"/>
                <w:szCs w:val="20"/>
              </w:rPr>
            </w:pPr>
            <w:r w:rsidRPr="008E39F1">
              <w:rPr>
                <w:rFonts w:ascii="Arial Narrow" w:hAnsi="Arial Narrow"/>
                <w:sz w:val="20"/>
                <w:szCs w:val="20"/>
              </w:rPr>
              <w:t xml:space="preserve">1.05 </w:t>
            </w:r>
          </w:p>
          <w:p w:rsidR="00CD1465" w:rsidRPr="00E60A5A" w:rsidRDefault="00CD1465" w:rsidP="008720A2">
            <w:pPr>
              <w:keepNext/>
              <w:jc w:val="center"/>
              <w:rPr>
                <w:rFonts w:ascii="Arial Narrow" w:hAnsi="Arial Narrow"/>
                <w:sz w:val="20"/>
                <w:szCs w:val="20"/>
              </w:rPr>
            </w:pPr>
            <w:r>
              <w:rPr>
                <w:rFonts w:ascii="Arial Narrow" w:hAnsi="Arial Narrow"/>
                <w:sz w:val="20"/>
                <w:szCs w:val="20"/>
              </w:rPr>
              <w:t>(</w:t>
            </w:r>
            <w:r w:rsidRPr="008E39F1">
              <w:rPr>
                <w:rFonts w:ascii="Arial Narrow" w:hAnsi="Arial Narrow"/>
                <w:sz w:val="20"/>
                <w:szCs w:val="20"/>
              </w:rPr>
              <w:t>2.29)</w:t>
            </w:r>
          </w:p>
        </w:tc>
        <w:tc>
          <w:tcPr>
            <w:tcW w:w="1244" w:type="dxa"/>
            <w:vAlign w:val="center"/>
          </w:tcPr>
          <w:p w:rsidR="00CD1465" w:rsidRDefault="00CD1465" w:rsidP="008720A2">
            <w:pPr>
              <w:keepNext/>
              <w:jc w:val="center"/>
              <w:rPr>
                <w:rFonts w:ascii="Arial Narrow" w:hAnsi="Arial Narrow"/>
                <w:sz w:val="20"/>
                <w:szCs w:val="20"/>
              </w:rPr>
            </w:pPr>
            <w:r w:rsidRPr="008E39F1">
              <w:rPr>
                <w:rFonts w:ascii="Arial Narrow" w:hAnsi="Arial Narrow"/>
                <w:sz w:val="20"/>
                <w:szCs w:val="20"/>
              </w:rPr>
              <w:t xml:space="preserve">1.19 </w:t>
            </w:r>
          </w:p>
          <w:p w:rsidR="00CD1465" w:rsidRPr="00E60A5A" w:rsidRDefault="00CD1465" w:rsidP="008720A2">
            <w:pPr>
              <w:keepNext/>
              <w:jc w:val="center"/>
              <w:rPr>
                <w:rFonts w:ascii="Arial Narrow" w:hAnsi="Arial Narrow"/>
                <w:sz w:val="20"/>
                <w:szCs w:val="20"/>
              </w:rPr>
            </w:pPr>
            <w:r>
              <w:rPr>
                <w:rFonts w:ascii="Arial Narrow" w:hAnsi="Arial Narrow"/>
                <w:sz w:val="20"/>
                <w:szCs w:val="20"/>
              </w:rPr>
              <w:t>(</w:t>
            </w:r>
            <w:r w:rsidRPr="008E39F1">
              <w:rPr>
                <w:rFonts w:ascii="Arial Narrow" w:hAnsi="Arial Narrow"/>
                <w:sz w:val="20"/>
                <w:szCs w:val="20"/>
              </w:rPr>
              <w:t>2.30)</w:t>
            </w:r>
          </w:p>
        </w:tc>
        <w:tc>
          <w:tcPr>
            <w:tcW w:w="1238" w:type="dxa"/>
            <w:gridSpan w:val="2"/>
            <w:tcBorders>
              <w:right w:val="double" w:sz="4" w:space="0" w:color="auto"/>
            </w:tcBorders>
            <w:vAlign w:val="center"/>
          </w:tcPr>
          <w:p w:rsidR="00CD1465" w:rsidRDefault="00CD1465" w:rsidP="008720A2">
            <w:pPr>
              <w:keepNext/>
              <w:jc w:val="center"/>
              <w:rPr>
                <w:rFonts w:ascii="Arial Narrow" w:hAnsi="Arial Narrow"/>
                <w:sz w:val="20"/>
                <w:szCs w:val="20"/>
              </w:rPr>
            </w:pPr>
            <w:r>
              <w:rPr>
                <w:rFonts w:ascii="Arial Narrow" w:hAnsi="Arial Narrow"/>
                <w:sz w:val="20"/>
                <w:szCs w:val="20"/>
              </w:rPr>
              <w:t xml:space="preserve">RR </w:t>
            </w:r>
            <w:r w:rsidRPr="008E39F1">
              <w:rPr>
                <w:rFonts w:ascii="Arial Narrow" w:hAnsi="Arial Narrow"/>
                <w:sz w:val="20"/>
                <w:szCs w:val="20"/>
              </w:rPr>
              <w:t xml:space="preserve">0.76 </w:t>
            </w:r>
          </w:p>
          <w:p w:rsidR="00CD1465" w:rsidRPr="00E60A5A" w:rsidRDefault="00CD1465" w:rsidP="008720A2">
            <w:pPr>
              <w:keepNext/>
              <w:jc w:val="center"/>
              <w:rPr>
                <w:rFonts w:ascii="Arial Narrow" w:hAnsi="Arial Narrow"/>
                <w:sz w:val="20"/>
                <w:szCs w:val="20"/>
              </w:rPr>
            </w:pPr>
            <w:r w:rsidRPr="008E39F1">
              <w:rPr>
                <w:rFonts w:ascii="Arial Narrow" w:hAnsi="Arial Narrow"/>
                <w:sz w:val="20"/>
                <w:szCs w:val="20"/>
              </w:rPr>
              <w:t>(0.45, 1.27)</w:t>
            </w:r>
          </w:p>
        </w:tc>
        <w:tc>
          <w:tcPr>
            <w:tcW w:w="1238" w:type="dxa"/>
            <w:tcBorders>
              <w:left w:val="double" w:sz="4" w:space="0" w:color="auto"/>
            </w:tcBorders>
            <w:vAlign w:val="center"/>
          </w:tcPr>
          <w:p w:rsidR="00CD1465" w:rsidRPr="001A4607" w:rsidRDefault="00CD1465" w:rsidP="008720A2">
            <w:pPr>
              <w:keepNext/>
              <w:jc w:val="center"/>
              <w:rPr>
                <w:rFonts w:ascii="Arial Narrow" w:hAnsi="Arial Narrow"/>
                <w:sz w:val="20"/>
                <w:szCs w:val="20"/>
              </w:rPr>
            </w:pPr>
            <w:r w:rsidRPr="001A4607">
              <w:rPr>
                <w:rFonts w:ascii="Arial Narrow" w:hAnsi="Arial Narrow"/>
                <w:sz w:val="20"/>
                <w:szCs w:val="20"/>
              </w:rPr>
              <w:t xml:space="preserve">0.47 </w:t>
            </w:r>
          </w:p>
          <w:p w:rsidR="00CD1465" w:rsidRPr="00E60A5A" w:rsidRDefault="00CD1465" w:rsidP="008720A2">
            <w:pPr>
              <w:keepNext/>
              <w:jc w:val="center"/>
              <w:rPr>
                <w:rFonts w:ascii="Arial Narrow" w:hAnsi="Arial Narrow"/>
                <w:sz w:val="20"/>
                <w:szCs w:val="20"/>
              </w:rPr>
            </w:pPr>
            <w:r>
              <w:rPr>
                <w:rFonts w:ascii="Arial Narrow" w:hAnsi="Arial Narrow"/>
                <w:sz w:val="20"/>
                <w:szCs w:val="20"/>
              </w:rPr>
              <w:t>(</w:t>
            </w:r>
            <w:r w:rsidRPr="001A4607">
              <w:rPr>
                <w:rFonts w:ascii="Arial Narrow" w:hAnsi="Arial Narrow"/>
                <w:sz w:val="20"/>
                <w:szCs w:val="20"/>
              </w:rPr>
              <w:t>1.48)</w:t>
            </w:r>
          </w:p>
        </w:tc>
        <w:tc>
          <w:tcPr>
            <w:tcW w:w="1239" w:type="dxa"/>
            <w:vAlign w:val="center"/>
          </w:tcPr>
          <w:p w:rsidR="00CD1465" w:rsidRPr="001A4607" w:rsidRDefault="00CD1465" w:rsidP="008720A2">
            <w:pPr>
              <w:keepNext/>
              <w:jc w:val="center"/>
              <w:rPr>
                <w:rFonts w:ascii="Arial Narrow" w:hAnsi="Arial Narrow"/>
                <w:sz w:val="20"/>
                <w:szCs w:val="20"/>
              </w:rPr>
            </w:pPr>
            <w:r w:rsidRPr="001A4607">
              <w:rPr>
                <w:rFonts w:ascii="Arial Narrow" w:hAnsi="Arial Narrow"/>
                <w:sz w:val="20"/>
                <w:szCs w:val="20"/>
              </w:rPr>
              <w:t xml:space="preserve">0.86 </w:t>
            </w:r>
          </w:p>
          <w:p w:rsidR="00CD1465" w:rsidRPr="00E60A5A" w:rsidRDefault="00CD1465" w:rsidP="008720A2">
            <w:pPr>
              <w:keepNext/>
              <w:jc w:val="center"/>
              <w:rPr>
                <w:rFonts w:ascii="Arial Narrow" w:hAnsi="Arial Narrow"/>
                <w:sz w:val="20"/>
                <w:szCs w:val="20"/>
              </w:rPr>
            </w:pPr>
            <w:r>
              <w:rPr>
                <w:rFonts w:ascii="Arial Narrow" w:hAnsi="Arial Narrow"/>
                <w:sz w:val="20"/>
                <w:szCs w:val="20"/>
              </w:rPr>
              <w:t>(</w:t>
            </w:r>
            <w:r w:rsidRPr="001A4607">
              <w:rPr>
                <w:rFonts w:ascii="Arial Narrow" w:hAnsi="Arial Narrow"/>
                <w:sz w:val="20"/>
                <w:szCs w:val="20"/>
              </w:rPr>
              <w:t>1.93)</w:t>
            </w:r>
          </w:p>
        </w:tc>
        <w:tc>
          <w:tcPr>
            <w:tcW w:w="1246" w:type="dxa"/>
            <w:gridSpan w:val="2"/>
            <w:vAlign w:val="center"/>
          </w:tcPr>
          <w:p w:rsidR="00CD1465" w:rsidRDefault="00CD1465" w:rsidP="008720A2">
            <w:pPr>
              <w:keepNext/>
              <w:jc w:val="center"/>
              <w:rPr>
                <w:rFonts w:ascii="Arial Narrow" w:hAnsi="Arial Narrow"/>
                <w:sz w:val="20"/>
                <w:szCs w:val="20"/>
              </w:rPr>
            </w:pPr>
            <w:r>
              <w:rPr>
                <w:rFonts w:ascii="Arial Narrow" w:hAnsi="Arial Narrow"/>
                <w:sz w:val="20"/>
                <w:szCs w:val="20"/>
              </w:rPr>
              <w:t xml:space="preserve">RR </w:t>
            </w:r>
            <w:r w:rsidRPr="001A4607">
              <w:rPr>
                <w:rFonts w:ascii="Arial Narrow" w:hAnsi="Arial Narrow"/>
                <w:sz w:val="20"/>
                <w:szCs w:val="20"/>
              </w:rPr>
              <w:t xml:space="preserve">0.59 </w:t>
            </w:r>
          </w:p>
          <w:p w:rsidR="00CD1465" w:rsidRPr="00E60A5A" w:rsidRDefault="00CD1465" w:rsidP="008720A2">
            <w:pPr>
              <w:keepNext/>
              <w:jc w:val="center"/>
              <w:rPr>
                <w:rFonts w:ascii="Arial Narrow" w:hAnsi="Arial Narrow"/>
                <w:sz w:val="20"/>
                <w:szCs w:val="20"/>
              </w:rPr>
            </w:pPr>
            <w:r w:rsidRPr="001A4607">
              <w:rPr>
                <w:rFonts w:ascii="Arial Narrow" w:hAnsi="Arial Narrow"/>
                <w:sz w:val="20"/>
                <w:szCs w:val="20"/>
              </w:rPr>
              <w:t>(0.24, 1.47)</w:t>
            </w:r>
          </w:p>
        </w:tc>
      </w:tr>
      <w:tr w:rsidR="00CD1465" w:rsidRPr="00E60A5A" w:rsidTr="009C5198">
        <w:tc>
          <w:tcPr>
            <w:tcW w:w="935" w:type="dxa"/>
            <w:vAlign w:val="center"/>
          </w:tcPr>
          <w:p w:rsidR="00CD1465" w:rsidRDefault="00CD1465" w:rsidP="008720A2">
            <w:pPr>
              <w:keepNext/>
              <w:rPr>
                <w:rFonts w:ascii="Arial Narrow" w:hAnsi="Arial Narrow"/>
                <w:sz w:val="20"/>
                <w:szCs w:val="20"/>
              </w:rPr>
            </w:pPr>
            <w:r w:rsidRPr="00E60A5A">
              <w:rPr>
                <w:rFonts w:ascii="Arial Narrow" w:hAnsi="Arial Narrow"/>
                <w:sz w:val="20"/>
                <w:szCs w:val="20"/>
              </w:rPr>
              <w:t>CF-302</w:t>
            </w:r>
          </w:p>
          <w:p w:rsidR="00CD1465" w:rsidRPr="00E60A5A" w:rsidRDefault="00CD1465" w:rsidP="008720A2">
            <w:pPr>
              <w:keepNext/>
              <w:rPr>
                <w:rFonts w:ascii="Arial Narrow" w:hAnsi="Arial Narrow"/>
                <w:sz w:val="20"/>
                <w:szCs w:val="20"/>
              </w:rPr>
            </w:pPr>
            <w:r>
              <w:rPr>
                <w:rFonts w:ascii="Arial Narrow" w:hAnsi="Arial Narrow"/>
                <w:sz w:val="20"/>
                <w:szCs w:val="20"/>
              </w:rPr>
              <w:t>(N = 318)</w:t>
            </w:r>
          </w:p>
        </w:tc>
        <w:tc>
          <w:tcPr>
            <w:tcW w:w="1236" w:type="dxa"/>
            <w:vAlign w:val="center"/>
          </w:tcPr>
          <w:p w:rsidR="00CD1465" w:rsidRPr="008E39F1" w:rsidRDefault="00CD1465" w:rsidP="008720A2">
            <w:pPr>
              <w:keepNext/>
              <w:jc w:val="center"/>
              <w:rPr>
                <w:rFonts w:ascii="Arial Narrow" w:hAnsi="Arial Narrow"/>
                <w:sz w:val="20"/>
                <w:szCs w:val="20"/>
              </w:rPr>
            </w:pPr>
            <w:r w:rsidRPr="008E39F1">
              <w:rPr>
                <w:rFonts w:ascii="Arial Narrow" w:hAnsi="Arial Narrow"/>
                <w:sz w:val="20"/>
                <w:szCs w:val="20"/>
              </w:rPr>
              <w:t xml:space="preserve">0.53 </w:t>
            </w:r>
          </w:p>
          <w:p w:rsidR="00CD1465" w:rsidRPr="00E60A5A" w:rsidRDefault="00CD1465" w:rsidP="008720A2">
            <w:pPr>
              <w:keepNext/>
              <w:jc w:val="center"/>
              <w:rPr>
                <w:rFonts w:ascii="Arial Narrow" w:hAnsi="Arial Narrow"/>
                <w:sz w:val="20"/>
                <w:szCs w:val="20"/>
              </w:rPr>
            </w:pPr>
            <w:r>
              <w:rPr>
                <w:rFonts w:ascii="Arial Narrow" w:hAnsi="Arial Narrow"/>
                <w:sz w:val="20"/>
                <w:szCs w:val="20"/>
              </w:rPr>
              <w:t>(</w:t>
            </w:r>
            <w:r w:rsidRPr="008E39F1">
              <w:rPr>
                <w:rFonts w:ascii="Arial Narrow" w:hAnsi="Arial Narrow"/>
                <w:sz w:val="20"/>
                <w:szCs w:val="20"/>
              </w:rPr>
              <w:t>0.37, 0.75)</w:t>
            </w:r>
          </w:p>
        </w:tc>
        <w:tc>
          <w:tcPr>
            <w:tcW w:w="1244" w:type="dxa"/>
            <w:vAlign w:val="center"/>
          </w:tcPr>
          <w:p w:rsidR="00CD1465" w:rsidRPr="008E39F1" w:rsidRDefault="00CD1465" w:rsidP="008720A2">
            <w:pPr>
              <w:keepNext/>
              <w:jc w:val="center"/>
              <w:rPr>
                <w:rFonts w:ascii="Arial Narrow" w:hAnsi="Arial Narrow"/>
                <w:sz w:val="20"/>
                <w:szCs w:val="20"/>
              </w:rPr>
            </w:pPr>
            <w:r w:rsidRPr="008E39F1">
              <w:rPr>
                <w:rFonts w:ascii="Arial Narrow" w:hAnsi="Arial Narrow"/>
                <w:sz w:val="20"/>
                <w:szCs w:val="20"/>
              </w:rPr>
              <w:t xml:space="preserve">0.43 </w:t>
            </w:r>
          </w:p>
          <w:p w:rsidR="00CD1465" w:rsidRPr="00E60A5A" w:rsidRDefault="00CD1465" w:rsidP="008720A2">
            <w:pPr>
              <w:keepNext/>
              <w:jc w:val="center"/>
              <w:rPr>
                <w:rFonts w:ascii="Arial Narrow" w:hAnsi="Arial Narrow"/>
                <w:sz w:val="20"/>
                <w:szCs w:val="20"/>
              </w:rPr>
            </w:pPr>
            <w:r>
              <w:rPr>
                <w:rFonts w:ascii="Arial Narrow" w:hAnsi="Arial Narrow"/>
                <w:sz w:val="20"/>
                <w:szCs w:val="20"/>
              </w:rPr>
              <w:t>(</w:t>
            </w:r>
            <w:r w:rsidRPr="008E39F1">
              <w:rPr>
                <w:rFonts w:ascii="Arial Narrow" w:hAnsi="Arial Narrow"/>
                <w:sz w:val="20"/>
                <w:szCs w:val="20"/>
              </w:rPr>
              <w:t>0.27, 0.67)</w:t>
            </w:r>
          </w:p>
        </w:tc>
        <w:tc>
          <w:tcPr>
            <w:tcW w:w="1238" w:type="dxa"/>
            <w:gridSpan w:val="2"/>
            <w:tcBorders>
              <w:right w:val="double" w:sz="4" w:space="0" w:color="auto"/>
            </w:tcBorders>
            <w:vAlign w:val="center"/>
          </w:tcPr>
          <w:p w:rsidR="00CD1465" w:rsidRDefault="00CD1465" w:rsidP="008720A2">
            <w:pPr>
              <w:keepNext/>
              <w:jc w:val="center"/>
              <w:rPr>
                <w:rFonts w:ascii="Arial Narrow" w:hAnsi="Arial Narrow"/>
                <w:sz w:val="20"/>
                <w:szCs w:val="20"/>
              </w:rPr>
            </w:pPr>
            <w:r>
              <w:rPr>
                <w:rFonts w:ascii="Arial Narrow" w:hAnsi="Arial Narrow"/>
                <w:sz w:val="20"/>
                <w:szCs w:val="20"/>
              </w:rPr>
              <w:t xml:space="preserve">RR </w:t>
            </w:r>
            <w:r w:rsidRPr="008E39F1">
              <w:rPr>
                <w:rFonts w:ascii="Arial Narrow" w:hAnsi="Arial Narrow"/>
                <w:sz w:val="20"/>
                <w:szCs w:val="20"/>
              </w:rPr>
              <w:t xml:space="preserve">1.09 </w:t>
            </w:r>
          </w:p>
          <w:p w:rsidR="00CD1465" w:rsidRPr="00E60A5A" w:rsidRDefault="00CD1465" w:rsidP="008720A2">
            <w:pPr>
              <w:keepNext/>
              <w:jc w:val="center"/>
              <w:rPr>
                <w:rFonts w:ascii="Arial Narrow" w:hAnsi="Arial Narrow"/>
                <w:sz w:val="20"/>
                <w:szCs w:val="20"/>
              </w:rPr>
            </w:pPr>
            <w:r w:rsidRPr="008E39F1">
              <w:rPr>
                <w:rFonts w:ascii="Arial Narrow" w:hAnsi="Arial Narrow"/>
                <w:sz w:val="20"/>
                <w:szCs w:val="20"/>
              </w:rPr>
              <w:t>(0.61, 1.95)</w:t>
            </w:r>
          </w:p>
        </w:tc>
        <w:tc>
          <w:tcPr>
            <w:tcW w:w="1238" w:type="dxa"/>
            <w:tcBorders>
              <w:left w:val="double" w:sz="4" w:space="0" w:color="auto"/>
            </w:tcBorders>
            <w:vAlign w:val="center"/>
          </w:tcPr>
          <w:p w:rsidR="00CD1465" w:rsidRPr="001A4607" w:rsidRDefault="00CD1465" w:rsidP="008720A2">
            <w:pPr>
              <w:keepNext/>
              <w:jc w:val="center"/>
              <w:rPr>
                <w:rFonts w:ascii="Arial Narrow" w:hAnsi="Arial Narrow"/>
                <w:sz w:val="20"/>
                <w:szCs w:val="20"/>
              </w:rPr>
            </w:pPr>
            <w:r w:rsidRPr="001A4607">
              <w:rPr>
                <w:rFonts w:ascii="Arial Narrow" w:hAnsi="Arial Narrow"/>
                <w:sz w:val="20"/>
                <w:szCs w:val="20"/>
              </w:rPr>
              <w:t xml:space="preserve">0.18 </w:t>
            </w:r>
          </w:p>
          <w:p w:rsidR="00CD1465" w:rsidRPr="00E60A5A" w:rsidRDefault="00CD1465" w:rsidP="008720A2">
            <w:pPr>
              <w:keepNext/>
              <w:jc w:val="center"/>
              <w:rPr>
                <w:rFonts w:ascii="Arial Narrow" w:hAnsi="Arial Narrow"/>
                <w:sz w:val="20"/>
                <w:szCs w:val="20"/>
              </w:rPr>
            </w:pPr>
            <w:r>
              <w:rPr>
                <w:rFonts w:ascii="Arial Narrow" w:hAnsi="Arial Narrow"/>
                <w:sz w:val="20"/>
                <w:szCs w:val="20"/>
              </w:rPr>
              <w:t>(</w:t>
            </w:r>
            <w:r w:rsidRPr="001A4607">
              <w:rPr>
                <w:rFonts w:ascii="Arial Narrow" w:hAnsi="Arial Narrow"/>
                <w:sz w:val="20"/>
                <w:szCs w:val="20"/>
              </w:rPr>
              <w:t>0.07, 0.49)</w:t>
            </w:r>
          </w:p>
        </w:tc>
        <w:tc>
          <w:tcPr>
            <w:tcW w:w="1239" w:type="dxa"/>
            <w:vAlign w:val="center"/>
          </w:tcPr>
          <w:p w:rsidR="00CD1465" w:rsidRPr="001A4607" w:rsidRDefault="00CD1465" w:rsidP="008720A2">
            <w:pPr>
              <w:keepNext/>
              <w:jc w:val="center"/>
              <w:rPr>
                <w:rFonts w:ascii="Arial Narrow" w:hAnsi="Arial Narrow"/>
                <w:sz w:val="20"/>
                <w:szCs w:val="20"/>
              </w:rPr>
            </w:pPr>
            <w:r w:rsidRPr="001A4607">
              <w:rPr>
                <w:rFonts w:ascii="Arial Narrow" w:hAnsi="Arial Narrow"/>
                <w:sz w:val="20"/>
                <w:szCs w:val="20"/>
              </w:rPr>
              <w:t xml:space="preserve">0.74 </w:t>
            </w:r>
          </w:p>
          <w:p w:rsidR="00CD1465" w:rsidRPr="00E60A5A" w:rsidRDefault="00CD1465" w:rsidP="008720A2">
            <w:pPr>
              <w:keepNext/>
              <w:jc w:val="center"/>
              <w:rPr>
                <w:rFonts w:ascii="Arial Narrow" w:hAnsi="Arial Narrow"/>
                <w:sz w:val="20"/>
                <w:szCs w:val="20"/>
              </w:rPr>
            </w:pPr>
            <w:r>
              <w:rPr>
                <w:rFonts w:ascii="Arial Narrow" w:hAnsi="Arial Narrow"/>
                <w:sz w:val="20"/>
                <w:szCs w:val="20"/>
              </w:rPr>
              <w:t>(</w:t>
            </w:r>
            <w:r w:rsidRPr="001A4607">
              <w:rPr>
                <w:rFonts w:ascii="Arial Narrow" w:hAnsi="Arial Narrow"/>
                <w:sz w:val="20"/>
                <w:szCs w:val="20"/>
              </w:rPr>
              <w:t>0.40, 1.37)</w:t>
            </w:r>
          </w:p>
        </w:tc>
        <w:tc>
          <w:tcPr>
            <w:tcW w:w="1246" w:type="dxa"/>
            <w:gridSpan w:val="2"/>
            <w:vAlign w:val="center"/>
          </w:tcPr>
          <w:p w:rsidR="00CD1465" w:rsidRDefault="00CD1465" w:rsidP="008720A2">
            <w:pPr>
              <w:keepNext/>
              <w:jc w:val="center"/>
              <w:rPr>
                <w:rFonts w:ascii="Arial Narrow" w:hAnsi="Arial Narrow"/>
                <w:sz w:val="20"/>
                <w:szCs w:val="20"/>
              </w:rPr>
            </w:pPr>
            <w:r>
              <w:rPr>
                <w:rFonts w:ascii="Arial Narrow" w:hAnsi="Arial Narrow"/>
                <w:sz w:val="20"/>
                <w:szCs w:val="20"/>
              </w:rPr>
              <w:t xml:space="preserve">RR </w:t>
            </w:r>
            <w:r w:rsidRPr="001A4607">
              <w:rPr>
                <w:rFonts w:ascii="Arial Narrow" w:hAnsi="Arial Narrow"/>
                <w:sz w:val="20"/>
                <w:szCs w:val="20"/>
              </w:rPr>
              <w:t xml:space="preserve">0.34 </w:t>
            </w:r>
          </w:p>
          <w:p w:rsidR="00CD1465" w:rsidRPr="00E60A5A" w:rsidRDefault="00CD1465" w:rsidP="008720A2">
            <w:pPr>
              <w:keepNext/>
              <w:jc w:val="center"/>
              <w:rPr>
                <w:rFonts w:ascii="Arial Narrow" w:hAnsi="Arial Narrow"/>
                <w:sz w:val="20"/>
                <w:szCs w:val="20"/>
              </w:rPr>
            </w:pPr>
            <w:r w:rsidRPr="001A4607">
              <w:rPr>
                <w:rFonts w:ascii="Arial Narrow" w:hAnsi="Arial Narrow"/>
                <w:sz w:val="20"/>
                <w:szCs w:val="20"/>
              </w:rPr>
              <w:t>(0.10, 1.09)</w:t>
            </w:r>
          </w:p>
        </w:tc>
      </w:tr>
      <w:tr w:rsidR="00CD1465" w:rsidRPr="00E60A5A" w:rsidTr="009C5198">
        <w:tc>
          <w:tcPr>
            <w:tcW w:w="3415" w:type="dxa"/>
            <w:gridSpan w:val="3"/>
            <w:vAlign w:val="center"/>
          </w:tcPr>
          <w:p w:rsidR="00C45EC8" w:rsidRDefault="00C45EC8" w:rsidP="008720A2">
            <w:pPr>
              <w:keepNext/>
              <w:jc w:val="right"/>
              <w:rPr>
                <w:rFonts w:ascii="Arial Narrow" w:hAnsi="Arial Narrow"/>
                <w:sz w:val="20"/>
                <w:szCs w:val="20"/>
              </w:rPr>
            </w:pPr>
            <w:r w:rsidRPr="00E60A5A">
              <w:rPr>
                <w:rFonts w:ascii="Arial Narrow" w:hAnsi="Arial Narrow"/>
                <w:sz w:val="20"/>
                <w:szCs w:val="20"/>
              </w:rPr>
              <w:t xml:space="preserve">Meta-analysis of </w:t>
            </w:r>
            <w:proofErr w:type="spellStart"/>
            <w:r w:rsidRPr="00E60A5A">
              <w:rPr>
                <w:rFonts w:ascii="Arial Narrow" w:hAnsi="Arial Narrow"/>
                <w:sz w:val="20"/>
                <w:szCs w:val="20"/>
              </w:rPr>
              <w:t>dornase</w:t>
            </w:r>
            <w:proofErr w:type="spellEnd"/>
            <w:r w:rsidRPr="00E60A5A">
              <w:rPr>
                <w:rFonts w:ascii="Arial Narrow" w:hAnsi="Arial Narrow"/>
                <w:sz w:val="20"/>
                <w:szCs w:val="20"/>
              </w:rPr>
              <w:t xml:space="preserve"> </w:t>
            </w:r>
            <w:proofErr w:type="spellStart"/>
            <w:r w:rsidRPr="00E60A5A">
              <w:rPr>
                <w:rFonts w:ascii="Arial Narrow" w:hAnsi="Arial Narrow"/>
                <w:sz w:val="20"/>
                <w:szCs w:val="20"/>
              </w:rPr>
              <w:t>alfa</w:t>
            </w:r>
            <w:proofErr w:type="spellEnd"/>
            <w:r w:rsidRPr="00E60A5A">
              <w:rPr>
                <w:rFonts w:ascii="Arial Narrow" w:hAnsi="Arial Narrow"/>
                <w:sz w:val="20"/>
                <w:szCs w:val="20"/>
              </w:rPr>
              <w:t xml:space="preserve"> users</w:t>
            </w:r>
          </w:p>
          <w:p w:rsidR="00A84E14" w:rsidRPr="00E60A5A" w:rsidRDefault="00C45EC8" w:rsidP="008720A2">
            <w:pPr>
              <w:keepNext/>
              <w:jc w:val="right"/>
              <w:rPr>
                <w:rFonts w:ascii="Arial Narrow" w:hAnsi="Arial Narrow"/>
                <w:sz w:val="20"/>
                <w:szCs w:val="20"/>
              </w:rPr>
            </w:pPr>
            <w:r>
              <w:rPr>
                <w:rFonts w:ascii="Arial Narrow" w:hAnsi="Arial Narrow"/>
                <w:sz w:val="20"/>
                <w:szCs w:val="20"/>
              </w:rPr>
              <w:t xml:space="preserve"> (PES commentary)</w:t>
            </w:r>
          </w:p>
        </w:tc>
        <w:tc>
          <w:tcPr>
            <w:tcW w:w="1238" w:type="dxa"/>
            <w:gridSpan w:val="2"/>
            <w:tcBorders>
              <w:right w:val="double" w:sz="4" w:space="0" w:color="auto"/>
            </w:tcBorders>
            <w:vAlign w:val="center"/>
          </w:tcPr>
          <w:p w:rsidR="008E39F1" w:rsidRDefault="00607A40" w:rsidP="008720A2">
            <w:pPr>
              <w:keepNext/>
              <w:jc w:val="center"/>
              <w:rPr>
                <w:rFonts w:ascii="Arial Narrow" w:hAnsi="Arial Narrow"/>
                <w:sz w:val="20"/>
                <w:szCs w:val="20"/>
              </w:rPr>
            </w:pPr>
            <w:r>
              <w:rPr>
                <w:rFonts w:ascii="Arial Narrow" w:hAnsi="Arial Narrow"/>
                <w:sz w:val="20"/>
                <w:szCs w:val="20"/>
              </w:rPr>
              <w:t xml:space="preserve">RR </w:t>
            </w:r>
            <w:r w:rsidR="008E39F1" w:rsidRPr="008E39F1">
              <w:rPr>
                <w:rFonts w:ascii="Arial Narrow" w:hAnsi="Arial Narrow"/>
                <w:sz w:val="20"/>
                <w:szCs w:val="20"/>
              </w:rPr>
              <w:t xml:space="preserve">0.89 </w:t>
            </w:r>
          </w:p>
          <w:p w:rsidR="008E39F1" w:rsidRPr="008E39F1" w:rsidRDefault="008E39F1" w:rsidP="008720A2">
            <w:pPr>
              <w:keepNext/>
              <w:jc w:val="center"/>
              <w:rPr>
                <w:rFonts w:ascii="Arial Narrow" w:hAnsi="Arial Narrow"/>
                <w:sz w:val="20"/>
                <w:szCs w:val="20"/>
              </w:rPr>
            </w:pPr>
            <w:r w:rsidRPr="008E39F1">
              <w:rPr>
                <w:rFonts w:ascii="Arial Narrow" w:hAnsi="Arial Narrow"/>
                <w:sz w:val="20"/>
                <w:szCs w:val="20"/>
              </w:rPr>
              <w:t>(0.61, 1.31)</w:t>
            </w:r>
          </w:p>
          <w:p w:rsidR="00A84E14" w:rsidRPr="00E60A5A" w:rsidRDefault="008E39F1" w:rsidP="008720A2">
            <w:pPr>
              <w:keepNext/>
              <w:jc w:val="center"/>
              <w:rPr>
                <w:rFonts w:ascii="Arial Narrow" w:hAnsi="Arial Narrow"/>
                <w:sz w:val="20"/>
                <w:szCs w:val="20"/>
              </w:rPr>
            </w:pPr>
            <w:r w:rsidRPr="008E39F1">
              <w:rPr>
                <w:rFonts w:ascii="Arial Narrow" w:hAnsi="Arial Narrow"/>
                <w:sz w:val="20"/>
                <w:szCs w:val="20"/>
              </w:rPr>
              <w:t>I</w:t>
            </w:r>
            <w:r w:rsidRPr="008E39F1">
              <w:rPr>
                <w:rFonts w:ascii="Arial Narrow" w:hAnsi="Arial Narrow"/>
                <w:sz w:val="20"/>
                <w:szCs w:val="20"/>
                <w:vertAlign w:val="superscript"/>
              </w:rPr>
              <w:t>2</w:t>
            </w:r>
            <w:r w:rsidRPr="008E39F1">
              <w:rPr>
                <w:rFonts w:ascii="Arial Narrow" w:hAnsi="Arial Narrow"/>
                <w:sz w:val="20"/>
                <w:szCs w:val="20"/>
              </w:rPr>
              <w:t xml:space="preserve"> = 0</w:t>
            </w:r>
          </w:p>
        </w:tc>
        <w:tc>
          <w:tcPr>
            <w:tcW w:w="2477" w:type="dxa"/>
            <w:gridSpan w:val="2"/>
            <w:tcBorders>
              <w:left w:val="double" w:sz="4" w:space="0" w:color="auto"/>
            </w:tcBorders>
            <w:vAlign w:val="center"/>
          </w:tcPr>
          <w:p w:rsidR="00A84E14" w:rsidRPr="00E60A5A" w:rsidRDefault="00C45EC8" w:rsidP="008720A2">
            <w:pPr>
              <w:keepNext/>
              <w:jc w:val="right"/>
              <w:rPr>
                <w:rFonts w:ascii="Arial Narrow" w:hAnsi="Arial Narrow"/>
                <w:i/>
                <w:sz w:val="20"/>
                <w:szCs w:val="20"/>
              </w:rPr>
            </w:pPr>
            <w:r w:rsidRPr="00E60A5A">
              <w:rPr>
                <w:rFonts w:ascii="Arial Narrow" w:hAnsi="Arial Narrow"/>
                <w:sz w:val="20"/>
                <w:szCs w:val="20"/>
              </w:rPr>
              <w:t xml:space="preserve">Meta-analysis of </w:t>
            </w:r>
            <w:proofErr w:type="spellStart"/>
            <w:r w:rsidRPr="00E60A5A">
              <w:rPr>
                <w:rFonts w:ascii="Arial Narrow" w:hAnsi="Arial Narrow"/>
                <w:sz w:val="20"/>
                <w:szCs w:val="20"/>
              </w:rPr>
              <w:t>dornase</w:t>
            </w:r>
            <w:proofErr w:type="spellEnd"/>
            <w:r w:rsidRPr="00E60A5A">
              <w:rPr>
                <w:rFonts w:ascii="Arial Narrow" w:hAnsi="Arial Narrow"/>
                <w:sz w:val="20"/>
                <w:szCs w:val="20"/>
              </w:rPr>
              <w:t xml:space="preserve"> </w:t>
            </w:r>
            <w:proofErr w:type="spellStart"/>
            <w:r w:rsidRPr="00E60A5A">
              <w:rPr>
                <w:rFonts w:ascii="Arial Narrow" w:hAnsi="Arial Narrow"/>
                <w:sz w:val="20"/>
                <w:szCs w:val="20"/>
              </w:rPr>
              <w:t>alfa</w:t>
            </w:r>
            <w:proofErr w:type="spellEnd"/>
            <w:r w:rsidRPr="00E60A5A">
              <w:rPr>
                <w:rFonts w:ascii="Arial Narrow" w:hAnsi="Arial Narrow"/>
                <w:sz w:val="20"/>
                <w:szCs w:val="20"/>
              </w:rPr>
              <w:t xml:space="preserve"> non-user</w:t>
            </w:r>
            <w:r>
              <w:rPr>
                <w:rFonts w:ascii="Arial Narrow" w:hAnsi="Arial Narrow"/>
                <w:sz w:val="20"/>
                <w:szCs w:val="20"/>
              </w:rPr>
              <w:t xml:space="preserve"> (PES commentary)</w:t>
            </w:r>
          </w:p>
        </w:tc>
        <w:tc>
          <w:tcPr>
            <w:tcW w:w="1246" w:type="dxa"/>
            <w:gridSpan w:val="2"/>
            <w:vAlign w:val="center"/>
          </w:tcPr>
          <w:p w:rsidR="001A4607" w:rsidRPr="001A4607" w:rsidRDefault="00607A40" w:rsidP="008720A2">
            <w:pPr>
              <w:keepNext/>
              <w:jc w:val="center"/>
              <w:rPr>
                <w:rFonts w:ascii="Arial Narrow" w:hAnsi="Arial Narrow"/>
                <w:b/>
                <w:sz w:val="20"/>
                <w:szCs w:val="20"/>
              </w:rPr>
            </w:pPr>
            <w:r>
              <w:rPr>
                <w:rFonts w:ascii="Arial Narrow" w:hAnsi="Arial Narrow"/>
                <w:b/>
                <w:sz w:val="20"/>
                <w:szCs w:val="20"/>
              </w:rPr>
              <w:t xml:space="preserve">RR </w:t>
            </w:r>
            <w:r w:rsidR="001A4607" w:rsidRPr="001A4607">
              <w:rPr>
                <w:rFonts w:ascii="Arial Narrow" w:hAnsi="Arial Narrow"/>
                <w:b/>
                <w:sz w:val="20"/>
                <w:szCs w:val="20"/>
              </w:rPr>
              <w:t xml:space="preserve">0.48 </w:t>
            </w:r>
          </w:p>
          <w:p w:rsidR="001A4607" w:rsidRPr="001A4607" w:rsidRDefault="001A4607" w:rsidP="008720A2">
            <w:pPr>
              <w:keepNext/>
              <w:jc w:val="center"/>
              <w:rPr>
                <w:rFonts w:ascii="Arial Narrow" w:hAnsi="Arial Narrow"/>
                <w:b/>
                <w:sz w:val="20"/>
                <w:szCs w:val="20"/>
              </w:rPr>
            </w:pPr>
            <w:r w:rsidRPr="001A4607">
              <w:rPr>
                <w:rFonts w:ascii="Arial Narrow" w:hAnsi="Arial Narrow"/>
                <w:b/>
                <w:sz w:val="20"/>
                <w:szCs w:val="20"/>
              </w:rPr>
              <w:t>(0.23, 0.99)</w:t>
            </w:r>
          </w:p>
          <w:p w:rsidR="00A84E14" w:rsidRPr="00E60A5A" w:rsidRDefault="001A4607" w:rsidP="008720A2">
            <w:pPr>
              <w:keepNext/>
              <w:jc w:val="center"/>
              <w:rPr>
                <w:rFonts w:ascii="Arial Narrow" w:hAnsi="Arial Narrow"/>
                <w:i/>
                <w:sz w:val="20"/>
                <w:szCs w:val="20"/>
              </w:rPr>
            </w:pPr>
            <w:r w:rsidRPr="001A4607">
              <w:rPr>
                <w:rFonts w:ascii="Arial Narrow" w:hAnsi="Arial Narrow"/>
                <w:sz w:val="20"/>
                <w:szCs w:val="20"/>
              </w:rPr>
              <w:t>I</w:t>
            </w:r>
            <w:r w:rsidRPr="001A4607">
              <w:rPr>
                <w:rFonts w:ascii="Arial Narrow" w:hAnsi="Arial Narrow"/>
                <w:sz w:val="20"/>
                <w:szCs w:val="20"/>
                <w:vertAlign w:val="superscript"/>
              </w:rPr>
              <w:t>2</w:t>
            </w:r>
            <w:r w:rsidRPr="001A4607">
              <w:rPr>
                <w:rFonts w:ascii="Arial Narrow" w:hAnsi="Arial Narrow"/>
                <w:sz w:val="20"/>
                <w:szCs w:val="20"/>
              </w:rPr>
              <w:t xml:space="preserve"> = 0</w:t>
            </w:r>
          </w:p>
        </w:tc>
      </w:tr>
      <w:tr w:rsidR="002412CD" w:rsidRPr="00A84E14" w:rsidTr="00DC68E2">
        <w:tc>
          <w:tcPr>
            <w:tcW w:w="8376" w:type="dxa"/>
            <w:gridSpan w:val="9"/>
          </w:tcPr>
          <w:p w:rsidR="002412CD" w:rsidRPr="00A84E14" w:rsidRDefault="002412CD" w:rsidP="008720A2">
            <w:pPr>
              <w:keepNext/>
              <w:rPr>
                <w:rFonts w:ascii="Arial Narrow" w:hAnsi="Arial Narrow"/>
                <w:b/>
                <w:sz w:val="20"/>
                <w:szCs w:val="20"/>
              </w:rPr>
            </w:pPr>
            <w:r>
              <w:rPr>
                <w:rFonts w:ascii="Arial Narrow" w:hAnsi="Arial Narrow"/>
                <w:b/>
                <w:sz w:val="20"/>
                <w:szCs w:val="20"/>
              </w:rPr>
              <w:t xml:space="preserve">Mean annualised rate of </w:t>
            </w:r>
            <w:r w:rsidRPr="00A84E14">
              <w:rPr>
                <w:rFonts w:ascii="Arial Narrow" w:hAnsi="Arial Narrow"/>
                <w:b/>
                <w:sz w:val="20"/>
                <w:szCs w:val="20"/>
              </w:rPr>
              <w:t>PE events per patient</w:t>
            </w:r>
            <w:r w:rsidR="00AB352E">
              <w:rPr>
                <w:rFonts w:ascii="Arial Narrow" w:hAnsi="Arial Narrow"/>
                <w:b/>
                <w:sz w:val="20"/>
                <w:szCs w:val="20"/>
              </w:rPr>
              <w:t xml:space="preserve"> (SD or 95% CI)</w:t>
            </w:r>
          </w:p>
        </w:tc>
      </w:tr>
      <w:tr w:rsidR="00CD1465" w:rsidRPr="00E60A5A" w:rsidTr="009C5198">
        <w:tc>
          <w:tcPr>
            <w:tcW w:w="935" w:type="dxa"/>
            <w:vAlign w:val="center"/>
          </w:tcPr>
          <w:p w:rsidR="00CD1465" w:rsidRDefault="00CD1465" w:rsidP="008720A2">
            <w:pPr>
              <w:keepNext/>
              <w:rPr>
                <w:rFonts w:ascii="Arial Narrow" w:hAnsi="Arial Narrow"/>
                <w:sz w:val="20"/>
                <w:szCs w:val="20"/>
              </w:rPr>
            </w:pPr>
            <w:r w:rsidRPr="00E60A5A">
              <w:rPr>
                <w:rFonts w:ascii="Arial Narrow" w:hAnsi="Arial Narrow"/>
                <w:sz w:val="20"/>
                <w:szCs w:val="20"/>
              </w:rPr>
              <w:t>CF-301</w:t>
            </w:r>
          </w:p>
          <w:p w:rsidR="00CD1465" w:rsidRPr="00E60A5A" w:rsidRDefault="00CD1465" w:rsidP="008720A2">
            <w:pPr>
              <w:keepNext/>
              <w:rPr>
                <w:rFonts w:ascii="Arial Narrow" w:hAnsi="Arial Narrow"/>
                <w:sz w:val="20"/>
                <w:szCs w:val="20"/>
              </w:rPr>
            </w:pPr>
            <w:r>
              <w:rPr>
                <w:rFonts w:ascii="Arial Narrow" w:hAnsi="Arial Narrow"/>
                <w:sz w:val="20"/>
                <w:szCs w:val="20"/>
              </w:rPr>
              <w:t>(N = 324)</w:t>
            </w:r>
          </w:p>
        </w:tc>
        <w:tc>
          <w:tcPr>
            <w:tcW w:w="1236" w:type="dxa"/>
            <w:vAlign w:val="center"/>
          </w:tcPr>
          <w:p w:rsidR="00CD1465" w:rsidRPr="00AB352E" w:rsidRDefault="00CD1465" w:rsidP="008720A2">
            <w:pPr>
              <w:keepNext/>
              <w:jc w:val="center"/>
              <w:rPr>
                <w:rFonts w:ascii="Arial Narrow" w:hAnsi="Arial Narrow"/>
                <w:sz w:val="20"/>
                <w:szCs w:val="20"/>
              </w:rPr>
            </w:pPr>
            <w:r w:rsidRPr="00AB352E">
              <w:rPr>
                <w:rFonts w:ascii="Arial Narrow" w:hAnsi="Arial Narrow"/>
                <w:sz w:val="20"/>
                <w:szCs w:val="20"/>
              </w:rPr>
              <w:t xml:space="preserve">1.82 </w:t>
            </w:r>
          </w:p>
          <w:p w:rsidR="00CD1465" w:rsidRPr="00E60A5A" w:rsidRDefault="00CD1465" w:rsidP="008720A2">
            <w:pPr>
              <w:keepNext/>
              <w:jc w:val="center"/>
              <w:rPr>
                <w:rFonts w:ascii="Arial Narrow" w:hAnsi="Arial Narrow"/>
                <w:sz w:val="20"/>
                <w:szCs w:val="20"/>
              </w:rPr>
            </w:pPr>
            <w:r>
              <w:rPr>
                <w:rFonts w:ascii="Arial Narrow" w:hAnsi="Arial Narrow"/>
                <w:sz w:val="20"/>
                <w:szCs w:val="20"/>
              </w:rPr>
              <w:t>(</w:t>
            </w:r>
            <w:r w:rsidRPr="00AB352E">
              <w:rPr>
                <w:rFonts w:ascii="Arial Narrow" w:hAnsi="Arial Narrow"/>
                <w:sz w:val="20"/>
                <w:szCs w:val="20"/>
              </w:rPr>
              <w:t>2.80)</w:t>
            </w:r>
          </w:p>
        </w:tc>
        <w:tc>
          <w:tcPr>
            <w:tcW w:w="1244" w:type="dxa"/>
            <w:vAlign w:val="center"/>
          </w:tcPr>
          <w:p w:rsidR="00CD1465" w:rsidRPr="00AB352E" w:rsidRDefault="00CD1465" w:rsidP="008720A2">
            <w:pPr>
              <w:keepNext/>
              <w:jc w:val="center"/>
              <w:rPr>
                <w:rFonts w:ascii="Arial Narrow" w:hAnsi="Arial Narrow"/>
                <w:sz w:val="20"/>
                <w:szCs w:val="20"/>
              </w:rPr>
            </w:pPr>
            <w:r w:rsidRPr="00AB352E">
              <w:rPr>
                <w:rFonts w:ascii="Arial Narrow" w:hAnsi="Arial Narrow"/>
                <w:sz w:val="20"/>
                <w:szCs w:val="20"/>
              </w:rPr>
              <w:t xml:space="preserve">2.18 </w:t>
            </w:r>
          </w:p>
          <w:p w:rsidR="00CD1465" w:rsidRPr="00E60A5A" w:rsidRDefault="00CD1465" w:rsidP="008720A2">
            <w:pPr>
              <w:keepNext/>
              <w:jc w:val="center"/>
              <w:rPr>
                <w:rFonts w:ascii="Arial Narrow" w:hAnsi="Arial Narrow"/>
                <w:sz w:val="20"/>
                <w:szCs w:val="20"/>
              </w:rPr>
            </w:pPr>
            <w:r>
              <w:rPr>
                <w:rFonts w:ascii="Arial Narrow" w:hAnsi="Arial Narrow"/>
                <w:sz w:val="20"/>
                <w:szCs w:val="20"/>
              </w:rPr>
              <w:t>(</w:t>
            </w:r>
            <w:r w:rsidRPr="00AB352E">
              <w:rPr>
                <w:rFonts w:ascii="Arial Narrow" w:hAnsi="Arial Narrow"/>
                <w:sz w:val="20"/>
                <w:szCs w:val="20"/>
              </w:rPr>
              <w:t>2.75)</w:t>
            </w:r>
          </w:p>
        </w:tc>
        <w:tc>
          <w:tcPr>
            <w:tcW w:w="1238" w:type="dxa"/>
            <w:gridSpan w:val="2"/>
            <w:tcBorders>
              <w:right w:val="double" w:sz="4" w:space="0" w:color="auto"/>
            </w:tcBorders>
            <w:vAlign w:val="center"/>
          </w:tcPr>
          <w:p w:rsidR="00CD1465" w:rsidRDefault="00CD1465" w:rsidP="008720A2">
            <w:pPr>
              <w:keepNext/>
              <w:jc w:val="center"/>
              <w:rPr>
                <w:rFonts w:ascii="Arial Narrow" w:hAnsi="Arial Narrow"/>
                <w:sz w:val="20"/>
                <w:szCs w:val="20"/>
              </w:rPr>
            </w:pPr>
            <w:r>
              <w:rPr>
                <w:rFonts w:ascii="Arial Narrow" w:hAnsi="Arial Narrow"/>
                <w:sz w:val="20"/>
                <w:szCs w:val="20"/>
              </w:rPr>
              <w:t xml:space="preserve">RR </w:t>
            </w:r>
            <w:r w:rsidRPr="00AB352E">
              <w:rPr>
                <w:rFonts w:ascii="Arial Narrow" w:hAnsi="Arial Narrow"/>
                <w:sz w:val="20"/>
                <w:szCs w:val="20"/>
              </w:rPr>
              <w:t xml:space="preserve">0.76 </w:t>
            </w:r>
          </w:p>
          <w:p w:rsidR="00CD1465" w:rsidRPr="00E60A5A" w:rsidRDefault="00CD1465" w:rsidP="008720A2">
            <w:pPr>
              <w:keepNext/>
              <w:jc w:val="center"/>
              <w:rPr>
                <w:rFonts w:ascii="Arial Narrow" w:hAnsi="Arial Narrow"/>
                <w:sz w:val="20"/>
                <w:szCs w:val="20"/>
              </w:rPr>
            </w:pPr>
            <w:r w:rsidRPr="00AB352E">
              <w:rPr>
                <w:rFonts w:ascii="Arial Narrow" w:hAnsi="Arial Narrow"/>
                <w:sz w:val="20"/>
                <w:szCs w:val="20"/>
              </w:rPr>
              <w:t>(0.55, 1.06)</w:t>
            </w:r>
          </w:p>
        </w:tc>
        <w:tc>
          <w:tcPr>
            <w:tcW w:w="1238" w:type="dxa"/>
            <w:tcBorders>
              <w:left w:val="double" w:sz="4" w:space="0" w:color="auto"/>
            </w:tcBorders>
            <w:vAlign w:val="center"/>
          </w:tcPr>
          <w:p w:rsidR="00CD1465" w:rsidRPr="00AB352E" w:rsidRDefault="00CD1465" w:rsidP="008720A2">
            <w:pPr>
              <w:keepNext/>
              <w:jc w:val="center"/>
              <w:rPr>
                <w:rFonts w:ascii="Arial Narrow" w:hAnsi="Arial Narrow"/>
                <w:sz w:val="20"/>
                <w:szCs w:val="20"/>
              </w:rPr>
            </w:pPr>
            <w:r w:rsidRPr="00AB352E">
              <w:rPr>
                <w:rFonts w:ascii="Arial Narrow" w:hAnsi="Arial Narrow"/>
                <w:sz w:val="20"/>
                <w:szCs w:val="20"/>
              </w:rPr>
              <w:t xml:space="preserve">1.37 </w:t>
            </w:r>
          </w:p>
          <w:p w:rsidR="00CD1465" w:rsidRPr="00E60A5A" w:rsidRDefault="00CD1465" w:rsidP="008720A2">
            <w:pPr>
              <w:keepNext/>
              <w:jc w:val="center"/>
              <w:rPr>
                <w:rFonts w:ascii="Arial Narrow" w:hAnsi="Arial Narrow"/>
                <w:sz w:val="20"/>
                <w:szCs w:val="20"/>
              </w:rPr>
            </w:pPr>
            <w:r>
              <w:rPr>
                <w:rFonts w:ascii="Arial Narrow" w:hAnsi="Arial Narrow"/>
                <w:sz w:val="20"/>
                <w:szCs w:val="20"/>
              </w:rPr>
              <w:t>(</w:t>
            </w:r>
            <w:r w:rsidRPr="00AB352E">
              <w:rPr>
                <w:rFonts w:ascii="Arial Narrow" w:hAnsi="Arial Narrow"/>
                <w:sz w:val="20"/>
                <w:szCs w:val="20"/>
              </w:rPr>
              <w:t>2.79)</w:t>
            </w:r>
          </w:p>
        </w:tc>
        <w:tc>
          <w:tcPr>
            <w:tcW w:w="1239" w:type="dxa"/>
            <w:vAlign w:val="center"/>
          </w:tcPr>
          <w:p w:rsidR="00CD1465" w:rsidRPr="00AB352E" w:rsidRDefault="00CD1465" w:rsidP="008720A2">
            <w:pPr>
              <w:keepNext/>
              <w:jc w:val="center"/>
              <w:rPr>
                <w:rFonts w:ascii="Arial Narrow" w:hAnsi="Arial Narrow"/>
                <w:sz w:val="20"/>
                <w:szCs w:val="20"/>
              </w:rPr>
            </w:pPr>
            <w:r w:rsidRPr="00AB352E">
              <w:rPr>
                <w:rFonts w:ascii="Arial Narrow" w:hAnsi="Arial Narrow"/>
                <w:sz w:val="20"/>
                <w:szCs w:val="20"/>
              </w:rPr>
              <w:t xml:space="preserve">1.51 </w:t>
            </w:r>
          </w:p>
          <w:p w:rsidR="00CD1465" w:rsidRPr="00E60A5A" w:rsidRDefault="00CD1465" w:rsidP="008720A2">
            <w:pPr>
              <w:keepNext/>
              <w:jc w:val="center"/>
              <w:rPr>
                <w:rFonts w:ascii="Arial Narrow" w:hAnsi="Arial Narrow"/>
                <w:sz w:val="20"/>
                <w:szCs w:val="20"/>
              </w:rPr>
            </w:pPr>
            <w:r>
              <w:rPr>
                <w:rFonts w:ascii="Arial Narrow" w:hAnsi="Arial Narrow"/>
                <w:sz w:val="20"/>
                <w:szCs w:val="20"/>
              </w:rPr>
              <w:t>(</w:t>
            </w:r>
            <w:r w:rsidRPr="00AB352E">
              <w:rPr>
                <w:rFonts w:ascii="Arial Narrow" w:hAnsi="Arial Narrow"/>
                <w:sz w:val="20"/>
                <w:szCs w:val="20"/>
              </w:rPr>
              <w:t>2.16)</w:t>
            </w:r>
          </w:p>
        </w:tc>
        <w:tc>
          <w:tcPr>
            <w:tcW w:w="1246" w:type="dxa"/>
            <w:gridSpan w:val="2"/>
            <w:vAlign w:val="center"/>
          </w:tcPr>
          <w:p w:rsidR="00CD1465" w:rsidRDefault="00CD1465" w:rsidP="008720A2">
            <w:pPr>
              <w:keepNext/>
              <w:jc w:val="center"/>
              <w:rPr>
                <w:rFonts w:ascii="Arial Narrow" w:hAnsi="Arial Narrow"/>
                <w:sz w:val="20"/>
                <w:szCs w:val="20"/>
              </w:rPr>
            </w:pPr>
            <w:r>
              <w:rPr>
                <w:rFonts w:ascii="Arial Narrow" w:hAnsi="Arial Narrow"/>
                <w:sz w:val="20"/>
                <w:szCs w:val="20"/>
              </w:rPr>
              <w:t xml:space="preserve">RR </w:t>
            </w:r>
            <w:r w:rsidRPr="00AB352E">
              <w:rPr>
                <w:rFonts w:ascii="Arial Narrow" w:hAnsi="Arial Narrow"/>
                <w:sz w:val="20"/>
                <w:szCs w:val="20"/>
              </w:rPr>
              <w:t xml:space="preserve">0.94 </w:t>
            </w:r>
          </w:p>
          <w:p w:rsidR="00CD1465" w:rsidRPr="00E60A5A" w:rsidRDefault="00CD1465" w:rsidP="008720A2">
            <w:pPr>
              <w:keepNext/>
              <w:jc w:val="center"/>
              <w:rPr>
                <w:rFonts w:ascii="Arial Narrow" w:hAnsi="Arial Narrow"/>
                <w:sz w:val="20"/>
                <w:szCs w:val="20"/>
              </w:rPr>
            </w:pPr>
            <w:r w:rsidRPr="00AB352E">
              <w:rPr>
                <w:rFonts w:ascii="Arial Narrow" w:hAnsi="Arial Narrow"/>
                <w:sz w:val="20"/>
                <w:szCs w:val="20"/>
              </w:rPr>
              <w:t>(0.55, 1.60)</w:t>
            </w:r>
          </w:p>
        </w:tc>
      </w:tr>
      <w:tr w:rsidR="00CD1465" w:rsidRPr="00E60A5A" w:rsidTr="009C5198">
        <w:tc>
          <w:tcPr>
            <w:tcW w:w="935" w:type="dxa"/>
            <w:vAlign w:val="center"/>
          </w:tcPr>
          <w:p w:rsidR="00CD1465" w:rsidRDefault="00CD1465" w:rsidP="008720A2">
            <w:pPr>
              <w:keepNext/>
              <w:rPr>
                <w:rFonts w:ascii="Arial Narrow" w:hAnsi="Arial Narrow"/>
                <w:sz w:val="20"/>
                <w:szCs w:val="20"/>
              </w:rPr>
            </w:pPr>
            <w:r w:rsidRPr="00E60A5A">
              <w:rPr>
                <w:rFonts w:ascii="Arial Narrow" w:hAnsi="Arial Narrow"/>
                <w:sz w:val="20"/>
                <w:szCs w:val="20"/>
              </w:rPr>
              <w:t>CF-302</w:t>
            </w:r>
          </w:p>
          <w:p w:rsidR="00CD1465" w:rsidRPr="00E60A5A" w:rsidRDefault="00CD1465" w:rsidP="008720A2">
            <w:pPr>
              <w:keepNext/>
              <w:rPr>
                <w:rFonts w:ascii="Arial Narrow" w:hAnsi="Arial Narrow"/>
                <w:sz w:val="20"/>
                <w:szCs w:val="20"/>
              </w:rPr>
            </w:pPr>
            <w:r>
              <w:rPr>
                <w:rFonts w:ascii="Arial Narrow" w:hAnsi="Arial Narrow"/>
                <w:sz w:val="20"/>
                <w:szCs w:val="20"/>
              </w:rPr>
              <w:t>(N = 318)</w:t>
            </w:r>
          </w:p>
        </w:tc>
        <w:tc>
          <w:tcPr>
            <w:tcW w:w="1236" w:type="dxa"/>
            <w:vAlign w:val="center"/>
          </w:tcPr>
          <w:p w:rsidR="00CD1465" w:rsidRPr="00AB352E" w:rsidRDefault="00CD1465" w:rsidP="008720A2">
            <w:pPr>
              <w:keepNext/>
              <w:jc w:val="center"/>
              <w:rPr>
                <w:rFonts w:ascii="Arial Narrow" w:hAnsi="Arial Narrow"/>
                <w:sz w:val="20"/>
                <w:szCs w:val="20"/>
              </w:rPr>
            </w:pPr>
            <w:r w:rsidRPr="00AB352E">
              <w:rPr>
                <w:rFonts w:ascii="Arial Narrow" w:hAnsi="Arial Narrow"/>
                <w:sz w:val="20"/>
                <w:szCs w:val="20"/>
              </w:rPr>
              <w:t xml:space="preserve">2.36 </w:t>
            </w:r>
          </w:p>
          <w:p w:rsidR="00CD1465" w:rsidRPr="00E60A5A" w:rsidRDefault="00CD1465" w:rsidP="008720A2">
            <w:pPr>
              <w:keepNext/>
              <w:jc w:val="center"/>
              <w:rPr>
                <w:rFonts w:ascii="Arial Narrow" w:hAnsi="Arial Narrow"/>
                <w:sz w:val="20"/>
                <w:szCs w:val="20"/>
              </w:rPr>
            </w:pPr>
            <w:r>
              <w:rPr>
                <w:rFonts w:ascii="Arial Narrow" w:hAnsi="Arial Narrow"/>
                <w:sz w:val="20"/>
                <w:szCs w:val="20"/>
              </w:rPr>
              <w:t>(</w:t>
            </w:r>
            <w:r w:rsidRPr="00AB352E">
              <w:rPr>
                <w:rFonts w:ascii="Arial Narrow" w:hAnsi="Arial Narrow"/>
                <w:sz w:val="20"/>
                <w:szCs w:val="20"/>
              </w:rPr>
              <w:t>2.00, 2.78)</w:t>
            </w:r>
          </w:p>
        </w:tc>
        <w:tc>
          <w:tcPr>
            <w:tcW w:w="1244" w:type="dxa"/>
            <w:vAlign w:val="center"/>
          </w:tcPr>
          <w:p w:rsidR="00CD1465" w:rsidRPr="00AB352E" w:rsidRDefault="00CD1465" w:rsidP="008720A2">
            <w:pPr>
              <w:keepNext/>
              <w:jc w:val="center"/>
              <w:rPr>
                <w:rFonts w:ascii="Arial Narrow" w:hAnsi="Arial Narrow"/>
                <w:sz w:val="20"/>
                <w:szCs w:val="20"/>
              </w:rPr>
            </w:pPr>
            <w:r w:rsidRPr="00AB352E">
              <w:rPr>
                <w:rFonts w:ascii="Arial Narrow" w:hAnsi="Arial Narrow"/>
                <w:sz w:val="20"/>
                <w:szCs w:val="20"/>
              </w:rPr>
              <w:t xml:space="preserve">2.20 </w:t>
            </w:r>
          </w:p>
          <w:p w:rsidR="00CD1465" w:rsidRPr="00E60A5A" w:rsidRDefault="00CD1465" w:rsidP="008720A2">
            <w:pPr>
              <w:keepNext/>
              <w:jc w:val="center"/>
              <w:rPr>
                <w:rFonts w:ascii="Arial Narrow" w:hAnsi="Arial Narrow"/>
                <w:sz w:val="20"/>
                <w:szCs w:val="20"/>
              </w:rPr>
            </w:pPr>
            <w:r>
              <w:rPr>
                <w:rFonts w:ascii="Arial Narrow" w:hAnsi="Arial Narrow"/>
                <w:sz w:val="20"/>
                <w:szCs w:val="20"/>
              </w:rPr>
              <w:t>(</w:t>
            </w:r>
            <w:r w:rsidRPr="00AB352E">
              <w:rPr>
                <w:rFonts w:ascii="Arial Narrow" w:hAnsi="Arial Narrow"/>
                <w:sz w:val="20"/>
                <w:szCs w:val="20"/>
              </w:rPr>
              <w:t>1.80, 2.68)</w:t>
            </w:r>
          </w:p>
        </w:tc>
        <w:tc>
          <w:tcPr>
            <w:tcW w:w="1238" w:type="dxa"/>
            <w:gridSpan w:val="2"/>
            <w:tcBorders>
              <w:right w:val="double" w:sz="4" w:space="0" w:color="auto"/>
            </w:tcBorders>
            <w:vAlign w:val="center"/>
          </w:tcPr>
          <w:p w:rsidR="00CD1465" w:rsidRDefault="00CD1465" w:rsidP="008720A2">
            <w:pPr>
              <w:keepNext/>
              <w:jc w:val="center"/>
              <w:rPr>
                <w:rFonts w:ascii="Arial Narrow" w:hAnsi="Arial Narrow"/>
                <w:sz w:val="20"/>
                <w:szCs w:val="20"/>
              </w:rPr>
            </w:pPr>
            <w:r>
              <w:rPr>
                <w:rFonts w:ascii="Arial Narrow" w:hAnsi="Arial Narrow"/>
                <w:sz w:val="20"/>
                <w:szCs w:val="20"/>
              </w:rPr>
              <w:t xml:space="preserve">RR </w:t>
            </w:r>
            <w:r w:rsidRPr="00AB352E">
              <w:rPr>
                <w:rFonts w:ascii="Arial Narrow" w:hAnsi="Arial Narrow"/>
                <w:sz w:val="20"/>
                <w:szCs w:val="20"/>
              </w:rPr>
              <w:t xml:space="preserve">1.00 </w:t>
            </w:r>
          </w:p>
          <w:p w:rsidR="00CD1465" w:rsidRPr="00E60A5A" w:rsidRDefault="00CD1465" w:rsidP="008720A2">
            <w:pPr>
              <w:keepNext/>
              <w:jc w:val="center"/>
              <w:rPr>
                <w:rFonts w:ascii="Arial Narrow" w:hAnsi="Arial Narrow"/>
                <w:sz w:val="20"/>
                <w:szCs w:val="20"/>
              </w:rPr>
            </w:pPr>
            <w:r w:rsidRPr="00AB352E">
              <w:rPr>
                <w:rFonts w:ascii="Arial Narrow" w:hAnsi="Arial Narrow"/>
                <w:sz w:val="20"/>
                <w:szCs w:val="20"/>
              </w:rPr>
              <w:t>(0.77, 1.30)</w:t>
            </w:r>
          </w:p>
        </w:tc>
        <w:tc>
          <w:tcPr>
            <w:tcW w:w="1238" w:type="dxa"/>
            <w:tcBorders>
              <w:left w:val="double" w:sz="4" w:space="0" w:color="auto"/>
            </w:tcBorders>
            <w:vAlign w:val="center"/>
          </w:tcPr>
          <w:p w:rsidR="00CD1465" w:rsidRPr="00AB352E" w:rsidRDefault="00CD1465" w:rsidP="008720A2">
            <w:pPr>
              <w:keepNext/>
              <w:jc w:val="center"/>
              <w:rPr>
                <w:rFonts w:ascii="Arial Narrow" w:hAnsi="Arial Narrow"/>
                <w:sz w:val="20"/>
                <w:szCs w:val="20"/>
              </w:rPr>
            </w:pPr>
            <w:r w:rsidRPr="00AB352E">
              <w:rPr>
                <w:rFonts w:ascii="Arial Narrow" w:hAnsi="Arial Narrow"/>
                <w:sz w:val="20"/>
                <w:szCs w:val="20"/>
              </w:rPr>
              <w:t xml:space="preserve">1.33 </w:t>
            </w:r>
          </w:p>
          <w:p w:rsidR="00CD1465" w:rsidRPr="00E60A5A" w:rsidRDefault="00CD1465" w:rsidP="008720A2">
            <w:pPr>
              <w:keepNext/>
              <w:jc w:val="center"/>
              <w:rPr>
                <w:rFonts w:ascii="Arial Narrow" w:hAnsi="Arial Narrow"/>
                <w:sz w:val="20"/>
                <w:szCs w:val="20"/>
              </w:rPr>
            </w:pPr>
            <w:r>
              <w:rPr>
                <w:rFonts w:ascii="Arial Narrow" w:hAnsi="Arial Narrow"/>
                <w:sz w:val="20"/>
                <w:szCs w:val="20"/>
              </w:rPr>
              <w:t>(</w:t>
            </w:r>
            <w:r w:rsidRPr="00AB352E">
              <w:rPr>
                <w:rFonts w:ascii="Arial Narrow" w:hAnsi="Arial Narrow"/>
                <w:sz w:val="20"/>
                <w:szCs w:val="20"/>
              </w:rPr>
              <w:t>0.92, 1.91)</w:t>
            </w:r>
          </w:p>
        </w:tc>
        <w:tc>
          <w:tcPr>
            <w:tcW w:w="1239" w:type="dxa"/>
            <w:vAlign w:val="center"/>
          </w:tcPr>
          <w:p w:rsidR="00CD1465" w:rsidRPr="00AB352E" w:rsidRDefault="00CD1465" w:rsidP="008720A2">
            <w:pPr>
              <w:keepNext/>
              <w:jc w:val="center"/>
              <w:rPr>
                <w:rFonts w:ascii="Arial Narrow" w:hAnsi="Arial Narrow"/>
                <w:sz w:val="20"/>
                <w:szCs w:val="20"/>
              </w:rPr>
            </w:pPr>
            <w:r w:rsidRPr="00AB352E">
              <w:rPr>
                <w:rFonts w:ascii="Arial Narrow" w:hAnsi="Arial Narrow"/>
                <w:sz w:val="20"/>
                <w:szCs w:val="20"/>
              </w:rPr>
              <w:t xml:space="preserve">2.22 </w:t>
            </w:r>
          </w:p>
          <w:p w:rsidR="00CD1465" w:rsidRPr="00E60A5A" w:rsidRDefault="00CD1465" w:rsidP="008720A2">
            <w:pPr>
              <w:keepNext/>
              <w:jc w:val="center"/>
              <w:rPr>
                <w:rFonts w:ascii="Arial Narrow" w:hAnsi="Arial Narrow"/>
                <w:sz w:val="20"/>
                <w:szCs w:val="20"/>
              </w:rPr>
            </w:pPr>
            <w:r>
              <w:rPr>
                <w:rFonts w:ascii="Arial Narrow" w:hAnsi="Arial Narrow"/>
                <w:sz w:val="20"/>
                <w:szCs w:val="20"/>
              </w:rPr>
              <w:t>(</w:t>
            </w:r>
            <w:r w:rsidRPr="00AB352E">
              <w:rPr>
                <w:rFonts w:ascii="Arial Narrow" w:hAnsi="Arial Narrow"/>
                <w:sz w:val="20"/>
                <w:szCs w:val="20"/>
              </w:rPr>
              <w:t>1.55, 3.17)</w:t>
            </w:r>
          </w:p>
        </w:tc>
        <w:tc>
          <w:tcPr>
            <w:tcW w:w="1246" w:type="dxa"/>
            <w:gridSpan w:val="2"/>
            <w:vAlign w:val="center"/>
          </w:tcPr>
          <w:p w:rsidR="00CD1465" w:rsidRDefault="00CD1465" w:rsidP="008720A2">
            <w:pPr>
              <w:keepNext/>
              <w:jc w:val="center"/>
              <w:rPr>
                <w:rFonts w:ascii="Arial Narrow" w:hAnsi="Arial Narrow"/>
                <w:sz w:val="20"/>
                <w:szCs w:val="20"/>
              </w:rPr>
            </w:pPr>
            <w:r>
              <w:rPr>
                <w:rFonts w:ascii="Arial Narrow" w:hAnsi="Arial Narrow"/>
                <w:sz w:val="20"/>
                <w:szCs w:val="20"/>
              </w:rPr>
              <w:t xml:space="preserve">RR </w:t>
            </w:r>
            <w:r w:rsidRPr="00AB352E">
              <w:rPr>
                <w:rFonts w:ascii="Arial Narrow" w:hAnsi="Arial Narrow"/>
                <w:sz w:val="20"/>
                <w:szCs w:val="20"/>
              </w:rPr>
              <w:t xml:space="preserve">0.69 </w:t>
            </w:r>
          </w:p>
          <w:p w:rsidR="00CD1465" w:rsidRPr="00E60A5A" w:rsidRDefault="00CD1465" w:rsidP="008720A2">
            <w:pPr>
              <w:keepNext/>
              <w:jc w:val="center"/>
              <w:rPr>
                <w:rFonts w:ascii="Arial Narrow" w:hAnsi="Arial Narrow"/>
                <w:sz w:val="20"/>
                <w:szCs w:val="20"/>
              </w:rPr>
            </w:pPr>
            <w:r w:rsidRPr="00AB352E">
              <w:rPr>
                <w:rFonts w:ascii="Arial Narrow" w:hAnsi="Arial Narrow"/>
                <w:sz w:val="20"/>
                <w:szCs w:val="20"/>
              </w:rPr>
              <w:t>(0.41, 1.16)</w:t>
            </w:r>
          </w:p>
        </w:tc>
      </w:tr>
      <w:tr w:rsidR="00CD1465" w:rsidRPr="00E60A5A" w:rsidTr="009C5198">
        <w:tc>
          <w:tcPr>
            <w:tcW w:w="3421" w:type="dxa"/>
            <w:gridSpan w:val="4"/>
            <w:vAlign w:val="center"/>
          </w:tcPr>
          <w:p w:rsidR="00C45EC8" w:rsidRDefault="00C45EC8" w:rsidP="008720A2">
            <w:pPr>
              <w:keepNext/>
              <w:jc w:val="right"/>
              <w:rPr>
                <w:rFonts w:ascii="Arial Narrow" w:hAnsi="Arial Narrow"/>
                <w:sz w:val="20"/>
                <w:szCs w:val="20"/>
              </w:rPr>
            </w:pPr>
            <w:r w:rsidRPr="00E60A5A">
              <w:rPr>
                <w:rFonts w:ascii="Arial Narrow" w:hAnsi="Arial Narrow"/>
                <w:sz w:val="20"/>
                <w:szCs w:val="20"/>
              </w:rPr>
              <w:t xml:space="preserve">Meta-analysis of </w:t>
            </w:r>
            <w:proofErr w:type="spellStart"/>
            <w:r w:rsidRPr="00E60A5A">
              <w:rPr>
                <w:rFonts w:ascii="Arial Narrow" w:hAnsi="Arial Narrow"/>
                <w:sz w:val="20"/>
                <w:szCs w:val="20"/>
              </w:rPr>
              <w:t>dornase</w:t>
            </w:r>
            <w:proofErr w:type="spellEnd"/>
            <w:r w:rsidRPr="00E60A5A">
              <w:rPr>
                <w:rFonts w:ascii="Arial Narrow" w:hAnsi="Arial Narrow"/>
                <w:sz w:val="20"/>
                <w:szCs w:val="20"/>
              </w:rPr>
              <w:t xml:space="preserve"> </w:t>
            </w:r>
            <w:proofErr w:type="spellStart"/>
            <w:r w:rsidRPr="00E60A5A">
              <w:rPr>
                <w:rFonts w:ascii="Arial Narrow" w:hAnsi="Arial Narrow"/>
                <w:sz w:val="20"/>
                <w:szCs w:val="20"/>
              </w:rPr>
              <w:t>alfa</w:t>
            </w:r>
            <w:proofErr w:type="spellEnd"/>
            <w:r w:rsidRPr="00E60A5A">
              <w:rPr>
                <w:rFonts w:ascii="Arial Narrow" w:hAnsi="Arial Narrow"/>
                <w:sz w:val="20"/>
                <w:szCs w:val="20"/>
              </w:rPr>
              <w:t xml:space="preserve"> users</w:t>
            </w:r>
          </w:p>
          <w:p w:rsidR="002412CD" w:rsidRPr="00E60A5A" w:rsidRDefault="00C45EC8" w:rsidP="008720A2">
            <w:pPr>
              <w:keepNext/>
              <w:jc w:val="right"/>
              <w:rPr>
                <w:rFonts w:ascii="Arial Narrow" w:hAnsi="Arial Narrow"/>
                <w:sz w:val="20"/>
                <w:szCs w:val="20"/>
              </w:rPr>
            </w:pPr>
            <w:r>
              <w:rPr>
                <w:rFonts w:ascii="Arial Narrow" w:hAnsi="Arial Narrow"/>
                <w:sz w:val="20"/>
                <w:szCs w:val="20"/>
              </w:rPr>
              <w:t xml:space="preserve"> (PES commentary)</w:t>
            </w:r>
          </w:p>
        </w:tc>
        <w:tc>
          <w:tcPr>
            <w:tcW w:w="1232" w:type="dxa"/>
            <w:tcBorders>
              <w:right w:val="double" w:sz="4" w:space="0" w:color="auto"/>
            </w:tcBorders>
            <w:vAlign w:val="center"/>
          </w:tcPr>
          <w:p w:rsidR="00AB352E" w:rsidRDefault="00AB352E" w:rsidP="008720A2">
            <w:pPr>
              <w:keepNext/>
              <w:jc w:val="center"/>
              <w:rPr>
                <w:rFonts w:ascii="Arial Narrow" w:hAnsi="Arial Narrow"/>
                <w:sz w:val="20"/>
                <w:szCs w:val="20"/>
              </w:rPr>
            </w:pPr>
            <w:r>
              <w:rPr>
                <w:rFonts w:ascii="Arial Narrow" w:hAnsi="Arial Narrow"/>
                <w:sz w:val="20"/>
                <w:szCs w:val="20"/>
              </w:rPr>
              <w:t xml:space="preserve">RR </w:t>
            </w:r>
            <w:r w:rsidRPr="00AB352E">
              <w:rPr>
                <w:rFonts w:ascii="Arial Narrow" w:hAnsi="Arial Narrow"/>
                <w:sz w:val="20"/>
                <w:szCs w:val="20"/>
              </w:rPr>
              <w:t xml:space="preserve">0.90 </w:t>
            </w:r>
          </w:p>
          <w:p w:rsidR="00AB352E" w:rsidRPr="00AB352E" w:rsidRDefault="00AB352E" w:rsidP="008720A2">
            <w:pPr>
              <w:keepNext/>
              <w:jc w:val="center"/>
              <w:rPr>
                <w:rFonts w:ascii="Arial Narrow" w:hAnsi="Arial Narrow"/>
                <w:sz w:val="20"/>
                <w:szCs w:val="20"/>
              </w:rPr>
            </w:pPr>
            <w:r w:rsidRPr="00AB352E">
              <w:rPr>
                <w:rFonts w:ascii="Arial Narrow" w:hAnsi="Arial Narrow"/>
                <w:sz w:val="20"/>
                <w:szCs w:val="20"/>
              </w:rPr>
              <w:t>(0.73, 1.10)</w:t>
            </w:r>
          </w:p>
          <w:p w:rsidR="002412CD" w:rsidRPr="00E60A5A" w:rsidRDefault="00AB352E" w:rsidP="008720A2">
            <w:pPr>
              <w:keepNext/>
              <w:jc w:val="center"/>
              <w:rPr>
                <w:rFonts w:ascii="Arial Narrow" w:hAnsi="Arial Narrow"/>
                <w:sz w:val="20"/>
                <w:szCs w:val="20"/>
              </w:rPr>
            </w:pPr>
            <w:r w:rsidRPr="00AB352E">
              <w:rPr>
                <w:rFonts w:ascii="Arial Narrow" w:hAnsi="Arial Narrow"/>
                <w:sz w:val="20"/>
                <w:szCs w:val="20"/>
              </w:rPr>
              <w:t>I</w:t>
            </w:r>
            <w:r w:rsidRPr="00AB352E">
              <w:rPr>
                <w:rFonts w:ascii="Arial Narrow" w:hAnsi="Arial Narrow"/>
                <w:sz w:val="20"/>
                <w:szCs w:val="20"/>
                <w:vertAlign w:val="superscript"/>
              </w:rPr>
              <w:t>2</w:t>
            </w:r>
            <w:r w:rsidRPr="00AB352E">
              <w:rPr>
                <w:rFonts w:ascii="Arial Narrow" w:hAnsi="Arial Narrow"/>
                <w:sz w:val="20"/>
                <w:szCs w:val="20"/>
              </w:rPr>
              <w:t xml:space="preserve"> = 39</w:t>
            </w:r>
            <w:r>
              <w:rPr>
                <w:rFonts w:ascii="Arial Narrow" w:hAnsi="Arial Narrow"/>
                <w:sz w:val="20"/>
                <w:szCs w:val="20"/>
              </w:rPr>
              <w:t>%</w:t>
            </w:r>
          </w:p>
        </w:tc>
        <w:tc>
          <w:tcPr>
            <w:tcW w:w="2477" w:type="dxa"/>
            <w:gridSpan w:val="2"/>
            <w:tcBorders>
              <w:left w:val="double" w:sz="4" w:space="0" w:color="auto"/>
            </w:tcBorders>
            <w:vAlign w:val="center"/>
          </w:tcPr>
          <w:p w:rsidR="002412CD" w:rsidRPr="00E60A5A" w:rsidRDefault="00C45EC8" w:rsidP="008720A2">
            <w:pPr>
              <w:keepNext/>
              <w:jc w:val="right"/>
              <w:rPr>
                <w:rFonts w:ascii="Arial Narrow" w:hAnsi="Arial Narrow"/>
                <w:i/>
                <w:sz w:val="20"/>
                <w:szCs w:val="20"/>
              </w:rPr>
            </w:pPr>
            <w:r w:rsidRPr="00E60A5A">
              <w:rPr>
                <w:rFonts w:ascii="Arial Narrow" w:hAnsi="Arial Narrow"/>
                <w:sz w:val="20"/>
                <w:szCs w:val="20"/>
              </w:rPr>
              <w:t xml:space="preserve">Meta-analysis of </w:t>
            </w:r>
            <w:proofErr w:type="spellStart"/>
            <w:r w:rsidRPr="00E60A5A">
              <w:rPr>
                <w:rFonts w:ascii="Arial Narrow" w:hAnsi="Arial Narrow"/>
                <w:sz w:val="20"/>
                <w:szCs w:val="20"/>
              </w:rPr>
              <w:t>dornase</w:t>
            </w:r>
            <w:proofErr w:type="spellEnd"/>
            <w:r w:rsidRPr="00E60A5A">
              <w:rPr>
                <w:rFonts w:ascii="Arial Narrow" w:hAnsi="Arial Narrow"/>
                <w:sz w:val="20"/>
                <w:szCs w:val="20"/>
              </w:rPr>
              <w:t xml:space="preserve"> </w:t>
            </w:r>
            <w:proofErr w:type="spellStart"/>
            <w:r w:rsidRPr="00E60A5A">
              <w:rPr>
                <w:rFonts w:ascii="Arial Narrow" w:hAnsi="Arial Narrow"/>
                <w:sz w:val="20"/>
                <w:szCs w:val="20"/>
              </w:rPr>
              <w:t>alfa</w:t>
            </w:r>
            <w:proofErr w:type="spellEnd"/>
            <w:r w:rsidRPr="00E60A5A">
              <w:rPr>
                <w:rFonts w:ascii="Arial Narrow" w:hAnsi="Arial Narrow"/>
                <w:sz w:val="20"/>
                <w:szCs w:val="20"/>
              </w:rPr>
              <w:t xml:space="preserve"> non-user</w:t>
            </w:r>
            <w:r>
              <w:rPr>
                <w:rFonts w:ascii="Arial Narrow" w:hAnsi="Arial Narrow"/>
                <w:sz w:val="20"/>
                <w:szCs w:val="20"/>
              </w:rPr>
              <w:t xml:space="preserve"> (PES commentary)</w:t>
            </w:r>
          </w:p>
        </w:tc>
        <w:tc>
          <w:tcPr>
            <w:tcW w:w="1246" w:type="dxa"/>
            <w:gridSpan w:val="2"/>
            <w:vAlign w:val="center"/>
          </w:tcPr>
          <w:p w:rsidR="00AB352E" w:rsidRPr="00AB352E" w:rsidRDefault="00AB352E" w:rsidP="008720A2">
            <w:pPr>
              <w:keepNext/>
              <w:jc w:val="center"/>
              <w:rPr>
                <w:rFonts w:ascii="Arial Narrow" w:hAnsi="Arial Narrow"/>
                <w:sz w:val="20"/>
                <w:szCs w:val="20"/>
              </w:rPr>
            </w:pPr>
            <w:r>
              <w:rPr>
                <w:rFonts w:ascii="Arial Narrow" w:hAnsi="Arial Narrow"/>
                <w:sz w:val="20"/>
                <w:szCs w:val="20"/>
              </w:rPr>
              <w:t xml:space="preserve">RR </w:t>
            </w:r>
            <w:r w:rsidRPr="00AB352E">
              <w:rPr>
                <w:rFonts w:ascii="Arial Narrow" w:hAnsi="Arial Narrow"/>
                <w:sz w:val="20"/>
                <w:szCs w:val="20"/>
              </w:rPr>
              <w:t xml:space="preserve">0.80 </w:t>
            </w:r>
          </w:p>
          <w:p w:rsidR="00AB352E" w:rsidRPr="00AB352E" w:rsidRDefault="00AB352E" w:rsidP="008720A2">
            <w:pPr>
              <w:keepNext/>
              <w:jc w:val="center"/>
              <w:rPr>
                <w:rFonts w:ascii="Arial Narrow" w:hAnsi="Arial Narrow"/>
                <w:sz w:val="20"/>
                <w:szCs w:val="20"/>
              </w:rPr>
            </w:pPr>
            <w:r w:rsidRPr="00AB352E">
              <w:rPr>
                <w:rFonts w:ascii="Arial Narrow" w:hAnsi="Arial Narrow"/>
                <w:sz w:val="20"/>
                <w:szCs w:val="20"/>
              </w:rPr>
              <w:t>(0.55, 1.16)</w:t>
            </w:r>
          </w:p>
          <w:p w:rsidR="002412CD" w:rsidRPr="00E60A5A" w:rsidRDefault="00AB352E" w:rsidP="008720A2">
            <w:pPr>
              <w:keepNext/>
              <w:jc w:val="center"/>
              <w:rPr>
                <w:rFonts w:ascii="Arial Narrow" w:hAnsi="Arial Narrow"/>
                <w:i/>
                <w:sz w:val="20"/>
                <w:szCs w:val="20"/>
              </w:rPr>
            </w:pPr>
            <w:r w:rsidRPr="00AB352E">
              <w:rPr>
                <w:rFonts w:ascii="Arial Narrow" w:hAnsi="Arial Narrow"/>
                <w:sz w:val="20"/>
                <w:szCs w:val="20"/>
              </w:rPr>
              <w:t>I</w:t>
            </w:r>
            <w:r w:rsidRPr="00AB352E">
              <w:rPr>
                <w:rFonts w:ascii="Arial Narrow" w:hAnsi="Arial Narrow"/>
                <w:sz w:val="20"/>
                <w:szCs w:val="20"/>
                <w:vertAlign w:val="superscript"/>
              </w:rPr>
              <w:t>2</w:t>
            </w:r>
            <w:r w:rsidRPr="00AB352E">
              <w:rPr>
                <w:rFonts w:ascii="Arial Narrow" w:hAnsi="Arial Narrow"/>
                <w:sz w:val="20"/>
                <w:szCs w:val="20"/>
              </w:rPr>
              <w:t xml:space="preserve"> = 0</w:t>
            </w:r>
          </w:p>
        </w:tc>
      </w:tr>
    </w:tbl>
    <w:p w:rsidR="00E60A5A" w:rsidRPr="00E60A5A" w:rsidRDefault="00E60A5A" w:rsidP="008720A2">
      <w:pPr>
        <w:pStyle w:val="ListParagraph"/>
        <w:keepNext/>
        <w:jc w:val="both"/>
        <w:rPr>
          <w:rFonts w:ascii="Arial Narrow" w:hAnsi="Arial Narrow"/>
          <w:sz w:val="18"/>
          <w:szCs w:val="18"/>
        </w:rPr>
      </w:pPr>
      <w:r w:rsidRPr="00E60A5A">
        <w:rPr>
          <w:rFonts w:ascii="Arial Narrow" w:hAnsi="Arial Narrow"/>
          <w:sz w:val="18"/>
          <w:szCs w:val="18"/>
        </w:rPr>
        <w:t xml:space="preserve">Abbreviations: </w:t>
      </w:r>
      <w:r w:rsidR="00AB352E">
        <w:rPr>
          <w:rFonts w:ascii="Arial Narrow" w:hAnsi="Arial Narrow"/>
          <w:sz w:val="18"/>
          <w:szCs w:val="18"/>
        </w:rPr>
        <w:t xml:space="preserve">CI, confidence interval; </w:t>
      </w:r>
      <w:r w:rsidRPr="00E60A5A">
        <w:rPr>
          <w:rFonts w:ascii="Arial Narrow" w:hAnsi="Arial Narrow"/>
          <w:sz w:val="18"/>
          <w:szCs w:val="18"/>
          <w:lang w:val="fr-FR"/>
        </w:rPr>
        <w:t>FEV</w:t>
      </w:r>
      <w:r w:rsidRPr="00E60A5A">
        <w:rPr>
          <w:rFonts w:ascii="Arial Narrow" w:hAnsi="Arial Narrow"/>
          <w:sz w:val="18"/>
          <w:szCs w:val="18"/>
          <w:vertAlign w:val="subscript"/>
          <w:lang w:val="fr-FR"/>
        </w:rPr>
        <w:t>1</w:t>
      </w:r>
      <w:r w:rsidRPr="00E60A5A">
        <w:rPr>
          <w:rFonts w:ascii="Arial Narrow" w:hAnsi="Arial Narrow"/>
          <w:sz w:val="18"/>
          <w:szCs w:val="18"/>
          <w:lang w:val="fr-FR"/>
        </w:rPr>
        <w:t>,</w:t>
      </w:r>
      <w:r w:rsidRPr="00E60A5A">
        <w:rPr>
          <w:rFonts w:ascii="Arial Narrow" w:hAnsi="Arial Narrow"/>
          <w:sz w:val="18"/>
          <w:szCs w:val="18"/>
        </w:rPr>
        <w:t xml:space="preserve"> forced expiratory</w:t>
      </w:r>
      <w:r w:rsidRPr="00E60A5A">
        <w:rPr>
          <w:rFonts w:ascii="Arial Narrow" w:hAnsi="Arial Narrow"/>
          <w:sz w:val="18"/>
          <w:szCs w:val="18"/>
          <w:lang w:val="fr-FR"/>
        </w:rPr>
        <w:t xml:space="preserve"> volume in first second of expiration; NR, not</w:t>
      </w:r>
      <w:r w:rsidRPr="00E60A5A">
        <w:rPr>
          <w:rFonts w:ascii="Arial Narrow" w:hAnsi="Arial Narrow"/>
          <w:sz w:val="18"/>
          <w:szCs w:val="18"/>
        </w:rPr>
        <w:t xml:space="preserve"> reported</w:t>
      </w:r>
      <w:r w:rsidRPr="00E60A5A">
        <w:rPr>
          <w:rFonts w:ascii="Arial Narrow" w:hAnsi="Arial Narrow"/>
          <w:sz w:val="18"/>
          <w:szCs w:val="18"/>
          <w:lang w:val="fr-FR"/>
        </w:rPr>
        <w:t>;</w:t>
      </w:r>
      <w:r w:rsidR="00A84E14">
        <w:rPr>
          <w:rFonts w:ascii="Arial Narrow" w:hAnsi="Arial Narrow"/>
          <w:sz w:val="18"/>
          <w:szCs w:val="18"/>
          <w:lang w:val="fr-FR"/>
        </w:rPr>
        <w:t xml:space="preserve"> </w:t>
      </w:r>
      <w:r w:rsidR="00A84E14" w:rsidRPr="00A84E14">
        <w:rPr>
          <w:rFonts w:ascii="Arial Narrow" w:hAnsi="Arial Narrow"/>
          <w:sz w:val="18"/>
          <w:szCs w:val="18"/>
          <w:lang w:val="fr-FR"/>
        </w:rPr>
        <w:t xml:space="preserve">PDPE, </w:t>
      </w:r>
      <w:proofErr w:type="spellStart"/>
      <w:r w:rsidR="00A84E14" w:rsidRPr="00A84E14">
        <w:rPr>
          <w:rFonts w:ascii="Arial Narrow" w:hAnsi="Arial Narrow"/>
          <w:sz w:val="18"/>
          <w:szCs w:val="18"/>
          <w:lang w:val="fr-FR"/>
        </w:rPr>
        <w:t>protocol</w:t>
      </w:r>
      <w:proofErr w:type="spellEnd"/>
      <w:r w:rsidR="00A84E14" w:rsidRPr="00A84E14">
        <w:rPr>
          <w:rFonts w:ascii="Arial Narrow" w:hAnsi="Arial Narrow"/>
          <w:sz w:val="18"/>
          <w:szCs w:val="18"/>
          <w:lang w:val="fr-FR"/>
        </w:rPr>
        <w:t xml:space="preserve"> </w:t>
      </w:r>
      <w:proofErr w:type="spellStart"/>
      <w:r w:rsidR="00A84E14" w:rsidRPr="00A84E14">
        <w:rPr>
          <w:rFonts w:ascii="Arial Narrow" w:hAnsi="Arial Narrow"/>
          <w:sz w:val="18"/>
          <w:szCs w:val="18"/>
          <w:lang w:val="fr-FR"/>
        </w:rPr>
        <w:t>defined</w:t>
      </w:r>
      <w:proofErr w:type="spellEnd"/>
      <w:r w:rsidR="00A84E14" w:rsidRPr="00A84E14">
        <w:rPr>
          <w:rFonts w:ascii="Arial Narrow" w:hAnsi="Arial Narrow"/>
          <w:sz w:val="18"/>
          <w:szCs w:val="18"/>
          <w:lang w:val="fr-FR"/>
        </w:rPr>
        <w:t xml:space="preserve"> </w:t>
      </w:r>
      <w:proofErr w:type="spellStart"/>
      <w:r w:rsidR="00A84E14" w:rsidRPr="00A84E14">
        <w:rPr>
          <w:rFonts w:ascii="Arial Narrow" w:hAnsi="Arial Narrow"/>
          <w:sz w:val="18"/>
          <w:szCs w:val="18"/>
          <w:lang w:val="fr-FR"/>
        </w:rPr>
        <w:t>pulmonary</w:t>
      </w:r>
      <w:proofErr w:type="spellEnd"/>
      <w:r w:rsidR="00A84E14" w:rsidRPr="00A84E14">
        <w:rPr>
          <w:rFonts w:ascii="Arial Narrow" w:hAnsi="Arial Narrow"/>
          <w:sz w:val="18"/>
          <w:szCs w:val="18"/>
          <w:lang w:val="fr-FR"/>
        </w:rPr>
        <w:t xml:space="preserve"> exacerbation; PE, </w:t>
      </w:r>
      <w:proofErr w:type="spellStart"/>
      <w:r w:rsidR="00A84E14" w:rsidRPr="00A84E14">
        <w:rPr>
          <w:rFonts w:ascii="Arial Narrow" w:hAnsi="Arial Narrow"/>
          <w:sz w:val="18"/>
          <w:szCs w:val="18"/>
          <w:lang w:val="fr-FR"/>
        </w:rPr>
        <w:t>pulmonary</w:t>
      </w:r>
      <w:proofErr w:type="spellEnd"/>
      <w:r w:rsidR="00A84E14" w:rsidRPr="00A84E14">
        <w:rPr>
          <w:rFonts w:ascii="Arial Narrow" w:hAnsi="Arial Narrow"/>
          <w:sz w:val="18"/>
          <w:szCs w:val="18"/>
          <w:lang w:val="fr-FR"/>
        </w:rPr>
        <w:t xml:space="preserve"> exacerbation</w:t>
      </w:r>
      <w:r w:rsidR="00A84E14">
        <w:rPr>
          <w:rFonts w:ascii="Arial Narrow" w:hAnsi="Arial Narrow"/>
          <w:sz w:val="18"/>
          <w:szCs w:val="18"/>
          <w:lang w:val="fr-FR"/>
        </w:rPr>
        <w:t>;</w:t>
      </w:r>
      <w:r w:rsidR="008E39F1">
        <w:rPr>
          <w:rFonts w:ascii="Arial Narrow" w:hAnsi="Arial Narrow"/>
          <w:sz w:val="18"/>
          <w:szCs w:val="18"/>
          <w:lang w:val="fr-FR"/>
        </w:rPr>
        <w:t xml:space="preserve"> RR, rate ratio; SD, standard </w:t>
      </w:r>
      <w:proofErr w:type="spellStart"/>
      <w:r w:rsidR="008E39F1">
        <w:rPr>
          <w:rFonts w:ascii="Arial Narrow" w:hAnsi="Arial Narrow"/>
          <w:sz w:val="18"/>
          <w:szCs w:val="18"/>
          <w:lang w:val="fr-FR"/>
        </w:rPr>
        <w:t>deviation</w:t>
      </w:r>
      <w:proofErr w:type="spellEnd"/>
      <w:r w:rsidR="008E39F1">
        <w:rPr>
          <w:rFonts w:ascii="Arial Narrow" w:hAnsi="Arial Narrow"/>
          <w:sz w:val="18"/>
          <w:szCs w:val="18"/>
          <w:lang w:val="fr-FR"/>
        </w:rPr>
        <w:t>;</w:t>
      </w:r>
      <w:r w:rsidRPr="00E60A5A">
        <w:rPr>
          <w:rFonts w:ascii="Arial Narrow" w:hAnsi="Arial Narrow"/>
          <w:sz w:val="18"/>
          <w:szCs w:val="18"/>
          <w:lang w:val="fr-FR"/>
        </w:rPr>
        <w:t xml:space="preserve"> SE, standard</w:t>
      </w:r>
      <w:r w:rsidRPr="00E60A5A">
        <w:rPr>
          <w:rFonts w:ascii="Arial Narrow" w:hAnsi="Arial Narrow"/>
          <w:sz w:val="18"/>
          <w:szCs w:val="18"/>
        </w:rPr>
        <w:t xml:space="preserve"> error</w:t>
      </w:r>
    </w:p>
    <w:p w:rsidR="00E353A8" w:rsidRDefault="00E60A5A" w:rsidP="00A84E14">
      <w:pPr>
        <w:pStyle w:val="ListParagraph"/>
        <w:jc w:val="both"/>
        <w:rPr>
          <w:rFonts w:ascii="Arial Narrow" w:hAnsi="Arial Narrow" w:cs="Arial"/>
          <w:sz w:val="18"/>
          <w:szCs w:val="18"/>
        </w:rPr>
      </w:pPr>
      <w:r w:rsidRPr="00E60A5A">
        <w:rPr>
          <w:rFonts w:ascii="Arial Narrow" w:hAnsi="Arial Narrow" w:cs="Arial"/>
          <w:sz w:val="18"/>
          <w:szCs w:val="18"/>
        </w:rPr>
        <w:t>Source: adapted from March 2011 PBAC meeting minutes</w:t>
      </w:r>
      <w:r>
        <w:rPr>
          <w:rFonts w:ascii="Arial Narrow" w:hAnsi="Arial Narrow" w:cs="Arial"/>
          <w:sz w:val="18"/>
          <w:szCs w:val="18"/>
        </w:rPr>
        <w:t xml:space="preserve"> and PES commentary</w:t>
      </w:r>
    </w:p>
    <w:p w:rsidR="007457AA" w:rsidRPr="002D6458" w:rsidRDefault="007457AA" w:rsidP="002D6458">
      <w:pPr>
        <w:rPr>
          <w:rFonts w:ascii="Arial" w:hAnsi="Arial"/>
          <w:i/>
          <w:sz w:val="22"/>
          <w:szCs w:val="22"/>
        </w:rPr>
      </w:pPr>
    </w:p>
    <w:p w:rsidR="00797B57" w:rsidRDefault="00797B57" w:rsidP="00187D9A">
      <w:pPr>
        <w:pStyle w:val="ListParagraph"/>
        <w:numPr>
          <w:ilvl w:val="1"/>
          <w:numId w:val="1"/>
        </w:numPr>
        <w:jc w:val="both"/>
        <w:rPr>
          <w:rFonts w:ascii="Arial" w:hAnsi="Arial"/>
          <w:sz w:val="22"/>
          <w:szCs w:val="22"/>
        </w:rPr>
      </w:pPr>
      <w:r w:rsidRPr="00797B57">
        <w:rPr>
          <w:rFonts w:ascii="Arial" w:hAnsi="Arial"/>
          <w:sz w:val="22"/>
          <w:szCs w:val="22"/>
        </w:rPr>
        <w:t xml:space="preserve">The PBAC previously noted that DPI mannitol treatment was associated with a statistically significant improvement in lung function compared to control in patients receiving concomitant </w:t>
      </w:r>
      <w:proofErr w:type="spellStart"/>
      <w:r w:rsidRPr="00797B57">
        <w:rPr>
          <w:rFonts w:ascii="Arial" w:hAnsi="Arial"/>
          <w:sz w:val="22"/>
          <w:szCs w:val="22"/>
        </w:rPr>
        <w:t>dornase</w:t>
      </w:r>
      <w:proofErr w:type="spellEnd"/>
      <w:r w:rsidRPr="00797B57">
        <w:rPr>
          <w:rFonts w:ascii="Arial" w:hAnsi="Arial"/>
          <w:sz w:val="22"/>
          <w:szCs w:val="22"/>
        </w:rPr>
        <w:t xml:space="preserve"> </w:t>
      </w:r>
      <w:proofErr w:type="spellStart"/>
      <w:r w:rsidRPr="00797B57">
        <w:rPr>
          <w:rFonts w:ascii="Arial" w:hAnsi="Arial"/>
          <w:sz w:val="22"/>
          <w:szCs w:val="22"/>
        </w:rPr>
        <w:t>alfa</w:t>
      </w:r>
      <w:proofErr w:type="spellEnd"/>
      <w:r w:rsidRPr="00797B57">
        <w:rPr>
          <w:rFonts w:ascii="Arial" w:hAnsi="Arial"/>
          <w:sz w:val="22"/>
          <w:szCs w:val="22"/>
        </w:rPr>
        <w:t xml:space="preserve"> and in patients not receiving concomitant </w:t>
      </w:r>
      <w:proofErr w:type="spellStart"/>
      <w:r w:rsidRPr="00797B57">
        <w:rPr>
          <w:rFonts w:ascii="Arial" w:hAnsi="Arial"/>
          <w:sz w:val="22"/>
          <w:szCs w:val="22"/>
        </w:rPr>
        <w:t>dornase</w:t>
      </w:r>
      <w:proofErr w:type="spellEnd"/>
      <w:r w:rsidRPr="00797B57">
        <w:rPr>
          <w:rFonts w:ascii="Arial" w:hAnsi="Arial"/>
          <w:sz w:val="22"/>
          <w:szCs w:val="22"/>
        </w:rPr>
        <w:t xml:space="preserve"> </w:t>
      </w:r>
      <w:proofErr w:type="spellStart"/>
      <w:r w:rsidRPr="00797B57">
        <w:rPr>
          <w:rFonts w:ascii="Arial" w:hAnsi="Arial"/>
          <w:sz w:val="22"/>
          <w:szCs w:val="22"/>
        </w:rPr>
        <w:t>alfa</w:t>
      </w:r>
      <w:proofErr w:type="spellEnd"/>
      <w:r w:rsidRPr="00797B57">
        <w:rPr>
          <w:rFonts w:ascii="Arial" w:hAnsi="Arial"/>
          <w:sz w:val="22"/>
          <w:szCs w:val="22"/>
        </w:rPr>
        <w:t>.</w:t>
      </w:r>
    </w:p>
    <w:p w:rsidR="00797B57" w:rsidRPr="00797B57" w:rsidRDefault="00797B57" w:rsidP="00797B57">
      <w:pPr>
        <w:pStyle w:val="ListParagraph"/>
        <w:rPr>
          <w:rFonts w:ascii="Arial" w:hAnsi="Arial"/>
          <w:sz w:val="22"/>
          <w:szCs w:val="22"/>
        </w:rPr>
      </w:pPr>
    </w:p>
    <w:p w:rsidR="00797B57" w:rsidRDefault="00797B57" w:rsidP="00DD6F41">
      <w:pPr>
        <w:pStyle w:val="ListParagraph"/>
        <w:numPr>
          <w:ilvl w:val="1"/>
          <w:numId w:val="1"/>
        </w:numPr>
        <w:jc w:val="both"/>
        <w:rPr>
          <w:rFonts w:ascii="Arial" w:hAnsi="Arial"/>
          <w:sz w:val="22"/>
          <w:szCs w:val="22"/>
        </w:rPr>
      </w:pPr>
      <w:r w:rsidRPr="00797B57">
        <w:rPr>
          <w:rFonts w:ascii="Arial" w:hAnsi="Arial"/>
          <w:sz w:val="22"/>
          <w:szCs w:val="22"/>
        </w:rPr>
        <w:t>DPI mannitol treatment was associated with a statistically significant decrease in PDPE rates compared to control in patients not usi</w:t>
      </w:r>
      <w:r>
        <w:rPr>
          <w:rFonts w:ascii="Arial" w:hAnsi="Arial"/>
          <w:sz w:val="22"/>
          <w:szCs w:val="22"/>
        </w:rPr>
        <w:t xml:space="preserve">ng concomitant </w:t>
      </w:r>
      <w:proofErr w:type="spellStart"/>
      <w:r>
        <w:rPr>
          <w:rFonts w:ascii="Arial" w:hAnsi="Arial"/>
          <w:sz w:val="22"/>
          <w:szCs w:val="22"/>
        </w:rPr>
        <w:t>dornase</w:t>
      </w:r>
      <w:proofErr w:type="spellEnd"/>
      <w:r>
        <w:rPr>
          <w:rFonts w:ascii="Arial" w:hAnsi="Arial"/>
          <w:sz w:val="22"/>
          <w:szCs w:val="22"/>
        </w:rPr>
        <w:t xml:space="preserve"> </w:t>
      </w:r>
      <w:proofErr w:type="spellStart"/>
      <w:r>
        <w:rPr>
          <w:rFonts w:ascii="Arial" w:hAnsi="Arial"/>
          <w:sz w:val="22"/>
          <w:szCs w:val="22"/>
        </w:rPr>
        <w:t>alfa</w:t>
      </w:r>
      <w:proofErr w:type="spellEnd"/>
      <w:r>
        <w:rPr>
          <w:rFonts w:ascii="Arial" w:hAnsi="Arial"/>
          <w:sz w:val="22"/>
          <w:szCs w:val="22"/>
        </w:rPr>
        <w:t xml:space="preserve"> (</w:t>
      </w:r>
      <w:r w:rsidRPr="00797B57">
        <w:rPr>
          <w:rFonts w:ascii="Arial" w:hAnsi="Arial"/>
          <w:sz w:val="22"/>
          <w:szCs w:val="22"/>
        </w:rPr>
        <w:t xml:space="preserve">although the wide confidence intervals raise uncertainty </w:t>
      </w:r>
      <w:r w:rsidR="00CF7DFD">
        <w:rPr>
          <w:rFonts w:ascii="Arial" w:hAnsi="Arial"/>
          <w:sz w:val="22"/>
          <w:szCs w:val="22"/>
        </w:rPr>
        <w:t>regarding</w:t>
      </w:r>
      <w:r w:rsidRPr="00797B57">
        <w:rPr>
          <w:rFonts w:ascii="Arial" w:hAnsi="Arial"/>
          <w:sz w:val="22"/>
          <w:szCs w:val="22"/>
        </w:rPr>
        <w:t xml:space="preserve"> the magnitude of effect</w:t>
      </w:r>
      <w:r>
        <w:rPr>
          <w:rFonts w:ascii="Arial" w:hAnsi="Arial"/>
          <w:sz w:val="22"/>
          <w:szCs w:val="22"/>
        </w:rPr>
        <w:t>)</w:t>
      </w:r>
      <w:r w:rsidRPr="00797B57">
        <w:rPr>
          <w:rFonts w:ascii="Arial" w:hAnsi="Arial"/>
          <w:sz w:val="22"/>
          <w:szCs w:val="22"/>
        </w:rPr>
        <w:t>. There was no statistically significant difference in PE rates between treatment groups</w:t>
      </w:r>
      <w:r>
        <w:rPr>
          <w:rFonts w:ascii="Arial" w:hAnsi="Arial"/>
          <w:sz w:val="22"/>
          <w:szCs w:val="22"/>
        </w:rPr>
        <w:t xml:space="preserve"> </w:t>
      </w:r>
      <w:r w:rsidRPr="00797B57">
        <w:rPr>
          <w:rFonts w:ascii="Arial" w:hAnsi="Arial"/>
          <w:sz w:val="22"/>
          <w:szCs w:val="22"/>
        </w:rPr>
        <w:t>in patients not usi</w:t>
      </w:r>
      <w:r>
        <w:rPr>
          <w:rFonts w:ascii="Arial" w:hAnsi="Arial"/>
          <w:sz w:val="22"/>
          <w:szCs w:val="22"/>
        </w:rPr>
        <w:t xml:space="preserve">ng concomitant </w:t>
      </w:r>
      <w:proofErr w:type="spellStart"/>
      <w:r>
        <w:rPr>
          <w:rFonts w:ascii="Arial" w:hAnsi="Arial"/>
          <w:sz w:val="22"/>
          <w:szCs w:val="22"/>
        </w:rPr>
        <w:t>dornase</w:t>
      </w:r>
      <w:proofErr w:type="spellEnd"/>
      <w:r>
        <w:rPr>
          <w:rFonts w:ascii="Arial" w:hAnsi="Arial"/>
          <w:sz w:val="22"/>
          <w:szCs w:val="22"/>
        </w:rPr>
        <w:t xml:space="preserve"> </w:t>
      </w:r>
      <w:proofErr w:type="spellStart"/>
      <w:r>
        <w:rPr>
          <w:rFonts w:ascii="Arial" w:hAnsi="Arial"/>
          <w:sz w:val="22"/>
          <w:szCs w:val="22"/>
        </w:rPr>
        <w:t>alfa</w:t>
      </w:r>
      <w:proofErr w:type="spellEnd"/>
      <w:r w:rsidRPr="00797B57">
        <w:rPr>
          <w:rFonts w:ascii="Arial" w:hAnsi="Arial"/>
          <w:sz w:val="22"/>
          <w:szCs w:val="22"/>
        </w:rPr>
        <w:t>.</w:t>
      </w:r>
    </w:p>
    <w:p w:rsidR="00797B57" w:rsidRDefault="00797B57" w:rsidP="00797B57">
      <w:pPr>
        <w:pStyle w:val="ListParagraph"/>
        <w:jc w:val="both"/>
        <w:rPr>
          <w:rFonts w:ascii="Arial" w:hAnsi="Arial"/>
          <w:sz w:val="22"/>
          <w:szCs w:val="22"/>
        </w:rPr>
      </w:pPr>
    </w:p>
    <w:p w:rsidR="00797B57" w:rsidRDefault="00797B57" w:rsidP="00DD6F41">
      <w:pPr>
        <w:pStyle w:val="ListParagraph"/>
        <w:numPr>
          <w:ilvl w:val="1"/>
          <w:numId w:val="1"/>
        </w:numPr>
        <w:jc w:val="both"/>
        <w:rPr>
          <w:rFonts w:ascii="Arial" w:hAnsi="Arial"/>
          <w:sz w:val="22"/>
          <w:szCs w:val="22"/>
        </w:rPr>
      </w:pPr>
      <w:r>
        <w:rPr>
          <w:rFonts w:ascii="Arial" w:hAnsi="Arial"/>
          <w:sz w:val="22"/>
          <w:szCs w:val="22"/>
        </w:rPr>
        <w:lastRenderedPageBreak/>
        <w:t>There was</w:t>
      </w:r>
      <w:r w:rsidRPr="00797B57">
        <w:rPr>
          <w:rFonts w:ascii="Arial" w:hAnsi="Arial"/>
          <w:sz w:val="22"/>
          <w:szCs w:val="22"/>
        </w:rPr>
        <w:t xml:space="preserve"> no statistically significant difference in exacerbation rates between DPI mannitol and control in patients using concomitant </w:t>
      </w:r>
      <w:proofErr w:type="spellStart"/>
      <w:r w:rsidRPr="00797B57">
        <w:rPr>
          <w:rFonts w:ascii="Arial" w:hAnsi="Arial"/>
          <w:sz w:val="22"/>
          <w:szCs w:val="22"/>
        </w:rPr>
        <w:t>dornase</w:t>
      </w:r>
      <w:proofErr w:type="spellEnd"/>
      <w:r w:rsidRPr="00797B57">
        <w:rPr>
          <w:rFonts w:ascii="Arial" w:hAnsi="Arial"/>
          <w:sz w:val="22"/>
          <w:szCs w:val="22"/>
        </w:rPr>
        <w:t xml:space="preserve"> </w:t>
      </w:r>
      <w:proofErr w:type="spellStart"/>
      <w:r w:rsidRPr="00797B57">
        <w:rPr>
          <w:rFonts w:ascii="Arial" w:hAnsi="Arial"/>
          <w:sz w:val="22"/>
          <w:szCs w:val="22"/>
        </w:rPr>
        <w:t>alfa</w:t>
      </w:r>
      <w:proofErr w:type="spellEnd"/>
      <w:r>
        <w:rPr>
          <w:rFonts w:ascii="Arial" w:hAnsi="Arial"/>
          <w:sz w:val="22"/>
          <w:szCs w:val="22"/>
        </w:rPr>
        <w:t xml:space="preserve"> (</w:t>
      </w:r>
      <w:r w:rsidRPr="00545CFC">
        <w:rPr>
          <w:rFonts w:ascii="Arial" w:hAnsi="Arial"/>
          <w:sz w:val="22"/>
          <w:szCs w:val="22"/>
        </w:rPr>
        <w:t xml:space="preserve">March 2011 PBAC </w:t>
      </w:r>
      <w:r w:rsidR="008720A2" w:rsidRPr="00545CFC">
        <w:rPr>
          <w:rFonts w:ascii="Arial" w:hAnsi="Arial"/>
          <w:sz w:val="22"/>
          <w:szCs w:val="22"/>
        </w:rPr>
        <w:t>PSD</w:t>
      </w:r>
      <w:r>
        <w:rPr>
          <w:rFonts w:ascii="Arial" w:hAnsi="Arial"/>
          <w:sz w:val="22"/>
          <w:szCs w:val="22"/>
        </w:rPr>
        <w:t>)</w:t>
      </w:r>
      <w:r w:rsidRPr="00797B57">
        <w:rPr>
          <w:rFonts w:ascii="Arial" w:hAnsi="Arial"/>
          <w:sz w:val="22"/>
          <w:szCs w:val="22"/>
        </w:rPr>
        <w:t>.</w:t>
      </w:r>
    </w:p>
    <w:p w:rsidR="002D6458" w:rsidRDefault="002D6458" w:rsidP="00797B57">
      <w:pPr>
        <w:pStyle w:val="ListParagraph"/>
        <w:jc w:val="both"/>
        <w:rPr>
          <w:rFonts w:ascii="Arial" w:hAnsi="Arial"/>
          <w:sz w:val="22"/>
          <w:szCs w:val="22"/>
        </w:rPr>
      </w:pPr>
    </w:p>
    <w:p w:rsidR="002D6458" w:rsidRDefault="002D6458" w:rsidP="00187D9A">
      <w:pPr>
        <w:pStyle w:val="ListParagraph"/>
        <w:numPr>
          <w:ilvl w:val="1"/>
          <w:numId w:val="1"/>
        </w:numPr>
        <w:jc w:val="both"/>
        <w:rPr>
          <w:rFonts w:ascii="Arial" w:hAnsi="Arial"/>
          <w:sz w:val="22"/>
          <w:szCs w:val="22"/>
        </w:rPr>
      </w:pPr>
      <w:r w:rsidRPr="00F63722">
        <w:rPr>
          <w:rFonts w:ascii="Arial" w:hAnsi="Arial"/>
          <w:sz w:val="22"/>
          <w:szCs w:val="22"/>
        </w:rPr>
        <w:t xml:space="preserve">A revised subgroup analysis of </w:t>
      </w:r>
      <w:proofErr w:type="spellStart"/>
      <w:r w:rsidRPr="00F63722">
        <w:rPr>
          <w:rFonts w:ascii="Arial" w:hAnsi="Arial"/>
          <w:sz w:val="22"/>
          <w:szCs w:val="22"/>
        </w:rPr>
        <w:t>dornase</w:t>
      </w:r>
      <w:proofErr w:type="spellEnd"/>
      <w:r w:rsidRPr="00F63722">
        <w:rPr>
          <w:rFonts w:ascii="Arial" w:hAnsi="Arial"/>
          <w:sz w:val="22"/>
          <w:szCs w:val="22"/>
        </w:rPr>
        <w:t xml:space="preserve"> user</w:t>
      </w:r>
      <w:r w:rsidR="00CF7DFD" w:rsidRPr="00F63722">
        <w:rPr>
          <w:rFonts w:ascii="Arial" w:hAnsi="Arial"/>
          <w:sz w:val="22"/>
          <w:szCs w:val="22"/>
        </w:rPr>
        <w:t>s</w:t>
      </w:r>
      <w:r w:rsidRPr="00F63722">
        <w:rPr>
          <w:rFonts w:ascii="Arial" w:hAnsi="Arial"/>
          <w:sz w:val="22"/>
          <w:szCs w:val="22"/>
        </w:rPr>
        <w:t>/non-users was included in the November 2011 submission based on a pooled analysis of individual patient data</w:t>
      </w:r>
      <w:r w:rsidR="00F63722">
        <w:rPr>
          <w:rFonts w:ascii="Arial" w:hAnsi="Arial"/>
          <w:sz w:val="22"/>
          <w:szCs w:val="22"/>
        </w:rPr>
        <w:t xml:space="preserve"> (</w:t>
      </w:r>
      <w:r w:rsidR="001720AF">
        <w:rPr>
          <w:rFonts w:ascii="Arial" w:hAnsi="Arial"/>
          <w:sz w:val="22"/>
          <w:szCs w:val="22"/>
        </w:rPr>
        <w:t xml:space="preserve">see table </w:t>
      </w:r>
      <w:r w:rsidR="000C007C">
        <w:rPr>
          <w:rFonts w:ascii="Arial" w:hAnsi="Arial"/>
          <w:sz w:val="22"/>
          <w:szCs w:val="22"/>
        </w:rPr>
        <w:t>3</w:t>
      </w:r>
      <w:r w:rsidR="00F63722">
        <w:rPr>
          <w:rFonts w:ascii="Arial" w:hAnsi="Arial"/>
          <w:sz w:val="22"/>
          <w:szCs w:val="22"/>
        </w:rPr>
        <w:t>)</w:t>
      </w:r>
      <w:r w:rsidRPr="00F63722">
        <w:rPr>
          <w:rFonts w:ascii="Arial" w:hAnsi="Arial"/>
          <w:sz w:val="22"/>
          <w:szCs w:val="22"/>
        </w:rPr>
        <w:t>. The PBAC did not formally consider comparisons between the tw</w:t>
      </w:r>
      <w:r w:rsidR="00C45EC8" w:rsidRPr="00F63722">
        <w:rPr>
          <w:rFonts w:ascii="Arial" w:hAnsi="Arial"/>
          <w:sz w:val="22"/>
          <w:szCs w:val="22"/>
        </w:rPr>
        <w:t>o patient groups as the November 2011</w:t>
      </w:r>
      <w:r w:rsidRPr="00F63722">
        <w:rPr>
          <w:rFonts w:ascii="Arial" w:hAnsi="Arial"/>
          <w:sz w:val="22"/>
          <w:szCs w:val="22"/>
        </w:rPr>
        <w:t xml:space="preserve"> submission request</w:t>
      </w:r>
      <w:r w:rsidR="00537F71" w:rsidRPr="00F63722">
        <w:rPr>
          <w:rFonts w:ascii="Arial" w:hAnsi="Arial"/>
          <w:sz w:val="22"/>
          <w:szCs w:val="22"/>
        </w:rPr>
        <w:t>ed</w:t>
      </w:r>
      <w:r w:rsidRPr="00F63722">
        <w:rPr>
          <w:rFonts w:ascii="Arial" w:hAnsi="Arial"/>
          <w:sz w:val="22"/>
          <w:szCs w:val="22"/>
        </w:rPr>
        <w:t xml:space="preserve"> listing of DPI mannitol as monotherapy in non-</w:t>
      </w:r>
      <w:proofErr w:type="spellStart"/>
      <w:r w:rsidRPr="00F63722">
        <w:rPr>
          <w:rFonts w:ascii="Arial" w:hAnsi="Arial"/>
          <w:sz w:val="22"/>
          <w:szCs w:val="22"/>
        </w:rPr>
        <w:t>dornase</w:t>
      </w:r>
      <w:proofErr w:type="spellEnd"/>
      <w:r w:rsidRPr="00F63722">
        <w:rPr>
          <w:rFonts w:ascii="Arial" w:hAnsi="Arial"/>
          <w:sz w:val="22"/>
          <w:szCs w:val="22"/>
        </w:rPr>
        <w:t xml:space="preserve"> </w:t>
      </w:r>
      <w:r w:rsidR="00DA611E" w:rsidRPr="00F63722">
        <w:rPr>
          <w:rFonts w:ascii="Arial" w:hAnsi="Arial"/>
          <w:sz w:val="22"/>
          <w:szCs w:val="22"/>
        </w:rPr>
        <w:t>users only. The results of the revised analysis were broadly consistent with</w:t>
      </w:r>
      <w:r w:rsidRPr="00F63722">
        <w:rPr>
          <w:rFonts w:ascii="Arial" w:hAnsi="Arial"/>
          <w:sz w:val="22"/>
          <w:szCs w:val="22"/>
        </w:rPr>
        <w:t xml:space="preserve"> the</w:t>
      </w:r>
      <w:r w:rsidR="00DA611E" w:rsidRPr="00F63722">
        <w:rPr>
          <w:rFonts w:ascii="Arial" w:hAnsi="Arial"/>
          <w:sz w:val="22"/>
          <w:szCs w:val="22"/>
        </w:rPr>
        <w:t xml:space="preserve"> previous</w:t>
      </w:r>
      <w:r w:rsidRPr="00F63722">
        <w:rPr>
          <w:rFonts w:ascii="Arial" w:hAnsi="Arial"/>
          <w:sz w:val="22"/>
          <w:szCs w:val="22"/>
        </w:rPr>
        <w:t xml:space="preserve"> meta-analysis of reported trial data.</w:t>
      </w:r>
    </w:p>
    <w:p w:rsidR="001720AF" w:rsidRDefault="001720AF" w:rsidP="001720AF">
      <w:pPr>
        <w:pStyle w:val="ListParagraph"/>
        <w:jc w:val="both"/>
        <w:rPr>
          <w:rFonts w:ascii="Arial" w:hAnsi="Arial"/>
          <w:sz w:val="22"/>
          <w:szCs w:val="22"/>
        </w:rPr>
      </w:pPr>
    </w:p>
    <w:p w:rsidR="001720AF" w:rsidRPr="00E60A5A" w:rsidRDefault="00DD6F41" w:rsidP="001720AF">
      <w:pPr>
        <w:pStyle w:val="ListParagraph"/>
        <w:keepNext/>
        <w:jc w:val="both"/>
        <w:rPr>
          <w:rFonts w:ascii="Arial Narrow" w:hAnsi="Arial Narrow"/>
          <w:b/>
          <w:sz w:val="20"/>
          <w:szCs w:val="20"/>
        </w:rPr>
      </w:pPr>
      <w:r>
        <w:rPr>
          <w:rFonts w:ascii="Arial Narrow" w:hAnsi="Arial Narrow"/>
          <w:b/>
          <w:sz w:val="20"/>
          <w:szCs w:val="20"/>
        </w:rPr>
        <w:t xml:space="preserve">Table 3: </w:t>
      </w:r>
      <w:r w:rsidR="001720AF" w:rsidRPr="00E60A5A">
        <w:rPr>
          <w:rFonts w:ascii="Arial Narrow" w:hAnsi="Arial Narrow"/>
          <w:b/>
          <w:sz w:val="20"/>
          <w:szCs w:val="20"/>
        </w:rPr>
        <w:t xml:space="preserve">Key outcomes reported in the </w:t>
      </w:r>
      <w:proofErr w:type="spellStart"/>
      <w:r w:rsidR="001720AF" w:rsidRPr="00E60A5A">
        <w:rPr>
          <w:rFonts w:ascii="Arial Narrow" w:hAnsi="Arial Narrow"/>
          <w:b/>
          <w:sz w:val="20"/>
          <w:szCs w:val="20"/>
        </w:rPr>
        <w:t>dornase</w:t>
      </w:r>
      <w:proofErr w:type="spellEnd"/>
      <w:r w:rsidR="001720AF" w:rsidRPr="00E60A5A">
        <w:rPr>
          <w:rFonts w:ascii="Arial Narrow" w:hAnsi="Arial Narrow"/>
          <w:b/>
          <w:sz w:val="20"/>
          <w:szCs w:val="20"/>
        </w:rPr>
        <w:t xml:space="preserve"> </w:t>
      </w:r>
      <w:proofErr w:type="spellStart"/>
      <w:r w:rsidR="001720AF" w:rsidRPr="00E60A5A">
        <w:rPr>
          <w:rFonts w:ascii="Arial Narrow" w:hAnsi="Arial Narrow"/>
          <w:b/>
          <w:sz w:val="20"/>
          <w:szCs w:val="20"/>
        </w:rPr>
        <w:t>alfa</w:t>
      </w:r>
      <w:proofErr w:type="spellEnd"/>
      <w:r w:rsidR="001720AF" w:rsidRPr="00E60A5A">
        <w:rPr>
          <w:rFonts w:ascii="Arial Narrow" w:hAnsi="Arial Narrow"/>
          <w:b/>
          <w:sz w:val="20"/>
          <w:szCs w:val="20"/>
        </w:rPr>
        <w:t xml:space="preserve"> users/non-users subgroups of the DPI mannitol vs. control trials (CF-301, CF-302)</w:t>
      </w:r>
    </w:p>
    <w:tbl>
      <w:tblPr>
        <w:tblW w:w="83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1236"/>
        <w:gridCol w:w="1244"/>
        <w:gridCol w:w="6"/>
        <w:gridCol w:w="1232"/>
        <w:gridCol w:w="1238"/>
        <w:gridCol w:w="1239"/>
        <w:gridCol w:w="13"/>
        <w:gridCol w:w="1233"/>
      </w:tblGrid>
      <w:tr w:rsidR="001720AF" w:rsidRPr="00E60A5A" w:rsidTr="00E01593">
        <w:trPr>
          <w:trHeight w:val="113"/>
        </w:trPr>
        <w:tc>
          <w:tcPr>
            <w:tcW w:w="935" w:type="dxa"/>
            <w:vMerge w:val="restart"/>
            <w:vAlign w:val="center"/>
          </w:tcPr>
          <w:p w:rsidR="001720AF" w:rsidRPr="00E60A5A" w:rsidRDefault="001720AF" w:rsidP="00E01593">
            <w:pPr>
              <w:keepNext/>
              <w:rPr>
                <w:rFonts w:ascii="Arial Narrow" w:hAnsi="Arial Narrow"/>
                <w:sz w:val="20"/>
                <w:szCs w:val="20"/>
              </w:rPr>
            </w:pPr>
            <w:r w:rsidRPr="00E60A5A">
              <w:rPr>
                <w:rFonts w:ascii="Arial Narrow" w:hAnsi="Arial Narrow"/>
                <w:b/>
                <w:sz w:val="20"/>
                <w:szCs w:val="20"/>
              </w:rPr>
              <w:t>Trial ID</w:t>
            </w:r>
          </w:p>
        </w:tc>
        <w:tc>
          <w:tcPr>
            <w:tcW w:w="3718" w:type="dxa"/>
            <w:gridSpan w:val="4"/>
            <w:tcBorders>
              <w:right w:val="double" w:sz="4" w:space="0" w:color="auto"/>
            </w:tcBorders>
            <w:vAlign w:val="center"/>
          </w:tcPr>
          <w:p w:rsidR="001720AF" w:rsidRPr="00E60A5A" w:rsidRDefault="001720AF" w:rsidP="00E01593">
            <w:pPr>
              <w:keepNext/>
              <w:jc w:val="center"/>
              <w:rPr>
                <w:rFonts w:ascii="Arial Narrow" w:hAnsi="Arial Narrow"/>
                <w:b/>
                <w:sz w:val="20"/>
                <w:szCs w:val="20"/>
              </w:rPr>
            </w:pPr>
            <w:proofErr w:type="spellStart"/>
            <w:r w:rsidRPr="00E60A5A">
              <w:rPr>
                <w:rFonts w:ascii="Arial Narrow" w:hAnsi="Arial Narrow"/>
                <w:b/>
                <w:sz w:val="20"/>
                <w:szCs w:val="20"/>
              </w:rPr>
              <w:t>Dornase</w:t>
            </w:r>
            <w:proofErr w:type="spellEnd"/>
            <w:r w:rsidRPr="00E60A5A">
              <w:rPr>
                <w:rFonts w:ascii="Arial Narrow" w:hAnsi="Arial Narrow"/>
                <w:b/>
                <w:sz w:val="20"/>
                <w:szCs w:val="20"/>
              </w:rPr>
              <w:t xml:space="preserve"> </w:t>
            </w:r>
            <w:proofErr w:type="spellStart"/>
            <w:r w:rsidRPr="00E60A5A">
              <w:rPr>
                <w:rFonts w:ascii="Arial Narrow" w:hAnsi="Arial Narrow"/>
                <w:b/>
                <w:sz w:val="20"/>
                <w:szCs w:val="20"/>
              </w:rPr>
              <w:t>alfa</w:t>
            </w:r>
            <w:proofErr w:type="spellEnd"/>
            <w:r w:rsidRPr="00E60A5A">
              <w:rPr>
                <w:rFonts w:ascii="Arial Narrow" w:hAnsi="Arial Narrow"/>
                <w:b/>
                <w:sz w:val="20"/>
                <w:szCs w:val="20"/>
              </w:rPr>
              <w:t xml:space="preserve"> users </w:t>
            </w:r>
          </w:p>
        </w:tc>
        <w:tc>
          <w:tcPr>
            <w:tcW w:w="3723" w:type="dxa"/>
            <w:gridSpan w:val="4"/>
            <w:tcBorders>
              <w:left w:val="double" w:sz="4" w:space="0" w:color="auto"/>
            </w:tcBorders>
            <w:shd w:val="clear" w:color="auto" w:fill="auto"/>
            <w:vAlign w:val="center"/>
          </w:tcPr>
          <w:p w:rsidR="001720AF" w:rsidRPr="00E60A5A" w:rsidRDefault="001720AF" w:rsidP="00E01593">
            <w:pPr>
              <w:keepNext/>
              <w:jc w:val="center"/>
              <w:rPr>
                <w:rFonts w:ascii="Arial Narrow" w:hAnsi="Arial Narrow"/>
                <w:b/>
                <w:sz w:val="20"/>
                <w:szCs w:val="20"/>
              </w:rPr>
            </w:pPr>
            <w:proofErr w:type="spellStart"/>
            <w:r w:rsidRPr="00E60A5A">
              <w:rPr>
                <w:rFonts w:ascii="Arial Narrow" w:hAnsi="Arial Narrow"/>
                <w:b/>
                <w:sz w:val="20"/>
                <w:szCs w:val="20"/>
              </w:rPr>
              <w:t>Dornase</w:t>
            </w:r>
            <w:proofErr w:type="spellEnd"/>
            <w:r w:rsidRPr="00E60A5A">
              <w:rPr>
                <w:rFonts w:ascii="Arial Narrow" w:hAnsi="Arial Narrow"/>
                <w:b/>
                <w:sz w:val="20"/>
                <w:szCs w:val="20"/>
              </w:rPr>
              <w:t xml:space="preserve"> </w:t>
            </w:r>
            <w:proofErr w:type="spellStart"/>
            <w:r w:rsidRPr="00E60A5A">
              <w:rPr>
                <w:rFonts w:ascii="Arial Narrow" w:hAnsi="Arial Narrow"/>
                <w:b/>
                <w:sz w:val="20"/>
                <w:szCs w:val="20"/>
              </w:rPr>
              <w:t>alfa</w:t>
            </w:r>
            <w:proofErr w:type="spellEnd"/>
            <w:r w:rsidRPr="00E60A5A">
              <w:rPr>
                <w:rFonts w:ascii="Arial Narrow" w:hAnsi="Arial Narrow"/>
                <w:b/>
                <w:sz w:val="20"/>
                <w:szCs w:val="20"/>
              </w:rPr>
              <w:t xml:space="preserve"> non-users</w:t>
            </w:r>
          </w:p>
        </w:tc>
      </w:tr>
      <w:tr w:rsidR="001720AF" w:rsidRPr="00E60A5A" w:rsidTr="00E01593">
        <w:trPr>
          <w:trHeight w:val="112"/>
        </w:trPr>
        <w:tc>
          <w:tcPr>
            <w:tcW w:w="935" w:type="dxa"/>
            <w:vMerge/>
          </w:tcPr>
          <w:p w:rsidR="001720AF" w:rsidRPr="00E60A5A" w:rsidRDefault="001720AF" w:rsidP="00E01593">
            <w:pPr>
              <w:keepNext/>
              <w:rPr>
                <w:rFonts w:ascii="Arial Narrow" w:hAnsi="Arial Narrow"/>
                <w:b/>
                <w:sz w:val="20"/>
                <w:szCs w:val="20"/>
              </w:rPr>
            </w:pPr>
          </w:p>
        </w:tc>
        <w:tc>
          <w:tcPr>
            <w:tcW w:w="1236" w:type="dxa"/>
            <w:vAlign w:val="center"/>
          </w:tcPr>
          <w:p w:rsidR="001720AF" w:rsidRPr="00E60A5A" w:rsidRDefault="001720AF" w:rsidP="00E01593">
            <w:pPr>
              <w:keepNext/>
              <w:jc w:val="center"/>
              <w:rPr>
                <w:rFonts w:ascii="Arial Narrow" w:hAnsi="Arial Narrow"/>
                <w:b/>
                <w:sz w:val="20"/>
                <w:szCs w:val="20"/>
              </w:rPr>
            </w:pPr>
            <w:r w:rsidRPr="00E60A5A">
              <w:rPr>
                <w:rFonts w:ascii="Arial Narrow" w:hAnsi="Arial Narrow"/>
                <w:b/>
                <w:sz w:val="20"/>
                <w:szCs w:val="20"/>
              </w:rPr>
              <w:t>DPI mannitol</w:t>
            </w:r>
          </w:p>
        </w:tc>
        <w:tc>
          <w:tcPr>
            <w:tcW w:w="1244" w:type="dxa"/>
            <w:vAlign w:val="center"/>
          </w:tcPr>
          <w:p w:rsidR="001720AF" w:rsidRPr="00E60A5A" w:rsidRDefault="001720AF" w:rsidP="00E01593">
            <w:pPr>
              <w:keepNext/>
              <w:jc w:val="center"/>
              <w:rPr>
                <w:rFonts w:ascii="Arial Narrow" w:hAnsi="Arial Narrow"/>
                <w:b/>
                <w:sz w:val="20"/>
                <w:szCs w:val="20"/>
              </w:rPr>
            </w:pPr>
            <w:r w:rsidRPr="00E60A5A">
              <w:rPr>
                <w:rFonts w:ascii="Arial Narrow" w:hAnsi="Arial Narrow"/>
                <w:b/>
                <w:sz w:val="20"/>
                <w:szCs w:val="20"/>
              </w:rPr>
              <w:t>Control</w:t>
            </w:r>
          </w:p>
        </w:tc>
        <w:tc>
          <w:tcPr>
            <w:tcW w:w="1238" w:type="dxa"/>
            <w:gridSpan w:val="2"/>
            <w:tcBorders>
              <w:right w:val="double" w:sz="4" w:space="0" w:color="auto"/>
            </w:tcBorders>
            <w:shd w:val="clear" w:color="auto" w:fill="auto"/>
            <w:vAlign w:val="center"/>
          </w:tcPr>
          <w:p w:rsidR="001720AF" w:rsidRPr="00E60A5A" w:rsidRDefault="001720AF" w:rsidP="00E01593">
            <w:pPr>
              <w:keepNext/>
              <w:jc w:val="center"/>
              <w:rPr>
                <w:rFonts w:ascii="Arial Narrow" w:hAnsi="Arial Narrow"/>
                <w:b/>
                <w:sz w:val="20"/>
                <w:szCs w:val="20"/>
              </w:rPr>
            </w:pPr>
            <w:r w:rsidRPr="00E60A5A">
              <w:rPr>
                <w:rFonts w:ascii="Arial Narrow" w:hAnsi="Arial Narrow"/>
                <w:b/>
                <w:sz w:val="20"/>
                <w:szCs w:val="20"/>
              </w:rPr>
              <w:t>Difference</w:t>
            </w:r>
          </w:p>
        </w:tc>
        <w:tc>
          <w:tcPr>
            <w:tcW w:w="1238" w:type="dxa"/>
            <w:tcBorders>
              <w:left w:val="double" w:sz="4" w:space="0" w:color="auto"/>
            </w:tcBorders>
            <w:shd w:val="clear" w:color="auto" w:fill="auto"/>
            <w:vAlign w:val="center"/>
          </w:tcPr>
          <w:p w:rsidR="001720AF" w:rsidRPr="00E60A5A" w:rsidRDefault="001720AF" w:rsidP="00E01593">
            <w:pPr>
              <w:keepNext/>
              <w:jc w:val="center"/>
              <w:rPr>
                <w:rFonts w:ascii="Arial Narrow" w:hAnsi="Arial Narrow"/>
                <w:b/>
                <w:sz w:val="20"/>
                <w:szCs w:val="20"/>
              </w:rPr>
            </w:pPr>
            <w:r w:rsidRPr="00E60A5A">
              <w:rPr>
                <w:rFonts w:ascii="Arial Narrow" w:hAnsi="Arial Narrow"/>
                <w:b/>
                <w:sz w:val="20"/>
                <w:szCs w:val="20"/>
              </w:rPr>
              <w:t>DPI mannitol</w:t>
            </w:r>
          </w:p>
        </w:tc>
        <w:tc>
          <w:tcPr>
            <w:tcW w:w="1252" w:type="dxa"/>
            <w:gridSpan w:val="2"/>
            <w:shd w:val="clear" w:color="auto" w:fill="auto"/>
            <w:vAlign w:val="center"/>
          </w:tcPr>
          <w:p w:rsidR="001720AF" w:rsidRPr="00E60A5A" w:rsidRDefault="001720AF" w:rsidP="00E01593">
            <w:pPr>
              <w:keepNext/>
              <w:jc w:val="center"/>
              <w:rPr>
                <w:rFonts w:ascii="Arial Narrow" w:hAnsi="Arial Narrow"/>
                <w:b/>
                <w:sz w:val="20"/>
                <w:szCs w:val="20"/>
              </w:rPr>
            </w:pPr>
            <w:r w:rsidRPr="00E60A5A">
              <w:rPr>
                <w:rFonts w:ascii="Arial Narrow" w:hAnsi="Arial Narrow"/>
                <w:b/>
                <w:sz w:val="20"/>
                <w:szCs w:val="20"/>
              </w:rPr>
              <w:t>Control</w:t>
            </w:r>
          </w:p>
        </w:tc>
        <w:tc>
          <w:tcPr>
            <w:tcW w:w="1233" w:type="dxa"/>
            <w:shd w:val="clear" w:color="auto" w:fill="auto"/>
            <w:vAlign w:val="center"/>
          </w:tcPr>
          <w:p w:rsidR="001720AF" w:rsidRPr="00E60A5A" w:rsidRDefault="001720AF" w:rsidP="00E01593">
            <w:pPr>
              <w:keepNext/>
              <w:jc w:val="center"/>
              <w:rPr>
                <w:rFonts w:ascii="Arial Narrow" w:hAnsi="Arial Narrow"/>
                <w:b/>
                <w:sz w:val="20"/>
                <w:szCs w:val="20"/>
              </w:rPr>
            </w:pPr>
            <w:r w:rsidRPr="00E60A5A">
              <w:rPr>
                <w:rFonts w:ascii="Arial Narrow" w:hAnsi="Arial Narrow"/>
                <w:b/>
                <w:sz w:val="20"/>
                <w:szCs w:val="20"/>
              </w:rPr>
              <w:t>Difference</w:t>
            </w:r>
          </w:p>
        </w:tc>
      </w:tr>
      <w:tr w:rsidR="001720AF" w:rsidRPr="00E60A5A" w:rsidTr="00E01593">
        <w:tc>
          <w:tcPr>
            <w:tcW w:w="8376" w:type="dxa"/>
            <w:gridSpan w:val="9"/>
          </w:tcPr>
          <w:p w:rsidR="001720AF" w:rsidRPr="00E60A5A" w:rsidRDefault="001720AF" w:rsidP="00E01593">
            <w:pPr>
              <w:rPr>
                <w:rFonts w:ascii="Arial Narrow" w:hAnsi="Arial Narrow"/>
                <w:sz w:val="20"/>
                <w:szCs w:val="20"/>
              </w:rPr>
            </w:pPr>
            <w:r w:rsidRPr="00E60A5A">
              <w:rPr>
                <w:rFonts w:ascii="Arial Narrow" w:hAnsi="Arial Narrow" w:cs="Arial"/>
                <w:b/>
                <w:sz w:val="20"/>
                <w:szCs w:val="20"/>
              </w:rPr>
              <w:t>Overall change (</w:t>
            </w:r>
            <w:r>
              <w:rPr>
                <w:rFonts w:ascii="Arial Narrow" w:hAnsi="Arial Narrow" w:cs="Arial"/>
                <w:b/>
                <w:sz w:val="20"/>
                <w:szCs w:val="20"/>
              </w:rPr>
              <w:t xml:space="preserve">averaged over </w:t>
            </w:r>
            <w:r w:rsidRPr="00E60A5A">
              <w:rPr>
                <w:rFonts w:ascii="Arial Narrow" w:hAnsi="Arial Narrow" w:cs="Arial"/>
                <w:b/>
                <w:sz w:val="20"/>
                <w:szCs w:val="20"/>
              </w:rPr>
              <w:t>Week 6-26) in FEV</w:t>
            </w:r>
            <w:r w:rsidRPr="00E60A5A">
              <w:rPr>
                <w:rFonts w:ascii="Arial Narrow" w:hAnsi="Arial Narrow" w:cs="Arial"/>
                <w:b/>
                <w:sz w:val="20"/>
                <w:szCs w:val="20"/>
                <w:vertAlign w:val="subscript"/>
              </w:rPr>
              <w:t>1</w:t>
            </w:r>
            <w:r w:rsidRPr="00E60A5A">
              <w:rPr>
                <w:rFonts w:ascii="Arial Narrow" w:hAnsi="Arial Narrow" w:cs="Arial"/>
                <w:b/>
                <w:sz w:val="20"/>
                <w:szCs w:val="20"/>
              </w:rPr>
              <w:t xml:space="preserve"> (%) from baseline (SE)</w:t>
            </w:r>
          </w:p>
        </w:tc>
      </w:tr>
      <w:tr w:rsidR="001720AF" w:rsidRPr="00E60A5A" w:rsidTr="00E01593">
        <w:tc>
          <w:tcPr>
            <w:tcW w:w="935" w:type="dxa"/>
            <w:vAlign w:val="center"/>
          </w:tcPr>
          <w:p w:rsidR="001720AF" w:rsidRDefault="001720AF" w:rsidP="00E01593">
            <w:pPr>
              <w:rPr>
                <w:rFonts w:ascii="Arial Narrow" w:hAnsi="Arial Narrow"/>
                <w:sz w:val="20"/>
                <w:szCs w:val="20"/>
              </w:rPr>
            </w:pPr>
            <w:r w:rsidRPr="00E60A5A">
              <w:rPr>
                <w:rFonts w:ascii="Arial Narrow" w:hAnsi="Arial Narrow"/>
                <w:sz w:val="20"/>
                <w:szCs w:val="20"/>
              </w:rPr>
              <w:t>CF-301</w:t>
            </w:r>
          </w:p>
          <w:p w:rsidR="001720AF" w:rsidRPr="00E60A5A" w:rsidRDefault="001720AF" w:rsidP="00E01593">
            <w:pPr>
              <w:rPr>
                <w:rFonts w:ascii="Arial Narrow" w:hAnsi="Arial Narrow"/>
                <w:sz w:val="20"/>
                <w:szCs w:val="20"/>
              </w:rPr>
            </w:pPr>
            <w:r>
              <w:rPr>
                <w:rFonts w:ascii="Arial Narrow" w:hAnsi="Arial Narrow"/>
                <w:sz w:val="20"/>
                <w:szCs w:val="20"/>
              </w:rPr>
              <w:t>(N = 324)</w:t>
            </w:r>
          </w:p>
        </w:tc>
        <w:tc>
          <w:tcPr>
            <w:tcW w:w="1236" w:type="dxa"/>
            <w:vAlign w:val="center"/>
          </w:tcPr>
          <w:p w:rsidR="001720AF" w:rsidRPr="00B761C7" w:rsidRDefault="001720AF" w:rsidP="00E01593">
            <w:pPr>
              <w:jc w:val="center"/>
              <w:rPr>
                <w:rFonts w:ascii="Arial Narrow" w:hAnsi="Arial Narrow"/>
                <w:sz w:val="20"/>
                <w:szCs w:val="20"/>
              </w:rPr>
            </w:pPr>
            <w:r w:rsidRPr="00B761C7">
              <w:rPr>
                <w:rFonts w:ascii="Arial Narrow" w:hAnsi="Arial Narrow"/>
                <w:sz w:val="20"/>
                <w:szCs w:val="20"/>
              </w:rPr>
              <w:t xml:space="preserve">4.67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(2.33, 7.01)</w:t>
            </w:r>
          </w:p>
        </w:tc>
        <w:tc>
          <w:tcPr>
            <w:tcW w:w="1244" w:type="dxa"/>
            <w:vAlign w:val="center"/>
          </w:tcPr>
          <w:p w:rsidR="001720AF" w:rsidRPr="00B761C7" w:rsidRDefault="001720AF" w:rsidP="00E01593">
            <w:pPr>
              <w:jc w:val="center"/>
              <w:rPr>
                <w:rFonts w:ascii="Arial Narrow" w:hAnsi="Arial Narrow"/>
                <w:sz w:val="20"/>
                <w:szCs w:val="20"/>
              </w:rPr>
            </w:pPr>
            <w:r w:rsidRPr="00B761C7">
              <w:rPr>
                <w:rFonts w:ascii="Arial Narrow" w:hAnsi="Arial Narrow"/>
                <w:sz w:val="20"/>
                <w:szCs w:val="20"/>
              </w:rPr>
              <w:t xml:space="preserve">1.28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(-1.44, 4.01)</w:t>
            </w:r>
          </w:p>
        </w:tc>
        <w:tc>
          <w:tcPr>
            <w:tcW w:w="1238" w:type="dxa"/>
            <w:gridSpan w:val="2"/>
            <w:tcBorders>
              <w:right w:val="double" w:sz="4" w:space="0" w:color="auto"/>
            </w:tcBorders>
            <w:vAlign w:val="center"/>
          </w:tcPr>
          <w:p w:rsidR="001720AF" w:rsidRPr="00B761C7" w:rsidRDefault="001720AF" w:rsidP="00E01593">
            <w:pPr>
              <w:jc w:val="center"/>
              <w:rPr>
                <w:rFonts w:ascii="Arial Narrow" w:hAnsi="Arial Narrow"/>
                <w:sz w:val="20"/>
                <w:szCs w:val="20"/>
              </w:rPr>
            </w:pPr>
            <w:r w:rsidRPr="00B761C7">
              <w:rPr>
                <w:rFonts w:ascii="Arial Narrow" w:hAnsi="Arial Narrow"/>
                <w:sz w:val="20"/>
                <w:szCs w:val="20"/>
              </w:rPr>
              <w:t xml:space="preserve">3.39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(-0.11, 6.88)</w:t>
            </w:r>
          </w:p>
        </w:tc>
        <w:tc>
          <w:tcPr>
            <w:tcW w:w="1238" w:type="dxa"/>
            <w:tcBorders>
              <w:left w:val="double" w:sz="4" w:space="0" w:color="auto"/>
            </w:tcBorders>
            <w:vAlign w:val="center"/>
          </w:tcPr>
          <w:p w:rsidR="001720AF" w:rsidRPr="00B761C7" w:rsidRDefault="001720AF" w:rsidP="00E01593">
            <w:pPr>
              <w:jc w:val="center"/>
              <w:rPr>
                <w:rFonts w:ascii="Arial Narrow" w:hAnsi="Arial Narrow"/>
                <w:sz w:val="20"/>
                <w:szCs w:val="20"/>
              </w:rPr>
            </w:pPr>
            <w:r w:rsidRPr="00B761C7">
              <w:rPr>
                <w:rFonts w:ascii="Arial Narrow" w:hAnsi="Arial Narrow"/>
                <w:sz w:val="20"/>
                <w:szCs w:val="20"/>
              </w:rPr>
              <w:t xml:space="preserve">8.02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(5.46, 10.58)</w:t>
            </w:r>
          </w:p>
        </w:tc>
        <w:tc>
          <w:tcPr>
            <w:tcW w:w="1239" w:type="dxa"/>
            <w:vAlign w:val="center"/>
          </w:tcPr>
          <w:p w:rsidR="001720AF" w:rsidRPr="00B761C7" w:rsidRDefault="001720AF" w:rsidP="00E01593">
            <w:pPr>
              <w:jc w:val="center"/>
              <w:rPr>
                <w:rFonts w:ascii="Arial Narrow" w:hAnsi="Arial Narrow"/>
                <w:sz w:val="20"/>
                <w:szCs w:val="20"/>
              </w:rPr>
            </w:pPr>
            <w:r w:rsidRPr="00B761C7">
              <w:rPr>
                <w:rFonts w:ascii="Arial Narrow" w:hAnsi="Arial Narrow"/>
                <w:sz w:val="20"/>
                <w:szCs w:val="20"/>
              </w:rPr>
              <w:t xml:space="preserve">3.51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(0.54, 6.48)</w:t>
            </w:r>
          </w:p>
        </w:tc>
        <w:tc>
          <w:tcPr>
            <w:tcW w:w="1246" w:type="dxa"/>
            <w:gridSpan w:val="2"/>
            <w:vAlign w:val="center"/>
          </w:tcPr>
          <w:p w:rsidR="001720AF" w:rsidRPr="00B761C7" w:rsidRDefault="001720AF" w:rsidP="00E01593">
            <w:pPr>
              <w:jc w:val="center"/>
              <w:rPr>
                <w:rFonts w:ascii="Arial Narrow" w:hAnsi="Arial Narrow"/>
                <w:b/>
                <w:sz w:val="20"/>
                <w:szCs w:val="20"/>
              </w:rPr>
            </w:pPr>
            <w:r w:rsidRPr="00B761C7">
              <w:rPr>
                <w:rFonts w:ascii="Arial Narrow" w:hAnsi="Arial Narrow"/>
                <w:b/>
                <w:sz w:val="20"/>
                <w:szCs w:val="20"/>
              </w:rPr>
              <w:t xml:space="preserve">4.52 </w:t>
            </w:r>
          </w:p>
          <w:p w:rsidR="001720AF" w:rsidRPr="00E60A5A" w:rsidRDefault="001720AF" w:rsidP="00E01593">
            <w:pPr>
              <w:jc w:val="center"/>
              <w:rPr>
                <w:rFonts w:ascii="Arial Narrow" w:hAnsi="Arial Narrow"/>
                <w:sz w:val="20"/>
                <w:szCs w:val="20"/>
              </w:rPr>
            </w:pPr>
            <w:r w:rsidRPr="00B761C7">
              <w:rPr>
                <w:rFonts w:ascii="Arial Narrow" w:hAnsi="Arial Narrow"/>
                <w:b/>
                <w:sz w:val="20"/>
                <w:szCs w:val="20"/>
              </w:rPr>
              <w:t>(0.65, 8.38)</w:t>
            </w:r>
          </w:p>
        </w:tc>
      </w:tr>
      <w:tr w:rsidR="001720AF" w:rsidRPr="00E60A5A" w:rsidTr="00E01593">
        <w:tc>
          <w:tcPr>
            <w:tcW w:w="935" w:type="dxa"/>
            <w:vAlign w:val="center"/>
          </w:tcPr>
          <w:p w:rsidR="001720AF" w:rsidRDefault="001720AF" w:rsidP="00E01593">
            <w:pPr>
              <w:rPr>
                <w:rFonts w:ascii="Arial Narrow" w:hAnsi="Arial Narrow"/>
                <w:sz w:val="20"/>
                <w:szCs w:val="20"/>
              </w:rPr>
            </w:pPr>
            <w:r w:rsidRPr="00E60A5A">
              <w:rPr>
                <w:rFonts w:ascii="Arial Narrow" w:hAnsi="Arial Narrow"/>
                <w:sz w:val="20"/>
                <w:szCs w:val="20"/>
              </w:rPr>
              <w:t>CF-302</w:t>
            </w:r>
          </w:p>
          <w:p w:rsidR="001720AF" w:rsidRPr="00E60A5A" w:rsidRDefault="001720AF" w:rsidP="00E01593">
            <w:pPr>
              <w:rPr>
                <w:rFonts w:ascii="Arial Narrow" w:hAnsi="Arial Narrow"/>
                <w:sz w:val="20"/>
                <w:szCs w:val="20"/>
              </w:rPr>
            </w:pPr>
            <w:r>
              <w:rPr>
                <w:rFonts w:ascii="Arial Narrow" w:hAnsi="Arial Narrow"/>
                <w:sz w:val="20"/>
                <w:szCs w:val="20"/>
              </w:rPr>
              <w:t>(N = 318)</w:t>
            </w:r>
          </w:p>
        </w:tc>
        <w:tc>
          <w:tcPr>
            <w:tcW w:w="1236" w:type="dxa"/>
            <w:vAlign w:val="center"/>
          </w:tcPr>
          <w:p w:rsidR="001720AF" w:rsidRPr="00B761C7" w:rsidRDefault="001720AF" w:rsidP="00E01593">
            <w:pPr>
              <w:jc w:val="center"/>
              <w:rPr>
                <w:rFonts w:ascii="Arial Narrow" w:hAnsi="Arial Narrow"/>
                <w:sz w:val="20"/>
                <w:szCs w:val="20"/>
              </w:rPr>
            </w:pPr>
            <w:r w:rsidRPr="00B761C7">
              <w:rPr>
                <w:rFonts w:ascii="Arial Narrow" w:hAnsi="Arial Narrow"/>
                <w:sz w:val="20"/>
                <w:szCs w:val="20"/>
              </w:rPr>
              <w:t xml:space="preserve">6.50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(3.42, 9.57)</w:t>
            </w:r>
          </w:p>
        </w:tc>
        <w:tc>
          <w:tcPr>
            <w:tcW w:w="1244" w:type="dxa"/>
            <w:vAlign w:val="center"/>
          </w:tcPr>
          <w:p w:rsidR="001720AF" w:rsidRPr="00B761C7" w:rsidRDefault="001720AF" w:rsidP="00E01593">
            <w:pPr>
              <w:jc w:val="center"/>
              <w:rPr>
                <w:rFonts w:ascii="Arial Narrow" w:hAnsi="Arial Narrow"/>
                <w:sz w:val="20"/>
                <w:szCs w:val="20"/>
              </w:rPr>
            </w:pPr>
            <w:r w:rsidRPr="00B761C7">
              <w:rPr>
                <w:rFonts w:ascii="Arial Narrow" w:hAnsi="Arial Narrow"/>
                <w:sz w:val="20"/>
                <w:szCs w:val="20"/>
              </w:rPr>
              <w:t xml:space="preserve">2.90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(-0.48, 6.29)</w:t>
            </w:r>
          </w:p>
        </w:tc>
        <w:tc>
          <w:tcPr>
            <w:tcW w:w="1238" w:type="dxa"/>
            <w:gridSpan w:val="2"/>
            <w:tcBorders>
              <w:right w:val="double" w:sz="4" w:space="0" w:color="auto"/>
            </w:tcBorders>
            <w:vAlign w:val="center"/>
          </w:tcPr>
          <w:p w:rsidR="001720AF" w:rsidRPr="00B761C7" w:rsidRDefault="001720AF" w:rsidP="00E01593">
            <w:pPr>
              <w:jc w:val="center"/>
              <w:rPr>
                <w:rFonts w:ascii="Arial Narrow" w:hAnsi="Arial Narrow"/>
                <w:sz w:val="20"/>
                <w:szCs w:val="20"/>
              </w:rPr>
            </w:pPr>
            <w:r w:rsidRPr="00B761C7">
              <w:rPr>
                <w:rFonts w:ascii="Arial Narrow" w:hAnsi="Arial Narrow"/>
                <w:sz w:val="20"/>
                <w:szCs w:val="20"/>
              </w:rPr>
              <w:t xml:space="preserve">3.59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(-0.23, 7.42)</w:t>
            </w:r>
          </w:p>
        </w:tc>
        <w:tc>
          <w:tcPr>
            <w:tcW w:w="1238" w:type="dxa"/>
            <w:tcBorders>
              <w:left w:val="double" w:sz="4" w:space="0" w:color="auto"/>
            </w:tcBorders>
            <w:vAlign w:val="center"/>
          </w:tcPr>
          <w:p w:rsidR="001720AF" w:rsidRPr="00B761C7" w:rsidRDefault="001720AF" w:rsidP="00E01593">
            <w:pPr>
              <w:jc w:val="center"/>
              <w:rPr>
                <w:rFonts w:ascii="Arial Narrow" w:hAnsi="Arial Narrow"/>
                <w:sz w:val="20"/>
                <w:szCs w:val="20"/>
              </w:rPr>
            </w:pPr>
            <w:r w:rsidRPr="00B761C7">
              <w:rPr>
                <w:rFonts w:ascii="Arial Narrow" w:hAnsi="Arial Narrow"/>
                <w:sz w:val="20"/>
                <w:szCs w:val="20"/>
              </w:rPr>
              <w:t xml:space="preserve">10.43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(6.04, 14.82)</w:t>
            </w:r>
          </w:p>
        </w:tc>
        <w:tc>
          <w:tcPr>
            <w:tcW w:w="1239" w:type="dxa"/>
            <w:vAlign w:val="center"/>
          </w:tcPr>
          <w:p w:rsidR="001720AF" w:rsidRPr="00B761C7" w:rsidRDefault="001720AF" w:rsidP="00E01593">
            <w:pPr>
              <w:jc w:val="center"/>
              <w:rPr>
                <w:rFonts w:ascii="Arial Narrow" w:hAnsi="Arial Narrow"/>
                <w:sz w:val="20"/>
                <w:szCs w:val="20"/>
              </w:rPr>
            </w:pPr>
            <w:r w:rsidRPr="00B761C7">
              <w:rPr>
                <w:rFonts w:ascii="Arial Narrow" w:hAnsi="Arial Narrow"/>
                <w:sz w:val="20"/>
                <w:szCs w:val="20"/>
              </w:rPr>
              <w:t xml:space="preserve">5.27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(-0.10, 10.63)</w:t>
            </w:r>
          </w:p>
        </w:tc>
        <w:tc>
          <w:tcPr>
            <w:tcW w:w="1246" w:type="dxa"/>
            <w:gridSpan w:val="2"/>
            <w:vAlign w:val="center"/>
          </w:tcPr>
          <w:p w:rsidR="001720AF" w:rsidRPr="00B761C7" w:rsidRDefault="001720AF" w:rsidP="00E01593">
            <w:pPr>
              <w:jc w:val="center"/>
              <w:rPr>
                <w:rFonts w:ascii="Arial Narrow" w:hAnsi="Arial Narrow"/>
                <w:sz w:val="20"/>
                <w:szCs w:val="20"/>
              </w:rPr>
            </w:pPr>
            <w:r w:rsidRPr="00B761C7">
              <w:rPr>
                <w:rFonts w:ascii="Arial Narrow" w:hAnsi="Arial Narrow"/>
                <w:sz w:val="20"/>
                <w:szCs w:val="20"/>
              </w:rPr>
              <w:t xml:space="preserve">5.16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(-1.51, 11.84)</w:t>
            </w:r>
          </w:p>
        </w:tc>
      </w:tr>
      <w:tr w:rsidR="001720AF" w:rsidRPr="00E60A5A" w:rsidTr="00E01593">
        <w:tc>
          <w:tcPr>
            <w:tcW w:w="3415" w:type="dxa"/>
            <w:gridSpan w:val="3"/>
            <w:vAlign w:val="center"/>
          </w:tcPr>
          <w:p w:rsidR="001720AF" w:rsidRDefault="001720AF" w:rsidP="00E01593">
            <w:pPr>
              <w:jc w:val="right"/>
              <w:rPr>
                <w:rFonts w:ascii="Arial Narrow" w:hAnsi="Arial Narrow"/>
                <w:sz w:val="20"/>
                <w:szCs w:val="20"/>
              </w:rPr>
            </w:pPr>
            <w:r>
              <w:rPr>
                <w:rFonts w:ascii="Arial Narrow" w:hAnsi="Arial Narrow"/>
                <w:sz w:val="20"/>
                <w:szCs w:val="20"/>
              </w:rPr>
              <w:t xml:space="preserve">Pooled </w:t>
            </w:r>
            <w:r w:rsidRPr="00E60A5A">
              <w:rPr>
                <w:rFonts w:ascii="Arial Narrow" w:hAnsi="Arial Narrow"/>
                <w:sz w:val="20"/>
                <w:szCs w:val="20"/>
              </w:rPr>
              <w:t xml:space="preserve">analysis of </w:t>
            </w:r>
          </w:p>
          <w:p w:rsidR="001720AF" w:rsidRPr="00E60A5A" w:rsidRDefault="001720AF" w:rsidP="00E01593">
            <w:pPr>
              <w:jc w:val="right"/>
              <w:rPr>
                <w:rFonts w:ascii="Arial Narrow" w:hAnsi="Arial Narrow"/>
                <w:sz w:val="20"/>
                <w:szCs w:val="20"/>
              </w:rPr>
            </w:pPr>
            <w:proofErr w:type="spellStart"/>
            <w:r w:rsidRPr="00E60A5A">
              <w:rPr>
                <w:rFonts w:ascii="Arial Narrow" w:hAnsi="Arial Narrow"/>
                <w:sz w:val="20"/>
                <w:szCs w:val="20"/>
              </w:rPr>
              <w:t>dornase</w:t>
            </w:r>
            <w:proofErr w:type="spellEnd"/>
            <w:r w:rsidRPr="00E60A5A">
              <w:rPr>
                <w:rFonts w:ascii="Arial Narrow" w:hAnsi="Arial Narrow"/>
                <w:sz w:val="20"/>
                <w:szCs w:val="20"/>
              </w:rPr>
              <w:t xml:space="preserve"> </w:t>
            </w:r>
            <w:proofErr w:type="spellStart"/>
            <w:r w:rsidRPr="00E60A5A">
              <w:rPr>
                <w:rFonts w:ascii="Arial Narrow" w:hAnsi="Arial Narrow"/>
                <w:sz w:val="20"/>
                <w:szCs w:val="20"/>
              </w:rPr>
              <w:t>alfa</w:t>
            </w:r>
            <w:proofErr w:type="spellEnd"/>
            <w:r w:rsidRPr="00E60A5A">
              <w:rPr>
                <w:rFonts w:ascii="Arial Narrow" w:hAnsi="Arial Narrow"/>
                <w:sz w:val="20"/>
                <w:szCs w:val="20"/>
              </w:rPr>
              <w:t xml:space="preserve"> users</w:t>
            </w:r>
          </w:p>
        </w:tc>
        <w:tc>
          <w:tcPr>
            <w:tcW w:w="1238" w:type="dxa"/>
            <w:gridSpan w:val="2"/>
            <w:tcBorders>
              <w:right w:val="double" w:sz="4" w:space="0" w:color="auto"/>
            </w:tcBorders>
            <w:vAlign w:val="center"/>
          </w:tcPr>
          <w:p w:rsidR="001720AF" w:rsidRPr="00363346" w:rsidRDefault="001720AF" w:rsidP="00E01593">
            <w:pPr>
              <w:jc w:val="center"/>
              <w:rPr>
                <w:rFonts w:ascii="Arial Narrow" w:hAnsi="Arial Narrow"/>
                <w:b/>
                <w:sz w:val="20"/>
                <w:szCs w:val="20"/>
              </w:rPr>
            </w:pPr>
            <w:r w:rsidRPr="00363346">
              <w:rPr>
                <w:rFonts w:ascii="Arial Narrow" w:hAnsi="Arial Narrow"/>
                <w:b/>
                <w:sz w:val="20"/>
                <w:szCs w:val="20"/>
              </w:rPr>
              <w:t xml:space="preserve">3.14 </w:t>
            </w:r>
          </w:p>
          <w:p w:rsidR="001720AF" w:rsidRPr="000E50C1" w:rsidRDefault="001720AF" w:rsidP="00E01593">
            <w:pPr>
              <w:jc w:val="center"/>
              <w:rPr>
                <w:rFonts w:ascii="Arial Narrow" w:hAnsi="Arial Narrow"/>
                <w:sz w:val="20"/>
                <w:szCs w:val="20"/>
              </w:rPr>
            </w:pPr>
            <w:r w:rsidRPr="00363346">
              <w:rPr>
                <w:rFonts w:ascii="Arial Narrow" w:hAnsi="Arial Narrow"/>
                <w:b/>
                <w:sz w:val="20"/>
                <w:szCs w:val="20"/>
              </w:rPr>
              <w:t>(0.50, 5.78)</w:t>
            </w:r>
          </w:p>
        </w:tc>
        <w:tc>
          <w:tcPr>
            <w:tcW w:w="2477" w:type="dxa"/>
            <w:gridSpan w:val="2"/>
            <w:tcBorders>
              <w:left w:val="double" w:sz="4" w:space="0" w:color="auto"/>
            </w:tcBorders>
            <w:vAlign w:val="center"/>
          </w:tcPr>
          <w:p w:rsidR="001720AF" w:rsidRDefault="001720AF" w:rsidP="00E01593">
            <w:pPr>
              <w:jc w:val="right"/>
              <w:rPr>
                <w:rFonts w:ascii="Arial Narrow" w:hAnsi="Arial Narrow"/>
                <w:sz w:val="20"/>
                <w:szCs w:val="20"/>
              </w:rPr>
            </w:pPr>
            <w:r>
              <w:rPr>
                <w:rFonts w:ascii="Arial Narrow" w:hAnsi="Arial Narrow"/>
                <w:sz w:val="20"/>
                <w:szCs w:val="20"/>
              </w:rPr>
              <w:t xml:space="preserve">Pooled </w:t>
            </w:r>
            <w:r w:rsidRPr="00E60A5A">
              <w:rPr>
                <w:rFonts w:ascii="Arial Narrow" w:hAnsi="Arial Narrow"/>
                <w:sz w:val="20"/>
                <w:szCs w:val="20"/>
              </w:rPr>
              <w:t xml:space="preserve">analysis of </w:t>
            </w:r>
          </w:p>
          <w:p w:rsidR="001720AF" w:rsidRPr="00E60A5A" w:rsidRDefault="001720AF" w:rsidP="00E01593">
            <w:pPr>
              <w:jc w:val="right"/>
              <w:rPr>
                <w:rFonts w:ascii="Arial Narrow" w:hAnsi="Arial Narrow"/>
                <w:i/>
                <w:sz w:val="20"/>
                <w:szCs w:val="20"/>
              </w:rPr>
            </w:pPr>
            <w:proofErr w:type="spellStart"/>
            <w:r w:rsidRPr="00E60A5A">
              <w:rPr>
                <w:rFonts w:ascii="Arial Narrow" w:hAnsi="Arial Narrow"/>
                <w:sz w:val="20"/>
                <w:szCs w:val="20"/>
              </w:rPr>
              <w:t>dornase</w:t>
            </w:r>
            <w:proofErr w:type="spellEnd"/>
            <w:r w:rsidRPr="00E60A5A">
              <w:rPr>
                <w:rFonts w:ascii="Arial Narrow" w:hAnsi="Arial Narrow"/>
                <w:sz w:val="20"/>
                <w:szCs w:val="20"/>
              </w:rPr>
              <w:t xml:space="preserve"> </w:t>
            </w:r>
            <w:proofErr w:type="spellStart"/>
            <w:r w:rsidRPr="00E60A5A">
              <w:rPr>
                <w:rFonts w:ascii="Arial Narrow" w:hAnsi="Arial Narrow"/>
                <w:sz w:val="20"/>
                <w:szCs w:val="20"/>
              </w:rPr>
              <w:t>alfa</w:t>
            </w:r>
            <w:proofErr w:type="spellEnd"/>
            <w:r w:rsidRPr="00E60A5A">
              <w:rPr>
                <w:rFonts w:ascii="Arial Narrow" w:hAnsi="Arial Narrow"/>
                <w:sz w:val="20"/>
                <w:szCs w:val="20"/>
              </w:rPr>
              <w:t xml:space="preserve"> non-users</w:t>
            </w:r>
          </w:p>
        </w:tc>
        <w:tc>
          <w:tcPr>
            <w:tcW w:w="1246" w:type="dxa"/>
            <w:gridSpan w:val="2"/>
            <w:vAlign w:val="center"/>
          </w:tcPr>
          <w:p w:rsidR="001720AF" w:rsidRPr="00B761C7" w:rsidRDefault="001720AF" w:rsidP="00E01593">
            <w:pPr>
              <w:jc w:val="center"/>
              <w:rPr>
                <w:rFonts w:ascii="Arial Narrow" w:hAnsi="Arial Narrow"/>
                <w:b/>
                <w:sz w:val="20"/>
                <w:szCs w:val="20"/>
              </w:rPr>
            </w:pPr>
            <w:r w:rsidRPr="00B761C7">
              <w:rPr>
                <w:rFonts w:ascii="Arial Narrow" w:hAnsi="Arial Narrow"/>
                <w:b/>
                <w:sz w:val="20"/>
                <w:szCs w:val="20"/>
              </w:rPr>
              <w:t xml:space="preserve">4.88 </w:t>
            </w:r>
          </w:p>
          <w:p w:rsidR="001720AF" w:rsidRPr="000E50C1" w:rsidRDefault="001720AF" w:rsidP="00E01593">
            <w:pPr>
              <w:jc w:val="center"/>
              <w:rPr>
                <w:rFonts w:ascii="Arial Narrow" w:hAnsi="Arial Narrow"/>
                <w:i/>
                <w:sz w:val="20"/>
                <w:szCs w:val="20"/>
              </w:rPr>
            </w:pPr>
            <w:r w:rsidRPr="00B761C7">
              <w:rPr>
                <w:rFonts w:ascii="Arial Narrow" w:hAnsi="Arial Narrow"/>
                <w:b/>
                <w:sz w:val="20"/>
                <w:szCs w:val="20"/>
              </w:rPr>
              <w:t>(1.24, 8.51)</w:t>
            </w:r>
          </w:p>
        </w:tc>
      </w:tr>
      <w:tr w:rsidR="001720AF" w:rsidRPr="00E60A5A" w:rsidTr="00E01593">
        <w:tc>
          <w:tcPr>
            <w:tcW w:w="8376" w:type="dxa"/>
            <w:gridSpan w:val="9"/>
          </w:tcPr>
          <w:p w:rsidR="001720AF" w:rsidRPr="00A84E14" w:rsidRDefault="001720AF" w:rsidP="00E01593">
            <w:pPr>
              <w:rPr>
                <w:rFonts w:ascii="Arial Narrow" w:hAnsi="Arial Narrow"/>
                <w:b/>
                <w:sz w:val="20"/>
                <w:szCs w:val="20"/>
              </w:rPr>
            </w:pPr>
            <w:r>
              <w:rPr>
                <w:rFonts w:ascii="Arial Narrow" w:hAnsi="Arial Narrow"/>
                <w:b/>
                <w:sz w:val="20"/>
                <w:szCs w:val="20"/>
              </w:rPr>
              <w:t>Proportion (%) of patients with PDPE events</w:t>
            </w:r>
          </w:p>
        </w:tc>
      </w:tr>
      <w:tr w:rsidR="001720AF" w:rsidRPr="00E60A5A" w:rsidTr="00E01593">
        <w:tc>
          <w:tcPr>
            <w:tcW w:w="935" w:type="dxa"/>
            <w:vAlign w:val="center"/>
          </w:tcPr>
          <w:p w:rsidR="001720AF" w:rsidRDefault="001720AF" w:rsidP="00E01593">
            <w:pPr>
              <w:rPr>
                <w:rFonts w:ascii="Arial Narrow" w:hAnsi="Arial Narrow"/>
                <w:sz w:val="20"/>
                <w:szCs w:val="20"/>
              </w:rPr>
            </w:pPr>
            <w:r w:rsidRPr="00E60A5A">
              <w:rPr>
                <w:rFonts w:ascii="Arial Narrow" w:hAnsi="Arial Narrow"/>
                <w:sz w:val="20"/>
                <w:szCs w:val="20"/>
              </w:rPr>
              <w:t>CF-301</w:t>
            </w:r>
          </w:p>
          <w:p w:rsidR="001720AF" w:rsidRPr="00E60A5A" w:rsidRDefault="001720AF" w:rsidP="00E01593">
            <w:pPr>
              <w:rPr>
                <w:rFonts w:ascii="Arial Narrow" w:hAnsi="Arial Narrow"/>
                <w:sz w:val="20"/>
                <w:szCs w:val="20"/>
              </w:rPr>
            </w:pPr>
            <w:r>
              <w:rPr>
                <w:rFonts w:ascii="Arial Narrow" w:hAnsi="Arial Narrow"/>
                <w:sz w:val="20"/>
                <w:szCs w:val="20"/>
              </w:rPr>
              <w:t>(N = 324)</w:t>
            </w:r>
          </w:p>
        </w:tc>
        <w:tc>
          <w:tcPr>
            <w:tcW w:w="1236" w:type="dxa"/>
            <w:vAlign w:val="center"/>
          </w:tcPr>
          <w:p w:rsidR="001720AF" w:rsidRPr="00B761C7" w:rsidRDefault="001720AF" w:rsidP="00E01593">
            <w:pPr>
              <w:jc w:val="center"/>
              <w:rPr>
                <w:rFonts w:ascii="Arial Narrow" w:hAnsi="Arial Narrow"/>
                <w:sz w:val="20"/>
                <w:szCs w:val="20"/>
              </w:rPr>
            </w:pPr>
            <w:r w:rsidRPr="00B761C7">
              <w:rPr>
                <w:rFonts w:ascii="Arial Narrow" w:hAnsi="Arial Narrow"/>
                <w:sz w:val="20"/>
                <w:szCs w:val="20"/>
              </w:rPr>
              <w:t xml:space="preserve">22/96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(22.9)</w:t>
            </w:r>
          </w:p>
        </w:tc>
        <w:tc>
          <w:tcPr>
            <w:tcW w:w="1244" w:type="dxa"/>
            <w:vAlign w:val="center"/>
          </w:tcPr>
          <w:p w:rsidR="001720AF" w:rsidRPr="00B761C7" w:rsidRDefault="001720AF" w:rsidP="00E01593">
            <w:pPr>
              <w:jc w:val="center"/>
              <w:rPr>
                <w:rFonts w:ascii="Arial Narrow" w:hAnsi="Arial Narrow"/>
                <w:sz w:val="20"/>
                <w:szCs w:val="20"/>
              </w:rPr>
            </w:pPr>
            <w:r w:rsidRPr="00B761C7">
              <w:rPr>
                <w:rFonts w:ascii="Arial Narrow" w:hAnsi="Arial Narrow"/>
                <w:sz w:val="20"/>
                <w:szCs w:val="20"/>
              </w:rPr>
              <w:t xml:space="preserve">21/67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(31.3)</w:t>
            </w:r>
          </w:p>
        </w:tc>
        <w:tc>
          <w:tcPr>
            <w:tcW w:w="1238" w:type="dxa"/>
            <w:gridSpan w:val="2"/>
            <w:tcBorders>
              <w:right w:val="double" w:sz="4" w:space="0" w:color="auto"/>
            </w:tcBorders>
            <w:vAlign w:val="center"/>
          </w:tcPr>
          <w:p w:rsidR="001720AF" w:rsidRPr="00B761C7" w:rsidRDefault="001720AF" w:rsidP="00E01593">
            <w:pPr>
              <w:jc w:val="center"/>
              <w:rPr>
                <w:rFonts w:ascii="Arial Narrow" w:hAnsi="Arial Narrow"/>
                <w:sz w:val="20"/>
                <w:szCs w:val="20"/>
              </w:rPr>
            </w:pPr>
            <w:r>
              <w:rPr>
                <w:rFonts w:ascii="Arial Narrow" w:hAnsi="Arial Narrow"/>
                <w:sz w:val="20"/>
                <w:szCs w:val="20"/>
              </w:rPr>
              <w:t xml:space="preserve">RR </w:t>
            </w:r>
            <w:r w:rsidRPr="00B761C7">
              <w:rPr>
                <w:rFonts w:ascii="Arial Narrow" w:hAnsi="Arial Narrow"/>
                <w:sz w:val="20"/>
                <w:szCs w:val="20"/>
              </w:rPr>
              <w:t xml:space="preserve">0.76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(0.45, 1.27)</w:t>
            </w:r>
          </w:p>
        </w:tc>
        <w:tc>
          <w:tcPr>
            <w:tcW w:w="1238" w:type="dxa"/>
            <w:tcBorders>
              <w:left w:val="double" w:sz="4" w:space="0" w:color="auto"/>
            </w:tcBorders>
            <w:vAlign w:val="center"/>
          </w:tcPr>
          <w:p w:rsidR="001720AF" w:rsidRPr="00B761C7" w:rsidRDefault="001720AF" w:rsidP="00E01593">
            <w:pPr>
              <w:jc w:val="center"/>
              <w:rPr>
                <w:rFonts w:ascii="Arial Narrow" w:hAnsi="Arial Narrow"/>
                <w:sz w:val="20"/>
                <w:szCs w:val="20"/>
              </w:rPr>
            </w:pPr>
            <w:r w:rsidRPr="00B761C7">
              <w:rPr>
                <w:rFonts w:ascii="Arial Narrow" w:hAnsi="Arial Narrow"/>
                <w:sz w:val="20"/>
                <w:szCs w:val="20"/>
              </w:rPr>
              <w:t xml:space="preserve">10/81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(12.3)</w:t>
            </w:r>
          </w:p>
        </w:tc>
        <w:tc>
          <w:tcPr>
            <w:tcW w:w="1239" w:type="dxa"/>
            <w:vAlign w:val="center"/>
          </w:tcPr>
          <w:p w:rsidR="001720AF" w:rsidRPr="00B761C7" w:rsidRDefault="001720AF" w:rsidP="00E01593">
            <w:pPr>
              <w:jc w:val="center"/>
              <w:rPr>
                <w:rFonts w:ascii="Arial Narrow" w:hAnsi="Arial Narrow"/>
                <w:sz w:val="20"/>
                <w:szCs w:val="20"/>
              </w:rPr>
            </w:pPr>
            <w:r w:rsidRPr="00B761C7">
              <w:rPr>
                <w:rFonts w:ascii="Arial Narrow" w:hAnsi="Arial Narrow"/>
                <w:sz w:val="20"/>
                <w:szCs w:val="20"/>
              </w:rPr>
              <w:t xml:space="preserve">12/51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(23.5)</w:t>
            </w:r>
          </w:p>
        </w:tc>
        <w:tc>
          <w:tcPr>
            <w:tcW w:w="1246" w:type="dxa"/>
            <w:gridSpan w:val="2"/>
            <w:vAlign w:val="center"/>
          </w:tcPr>
          <w:p w:rsidR="001720AF" w:rsidRPr="00B761C7" w:rsidRDefault="001720AF" w:rsidP="00E01593">
            <w:pPr>
              <w:jc w:val="center"/>
              <w:rPr>
                <w:rFonts w:ascii="Arial Narrow" w:hAnsi="Arial Narrow"/>
                <w:sz w:val="20"/>
                <w:szCs w:val="20"/>
              </w:rPr>
            </w:pPr>
            <w:r>
              <w:rPr>
                <w:rFonts w:ascii="Arial Narrow" w:hAnsi="Arial Narrow"/>
                <w:sz w:val="20"/>
                <w:szCs w:val="20"/>
              </w:rPr>
              <w:t xml:space="preserve">RR </w:t>
            </w:r>
            <w:r w:rsidRPr="00B761C7">
              <w:rPr>
                <w:rFonts w:ascii="Arial Narrow" w:hAnsi="Arial Narrow"/>
                <w:sz w:val="20"/>
                <w:szCs w:val="20"/>
              </w:rPr>
              <w:t xml:space="preserve">0.59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(0.24, 1.47)</w:t>
            </w:r>
          </w:p>
        </w:tc>
      </w:tr>
      <w:tr w:rsidR="001720AF" w:rsidRPr="00E60A5A" w:rsidTr="00E01593">
        <w:tc>
          <w:tcPr>
            <w:tcW w:w="935" w:type="dxa"/>
            <w:vAlign w:val="center"/>
          </w:tcPr>
          <w:p w:rsidR="001720AF" w:rsidRDefault="001720AF" w:rsidP="00E01593">
            <w:pPr>
              <w:rPr>
                <w:rFonts w:ascii="Arial Narrow" w:hAnsi="Arial Narrow"/>
                <w:sz w:val="20"/>
                <w:szCs w:val="20"/>
              </w:rPr>
            </w:pPr>
            <w:r w:rsidRPr="00E60A5A">
              <w:rPr>
                <w:rFonts w:ascii="Arial Narrow" w:hAnsi="Arial Narrow"/>
                <w:sz w:val="20"/>
                <w:szCs w:val="20"/>
              </w:rPr>
              <w:t>CF-302</w:t>
            </w:r>
          </w:p>
          <w:p w:rsidR="001720AF" w:rsidRPr="00E60A5A" w:rsidRDefault="001720AF" w:rsidP="00E01593">
            <w:pPr>
              <w:rPr>
                <w:rFonts w:ascii="Arial Narrow" w:hAnsi="Arial Narrow"/>
                <w:sz w:val="20"/>
                <w:szCs w:val="20"/>
              </w:rPr>
            </w:pPr>
            <w:r>
              <w:rPr>
                <w:rFonts w:ascii="Arial Narrow" w:hAnsi="Arial Narrow"/>
                <w:sz w:val="20"/>
                <w:szCs w:val="20"/>
              </w:rPr>
              <w:t>(N = 318)</w:t>
            </w:r>
          </w:p>
        </w:tc>
        <w:tc>
          <w:tcPr>
            <w:tcW w:w="1236" w:type="dxa"/>
            <w:vAlign w:val="center"/>
          </w:tcPr>
          <w:p w:rsidR="001720AF" w:rsidRPr="00506AED" w:rsidRDefault="001720AF" w:rsidP="00E01593">
            <w:pPr>
              <w:jc w:val="center"/>
              <w:rPr>
                <w:rFonts w:ascii="Arial Narrow" w:hAnsi="Arial Narrow"/>
                <w:sz w:val="20"/>
                <w:szCs w:val="20"/>
              </w:rPr>
            </w:pPr>
            <w:r w:rsidRPr="00506AED">
              <w:rPr>
                <w:rFonts w:ascii="Arial Narrow" w:hAnsi="Arial Narrow"/>
                <w:sz w:val="20"/>
                <w:szCs w:val="20"/>
              </w:rPr>
              <w:t xml:space="preserve">24/137 </w:t>
            </w:r>
          </w:p>
          <w:p w:rsidR="001720AF" w:rsidRPr="00E60A5A" w:rsidRDefault="001720AF" w:rsidP="00E01593">
            <w:pPr>
              <w:jc w:val="center"/>
              <w:rPr>
                <w:rFonts w:ascii="Arial Narrow" w:hAnsi="Arial Narrow"/>
                <w:sz w:val="20"/>
                <w:szCs w:val="20"/>
              </w:rPr>
            </w:pPr>
            <w:r w:rsidRPr="00506AED">
              <w:rPr>
                <w:rFonts w:ascii="Arial Narrow" w:hAnsi="Arial Narrow"/>
                <w:sz w:val="20"/>
                <w:szCs w:val="20"/>
              </w:rPr>
              <w:t>(17.5)</w:t>
            </w:r>
          </w:p>
        </w:tc>
        <w:tc>
          <w:tcPr>
            <w:tcW w:w="1244" w:type="dxa"/>
            <w:vAlign w:val="center"/>
          </w:tcPr>
          <w:p w:rsidR="001720AF" w:rsidRPr="00506AED" w:rsidRDefault="001720AF" w:rsidP="00E01593">
            <w:pPr>
              <w:jc w:val="center"/>
              <w:rPr>
                <w:rFonts w:ascii="Arial Narrow" w:hAnsi="Arial Narrow"/>
                <w:sz w:val="20"/>
                <w:szCs w:val="20"/>
              </w:rPr>
            </w:pPr>
            <w:r w:rsidRPr="00506AED">
              <w:rPr>
                <w:rFonts w:ascii="Arial Narrow" w:hAnsi="Arial Narrow"/>
                <w:sz w:val="20"/>
                <w:szCs w:val="20"/>
              </w:rPr>
              <w:t xml:space="preserve">16/92 </w:t>
            </w:r>
          </w:p>
          <w:p w:rsidR="001720AF" w:rsidRPr="00E60A5A" w:rsidRDefault="001720AF" w:rsidP="00E01593">
            <w:pPr>
              <w:jc w:val="center"/>
              <w:rPr>
                <w:rFonts w:ascii="Arial Narrow" w:hAnsi="Arial Narrow"/>
                <w:sz w:val="20"/>
                <w:szCs w:val="20"/>
              </w:rPr>
            </w:pPr>
            <w:r w:rsidRPr="00506AED">
              <w:rPr>
                <w:rFonts w:ascii="Arial Narrow" w:hAnsi="Arial Narrow"/>
                <w:sz w:val="20"/>
                <w:szCs w:val="20"/>
              </w:rPr>
              <w:t>(17.4)</w:t>
            </w:r>
          </w:p>
        </w:tc>
        <w:tc>
          <w:tcPr>
            <w:tcW w:w="1238" w:type="dxa"/>
            <w:gridSpan w:val="2"/>
            <w:tcBorders>
              <w:right w:val="double" w:sz="4" w:space="0" w:color="auto"/>
            </w:tcBorders>
            <w:vAlign w:val="center"/>
          </w:tcPr>
          <w:p w:rsidR="001720AF" w:rsidRPr="00506AED" w:rsidRDefault="001720AF" w:rsidP="00E01593">
            <w:pPr>
              <w:jc w:val="center"/>
              <w:rPr>
                <w:rFonts w:ascii="Arial Narrow" w:hAnsi="Arial Narrow"/>
                <w:sz w:val="20"/>
                <w:szCs w:val="20"/>
              </w:rPr>
            </w:pPr>
            <w:r>
              <w:rPr>
                <w:rFonts w:ascii="Arial Narrow" w:hAnsi="Arial Narrow"/>
                <w:sz w:val="20"/>
                <w:szCs w:val="20"/>
              </w:rPr>
              <w:t xml:space="preserve">RR </w:t>
            </w:r>
            <w:r w:rsidRPr="00506AED">
              <w:rPr>
                <w:rFonts w:ascii="Arial Narrow" w:hAnsi="Arial Narrow"/>
                <w:sz w:val="20"/>
                <w:szCs w:val="20"/>
              </w:rPr>
              <w:t xml:space="preserve">1.09 </w:t>
            </w:r>
          </w:p>
          <w:p w:rsidR="001720AF" w:rsidRPr="00E60A5A" w:rsidRDefault="001720AF" w:rsidP="00E01593">
            <w:pPr>
              <w:jc w:val="center"/>
              <w:rPr>
                <w:rFonts w:ascii="Arial Narrow" w:hAnsi="Arial Narrow"/>
                <w:sz w:val="20"/>
                <w:szCs w:val="20"/>
              </w:rPr>
            </w:pPr>
            <w:r w:rsidRPr="00506AED">
              <w:rPr>
                <w:rFonts w:ascii="Arial Narrow" w:hAnsi="Arial Narrow"/>
                <w:sz w:val="20"/>
                <w:szCs w:val="20"/>
              </w:rPr>
              <w:t>(0.61, 1.95)</w:t>
            </w:r>
          </w:p>
        </w:tc>
        <w:tc>
          <w:tcPr>
            <w:tcW w:w="1238" w:type="dxa"/>
            <w:tcBorders>
              <w:left w:val="double" w:sz="4" w:space="0" w:color="auto"/>
            </w:tcBorders>
            <w:vAlign w:val="center"/>
          </w:tcPr>
          <w:p w:rsidR="001720AF" w:rsidRPr="00B761C7" w:rsidRDefault="001720AF" w:rsidP="00E01593">
            <w:pPr>
              <w:jc w:val="center"/>
              <w:rPr>
                <w:rFonts w:ascii="Arial Narrow" w:hAnsi="Arial Narrow"/>
                <w:sz w:val="20"/>
                <w:szCs w:val="20"/>
              </w:rPr>
            </w:pPr>
            <w:r w:rsidRPr="00B761C7">
              <w:rPr>
                <w:rFonts w:ascii="Arial Narrow" w:hAnsi="Arial Narrow"/>
                <w:sz w:val="20"/>
                <w:szCs w:val="20"/>
              </w:rPr>
              <w:t xml:space="preserve">4/47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(8.5)</w:t>
            </w:r>
          </w:p>
        </w:tc>
        <w:tc>
          <w:tcPr>
            <w:tcW w:w="1239" w:type="dxa"/>
            <w:vAlign w:val="center"/>
          </w:tcPr>
          <w:p w:rsidR="001720AF" w:rsidRPr="00B761C7" w:rsidRDefault="001720AF" w:rsidP="00E01593">
            <w:pPr>
              <w:jc w:val="center"/>
              <w:rPr>
                <w:rFonts w:ascii="Arial Narrow" w:hAnsi="Arial Narrow"/>
                <w:sz w:val="20"/>
                <w:szCs w:val="20"/>
              </w:rPr>
            </w:pPr>
            <w:r w:rsidRPr="00B761C7">
              <w:rPr>
                <w:rFonts w:ascii="Arial Narrow" w:hAnsi="Arial Narrow"/>
                <w:sz w:val="20"/>
                <w:szCs w:val="20"/>
              </w:rPr>
              <w:t xml:space="preserve">7/29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(24.1)</w:t>
            </w:r>
          </w:p>
        </w:tc>
        <w:tc>
          <w:tcPr>
            <w:tcW w:w="1246" w:type="dxa"/>
            <w:gridSpan w:val="2"/>
            <w:vAlign w:val="center"/>
          </w:tcPr>
          <w:p w:rsidR="001720AF" w:rsidRPr="00B761C7" w:rsidRDefault="001720AF" w:rsidP="00E01593">
            <w:pPr>
              <w:jc w:val="center"/>
              <w:rPr>
                <w:rFonts w:ascii="Arial Narrow" w:hAnsi="Arial Narrow"/>
                <w:sz w:val="20"/>
                <w:szCs w:val="20"/>
              </w:rPr>
            </w:pPr>
            <w:r>
              <w:rPr>
                <w:rFonts w:ascii="Arial Narrow" w:hAnsi="Arial Narrow"/>
                <w:sz w:val="20"/>
                <w:szCs w:val="20"/>
              </w:rPr>
              <w:t xml:space="preserve">RR </w:t>
            </w:r>
            <w:r w:rsidRPr="00B761C7">
              <w:rPr>
                <w:rFonts w:ascii="Arial Narrow" w:hAnsi="Arial Narrow"/>
                <w:sz w:val="20"/>
                <w:szCs w:val="20"/>
              </w:rPr>
              <w:t xml:space="preserve">0.34 </w:t>
            </w:r>
          </w:p>
          <w:p w:rsidR="001720AF" w:rsidRPr="00E60A5A" w:rsidRDefault="001720AF" w:rsidP="00E01593">
            <w:pPr>
              <w:jc w:val="center"/>
              <w:rPr>
                <w:rFonts w:ascii="Arial Narrow" w:hAnsi="Arial Narrow"/>
                <w:sz w:val="20"/>
                <w:szCs w:val="20"/>
              </w:rPr>
            </w:pPr>
            <w:r w:rsidRPr="00B761C7">
              <w:rPr>
                <w:rFonts w:ascii="Arial Narrow" w:hAnsi="Arial Narrow"/>
                <w:sz w:val="20"/>
                <w:szCs w:val="20"/>
              </w:rPr>
              <w:t>(0.10, 1.09)</w:t>
            </w:r>
          </w:p>
        </w:tc>
      </w:tr>
      <w:tr w:rsidR="001720AF" w:rsidRPr="00E60A5A" w:rsidTr="00E01593">
        <w:tc>
          <w:tcPr>
            <w:tcW w:w="3415" w:type="dxa"/>
            <w:gridSpan w:val="3"/>
            <w:vAlign w:val="center"/>
          </w:tcPr>
          <w:p w:rsidR="001720AF" w:rsidRDefault="001720AF" w:rsidP="00E01593">
            <w:pPr>
              <w:jc w:val="right"/>
              <w:rPr>
                <w:rFonts w:ascii="Arial Narrow" w:hAnsi="Arial Narrow"/>
                <w:sz w:val="20"/>
                <w:szCs w:val="20"/>
              </w:rPr>
            </w:pPr>
            <w:r>
              <w:rPr>
                <w:rFonts w:ascii="Arial Narrow" w:hAnsi="Arial Narrow"/>
                <w:sz w:val="20"/>
                <w:szCs w:val="20"/>
              </w:rPr>
              <w:t xml:space="preserve">Pooled </w:t>
            </w:r>
            <w:r w:rsidRPr="00E60A5A">
              <w:rPr>
                <w:rFonts w:ascii="Arial Narrow" w:hAnsi="Arial Narrow"/>
                <w:sz w:val="20"/>
                <w:szCs w:val="20"/>
              </w:rPr>
              <w:t xml:space="preserve">analysis of </w:t>
            </w:r>
          </w:p>
          <w:p w:rsidR="001720AF" w:rsidRPr="00E60A5A" w:rsidRDefault="001720AF" w:rsidP="00E01593">
            <w:pPr>
              <w:jc w:val="right"/>
              <w:rPr>
                <w:rFonts w:ascii="Arial Narrow" w:hAnsi="Arial Narrow"/>
                <w:sz w:val="20"/>
                <w:szCs w:val="20"/>
              </w:rPr>
            </w:pPr>
            <w:proofErr w:type="spellStart"/>
            <w:r w:rsidRPr="00E60A5A">
              <w:rPr>
                <w:rFonts w:ascii="Arial Narrow" w:hAnsi="Arial Narrow"/>
                <w:sz w:val="20"/>
                <w:szCs w:val="20"/>
              </w:rPr>
              <w:t>dornase</w:t>
            </w:r>
            <w:proofErr w:type="spellEnd"/>
            <w:r w:rsidRPr="00E60A5A">
              <w:rPr>
                <w:rFonts w:ascii="Arial Narrow" w:hAnsi="Arial Narrow"/>
                <w:sz w:val="20"/>
                <w:szCs w:val="20"/>
              </w:rPr>
              <w:t xml:space="preserve"> </w:t>
            </w:r>
            <w:proofErr w:type="spellStart"/>
            <w:r w:rsidRPr="00E60A5A">
              <w:rPr>
                <w:rFonts w:ascii="Arial Narrow" w:hAnsi="Arial Narrow"/>
                <w:sz w:val="20"/>
                <w:szCs w:val="20"/>
              </w:rPr>
              <w:t>alfa</w:t>
            </w:r>
            <w:proofErr w:type="spellEnd"/>
            <w:r w:rsidRPr="00E60A5A">
              <w:rPr>
                <w:rFonts w:ascii="Arial Narrow" w:hAnsi="Arial Narrow"/>
                <w:sz w:val="20"/>
                <w:szCs w:val="20"/>
              </w:rPr>
              <w:t xml:space="preserve"> users</w:t>
            </w:r>
          </w:p>
        </w:tc>
        <w:tc>
          <w:tcPr>
            <w:tcW w:w="1238" w:type="dxa"/>
            <w:gridSpan w:val="2"/>
            <w:tcBorders>
              <w:right w:val="double" w:sz="4" w:space="0" w:color="auto"/>
            </w:tcBorders>
            <w:vAlign w:val="center"/>
          </w:tcPr>
          <w:p w:rsidR="001720AF" w:rsidRPr="00363346" w:rsidRDefault="001720AF" w:rsidP="00E01593">
            <w:pPr>
              <w:jc w:val="center"/>
              <w:rPr>
                <w:rFonts w:ascii="Arial Narrow" w:hAnsi="Arial Narrow"/>
                <w:sz w:val="20"/>
                <w:szCs w:val="20"/>
              </w:rPr>
            </w:pPr>
            <w:r w:rsidRPr="00363346">
              <w:rPr>
                <w:rFonts w:ascii="Arial Narrow" w:hAnsi="Arial Narrow"/>
                <w:sz w:val="20"/>
                <w:szCs w:val="20"/>
              </w:rPr>
              <w:t xml:space="preserve">1.03 </w:t>
            </w:r>
          </w:p>
          <w:p w:rsidR="001720AF" w:rsidRPr="00E60A5A" w:rsidRDefault="001720AF" w:rsidP="00E01593">
            <w:pPr>
              <w:jc w:val="center"/>
              <w:rPr>
                <w:rFonts w:ascii="Arial Narrow" w:hAnsi="Arial Narrow"/>
                <w:sz w:val="20"/>
                <w:szCs w:val="20"/>
              </w:rPr>
            </w:pPr>
            <w:r w:rsidRPr="00363346">
              <w:rPr>
                <w:rFonts w:ascii="Arial Narrow" w:hAnsi="Arial Narrow"/>
                <w:sz w:val="20"/>
                <w:szCs w:val="20"/>
              </w:rPr>
              <w:t>(0.70, 1.51)</w:t>
            </w:r>
          </w:p>
        </w:tc>
        <w:tc>
          <w:tcPr>
            <w:tcW w:w="2477" w:type="dxa"/>
            <w:gridSpan w:val="2"/>
            <w:tcBorders>
              <w:left w:val="double" w:sz="4" w:space="0" w:color="auto"/>
            </w:tcBorders>
            <w:vAlign w:val="center"/>
          </w:tcPr>
          <w:p w:rsidR="001720AF" w:rsidRDefault="001720AF" w:rsidP="00E01593">
            <w:pPr>
              <w:jc w:val="right"/>
              <w:rPr>
                <w:rFonts w:ascii="Arial Narrow" w:hAnsi="Arial Narrow"/>
                <w:sz w:val="20"/>
                <w:szCs w:val="20"/>
              </w:rPr>
            </w:pPr>
            <w:r>
              <w:rPr>
                <w:rFonts w:ascii="Arial Narrow" w:hAnsi="Arial Narrow"/>
                <w:sz w:val="20"/>
                <w:szCs w:val="20"/>
              </w:rPr>
              <w:t xml:space="preserve">Pooled </w:t>
            </w:r>
            <w:r w:rsidRPr="00E60A5A">
              <w:rPr>
                <w:rFonts w:ascii="Arial Narrow" w:hAnsi="Arial Narrow"/>
                <w:sz w:val="20"/>
                <w:szCs w:val="20"/>
              </w:rPr>
              <w:t xml:space="preserve">analysis of </w:t>
            </w:r>
          </w:p>
          <w:p w:rsidR="001720AF" w:rsidRPr="00E60A5A" w:rsidRDefault="001720AF" w:rsidP="00E01593">
            <w:pPr>
              <w:jc w:val="right"/>
              <w:rPr>
                <w:rFonts w:ascii="Arial Narrow" w:hAnsi="Arial Narrow"/>
                <w:i/>
                <w:sz w:val="20"/>
                <w:szCs w:val="20"/>
              </w:rPr>
            </w:pPr>
            <w:proofErr w:type="spellStart"/>
            <w:r w:rsidRPr="00E60A5A">
              <w:rPr>
                <w:rFonts w:ascii="Arial Narrow" w:hAnsi="Arial Narrow"/>
                <w:sz w:val="20"/>
                <w:szCs w:val="20"/>
              </w:rPr>
              <w:t>dornase</w:t>
            </w:r>
            <w:proofErr w:type="spellEnd"/>
            <w:r w:rsidRPr="00E60A5A">
              <w:rPr>
                <w:rFonts w:ascii="Arial Narrow" w:hAnsi="Arial Narrow"/>
                <w:sz w:val="20"/>
                <w:szCs w:val="20"/>
              </w:rPr>
              <w:t xml:space="preserve"> </w:t>
            </w:r>
            <w:proofErr w:type="spellStart"/>
            <w:r w:rsidRPr="00E60A5A">
              <w:rPr>
                <w:rFonts w:ascii="Arial Narrow" w:hAnsi="Arial Narrow"/>
                <w:sz w:val="20"/>
                <w:szCs w:val="20"/>
              </w:rPr>
              <w:t>alfa</w:t>
            </w:r>
            <w:proofErr w:type="spellEnd"/>
            <w:r w:rsidRPr="00E60A5A">
              <w:rPr>
                <w:rFonts w:ascii="Arial Narrow" w:hAnsi="Arial Narrow"/>
                <w:sz w:val="20"/>
                <w:szCs w:val="20"/>
              </w:rPr>
              <w:t xml:space="preserve"> non-users</w:t>
            </w:r>
          </w:p>
        </w:tc>
        <w:tc>
          <w:tcPr>
            <w:tcW w:w="1246" w:type="dxa"/>
            <w:gridSpan w:val="2"/>
            <w:vAlign w:val="center"/>
          </w:tcPr>
          <w:p w:rsidR="001720AF" w:rsidRPr="00B761C7" w:rsidRDefault="001720AF" w:rsidP="00E01593">
            <w:pPr>
              <w:jc w:val="center"/>
              <w:rPr>
                <w:rFonts w:ascii="Arial Narrow" w:hAnsi="Arial Narrow"/>
                <w:sz w:val="20"/>
                <w:szCs w:val="20"/>
              </w:rPr>
            </w:pPr>
            <w:r w:rsidRPr="00B761C7">
              <w:rPr>
                <w:rFonts w:ascii="Arial Narrow" w:hAnsi="Arial Narrow"/>
                <w:sz w:val="20"/>
                <w:szCs w:val="20"/>
              </w:rPr>
              <w:t xml:space="preserve">RR 0.58 </w:t>
            </w:r>
          </w:p>
          <w:p w:rsidR="001720AF" w:rsidRPr="00E60A5A" w:rsidRDefault="001720AF" w:rsidP="00E01593">
            <w:pPr>
              <w:jc w:val="center"/>
              <w:rPr>
                <w:rFonts w:ascii="Arial Narrow" w:hAnsi="Arial Narrow"/>
                <w:i/>
                <w:sz w:val="20"/>
                <w:szCs w:val="20"/>
              </w:rPr>
            </w:pPr>
            <w:r w:rsidRPr="00B761C7">
              <w:rPr>
                <w:rFonts w:ascii="Arial Narrow" w:hAnsi="Arial Narrow"/>
                <w:sz w:val="20"/>
                <w:szCs w:val="20"/>
              </w:rPr>
              <w:t>(0.31, 1.07)</w:t>
            </w:r>
          </w:p>
        </w:tc>
      </w:tr>
      <w:tr w:rsidR="001720AF" w:rsidRPr="00A84E14" w:rsidTr="00E01593">
        <w:tc>
          <w:tcPr>
            <w:tcW w:w="8376" w:type="dxa"/>
            <w:gridSpan w:val="9"/>
          </w:tcPr>
          <w:p w:rsidR="001720AF" w:rsidRPr="00A84E14" w:rsidRDefault="001720AF" w:rsidP="00E01593">
            <w:pPr>
              <w:rPr>
                <w:rFonts w:ascii="Arial Narrow" w:hAnsi="Arial Narrow"/>
                <w:b/>
                <w:sz w:val="20"/>
                <w:szCs w:val="20"/>
              </w:rPr>
            </w:pPr>
            <w:r>
              <w:rPr>
                <w:rFonts w:ascii="Arial Narrow" w:hAnsi="Arial Narrow"/>
                <w:b/>
                <w:sz w:val="20"/>
                <w:szCs w:val="20"/>
              </w:rPr>
              <w:t>Proportion (%) of patients with PE events</w:t>
            </w:r>
          </w:p>
        </w:tc>
      </w:tr>
      <w:tr w:rsidR="001720AF" w:rsidRPr="00E60A5A" w:rsidTr="00E01593">
        <w:tc>
          <w:tcPr>
            <w:tcW w:w="935" w:type="dxa"/>
            <w:vAlign w:val="center"/>
          </w:tcPr>
          <w:p w:rsidR="001720AF" w:rsidRDefault="001720AF" w:rsidP="00E01593">
            <w:pPr>
              <w:rPr>
                <w:rFonts w:ascii="Arial Narrow" w:hAnsi="Arial Narrow"/>
                <w:sz w:val="20"/>
                <w:szCs w:val="20"/>
              </w:rPr>
            </w:pPr>
            <w:r w:rsidRPr="00E60A5A">
              <w:rPr>
                <w:rFonts w:ascii="Arial Narrow" w:hAnsi="Arial Narrow"/>
                <w:sz w:val="20"/>
                <w:szCs w:val="20"/>
              </w:rPr>
              <w:t>CF-301</w:t>
            </w:r>
          </w:p>
          <w:p w:rsidR="001720AF" w:rsidRPr="00E60A5A" w:rsidRDefault="001720AF" w:rsidP="00E01593">
            <w:pPr>
              <w:rPr>
                <w:rFonts w:ascii="Arial Narrow" w:hAnsi="Arial Narrow"/>
                <w:sz w:val="20"/>
                <w:szCs w:val="20"/>
              </w:rPr>
            </w:pPr>
            <w:r>
              <w:rPr>
                <w:rFonts w:ascii="Arial Narrow" w:hAnsi="Arial Narrow"/>
                <w:sz w:val="20"/>
                <w:szCs w:val="20"/>
              </w:rPr>
              <w:t>(N = 324)</w:t>
            </w:r>
          </w:p>
        </w:tc>
        <w:tc>
          <w:tcPr>
            <w:tcW w:w="1236" w:type="dxa"/>
            <w:vAlign w:val="center"/>
          </w:tcPr>
          <w:p w:rsidR="001720AF" w:rsidRPr="00506AED" w:rsidRDefault="001720AF" w:rsidP="00E01593">
            <w:pPr>
              <w:jc w:val="center"/>
              <w:rPr>
                <w:rFonts w:ascii="Arial Narrow" w:hAnsi="Arial Narrow"/>
                <w:sz w:val="20"/>
                <w:szCs w:val="20"/>
              </w:rPr>
            </w:pPr>
            <w:r w:rsidRPr="00506AED">
              <w:rPr>
                <w:rFonts w:ascii="Arial Narrow" w:hAnsi="Arial Narrow"/>
                <w:sz w:val="20"/>
                <w:szCs w:val="20"/>
              </w:rPr>
              <w:t xml:space="preserve">39/96 </w:t>
            </w:r>
          </w:p>
          <w:p w:rsidR="001720AF" w:rsidRPr="00E60A5A" w:rsidRDefault="001720AF" w:rsidP="00E01593">
            <w:pPr>
              <w:jc w:val="center"/>
              <w:rPr>
                <w:rFonts w:ascii="Arial Narrow" w:hAnsi="Arial Narrow"/>
                <w:sz w:val="20"/>
                <w:szCs w:val="20"/>
              </w:rPr>
            </w:pPr>
            <w:r w:rsidRPr="00506AED">
              <w:rPr>
                <w:rFonts w:ascii="Arial Narrow" w:hAnsi="Arial Narrow"/>
                <w:sz w:val="20"/>
                <w:szCs w:val="20"/>
              </w:rPr>
              <w:t>(40.6)</w:t>
            </w:r>
          </w:p>
        </w:tc>
        <w:tc>
          <w:tcPr>
            <w:tcW w:w="1244" w:type="dxa"/>
            <w:vAlign w:val="center"/>
          </w:tcPr>
          <w:p w:rsidR="001720AF" w:rsidRPr="00506AED" w:rsidRDefault="001720AF" w:rsidP="00E01593">
            <w:pPr>
              <w:jc w:val="center"/>
              <w:rPr>
                <w:rFonts w:ascii="Arial Narrow" w:hAnsi="Arial Narrow"/>
                <w:sz w:val="20"/>
                <w:szCs w:val="20"/>
              </w:rPr>
            </w:pPr>
            <w:r w:rsidRPr="00506AED">
              <w:rPr>
                <w:rFonts w:ascii="Arial Narrow" w:hAnsi="Arial Narrow"/>
                <w:sz w:val="20"/>
                <w:szCs w:val="20"/>
              </w:rPr>
              <w:t xml:space="preserve">37/67 </w:t>
            </w:r>
          </w:p>
          <w:p w:rsidR="001720AF" w:rsidRPr="00E60A5A" w:rsidRDefault="001720AF" w:rsidP="00E01593">
            <w:pPr>
              <w:jc w:val="center"/>
              <w:rPr>
                <w:rFonts w:ascii="Arial Narrow" w:hAnsi="Arial Narrow"/>
                <w:sz w:val="20"/>
                <w:szCs w:val="20"/>
              </w:rPr>
            </w:pPr>
            <w:r w:rsidRPr="00506AED">
              <w:rPr>
                <w:rFonts w:ascii="Arial Narrow" w:hAnsi="Arial Narrow"/>
                <w:sz w:val="20"/>
                <w:szCs w:val="20"/>
              </w:rPr>
              <w:t>(55.2)</w:t>
            </w:r>
          </w:p>
        </w:tc>
        <w:tc>
          <w:tcPr>
            <w:tcW w:w="1238" w:type="dxa"/>
            <w:gridSpan w:val="2"/>
            <w:tcBorders>
              <w:right w:val="double" w:sz="4" w:space="0" w:color="auto"/>
            </w:tcBorders>
            <w:vAlign w:val="center"/>
          </w:tcPr>
          <w:p w:rsidR="001720AF" w:rsidRPr="00506AED" w:rsidRDefault="001720AF" w:rsidP="00E01593">
            <w:pPr>
              <w:jc w:val="center"/>
              <w:rPr>
                <w:rFonts w:ascii="Arial Narrow" w:hAnsi="Arial Narrow"/>
                <w:sz w:val="20"/>
                <w:szCs w:val="20"/>
              </w:rPr>
            </w:pPr>
            <w:r>
              <w:rPr>
                <w:rFonts w:ascii="Arial Narrow" w:hAnsi="Arial Narrow"/>
                <w:sz w:val="20"/>
                <w:szCs w:val="20"/>
              </w:rPr>
              <w:t xml:space="preserve">RR </w:t>
            </w:r>
            <w:r w:rsidRPr="00506AED">
              <w:rPr>
                <w:rFonts w:ascii="Arial Narrow" w:hAnsi="Arial Narrow"/>
                <w:sz w:val="20"/>
                <w:szCs w:val="20"/>
              </w:rPr>
              <w:t xml:space="preserve">0.76 </w:t>
            </w:r>
          </w:p>
          <w:p w:rsidR="001720AF" w:rsidRPr="00E60A5A" w:rsidRDefault="001720AF" w:rsidP="00E01593">
            <w:pPr>
              <w:jc w:val="center"/>
              <w:rPr>
                <w:rFonts w:ascii="Arial Narrow" w:hAnsi="Arial Narrow"/>
                <w:sz w:val="20"/>
                <w:szCs w:val="20"/>
              </w:rPr>
            </w:pPr>
            <w:r w:rsidRPr="00506AED">
              <w:rPr>
                <w:rFonts w:ascii="Arial Narrow" w:hAnsi="Arial Narrow"/>
                <w:sz w:val="20"/>
                <w:szCs w:val="20"/>
              </w:rPr>
              <w:t>(0.55, 1.06)</w:t>
            </w:r>
          </w:p>
        </w:tc>
        <w:tc>
          <w:tcPr>
            <w:tcW w:w="1238" w:type="dxa"/>
            <w:tcBorders>
              <w:left w:val="double" w:sz="4" w:space="0" w:color="auto"/>
            </w:tcBorders>
            <w:vAlign w:val="center"/>
          </w:tcPr>
          <w:p w:rsidR="001720AF" w:rsidRPr="00506AED" w:rsidRDefault="001720AF" w:rsidP="00E01593">
            <w:pPr>
              <w:jc w:val="center"/>
              <w:rPr>
                <w:rFonts w:ascii="Arial Narrow" w:hAnsi="Arial Narrow"/>
                <w:sz w:val="20"/>
                <w:szCs w:val="20"/>
              </w:rPr>
            </w:pPr>
            <w:r w:rsidRPr="00506AED">
              <w:rPr>
                <w:rFonts w:ascii="Arial Narrow" w:hAnsi="Arial Narrow"/>
                <w:sz w:val="20"/>
                <w:szCs w:val="20"/>
              </w:rPr>
              <w:t xml:space="preserve">26/81 </w:t>
            </w:r>
          </w:p>
          <w:p w:rsidR="001720AF" w:rsidRPr="00E60A5A" w:rsidRDefault="001720AF" w:rsidP="00E01593">
            <w:pPr>
              <w:jc w:val="center"/>
              <w:rPr>
                <w:rFonts w:ascii="Arial Narrow" w:hAnsi="Arial Narrow"/>
                <w:sz w:val="20"/>
                <w:szCs w:val="20"/>
              </w:rPr>
            </w:pPr>
            <w:r w:rsidRPr="00506AED">
              <w:rPr>
                <w:rFonts w:ascii="Arial Narrow" w:hAnsi="Arial Narrow"/>
                <w:sz w:val="20"/>
                <w:szCs w:val="20"/>
              </w:rPr>
              <w:t>(32.1)</w:t>
            </w:r>
          </w:p>
        </w:tc>
        <w:tc>
          <w:tcPr>
            <w:tcW w:w="1239" w:type="dxa"/>
            <w:vAlign w:val="center"/>
          </w:tcPr>
          <w:p w:rsidR="001720AF" w:rsidRPr="00506AED" w:rsidRDefault="001720AF" w:rsidP="00E01593">
            <w:pPr>
              <w:jc w:val="center"/>
              <w:rPr>
                <w:rFonts w:ascii="Arial Narrow" w:hAnsi="Arial Narrow"/>
                <w:sz w:val="20"/>
                <w:szCs w:val="20"/>
              </w:rPr>
            </w:pPr>
            <w:r w:rsidRPr="00506AED">
              <w:rPr>
                <w:rFonts w:ascii="Arial Narrow" w:hAnsi="Arial Narrow"/>
                <w:sz w:val="20"/>
                <w:szCs w:val="20"/>
              </w:rPr>
              <w:t xml:space="preserve">23/51 </w:t>
            </w:r>
          </w:p>
          <w:p w:rsidR="001720AF" w:rsidRPr="00E60A5A" w:rsidRDefault="001720AF" w:rsidP="00E01593">
            <w:pPr>
              <w:jc w:val="center"/>
              <w:rPr>
                <w:rFonts w:ascii="Arial Narrow" w:hAnsi="Arial Narrow"/>
                <w:sz w:val="20"/>
                <w:szCs w:val="20"/>
              </w:rPr>
            </w:pPr>
            <w:r w:rsidRPr="00506AED">
              <w:rPr>
                <w:rFonts w:ascii="Arial Narrow" w:hAnsi="Arial Narrow"/>
                <w:sz w:val="20"/>
                <w:szCs w:val="20"/>
              </w:rPr>
              <w:t>(45.1)</w:t>
            </w:r>
          </w:p>
        </w:tc>
        <w:tc>
          <w:tcPr>
            <w:tcW w:w="1246" w:type="dxa"/>
            <w:gridSpan w:val="2"/>
            <w:vAlign w:val="center"/>
          </w:tcPr>
          <w:p w:rsidR="001720AF" w:rsidRPr="00506AED" w:rsidRDefault="001720AF" w:rsidP="00E01593">
            <w:pPr>
              <w:jc w:val="center"/>
              <w:rPr>
                <w:rFonts w:ascii="Arial Narrow" w:hAnsi="Arial Narrow"/>
                <w:sz w:val="20"/>
                <w:szCs w:val="20"/>
              </w:rPr>
            </w:pPr>
            <w:r>
              <w:rPr>
                <w:rFonts w:ascii="Arial Narrow" w:hAnsi="Arial Narrow"/>
                <w:sz w:val="20"/>
                <w:szCs w:val="20"/>
              </w:rPr>
              <w:t xml:space="preserve">RR </w:t>
            </w:r>
            <w:r w:rsidRPr="00506AED">
              <w:rPr>
                <w:rFonts w:ascii="Arial Narrow" w:hAnsi="Arial Narrow"/>
                <w:sz w:val="20"/>
                <w:szCs w:val="20"/>
              </w:rPr>
              <w:t xml:space="preserve">0.94 </w:t>
            </w:r>
          </w:p>
          <w:p w:rsidR="001720AF" w:rsidRPr="00E60A5A" w:rsidRDefault="001720AF" w:rsidP="00E01593">
            <w:pPr>
              <w:jc w:val="center"/>
              <w:rPr>
                <w:rFonts w:ascii="Arial Narrow" w:hAnsi="Arial Narrow"/>
                <w:sz w:val="20"/>
                <w:szCs w:val="20"/>
              </w:rPr>
            </w:pPr>
            <w:r w:rsidRPr="00506AED">
              <w:rPr>
                <w:rFonts w:ascii="Arial Narrow" w:hAnsi="Arial Narrow"/>
                <w:sz w:val="20"/>
                <w:szCs w:val="20"/>
              </w:rPr>
              <w:t>(0.55, 1.60)</w:t>
            </w:r>
          </w:p>
        </w:tc>
      </w:tr>
      <w:tr w:rsidR="001720AF" w:rsidRPr="00E60A5A" w:rsidTr="00E01593">
        <w:tc>
          <w:tcPr>
            <w:tcW w:w="935" w:type="dxa"/>
            <w:vAlign w:val="center"/>
          </w:tcPr>
          <w:p w:rsidR="001720AF" w:rsidRDefault="001720AF" w:rsidP="00E01593">
            <w:pPr>
              <w:rPr>
                <w:rFonts w:ascii="Arial Narrow" w:hAnsi="Arial Narrow"/>
                <w:sz w:val="20"/>
                <w:szCs w:val="20"/>
              </w:rPr>
            </w:pPr>
            <w:r w:rsidRPr="00E60A5A">
              <w:rPr>
                <w:rFonts w:ascii="Arial Narrow" w:hAnsi="Arial Narrow"/>
                <w:sz w:val="20"/>
                <w:szCs w:val="20"/>
              </w:rPr>
              <w:t>CF-302</w:t>
            </w:r>
          </w:p>
          <w:p w:rsidR="001720AF" w:rsidRPr="00E60A5A" w:rsidRDefault="001720AF" w:rsidP="00E01593">
            <w:pPr>
              <w:rPr>
                <w:rFonts w:ascii="Arial Narrow" w:hAnsi="Arial Narrow"/>
                <w:sz w:val="20"/>
                <w:szCs w:val="20"/>
              </w:rPr>
            </w:pPr>
            <w:r>
              <w:rPr>
                <w:rFonts w:ascii="Arial Narrow" w:hAnsi="Arial Narrow"/>
                <w:sz w:val="20"/>
                <w:szCs w:val="20"/>
              </w:rPr>
              <w:t>(N = 318)</w:t>
            </w:r>
          </w:p>
        </w:tc>
        <w:tc>
          <w:tcPr>
            <w:tcW w:w="1236" w:type="dxa"/>
            <w:vAlign w:val="center"/>
          </w:tcPr>
          <w:p w:rsidR="001720AF" w:rsidRPr="00506AED" w:rsidRDefault="001720AF" w:rsidP="00E01593">
            <w:pPr>
              <w:jc w:val="center"/>
              <w:rPr>
                <w:rFonts w:ascii="Arial Narrow" w:hAnsi="Arial Narrow"/>
                <w:sz w:val="20"/>
                <w:szCs w:val="20"/>
              </w:rPr>
            </w:pPr>
            <w:r w:rsidRPr="00506AED">
              <w:rPr>
                <w:rFonts w:ascii="Arial Narrow" w:hAnsi="Arial Narrow"/>
                <w:sz w:val="20"/>
                <w:szCs w:val="20"/>
              </w:rPr>
              <w:t xml:space="preserve">86/137 </w:t>
            </w:r>
          </w:p>
          <w:p w:rsidR="001720AF" w:rsidRPr="00E60A5A" w:rsidRDefault="001720AF" w:rsidP="00E01593">
            <w:pPr>
              <w:jc w:val="center"/>
              <w:rPr>
                <w:rFonts w:ascii="Arial Narrow" w:hAnsi="Arial Narrow"/>
                <w:sz w:val="20"/>
                <w:szCs w:val="20"/>
              </w:rPr>
            </w:pPr>
            <w:r w:rsidRPr="00506AED">
              <w:rPr>
                <w:rFonts w:ascii="Arial Narrow" w:hAnsi="Arial Narrow"/>
                <w:sz w:val="20"/>
                <w:szCs w:val="20"/>
              </w:rPr>
              <w:t>(62.8)</w:t>
            </w:r>
          </w:p>
        </w:tc>
        <w:tc>
          <w:tcPr>
            <w:tcW w:w="1244" w:type="dxa"/>
            <w:vAlign w:val="center"/>
          </w:tcPr>
          <w:p w:rsidR="001720AF" w:rsidRPr="00506AED" w:rsidRDefault="001720AF" w:rsidP="00E01593">
            <w:pPr>
              <w:jc w:val="center"/>
              <w:rPr>
                <w:rFonts w:ascii="Arial Narrow" w:hAnsi="Arial Narrow"/>
                <w:sz w:val="20"/>
                <w:szCs w:val="20"/>
              </w:rPr>
            </w:pPr>
            <w:r w:rsidRPr="00506AED">
              <w:rPr>
                <w:rFonts w:ascii="Arial Narrow" w:hAnsi="Arial Narrow"/>
                <w:sz w:val="20"/>
                <w:szCs w:val="20"/>
              </w:rPr>
              <w:t xml:space="preserve">58/92 </w:t>
            </w:r>
          </w:p>
          <w:p w:rsidR="001720AF" w:rsidRPr="00E60A5A" w:rsidRDefault="001720AF" w:rsidP="00E01593">
            <w:pPr>
              <w:jc w:val="center"/>
              <w:rPr>
                <w:rFonts w:ascii="Arial Narrow" w:hAnsi="Arial Narrow"/>
                <w:sz w:val="20"/>
                <w:szCs w:val="20"/>
              </w:rPr>
            </w:pPr>
            <w:r w:rsidRPr="00506AED">
              <w:rPr>
                <w:rFonts w:ascii="Arial Narrow" w:hAnsi="Arial Narrow"/>
                <w:sz w:val="20"/>
                <w:szCs w:val="20"/>
              </w:rPr>
              <w:t>(63.0)</w:t>
            </w:r>
          </w:p>
        </w:tc>
        <w:tc>
          <w:tcPr>
            <w:tcW w:w="1238" w:type="dxa"/>
            <w:gridSpan w:val="2"/>
            <w:tcBorders>
              <w:right w:val="double" w:sz="4" w:space="0" w:color="auto"/>
            </w:tcBorders>
            <w:vAlign w:val="center"/>
          </w:tcPr>
          <w:p w:rsidR="001720AF" w:rsidRPr="00506AED" w:rsidRDefault="001720AF" w:rsidP="00E01593">
            <w:pPr>
              <w:jc w:val="center"/>
              <w:rPr>
                <w:rFonts w:ascii="Arial Narrow" w:hAnsi="Arial Narrow"/>
                <w:sz w:val="20"/>
                <w:szCs w:val="20"/>
              </w:rPr>
            </w:pPr>
            <w:r>
              <w:rPr>
                <w:rFonts w:ascii="Arial Narrow" w:hAnsi="Arial Narrow"/>
                <w:sz w:val="20"/>
                <w:szCs w:val="20"/>
              </w:rPr>
              <w:t xml:space="preserve">RR </w:t>
            </w:r>
            <w:r w:rsidRPr="00506AED">
              <w:rPr>
                <w:rFonts w:ascii="Arial Narrow" w:hAnsi="Arial Narrow"/>
                <w:sz w:val="20"/>
                <w:szCs w:val="20"/>
              </w:rPr>
              <w:t xml:space="preserve">1.00 </w:t>
            </w:r>
          </w:p>
          <w:p w:rsidR="001720AF" w:rsidRPr="00E60A5A" w:rsidRDefault="001720AF" w:rsidP="00E01593">
            <w:pPr>
              <w:jc w:val="center"/>
              <w:rPr>
                <w:rFonts w:ascii="Arial Narrow" w:hAnsi="Arial Narrow"/>
                <w:sz w:val="20"/>
                <w:szCs w:val="20"/>
              </w:rPr>
            </w:pPr>
            <w:r w:rsidRPr="00506AED">
              <w:rPr>
                <w:rFonts w:ascii="Arial Narrow" w:hAnsi="Arial Narrow"/>
                <w:sz w:val="20"/>
                <w:szCs w:val="20"/>
              </w:rPr>
              <w:t>(0.77, 1.30)</w:t>
            </w:r>
          </w:p>
        </w:tc>
        <w:tc>
          <w:tcPr>
            <w:tcW w:w="1238" w:type="dxa"/>
            <w:tcBorders>
              <w:left w:val="double" w:sz="4" w:space="0" w:color="auto"/>
            </w:tcBorders>
            <w:vAlign w:val="center"/>
          </w:tcPr>
          <w:p w:rsidR="001720AF" w:rsidRPr="00506AED" w:rsidRDefault="001720AF" w:rsidP="00E01593">
            <w:pPr>
              <w:jc w:val="center"/>
              <w:rPr>
                <w:rFonts w:ascii="Arial Narrow" w:hAnsi="Arial Narrow"/>
                <w:sz w:val="20"/>
                <w:szCs w:val="20"/>
              </w:rPr>
            </w:pPr>
            <w:r w:rsidRPr="00506AED">
              <w:rPr>
                <w:rFonts w:ascii="Arial Narrow" w:hAnsi="Arial Narrow"/>
                <w:sz w:val="20"/>
                <w:szCs w:val="20"/>
              </w:rPr>
              <w:t xml:space="preserve">20/47 </w:t>
            </w:r>
          </w:p>
          <w:p w:rsidR="001720AF" w:rsidRPr="00E60A5A" w:rsidRDefault="001720AF" w:rsidP="00E01593">
            <w:pPr>
              <w:jc w:val="center"/>
              <w:rPr>
                <w:rFonts w:ascii="Arial Narrow" w:hAnsi="Arial Narrow"/>
                <w:sz w:val="20"/>
                <w:szCs w:val="20"/>
              </w:rPr>
            </w:pPr>
            <w:r w:rsidRPr="00506AED">
              <w:rPr>
                <w:rFonts w:ascii="Arial Narrow" w:hAnsi="Arial Narrow"/>
                <w:sz w:val="20"/>
                <w:szCs w:val="20"/>
              </w:rPr>
              <w:t>(42.6)</w:t>
            </w:r>
          </w:p>
        </w:tc>
        <w:tc>
          <w:tcPr>
            <w:tcW w:w="1239" w:type="dxa"/>
            <w:vAlign w:val="center"/>
          </w:tcPr>
          <w:p w:rsidR="001720AF" w:rsidRPr="00506AED" w:rsidRDefault="001720AF" w:rsidP="00E01593">
            <w:pPr>
              <w:jc w:val="center"/>
              <w:rPr>
                <w:rFonts w:ascii="Arial Narrow" w:hAnsi="Arial Narrow"/>
                <w:sz w:val="20"/>
                <w:szCs w:val="20"/>
              </w:rPr>
            </w:pPr>
            <w:r w:rsidRPr="00506AED">
              <w:rPr>
                <w:rFonts w:ascii="Arial Narrow" w:hAnsi="Arial Narrow"/>
                <w:sz w:val="20"/>
                <w:szCs w:val="20"/>
              </w:rPr>
              <w:t xml:space="preserve">18/29 </w:t>
            </w:r>
          </w:p>
          <w:p w:rsidR="001720AF" w:rsidRPr="00E60A5A" w:rsidRDefault="001720AF" w:rsidP="00E01593">
            <w:pPr>
              <w:jc w:val="center"/>
              <w:rPr>
                <w:rFonts w:ascii="Arial Narrow" w:hAnsi="Arial Narrow"/>
                <w:sz w:val="20"/>
                <w:szCs w:val="20"/>
              </w:rPr>
            </w:pPr>
            <w:r w:rsidRPr="00506AED">
              <w:rPr>
                <w:rFonts w:ascii="Arial Narrow" w:hAnsi="Arial Narrow"/>
                <w:sz w:val="20"/>
                <w:szCs w:val="20"/>
              </w:rPr>
              <w:t>(62.1)</w:t>
            </w:r>
          </w:p>
        </w:tc>
        <w:tc>
          <w:tcPr>
            <w:tcW w:w="1246" w:type="dxa"/>
            <w:gridSpan w:val="2"/>
            <w:vAlign w:val="center"/>
          </w:tcPr>
          <w:p w:rsidR="001720AF" w:rsidRPr="00506AED" w:rsidRDefault="001720AF" w:rsidP="00E01593">
            <w:pPr>
              <w:jc w:val="center"/>
              <w:rPr>
                <w:rFonts w:ascii="Arial Narrow" w:hAnsi="Arial Narrow"/>
                <w:sz w:val="20"/>
                <w:szCs w:val="20"/>
              </w:rPr>
            </w:pPr>
            <w:r>
              <w:rPr>
                <w:rFonts w:ascii="Arial Narrow" w:hAnsi="Arial Narrow"/>
                <w:sz w:val="20"/>
                <w:szCs w:val="20"/>
              </w:rPr>
              <w:t xml:space="preserve">RR </w:t>
            </w:r>
            <w:r w:rsidRPr="00506AED">
              <w:rPr>
                <w:rFonts w:ascii="Arial Narrow" w:hAnsi="Arial Narrow"/>
                <w:sz w:val="20"/>
                <w:szCs w:val="20"/>
              </w:rPr>
              <w:t xml:space="preserve">0.69 </w:t>
            </w:r>
          </w:p>
          <w:p w:rsidR="001720AF" w:rsidRPr="00E60A5A" w:rsidRDefault="001720AF" w:rsidP="00E01593">
            <w:pPr>
              <w:jc w:val="center"/>
              <w:rPr>
                <w:rFonts w:ascii="Arial Narrow" w:hAnsi="Arial Narrow"/>
                <w:sz w:val="20"/>
                <w:szCs w:val="20"/>
              </w:rPr>
            </w:pPr>
            <w:r w:rsidRPr="00506AED">
              <w:rPr>
                <w:rFonts w:ascii="Arial Narrow" w:hAnsi="Arial Narrow"/>
                <w:sz w:val="20"/>
                <w:szCs w:val="20"/>
              </w:rPr>
              <w:t>(0.41, 1.16)</w:t>
            </w:r>
          </w:p>
        </w:tc>
      </w:tr>
      <w:tr w:rsidR="001720AF" w:rsidRPr="00E60A5A" w:rsidTr="00E01593">
        <w:tc>
          <w:tcPr>
            <w:tcW w:w="3421" w:type="dxa"/>
            <w:gridSpan w:val="4"/>
            <w:vAlign w:val="center"/>
          </w:tcPr>
          <w:p w:rsidR="001720AF" w:rsidRDefault="001720AF" w:rsidP="00E01593">
            <w:pPr>
              <w:jc w:val="right"/>
              <w:rPr>
                <w:rFonts w:ascii="Arial Narrow" w:hAnsi="Arial Narrow"/>
                <w:sz w:val="20"/>
                <w:szCs w:val="20"/>
              </w:rPr>
            </w:pPr>
            <w:r>
              <w:rPr>
                <w:rFonts w:ascii="Arial Narrow" w:hAnsi="Arial Narrow"/>
                <w:sz w:val="20"/>
                <w:szCs w:val="20"/>
              </w:rPr>
              <w:t xml:space="preserve">Pooled </w:t>
            </w:r>
            <w:r w:rsidRPr="00E60A5A">
              <w:rPr>
                <w:rFonts w:ascii="Arial Narrow" w:hAnsi="Arial Narrow"/>
                <w:sz w:val="20"/>
                <w:szCs w:val="20"/>
              </w:rPr>
              <w:t xml:space="preserve">analysis of </w:t>
            </w:r>
          </w:p>
          <w:p w:rsidR="001720AF" w:rsidRPr="00E60A5A" w:rsidRDefault="001720AF" w:rsidP="00E01593">
            <w:pPr>
              <w:jc w:val="right"/>
              <w:rPr>
                <w:rFonts w:ascii="Arial Narrow" w:hAnsi="Arial Narrow"/>
                <w:sz w:val="20"/>
                <w:szCs w:val="20"/>
              </w:rPr>
            </w:pPr>
            <w:proofErr w:type="spellStart"/>
            <w:r w:rsidRPr="00E60A5A">
              <w:rPr>
                <w:rFonts w:ascii="Arial Narrow" w:hAnsi="Arial Narrow"/>
                <w:sz w:val="20"/>
                <w:szCs w:val="20"/>
              </w:rPr>
              <w:t>dornase</w:t>
            </w:r>
            <w:proofErr w:type="spellEnd"/>
            <w:r w:rsidRPr="00E60A5A">
              <w:rPr>
                <w:rFonts w:ascii="Arial Narrow" w:hAnsi="Arial Narrow"/>
                <w:sz w:val="20"/>
                <w:szCs w:val="20"/>
              </w:rPr>
              <w:t xml:space="preserve"> </w:t>
            </w:r>
            <w:proofErr w:type="spellStart"/>
            <w:r w:rsidRPr="00E60A5A">
              <w:rPr>
                <w:rFonts w:ascii="Arial Narrow" w:hAnsi="Arial Narrow"/>
                <w:sz w:val="20"/>
                <w:szCs w:val="20"/>
              </w:rPr>
              <w:t>alfa</w:t>
            </w:r>
            <w:proofErr w:type="spellEnd"/>
            <w:r w:rsidRPr="00E60A5A">
              <w:rPr>
                <w:rFonts w:ascii="Arial Narrow" w:hAnsi="Arial Narrow"/>
                <w:sz w:val="20"/>
                <w:szCs w:val="20"/>
              </w:rPr>
              <w:t xml:space="preserve"> users</w:t>
            </w:r>
          </w:p>
        </w:tc>
        <w:tc>
          <w:tcPr>
            <w:tcW w:w="1232" w:type="dxa"/>
            <w:tcBorders>
              <w:right w:val="double" w:sz="4" w:space="0" w:color="auto"/>
            </w:tcBorders>
            <w:vAlign w:val="center"/>
          </w:tcPr>
          <w:p w:rsidR="001720AF" w:rsidRPr="00E60A5A" w:rsidRDefault="001720AF" w:rsidP="00E01593">
            <w:pPr>
              <w:jc w:val="center"/>
              <w:rPr>
                <w:rFonts w:ascii="Arial Narrow" w:hAnsi="Arial Narrow"/>
                <w:sz w:val="20"/>
                <w:szCs w:val="20"/>
              </w:rPr>
            </w:pPr>
            <w:r>
              <w:rPr>
                <w:rFonts w:ascii="Arial Narrow" w:hAnsi="Arial Narrow"/>
                <w:sz w:val="20"/>
                <w:szCs w:val="20"/>
              </w:rPr>
              <w:t>NR</w:t>
            </w:r>
          </w:p>
        </w:tc>
        <w:tc>
          <w:tcPr>
            <w:tcW w:w="2477" w:type="dxa"/>
            <w:gridSpan w:val="2"/>
            <w:tcBorders>
              <w:left w:val="double" w:sz="4" w:space="0" w:color="auto"/>
            </w:tcBorders>
            <w:vAlign w:val="center"/>
          </w:tcPr>
          <w:p w:rsidR="001720AF" w:rsidRDefault="001720AF" w:rsidP="00E01593">
            <w:pPr>
              <w:jc w:val="right"/>
              <w:rPr>
                <w:rFonts w:ascii="Arial Narrow" w:hAnsi="Arial Narrow"/>
                <w:sz w:val="20"/>
                <w:szCs w:val="20"/>
              </w:rPr>
            </w:pPr>
            <w:r>
              <w:rPr>
                <w:rFonts w:ascii="Arial Narrow" w:hAnsi="Arial Narrow"/>
                <w:sz w:val="20"/>
                <w:szCs w:val="20"/>
              </w:rPr>
              <w:t xml:space="preserve">Pooled </w:t>
            </w:r>
            <w:r w:rsidRPr="00E60A5A">
              <w:rPr>
                <w:rFonts w:ascii="Arial Narrow" w:hAnsi="Arial Narrow"/>
                <w:sz w:val="20"/>
                <w:szCs w:val="20"/>
              </w:rPr>
              <w:t xml:space="preserve">analysis of </w:t>
            </w:r>
          </w:p>
          <w:p w:rsidR="001720AF" w:rsidRPr="00E60A5A" w:rsidRDefault="001720AF" w:rsidP="00E01593">
            <w:pPr>
              <w:jc w:val="right"/>
              <w:rPr>
                <w:rFonts w:ascii="Arial Narrow" w:hAnsi="Arial Narrow"/>
                <w:i/>
                <w:sz w:val="20"/>
                <w:szCs w:val="20"/>
              </w:rPr>
            </w:pPr>
            <w:proofErr w:type="spellStart"/>
            <w:r w:rsidRPr="00E60A5A">
              <w:rPr>
                <w:rFonts w:ascii="Arial Narrow" w:hAnsi="Arial Narrow"/>
                <w:sz w:val="20"/>
                <w:szCs w:val="20"/>
              </w:rPr>
              <w:t>dornase</w:t>
            </w:r>
            <w:proofErr w:type="spellEnd"/>
            <w:r w:rsidRPr="00E60A5A">
              <w:rPr>
                <w:rFonts w:ascii="Arial Narrow" w:hAnsi="Arial Narrow"/>
                <w:sz w:val="20"/>
                <w:szCs w:val="20"/>
              </w:rPr>
              <w:t xml:space="preserve"> </w:t>
            </w:r>
            <w:proofErr w:type="spellStart"/>
            <w:r w:rsidRPr="00E60A5A">
              <w:rPr>
                <w:rFonts w:ascii="Arial Narrow" w:hAnsi="Arial Narrow"/>
                <w:sz w:val="20"/>
                <w:szCs w:val="20"/>
              </w:rPr>
              <w:t>alfa</w:t>
            </w:r>
            <w:proofErr w:type="spellEnd"/>
            <w:r w:rsidRPr="00E60A5A">
              <w:rPr>
                <w:rFonts w:ascii="Arial Narrow" w:hAnsi="Arial Narrow"/>
                <w:sz w:val="20"/>
                <w:szCs w:val="20"/>
              </w:rPr>
              <w:t xml:space="preserve"> non-users</w:t>
            </w:r>
          </w:p>
        </w:tc>
        <w:tc>
          <w:tcPr>
            <w:tcW w:w="1246" w:type="dxa"/>
            <w:gridSpan w:val="2"/>
            <w:vAlign w:val="center"/>
          </w:tcPr>
          <w:p w:rsidR="001720AF" w:rsidRPr="00DA611E" w:rsidRDefault="001720AF" w:rsidP="00E01593">
            <w:pPr>
              <w:jc w:val="center"/>
              <w:rPr>
                <w:rFonts w:ascii="Arial Narrow" w:hAnsi="Arial Narrow"/>
                <w:sz w:val="20"/>
                <w:szCs w:val="20"/>
              </w:rPr>
            </w:pPr>
            <w:r w:rsidRPr="00DA611E">
              <w:rPr>
                <w:rFonts w:ascii="Arial Narrow" w:hAnsi="Arial Narrow"/>
                <w:sz w:val="20"/>
                <w:szCs w:val="20"/>
              </w:rPr>
              <w:t>NR</w:t>
            </w:r>
          </w:p>
        </w:tc>
      </w:tr>
    </w:tbl>
    <w:p w:rsidR="001720AF" w:rsidRPr="00E60A5A" w:rsidRDefault="001720AF" w:rsidP="001720AF">
      <w:pPr>
        <w:pStyle w:val="ListParagraph"/>
        <w:jc w:val="both"/>
        <w:rPr>
          <w:rFonts w:ascii="Arial Narrow" w:hAnsi="Arial Narrow"/>
          <w:sz w:val="18"/>
          <w:szCs w:val="18"/>
        </w:rPr>
      </w:pPr>
      <w:r w:rsidRPr="00E60A5A">
        <w:rPr>
          <w:rFonts w:ascii="Arial Narrow" w:hAnsi="Arial Narrow"/>
          <w:sz w:val="18"/>
          <w:szCs w:val="18"/>
        </w:rPr>
        <w:t xml:space="preserve">Abbreviations: </w:t>
      </w:r>
      <w:r>
        <w:rPr>
          <w:rFonts w:ascii="Arial Narrow" w:hAnsi="Arial Narrow"/>
          <w:sz w:val="18"/>
          <w:szCs w:val="18"/>
        </w:rPr>
        <w:t xml:space="preserve">CI, confidence interval; </w:t>
      </w:r>
      <w:r w:rsidRPr="00E60A5A">
        <w:rPr>
          <w:rFonts w:ascii="Arial Narrow" w:hAnsi="Arial Narrow"/>
          <w:sz w:val="18"/>
          <w:szCs w:val="18"/>
          <w:lang w:val="fr-FR"/>
        </w:rPr>
        <w:t>FEV</w:t>
      </w:r>
      <w:r w:rsidRPr="00E60A5A">
        <w:rPr>
          <w:rFonts w:ascii="Arial Narrow" w:hAnsi="Arial Narrow"/>
          <w:sz w:val="18"/>
          <w:szCs w:val="18"/>
          <w:vertAlign w:val="subscript"/>
          <w:lang w:val="fr-FR"/>
        </w:rPr>
        <w:t>1</w:t>
      </w:r>
      <w:r w:rsidRPr="00E60A5A">
        <w:rPr>
          <w:rFonts w:ascii="Arial Narrow" w:hAnsi="Arial Narrow"/>
          <w:sz w:val="18"/>
          <w:szCs w:val="18"/>
          <w:lang w:val="fr-FR"/>
        </w:rPr>
        <w:t>,</w:t>
      </w:r>
      <w:r w:rsidRPr="00E60A5A">
        <w:rPr>
          <w:rFonts w:ascii="Arial Narrow" w:hAnsi="Arial Narrow"/>
          <w:sz w:val="18"/>
          <w:szCs w:val="18"/>
        </w:rPr>
        <w:t xml:space="preserve"> forced expiratory</w:t>
      </w:r>
      <w:r w:rsidRPr="00E60A5A">
        <w:rPr>
          <w:rFonts w:ascii="Arial Narrow" w:hAnsi="Arial Narrow"/>
          <w:sz w:val="18"/>
          <w:szCs w:val="18"/>
          <w:lang w:val="fr-FR"/>
        </w:rPr>
        <w:t xml:space="preserve"> volume in first second of expiration; NR, not</w:t>
      </w:r>
      <w:r w:rsidRPr="00E60A5A">
        <w:rPr>
          <w:rFonts w:ascii="Arial Narrow" w:hAnsi="Arial Narrow"/>
          <w:sz w:val="18"/>
          <w:szCs w:val="18"/>
        </w:rPr>
        <w:t xml:space="preserve"> reported</w:t>
      </w:r>
      <w:r w:rsidRPr="00E60A5A">
        <w:rPr>
          <w:rFonts w:ascii="Arial Narrow" w:hAnsi="Arial Narrow"/>
          <w:sz w:val="18"/>
          <w:szCs w:val="18"/>
          <w:lang w:val="fr-FR"/>
        </w:rPr>
        <w:t>;</w:t>
      </w:r>
      <w:r>
        <w:rPr>
          <w:rFonts w:ascii="Arial Narrow" w:hAnsi="Arial Narrow"/>
          <w:sz w:val="18"/>
          <w:szCs w:val="18"/>
          <w:lang w:val="fr-FR"/>
        </w:rPr>
        <w:t xml:space="preserve"> </w:t>
      </w:r>
      <w:r w:rsidRPr="00A84E14">
        <w:rPr>
          <w:rFonts w:ascii="Arial Narrow" w:hAnsi="Arial Narrow"/>
          <w:sz w:val="18"/>
          <w:szCs w:val="18"/>
          <w:lang w:val="fr-FR"/>
        </w:rPr>
        <w:t xml:space="preserve">PDPE, </w:t>
      </w:r>
      <w:proofErr w:type="spellStart"/>
      <w:r w:rsidRPr="00A84E14">
        <w:rPr>
          <w:rFonts w:ascii="Arial Narrow" w:hAnsi="Arial Narrow"/>
          <w:sz w:val="18"/>
          <w:szCs w:val="18"/>
          <w:lang w:val="fr-FR"/>
        </w:rPr>
        <w:t>protocol</w:t>
      </w:r>
      <w:proofErr w:type="spellEnd"/>
      <w:r w:rsidRPr="00A84E14">
        <w:rPr>
          <w:rFonts w:ascii="Arial Narrow" w:hAnsi="Arial Narrow"/>
          <w:sz w:val="18"/>
          <w:szCs w:val="18"/>
          <w:lang w:val="fr-FR"/>
        </w:rPr>
        <w:t xml:space="preserve"> </w:t>
      </w:r>
      <w:proofErr w:type="spellStart"/>
      <w:r w:rsidRPr="00A84E14">
        <w:rPr>
          <w:rFonts w:ascii="Arial Narrow" w:hAnsi="Arial Narrow"/>
          <w:sz w:val="18"/>
          <w:szCs w:val="18"/>
          <w:lang w:val="fr-FR"/>
        </w:rPr>
        <w:t>defined</w:t>
      </w:r>
      <w:proofErr w:type="spellEnd"/>
      <w:r w:rsidRPr="00A84E14">
        <w:rPr>
          <w:rFonts w:ascii="Arial Narrow" w:hAnsi="Arial Narrow"/>
          <w:sz w:val="18"/>
          <w:szCs w:val="18"/>
          <w:lang w:val="fr-FR"/>
        </w:rPr>
        <w:t xml:space="preserve"> </w:t>
      </w:r>
      <w:proofErr w:type="spellStart"/>
      <w:r w:rsidRPr="00A84E14">
        <w:rPr>
          <w:rFonts w:ascii="Arial Narrow" w:hAnsi="Arial Narrow"/>
          <w:sz w:val="18"/>
          <w:szCs w:val="18"/>
          <w:lang w:val="fr-FR"/>
        </w:rPr>
        <w:t>pulmonary</w:t>
      </w:r>
      <w:proofErr w:type="spellEnd"/>
      <w:r w:rsidRPr="00A84E14">
        <w:rPr>
          <w:rFonts w:ascii="Arial Narrow" w:hAnsi="Arial Narrow"/>
          <w:sz w:val="18"/>
          <w:szCs w:val="18"/>
          <w:lang w:val="fr-FR"/>
        </w:rPr>
        <w:t xml:space="preserve"> exacerbation; PE, </w:t>
      </w:r>
      <w:proofErr w:type="spellStart"/>
      <w:r w:rsidRPr="00A84E14">
        <w:rPr>
          <w:rFonts w:ascii="Arial Narrow" w:hAnsi="Arial Narrow"/>
          <w:sz w:val="18"/>
          <w:szCs w:val="18"/>
          <w:lang w:val="fr-FR"/>
        </w:rPr>
        <w:t>pulmonary</w:t>
      </w:r>
      <w:proofErr w:type="spellEnd"/>
      <w:r w:rsidRPr="00A84E14">
        <w:rPr>
          <w:rFonts w:ascii="Arial Narrow" w:hAnsi="Arial Narrow"/>
          <w:sz w:val="18"/>
          <w:szCs w:val="18"/>
          <w:lang w:val="fr-FR"/>
        </w:rPr>
        <w:t xml:space="preserve"> exacerbation</w:t>
      </w:r>
      <w:r>
        <w:rPr>
          <w:rFonts w:ascii="Arial Narrow" w:hAnsi="Arial Narrow"/>
          <w:sz w:val="18"/>
          <w:szCs w:val="18"/>
          <w:lang w:val="fr-FR"/>
        </w:rPr>
        <w:t xml:space="preserve">; RR, rate ratio; SD, standard </w:t>
      </w:r>
      <w:proofErr w:type="spellStart"/>
      <w:r>
        <w:rPr>
          <w:rFonts w:ascii="Arial Narrow" w:hAnsi="Arial Narrow"/>
          <w:sz w:val="18"/>
          <w:szCs w:val="18"/>
          <w:lang w:val="fr-FR"/>
        </w:rPr>
        <w:t>deviation</w:t>
      </w:r>
      <w:proofErr w:type="spellEnd"/>
      <w:r>
        <w:rPr>
          <w:rFonts w:ascii="Arial Narrow" w:hAnsi="Arial Narrow"/>
          <w:sz w:val="18"/>
          <w:szCs w:val="18"/>
          <w:lang w:val="fr-FR"/>
        </w:rPr>
        <w:t>;</w:t>
      </w:r>
      <w:r w:rsidRPr="00E60A5A">
        <w:rPr>
          <w:rFonts w:ascii="Arial Narrow" w:hAnsi="Arial Narrow"/>
          <w:sz w:val="18"/>
          <w:szCs w:val="18"/>
          <w:lang w:val="fr-FR"/>
        </w:rPr>
        <w:t xml:space="preserve"> SE, standard</w:t>
      </w:r>
      <w:r w:rsidRPr="00E60A5A">
        <w:rPr>
          <w:rFonts w:ascii="Arial Narrow" w:hAnsi="Arial Narrow"/>
          <w:sz w:val="18"/>
          <w:szCs w:val="18"/>
        </w:rPr>
        <w:t xml:space="preserve"> error</w:t>
      </w:r>
    </w:p>
    <w:p w:rsidR="001720AF" w:rsidRPr="00AF02B3" w:rsidRDefault="001720AF" w:rsidP="001720AF">
      <w:pPr>
        <w:pStyle w:val="ListParagraph"/>
        <w:jc w:val="both"/>
        <w:rPr>
          <w:rFonts w:ascii="Arial Narrow" w:hAnsi="Arial Narrow" w:cs="Arial"/>
          <w:sz w:val="18"/>
          <w:szCs w:val="18"/>
        </w:rPr>
      </w:pPr>
      <w:r w:rsidRPr="00E60A5A">
        <w:rPr>
          <w:rFonts w:ascii="Arial Narrow" w:hAnsi="Arial Narrow" w:cs="Arial"/>
          <w:sz w:val="18"/>
          <w:szCs w:val="18"/>
        </w:rPr>
        <w:t xml:space="preserve">Source: </w:t>
      </w:r>
      <w:r>
        <w:rPr>
          <w:rFonts w:ascii="Arial Narrow" w:hAnsi="Arial Narrow" w:cs="Arial"/>
          <w:sz w:val="18"/>
          <w:szCs w:val="18"/>
        </w:rPr>
        <w:t>adapted from November</w:t>
      </w:r>
      <w:r w:rsidRPr="00E60A5A">
        <w:rPr>
          <w:rFonts w:ascii="Arial Narrow" w:hAnsi="Arial Narrow" w:cs="Arial"/>
          <w:sz w:val="18"/>
          <w:szCs w:val="18"/>
        </w:rPr>
        <w:t xml:space="preserve"> 2011 PBAC meeting minutes</w:t>
      </w:r>
      <w:r>
        <w:rPr>
          <w:rFonts w:ascii="Arial Narrow" w:hAnsi="Arial Narrow" w:cs="Arial"/>
          <w:sz w:val="18"/>
          <w:szCs w:val="18"/>
        </w:rPr>
        <w:t xml:space="preserve"> and PES commentary</w:t>
      </w:r>
    </w:p>
    <w:p w:rsidR="00DF26A7" w:rsidRDefault="00DF26A7" w:rsidP="00882085">
      <w:pPr>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harms</w:t>
      </w:r>
    </w:p>
    <w:p w:rsidR="005A3173" w:rsidRPr="00882085" w:rsidRDefault="005A3173" w:rsidP="00882085">
      <w:pPr>
        <w:ind w:left="720" w:hanging="720"/>
        <w:jc w:val="both"/>
        <w:rPr>
          <w:rFonts w:ascii="Arial" w:hAnsi="Arial"/>
          <w:sz w:val="22"/>
          <w:szCs w:val="22"/>
        </w:rPr>
      </w:pPr>
    </w:p>
    <w:p w:rsidR="009B0F67" w:rsidRPr="000403DE" w:rsidRDefault="0032655B" w:rsidP="00187D9A">
      <w:pPr>
        <w:pStyle w:val="ListParagraph"/>
        <w:numPr>
          <w:ilvl w:val="1"/>
          <w:numId w:val="1"/>
        </w:numPr>
        <w:jc w:val="both"/>
        <w:rPr>
          <w:rFonts w:ascii="Arial" w:hAnsi="Arial"/>
          <w:sz w:val="22"/>
          <w:szCs w:val="22"/>
        </w:rPr>
      </w:pPr>
      <w:r w:rsidRPr="0032655B">
        <w:rPr>
          <w:rFonts w:ascii="Arial" w:hAnsi="Arial"/>
          <w:sz w:val="22"/>
          <w:szCs w:val="22"/>
        </w:rPr>
        <w:t xml:space="preserve">The trial results remain unchanged from the previous major submissions in March </w:t>
      </w:r>
      <w:r w:rsidRPr="000403DE">
        <w:rPr>
          <w:rFonts w:ascii="Arial" w:hAnsi="Arial"/>
          <w:sz w:val="22"/>
          <w:szCs w:val="22"/>
        </w:rPr>
        <w:t xml:space="preserve">2011 and November 2011. </w:t>
      </w:r>
      <w:r w:rsidRPr="000E76D5">
        <w:rPr>
          <w:rFonts w:ascii="Arial" w:hAnsi="Arial"/>
          <w:sz w:val="22"/>
          <w:szCs w:val="22"/>
        </w:rPr>
        <w:t xml:space="preserve">There </w:t>
      </w:r>
      <w:r w:rsidR="00BB2E27" w:rsidRPr="000E76D5">
        <w:rPr>
          <w:rFonts w:ascii="Arial" w:hAnsi="Arial"/>
          <w:sz w:val="22"/>
          <w:szCs w:val="22"/>
        </w:rPr>
        <w:t xml:space="preserve">was </w:t>
      </w:r>
      <w:r w:rsidRPr="000E76D5">
        <w:rPr>
          <w:rFonts w:ascii="Arial" w:hAnsi="Arial"/>
          <w:sz w:val="22"/>
          <w:szCs w:val="22"/>
        </w:rPr>
        <w:t xml:space="preserve">limited available information on the safety of combination therapy with DPI mannitol and </w:t>
      </w:r>
      <w:proofErr w:type="spellStart"/>
      <w:r w:rsidRPr="000E76D5">
        <w:rPr>
          <w:rFonts w:ascii="Arial" w:hAnsi="Arial"/>
          <w:sz w:val="22"/>
          <w:szCs w:val="22"/>
        </w:rPr>
        <w:t>dornase</w:t>
      </w:r>
      <w:proofErr w:type="spellEnd"/>
      <w:r w:rsidRPr="000E76D5">
        <w:rPr>
          <w:rFonts w:ascii="Arial" w:hAnsi="Arial"/>
          <w:sz w:val="22"/>
          <w:szCs w:val="22"/>
        </w:rPr>
        <w:t xml:space="preserve"> </w:t>
      </w:r>
      <w:proofErr w:type="spellStart"/>
      <w:r w:rsidRPr="000E76D5">
        <w:rPr>
          <w:rFonts w:ascii="Arial" w:hAnsi="Arial"/>
          <w:sz w:val="22"/>
          <w:szCs w:val="22"/>
        </w:rPr>
        <w:t>alfa</w:t>
      </w:r>
      <w:proofErr w:type="spellEnd"/>
      <w:r w:rsidRPr="000E76D5">
        <w:rPr>
          <w:rFonts w:ascii="Arial" w:hAnsi="Arial"/>
          <w:sz w:val="22"/>
          <w:szCs w:val="22"/>
        </w:rPr>
        <w:t>.</w:t>
      </w:r>
    </w:p>
    <w:p w:rsidR="00F57A6D" w:rsidRPr="000403DE" w:rsidRDefault="00F57A6D" w:rsidP="000403DE">
      <w:pPr>
        <w:jc w:val="both"/>
        <w:rPr>
          <w:rFonts w:ascii="Arial" w:hAnsi="Arial"/>
          <w:sz w:val="22"/>
          <w:szCs w:val="22"/>
        </w:rPr>
      </w:pPr>
    </w:p>
    <w:p w:rsidR="005A3173" w:rsidRPr="000403DE" w:rsidRDefault="005A3173" w:rsidP="00D84934">
      <w:pPr>
        <w:jc w:val="both"/>
        <w:rPr>
          <w:rFonts w:ascii="Arial" w:hAnsi="Arial"/>
          <w:b/>
          <w:i/>
          <w:sz w:val="22"/>
          <w:szCs w:val="22"/>
        </w:rPr>
      </w:pPr>
      <w:r w:rsidRPr="000403DE">
        <w:rPr>
          <w:rFonts w:ascii="Arial" w:hAnsi="Arial"/>
          <w:b/>
          <w:i/>
          <w:sz w:val="22"/>
          <w:szCs w:val="22"/>
        </w:rPr>
        <w:t>Economic analysis</w:t>
      </w:r>
    </w:p>
    <w:p w:rsidR="005A3173" w:rsidRPr="000403DE" w:rsidRDefault="005A3173" w:rsidP="00D84934">
      <w:pPr>
        <w:pStyle w:val="NoSpacing"/>
      </w:pPr>
    </w:p>
    <w:p w:rsidR="000403DE" w:rsidRPr="000E76D5" w:rsidRDefault="000403DE" w:rsidP="00187D9A">
      <w:pPr>
        <w:pStyle w:val="ListParagraph"/>
        <w:numPr>
          <w:ilvl w:val="1"/>
          <w:numId w:val="1"/>
        </w:numPr>
        <w:jc w:val="both"/>
        <w:rPr>
          <w:rFonts w:ascii="Arial" w:hAnsi="Arial"/>
          <w:sz w:val="22"/>
          <w:szCs w:val="22"/>
        </w:rPr>
      </w:pPr>
      <w:r w:rsidRPr="000E76D5">
        <w:rPr>
          <w:rFonts w:ascii="Arial" w:hAnsi="Arial"/>
          <w:sz w:val="22"/>
          <w:szCs w:val="22"/>
        </w:rPr>
        <w:t>N</w:t>
      </w:r>
      <w:r w:rsidR="009B0F67" w:rsidRPr="000E76D5">
        <w:rPr>
          <w:rFonts w:ascii="Arial" w:hAnsi="Arial"/>
          <w:sz w:val="22"/>
          <w:szCs w:val="22"/>
        </w:rPr>
        <w:t xml:space="preserve">o economic comparison </w:t>
      </w:r>
      <w:r w:rsidRPr="000E76D5">
        <w:rPr>
          <w:rFonts w:ascii="Arial" w:hAnsi="Arial"/>
          <w:sz w:val="22"/>
          <w:szCs w:val="22"/>
        </w:rPr>
        <w:t xml:space="preserve">was </w:t>
      </w:r>
      <w:r w:rsidR="009B0F67" w:rsidRPr="000E76D5">
        <w:rPr>
          <w:rFonts w:ascii="Arial" w:hAnsi="Arial"/>
          <w:sz w:val="22"/>
          <w:szCs w:val="22"/>
        </w:rPr>
        <w:t>presented</w:t>
      </w:r>
      <w:r w:rsidRPr="000E76D5">
        <w:rPr>
          <w:rFonts w:ascii="Arial" w:hAnsi="Arial"/>
          <w:sz w:val="22"/>
          <w:szCs w:val="22"/>
        </w:rPr>
        <w:t xml:space="preserve"> in the minor submission. Given the small incremental benefit (or possible harm) associated with </w:t>
      </w:r>
      <w:r w:rsidR="00537F71" w:rsidRPr="000E76D5">
        <w:rPr>
          <w:rFonts w:ascii="Arial" w:hAnsi="Arial"/>
          <w:sz w:val="22"/>
          <w:szCs w:val="22"/>
        </w:rPr>
        <w:t xml:space="preserve">DPI mannitol and </w:t>
      </w:r>
      <w:proofErr w:type="spellStart"/>
      <w:r w:rsidR="00537F71" w:rsidRPr="000E76D5">
        <w:rPr>
          <w:rFonts w:ascii="Arial" w:hAnsi="Arial"/>
          <w:sz w:val="22"/>
          <w:szCs w:val="22"/>
        </w:rPr>
        <w:t>dornase</w:t>
      </w:r>
      <w:proofErr w:type="spellEnd"/>
      <w:r w:rsidR="00537F71" w:rsidRPr="000E76D5">
        <w:rPr>
          <w:rFonts w:ascii="Arial" w:hAnsi="Arial"/>
          <w:sz w:val="22"/>
          <w:szCs w:val="22"/>
        </w:rPr>
        <w:t xml:space="preserve"> </w:t>
      </w:r>
      <w:proofErr w:type="spellStart"/>
      <w:r w:rsidR="00537F71" w:rsidRPr="000E76D5">
        <w:rPr>
          <w:rFonts w:ascii="Arial" w:hAnsi="Arial"/>
          <w:sz w:val="22"/>
          <w:szCs w:val="22"/>
        </w:rPr>
        <w:t>alfa</w:t>
      </w:r>
      <w:proofErr w:type="spellEnd"/>
      <w:r w:rsidR="00537F71" w:rsidRPr="000E76D5">
        <w:rPr>
          <w:rFonts w:ascii="Arial" w:hAnsi="Arial"/>
          <w:sz w:val="22"/>
          <w:szCs w:val="22"/>
        </w:rPr>
        <w:t xml:space="preserve"> </w:t>
      </w:r>
      <w:r w:rsidRPr="000E76D5">
        <w:rPr>
          <w:rFonts w:ascii="Arial" w:hAnsi="Arial"/>
          <w:sz w:val="22"/>
          <w:szCs w:val="22"/>
        </w:rPr>
        <w:lastRenderedPageBreak/>
        <w:t xml:space="preserve">combination therapy it is unlikely that </w:t>
      </w:r>
      <w:r w:rsidR="00D37DAC" w:rsidRPr="000E76D5">
        <w:rPr>
          <w:rFonts w:ascii="Arial" w:hAnsi="Arial"/>
          <w:sz w:val="22"/>
          <w:szCs w:val="22"/>
        </w:rPr>
        <w:t xml:space="preserve">the </w:t>
      </w:r>
      <w:r w:rsidRPr="000E76D5">
        <w:rPr>
          <w:rFonts w:ascii="Arial" w:hAnsi="Arial"/>
          <w:sz w:val="22"/>
          <w:szCs w:val="22"/>
        </w:rPr>
        <w:t>use of the</w:t>
      </w:r>
      <w:r w:rsidR="00D37DAC" w:rsidRPr="000E76D5">
        <w:rPr>
          <w:rFonts w:ascii="Arial" w:hAnsi="Arial"/>
          <w:sz w:val="22"/>
          <w:szCs w:val="22"/>
        </w:rPr>
        <w:t>se</w:t>
      </w:r>
      <w:r w:rsidRPr="000E76D5">
        <w:rPr>
          <w:rFonts w:ascii="Arial" w:hAnsi="Arial"/>
          <w:sz w:val="22"/>
          <w:szCs w:val="22"/>
        </w:rPr>
        <w:t xml:space="preserve"> two high cost therapies together would be considered cost-effective</w:t>
      </w:r>
      <w:r w:rsidR="00D37DAC" w:rsidRPr="000E76D5">
        <w:rPr>
          <w:rFonts w:ascii="Arial" w:hAnsi="Arial"/>
          <w:sz w:val="22"/>
          <w:szCs w:val="22"/>
        </w:rPr>
        <w:t>.</w:t>
      </w:r>
    </w:p>
    <w:p w:rsidR="005963BB" w:rsidRDefault="005963BB" w:rsidP="00C00DA7">
      <w:pPr>
        <w:jc w:val="both"/>
        <w:rPr>
          <w:rFonts w:ascii="Arial" w:hAnsi="Arial"/>
          <w:sz w:val="22"/>
          <w:szCs w:val="22"/>
        </w:rPr>
      </w:pPr>
    </w:p>
    <w:p w:rsidR="00A55FEE" w:rsidRPr="00A55FEE" w:rsidRDefault="00D37DAC" w:rsidP="00A55FEE">
      <w:pPr>
        <w:ind w:left="720" w:hanging="720"/>
        <w:jc w:val="both"/>
        <w:rPr>
          <w:rFonts w:ascii="Arial" w:hAnsi="Arial"/>
          <w:b/>
          <w:i/>
          <w:sz w:val="22"/>
          <w:szCs w:val="22"/>
        </w:rPr>
      </w:pPr>
      <w:r>
        <w:rPr>
          <w:rFonts w:ascii="Arial" w:hAnsi="Arial"/>
          <w:b/>
          <w:i/>
          <w:sz w:val="22"/>
          <w:szCs w:val="22"/>
        </w:rPr>
        <w:t>Drug cost/patient/year</w:t>
      </w:r>
      <w:r w:rsidR="00A55FEE" w:rsidRPr="00A55FEE">
        <w:rPr>
          <w:rFonts w:ascii="Arial" w:hAnsi="Arial"/>
          <w:b/>
          <w:i/>
          <w:sz w:val="22"/>
          <w:szCs w:val="22"/>
        </w:rPr>
        <w:t>:</w:t>
      </w:r>
    </w:p>
    <w:p w:rsidR="00A55FEE" w:rsidRPr="00A55FEE" w:rsidRDefault="00A55FEE" w:rsidP="00A55FEE">
      <w:pPr>
        <w:ind w:left="720" w:hanging="720"/>
        <w:jc w:val="both"/>
        <w:rPr>
          <w:rFonts w:ascii="Arial" w:hAnsi="Arial"/>
          <w:b/>
          <w:i/>
          <w:sz w:val="22"/>
          <w:szCs w:val="22"/>
        </w:rPr>
      </w:pPr>
    </w:p>
    <w:p w:rsidR="00951C14" w:rsidRDefault="00951C14" w:rsidP="00187D9A">
      <w:pPr>
        <w:pStyle w:val="ListParagraph"/>
        <w:numPr>
          <w:ilvl w:val="1"/>
          <w:numId w:val="1"/>
        </w:numPr>
        <w:jc w:val="both"/>
        <w:rPr>
          <w:rFonts w:ascii="Arial" w:hAnsi="Arial"/>
          <w:sz w:val="22"/>
          <w:szCs w:val="22"/>
        </w:rPr>
      </w:pPr>
      <w:r>
        <w:rPr>
          <w:rFonts w:ascii="Arial" w:hAnsi="Arial"/>
          <w:sz w:val="22"/>
          <w:szCs w:val="22"/>
        </w:rPr>
        <w:t>The annual d</w:t>
      </w:r>
      <w:r w:rsidR="007F4A85">
        <w:rPr>
          <w:rFonts w:ascii="Arial" w:hAnsi="Arial"/>
          <w:sz w:val="22"/>
          <w:szCs w:val="22"/>
        </w:rPr>
        <w:t>rug cost for DPI mannitol is $</w:t>
      </w:r>
      <w:r w:rsidR="007F4A85" w:rsidRPr="00421D77">
        <w:rPr>
          <w:rFonts w:ascii="Arial" w:hAnsi="Arial"/>
          <w:sz w:val="22"/>
          <w:szCs w:val="22"/>
        </w:rPr>
        <w:t>1</w:t>
      </w:r>
      <w:r w:rsidR="00707440" w:rsidRPr="00421D77">
        <w:rPr>
          <w:rFonts w:ascii="Arial" w:hAnsi="Arial"/>
          <w:sz w:val="22"/>
          <w:szCs w:val="22"/>
        </w:rPr>
        <w:t>1,315</w:t>
      </w:r>
      <w:r>
        <w:rPr>
          <w:rFonts w:ascii="Arial" w:hAnsi="Arial"/>
          <w:sz w:val="22"/>
          <w:szCs w:val="22"/>
        </w:rPr>
        <w:t xml:space="preserve"> (</w:t>
      </w:r>
      <w:r w:rsidR="00321896">
        <w:rPr>
          <w:rFonts w:ascii="Arial" w:hAnsi="Arial"/>
          <w:sz w:val="22"/>
          <w:szCs w:val="22"/>
        </w:rPr>
        <w:t>$</w:t>
      </w:r>
      <w:r w:rsidR="00321896" w:rsidRPr="00421D77">
        <w:rPr>
          <w:rFonts w:ascii="Arial" w:hAnsi="Arial"/>
          <w:sz w:val="22"/>
          <w:szCs w:val="22"/>
        </w:rPr>
        <w:t>1,736</w:t>
      </w:r>
      <w:r w:rsidR="00321896">
        <w:rPr>
          <w:rFonts w:ascii="Arial" w:hAnsi="Arial"/>
          <w:sz w:val="22"/>
          <w:szCs w:val="22"/>
        </w:rPr>
        <w:t xml:space="preserve"> [public hospital DPMQ] / 56 [days covered per script] x 365 [days per year]</w:t>
      </w:r>
      <w:r>
        <w:rPr>
          <w:rFonts w:ascii="Arial" w:hAnsi="Arial"/>
          <w:sz w:val="22"/>
          <w:szCs w:val="22"/>
        </w:rPr>
        <w:t>).</w:t>
      </w:r>
    </w:p>
    <w:p w:rsidR="00951C14" w:rsidRDefault="00951C14" w:rsidP="00951C14">
      <w:pPr>
        <w:pStyle w:val="ListParagraph"/>
        <w:jc w:val="both"/>
        <w:rPr>
          <w:rFonts w:ascii="Arial" w:hAnsi="Arial"/>
          <w:sz w:val="22"/>
          <w:szCs w:val="22"/>
        </w:rPr>
      </w:pPr>
    </w:p>
    <w:p w:rsidR="00951C14" w:rsidRDefault="00951C14" w:rsidP="00187D9A">
      <w:pPr>
        <w:pStyle w:val="ListParagraph"/>
        <w:numPr>
          <w:ilvl w:val="1"/>
          <w:numId w:val="1"/>
        </w:numPr>
        <w:jc w:val="both"/>
        <w:rPr>
          <w:rFonts w:ascii="Arial" w:hAnsi="Arial"/>
          <w:sz w:val="22"/>
          <w:szCs w:val="22"/>
        </w:rPr>
      </w:pPr>
      <w:r>
        <w:rPr>
          <w:rFonts w:ascii="Arial" w:hAnsi="Arial"/>
          <w:sz w:val="22"/>
          <w:szCs w:val="22"/>
        </w:rPr>
        <w:t>The annual d</w:t>
      </w:r>
      <w:r w:rsidR="007F4A85">
        <w:rPr>
          <w:rFonts w:ascii="Arial" w:hAnsi="Arial"/>
          <w:sz w:val="22"/>
          <w:szCs w:val="22"/>
        </w:rPr>
        <w:t xml:space="preserve">rug cost for </w:t>
      </w:r>
      <w:proofErr w:type="spellStart"/>
      <w:r w:rsidR="007F4A85">
        <w:rPr>
          <w:rFonts w:ascii="Arial" w:hAnsi="Arial"/>
          <w:sz w:val="22"/>
          <w:szCs w:val="22"/>
        </w:rPr>
        <w:t>dornase</w:t>
      </w:r>
      <w:proofErr w:type="spellEnd"/>
      <w:r w:rsidR="007F4A85">
        <w:rPr>
          <w:rFonts w:ascii="Arial" w:hAnsi="Arial"/>
          <w:sz w:val="22"/>
          <w:szCs w:val="22"/>
        </w:rPr>
        <w:t xml:space="preserve"> </w:t>
      </w:r>
      <w:proofErr w:type="spellStart"/>
      <w:r w:rsidR="007F4A85">
        <w:rPr>
          <w:rFonts w:ascii="Arial" w:hAnsi="Arial"/>
          <w:sz w:val="22"/>
          <w:szCs w:val="22"/>
        </w:rPr>
        <w:t>alfa</w:t>
      </w:r>
      <w:proofErr w:type="spellEnd"/>
      <w:r w:rsidR="007F4A85">
        <w:rPr>
          <w:rFonts w:ascii="Arial" w:hAnsi="Arial"/>
          <w:sz w:val="22"/>
          <w:szCs w:val="22"/>
        </w:rPr>
        <w:t xml:space="preserve"> is $</w:t>
      </w:r>
      <w:r w:rsidR="00707440">
        <w:rPr>
          <w:rFonts w:ascii="Arial" w:hAnsi="Arial"/>
          <w:sz w:val="22"/>
          <w:szCs w:val="22"/>
        </w:rPr>
        <w:t>14,357</w:t>
      </w:r>
      <w:r>
        <w:rPr>
          <w:rFonts w:ascii="Arial" w:hAnsi="Arial"/>
          <w:sz w:val="22"/>
          <w:szCs w:val="22"/>
        </w:rPr>
        <w:t xml:space="preserve"> (</w:t>
      </w:r>
      <w:r w:rsidR="00707440">
        <w:rPr>
          <w:rFonts w:ascii="Arial" w:hAnsi="Arial"/>
          <w:sz w:val="22"/>
          <w:szCs w:val="22"/>
        </w:rPr>
        <w:t>$2</w:t>
      </w:r>
      <w:r w:rsidR="00537F71">
        <w:rPr>
          <w:rFonts w:ascii="Arial" w:hAnsi="Arial"/>
          <w:sz w:val="22"/>
          <w:szCs w:val="22"/>
        </w:rPr>
        <w:t>,</w:t>
      </w:r>
      <w:r w:rsidR="00707440">
        <w:rPr>
          <w:rFonts w:ascii="Arial" w:hAnsi="Arial"/>
          <w:sz w:val="22"/>
          <w:szCs w:val="22"/>
        </w:rPr>
        <w:t>360 [public hospital DPMQ] / 60 [days covered per script] x 365 [days per year]).</w:t>
      </w:r>
    </w:p>
    <w:p w:rsidR="00951C14" w:rsidRPr="00951C14" w:rsidRDefault="00951C14" w:rsidP="00951C14">
      <w:pPr>
        <w:jc w:val="both"/>
        <w:rPr>
          <w:rFonts w:ascii="Arial" w:hAnsi="Arial"/>
          <w:sz w:val="22"/>
          <w:szCs w:val="22"/>
        </w:rPr>
      </w:pPr>
    </w:p>
    <w:p w:rsidR="00951C14" w:rsidRPr="00951C14" w:rsidRDefault="00951C14" w:rsidP="009B5455">
      <w:pPr>
        <w:pStyle w:val="ListParagraph"/>
        <w:numPr>
          <w:ilvl w:val="1"/>
          <w:numId w:val="1"/>
        </w:numPr>
        <w:jc w:val="both"/>
        <w:rPr>
          <w:rFonts w:ascii="Arial" w:hAnsi="Arial"/>
          <w:sz w:val="22"/>
          <w:szCs w:val="22"/>
        </w:rPr>
      </w:pPr>
      <w:r>
        <w:rPr>
          <w:rFonts w:ascii="Arial" w:hAnsi="Arial"/>
          <w:sz w:val="22"/>
          <w:szCs w:val="22"/>
        </w:rPr>
        <w:t>The annual drug cost for DPI m</w:t>
      </w:r>
      <w:r w:rsidR="00707440">
        <w:rPr>
          <w:rFonts w:ascii="Arial" w:hAnsi="Arial"/>
          <w:sz w:val="22"/>
          <w:szCs w:val="22"/>
        </w:rPr>
        <w:t xml:space="preserve">annitol with </w:t>
      </w:r>
      <w:proofErr w:type="spellStart"/>
      <w:r w:rsidR="00707440">
        <w:rPr>
          <w:rFonts w:ascii="Arial" w:hAnsi="Arial"/>
          <w:sz w:val="22"/>
          <w:szCs w:val="22"/>
        </w:rPr>
        <w:t>dornase</w:t>
      </w:r>
      <w:proofErr w:type="spellEnd"/>
      <w:r w:rsidR="00707440">
        <w:rPr>
          <w:rFonts w:ascii="Arial" w:hAnsi="Arial"/>
          <w:sz w:val="22"/>
          <w:szCs w:val="22"/>
        </w:rPr>
        <w:t xml:space="preserve"> </w:t>
      </w:r>
      <w:proofErr w:type="spellStart"/>
      <w:r w:rsidR="00707440">
        <w:rPr>
          <w:rFonts w:ascii="Arial" w:hAnsi="Arial"/>
          <w:sz w:val="22"/>
          <w:szCs w:val="22"/>
        </w:rPr>
        <w:t>alfa</w:t>
      </w:r>
      <w:proofErr w:type="spellEnd"/>
      <w:r w:rsidR="00707440">
        <w:rPr>
          <w:rFonts w:ascii="Arial" w:hAnsi="Arial"/>
          <w:sz w:val="22"/>
          <w:szCs w:val="22"/>
        </w:rPr>
        <w:t xml:space="preserve"> is $</w:t>
      </w:r>
      <w:r w:rsidR="00707440" w:rsidRPr="00421D77">
        <w:rPr>
          <w:rFonts w:ascii="Arial" w:hAnsi="Arial"/>
          <w:sz w:val="22"/>
          <w:szCs w:val="22"/>
        </w:rPr>
        <w:t>25,672</w:t>
      </w:r>
      <w:r>
        <w:rPr>
          <w:rFonts w:ascii="Arial" w:hAnsi="Arial"/>
          <w:sz w:val="22"/>
          <w:szCs w:val="22"/>
        </w:rPr>
        <w:t>.</w:t>
      </w:r>
    </w:p>
    <w:p w:rsidR="00A55FEE" w:rsidRDefault="00A55FEE" w:rsidP="00A55FEE">
      <w:pPr>
        <w:ind w:left="720" w:hanging="720"/>
        <w:jc w:val="both"/>
        <w:rPr>
          <w:rFonts w:ascii="Arial" w:hAnsi="Arial"/>
          <w:b/>
          <w:i/>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4C7D83" w:rsidRPr="000E76D5" w:rsidRDefault="004C7D83" w:rsidP="009B5455">
      <w:pPr>
        <w:pStyle w:val="ListParagraph"/>
        <w:numPr>
          <w:ilvl w:val="1"/>
          <w:numId w:val="1"/>
        </w:numPr>
        <w:jc w:val="both"/>
        <w:rPr>
          <w:rFonts w:ascii="Arial" w:hAnsi="Arial"/>
          <w:sz w:val="22"/>
          <w:szCs w:val="22"/>
        </w:rPr>
      </w:pPr>
      <w:r w:rsidRPr="000E76D5">
        <w:rPr>
          <w:rFonts w:ascii="Arial" w:hAnsi="Arial"/>
          <w:sz w:val="22"/>
          <w:szCs w:val="22"/>
        </w:rPr>
        <w:t xml:space="preserve">The submission noted the results of the DUSC </w:t>
      </w:r>
      <w:r w:rsidR="00120631" w:rsidRPr="002B72E0">
        <w:rPr>
          <w:rFonts w:ascii="Arial" w:hAnsi="Arial"/>
          <w:sz w:val="22"/>
          <w:szCs w:val="22"/>
        </w:rPr>
        <w:t>predicted versus actual (</w:t>
      </w:r>
      <w:proofErr w:type="spellStart"/>
      <w:r w:rsidR="00120631" w:rsidRPr="002B72E0">
        <w:rPr>
          <w:rFonts w:ascii="Arial" w:hAnsi="Arial"/>
          <w:sz w:val="22"/>
          <w:szCs w:val="22"/>
        </w:rPr>
        <w:t>PvA</w:t>
      </w:r>
      <w:proofErr w:type="spellEnd"/>
      <w:r w:rsidR="00120631" w:rsidRPr="002B72E0">
        <w:rPr>
          <w:rFonts w:ascii="Arial" w:hAnsi="Arial"/>
          <w:sz w:val="22"/>
          <w:szCs w:val="22"/>
        </w:rPr>
        <w:t>) from October 2014,</w:t>
      </w:r>
      <w:r w:rsidR="00455695" w:rsidRPr="002B72E0">
        <w:rPr>
          <w:rFonts w:ascii="Arial" w:hAnsi="Arial"/>
          <w:sz w:val="22"/>
          <w:szCs w:val="22"/>
        </w:rPr>
        <w:t xml:space="preserve"> which indicated</w:t>
      </w:r>
      <w:r w:rsidRPr="005D7E92">
        <w:rPr>
          <w:rFonts w:ascii="Arial" w:hAnsi="Arial"/>
          <w:sz w:val="22"/>
          <w:szCs w:val="22"/>
        </w:rPr>
        <w:t xml:space="preserve"> that</w:t>
      </w:r>
      <w:r w:rsidR="00455695" w:rsidRPr="005D7E92">
        <w:rPr>
          <w:rFonts w:ascii="Arial" w:hAnsi="Arial"/>
          <w:sz w:val="22"/>
          <w:szCs w:val="22"/>
        </w:rPr>
        <w:t xml:space="preserve"> the</w:t>
      </w:r>
      <w:r w:rsidRPr="005D7E92">
        <w:rPr>
          <w:rFonts w:ascii="Arial" w:hAnsi="Arial"/>
          <w:sz w:val="22"/>
          <w:szCs w:val="22"/>
        </w:rPr>
        <w:t xml:space="preserve"> actual utilisation of DPI mannitol</w:t>
      </w:r>
      <w:r w:rsidR="00455695" w:rsidRPr="005D7E92">
        <w:rPr>
          <w:rFonts w:ascii="Arial" w:hAnsi="Arial"/>
          <w:sz w:val="22"/>
          <w:szCs w:val="22"/>
        </w:rPr>
        <w:t xml:space="preserve"> on the PBS was</w:t>
      </w:r>
      <w:r w:rsidRPr="005D7E92">
        <w:rPr>
          <w:rFonts w:ascii="Arial" w:hAnsi="Arial"/>
          <w:sz w:val="22"/>
          <w:szCs w:val="22"/>
        </w:rPr>
        <w:t xml:space="preserve"> substantially lower than predicted by the sponsor</w:t>
      </w:r>
      <w:r w:rsidR="00455695" w:rsidRPr="005D7E92">
        <w:rPr>
          <w:rFonts w:ascii="Arial" w:hAnsi="Arial"/>
          <w:sz w:val="22"/>
          <w:szCs w:val="22"/>
        </w:rPr>
        <w:t xml:space="preserve">. </w:t>
      </w:r>
      <w:r w:rsidR="008C3477" w:rsidRPr="005D7E92">
        <w:rPr>
          <w:rFonts w:ascii="Arial" w:hAnsi="Arial"/>
          <w:sz w:val="22"/>
          <w:szCs w:val="22"/>
        </w:rPr>
        <w:t xml:space="preserve">The submission </w:t>
      </w:r>
      <w:r w:rsidR="00537F71" w:rsidRPr="005D7E92">
        <w:rPr>
          <w:rFonts w:ascii="Arial" w:hAnsi="Arial"/>
          <w:sz w:val="22"/>
          <w:szCs w:val="22"/>
        </w:rPr>
        <w:t xml:space="preserve">suggested </w:t>
      </w:r>
      <w:r w:rsidR="008C3477" w:rsidRPr="005D7E92">
        <w:rPr>
          <w:rFonts w:ascii="Arial" w:hAnsi="Arial"/>
          <w:sz w:val="22"/>
          <w:szCs w:val="22"/>
        </w:rPr>
        <w:t xml:space="preserve">that the lower than expected utilisation was due to three main factors: product features (‘fiddly’ delivery system), tolerability (main </w:t>
      </w:r>
      <w:r w:rsidR="00552E99" w:rsidRPr="00B53CC1">
        <w:rPr>
          <w:rFonts w:ascii="Arial" w:hAnsi="Arial"/>
          <w:sz w:val="22"/>
          <w:szCs w:val="22"/>
        </w:rPr>
        <w:t xml:space="preserve">therapeutic </w:t>
      </w:r>
      <w:r w:rsidR="008C3477" w:rsidRPr="00B53CC1">
        <w:rPr>
          <w:rFonts w:ascii="Arial" w:hAnsi="Arial"/>
          <w:sz w:val="22"/>
          <w:szCs w:val="22"/>
        </w:rPr>
        <w:t>action causes coughing) and complex PBS restriction.</w:t>
      </w:r>
      <w:r w:rsidRPr="00B53CC1">
        <w:rPr>
          <w:rFonts w:ascii="Arial" w:hAnsi="Arial"/>
          <w:sz w:val="22"/>
          <w:szCs w:val="22"/>
        </w:rPr>
        <w:t xml:space="preserve"> </w:t>
      </w:r>
      <w:r w:rsidR="00321BDC" w:rsidRPr="000E76D5">
        <w:rPr>
          <w:rFonts w:ascii="Arial" w:hAnsi="Arial"/>
          <w:sz w:val="22"/>
          <w:szCs w:val="22"/>
        </w:rPr>
        <w:t xml:space="preserve">DUSC </w:t>
      </w:r>
      <w:r w:rsidR="009C2389" w:rsidRPr="000E76D5">
        <w:rPr>
          <w:rFonts w:ascii="Arial" w:hAnsi="Arial"/>
          <w:sz w:val="22"/>
          <w:szCs w:val="22"/>
        </w:rPr>
        <w:t xml:space="preserve">previously </w:t>
      </w:r>
      <w:r w:rsidR="00321BDC" w:rsidRPr="000E76D5">
        <w:rPr>
          <w:rFonts w:ascii="Arial" w:hAnsi="Arial"/>
          <w:sz w:val="22"/>
          <w:szCs w:val="22"/>
        </w:rPr>
        <w:t xml:space="preserve">considered that the lower than expected utilisation of </w:t>
      </w:r>
      <w:r w:rsidR="00021EBE" w:rsidRPr="000E76D5">
        <w:rPr>
          <w:rFonts w:ascii="Arial" w:hAnsi="Arial"/>
          <w:sz w:val="22"/>
          <w:szCs w:val="22"/>
        </w:rPr>
        <w:t xml:space="preserve">DPI </w:t>
      </w:r>
      <w:r w:rsidR="00321BDC" w:rsidRPr="000E76D5">
        <w:rPr>
          <w:rFonts w:ascii="Arial" w:hAnsi="Arial"/>
          <w:sz w:val="22"/>
          <w:szCs w:val="22"/>
        </w:rPr>
        <w:t xml:space="preserve">mannitol may be affected by the need for bronchial hyper-responsiveness testing; treatment burden (20 capsules per day); patient/physician preference for nebulised hypertonic saline; confusion about what constitutes combination therapy with </w:t>
      </w:r>
      <w:proofErr w:type="spellStart"/>
      <w:r w:rsidR="00321BDC" w:rsidRPr="000E76D5">
        <w:rPr>
          <w:rFonts w:ascii="Arial" w:hAnsi="Arial"/>
          <w:sz w:val="22"/>
          <w:szCs w:val="22"/>
        </w:rPr>
        <w:t>dornase</w:t>
      </w:r>
      <w:proofErr w:type="spellEnd"/>
      <w:r w:rsidR="00321BDC" w:rsidRPr="000E76D5">
        <w:rPr>
          <w:rFonts w:ascii="Arial" w:hAnsi="Arial"/>
          <w:sz w:val="22"/>
          <w:szCs w:val="22"/>
        </w:rPr>
        <w:t xml:space="preserve"> </w:t>
      </w:r>
      <w:proofErr w:type="spellStart"/>
      <w:r w:rsidR="00321BDC" w:rsidRPr="000E76D5">
        <w:rPr>
          <w:rFonts w:ascii="Arial" w:hAnsi="Arial"/>
          <w:sz w:val="22"/>
          <w:szCs w:val="22"/>
        </w:rPr>
        <w:t>alfa</w:t>
      </w:r>
      <w:proofErr w:type="spellEnd"/>
      <w:r w:rsidR="00321BDC" w:rsidRPr="000E76D5">
        <w:rPr>
          <w:rFonts w:ascii="Arial" w:hAnsi="Arial"/>
          <w:sz w:val="22"/>
          <w:szCs w:val="22"/>
        </w:rPr>
        <w:t xml:space="preserve">; as well as international regulatory concerns regarding the lack of efficacy, incidence of haemoptysis and uncertain risk/benefit ratio in children. DUSC previously disagreed with the sponsor that the complexity of the restriction was limiting utilisation given that </w:t>
      </w:r>
      <w:proofErr w:type="spellStart"/>
      <w:r w:rsidR="00321BDC" w:rsidRPr="000E76D5">
        <w:rPr>
          <w:rFonts w:ascii="Arial" w:hAnsi="Arial"/>
          <w:sz w:val="22"/>
          <w:szCs w:val="22"/>
        </w:rPr>
        <w:t>dornase</w:t>
      </w:r>
      <w:proofErr w:type="spellEnd"/>
      <w:r w:rsidR="00321BDC" w:rsidRPr="000E76D5">
        <w:rPr>
          <w:rFonts w:ascii="Arial" w:hAnsi="Arial"/>
          <w:sz w:val="22"/>
          <w:szCs w:val="22"/>
        </w:rPr>
        <w:t xml:space="preserve"> </w:t>
      </w:r>
      <w:proofErr w:type="spellStart"/>
      <w:r w:rsidR="00321BDC" w:rsidRPr="000E76D5">
        <w:rPr>
          <w:rFonts w:ascii="Arial" w:hAnsi="Arial"/>
          <w:sz w:val="22"/>
          <w:szCs w:val="22"/>
        </w:rPr>
        <w:t>alfa</w:t>
      </w:r>
      <w:proofErr w:type="spellEnd"/>
      <w:r w:rsidR="00321BDC" w:rsidRPr="000E76D5">
        <w:rPr>
          <w:rFonts w:ascii="Arial" w:hAnsi="Arial"/>
          <w:sz w:val="22"/>
          <w:szCs w:val="22"/>
        </w:rPr>
        <w:t xml:space="preserve"> has demonstrated sustained growth in the market despite having a similarly complex restriction as DPI mannitol</w:t>
      </w:r>
      <w:r w:rsidR="00DE101B" w:rsidRPr="000E76D5">
        <w:rPr>
          <w:rFonts w:ascii="Arial" w:hAnsi="Arial"/>
          <w:sz w:val="22"/>
          <w:szCs w:val="22"/>
        </w:rPr>
        <w:t>.</w:t>
      </w:r>
    </w:p>
    <w:p w:rsidR="007B694C" w:rsidRPr="00321BDC" w:rsidRDefault="007B694C" w:rsidP="007B694C">
      <w:pPr>
        <w:pStyle w:val="ListParagraph"/>
        <w:jc w:val="both"/>
        <w:rPr>
          <w:rFonts w:ascii="Arial" w:hAnsi="Arial"/>
          <w:i/>
          <w:sz w:val="22"/>
          <w:szCs w:val="22"/>
        </w:rPr>
      </w:pPr>
    </w:p>
    <w:p w:rsidR="004C7D83" w:rsidRPr="000D52F8" w:rsidRDefault="000D52F8" w:rsidP="009B5455">
      <w:pPr>
        <w:pStyle w:val="ListParagraph"/>
        <w:numPr>
          <w:ilvl w:val="1"/>
          <w:numId w:val="1"/>
        </w:numPr>
        <w:jc w:val="both"/>
        <w:rPr>
          <w:rFonts w:ascii="Arial" w:hAnsi="Arial"/>
          <w:b/>
          <w:sz w:val="22"/>
          <w:szCs w:val="22"/>
        </w:rPr>
      </w:pPr>
      <w:r>
        <w:rPr>
          <w:rFonts w:ascii="Arial" w:hAnsi="Arial"/>
          <w:sz w:val="22"/>
          <w:szCs w:val="22"/>
        </w:rPr>
        <w:t>The submission presented</w:t>
      </w:r>
      <w:r w:rsidR="00C639F1">
        <w:rPr>
          <w:rFonts w:ascii="Arial" w:hAnsi="Arial"/>
          <w:sz w:val="22"/>
          <w:szCs w:val="22"/>
        </w:rPr>
        <w:t xml:space="preserve"> revised utilisation estimates based on the budget impact model presented in the November 2011 submission</w:t>
      </w:r>
      <w:r w:rsidR="00537F71">
        <w:rPr>
          <w:rFonts w:ascii="Arial" w:hAnsi="Arial"/>
          <w:sz w:val="22"/>
          <w:szCs w:val="22"/>
        </w:rPr>
        <w:t>,</w:t>
      </w:r>
      <w:r w:rsidR="00C639F1">
        <w:rPr>
          <w:rFonts w:ascii="Arial" w:hAnsi="Arial"/>
          <w:sz w:val="22"/>
          <w:szCs w:val="22"/>
        </w:rPr>
        <w:t xml:space="preserve"> updated with</w:t>
      </w:r>
      <w:r>
        <w:rPr>
          <w:rFonts w:ascii="Arial" w:hAnsi="Arial"/>
          <w:sz w:val="22"/>
          <w:szCs w:val="22"/>
        </w:rPr>
        <w:t xml:space="preserve"> the following changes:</w:t>
      </w:r>
    </w:p>
    <w:p w:rsidR="000D52F8" w:rsidRPr="000D52F8" w:rsidRDefault="000D52F8" w:rsidP="000D52F8">
      <w:pPr>
        <w:pStyle w:val="ListParagraph"/>
        <w:rPr>
          <w:rFonts w:ascii="Arial" w:hAnsi="Arial"/>
          <w:b/>
          <w:sz w:val="22"/>
          <w:szCs w:val="22"/>
        </w:rPr>
      </w:pPr>
    </w:p>
    <w:p w:rsidR="000D52F8" w:rsidRDefault="000D52F8" w:rsidP="009B5455">
      <w:pPr>
        <w:pStyle w:val="ListParagraph"/>
        <w:numPr>
          <w:ilvl w:val="0"/>
          <w:numId w:val="2"/>
        </w:numPr>
        <w:jc w:val="both"/>
        <w:rPr>
          <w:rFonts w:ascii="Arial" w:hAnsi="Arial"/>
          <w:sz w:val="22"/>
          <w:szCs w:val="22"/>
        </w:rPr>
      </w:pPr>
      <w:r w:rsidRPr="000D52F8">
        <w:rPr>
          <w:rFonts w:ascii="Arial" w:hAnsi="Arial"/>
          <w:sz w:val="22"/>
          <w:szCs w:val="22"/>
        </w:rPr>
        <w:t>Patient</w:t>
      </w:r>
      <w:r>
        <w:rPr>
          <w:rFonts w:ascii="Arial" w:hAnsi="Arial"/>
          <w:sz w:val="22"/>
          <w:szCs w:val="22"/>
        </w:rPr>
        <w:t xml:space="preserve"> numbers have been reduced so that the predicted patients in Year 2 match the actual number of patients reported in the DUSC analysis</w:t>
      </w:r>
      <w:r w:rsidR="00537F71">
        <w:rPr>
          <w:rFonts w:ascii="Arial" w:hAnsi="Arial"/>
          <w:sz w:val="22"/>
          <w:szCs w:val="22"/>
        </w:rPr>
        <w:t>.</w:t>
      </w:r>
    </w:p>
    <w:p w:rsidR="007F1EC2" w:rsidRDefault="007F1EC2" w:rsidP="009B5455">
      <w:pPr>
        <w:pStyle w:val="ListParagraph"/>
        <w:numPr>
          <w:ilvl w:val="0"/>
          <w:numId w:val="2"/>
        </w:numPr>
        <w:jc w:val="both"/>
        <w:rPr>
          <w:rFonts w:ascii="Arial" w:hAnsi="Arial"/>
          <w:sz w:val="22"/>
          <w:szCs w:val="22"/>
        </w:rPr>
      </w:pPr>
      <w:r w:rsidRPr="007F1EC2">
        <w:rPr>
          <w:rFonts w:ascii="Arial" w:hAnsi="Arial"/>
          <w:sz w:val="22"/>
          <w:szCs w:val="22"/>
        </w:rPr>
        <w:t>Packs dispensed per patient have been reduced based on the assumption of 34% adherence which was derived from actual patient data from the DUSC analysis and actual pack data from sponsor’s internal sales records.</w:t>
      </w:r>
    </w:p>
    <w:p w:rsidR="007F1EC2" w:rsidRPr="00CE009E" w:rsidRDefault="0088034B" w:rsidP="00F30BC8">
      <w:pPr>
        <w:pStyle w:val="ListParagraph"/>
        <w:numPr>
          <w:ilvl w:val="0"/>
          <w:numId w:val="2"/>
        </w:numPr>
        <w:jc w:val="both"/>
        <w:rPr>
          <w:rFonts w:ascii="Arial" w:hAnsi="Arial"/>
          <w:sz w:val="22"/>
          <w:szCs w:val="22"/>
        </w:rPr>
      </w:pPr>
      <w:r>
        <w:rPr>
          <w:rFonts w:ascii="Arial" w:hAnsi="Arial"/>
          <w:sz w:val="22"/>
          <w:szCs w:val="22"/>
        </w:rPr>
        <w:t>Estimates are presented with and without patients currently receiving combination therapy through the sponsor’s compassionate access program</w:t>
      </w:r>
      <w:r w:rsidR="00F30BC8">
        <w:rPr>
          <w:rFonts w:ascii="Arial" w:hAnsi="Arial"/>
          <w:sz w:val="22"/>
          <w:szCs w:val="22"/>
        </w:rPr>
        <w:t>.</w:t>
      </w:r>
    </w:p>
    <w:p w:rsidR="00DD6F41" w:rsidRDefault="0088034B" w:rsidP="001720AF">
      <w:pPr>
        <w:pStyle w:val="COMtbl-HEADLeftAligned"/>
      </w:pPr>
      <w:r>
        <w:tab/>
      </w:r>
    </w:p>
    <w:p w:rsidR="00DD6F41" w:rsidRDefault="00DD6F41">
      <w:pPr>
        <w:rPr>
          <w:rFonts w:ascii="Arial Narrow" w:hAnsi="Arial Narrow" w:cs="Arial"/>
          <w:b/>
          <w:snapToGrid w:val="0"/>
          <w:sz w:val="20"/>
          <w:szCs w:val="20"/>
          <w:lang w:eastAsia="en-US"/>
        </w:rPr>
      </w:pPr>
      <w:r>
        <w:br w:type="page"/>
      </w:r>
    </w:p>
    <w:p w:rsidR="0088034B" w:rsidRPr="00F851CE" w:rsidRDefault="00DD6F41" w:rsidP="001720AF">
      <w:pPr>
        <w:pStyle w:val="COMtbl-HEADLeftAligned"/>
      </w:pPr>
      <w:r>
        <w:lastRenderedPageBreak/>
        <w:tab/>
        <w:t xml:space="preserve">Table 4: </w:t>
      </w:r>
      <w:r w:rsidR="0088034B" w:rsidRPr="007F1500">
        <w:t xml:space="preserve">Estimated utilisation </w:t>
      </w:r>
      <w:r w:rsidR="0088034B">
        <w:t xml:space="preserve">of DPI mannitol </w:t>
      </w:r>
      <w:r w:rsidR="0088034B" w:rsidRPr="007F1500">
        <w:t>and cost to the PBS</w:t>
      </w:r>
      <w:r w:rsidR="0088034B">
        <w:t xml:space="preserve"> in the first</w:t>
      </w:r>
      <w:r w:rsidR="0088034B" w:rsidRPr="007F1500">
        <w:t xml:space="preserve"> five years of listing</w:t>
      </w:r>
    </w:p>
    <w:tbl>
      <w:tblPr>
        <w:tblW w:w="4594" w:type="pct"/>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85"/>
        <w:gridCol w:w="1111"/>
        <w:gridCol w:w="1112"/>
        <w:gridCol w:w="1112"/>
        <w:gridCol w:w="1112"/>
        <w:gridCol w:w="1113"/>
      </w:tblGrid>
      <w:tr w:rsidR="0088034B" w:rsidTr="007F1EC2">
        <w:trPr>
          <w:trHeight w:val="64"/>
        </w:trPr>
        <w:tc>
          <w:tcPr>
            <w:tcW w:w="1669" w:type="pct"/>
            <w:vAlign w:val="center"/>
          </w:tcPr>
          <w:p w:rsidR="0088034B" w:rsidRPr="009C1C89" w:rsidRDefault="0088034B" w:rsidP="007F1EC2">
            <w:pPr>
              <w:pStyle w:val="COMtbl-HEADLeftAligned"/>
              <w:jc w:val="center"/>
            </w:pPr>
          </w:p>
        </w:tc>
        <w:tc>
          <w:tcPr>
            <w:tcW w:w="666" w:type="pct"/>
            <w:vAlign w:val="center"/>
          </w:tcPr>
          <w:p w:rsidR="0088034B" w:rsidRDefault="0088034B" w:rsidP="0088034B">
            <w:pPr>
              <w:pStyle w:val="COMtbl-HEADCentred"/>
            </w:pPr>
            <w:r>
              <w:t xml:space="preserve">Year 1 </w:t>
            </w:r>
          </w:p>
        </w:tc>
        <w:tc>
          <w:tcPr>
            <w:tcW w:w="666" w:type="pct"/>
            <w:vAlign w:val="center"/>
          </w:tcPr>
          <w:p w:rsidR="0088034B" w:rsidRDefault="0088034B" w:rsidP="0088034B">
            <w:pPr>
              <w:pStyle w:val="COMtbl-HEADCentred"/>
            </w:pPr>
            <w:r>
              <w:t xml:space="preserve">Year 2 </w:t>
            </w:r>
          </w:p>
        </w:tc>
        <w:tc>
          <w:tcPr>
            <w:tcW w:w="666" w:type="pct"/>
            <w:vAlign w:val="center"/>
          </w:tcPr>
          <w:p w:rsidR="0088034B" w:rsidRPr="009C778F" w:rsidRDefault="0088034B" w:rsidP="0088034B">
            <w:pPr>
              <w:pStyle w:val="COMtbl-HEADCentred"/>
            </w:pPr>
            <w:r>
              <w:t xml:space="preserve">Year 3 </w:t>
            </w:r>
          </w:p>
        </w:tc>
        <w:tc>
          <w:tcPr>
            <w:tcW w:w="666" w:type="pct"/>
            <w:vAlign w:val="center"/>
          </w:tcPr>
          <w:p w:rsidR="0088034B" w:rsidRPr="009C778F" w:rsidRDefault="0088034B" w:rsidP="0088034B">
            <w:pPr>
              <w:pStyle w:val="COMtbl-HEADCentred"/>
            </w:pPr>
            <w:r>
              <w:t xml:space="preserve">Year 4 </w:t>
            </w:r>
          </w:p>
        </w:tc>
        <w:tc>
          <w:tcPr>
            <w:tcW w:w="667" w:type="pct"/>
            <w:vAlign w:val="center"/>
          </w:tcPr>
          <w:p w:rsidR="0088034B" w:rsidRPr="009C778F" w:rsidRDefault="0088034B" w:rsidP="0088034B">
            <w:pPr>
              <w:pStyle w:val="COMtbl-HEADCentred"/>
            </w:pPr>
            <w:r>
              <w:t xml:space="preserve">Year 5 </w:t>
            </w:r>
          </w:p>
        </w:tc>
      </w:tr>
      <w:tr w:rsidR="0088034B" w:rsidTr="007F1EC2">
        <w:tc>
          <w:tcPr>
            <w:tcW w:w="5000" w:type="pct"/>
            <w:gridSpan w:val="6"/>
            <w:vAlign w:val="center"/>
          </w:tcPr>
          <w:p w:rsidR="0088034B" w:rsidRPr="00F004ED" w:rsidRDefault="0088034B" w:rsidP="007F1EC2">
            <w:pPr>
              <w:pStyle w:val="COMtbl-textCentred"/>
              <w:jc w:val="left"/>
              <w:rPr>
                <w:b/>
              </w:rPr>
            </w:pPr>
            <w:r>
              <w:rPr>
                <w:b/>
              </w:rPr>
              <w:t>November 2011 budget impact model</w:t>
            </w:r>
          </w:p>
        </w:tc>
      </w:tr>
      <w:tr w:rsidR="0088034B" w:rsidTr="007F1EC2">
        <w:tc>
          <w:tcPr>
            <w:tcW w:w="1669" w:type="pct"/>
            <w:vAlign w:val="center"/>
          </w:tcPr>
          <w:p w:rsidR="0088034B" w:rsidRDefault="0088034B" w:rsidP="007F1EC2">
            <w:pPr>
              <w:pStyle w:val="COMtbl-textLeftAligned"/>
            </w:pPr>
            <w:r>
              <w:t>Treated patients</w:t>
            </w:r>
          </w:p>
        </w:tc>
        <w:tc>
          <w:tcPr>
            <w:tcW w:w="666" w:type="pct"/>
            <w:vAlign w:val="center"/>
          </w:tcPr>
          <w:p w:rsidR="0088034B" w:rsidRPr="00545CFC" w:rsidRDefault="00545CFC" w:rsidP="007F1EC2">
            <w:pPr>
              <w:pStyle w:val="COMtbl-textCentred"/>
              <w:rPr>
                <w:highlight w:val="black"/>
              </w:rPr>
            </w:pPr>
            <w:r>
              <w:rPr>
                <w:noProof/>
                <w:color w:val="000000"/>
                <w:highlight w:val="black"/>
              </w:rPr>
              <w:t>'''''''''</w:t>
            </w:r>
          </w:p>
        </w:tc>
        <w:tc>
          <w:tcPr>
            <w:tcW w:w="666" w:type="pct"/>
            <w:vAlign w:val="center"/>
          </w:tcPr>
          <w:p w:rsidR="0088034B" w:rsidRPr="00545CFC" w:rsidRDefault="00545CFC" w:rsidP="007F1EC2">
            <w:pPr>
              <w:pStyle w:val="COMtbl-textCentred"/>
              <w:rPr>
                <w:highlight w:val="black"/>
              </w:rPr>
            </w:pPr>
            <w:r>
              <w:rPr>
                <w:noProof/>
                <w:color w:val="000000"/>
                <w:highlight w:val="black"/>
              </w:rPr>
              <w:t>''''''''''</w:t>
            </w:r>
          </w:p>
        </w:tc>
        <w:tc>
          <w:tcPr>
            <w:tcW w:w="666" w:type="pct"/>
            <w:vAlign w:val="center"/>
          </w:tcPr>
          <w:p w:rsidR="0088034B" w:rsidRPr="00545CFC" w:rsidRDefault="00545CFC" w:rsidP="007F1EC2">
            <w:pPr>
              <w:pStyle w:val="COMtbl-textCentred"/>
              <w:rPr>
                <w:highlight w:val="black"/>
              </w:rPr>
            </w:pPr>
            <w:r>
              <w:rPr>
                <w:noProof/>
                <w:color w:val="000000"/>
                <w:highlight w:val="black"/>
              </w:rPr>
              <w:t>''''''''''</w:t>
            </w:r>
          </w:p>
        </w:tc>
        <w:tc>
          <w:tcPr>
            <w:tcW w:w="666" w:type="pct"/>
            <w:vAlign w:val="center"/>
          </w:tcPr>
          <w:p w:rsidR="0088034B" w:rsidRPr="00545CFC" w:rsidRDefault="00545CFC" w:rsidP="007F1EC2">
            <w:pPr>
              <w:pStyle w:val="COMtbl-textCentred"/>
              <w:rPr>
                <w:highlight w:val="black"/>
              </w:rPr>
            </w:pPr>
            <w:r>
              <w:rPr>
                <w:noProof/>
                <w:color w:val="000000"/>
                <w:highlight w:val="black"/>
              </w:rPr>
              <w:t>'''''''''</w:t>
            </w:r>
          </w:p>
        </w:tc>
        <w:tc>
          <w:tcPr>
            <w:tcW w:w="667" w:type="pct"/>
            <w:vAlign w:val="center"/>
          </w:tcPr>
          <w:p w:rsidR="0088034B" w:rsidRPr="00545CFC" w:rsidRDefault="00545CFC" w:rsidP="007F1EC2">
            <w:pPr>
              <w:pStyle w:val="COMtbl-textCentred"/>
              <w:rPr>
                <w:highlight w:val="black"/>
              </w:rPr>
            </w:pPr>
            <w:r>
              <w:rPr>
                <w:noProof/>
                <w:color w:val="000000"/>
                <w:highlight w:val="black"/>
              </w:rPr>
              <w:t>''''''''''</w:t>
            </w:r>
          </w:p>
        </w:tc>
      </w:tr>
      <w:tr w:rsidR="0088034B" w:rsidTr="007F1EC2">
        <w:tc>
          <w:tcPr>
            <w:tcW w:w="1669" w:type="pct"/>
            <w:vAlign w:val="center"/>
          </w:tcPr>
          <w:p w:rsidR="0088034B" w:rsidRDefault="0088034B" w:rsidP="007F1EC2">
            <w:pPr>
              <w:pStyle w:val="COMtbl-textLeftAligned"/>
            </w:pPr>
            <w:r>
              <w:t>Total packs (100% adherence)</w:t>
            </w:r>
          </w:p>
        </w:tc>
        <w:tc>
          <w:tcPr>
            <w:tcW w:w="666" w:type="pct"/>
            <w:vAlign w:val="center"/>
          </w:tcPr>
          <w:p w:rsidR="0088034B" w:rsidRPr="00545CFC" w:rsidRDefault="00545CFC" w:rsidP="007F1EC2">
            <w:pPr>
              <w:pStyle w:val="COMtbl-textCentred"/>
              <w:rPr>
                <w:highlight w:val="black"/>
              </w:rPr>
            </w:pPr>
            <w:r>
              <w:rPr>
                <w:noProof/>
                <w:color w:val="000000"/>
                <w:highlight w:val="black"/>
              </w:rPr>
              <w:t>''''''''''''</w:t>
            </w:r>
          </w:p>
        </w:tc>
        <w:tc>
          <w:tcPr>
            <w:tcW w:w="666" w:type="pct"/>
            <w:vAlign w:val="center"/>
          </w:tcPr>
          <w:p w:rsidR="0088034B" w:rsidRPr="00545CFC" w:rsidRDefault="00545CFC" w:rsidP="007F1EC2">
            <w:pPr>
              <w:pStyle w:val="COMtbl-textCentred"/>
              <w:rPr>
                <w:highlight w:val="black"/>
              </w:rPr>
            </w:pPr>
            <w:r>
              <w:rPr>
                <w:noProof/>
                <w:color w:val="000000"/>
                <w:highlight w:val="black"/>
              </w:rPr>
              <w:t>'''''''''''''</w:t>
            </w:r>
          </w:p>
        </w:tc>
        <w:tc>
          <w:tcPr>
            <w:tcW w:w="666" w:type="pct"/>
            <w:vAlign w:val="center"/>
          </w:tcPr>
          <w:p w:rsidR="0088034B" w:rsidRPr="00545CFC" w:rsidRDefault="00545CFC" w:rsidP="007F1EC2">
            <w:pPr>
              <w:pStyle w:val="COMtbl-textCentred"/>
              <w:rPr>
                <w:highlight w:val="black"/>
              </w:rPr>
            </w:pPr>
            <w:r>
              <w:rPr>
                <w:noProof/>
                <w:color w:val="000000"/>
                <w:highlight w:val="black"/>
              </w:rPr>
              <w:t>''''''''''''''</w:t>
            </w:r>
          </w:p>
        </w:tc>
        <w:tc>
          <w:tcPr>
            <w:tcW w:w="666" w:type="pct"/>
            <w:vAlign w:val="center"/>
          </w:tcPr>
          <w:p w:rsidR="0088034B" w:rsidRPr="00545CFC" w:rsidRDefault="00545CFC" w:rsidP="007F1EC2">
            <w:pPr>
              <w:pStyle w:val="COMtbl-textCentred"/>
              <w:rPr>
                <w:highlight w:val="black"/>
              </w:rPr>
            </w:pPr>
            <w:r>
              <w:rPr>
                <w:noProof/>
                <w:color w:val="000000"/>
                <w:highlight w:val="black"/>
              </w:rPr>
              <w:t>'''''''''''''</w:t>
            </w:r>
          </w:p>
        </w:tc>
        <w:tc>
          <w:tcPr>
            <w:tcW w:w="667" w:type="pct"/>
            <w:vAlign w:val="center"/>
          </w:tcPr>
          <w:p w:rsidR="0088034B" w:rsidRPr="00545CFC" w:rsidRDefault="00545CFC" w:rsidP="007F1EC2">
            <w:pPr>
              <w:pStyle w:val="COMtbl-textCentred"/>
              <w:rPr>
                <w:highlight w:val="black"/>
              </w:rPr>
            </w:pPr>
            <w:r>
              <w:rPr>
                <w:noProof/>
                <w:color w:val="000000"/>
                <w:highlight w:val="black"/>
              </w:rPr>
              <w:t>'''''''''''''</w:t>
            </w:r>
          </w:p>
        </w:tc>
      </w:tr>
      <w:tr w:rsidR="0088034B" w:rsidTr="007F1EC2">
        <w:tc>
          <w:tcPr>
            <w:tcW w:w="1669" w:type="pct"/>
            <w:vAlign w:val="center"/>
          </w:tcPr>
          <w:p w:rsidR="0088034B" w:rsidRPr="00567BF8" w:rsidRDefault="0088034B" w:rsidP="007F1EC2">
            <w:pPr>
              <w:pStyle w:val="COMtbl-textLeftAligned"/>
            </w:pPr>
            <w:r>
              <w:t>Total cost to PBS</w:t>
            </w:r>
          </w:p>
        </w:tc>
        <w:tc>
          <w:tcPr>
            <w:tcW w:w="666" w:type="pct"/>
            <w:vAlign w:val="center"/>
          </w:tcPr>
          <w:p w:rsidR="0088034B" w:rsidRPr="00421D77" w:rsidRDefault="007367DB" w:rsidP="007F1EC2">
            <w:pPr>
              <w:pStyle w:val="COMtbl-textCentred"/>
            </w:pPr>
            <w:r w:rsidRPr="00421D77">
              <w:t>$</w:t>
            </w:r>
            <w:r w:rsidR="00545CFC">
              <w:rPr>
                <w:noProof/>
                <w:color w:val="000000"/>
                <w:highlight w:val="black"/>
              </w:rPr>
              <w:t>''''''''''''''''''''''''''</w:t>
            </w:r>
          </w:p>
        </w:tc>
        <w:tc>
          <w:tcPr>
            <w:tcW w:w="666" w:type="pct"/>
            <w:vAlign w:val="center"/>
          </w:tcPr>
          <w:p w:rsidR="0088034B" w:rsidRPr="00421D77" w:rsidRDefault="007367DB" w:rsidP="007F1EC2">
            <w:pPr>
              <w:pStyle w:val="COMtbl-textCentred"/>
            </w:pPr>
            <w:r w:rsidRPr="00421D77">
              <w:t>$</w:t>
            </w:r>
            <w:r w:rsidR="00545CFC">
              <w:rPr>
                <w:noProof/>
                <w:color w:val="000000"/>
                <w:highlight w:val="black"/>
              </w:rPr>
              <w:t>''''''''''''''''''''''</w:t>
            </w:r>
          </w:p>
        </w:tc>
        <w:tc>
          <w:tcPr>
            <w:tcW w:w="666" w:type="pct"/>
            <w:vAlign w:val="center"/>
          </w:tcPr>
          <w:p w:rsidR="0088034B" w:rsidRPr="00421D77" w:rsidRDefault="007367DB" w:rsidP="007F1EC2">
            <w:pPr>
              <w:pStyle w:val="COMtbl-textCentred"/>
            </w:pPr>
            <w:r w:rsidRPr="00421D77">
              <w:t>$</w:t>
            </w:r>
            <w:r w:rsidR="00545CFC">
              <w:rPr>
                <w:noProof/>
                <w:color w:val="000000"/>
                <w:highlight w:val="black"/>
              </w:rPr>
              <w:t>''''''''''''''''''''''''</w:t>
            </w:r>
          </w:p>
        </w:tc>
        <w:tc>
          <w:tcPr>
            <w:tcW w:w="666" w:type="pct"/>
            <w:vAlign w:val="center"/>
          </w:tcPr>
          <w:p w:rsidR="0088034B" w:rsidRPr="00421D77" w:rsidRDefault="007367DB" w:rsidP="007F1EC2">
            <w:pPr>
              <w:pStyle w:val="COMtbl-textCentred"/>
            </w:pPr>
            <w:r w:rsidRPr="00421D77">
              <w:t>$</w:t>
            </w:r>
            <w:r w:rsidR="00545CFC">
              <w:rPr>
                <w:noProof/>
                <w:color w:val="000000"/>
                <w:highlight w:val="black"/>
              </w:rPr>
              <w:t>'''''''''''''''''''''''''</w:t>
            </w:r>
          </w:p>
        </w:tc>
        <w:tc>
          <w:tcPr>
            <w:tcW w:w="667" w:type="pct"/>
            <w:vAlign w:val="center"/>
          </w:tcPr>
          <w:p w:rsidR="0088034B" w:rsidRPr="00421D77" w:rsidRDefault="007367DB" w:rsidP="007F1EC2">
            <w:pPr>
              <w:pStyle w:val="COMtbl-textCentred"/>
            </w:pPr>
            <w:r w:rsidRPr="00421D77">
              <w:t>$</w:t>
            </w:r>
            <w:r w:rsidR="00545CFC">
              <w:rPr>
                <w:noProof/>
                <w:color w:val="000000"/>
                <w:highlight w:val="black"/>
              </w:rPr>
              <w:t>'''''''''''''''''''''''</w:t>
            </w:r>
          </w:p>
        </w:tc>
      </w:tr>
      <w:tr w:rsidR="0088034B" w:rsidTr="007F1EC2">
        <w:tc>
          <w:tcPr>
            <w:tcW w:w="1669" w:type="pct"/>
            <w:vAlign w:val="center"/>
          </w:tcPr>
          <w:p w:rsidR="0088034B" w:rsidRPr="00567BF8" w:rsidRDefault="0088034B" w:rsidP="007F1EC2">
            <w:pPr>
              <w:pStyle w:val="COMtbl-textLeftAligned"/>
            </w:pPr>
            <w:r>
              <w:t>Patient co-payments</w:t>
            </w:r>
          </w:p>
        </w:tc>
        <w:tc>
          <w:tcPr>
            <w:tcW w:w="666" w:type="pct"/>
            <w:vAlign w:val="center"/>
          </w:tcPr>
          <w:p w:rsidR="0088034B" w:rsidRPr="00421D77" w:rsidRDefault="007367DB" w:rsidP="007F1EC2">
            <w:pPr>
              <w:pStyle w:val="COMtbl-textCentred"/>
            </w:pPr>
            <w:r w:rsidRPr="00421D77">
              <w:t>$</w:t>
            </w:r>
            <w:r w:rsidR="00545CFC">
              <w:rPr>
                <w:noProof/>
                <w:color w:val="000000"/>
                <w:highlight w:val="black"/>
              </w:rPr>
              <w:t>''''''''''''''''</w:t>
            </w:r>
          </w:p>
        </w:tc>
        <w:tc>
          <w:tcPr>
            <w:tcW w:w="666" w:type="pct"/>
            <w:vAlign w:val="center"/>
          </w:tcPr>
          <w:p w:rsidR="0088034B" w:rsidRPr="00421D77" w:rsidRDefault="007367DB" w:rsidP="007F1EC2">
            <w:pPr>
              <w:pStyle w:val="COMtbl-textCentred"/>
            </w:pPr>
            <w:r w:rsidRPr="00421D77">
              <w:t>$</w:t>
            </w:r>
            <w:r w:rsidR="00545CFC">
              <w:rPr>
                <w:noProof/>
                <w:color w:val="000000"/>
                <w:highlight w:val="black"/>
              </w:rPr>
              <w:t>'''''''''''''''</w:t>
            </w:r>
          </w:p>
        </w:tc>
        <w:tc>
          <w:tcPr>
            <w:tcW w:w="666" w:type="pct"/>
            <w:vAlign w:val="center"/>
          </w:tcPr>
          <w:p w:rsidR="0088034B" w:rsidRPr="00421D77" w:rsidRDefault="00E87B53" w:rsidP="007F1EC2">
            <w:pPr>
              <w:pStyle w:val="COMtbl-textCentred"/>
            </w:pPr>
            <w:r w:rsidRPr="00421D77">
              <w:t>$</w:t>
            </w:r>
            <w:r w:rsidR="00545CFC">
              <w:rPr>
                <w:noProof/>
                <w:color w:val="000000"/>
                <w:highlight w:val="black"/>
              </w:rPr>
              <w:t>''''''''''''''''</w:t>
            </w:r>
          </w:p>
        </w:tc>
        <w:tc>
          <w:tcPr>
            <w:tcW w:w="666" w:type="pct"/>
            <w:vAlign w:val="center"/>
          </w:tcPr>
          <w:p w:rsidR="0088034B" w:rsidRPr="00421D77" w:rsidRDefault="00E87B53" w:rsidP="007F1EC2">
            <w:pPr>
              <w:pStyle w:val="COMtbl-textCentred"/>
            </w:pPr>
            <w:r w:rsidRPr="00421D77">
              <w:t>$</w:t>
            </w:r>
            <w:r w:rsidR="00545CFC">
              <w:rPr>
                <w:noProof/>
                <w:color w:val="000000"/>
                <w:highlight w:val="black"/>
              </w:rPr>
              <w:t>''''''''''''''''</w:t>
            </w:r>
          </w:p>
        </w:tc>
        <w:tc>
          <w:tcPr>
            <w:tcW w:w="667" w:type="pct"/>
            <w:vAlign w:val="center"/>
          </w:tcPr>
          <w:p w:rsidR="0088034B" w:rsidRPr="00421D77" w:rsidRDefault="00E87B53" w:rsidP="007F1EC2">
            <w:pPr>
              <w:pStyle w:val="COMtbl-textCentred"/>
            </w:pPr>
            <w:r w:rsidRPr="00421D77">
              <w:t>$</w:t>
            </w:r>
            <w:r w:rsidR="00545CFC">
              <w:rPr>
                <w:noProof/>
                <w:color w:val="000000"/>
                <w:highlight w:val="black"/>
              </w:rPr>
              <w:t>'''''''''''''''</w:t>
            </w:r>
          </w:p>
        </w:tc>
      </w:tr>
      <w:tr w:rsidR="0088034B" w:rsidTr="007F1EC2">
        <w:tc>
          <w:tcPr>
            <w:tcW w:w="1669" w:type="pct"/>
            <w:vAlign w:val="center"/>
          </w:tcPr>
          <w:p w:rsidR="0088034B" w:rsidRPr="00567BF8" w:rsidRDefault="0088034B" w:rsidP="007F1EC2">
            <w:pPr>
              <w:pStyle w:val="COMtbl-textLeftAligned"/>
            </w:pPr>
            <w:r>
              <w:t>Total cost to government</w:t>
            </w:r>
          </w:p>
        </w:tc>
        <w:tc>
          <w:tcPr>
            <w:tcW w:w="666" w:type="pct"/>
            <w:vAlign w:val="center"/>
          </w:tcPr>
          <w:p w:rsidR="0088034B" w:rsidRPr="00421D77" w:rsidRDefault="00E87B53" w:rsidP="007F1EC2">
            <w:pPr>
              <w:pStyle w:val="COMtbl-textCentred"/>
            </w:pPr>
            <w:r w:rsidRPr="00421D77">
              <w:t>$</w:t>
            </w:r>
            <w:r w:rsidR="00545CFC">
              <w:rPr>
                <w:noProof/>
                <w:color w:val="000000"/>
                <w:highlight w:val="black"/>
              </w:rPr>
              <w:t>'''''''''''''''''''''''</w:t>
            </w:r>
          </w:p>
        </w:tc>
        <w:tc>
          <w:tcPr>
            <w:tcW w:w="666" w:type="pct"/>
            <w:vAlign w:val="center"/>
          </w:tcPr>
          <w:p w:rsidR="0088034B" w:rsidRPr="00421D77" w:rsidRDefault="00E87B53" w:rsidP="007F1EC2">
            <w:pPr>
              <w:pStyle w:val="COMtbl-textCentred"/>
            </w:pPr>
            <w:r w:rsidRPr="00421D77">
              <w:t>$</w:t>
            </w:r>
            <w:r w:rsidR="00545CFC">
              <w:rPr>
                <w:noProof/>
                <w:color w:val="000000"/>
                <w:highlight w:val="black"/>
              </w:rPr>
              <w:t>''''''''''''''''''''''''''</w:t>
            </w:r>
          </w:p>
        </w:tc>
        <w:tc>
          <w:tcPr>
            <w:tcW w:w="666" w:type="pct"/>
            <w:vAlign w:val="center"/>
          </w:tcPr>
          <w:p w:rsidR="0088034B" w:rsidRPr="00421D77" w:rsidRDefault="00E87B53" w:rsidP="007F1EC2">
            <w:pPr>
              <w:pStyle w:val="COMtbl-textCentred"/>
            </w:pPr>
            <w:r w:rsidRPr="00421D77">
              <w:t>$</w:t>
            </w:r>
            <w:r w:rsidR="00545CFC">
              <w:rPr>
                <w:noProof/>
                <w:color w:val="000000"/>
                <w:highlight w:val="black"/>
              </w:rPr>
              <w:t>'''''''''''''''''''''</w:t>
            </w:r>
          </w:p>
        </w:tc>
        <w:tc>
          <w:tcPr>
            <w:tcW w:w="666" w:type="pct"/>
            <w:vAlign w:val="center"/>
          </w:tcPr>
          <w:p w:rsidR="0088034B" w:rsidRPr="00421D77" w:rsidRDefault="00E87B53" w:rsidP="007F1EC2">
            <w:pPr>
              <w:pStyle w:val="COMtbl-textCentred"/>
            </w:pPr>
            <w:r w:rsidRPr="00421D77">
              <w:t>$</w:t>
            </w:r>
            <w:r w:rsidR="00545CFC">
              <w:rPr>
                <w:noProof/>
                <w:color w:val="000000"/>
                <w:highlight w:val="black"/>
              </w:rPr>
              <w:t>''''''''''''''''''''''''''</w:t>
            </w:r>
          </w:p>
        </w:tc>
        <w:tc>
          <w:tcPr>
            <w:tcW w:w="667" w:type="pct"/>
            <w:vAlign w:val="center"/>
          </w:tcPr>
          <w:p w:rsidR="0088034B" w:rsidRPr="00421D77" w:rsidRDefault="00E87B53" w:rsidP="007F1EC2">
            <w:pPr>
              <w:pStyle w:val="COMtbl-textCentred"/>
            </w:pPr>
            <w:r w:rsidRPr="00421D77">
              <w:t>$</w:t>
            </w:r>
            <w:r w:rsidR="00545CFC">
              <w:rPr>
                <w:noProof/>
                <w:color w:val="000000"/>
                <w:highlight w:val="black"/>
              </w:rPr>
              <w:t>''''''''''''''''''''''</w:t>
            </w:r>
          </w:p>
        </w:tc>
      </w:tr>
      <w:tr w:rsidR="0088034B" w:rsidTr="007F1EC2">
        <w:tc>
          <w:tcPr>
            <w:tcW w:w="5000" w:type="pct"/>
            <w:gridSpan w:val="6"/>
            <w:vAlign w:val="center"/>
          </w:tcPr>
          <w:p w:rsidR="0088034B" w:rsidRPr="00F004ED" w:rsidRDefault="0088034B" w:rsidP="007F1EC2">
            <w:pPr>
              <w:pStyle w:val="COMtbl-textCentred"/>
              <w:jc w:val="left"/>
              <w:rPr>
                <w:b/>
              </w:rPr>
            </w:pPr>
            <w:r w:rsidRPr="00545CFC">
              <w:rPr>
                <w:b/>
              </w:rPr>
              <w:t>DUSC utilisation analysis</w:t>
            </w:r>
            <w:r w:rsidR="006E2FA6" w:rsidRPr="00545CFC">
              <w:rPr>
                <w:b/>
              </w:rPr>
              <w:t xml:space="preserve"> (May 2013-April 2014)</w:t>
            </w:r>
          </w:p>
        </w:tc>
      </w:tr>
      <w:tr w:rsidR="008A3FD6" w:rsidTr="007F1EC2">
        <w:tc>
          <w:tcPr>
            <w:tcW w:w="1669" w:type="pct"/>
            <w:shd w:val="clear" w:color="auto" w:fill="auto"/>
            <w:vAlign w:val="center"/>
          </w:tcPr>
          <w:p w:rsidR="008A3FD6" w:rsidRDefault="008A3FD6" w:rsidP="007F1EC2">
            <w:pPr>
              <w:pStyle w:val="COMtbl-textLeftAligned"/>
            </w:pPr>
            <w:r>
              <w:t>Treated patients</w:t>
            </w:r>
          </w:p>
        </w:tc>
        <w:tc>
          <w:tcPr>
            <w:tcW w:w="1" w:type="pct"/>
            <w:gridSpan w:val="2"/>
            <w:shd w:val="clear" w:color="auto" w:fill="auto"/>
            <w:vAlign w:val="center"/>
          </w:tcPr>
          <w:p w:rsidR="008A3FD6" w:rsidRPr="00421D77" w:rsidRDefault="008A3FD6" w:rsidP="008A3FD6">
            <w:pPr>
              <w:pStyle w:val="COMtbl-textCentred"/>
            </w:pPr>
            <w:r w:rsidRPr="00421D77">
              <w:t>106</w:t>
            </w:r>
          </w:p>
        </w:tc>
        <w:tc>
          <w:tcPr>
            <w:tcW w:w="666" w:type="pct"/>
            <w:shd w:val="clear" w:color="auto" w:fill="auto"/>
            <w:vAlign w:val="center"/>
          </w:tcPr>
          <w:p w:rsidR="008A3FD6" w:rsidRPr="00B04E9D" w:rsidRDefault="008A3FD6" w:rsidP="007F1EC2">
            <w:pPr>
              <w:pStyle w:val="COMtbl-textCentred"/>
            </w:pPr>
            <w:r>
              <w:t>-</w:t>
            </w:r>
          </w:p>
        </w:tc>
        <w:tc>
          <w:tcPr>
            <w:tcW w:w="666" w:type="pct"/>
            <w:shd w:val="clear" w:color="auto" w:fill="auto"/>
            <w:vAlign w:val="center"/>
          </w:tcPr>
          <w:p w:rsidR="008A3FD6" w:rsidRPr="00B04E9D" w:rsidRDefault="008A3FD6" w:rsidP="007F1EC2">
            <w:pPr>
              <w:pStyle w:val="COMtbl-textCentred"/>
            </w:pPr>
            <w:r>
              <w:t>-</w:t>
            </w:r>
          </w:p>
        </w:tc>
        <w:tc>
          <w:tcPr>
            <w:tcW w:w="667" w:type="pct"/>
            <w:shd w:val="clear" w:color="auto" w:fill="auto"/>
            <w:vAlign w:val="center"/>
          </w:tcPr>
          <w:p w:rsidR="008A3FD6" w:rsidRPr="00B04E9D" w:rsidRDefault="008A3FD6" w:rsidP="007F1EC2">
            <w:pPr>
              <w:pStyle w:val="COMtbl-textCentred"/>
            </w:pPr>
            <w:r>
              <w:t>-</w:t>
            </w:r>
          </w:p>
        </w:tc>
      </w:tr>
      <w:tr w:rsidR="008A3FD6" w:rsidTr="007F1EC2">
        <w:tc>
          <w:tcPr>
            <w:tcW w:w="1669" w:type="pct"/>
            <w:vAlign w:val="center"/>
          </w:tcPr>
          <w:p w:rsidR="008A3FD6" w:rsidRDefault="008A3FD6" w:rsidP="007F1EC2">
            <w:pPr>
              <w:pStyle w:val="COMtbl-textLeftAligned"/>
            </w:pPr>
            <w:r>
              <w:t>Total packs</w:t>
            </w:r>
          </w:p>
        </w:tc>
        <w:tc>
          <w:tcPr>
            <w:tcW w:w="1" w:type="pct"/>
            <w:gridSpan w:val="2"/>
            <w:vAlign w:val="center"/>
          </w:tcPr>
          <w:p w:rsidR="008A3FD6" w:rsidRPr="00421D77" w:rsidRDefault="008A3FD6" w:rsidP="008A3FD6">
            <w:pPr>
              <w:pStyle w:val="COMtbl-textCentred"/>
            </w:pPr>
            <w:r w:rsidRPr="00421D77">
              <w:t>821</w:t>
            </w:r>
          </w:p>
        </w:tc>
        <w:tc>
          <w:tcPr>
            <w:tcW w:w="666" w:type="pct"/>
            <w:vAlign w:val="center"/>
          </w:tcPr>
          <w:p w:rsidR="008A3FD6" w:rsidRPr="00B04E9D" w:rsidRDefault="008A3FD6" w:rsidP="007F1EC2">
            <w:pPr>
              <w:pStyle w:val="COMtbl-textCentred"/>
            </w:pPr>
            <w:r>
              <w:t>-</w:t>
            </w:r>
          </w:p>
        </w:tc>
        <w:tc>
          <w:tcPr>
            <w:tcW w:w="666" w:type="pct"/>
            <w:vAlign w:val="center"/>
          </w:tcPr>
          <w:p w:rsidR="008A3FD6" w:rsidRPr="00B04E9D" w:rsidRDefault="008A3FD6" w:rsidP="007F1EC2">
            <w:pPr>
              <w:pStyle w:val="COMtbl-textCentred"/>
            </w:pPr>
            <w:r>
              <w:t>-</w:t>
            </w:r>
          </w:p>
        </w:tc>
        <w:tc>
          <w:tcPr>
            <w:tcW w:w="667" w:type="pct"/>
            <w:vAlign w:val="center"/>
          </w:tcPr>
          <w:p w:rsidR="008A3FD6" w:rsidRPr="00B04E9D" w:rsidRDefault="008A3FD6" w:rsidP="007F1EC2">
            <w:pPr>
              <w:pStyle w:val="COMtbl-textCentred"/>
            </w:pPr>
            <w:r>
              <w:t>-</w:t>
            </w:r>
          </w:p>
        </w:tc>
      </w:tr>
      <w:tr w:rsidR="008A3FD6" w:rsidTr="007F1EC2">
        <w:tc>
          <w:tcPr>
            <w:tcW w:w="1669" w:type="pct"/>
            <w:vAlign w:val="center"/>
          </w:tcPr>
          <w:p w:rsidR="008A3FD6" w:rsidRDefault="008A3FD6" w:rsidP="007F1EC2">
            <w:pPr>
              <w:pStyle w:val="COMtbl-textLeftAligned"/>
            </w:pPr>
            <w:r>
              <w:t>Total cost to government</w:t>
            </w:r>
          </w:p>
        </w:tc>
        <w:tc>
          <w:tcPr>
            <w:tcW w:w="1" w:type="pct"/>
            <w:gridSpan w:val="2"/>
            <w:vAlign w:val="center"/>
          </w:tcPr>
          <w:p w:rsidR="008A3FD6" w:rsidRPr="00421D77" w:rsidRDefault="008A3FD6" w:rsidP="008A3FD6">
            <w:pPr>
              <w:pStyle w:val="COMtbl-textCentred"/>
            </w:pPr>
            <w:r w:rsidRPr="00421D77">
              <w:t>$352,929</w:t>
            </w:r>
          </w:p>
        </w:tc>
        <w:tc>
          <w:tcPr>
            <w:tcW w:w="666" w:type="pct"/>
            <w:vAlign w:val="center"/>
          </w:tcPr>
          <w:p w:rsidR="008A3FD6" w:rsidRPr="00B04E9D" w:rsidRDefault="008A3FD6" w:rsidP="007F1EC2">
            <w:pPr>
              <w:pStyle w:val="COMtbl-textCentred"/>
            </w:pPr>
            <w:r>
              <w:t>-</w:t>
            </w:r>
          </w:p>
        </w:tc>
        <w:tc>
          <w:tcPr>
            <w:tcW w:w="666" w:type="pct"/>
            <w:vAlign w:val="center"/>
          </w:tcPr>
          <w:p w:rsidR="008A3FD6" w:rsidRPr="00B04E9D" w:rsidRDefault="008A3FD6" w:rsidP="007F1EC2">
            <w:pPr>
              <w:pStyle w:val="COMtbl-textCentred"/>
            </w:pPr>
            <w:r>
              <w:t>-</w:t>
            </w:r>
          </w:p>
        </w:tc>
        <w:tc>
          <w:tcPr>
            <w:tcW w:w="667" w:type="pct"/>
            <w:vAlign w:val="center"/>
          </w:tcPr>
          <w:p w:rsidR="008A3FD6" w:rsidRPr="00B04E9D" w:rsidRDefault="008A3FD6" w:rsidP="007F1EC2">
            <w:pPr>
              <w:pStyle w:val="COMtbl-textCentred"/>
            </w:pPr>
            <w:r>
              <w:t>-</w:t>
            </w:r>
          </w:p>
        </w:tc>
      </w:tr>
      <w:tr w:rsidR="009B6E90" w:rsidTr="008A3FD6">
        <w:tc>
          <w:tcPr>
            <w:tcW w:w="5000" w:type="pct"/>
            <w:gridSpan w:val="6"/>
            <w:vAlign w:val="center"/>
          </w:tcPr>
          <w:p w:rsidR="009B6E90" w:rsidRPr="009B6E90" w:rsidRDefault="009B6E90" w:rsidP="009B6E90">
            <w:pPr>
              <w:pStyle w:val="COMtbl-textCentred"/>
              <w:jc w:val="left"/>
              <w:rPr>
                <w:b/>
              </w:rPr>
            </w:pPr>
            <w:r w:rsidRPr="009B6E90">
              <w:rPr>
                <w:b/>
              </w:rPr>
              <w:t>Revised budget impact model without combination use</w:t>
            </w:r>
          </w:p>
        </w:tc>
      </w:tr>
      <w:tr w:rsidR="009B6E90" w:rsidTr="007F1EC2">
        <w:tc>
          <w:tcPr>
            <w:tcW w:w="1669" w:type="pct"/>
            <w:vAlign w:val="center"/>
          </w:tcPr>
          <w:p w:rsidR="009B6E90" w:rsidRDefault="009B6E90" w:rsidP="007F1EC2">
            <w:pPr>
              <w:pStyle w:val="COMtbl-textLeftAligned"/>
            </w:pPr>
            <w:r>
              <w:t>Treated patients</w:t>
            </w:r>
          </w:p>
        </w:tc>
        <w:tc>
          <w:tcPr>
            <w:tcW w:w="666" w:type="pct"/>
            <w:vAlign w:val="center"/>
          </w:tcPr>
          <w:p w:rsidR="009B6E90" w:rsidRPr="00545CFC" w:rsidRDefault="00545CFC" w:rsidP="007F1EC2">
            <w:pPr>
              <w:pStyle w:val="COMtbl-textCentred"/>
              <w:rPr>
                <w:highlight w:val="black"/>
              </w:rPr>
            </w:pPr>
            <w:r>
              <w:rPr>
                <w:noProof/>
                <w:color w:val="000000"/>
                <w:highlight w:val="black"/>
              </w:rPr>
              <w:t>''''''</w:t>
            </w:r>
          </w:p>
        </w:tc>
        <w:tc>
          <w:tcPr>
            <w:tcW w:w="666" w:type="pct"/>
            <w:vAlign w:val="center"/>
          </w:tcPr>
          <w:p w:rsidR="009B6E90" w:rsidRPr="00545CFC" w:rsidRDefault="00545CFC" w:rsidP="007F1EC2">
            <w:pPr>
              <w:pStyle w:val="COMtbl-textCentred"/>
              <w:rPr>
                <w:highlight w:val="black"/>
              </w:rPr>
            </w:pPr>
            <w:r>
              <w:rPr>
                <w:noProof/>
                <w:color w:val="000000"/>
                <w:highlight w:val="black"/>
              </w:rPr>
              <w:t>''''''''''</w:t>
            </w:r>
          </w:p>
        </w:tc>
        <w:tc>
          <w:tcPr>
            <w:tcW w:w="666" w:type="pct"/>
            <w:vAlign w:val="center"/>
          </w:tcPr>
          <w:p w:rsidR="009B6E90" w:rsidRPr="00545CFC" w:rsidRDefault="00545CFC" w:rsidP="007F1EC2">
            <w:pPr>
              <w:pStyle w:val="COMtbl-textCentred"/>
              <w:rPr>
                <w:highlight w:val="black"/>
              </w:rPr>
            </w:pPr>
            <w:r>
              <w:rPr>
                <w:noProof/>
                <w:color w:val="000000"/>
                <w:highlight w:val="black"/>
              </w:rPr>
              <w:t>'''''''''</w:t>
            </w:r>
          </w:p>
        </w:tc>
        <w:tc>
          <w:tcPr>
            <w:tcW w:w="666" w:type="pct"/>
            <w:vAlign w:val="center"/>
          </w:tcPr>
          <w:p w:rsidR="009B6E90" w:rsidRPr="00545CFC" w:rsidRDefault="00545CFC" w:rsidP="007F1EC2">
            <w:pPr>
              <w:pStyle w:val="COMtbl-textCentred"/>
              <w:rPr>
                <w:highlight w:val="black"/>
              </w:rPr>
            </w:pPr>
            <w:r>
              <w:rPr>
                <w:noProof/>
                <w:color w:val="000000"/>
                <w:highlight w:val="black"/>
              </w:rPr>
              <w:t>''''''''''</w:t>
            </w:r>
          </w:p>
        </w:tc>
        <w:tc>
          <w:tcPr>
            <w:tcW w:w="667" w:type="pct"/>
            <w:vAlign w:val="center"/>
          </w:tcPr>
          <w:p w:rsidR="009B6E90" w:rsidRPr="00545CFC" w:rsidRDefault="00545CFC" w:rsidP="007F1EC2">
            <w:pPr>
              <w:pStyle w:val="COMtbl-textCentred"/>
              <w:rPr>
                <w:highlight w:val="black"/>
              </w:rPr>
            </w:pPr>
            <w:r>
              <w:rPr>
                <w:noProof/>
                <w:color w:val="000000"/>
                <w:highlight w:val="black"/>
              </w:rPr>
              <w:t>''''''''''</w:t>
            </w:r>
          </w:p>
        </w:tc>
      </w:tr>
      <w:tr w:rsidR="009B6E90" w:rsidTr="007F1EC2">
        <w:tc>
          <w:tcPr>
            <w:tcW w:w="1669" w:type="pct"/>
            <w:vAlign w:val="center"/>
          </w:tcPr>
          <w:p w:rsidR="009B6E90" w:rsidRDefault="00987223" w:rsidP="007F1EC2">
            <w:pPr>
              <w:pStyle w:val="COMtbl-textLeftAligned"/>
            </w:pPr>
            <w:r>
              <w:t>Total packs (34</w:t>
            </w:r>
            <w:r w:rsidR="009B6E90">
              <w:t>% adherence)</w:t>
            </w:r>
          </w:p>
        </w:tc>
        <w:tc>
          <w:tcPr>
            <w:tcW w:w="666" w:type="pct"/>
            <w:vAlign w:val="center"/>
          </w:tcPr>
          <w:p w:rsidR="009B6E90" w:rsidRPr="00545CFC" w:rsidRDefault="00545CFC" w:rsidP="007F1EC2">
            <w:pPr>
              <w:pStyle w:val="COMtbl-textCentred"/>
              <w:rPr>
                <w:highlight w:val="black"/>
              </w:rPr>
            </w:pPr>
            <w:r>
              <w:rPr>
                <w:noProof/>
                <w:color w:val="000000"/>
                <w:highlight w:val="black"/>
              </w:rPr>
              <w:t>''''''''''</w:t>
            </w:r>
          </w:p>
        </w:tc>
        <w:tc>
          <w:tcPr>
            <w:tcW w:w="666" w:type="pct"/>
            <w:vAlign w:val="center"/>
          </w:tcPr>
          <w:p w:rsidR="009B6E90" w:rsidRPr="00545CFC" w:rsidRDefault="00545CFC" w:rsidP="007F1EC2">
            <w:pPr>
              <w:pStyle w:val="COMtbl-textCentred"/>
              <w:rPr>
                <w:highlight w:val="black"/>
              </w:rPr>
            </w:pPr>
            <w:r>
              <w:rPr>
                <w:noProof/>
                <w:color w:val="000000"/>
                <w:highlight w:val="black"/>
              </w:rPr>
              <w:t>''''''''''</w:t>
            </w:r>
          </w:p>
        </w:tc>
        <w:tc>
          <w:tcPr>
            <w:tcW w:w="666" w:type="pct"/>
            <w:vAlign w:val="center"/>
          </w:tcPr>
          <w:p w:rsidR="009B6E90" w:rsidRPr="00545CFC" w:rsidRDefault="00545CFC" w:rsidP="007F1EC2">
            <w:pPr>
              <w:pStyle w:val="COMtbl-textCentred"/>
              <w:rPr>
                <w:highlight w:val="black"/>
              </w:rPr>
            </w:pPr>
            <w:r>
              <w:rPr>
                <w:noProof/>
                <w:color w:val="000000"/>
                <w:highlight w:val="black"/>
              </w:rPr>
              <w:t>'''''''''''''</w:t>
            </w:r>
          </w:p>
        </w:tc>
        <w:tc>
          <w:tcPr>
            <w:tcW w:w="666" w:type="pct"/>
            <w:vAlign w:val="center"/>
          </w:tcPr>
          <w:p w:rsidR="009B6E90" w:rsidRPr="00545CFC" w:rsidRDefault="00545CFC" w:rsidP="007F1EC2">
            <w:pPr>
              <w:pStyle w:val="COMtbl-textCentred"/>
              <w:rPr>
                <w:highlight w:val="black"/>
              </w:rPr>
            </w:pPr>
            <w:r>
              <w:rPr>
                <w:noProof/>
                <w:color w:val="000000"/>
                <w:highlight w:val="black"/>
              </w:rPr>
              <w:t>''''''''''''</w:t>
            </w:r>
          </w:p>
        </w:tc>
        <w:tc>
          <w:tcPr>
            <w:tcW w:w="667" w:type="pct"/>
            <w:vAlign w:val="center"/>
          </w:tcPr>
          <w:p w:rsidR="009B6E90" w:rsidRPr="00545CFC" w:rsidRDefault="00545CFC" w:rsidP="007F1EC2">
            <w:pPr>
              <w:pStyle w:val="COMtbl-textCentred"/>
              <w:rPr>
                <w:highlight w:val="black"/>
              </w:rPr>
            </w:pPr>
            <w:r>
              <w:rPr>
                <w:noProof/>
                <w:color w:val="000000"/>
                <w:highlight w:val="black"/>
              </w:rPr>
              <w:t>''''''''''''</w:t>
            </w:r>
          </w:p>
        </w:tc>
      </w:tr>
      <w:tr w:rsidR="009B6E90" w:rsidTr="007F1EC2">
        <w:tc>
          <w:tcPr>
            <w:tcW w:w="1669" w:type="pct"/>
            <w:vAlign w:val="center"/>
          </w:tcPr>
          <w:p w:rsidR="009B6E90" w:rsidRPr="00567BF8" w:rsidRDefault="009B6E90" w:rsidP="007F1EC2">
            <w:pPr>
              <w:pStyle w:val="COMtbl-textLeftAligned"/>
            </w:pPr>
            <w:r>
              <w:t>Total cost to PBS</w:t>
            </w:r>
          </w:p>
        </w:tc>
        <w:tc>
          <w:tcPr>
            <w:tcW w:w="666" w:type="pct"/>
            <w:vAlign w:val="center"/>
          </w:tcPr>
          <w:p w:rsidR="009B6E90" w:rsidRPr="00421D77" w:rsidRDefault="00E87B53" w:rsidP="007F1EC2">
            <w:pPr>
              <w:pStyle w:val="COMtbl-textCentred"/>
            </w:pPr>
            <w:r w:rsidRPr="00421D77">
              <w:t>$</w:t>
            </w:r>
            <w:r w:rsidR="00545CFC">
              <w:rPr>
                <w:noProof/>
                <w:color w:val="000000"/>
                <w:highlight w:val="black"/>
              </w:rPr>
              <w:t>''''''''''''''''''</w:t>
            </w:r>
          </w:p>
        </w:tc>
        <w:tc>
          <w:tcPr>
            <w:tcW w:w="666" w:type="pct"/>
            <w:vAlign w:val="center"/>
          </w:tcPr>
          <w:p w:rsidR="009B6E90" w:rsidRPr="00421D77" w:rsidRDefault="00E87B53" w:rsidP="007F1EC2">
            <w:pPr>
              <w:pStyle w:val="COMtbl-textCentred"/>
            </w:pPr>
            <w:r w:rsidRPr="00421D77">
              <w:t>$</w:t>
            </w:r>
            <w:r w:rsidR="00545CFC">
              <w:rPr>
                <w:noProof/>
                <w:color w:val="000000"/>
                <w:highlight w:val="black"/>
              </w:rPr>
              <w:t>''''''''''''''''''</w:t>
            </w:r>
          </w:p>
        </w:tc>
        <w:tc>
          <w:tcPr>
            <w:tcW w:w="666" w:type="pct"/>
            <w:vAlign w:val="center"/>
          </w:tcPr>
          <w:p w:rsidR="009B6E90" w:rsidRPr="00421D77" w:rsidRDefault="00E87B53" w:rsidP="007F1EC2">
            <w:pPr>
              <w:pStyle w:val="COMtbl-textCentred"/>
            </w:pPr>
            <w:r w:rsidRPr="00421D77">
              <w:t>$</w:t>
            </w:r>
            <w:r w:rsidR="00545CFC">
              <w:rPr>
                <w:noProof/>
                <w:color w:val="000000"/>
                <w:highlight w:val="black"/>
              </w:rPr>
              <w:t>'''''''''''''''''''''</w:t>
            </w:r>
          </w:p>
        </w:tc>
        <w:tc>
          <w:tcPr>
            <w:tcW w:w="666" w:type="pct"/>
            <w:vAlign w:val="center"/>
          </w:tcPr>
          <w:p w:rsidR="009B6E90" w:rsidRPr="00421D77" w:rsidRDefault="00E87B53" w:rsidP="007F1EC2">
            <w:pPr>
              <w:pStyle w:val="COMtbl-textCentred"/>
            </w:pPr>
            <w:r w:rsidRPr="00421D77">
              <w:t>$</w:t>
            </w:r>
            <w:r w:rsidR="00545CFC">
              <w:rPr>
                <w:noProof/>
                <w:color w:val="000000"/>
                <w:highlight w:val="black"/>
              </w:rPr>
              <w:t>''''''''''''''''''''</w:t>
            </w:r>
          </w:p>
        </w:tc>
        <w:tc>
          <w:tcPr>
            <w:tcW w:w="667" w:type="pct"/>
            <w:vAlign w:val="center"/>
          </w:tcPr>
          <w:p w:rsidR="009B6E90" w:rsidRPr="00421D77" w:rsidRDefault="00E87B53" w:rsidP="007F1EC2">
            <w:pPr>
              <w:pStyle w:val="COMtbl-textCentred"/>
            </w:pPr>
            <w:r w:rsidRPr="00421D77">
              <w:t>$</w:t>
            </w:r>
            <w:r w:rsidR="00545CFC">
              <w:rPr>
                <w:noProof/>
                <w:color w:val="000000"/>
                <w:highlight w:val="black"/>
              </w:rPr>
              <w:t>''''''''''''''''''''</w:t>
            </w:r>
          </w:p>
        </w:tc>
      </w:tr>
      <w:tr w:rsidR="009B6E90" w:rsidTr="007F1EC2">
        <w:tc>
          <w:tcPr>
            <w:tcW w:w="1669" w:type="pct"/>
            <w:vAlign w:val="center"/>
          </w:tcPr>
          <w:p w:rsidR="009B6E90" w:rsidRPr="00567BF8" w:rsidRDefault="009B6E90" w:rsidP="007F1EC2">
            <w:pPr>
              <w:pStyle w:val="COMtbl-textLeftAligned"/>
            </w:pPr>
            <w:r>
              <w:t>Patient co-payments</w:t>
            </w:r>
          </w:p>
        </w:tc>
        <w:tc>
          <w:tcPr>
            <w:tcW w:w="666" w:type="pct"/>
            <w:vAlign w:val="center"/>
          </w:tcPr>
          <w:p w:rsidR="009B6E90" w:rsidRPr="00421D77" w:rsidRDefault="00E87B53" w:rsidP="007F1EC2">
            <w:pPr>
              <w:pStyle w:val="COMtbl-textCentred"/>
            </w:pPr>
            <w:r w:rsidRPr="00421D77">
              <w:t>$</w:t>
            </w:r>
            <w:r w:rsidR="00545CFC">
              <w:rPr>
                <w:noProof/>
                <w:color w:val="000000"/>
                <w:highlight w:val="black"/>
              </w:rPr>
              <w:t>''''''''''''''</w:t>
            </w:r>
          </w:p>
        </w:tc>
        <w:tc>
          <w:tcPr>
            <w:tcW w:w="666" w:type="pct"/>
            <w:vAlign w:val="center"/>
          </w:tcPr>
          <w:p w:rsidR="009B6E90" w:rsidRPr="00421D77" w:rsidRDefault="00E87B53" w:rsidP="007F1EC2">
            <w:pPr>
              <w:pStyle w:val="COMtbl-textCentred"/>
            </w:pPr>
            <w:r w:rsidRPr="00421D77">
              <w:t>$</w:t>
            </w:r>
            <w:r w:rsidR="00545CFC">
              <w:rPr>
                <w:noProof/>
                <w:color w:val="000000"/>
                <w:highlight w:val="black"/>
              </w:rPr>
              <w:t>''''''''''''</w:t>
            </w:r>
          </w:p>
        </w:tc>
        <w:tc>
          <w:tcPr>
            <w:tcW w:w="666" w:type="pct"/>
            <w:vAlign w:val="center"/>
          </w:tcPr>
          <w:p w:rsidR="009B6E90" w:rsidRPr="00421D77" w:rsidRDefault="00E87B53" w:rsidP="007F1EC2">
            <w:pPr>
              <w:pStyle w:val="COMtbl-textCentred"/>
            </w:pPr>
            <w:r w:rsidRPr="00421D77">
              <w:t>$</w:t>
            </w:r>
            <w:r w:rsidR="00545CFC">
              <w:rPr>
                <w:noProof/>
                <w:color w:val="000000"/>
                <w:highlight w:val="black"/>
              </w:rPr>
              <w:t>''''''''''''''''</w:t>
            </w:r>
          </w:p>
        </w:tc>
        <w:tc>
          <w:tcPr>
            <w:tcW w:w="666" w:type="pct"/>
            <w:vAlign w:val="center"/>
          </w:tcPr>
          <w:p w:rsidR="009B6E90" w:rsidRPr="00421D77" w:rsidRDefault="00E87B53" w:rsidP="007F1EC2">
            <w:pPr>
              <w:pStyle w:val="COMtbl-textCentred"/>
            </w:pPr>
            <w:r w:rsidRPr="00421D77">
              <w:t>$</w:t>
            </w:r>
            <w:r w:rsidR="00545CFC">
              <w:rPr>
                <w:noProof/>
                <w:color w:val="000000"/>
                <w:highlight w:val="black"/>
              </w:rPr>
              <w:t>'''''''''''''''</w:t>
            </w:r>
          </w:p>
        </w:tc>
        <w:tc>
          <w:tcPr>
            <w:tcW w:w="667" w:type="pct"/>
            <w:vAlign w:val="center"/>
          </w:tcPr>
          <w:p w:rsidR="009B6E90" w:rsidRPr="00421D77" w:rsidRDefault="00E87B53" w:rsidP="007F1EC2">
            <w:pPr>
              <w:pStyle w:val="COMtbl-textCentred"/>
            </w:pPr>
            <w:r w:rsidRPr="00421D77">
              <w:t>$</w:t>
            </w:r>
            <w:r w:rsidR="00545CFC">
              <w:rPr>
                <w:noProof/>
                <w:color w:val="000000"/>
                <w:highlight w:val="black"/>
              </w:rPr>
              <w:t>'''''''''''''''</w:t>
            </w:r>
          </w:p>
        </w:tc>
      </w:tr>
      <w:tr w:rsidR="009B6E90" w:rsidTr="007F1EC2">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9B6E90" w:rsidRPr="00567BF8" w:rsidRDefault="009B6E90" w:rsidP="007F1EC2">
            <w:pPr>
              <w:pStyle w:val="COMtbl-textLeftAligned"/>
            </w:pPr>
            <w:r>
              <w:t>Total cost to government</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9B6E90" w:rsidRPr="00421D77" w:rsidRDefault="00E87B53" w:rsidP="007F1EC2">
            <w:pPr>
              <w:pStyle w:val="COMtbl-textCentred"/>
            </w:pPr>
            <w:r w:rsidRPr="00421D77">
              <w:t>$</w:t>
            </w:r>
            <w:r w:rsidR="00545CFC">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9B6E90" w:rsidRPr="00421D77" w:rsidRDefault="00E87B53" w:rsidP="007F1EC2">
            <w:pPr>
              <w:pStyle w:val="COMtbl-textCentred"/>
            </w:pPr>
            <w:r w:rsidRPr="00421D77">
              <w:t>$</w:t>
            </w:r>
            <w:r w:rsidR="00545CFC">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9B6E90" w:rsidRPr="00421D77" w:rsidRDefault="00E87B53" w:rsidP="007F1EC2">
            <w:pPr>
              <w:pStyle w:val="COMtbl-textCentred"/>
            </w:pPr>
            <w:r w:rsidRPr="00421D77">
              <w:t>$</w:t>
            </w:r>
            <w:r w:rsidR="00545CFC">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9B6E90" w:rsidRPr="00421D77" w:rsidRDefault="00E87B53" w:rsidP="007F1EC2">
            <w:pPr>
              <w:pStyle w:val="COMtbl-textCentred"/>
            </w:pPr>
            <w:r w:rsidRPr="00421D77">
              <w:t>$</w:t>
            </w:r>
            <w:r w:rsidR="00545CFC">
              <w:rPr>
                <w:noProof/>
                <w:color w:val="000000"/>
                <w:highlight w:val="black"/>
              </w:rPr>
              <w:t>'''''''''''''''''</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9B6E90" w:rsidRPr="00421D77" w:rsidRDefault="00E87B53" w:rsidP="007F1EC2">
            <w:pPr>
              <w:pStyle w:val="COMtbl-textCentred"/>
            </w:pPr>
            <w:r w:rsidRPr="00421D77">
              <w:t>$</w:t>
            </w:r>
            <w:r w:rsidR="00545CFC">
              <w:rPr>
                <w:noProof/>
                <w:color w:val="000000"/>
                <w:highlight w:val="black"/>
              </w:rPr>
              <w:t>''''''''''''''''''</w:t>
            </w:r>
          </w:p>
        </w:tc>
      </w:tr>
      <w:tr w:rsidR="009B6E90" w:rsidTr="007F1EC2">
        <w:tc>
          <w:tcPr>
            <w:tcW w:w="5000" w:type="pct"/>
            <w:gridSpan w:val="6"/>
            <w:tcBorders>
              <w:top w:val="single" w:sz="4" w:space="0" w:color="auto"/>
              <w:left w:val="single" w:sz="4" w:space="0" w:color="auto"/>
              <w:bottom w:val="single" w:sz="4" w:space="0" w:color="auto"/>
              <w:right w:val="single" w:sz="4" w:space="0" w:color="auto"/>
            </w:tcBorders>
            <w:vAlign w:val="center"/>
          </w:tcPr>
          <w:p w:rsidR="009B6E90" w:rsidRPr="00AE6BFC" w:rsidRDefault="009B6E90" w:rsidP="007F1EC2">
            <w:pPr>
              <w:pStyle w:val="COMtbl-textCentred"/>
              <w:jc w:val="left"/>
              <w:rPr>
                <w:b/>
              </w:rPr>
            </w:pPr>
            <w:r w:rsidRPr="009B6E90">
              <w:rPr>
                <w:b/>
              </w:rPr>
              <w:t>Rev</w:t>
            </w:r>
            <w:r>
              <w:rPr>
                <w:b/>
              </w:rPr>
              <w:t>ised budget impact model with</w:t>
            </w:r>
            <w:r w:rsidRPr="009B6E90">
              <w:rPr>
                <w:b/>
              </w:rPr>
              <w:t xml:space="preserve"> combination use</w:t>
            </w:r>
            <w:bookmarkStart w:id="2" w:name="_GoBack"/>
            <w:bookmarkEnd w:id="2"/>
          </w:p>
        </w:tc>
      </w:tr>
      <w:tr w:rsidR="00E87B53" w:rsidTr="009B6E90">
        <w:tc>
          <w:tcPr>
            <w:tcW w:w="1669" w:type="pct"/>
            <w:tcBorders>
              <w:top w:val="single" w:sz="4" w:space="0" w:color="auto"/>
              <w:left w:val="single" w:sz="4" w:space="0" w:color="auto"/>
              <w:bottom w:val="single" w:sz="4" w:space="0" w:color="auto"/>
              <w:right w:val="single" w:sz="4" w:space="0" w:color="auto"/>
            </w:tcBorders>
            <w:vAlign w:val="center"/>
          </w:tcPr>
          <w:p w:rsidR="00E87B53" w:rsidRDefault="00E87B53" w:rsidP="007F1EC2">
            <w:pPr>
              <w:pStyle w:val="COMtbl-textLeftAligned"/>
            </w:pPr>
            <w:r>
              <w:t>Treated patients</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545CFC" w:rsidRDefault="00545CFC" w:rsidP="007F1EC2">
            <w:pPr>
              <w:pStyle w:val="COMtbl-textCentred"/>
              <w:rPr>
                <w:highlight w:val="black"/>
              </w:rPr>
            </w:pPr>
            <w:r>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545CFC" w:rsidRDefault="00545CFC" w:rsidP="007F1EC2">
            <w:pPr>
              <w:pStyle w:val="COMtbl-textCentred"/>
              <w:rPr>
                <w:highlight w:val="black"/>
              </w:rPr>
            </w:pPr>
            <w:r>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545CFC" w:rsidRDefault="00545CFC" w:rsidP="007F1EC2">
            <w:pPr>
              <w:pStyle w:val="COMtbl-textCentred"/>
              <w:rPr>
                <w:highlight w:val="black"/>
              </w:rPr>
            </w:pPr>
            <w:r>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545CFC" w:rsidRDefault="00545CFC" w:rsidP="007F1EC2">
            <w:pPr>
              <w:pStyle w:val="COMtbl-textCentred"/>
              <w:rPr>
                <w:highlight w:val="black"/>
              </w:rPr>
            </w:pPr>
            <w:r>
              <w:rPr>
                <w:noProof/>
                <w:color w:val="000000"/>
                <w:highlight w:val="black"/>
              </w:rPr>
              <w:t>'''''''''</w:t>
            </w:r>
          </w:p>
        </w:tc>
        <w:tc>
          <w:tcPr>
            <w:tcW w:w="667" w:type="pct"/>
            <w:tcBorders>
              <w:top w:val="single" w:sz="4" w:space="0" w:color="auto"/>
              <w:left w:val="single" w:sz="4" w:space="0" w:color="auto"/>
              <w:bottom w:val="single" w:sz="4" w:space="0" w:color="auto"/>
              <w:right w:val="single" w:sz="4" w:space="0" w:color="auto"/>
            </w:tcBorders>
            <w:vAlign w:val="center"/>
          </w:tcPr>
          <w:p w:rsidR="00E87B53" w:rsidRPr="00545CFC" w:rsidRDefault="00545CFC" w:rsidP="007F1EC2">
            <w:pPr>
              <w:pStyle w:val="COMtbl-textCentred"/>
              <w:rPr>
                <w:highlight w:val="black"/>
              </w:rPr>
            </w:pPr>
            <w:r>
              <w:rPr>
                <w:noProof/>
                <w:color w:val="000000"/>
                <w:highlight w:val="black"/>
              </w:rPr>
              <w:t>'''''''''</w:t>
            </w:r>
          </w:p>
        </w:tc>
      </w:tr>
      <w:tr w:rsidR="00E87B53" w:rsidTr="009B6E90">
        <w:tc>
          <w:tcPr>
            <w:tcW w:w="1669" w:type="pct"/>
            <w:tcBorders>
              <w:top w:val="single" w:sz="4" w:space="0" w:color="auto"/>
              <w:left w:val="single" w:sz="4" w:space="0" w:color="auto"/>
              <w:bottom w:val="single" w:sz="4" w:space="0" w:color="auto"/>
              <w:right w:val="single" w:sz="4" w:space="0" w:color="auto"/>
            </w:tcBorders>
            <w:vAlign w:val="center"/>
          </w:tcPr>
          <w:p w:rsidR="00E87B53" w:rsidRDefault="00E87B53" w:rsidP="007F1EC2">
            <w:pPr>
              <w:pStyle w:val="COMtbl-textLeftAligned"/>
            </w:pPr>
            <w:r>
              <w:t>Total packs (34% adherence)</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545CFC" w:rsidRDefault="00545CFC" w:rsidP="007F1EC2">
            <w:pPr>
              <w:pStyle w:val="COMtbl-textCentred"/>
              <w:rPr>
                <w:highlight w:val="black"/>
              </w:rPr>
            </w:pPr>
            <w:r>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545CFC" w:rsidRDefault="00545CFC" w:rsidP="007F1EC2">
            <w:pPr>
              <w:pStyle w:val="COMtbl-textCentred"/>
              <w:rPr>
                <w:highlight w:val="black"/>
              </w:rPr>
            </w:pPr>
            <w:r>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545CFC" w:rsidRDefault="00545CFC" w:rsidP="007F1EC2">
            <w:pPr>
              <w:pStyle w:val="COMtbl-textCentred"/>
              <w:rPr>
                <w:highlight w:val="black"/>
              </w:rPr>
            </w:pPr>
            <w:r>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545CFC" w:rsidRDefault="00545CFC" w:rsidP="007F1EC2">
            <w:pPr>
              <w:pStyle w:val="COMtbl-textCentred"/>
              <w:rPr>
                <w:highlight w:val="black"/>
              </w:rPr>
            </w:pPr>
            <w:r>
              <w:rPr>
                <w:noProof/>
                <w:color w:val="000000"/>
                <w:highlight w:val="black"/>
              </w:rPr>
              <w:t>''''''''''''</w:t>
            </w:r>
          </w:p>
        </w:tc>
        <w:tc>
          <w:tcPr>
            <w:tcW w:w="667" w:type="pct"/>
            <w:tcBorders>
              <w:top w:val="single" w:sz="4" w:space="0" w:color="auto"/>
              <w:left w:val="single" w:sz="4" w:space="0" w:color="auto"/>
              <w:bottom w:val="single" w:sz="4" w:space="0" w:color="auto"/>
              <w:right w:val="single" w:sz="4" w:space="0" w:color="auto"/>
            </w:tcBorders>
            <w:vAlign w:val="center"/>
          </w:tcPr>
          <w:p w:rsidR="00E87B53" w:rsidRPr="00545CFC" w:rsidRDefault="00545CFC" w:rsidP="007F1EC2">
            <w:pPr>
              <w:pStyle w:val="COMtbl-textCentred"/>
              <w:rPr>
                <w:highlight w:val="black"/>
              </w:rPr>
            </w:pPr>
            <w:r>
              <w:rPr>
                <w:noProof/>
                <w:color w:val="000000"/>
                <w:highlight w:val="black"/>
              </w:rPr>
              <w:t>''''''''''''</w:t>
            </w:r>
          </w:p>
        </w:tc>
      </w:tr>
      <w:tr w:rsidR="00E87B53" w:rsidTr="009B6E90">
        <w:tc>
          <w:tcPr>
            <w:tcW w:w="1669" w:type="pct"/>
            <w:tcBorders>
              <w:top w:val="single" w:sz="4" w:space="0" w:color="auto"/>
              <w:left w:val="single" w:sz="4" w:space="0" w:color="auto"/>
              <w:bottom w:val="single" w:sz="4" w:space="0" w:color="auto"/>
              <w:right w:val="single" w:sz="4" w:space="0" w:color="auto"/>
            </w:tcBorders>
            <w:vAlign w:val="center"/>
          </w:tcPr>
          <w:p w:rsidR="00E87B53" w:rsidRPr="00567BF8" w:rsidRDefault="00E87B53" w:rsidP="007F1EC2">
            <w:pPr>
              <w:pStyle w:val="COMtbl-textLeftAligned"/>
            </w:pPr>
            <w:r>
              <w:t>Total cost to PBS</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421D77" w:rsidRDefault="00E87B53" w:rsidP="007F1EC2">
            <w:pPr>
              <w:pStyle w:val="COMtbl-textCentred"/>
            </w:pPr>
            <w:r w:rsidRPr="00421D77">
              <w:t>$</w:t>
            </w:r>
            <w:r w:rsidR="00545CFC">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421D77" w:rsidRDefault="00E87B53" w:rsidP="007F1EC2">
            <w:pPr>
              <w:pStyle w:val="COMtbl-textCentred"/>
            </w:pPr>
            <w:r w:rsidRPr="00421D77">
              <w:t>$</w:t>
            </w:r>
            <w:r w:rsidR="00545CFC">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421D77" w:rsidRDefault="00E87B53" w:rsidP="007F1EC2">
            <w:pPr>
              <w:pStyle w:val="COMtbl-textCentred"/>
            </w:pPr>
            <w:r w:rsidRPr="00421D77">
              <w:t>$</w:t>
            </w:r>
            <w:r w:rsidR="00545CFC">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421D77" w:rsidRDefault="00E87B53" w:rsidP="007F1EC2">
            <w:pPr>
              <w:pStyle w:val="COMtbl-textCentred"/>
            </w:pPr>
            <w:r w:rsidRPr="00421D77">
              <w:t>$</w:t>
            </w:r>
            <w:r w:rsidR="00545CFC">
              <w:rPr>
                <w:noProof/>
                <w:color w:val="000000"/>
                <w:highlight w:val="black"/>
              </w:rPr>
              <w:t>'''''''''''''''''''</w:t>
            </w:r>
          </w:p>
        </w:tc>
        <w:tc>
          <w:tcPr>
            <w:tcW w:w="667" w:type="pct"/>
            <w:tcBorders>
              <w:top w:val="single" w:sz="4" w:space="0" w:color="auto"/>
              <w:left w:val="single" w:sz="4" w:space="0" w:color="auto"/>
              <w:bottom w:val="single" w:sz="4" w:space="0" w:color="auto"/>
              <w:right w:val="single" w:sz="4" w:space="0" w:color="auto"/>
            </w:tcBorders>
            <w:vAlign w:val="center"/>
          </w:tcPr>
          <w:p w:rsidR="00E87B53" w:rsidRPr="00421D77" w:rsidRDefault="00E87B53" w:rsidP="007F1EC2">
            <w:pPr>
              <w:pStyle w:val="COMtbl-textCentred"/>
            </w:pPr>
            <w:r w:rsidRPr="00421D77">
              <w:t>$</w:t>
            </w:r>
            <w:r w:rsidR="00545CFC">
              <w:rPr>
                <w:noProof/>
                <w:color w:val="000000"/>
                <w:highlight w:val="black"/>
              </w:rPr>
              <w:t>'''''''''''''''''</w:t>
            </w:r>
          </w:p>
        </w:tc>
      </w:tr>
      <w:tr w:rsidR="00E87B53" w:rsidTr="00421D77">
        <w:trPr>
          <w:trHeight w:val="341"/>
        </w:trPr>
        <w:tc>
          <w:tcPr>
            <w:tcW w:w="1669" w:type="pct"/>
            <w:tcBorders>
              <w:top w:val="single" w:sz="4" w:space="0" w:color="auto"/>
              <w:left w:val="single" w:sz="4" w:space="0" w:color="auto"/>
              <w:bottom w:val="single" w:sz="4" w:space="0" w:color="auto"/>
              <w:right w:val="single" w:sz="4" w:space="0" w:color="auto"/>
            </w:tcBorders>
            <w:vAlign w:val="center"/>
          </w:tcPr>
          <w:p w:rsidR="00E87B53" w:rsidRPr="00567BF8" w:rsidRDefault="00E87B53" w:rsidP="007F1EC2">
            <w:pPr>
              <w:pStyle w:val="COMtbl-textLeftAligned"/>
            </w:pPr>
            <w:r>
              <w:t>Patient co-payments</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421D77" w:rsidRDefault="00E87B53" w:rsidP="007F1EC2">
            <w:pPr>
              <w:pStyle w:val="COMtbl-textCentred"/>
            </w:pPr>
            <w:r w:rsidRPr="00421D77">
              <w:t>$</w:t>
            </w:r>
            <w:r w:rsidR="00545CFC">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421D77" w:rsidRDefault="00E87B53" w:rsidP="007F1EC2">
            <w:pPr>
              <w:pStyle w:val="COMtbl-textCentred"/>
            </w:pPr>
            <w:r w:rsidRPr="00421D77">
              <w:t>$</w:t>
            </w:r>
            <w:r w:rsidR="00545CFC">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421D77" w:rsidRDefault="00DE101B" w:rsidP="007F1EC2">
            <w:pPr>
              <w:pStyle w:val="COMtbl-textCentred"/>
            </w:pPr>
            <w:r w:rsidRPr="00421D77">
              <w:t>$</w:t>
            </w:r>
            <w:r w:rsidR="00545CFC">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421D77" w:rsidRDefault="00DE101B" w:rsidP="007F1EC2">
            <w:pPr>
              <w:pStyle w:val="COMtbl-textCentred"/>
            </w:pPr>
            <w:r w:rsidRPr="00421D77">
              <w:t>$</w:t>
            </w:r>
            <w:r w:rsidR="00545CFC">
              <w:rPr>
                <w:noProof/>
                <w:color w:val="000000"/>
                <w:highlight w:val="black"/>
              </w:rPr>
              <w:t>'''''''''''''''</w:t>
            </w:r>
          </w:p>
        </w:tc>
        <w:tc>
          <w:tcPr>
            <w:tcW w:w="667" w:type="pct"/>
            <w:tcBorders>
              <w:top w:val="single" w:sz="4" w:space="0" w:color="auto"/>
              <w:left w:val="single" w:sz="4" w:space="0" w:color="auto"/>
              <w:bottom w:val="single" w:sz="4" w:space="0" w:color="auto"/>
              <w:right w:val="single" w:sz="4" w:space="0" w:color="auto"/>
            </w:tcBorders>
            <w:vAlign w:val="center"/>
          </w:tcPr>
          <w:p w:rsidR="00E87B53" w:rsidRPr="00421D77" w:rsidRDefault="00DE101B" w:rsidP="007F1EC2">
            <w:pPr>
              <w:pStyle w:val="COMtbl-textCentred"/>
            </w:pPr>
            <w:r w:rsidRPr="00421D77">
              <w:t>$</w:t>
            </w:r>
            <w:r w:rsidR="00545CFC">
              <w:rPr>
                <w:noProof/>
                <w:color w:val="000000"/>
                <w:highlight w:val="black"/>
              </w:rPr>
              <w:t>''''''''''''''''</w:t>
            </w:r>
          </w:p>
        </w:tc>
      </w:tr>
      <w:tr w:rsidR="00E87B53" w:rsidTr="009B6E90">
        <w:tc>
          <w:tcPr>
            <w:tcW w:w="1669" w:type="pct"/>
            <w:tcBorders>
              <w:top w:val="single" w:sz="4" w:space="0" w:color="auto"/>
              <w:left w:val="single" w:sz="4" w:space="0" w:color="auto"/>
              <w:bottom w:val="single" w:sz="4" w:space="0" w:color="auto"/>
              <w:right w:val="single" w:sz="4" w:space="0" w:color="auto"/>
            </w:tcBorders>
            <w:vAlign w:val="center"/>
          </w:tcPr>
          <w:p w:rsidR="00E87B53" w:rsidRPr="00567BF8" w:rsidRDefault="00E87B53" w:rsidP="007F1EC2">
            <w:pPr>
              <w:pStyle w:val="COMtbl-textLeftAligned"/>
            </w:pPr>
            <w:r>
              <w:t>Total cost to government</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421D77" w:rsidRDefault="00E87B53" w:rsidP="007F1EC2">
            <w:pPr>
              <w:pStyle w:val="COMtbl-textCentred"/>
            </w:pPr>
            <w:r w:rsidRPr="00421D77">
              <w:t>$</w:t>
            </w:r>
            <w:r w:rsidR="00545CFC">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421D77" w:rsidRDefault="00E87B53" w:rsidP="007F1EC2">
            <w:pPr>
              <w:pStyle w:val="COMtbl-textCentred"/>
            </w:pPr>
            <w:r w:rsidRPr="00421D77">
              <w:t>$</w:t>
            </w:r>
            <w:r w:rsidR="00545CFC">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421D77" w:rsidRDefault="00DE101B" w:rsidP="007F1EC2">
            <w:pPr>
              <w:pStyle w:val="COMtbl-textCentred"/>
            </w:pPr>
            <w:r w:rsidRPr="00421D77">
              <w:t>$</w:t>
            </w:r>
            <w:r w:rsidR="00545CFC">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421D77" w:rsidRDefault="00DE101B" w:rsidP="007F1EC2">
            <w:pPr>
              <w:pStyle w:val="COMtbl-textCentred"/>
            </w:pPr>
            <w:r w:rsidRPr="00421D77">
              <w:t>$</w:t>
            </w:r>
            <w:r w:rsidR="00545CFC">
              <w:rPr>
                <w:noProof/>
                <w:color w:val="000000"/>
                <w:highlight w:val="black"/>
              </w:rPr>
              <w:t>'''''''''''''''''''</w:t>
            </w:r>
          </w:p>
        </w:tc>
        <w:tc>
          <w:tcPr>
            <w:tcW w:w="667" w:type="pct"/>
            <w:tcBorders>
              <w:top w:val="single" w:sz="4" w:space="0" w:color="auto"/>
              <w:left w:val="single" w:sz="4" w:space="0" w:color="auto"/>
              <w:bottom w:val="single" w:sz="4" w:space="0" w:color="auto"/>
              <w:right w:val="single" w:sz="4" w:space="0" w:color="auto"/>
            </w:tcBorders>
            <w:vAlign w:val="center"/>
          </w:tcPr>
          <w:p w:rsidR="00E87B53" w:rsidRPr="00421D77" w:rsidRDefault="00DE101B" w:rsidP="007F1EC2">
            <w:pPr>
              <w:pStyle w:val="COMtbl-textCentred"/>
            </w:pPr>
            <w:r w:rsidRPr="00421D77">
              <w:t>$</w:t>
            </w:r>
            <w:r w:rsidR="00545CFC">
              <w:rPr>
                <w:noProof/>
                <w:color w:val="000000"/>
                <w:highlight w:val="black"/>
              </w:rPr>
              <w:t>'''''''''''''''''''''</w:t>
            </w:r>
          </w:p>
        </w:tc>
      </w:tr>
      <w:tr w:rsidR="00E87B53" w:rsidTr="009B6E90">
        <w:tc>
          <w:tcPr>
            <w:tcW w:w="5000" w:type="pct"/>
            <w:gridSpan w:val="6"/>
            <w:tcBorders>
              <w:top w:val="single" w:sz="4" w:space="0" w:color="auto"/>
              <w:left w:val="single" w:sz="4" w:space="0" w:color="auto"/>
              <w:bottom w:val="single" w:sz="4" w:space="0" w:color="auto"/>
              <w:right w:val="single" w:sz="4" w:space="0" w:color="auto"/>
            </w:tcBorders>
            <w:vAlign w:val="center"/>
          </w:tcPr>
          <w:p w:rsidR="00E87B53" w:rsidRPr="009B6E90" w:rsidRDefault="00E87B53" w:rsidP="009B6E90">
            <w:pPr>
              <w:pStyle w:val="COMtbl-textCentred"/>
              <w:jc w:val="left"/>
              <w:rPr>
                <w:b/>
              </w:rPr>
            </w:pPr>
            <w:r w:rsidRPr="009B6E90">
              <w:rPr>
                <w:b/>
              </w:rPr>
              <w:t>Net cost of expanding PBS listing to include combination use</w:t>
            </w:r>
          </w:p>
        </w:tc>
      </w:tr>
      <w:tr w:rsidR="00E87B53" w:rsidTr="009B6E90">
        <w:tc>
          <w:tcPr>
            <w:tcW w:w="1669" w:type="pct"/>
            <w:tcBorders>
              <w:top w:val="single" w:sz="4" w:space="0" w:color="auto"/>
              <w:left w:val="single" w:sz="4" w:space="0" w:color="auto"/>
              <w:bottom w:val="single" w:sz="4" w:space="0" w:color="auto"/>
              <w:right w:val="single" w:sz="4" w:space="0" w:color="auto"/>
            </w:tcBorders>
            <w:vAlign w:val="center"/>
          </w:tcPr>
          <w:p w:rsidR="00E87B53" w:rsidRPr="00AE6BFC" w:rsidRDefault="00E87B53" w:rsidP="007F1EC2">
            <w:pPr>
              <w:pStyle w:val="COMtbl-textLeftAligned"/>
              <w:rPr>
                <w:b/>
              </w:rPr>
            </w:pPr>
            <w:r w:rsidRPr="00AE6BFC">
              <w:rPr>
                <w:b/>
              </w:rPr>
              <w:t>Net cost to the PBS</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DE101B" w:rsidRDefault="00DE101B" w:rsidP="007F1EC2">
            <w:pPr>
              <w:pStyle w:val="COMtbl-textCentred"/>
              <w:rPr>
                <w:b/>
              </w:rPr>
            </w:pPr>
            <w:r w:rsidRPr="00DE101B">
              <w:rPr>
                <w:b/>
              </w:rPr>
              <w:t>-</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DE101B" w:rsidRDefault="00DE101B" w:rsidP="007F1EC2">
            <w:pPr>
              <w:pStyle w:val="COMtbl-textCentred"/>
              <w:rPr>
                <w:b/>
              </w:rPr>
            </w:pPr>
            <w:r w:rsidRPr="00DE101B">
              <w:rPr>
                <w:b/>
              </w:rPr>
              <w:t>-</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421D77" w:rsidRDefault="00DE101B" w:rsidP="007F1EC2">
            <w:pPr>
              <w:pStyle w:val="COMtbl-textCentred"/>
              <w:rPr>
                <w:b/>
              </w:rPr>
            </w:pPr>
            <w:r w:rsidRPr="00421D77">
              <w:rPr>
                <w:b/>
              </w:rPr>
              <w:t>$</w:t>
            </w:r>
            <w:r w:rsidR="00545CFC">
              <w:rPr>
                <w:b/>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E87B53" w:rsidRPr="00421D77" w:rsidRDefault="00DE101B" w:rsidP="007F1EC2">
            <w:pPr>
              <w:pStyle w:val="COMtbl-textCentred"/>
              <w:rPr>
                <w:b/>
              </w:rPr>
            </w:pPr>
            <w:r w:rsidRPr="00421D77">
              <w:rPr>
                <w:b/>
              </w:rPr>
              <w:t>$</w:t>
            </w:r>
            <w:r w:rsidR="00545CFC">
              <w:rPr>
                <w:b/>
                <w:noProof/>
                <w:color w:val="000000"/>
                <w:highlight w:val="black"/>
              </w:rPr>
              <w:t>''''''''''''''''</w:t>
            </w:r>
          </w:p>
        </w:tc>
        <w:tc>
          <w:tcPr>
            <w:tcW w:w="667" w:type="pct"/>
            <w:tcBorders>
              <w:top w:val="single" w:sz="4" w:space="0" w:color="auto"/>
              <w:left w:val="single" w:sz="4" w:space="0" w:color="auto"/>
              <w:bottom w:val="single" w:sz="4" w:space="0" w:color="auto"/>
              <w:right w:val="single" w:sz="4" w:space="0" w:color="auto"/>
            </w:tcBorders>
            <w:vAlign w:val="center"/>
          </w:tcPr>
          <w:p w:rsidR="00E87B53" w:rsidRPr="00421D77" w:rsidRDefault="00DE101B" w:rsidP="007F1EC2">
            <w:pPr>
              <w:pStyle w:val="COMtbl-textCentred"/>
              <w:rPr>
                <w:b/>
              </w:rPr>
            </w:pPr>
            <w:r w:rsidRPr="00421D77">
              <w:rPr>
                <w:b/>
              </w:rPr>
              <w:t>$</w:t>
            </w:r>
            <w:r w:rsidR="00545CFC">
              <w:rPr>
                <w:b/>
                <w:noProof/>
                <w:color w:val="000000"/>
                <w:highlight w:val="black"/>
              </w:rPr>
              <w:t>''''''''''''''''</w:t>
            </w:r>
          </w:p>
        </w:tc>
      </w:tr>
    </w:tbl>
    <w:p w:rsidR="007B694C" w:rsidRPr="00421D77" w:rsidRDefault="007B694C" w:rsidP="007B694C">
      <w:pPr>
        <w:pStyle w:val="ListParagraph"/>
        <w:jc w:val="both"/>
        <w:rPr>
          <w:rFonts w:ascii="Arial" w:hAnsi="Arial"/>
          <w:b/>
          <w:sz w:val="22"/>
          <w:szCs w:val="22"/>
        </w:rPr>
      </w:pPr>
    </w:p>
    <w:p w:rsidR="00DE101B" w:rsidRPr="005D7E92" w:rsidRDefault="00DE101B" w:rsidP="009B5455">
      <w:pPr>
        <w:pStyle w:val="ListParagraph"/>
        <w:numPr>
          <w:ilvl w:val="1"/>
          <w:numId w:val="1"/>
        </w:numPr>
        <w:jc w:val="both"/>
        <w:rPr>
          <w:rFonts w:ascii="Arial" w:hAnsi="Arial"/>
          <w:b/>
          <w:sz w:val="22"/>
          <w:szCs w:val="22"/>
        </w:rPr>
      </w:pPr>
      <w:r w:rsidRPr="000E76D5">
        <w:rPr>
          <w:rFonts w:ascii="Arial" w:hAnsi="Arial" w:cs="Arial"/>
          <w:sz w:val="22"/>
          <w:szCs w:val="22"/>
        </w:rPr>
        <w:t xml:space="preserve">The cumulative net cost associated with expanding the PBS listing to include combination therapy was </w:t>
      </w:r>
      <w:r w:rsidRPr="002B72E0">
        <w:rPr>
          <w:rFonts w:ascii="Arial" w:hAnsi="Arial" w:cs="Arial"/>
          <w:sz w:val="22"/>
          <w:szCs w:val="22"/>
        </w:rPr>
        <w:t xml:space="preserve">estimated to be </w:t>
      </w:r>
      <w:r w:rsidR="00C47D8A">
        <w:rPr>
          <w:rFonts w:ascii="Arial" w:hAnsi="Arial" w:cs="Arial"/>
          <w:sz w:val="22"/>
          <w:szCs w:val="22"/>
        </w:rPr>
        <w:t xml:space="preserve">less than </w:t>
      </w:r>
      <w:r w:rsidRPr="002B72E0">
        <w:rPr>
          <w:rFonts w:ascii="Arial" w:hAnsi="Arial" w:cs="Arial"/>
          <w:sz w:val="22"/>
          <w:szCs w:val="22"/>
        </w:rPr>
        <w:t>$</w:t>
      </w:r>
      <w:r w:rsidR="00C47D8A">
        <w:rPr>
          <w:rFonts w:ascii="Arial" w:hAnsi="Arial" w:cs="Arial"/>
          <w:sz w:val="22"/>
          <w:szCs w:val="22"/>
        </w:rPr>
        <w:t>10</w:t>
      </w:r>
      <w:r w:rsidRPr="002B72E0">
        <w:rPr>
          <w:rFonts w:ascii="Arial" w:hAnsi="Arial" w:cs="Arial"/>
          <w:sz w:val="22"/>
          <w:szCs w:val="22"/>
        </w:rPr>
        <w:t xml:space="preserve"> million over the next 3 years.</w:t>
      </w:r>
    </w:p>
    <w:p w:rsidR="00537F71" w:rsidRPr="000E76D5" w:rsidRDefault="00537F71" w:rsidP="00DE101B">
      <w:pPr>
        <w:pStyle w:val="ListParagraph"/>
        <w:rPr>
          <w:rFonts w:ascii="Arial" w:hAnsi="Arial" w:cs="Arial"/>
          <w:sz w:val="22"/>
          <w:szCs w:val="22"/>
        </w:rPr>
      </w:pPr>
    </w:p>
    <w:p w:rsidR="00DE101B" w:rsidRPr="000E76D5" w:rsidRDefault="00DE101B" w:rsidP="00DE101B">
      <w:pPr>
        <w:pStyle w:val="ListParagraph"/>
        <w:rPr>
          <w:rFonts w:ascii="Arial" w:hAnsi="Arial" w:cs="Arial"/>
          <w:sz w:val="22"/>
          <w:szCs w:val="22"/>
        </w:rPr>
      </w:pPr>
      <w:r w:rsidRPr="000E76D5">
        <w:rPr>
          <w:rFonts w:ascii="Arial" w:hAnsi="Arial" w:cs="Arial"/>
          <w:sz w:val="22"/>
          <w:szCs w:val="22"/>
        </w:rPr>
        <w:t>The revised utilisation/financial estimates were uncertain due to the following issues:</w:t>
      </w:r>
    </w:p>
    <w:p w:rsidR="00DE101B" w:rsidRPr="000E76D5" w:rsidRDefault="00DE101B" w:rsidP="00DE101B">
      <w:pPr>
        <w:pStyle w:val="ListParagraph"/>
        <w:jc w:val="both"/>
        <w:rPr>
          <w:rFonts w:ascii="Arial" w:hAnsi="Arial"/>
          <w:b/>
          <w:sz w:val="22"/>
          <w:szCs w:val="22"/>
        </w:rPr>
      </w:pPr>
    </w:p>
    <w:p w:rsidR="006A1FA4" w:rsidRPr="000E76D5" w:rsidRDefault="008A3FD6" w:rsidP="009B5455">
      <w:pPr>
        <w:pStyle w:val="ListParagraph"/>
        <w:numPr>
          <w:ilvl w:val="0"/>
          <w:numId w:val="3"/>
        </w:numPr>
        <w:jc w:val="both"/>
        <w:rPr>
          <w:rFonts w:ascii="Arial" w:hAnsi="Arial"/>
          <w:sz w:val="22"/>
          <w:szCs w:val="22"/>
        </w:rPr>
      </w:pPr>
      <w:r w:rsidRPr="000E76D5">
        <w:rPr>
          <w:rFonts w:ascii="Arial" w:hAnsi="Arial"/>
          <w:sz w:val="22"/>
          <w:szCs w:val="22"/>
        </w:rPr>
        <w:t>The submission</w:t>
      </w:r>
      <w:r w:rsidR="006A1FA4" w:rsidRPr="000E76D5">
        <w:rPr>
          <w:rFonts w:ascii="Arial" w:hAnsi="Arial"/>
          <w:sz w:val="22"/>
          <w:szCs w:val="22"/>
        </w:rPr>
        <w:t xml:space="preserve"> does not adjust patient numbers for differences in reporting periods between actual data and predicted estimates (DPI mannitol was listed on the PBS in August 2012 and therefore the DUSC analysis overlaps both Year 1 and Year 2 estimates).</w:t>
      </w:r>
    </w:p>
    <w:p w:rsidR="009F32EE" w:rsidRPr="000E76D5" w:rsidRDefault="009F32EE" w:rsidP="009B5455">
      <w:pPr>
        <w:pStyle w:val="ListParagraph"/>
        <w:numPr>
          <w:ilvl w:val="0"/>
          <w:numId w:val="3"/>
        </w:numPr>
        <w:jc w:val="both"/>
        <w:rPr>
          <w:rFonts w:ascii="Arial" w:hAnsi="Arial"/>
          <w:sz w:val="22"/>
          <w:szCs w:val="22"/>
        </w:rPr>
      </w:pPr>
      <w:r w:rsidRPr="000E76D5">
        <w:rPr>
          <w:rFonts w:ascii="Arial" w:hAnsi="Arial"/>
          <w:sz w:val="22"/>
          <w:szCs w:val="22"/>
        </w:rPr>
        <w:t xml:space="preserve">The submission has calculated a treatment adherence figure for mannitol from the data in the DUSC analysis. The data presented in the DUSC analysis is not appropriate for calculating treatment adherence. The adherence figure is likely to be an underestimate because the report data do not show when patients started treatment. As a result, fully adherent patients who started treatment part way through the year would be considered uncompliant. This will underestimate future utilisation.  </w:t>
      </w:r>
    </w:p>
    <w:p w:rsidR="007F1EC2" w:rsidRPr="000E76D5" w:rsidRDefault="007F1EC2" w:rsidP="009B5455">
      <w:pPr>
        <w:pStyle w:val="ListParagraph"/>
        <w:numPr>
          <w:ilvl w:val="0"/>
          <w:numId w:val="3"/>
        </w:numPr>
        <w:jc w:val="both"/>
        <w:rPr>
          <w:rFonts w:ascii="Arial" w:hAnsi="Arial"/>
          <w:sz w:val="22"/>
          <w:szCs w:val="22"/>
        </w:rPr>
      </w:pPr>
      <w:r w:rsidRPr="000E76D5">
        <w:rPr>
          <w:rFonts w:ascii="Arial" w:hAnsi="Arial"/>
          <w:sz w:val="22"/>
          <w:szCs w:val="22"/>
        </w:rPr>
        <w:t>The submission used internal sales data rather than PBS data to estimate number of packs dispensed (</w:t>
      </w:r>
      <w:r w:rsidR="00421D77">
        <w:rPr>
          <w:rFonts w:ascii="Arial" w:hAnsi="Arial"/>
          <w:sz w:val="22"/>
          <w:szCs w:val="22"/>
        </w:rPr>
        <w:t>less than 10,000</w:t>
      </w:r>
      <w:r w:rsidR="00421D77" w:rsidRPr="000E76D5">
        <w:rPr>
          <w:rFonts w:ascii="Arial" w:hAnsi="Arial"/>
          <w:sz w:val="22"/>
          <w:szCs w:val="22"/>
        </w:rPr>
        <w:t xml:space="preserve"> </w:t>
      </w:r>
      <w:r w:rsidRPr="000E76D5">
        <w:rPr>
          <w:rFonts w:ascii="Arial" w:hAnsi="Arial"/>
          <w:sz w:val="22"/>
          <w:szCs w:val="22"/>
        </w:rPr>
        <w:t xml:space="preserve">packs). This </w:t>
      </w:r>
      <w:r w:rsidR="00CE009E" w:rsidRPr="000E76D5">
        <w:rPr>
          <w:rFonts w:ascii="Arial" w:hAnsi="Arial"/>
          <w:sz w:val="22"/>
          <w:szCs w:val="22"/>
        </w:rPr>
        <w:t>may</w:t>
      </w:r>
      <w:r w:rsidRPr="000E76D5">
        <w:rPr>
          <w:rFonts w:ascii="Arial" w:hAnsi="Arial"/>
          <w:sz w:val="22"/>
          <w:szCs w:val="22"/>
        </w:rPr>
        <w:t xml:space="preserve"> artificially inflate adherence estimates as patient numbers are based on PBS-use while pack numbers are likely based on both PBS and non-PBS use. </w:t>
      </w:r>
    </w:p>
    <w:p w:rsidR="007F1EC2" w:rsidRPr="000E76D5" w:rsidRDefault="007F1EC2" w:rsidP="009B5455">
      <w:pPr>
        <w:pStyle w:val="ListParagraph"/>
        <w:numPr>
          <w:ilvl w:val="0"/>
          <w:numId w:val="3"/>
        </w:numPr>
        <w:jc w:val="both"/>
        <w:rPr>
          <w:rFonts w:ascii="Arial" w:hAnsi="Arial"/>
          <w:sz w:val="22"/>
          <w:szCs w:val="22"/>
        </w:rPr>
      </w:pPr>
      <w:r w:rsidRPr="000E76D5">
        <w:rPr>
          <w:rFonts w:ascii="Arial" w:hAnsi="Arial"/>
          <w:sz w:val="22"/>
          <w:szCs w:val="22"/>
        </w:rPr>
        <w:t>The submission assumed that adherence patterns for combination use would be the same as adherence patterns for monotherapy use. This assumption was inadequately justified.</w:t>
      </w:r>
    </w:p>
    <w:p w:rsidR="00781A24" w:rsidRPr="000E76D5" w:rsidRDefault="004F344D" w:rsidP="009B5455">
      <w:pPr>
        <w:pStyle w:val="ListParagraph"/>
        <w:numPr>
          <w:ilvl w:val="0"/>
          <w:numId w:val="3"/>
        </w:numPr>
        <w:jc w:val="both"/>
        <w:rPr>
          <w:rFonts w:ascii="Arial" w:hAnsi="Arial"/>
          <w:sz w:val="22"/>
          <w:szCs w:val="22"/>
        </w:rPr>
      </w:pPr>
      <w:r w:rsidRPr="000E76D5">
        <w:rPr>
          <w:rFonts w:ascii="Arial" w:hAnsi="Arial"/>
          <w:sz w:val="22"/>
          <w:szCs w:val="22"/>
        </w:rPr>
        <w:lastRenderedPageBreak/>
        <w:t>The submission assumed that the patient group using combination therapy will remain stable over time. This assumption was inadequately justified particularly g</w:t>
      </w:r>
      <w:r w:rsidR="0093565A" w:rsidRPr="000E76D5">
        <w:rPr>
          <w:rFonts w:ascii="Arial" w:hAnsi="Arial"/>
          <w:sz w:val="22"/>
          <w:szCs w:val="22"/>
        </w:rPr>
        <w:t xml:space="preserve">iven that </w:t>
      </w:r>
      <w:r w:rsidRPr="000E76D5">
        <w:rPr>
          <w:rFonts w:ascii="Arial" w:hAnsi="Arial"/>
          <w:sz w:val="22"/>
          <w:szCs w:val="22"/>
        </w:rPr>
        <w:t>the</w:t>
      </w:r>
      <w:r w:rsidR="001945FD" w:rsidRPr="000E76D5">
        <w:rPr>
          <w:rFonts w:ascii="Arial" w:hAnsi="Arial"/>
          <w:sz w:val="22"/>
          <w:szCs w:val="22"/>
        </w:rPr>
        <w:t xml:space="preserve"> </w:t>
      </w:r>
      <w:r w:rsidRPr="000E76D5">
        <w:rPr>
          <w:rFonts w:ascii="Arial" w:hAnsi="Arial"/>
          <w:sz w:val="22"/>
          <w:szCs w:val="22"/>
        </w:rPr>
        <w:t xml:space="preserve">patient group using monotherapy </w:t>
      </w:r>
      <w:r w:rsidR="00666ED5" w:rsidRPr="000E76D5">
        <w:rPr>
          <w:rFonts w:ascii="Arial" w:hAnsi="Arial"/>
          <w:sz w:val="22"/>
          <w:szCs w:val="22"/>
        </w:rPr>
        <w:t xml:space="preserve">was assumed to </w:t>
      </w:r>
      <w:r w:rsidR="001945FD" w:rsidRPr="000E76D5">
        <w:rPr>
          <w:rFonts w:ascii="Arial" w:hAnsi="Arial"/>
          <w:sz w:val="22"/>
          <w:szCs w:val="22"/>
        </w:rPr>
        <w:t>continue to grow over time.</w:t>
      </w:r>
    </w:p>
    <w:p w:rsidR="00781A24" w:rsidRPr="00DD6F41" w:rsidRDefault="00781A24" w:rsidP="00DE101B">
      <w:pPr>
        <w:jc w:val="both"/>
        <w:rPr>
          <w:rFonts w:ascii="Arial" w:hAnsi="Arial"/>
          <w:b/>
          <w:color w:val="FF00FF"/>
          <w:sz w:val="18"/>
          <w:szCs w:val="22"/>
        </w:rPr>
      </w:pPr>
    </w:p>
    <w:p w:rsidR="001179F9" w:rsidRPr="001179F9" w:rsidRDefault="001179F9" w:rsidP="009B5455">
      <w:pPr>
        <w:pStyle w:val="ListParagraph"/>
        <w:numPr>
          <w:ilvl w:val="1"/>
          <w:numId w:val="1"/>
        </w:numPr>
        <w:jc w:val="both"/>
        <w:rPr>
          <w:rFonts w:ascii="Arial" w:hAnsi="Arial" w:cs="Arial"/>
          <w:b/>
          <w:sz w:val="22"/>
          <w:szCs w:val="22"/>
        </w:rPr>
      </w:pPr>
      <w:r w:rsidRPr="001179F9">
        <w:rPr>
          <w:rFonts w:ascii="Arial" w:hAnsi="Arial" w:cs="Arial"/>
          <w:bCs/>
          <w:sz w:val="22"/>
          <w:szCs w:val="22"/>
        </w:rPr>
        <w:t xml:space="preserve">At year 5, the estimated number of patients was </w:t>
      </w:r>
      <w:r w:rsidR="003F0DA6">
        <w:rPr>
          <w:rFonts w:ascii="Arial" w:hAnsi="Arial" w:cs="Arial"/>
          <w:sz w:val="22"/>
          <w:szCs w:val="22"/>
        </w:rPr>
        <w:t>less than 10,000</w:t>
      </w:r>
      <w:r w:rsidR="003F0DA6" w:rsidRPr="001179F9">
        <w:rPr>
          <w:rFonts w:ascii="Arial" w:hAnsi="Arial" w:cs="Arial"/>
          <w:bCs/>
          <w:sz w:val="22"/>
          <w:szCs w:val="22"/>
        </w:rPr>
        <w:t xml:space="preserve"> </w:t>
      </w:r>
      <w:r w:rsidRPr="001179F9">
        <w:rPr>
          <w:rFonts w:ascii="Arial" w:hAnsi="Arial" w:cs="Arial"/>
          <w:bCs/>
          <w:sz w:val="22"/>
          <w:szCs w:val="22"/>
        </w:rPr>
        <w:t xml:space="preserve">and the net cost to the PBS would be </w:t>
      </w:r>
      <w:r w:rsidR="00C47D8A">
        <w:rPr>
          <w:rFonts w:ascii="Arial" w:hAnsi="Arial" w:cs="Arial"/>
          <w:bCs/>
          <w:sz w:val="22"/>
          <w:szCs w:val="22"/>
        </w:rPr>
        <w:t xml:space="preserve">less than </w:t>
      </w:r>
      <w:r w:rsidRPr="001179F9">
        <w:rPr>
          <w:rFonts w:ascii="Arial" w:hAnsi="Arial" w:cs="Arial"/>
          <w:bCs/>
          <w:sz w:val="22"/>
          <w:szCs w:val="22"/>
        </w:rPr>
        <w:t>$</w:t>
      </w:r>
      <w:r w:rsidR="00C47D8A">
        <w:rPr>
          <w:rFonts w:ascii="Arial" w:hAnsi="Arial" w:cs="Arial"/>
          <w:sz w:val="22"/>
          <w:szCs w:val="22"/>
        </w:rPr>
        <w:t>10 million per year</w:t>
      </w:r>
      <w:r w:rsidR="00C12974">
        <w:rPr>
          <w:rFonts w:ascii="Arial" w:hAnsi="Arial" w:cs="Arial"/>
          <w:sz w:val="22"/>
          <w:szCs w:val="22"/>
        </w:rPr>
        <w:t>.</w:t>
      </w:r>
    </w:p>
    <w:p w:rsidR="001179F9" w:rsidRPr="00DD6F41" w:rsidRDefault="001179F9" w:rsidP="001179F9">
      <w:pPr>
        <w:pStyle w:val="ListParagraph"/>
        <w:jc w:val="both"/>
        <w:rPr>
          <w:rFonts w:ascii="Arial" w:hAnsi="Arial"/>
          <w:b/>
          <w:sz w:val="18"/>
          <w:szCs w:val="22"/>
        </w:rPr>
      </w:pPr>
    </w:p>
    <w:p w:rsidR="00BB7EC3" w:rsidRDefault="001E132B" w:rsidP="009B5455">
      <w:pPr>
        <w:pStyle w:val="ListParagraph"/>
        <w:numPr>
          <w:ilvl w:val="1"/>
          <w:numId w:val="1"/>
        </w:numPr>
        <w:jc w:val="both"/>
        <w:rPr>
          <w:rFonts w:ascii="Arial" w:hAnsi="Arial"/>
          <w:sz w:val="22"/>
          <w:szCs w:val="22"/>
        </w:rPr>
      </w:pPr>
      <w:r w:rsidRPr="00DD6F41">
        <w:rPr>
          <w:rFonts w:ascii="Arial" w:hAnsi="Arial"/>
          <w:sz w:val="22"/>
          <w:szCs w:val="22"/>
        </w:rPr>
        <w:t>The submission proposed that current risk share arrangements remain in place with no changes to previously</w:t>
      </w:r>
      <w:r>
        <w:rPr>
          <w:rFonts w:ascii="Arial" w:hAnsi="Arial"/>
          <w:sz w:val="22"/>
          <w:szCs w:val="22"/>
        </w:rPr>
        <w:t xml:space="preserve"> agreed market volume caps. </w:t>
      </w:r>
    </w:p>
    <w:p w:rsidR="00DD6F41" w:rsidRPr="00DD6F41" w:rsidRDefault="00DD6F41" w:rsidP="00DD6F41">
      <w:pPr>
        <w:pStyle w:val="ListParagraph"/>
        <w:rPr>
          <w:rFonts w:ascii="Arial" w:hAnsi="Arial"/>
          <w:sz w:val="18"/>
          <w:szCs w:val="22"/>
        </w:rPr>
      </w:pPr>
    </w:p>
    <w:p w:rsidR="00DD6F41" w:rsidRPr="00DD6F41" w:rsidRDefault="00DD6F41" w:rsidP="00DD6F41">
      <w:pPr>
        <w:pStyle w:val="ListParagraph"/>
        <w:rPr>
          <w:rFonts w:ascii="Arial" w:hAnsi="Arial" w:cs="Arial"/>
          <w:i/>
          <w:sz w:val="22"/>
          <w:szCs w:val="22"/>
        </w:rPr>
      </w:pPr>
      <w:r w:rsidRPr="00C638BD">
        <w:rPr>
          <w:rFonts w:ascii="Arial" w:hAnsi="Arial" w:cs="Arial"/>
          <w:i/>
          <w:sz w:val="22"/>
          <w:szCs w:val="22"/>
        </w:rPr>
        <w:t>For more deta</w:t>
      </w:r>
      <w:r>
        <w:rPr>
          <w:rFonts w:ascii="Arial" w:hAnsi="Arial" w:cs="Arial"/>
          <w:i/>
          <w:sz w:val="22"/>
          <w:szCs w:val="22"/>
        </w:rPr>
        <w:t>il on PBAC’s view, see section 5</w:t>
      </w:r>
      <w:r w:rsidRPr="00C638BD">
        <w:rPr>
          <w:rFonts w:ascii="Arial" w:hAnsi="Arial" w:cs="Arial"/>
          <w:i/>
          <w:sz w:val="22"/>
          <w:szCs w:val="22"/>
        </w:rPr>
        <w:t xml:space="preserve"> “PBAC outcome”</w:t>
      </w:r>
    </w:p>
    <w:p w:rsidR="001179F9" w:rsidRDefault="001179F9" w:rsidP="001179F9">
      <w:pPr>
        <w:pStyle w:val="ListParagraph"/>
        <w:rPr>
          <w:rFonts w:ascii="Arial" w:hAnsi="Arial"/>
          <w:sz w:val="18"/>
          <w:szCs w:val="22"/>
        </w:rPr>
      </w:pPr>
    </w:p>
    <w:p w:rsidR="00C3367A" w:rsidRPr="00DD6F41" w:rsidRDefault="00C3367A" w:rsidP="001179F9">
      <w:pPr>
        <w:pStyle w:val="ListParagraph"/>
        <w:rPr>
          <w:rFonts w:ascii="Arial" w:hAnsi="Arial"/>
          <w:sz w:val="18"/>
          <w:szCs w:val="22"/>
        </w:rPr>
      </w:pPr>
    </w:p>
    <w:p w:rsidR="001179F9" w:rsidRPr="001179F9" w:rsidRDefault="001179F9" w:rsidP="009B5455">
      <w:pPr>
        <w:widowControl w:val="0"/>
        <w:numPr>
          <w:ilvl w:val="0"/>
          <w:numId w:val="1"/>
        </w:numPr>
        <w:jc w:val="both"/>
        <w:rPr>
          <w:rFonts w:ascii="Arial" w:hAnsi="Arial" w:cs="Arial"/>
          <w:b/>
          <w:bCs/>
          <w:snapToGrid w:val="0"/>
          <w:sz w:val="22"/>
          <w:szCs w:val="22"/>
        </w:rPr>
      </w:pPr>
      <w:r w:rsidRPr="001179F9">
        <w:rPr>
          <w:rFonts w:ascii="Arial" w:hAnsi="Arial" w:cs="Arial"/>
          <w:b/>
          <w:bCs/>
          <w:snapToGrid w:val="0"/>
          <w:sz w:val="22"/>
          <w:szCs w:val="22"/>
        </w:rPr>
        <w:t>PBAC Outcome</w:t>
      </w:r>
    </w:p>
    <w:p w:rsidR="001179F9" w:rsidRPr="00DD6F41" w:rsidRDefault="001179F9" w:rsidP="001179F9">
      <w:pPr>
        <w:widowControl w:val="0"/>
        <w:contextualSpacing/>
        <w:jc w:val="both"/>
        <w:rPr>
          <w:rFonts w:ascii="Arial" w:hAnsi="Arial" w:cs="Arial"/>
          <w:bCs/>
          <w:snapToGrid w:val="0"/>
          <w:sz w:val="18"/>
          <w:szCs w:val="22"/>
          <w:highlight w:val="yellow"/>
          <w:lang w:val="en-GB"/>
        </w:rPr>
      </w:pPr>
    </w:p>
    <w:p w:rsidR="00BE3FA9" w:rsidRDefault="00BE3FA9" w:rsidP="009B5455">
      <w:pPr>
        <w:widowControl w:val="0"/>
        <w:numPr>
          <w:ilvl w:val="1"/>
          <w:numId w:val="1"/>
        </w:numPr>
        <w:contextualSpacing/>
        <w:jc w:val="both"/>
        <w:rPr>
          <w:rFonts w:ascii="Arial" w:hAnsi="Arial" w:cs="Arial"/>
          <w:bCs/>
          <w:snapToGrid w:val="0"/>
          <w:sz w:val="22"/>
          <w:szCs w:val="22"/>
          <w:lang w:val="en-GB"/>
        </w:rPr>
      </w:pPr>
      <w:r w:rsidRPr="00557D39">
        <w:rPr>
          <w:rFonts w:ascii="Arial" w:hAnsi="Arial" w:cs="Arial"/>
          <w:bCs/>
          <w:snapToGrid w:val="0"/>
          <w:sz w:val="22"/>
          <w:szCs w:val="22"/>
          <w:lang w:val="en-GB"/>
        </w:rPr>
        <w:t xml:space="preserve">The PBAC did not recommend </w:t>
      </w:r>
      <w:r>
        <w:rPr>
          <w:rFonts w:ascii="Arial" w:hAnsi="Arial" w:cs="Arial"/>
          <w:bCs/>
          <w:snapToGrid w:val="0"/>
          <w:sz w:val="22"/>
          <w:szCs w:val="22"/>
          <w:lang w:val="en-GB"/>
        </w:rPr>
        <w:t xml:space="preserve">amending the current listing of DPI mannitol to permit the combination use of DPI mannitol with </w:t>
      </w:r>
      <w:proofErr w:type="spellStart"/>
      <w:r>
        <w:rPr>
          <w:rFonts w:ascii="Arial" w:hAnsi="Arial" w:cs="Arial"/>
          <w:bCs/>
          <w:snapToGrid w:val="0"/>
          <w:sz w:val="22"/>
          <w:szCs w:val="22"/>
          <w:lang w:val="en-GB"/>
        </w:rPr>
        <w:t>dornase</w:t>
      </w:r>
      <w:proofErr w:type="spellEnd"/>
      <w:r>
        <w:rPr>
          <w:rFonts w:ascii="Arial" w:hAnsi="Arial" w:cs="Arial"/>
          <w:bCs/>
          <w:snapToGrid w:val="0"/>
          <w:sz w:val="22"/>
          <w:szCs w:val="22"/>
          <w:lang w:val="en-GB"/>
        </w:rPr>
        <w:t xml:space="preserve"> </w:t>
      </w:r>
      <w:proofErr w:type="spellStart"/>
      <w:r>
        <w:rPr>
          <w:rFonts w:ascii="Arial" w:hAnsi="Arial" w:cs="Arial"/>
          <w:bCs/>
          <w:snapToGrid w:val="0"/>
          <w:sz w:val="22"/>
          <w:szCs w:val="22"/>
          <w:lang w:val="en-GB"/>
        </w:rPr>
        <w:t>alfa</w:t>
      </w:r>
      <w:proofErr w:type="spellEnd"/>
      <w:r>
        <w:rPr>
          <w:rFonts w:ascii="Arial" w:hAnsi="Arial" w:cs="Arial"/>
          <w:bCs/>
          <w:snapToGrid w:val="0"/>
          <w:sz w:val="22"/>
          <w:szCs w:val="22"/>
          <w:lang w:val="en-GB"/>
        </w:rPr>
        <w:t xml:space="preserve"> on the basis of unproven cost-effectiveness.  However, the PBAC did recommend some amendments to </w:t>
      </w:r>
      <w:r w:rsidR="006A5B7C">
        <w:rPr>
          <w:rFonts w:ascii="Arial" w:hAnsi="Arial" w:cs="Arial"/>
          <w:bCs/>
          <w:snapToGrid w:val="0"/>
          <w:sz w:val="22"/>
          <w:szCs w:val="22"/>
          <w:lang w:val="en-GB"/>
        </w:rPr>
        <w:t>reduce the complexity of the</w:t>
      </w:r>
      <w:r>
        <w:rPr>
          <w:rFonts w:ascii="Arial" w:hAnsi="Arial" w:cs="Arial"/>
          <w:bCs/>
          <w:snapToGrid w:val="0"/>
          <w:sz w:val="22"/>
          <w:szCs w:val="22"/>
          <w:lang w:val="en-GB"/>
        </w:rPr>
        <w:t xml:space="preserve"> DPI mannitol</w:t>
      </w:r>
      <w:r w:rsidR="006A5B7C">
        <w:rPr>
          <w:rFonts w:ascii="Arial" w:hAnsi="Arial" w:cs="Arial"/>
          <w:bCs/>
          <w:snapToGrid w:val="0"/>
          <w:sz w:val="22"/>
          <w:szCs w:val="22"/>
          <w:lang w:val="en-GB"/>
        </w:rPr>
        <w:t xml:space="preserve"> restriction</w:t>
      </w:r>
      <w:r w:rsidR="00F30BC8">
        <w:rPr>
          <w:rFonts w:ascii="Arial" w:hAnsi="Arial" w:cs="Arial"/>
          <w:bCs/>
          <w:snapToGrid w:val="0"/>
          <w:sz w:val="22"/>
          <w:szCs w:val="22"/>
          <w:lang w:val="en-GB"/>
        </w:rPr>
        <w:t>.</w:t>
      </w:r>
    </w:p>
    <w:p w:rsidR="006A5B7C" w:rsidRPr="00DD6F41" w:rsidRDefault="006A5B7C" w:rsidP="006A5B7C">
      <w:pPr>
        <w:widowControl w:val="0"/>
        <w:ind w:left="720"/>
        <w:contextualSpacing/>
        <w:jc w:val="both"/>
        <w:rPr>
          <w:rFonts w:ascii="Arial" w:hAnsi="Arial" w:cs="Arial"/>
          <w:bCs/>
          <w:snapToGrid w:val="0"/>
          <w:sz w:val="18"/>
          <w:szCs w:val="22"/>
          <w:lang w:val="en-GB"/>
        </w:rPr>
      </w:pPr>
    </w:p>
    <w:p w:rsidR="008E6BEF" w:rsidRPr="002676FE" w:rsidRDefault="008E6BEF" w:rsidP="008E6BEF">
      <w:pPr>
        <w:widowControl w:val="0"/>
        <w:numPr>
          <w:ilvl w:val="1"/>
          <w:numId w:val="1"/>
        </w:numPr>
        <w:contextualSpacing/>
        <w:jc w:val="both"/>
        <w:rPr>
          <w:rFonts w:ascii="Arial" w:hAnsi="Arial" w:cs="Arial"/>
          <w:bCs/>
          <w:snapToGrid w:val="0"/>
          <w:sz w:val="22"/>
          <w:szCs w:val="22"/>
          <w:lang w:val="en-GB"/>
        </w:rPr>
      </w:pPr>
      <w:r w:rsidRPr="00EB18B8">
        <w:rPr>
          <w:rFonts w:ascii="Arial" w:hAnsi="Arial" w:cs="Arial"/>
          <w:sz w:val="22"/>
          <w:szCs w:val="22"/>
        </w:rPr>
        <w:t xml:space="preserve">The PBAC welcomed the input provided </w:t>
      </w:r>
      <w:r w:rsidRPr="00EB18B8">
        <w:rPr>
          <w:rFonts w:ascii="Arial" w:hAnsi="Arial" w:cs="Arial"/>
          <w:bCs/>
          <w:sz w:val="22"/>
          <w:szCs w:val="22"/>
        </w:rPr>
        <w:t>by the TSANZ</w:t>
      </w:r>
      <w:r w:rsidR="00412C7D">
        <w:rPr>
          <w:rFonts w:ascii="Arial" w:hAnsi="Arial" w:cs="Arial"/>
          <w:bCs/>
          <w:sz w:val="22"/>
          <w:szCs w:val="22"/>
        </w:rPr>
        <w:t xml:space="preserve"> </w:t>
      </w:r>
      <w:r w:rsidR="007943B7">
        <w:rPr>
          <w:rFonts w:ascii="Arial" w:hAnsi="Arial" w:cs="Arial"/>
          <w:bCs/>
          <w:sz w:val="22"/>
          <w:szCs w:val="22"/>
        </w:rPr>
        <w:t xml:space="preserve">suggesting </w:t>
      </w:r>
      <w:r>
        <w:rPr>
          <w:rFonts w:ascii="Arial" w:hAnsi="Arial" w:cs="Arial"/>
          <w:bCs/>
          <w:sz w:val="22"/>
          <w:szCs w:val="22"/>
        </w:rPr>
        <w:t xml:space="preserve">that some patients may derive additional benefit with combined use of mannitol and </w:t>
      </w:r>
      <w:proofErr w:type="spellStart"/>
      <w:r>
        <w:rPr>
          <w:rFonts w:ascii="Arial" w:hAnsi="Arial" w:cs="Arial"/>
          <w:bCs/>
          <w:sz w:val="22"/>
          <w:szCs w:val="22"/>
        </w:rPr>
        <w:t>dornase</w:t>
      </w:r>
      <w:proofErr w:type="spellEnd"/>
      <w:r>
        <w:rPr>
          <w:rFonts w:ascii="Arial" w:hAnsi="Arial" w:cs="Arial"/>
          <w:bCs/>
          <w:sz w:val="22"/>
          <w:szCs w:val="22"/>
        </w:rPr>
        <w:t xml:space="preserve"> </w:t>
      </w:r>
      <w:proofErr w:type="spellStart"/>
      <w:r>
        <w:rPr>
          <w:rFonts w:ascii="Arial" w:hAnsi="Arial" w:cs="Arial"/>
          <w:bCs/>
          <w:sz w:val="22"/>
          <w:szCs w:val="22"/>
        </w:rPr>
        <w:t>alfa</w:t>
      </w:r>
      <w:proofErr w:type="spellEnd"/>
      <w:r>
        <w:rPr>
          <w:rFonts w:ascii="Arial" w:hAnsi="Arial" w:cs="Arial"/>
          <w:bCs/>
          <w:sz w:val="22"/>
          <w:szCs w:val="22"/>
        </w:rPr>
        <w:t>, but noted that no price offer had been made to establish cost-effectiveness in this setting</w:t>
      </w:r>
      <w:r w:rsidRPr="00EB18B8">
        <w:rPr>
          <w:rFonts w:ascii="Arial" w:hAnsi="Arial" w:cs="Arial"/>
          <w:bCs/>
          <w:sz w:val="22"/>
          <w:szCs w:val="22"/>
        </w:rPr>
        <w:t>.</w:t>
      </w:r>
    </w:p>
    <w:p w:rsidR="002676FE" w:rsidRPr="00DD6F41" w:rsidRDefault="002676FE" w:rsidP="002676FE">
      <w:pPr>
        <w:widowControl w:val="0"/>
        <w:contextualSpacing/>
        <w:jc w:val="both"/>
        <w:rPr>
          <w:rFonts w:ascii="Arial" w:hAnsi="Arial" w:cs="Arial"/>
          <w:bCs/>
          <w:snapToGrid w:val="0"/>
          <w:sz w:val="18"/>
          <w:szCs w:val="22"/>
          <w:lang w:val="en-GB"/>
        </w:rPr>
      </w:pPr>
    </w:p>
    <w:p w:rsidR="006A5B7C" w:rsidRDefault="006A5B7C" w:rsidP="006A5B7C">
      <w:pPr>
        <w:widowControl w:val="0"/>
        <w:numPr>
          <w:ilvl w:val="1"/>
          <w:numId w:val="1"/>
        </w:numPr>
        <w:contextualSpacing/>
        <w:jc w:val="both"/>
        <w:rPr>
          <w:rFonts w:ascii="Arial" w:hAnsi="Arial" w:cs="Arial"/>
          <w:bCs/>
          <w:snapToGrid w:val="0"/>
          <w:sz w:val="22"/>
          <w:szCs w:val="22"/>
          <w:lang w:val="en-GB"/>
        </w:rPr>
      </w:pPr>
      <w:r w:rsidRPr="006A5B7C">
        <w:rPr>
          <w:rFonts w:ascii="Arial" w:hAnsi="Arial" w:cs="Arial"/>
          <w:bCs/>
          <w:snapToGrid w:val="0"/>
          <w:sz w:val="22"/>
          <w:szCs w:val="22"/>
          <w:lang w:val="en-GB"/>
        </w:rPr>
        <w:t xml:space="preserve">The PBAC did not accept the request to remove the criteria that patients must be intolerant to, or inadequately responsive to </w:t>
      </w:r>
      <w:proofErr w:type="spellStart"/>
      <w:r w:rsidRPr="006A5B7C">
        <w:rPr>
          <w:rFonts w:ascii="Arial" w:hAnsi="Arial" w:cs="Arial"/>
          <w:bCs/>
          <w:snapToGrid w:val="0"/>
          <w:sz w:val="22"/>
          <w:szCs w:val="22"/>
          <w:lang w:val="en-GB"/>
        </w:rPr>
        <w:t>dornase</w:t>
      </w:r>
      <w:proofErr w:type="spellEnd"/>
      <w:r w:rsidRPr="006A5B7C">
        <w:rPr>
          <w:rFonts w:ascii="Arial" w:hAnsi="Arial" w:cs="Arial"/>
          <w:bCs/>
          <w:snapToGrid w:val="0"/>
          <w:sz w:val="22"/>
          <w:szCs w:val="22"/>
          <w:lang w:val="en-GB"/>
        </w:rPr>
        <w:t xml:space="preserve"> </w:t>
      </w:r>
      <w:proofErr w:type="spellStart"/>
      <w:r w:rsidRPr="006A5B7C">
        <w:rPr>
          <w:rFonts w:ascii="Arial" w:hAnsi="Arial" w:cs="Arial"/>
          <w:bCs/>
          <w:snapToGrid w:val="0"/>
          <w:sz w:val="22"/>
          <w:szCs w:val="22"/>
          <w:lang w:val="en-GB"/>
        </w:rPr>
        <w:t>alfa</w:t>
      </w:r>
      <w:proofErr w:type="spellEnd"/>
      <w:r w:rsidRPr="00713AA4">
        <w:rPr>
          <w:rFonts w:ascii="Arial" w:hAnsi="Arial" w:cs="Arial"/>
          <w:bCs/>
          <w:snapToGrid w:val="0"/>
          <w:sz w:val="22"/>
          <w:szCs w:val="22"/>
          <w:lang w:val="en-GB"/>
        </w:rPr>
        <w:t xml:space="preserve">. In making this decision, the PBAC considered that removal of </w:t>
      </w:r>
      <w:r w:rsidR="00713AA4" w:rsidRPr="00713AA4">
        <w:rPr>
          <w:rFonts w:ascii="Arial" w:hAnsi="Arial" w:cs="Arial"/>
          <w:bCs/>
          <w:snapToGrid w:val="0"/>
          <w:sz w:val="22"/>
          <w:szCs w:val="22"/>
          <w:lang w:val="en-GB"/>
        </w:rPr>
        <w:t>this criterion</w:t>
      </w:r>
      <w:r w:rsidRPr="00713AA4">
        <w:rPr>
          <w:rFonts w:ascii="Arial" w:hAnsi="Arial" w:cs="Arial"/>
          <w:bCs/>
          <w:snapToGrid w:val="0"/>
          <w:sz w:val="22"/>
          <w:szCs w:val="22"/>
          <w:lang w:val="en-GB"/>
        </w:rPr>
        <w:t xml:space="preserve"> may result in mannitol being use</w:t>
      </w:r>
      <w:r w:rsidR="00C12974">
        <w:rPr>
          <w:rFonts w:ascii="Arial" w:hAnsi="Arial" w:cs="Arial"/>
          <w:bCs/>
          <w:snapToGrid w:val="0"/>
          <w:sz w:val="22"/>
          <w:szCs w:val="22"/>
          <w:lang w:val="en-GB"/>
        </w:rPr>
        <w:t>d as first line therapy, which wa</w:t>
      </w:r>
      <w:r w:rsidRPr="00713AA4">
        <w:rPr>
          <w:rFonts w:ascii="Arial" w:hAnsi="Arial" w:cs="Arial"/>
          <w:bCs/>
          <w:snapToGrid w:val="0"/>
          <w:sz w:val="22"/>
          <w:szCs w:val="22"/>
          <w:lang w:val="en-GB"/>
        </w:rPr>
        <w:t xml:space="preserve">s not supported by </w:t>
      </w:r>
      <w:r w:rsidR="00713AA4">
        <w:rPr>
          <w:rFonts w:ascii="Arial" w:hAnsi="Arial" w:cs="Arial"/>
          <w:bCs/>
          <w:snapToGrid w:val="0"/>
          <w:sz w:val="22"/>
          <w:szCs w:val="22"/>
          <w:lang w:val="en-GB"/>
        </w:rPr>
        <w:t xml:space="preserve">the </w:t>
      </w:r>
      <w:r w:rsidRPr="00713AA4">
        <w:rPr>
          <w:rFonts w:ascii="Arial" w:hAnsi="Arial" w:cs="Arial"/>
          <w:bCs/>
          <w:snapToGrid w:val="0"/>
          <w:sz w:val="22"/>
          <w:szCs w:val="22"/>
          <w:lang w:val="en-GB"/>
        </w:rPr>
        <w:t>available evidence</w:t>
      </w:r>
      <w:r>
        <w:rPr>
          <w:rFonts w:ascii="Arial" w:hAnsi="Arial" w:cs="Arial"/>
          <w:bCs/>
          <w:snapToGrid w:val="0"/>
          <w:sz w:val="22"/>
          <w:szCs w:val="22"/>
          <w:lang w:val="en-GB"/>
        </w:rPr>
        <w:t>.</w:t>
      </w:r>
    </w:p>
    <w:p w:rsidR="006A5B7C" w:rsidRPr="00DD6F41" w:rsidRDefault="006A5B7C" w:rsidP="006A5B7C">
      <w:pPr>
        <w:widowControl w:val="0"/>
        <w:contextualSpacing/>
        <w:jc w:val="both"/>
        <w:rPr>
          <w:rFonts w:ascii="Arial" w:hAnsi="Arial" w:cs="Arial"/>
          <w:bCs/>
          <w:snapToGrid w:val="0"/>
          <w:sz w:val="18"/>
          <w:szCs w:val="22"/>
          <w:lang w:val="en-GB"/>
        </w:rPr>
      </w:pPr>
    </w:p>
    <w:p w:rsidR="006A5B7C" w:rsidRPr="00713AA4" w:rsidRDefault="006A5B7C" w:rsidP="00713AA4">
      <w:pPr>
        <w:widowControl w:val="0"/>
        <w:numPr>
          <w:ilvl w:val="1"/>
          <w:numId w:val="1"/>
        </w:numPr>
        <w:contextualSpacing/>
        <w:jc w:val="both"/>
        <w:rPr>
          <w:rFonts w:ascii="Arial" w:hAnsi="Arial" w:cs="Arial"/>
          <w:bCs/>
          <w:snapToGrid w:val="0"/>
          <w:sz w:val="22"/>
          <w:szCs w:val="22"/>
          <w:lang w:val="en-GB"/>
        </w:rPr>
      </w:pPr>
      <w:r>
        <w:rPr>
          <w:rFonts w:ascii="Arial" w:hAnsi="Arial" w:cs="Arial"/>
          <w:bCs/>
          <w:snapToGrid w:val="0"/>
          <w:sz w:val="22"/>
          <w:szCs w:val="22"/>
          <w:lang w:val="en-GB"/>
        </w:rPr>
        <w:t>The PBAC did not accept the request to remove the c</w:t>
      </w:r>
      <w:r w:rsidR="00C3367A">
        <w:rPr>
          <w:rFonts w:ascii="Arial" w:hAnsi="Arial" w:cs="Arial"/>
          <w:bCs/>
          <w:snapToGrid w:val="0"/>
          <w:sz w:val="22"/>
          <w:szCs w:val="22"/>
          <w:lang w:val="en-GB"/>
        </w:rPr>
        <w:t>riteria that patients must be 6 </w:t>
      </w:r>
      <w:r>
        <w:rPr>
          <w:rFonts w:ascii="Arial" w:hAnsi="Arial" w:cs="Arial"/>
          <w:bCs/>
          <w:snapToGrid w:val="0"/>
          <w:sz w:val="22"/>
          <w:szCs w:val="22"/>
          <w:lang w:val="en-GB"/>
        </w:rPr>
        <w:t xml:space="preserve">years of age or older, based on a lack of </w:t>
      </w:r>
      <w:r w:rsidR="00713AA4">
        <w:rPr>
          <w:rFonts w:ascii="Arial" w:hAnsi="Arial" w:cs="Arial"/>
          <w:bCs/>
          <w:snapToGrid w:val="0"/>
          <w:sz w:val="22"/>
          <w:szCs w:val="22"/>
          <w:lang w:val="en-GB"/>
        </w:rPr>
        <w:t xml:space="preserve">clinical </w:t>
      </w:r>
      <w:r>
        <w:rPr>
          <w:rFonts w:ascii="Arial" w:hAnsi="Arial" w:cs="Arial"/>
          <w:bCs/>
          <w:snapToGrid w:val="0"/>
          <w:sz w:val="22"/>
          <w:szCs w:val="22"/>
          <w:lang w:val="en-GB"/>
        </w:rPr>
        <w:t>data in this age group.</w:t>
      </w:r>
    </w:p>
    <w:p w:rsidR="009B5455" w:rsidRPr="00DD6F41" w:rsidRDefault="009B5455" w:rsidP="00713AA4">
      <w:pPr>
        <w:widowControl w:val="0"/>
        <w:contextualSpacing/>
        <w:jc w:val="both"/>
        <w:rPr>
          <w:rFonts w:ascii="Arial" w:hAnsi="Arial" w:cs="Arial"/>
          <w:bCs/>
          <w:snapToGrid w:val="0"/>
          <w:sz w:val="18"/>
          <w:szCs w:val="22"/>
          <w:lang w:val="en-GB"/>
        </w:rPr>
      </w:pPr>
    </w:p>
    <w:p w:rsidR="00E22595" w:rsidRPr="00E22595" w:rsidRDefault="00557D39" w:rsidP="00E22595">
      <w:pPr>
        <w:widowControl w:val="0"/>
        <w:numPr>
          <w:ilvl w:val="1"/>
          <w:numId w:val="1"/>
        </w:numPr>
        <w:contextualSpacing/>
        <w:jc w:val="both"/>
        <w:rPr>
          <w:rFonts w:ascii="Arial" w:hAnsi="Arial" w:cs="Arial"/>
          <w:bCs/>
          <w:snapToGrid w:val="0"/>
          <w:sz w:val="22"/>
          <w:szCs w:val="22"/>
          <w:lang w:val="en-GB"/>
        </w:rPr>
      </w:pPr>
      <w:r>
        <w:rPr>
          <w:rFonts w:ascii="Arial" w:hAnsi="Arial" w:cs="Arial"/>
          <w:bCs/>
          <w:snapToGrid w:val="0"/>
          <w:sz w:val="22"/>
          <w:szCs w:val="22"/>
          <w:lang w:val="en-GB"/>
        </w:rPr>
        <w:t xml:space="preserve">The PBAC accepted that simplification </w:t>
      </w:r>
      <w:r w:rsidR="00713AA4">
        <w:rPr>
          <w:rFonts w:ascii="Arial" w:hAnsi="Arial" w:cs="Arial"/>
          <w:bCs/>
          <w:snapToGrid w:val="0"/>
          <w:sz w:val="22"/>
          <w:szCs w:val="22"/>
          <w:lang w:val="en-GB"/>
        </w:rPr>
        <w:t xml:space="preserve">of other elements </w:t>
      </w:r>
      <w:r>
        <w:rPr>
          <w:rFonts w:ascii="Arial" w:hAnsi="Arial" w:cs="Arial"/>
          <w:bCs/>
          <w:snapToGrid w:val="0"/>
          <w:sz w:val="22"/>
          <w:szCs w:val="22"/>
          <w:lang w:val="en-GB"/>
        </w:rPr>
        <w:t>of the restriction criteria</w:t>
      </w:r>
      <w:r w:rsidR="00C12974">
        <w:rPr>
          <w:rFonts w:ascii="Arial" w:hAnsi="Arial" w:cs="Arial"/>
          <w:bCs/>
          <w:snapToGrid w:val="0"/>
          <w:sz w:val="22"/>
          <w:szCs w:val="22"/>
          <w:lang w:val="en-GB"/>
        </w:rPr>
        <w:t>, as outlined in section 2, wa</w:t>
      </w:r>
      <w:r w:rsidR="00713AA4">
        <w:rPr>
          <w:rFonts w:ascii="Arial" w:hAnsi="Arial" w:cs="Arial"/>
          <w:bCs/>
          <w:snapToGrid w:val="0"/>
          <w:sz w:val="22"/>
          <w:szCs w:val="22"/>
          <w:lang w:val="en-GB"/>
        </w:rPr>
        <w:t xml:space="preserve">s reasonable and </w:t>
      </w:r>
      <w:r w:rsidR="001110D7">
        <w:rPr>
          <w:rFonts w:ascii="Arial" w:hAnsi="Arial" w:cs="Arial"/>
          <w:bCs/>
          <w:snapToGrid w:val="0"/>
          <w:sz w:val="22"/>
          <w:szCs w:val="22"/>
          <w:lang w:val="en-GB"/>
        </w:rPr>
        <w:t xml:space="preserve">agreed to remove or alter </w:t>
      </w:r>
      <w:r w:rsidR="00713AA4">
        <w:rPr>
          <w:rFonts w:ascii="Arial" w:hAnsi="Arial" w:cs="Arial"/>
          <w:bCs/>
          <w:snapToGrid w:val="0"/>
          <w:sz w:val="22"/>
          <w:szCs w:val="22"/>
          <w:lang w:val="en-GB"/>
        </w:rPr>
        <w:t xml:space="preserve">a number of criteria. </w:t>
      </w:r>
      <w:r w:rsidR="008E6BEF">
        <w:rPr>
          <w:rFonts w:ascii="Arial" w:hAnsi="Arial" w:cs="Arial"/>
          <w:bCs/>
          <w:snapToGrid w:val="0"/>
          <w:sz w:val="22"/>
          <w:szCs w:val="22"/>
          <w:lang w:val="en-GB"/>
        </w:rPr>
        <w:t>Of note, the PBAC agreed to remove the criteri</w:t>
      </w:r>
      <w:r w:rsidR="00FA3C24">
        <w:rPr>
          <w:rFonts w:ascii="Arial" w:hAnsi="Arial" w:cs="Arial"/>
          <w:bCs/>
          <w:snapToGrid w:val="0"/>
          <w:sz w:val="22"/>
          <w:szCs w:val="22"/>
          <w:lang w:val="en-GB"/>
        </w:rPr>
        <w:t>on</w:t>
      </w:r>
      <w:r w:rsidR="008E6BEF">
        <w:rPr>
          <w:rFonts w:ascii="Arial" w:hAnsi="Arial" w:cs="Arial"/>
          <w:bCs/>
          <w:snapToGrid w:val="0"/>
          <w:sz w:val="22"/>
          <w:szCs w:val="22"/>
          <w:lang w:val="en-GB"/>
        </w:rPr>
        <w:t xml:space="preserve"> relating to FEV</w:t>
      </w:r>
      <w:r w:rsidR="008E6BEF" w:rsidRPr="008E6BEF">
        <w:rPr>
          <w:rFonts w:ascii="Arial" w:hAnsi="Arial" w:cs="Arial"/>
          <w:bCs/>
          <w:snapToGrid w:val="0"/>
          <w:sz w:val="16"/>
          <w:szCs w:val="22"/>
          <w:lang w:val="en-GB"/>
        </w:rPr>
        <w:t>1</w:t>
      </w:r>
      <w:r w:rsidR="00412C7D">
        <w:rPr>
          <w:rFonts w:ascii="Arial" w:hAnsi="Arial" w:cs="Arial"/>
          <w:bCs/>
          <w:snapToGrid w:val="0"/>
          <w:sz w:val="22"/>
          <w:szCs w:val="22"/>
          <w:lang w:val="en-GB"/>
        </w:rPr>
        <w:t>,</w:t>
      </w:r>
      <w:r w:rsidR="00FA3C24">
        <w:rPr>
          <w:rFonts w:ascii="Arial" w:hAnsi="Arial" w:cs="Arial"/>
          <w:bCs/>
          <w:snapToGrid w:val="0"/>
          <w:sz w:val="22"/>
          <w:szCs w:val="22"/>
          <w:lang w:val="en-GB"/>
        </w:rPr>
        <w:t xml:space="preserve"> the </w:t>
      </w:r>
      <w:r w:rsidR="00FA3C24" w:rsidRPr="005D7E92">
        <w:rPr>
          <w:rFonts w:ascii="Arial" w:hAnsi="Arial"/>
          <w:sz w:val="22"/>
          <w:szCs w:val="22"/>
        </w:rPr>
        <w:t>criterion</w:t>
      </w:r>
      <w:r w:rsidR="00FA3C24" w:rsidRPr="00B53CC1">
        <w:rPr>
          <w:rFonts w:ascii="Arial" w:hAnsi="Arial"/>
          <w:sz w:val="22"/>
          <w:szCs w:val="22"/>
        </w:rPr>
        <w:t xml:space="preserve"> requiring lung function testing</w:t>
      </w:r>
      <w:r w:rsidR="00412C7D">
        <w:rPr>
          <w:rFonts w:ascii="Arial" w:hAnsi="Arial"/>
          <w:sz w:val="22"/>
          <w:szCs w:val="22"/>
        </w:rPr>
        <w:t xml:space="preserve"> and the grandfather clause</w:t>
      </w:r>
      <w:r w:rsidR="00FA3C24">
        <w:rPr>
          <w:rFonts w:ascii="Arial" w:hAnsi="Arial"/>
          <w:sz w:val="22"/>
          <w:szCs w:val="22"/>
        </w:rPr>
        <w:t>.</w:t>
      </w:r>
      <w:r w:rsidR="00FA3C24" w:rsidRPr="00B53CC1">
        <w:rPr>
          <w:rFonts w:ascii="Arial" w:hAnsi="Arial"/>
          <w:sz w:val="22"/>
          <w:szCs w:val="22"/>
        </w:rPr>
        <w:t xml:space="preserve"> </w:t>
      </w:r>
      <w:r w:rsidR="00713AA4">
        <w:rPr>
          <w:rFonts w:ascii="Arial" w:hAnsi="Arial" w:cs="Arial"/>
          <w:bCs/>
          <w:snapToGrid w:val="0"/>
          <w:sz w:val="22"/>
          <w:szCs w:val="22"/>
          <w:lang w:val="en-GB"/>
        </w:rPr>
        <w:t>See the</w:t>
      </w:r>
      <w:r>
        <w:rPr>
          <w:rFonts w:ascii="Arial" w:hAnsi="Arial" w:cs="Arial"/>
          <w:bCs/>
          <w:snapToGrid w:val="0"/>
          <w:sz w:val="22"/>
          <w:szCs w:val="22"/>
          <w:lang w:val="en-GB"/>
        </w:rPr>
        <w:t xml:space="preserve"> recommended listing for </w:t>
      </w:r>
      <w:r w:rsidR="00FA3C24">
        <w:rPr>
          <w:rFonts w:ascii="Arial" w:hAnsi="Arial" w:cs="Arial"/>
          <w:bCs/>
          <w:snapToGrid w:val="0"/>
          <w:sz w:val="22"/>
          <w:szCs w:val="22"/>
          <w:lang w:val="en-GB"/>
        </w:rPr>
        <w:t xml:space="preserve">further </w:t>
      </w:r>
      <w:r w:rsidR="009B5455">
        <w:rPr>
          <w:rFonts w:ascii="Arial" w:hAnsi="Arial" w:cs="Arial"/>
          <w:bCs/>
          <w:snapToGrid w:val="0"/>
          <w:sz w:val="22"/>
          <w:szCs w:val="22"/>
          <w:lang w:val="en-GB"/>
        </w:rPr>
        <w:t>details</w:t>
      </w:r>
      <w:r w:rsidR="008E6BEF">
        <w:rPr>
          <w:rFonts w:ascii="Arial" w:hAnsi="Arial" w:cs="Arial"/>
          <w:bCs/>
          <w:snapToGrid w:val="0"/>
          <w:sz w:val="22"/>
          <w:szCs w:val="22"/>
          <w:lang w:val="en-GB"/>
        </w:rPr>
        <w:t>.</w:t>
      </w:r>
    </w:p>
    <w:p w:rsidR="00EB18B8" w:rsidRPr="00DD6F41" w:rsidRDefault="00EB18B8" w:rsidP="00713AA4">
      <w:pPr>
        <w:rPr>
          <w:rFonts w:ascii="Arial" w:hAnsi="Arial" w:cs="Arial"/>
          <w:bCs/>
          <w:snapToGrid w:val="0"/>
          <w:sz w:val="18"/>
          <w:szCs w:val="22"/>
          <w:lang w:val="en-GB"/>
        </w:rPr>
      </w:pPr>
    </w:p>
    <w:p w:rsidR="001179F9" w:rsidRPr="00EB18B8" w:rsidRDefault="001179F9" w:rsidP="00713AA4">
      <w:pPr>
        <w:widowControl w:val="0"/>
        <w:numPr>
          <w:ilvl w:val="1"/>
          <w:numId w:val="1"/>
        </w:numPr>
        <w:contextualSpacing/>
        <w:jc w:val="both"/>
        <w:rPr>
          <w:rFonts w:ascii="Arial" w:hAnsi="Arial" w:cs="Arial"/>
          <w:bCs/>
          <w:snapToGrid w:val="0"/>
          <w:sz w:val="22"/>
          <w:szCs w:val="22"/>
          <w:lang w:val="en-GB"/>
        </w:rPr>
      </w:pPr>
      <w:r w:rsidRPr="00EB18B8">
        <w:rPr>
          <w:rFonts w:ascii="Arial" w:hAnsi="Arial" w:cs="Arial"/>
          <w:bCs/>
          <w:snapToGrid w:val="0"/>
          <w:sz w:val="22"/>
          <w:szCs w:val="22"/>
          <w:lang w:val="en-GB"/>
        </w:rPr>
        <w:t xml:space="preserve">The PBAC advised that </w:t>
      </w:r>
      <w:r w:rsidR="00BE3FA9" w:rsidRPr="00EB18B8">
        <w:rPr>
          <w:rFonts w:ascii="Arial" w:hAnsi="Arial" w:cs="Arial"/>
          <w:bCs/>
          <w:snapToGrid w:val="0"/>
          <w:sz w:val="22"/>
          <w:szCs w:val="22"/>
          <w:lang w:val="en-GB"/>
        </w:rPr>
        <w:t>DPI mannitol</w:t>
      </w:r>
      <w:r w:rsidRPr="00EB18B8">
        <w:rPr>
          <w:rFonts w:ascii="Arial" w:hAnsi="Arial" w:cs="Arial"/>
          <w:bCs/>
          <w:snapToGrid w:val="0"/>
          <w:sz w:val="22"/>
          <w:szCs w:val="22"/>
          <w:lang w:val="en-GB"/>
        </w:rPr>
        <w:t xml:space="preserve"> is not suitable for prescribing by nurse practitioners.</w:t>
      </w:r>
    </w:p>
    <w:p w:rsidR="001179F9" w:rsidRPr="00DD6F41" w:rsidRDefault="001179F9" w:rsidP="001179F9">
      <w:pPr>
        <w:widowControl w:val="0"/>
        <w:ind w:left="720"/>
        <w:contextualSpacing/>
        <w:jc w:val="both"/>
        <w:rPr>
          <w:rFonts w:ascii="Arial" w:hAnsi="Arial" w:cs="Arial"/>
          <w:bCs/>
          <w:snapToGrid w:val="0"/>
          <w:sz w:val="18"/>
          <w:szCs w:val="22"/>
          <w:lang w:val="en-GB"/>
        </w:rPr>
      </w:pPr>
    </w:p>
    <w:p w:rsidR="001179F9" w:rsidRDefault="001179F9" w:rsidP="00713AA4">
      <w:pPr>
        <w:widowControl w:val="0"/>
        <w:numPr>
          <w:ilvl w:val="1"/>
          <w:numId w:val="1"/>
        </w:numPr>
        <w:contextualSpacing/>
        <w:jc w:val="both"/>
        <w:rPr>
          <w:rFonts w:ascii="Arial" w:hAnsi="Arial" w:cs="Arial"/>
          <w:bCs/>
          <w:snapToGrid w:val="0"/>
          <w:sz w:val="22"/>
          <w:szCs w:val="22"/>
          <w:lang w:val="en-GB"/>
        </w:rPr>
      </w:pPr>
      <w:r w:rsidRPr="00EB18B8">
        <w:rPr>
          <w:rFonts w:ascii="Arial" w:hAnsi="Arial" w:cs="Arial"/>
          <w:bCs/>
          <w:snapToGrid w:val="0"/>
          <w:sz w:val="22"/>
          <w:szCs w:val="22"/>
          <w:lang w:val="en-GB"/>
        </w:rPr>
        <w:t>The PBAC recommended that th</w:t>
      </w:r>
      <w:r w:rsidR="00BE3FA9" w:rsidRPr="00EB18B8">
        <w:rPr>
          <w:rFonts w:ascii="Arial" w:hAnsi="Arial" w:cs="Arial"/>
          <w:bCs/>
          <w:snapToGrid w:val="0"/>
          <w:sz w:val="22"/>
          <w:szCs w:val="22"/>
          <w:lang w:val="en-GB"/>
        </w:rPr>
        <w:t>e Safety Net 20 Day Rule should</w:t>
      </w:r>
      <w:r w:rsidRPr="00EB18B8">
        <w:rPr>
          <w:rFonts w:ascii="Arial" w:hAnsi="Arial" w:cs="Arial"/>
          <w:bCs/>
          <w:snapToGrid w:val="0"/>
          <w:sz w:val="22"/>
          <w:szCs w:val="22"/>
          <w:lang w:val="en-GB"/>
        </w:rPr>
        <w:t xml:space="preserve"> not apply. </w:t>
      </w:r>
    </w:p>
    <w:p w:rsidR="00FD18AD" w:rsidRPr="00DD6F41" w:rsidRDefault="00FD18AD" w:rsidP="00FD18AD">
      <w:pPr>
        <w:pStyle w:val="ListParagraph"/>
        <w:rPr>
          <w:rFonts w:ascii="Arial" w:hAnsi="Arial" w:cs="Arial"/>
          <w:bCs/>
          <w:snapToGrid w:val="0"/>
          <w:sz w:val="18"/>
          <w:szCs w:val="22"/>
          <w:lang w:val="en-GB"/>
        </w:rPr>
      </w:pPr>
    </w:p>
    <w:p w:rsidR="00BE3FA9" w:rsidRDefault="00FD18AD" w:rsidP="00FD18AD">
      <w:pPr>
        <w:widowControl w:val="0"/>
        <w:numPr>
          <w:ilvl w:val="1"/>
          <w:numId w:val="1"/>
        </w:numPr>
        <w:contextualSpacing/>
        <w:jc w:val="both"/>
        <w:rPr>
          <w:rFonts w:ascii="Arial" w:hAnsi="Arial" w:cs="Arial"/>
          <w:bCs/>
          <w:snapToGrid w:val="0"/>
          <w:sz w:val="22"/>
          <w:szCs w:val="22"/>
          <w:lang w:val="en-GB"/>
        </w:rPr>
      </w:pPr>
      <w:r w:rsidRPr="00FD18AD">
        <w:rPr>
          <w:rFonts w:ascii="Arial" w:hAnsi="Arial" w:cs="Arial"/>
          <w:bCs/>
          <w:snapToGrid w:val="0"/>
          <w:sz w:val="22"/>
          <w:szCs w:val="22"/>
          <w:lang w:val="en-GB"/>
        </w:rPr>
        <w:t xml:space="preserve">The PBAC noted that the </w:t>
      </w:r>
      <w:proofErr w:type="spellStart"/>
      <w:r w:rsidRPr="00FD18AD">
        <w:rPr>
          <w:rFonts w:ascii="Arial" w:hAnsi="Arial" w:cs="Arial"/>
          <w:bCs/>
          <w:snapToGrid w:val="0"/>
          <w:sz w:val="22"/>
          <w:szCs w:val="22"/>
          <w:lang w:val="en-GB"/>
        </w:rPr>
        <w:t>dornase</w:t>
      </w:r>
      <w:proofErr w:type="spellEnd"/>
      <w:r w:rsidRPr="00FD18AD">
        <w:rPr>
          <w:rFonts w:ascii="Arial" w:hAnsi="Arial" w:cs="Arial"/>
          <w:bCs/>
          <w:snapToGrid w:val="0"/>
          <w:sz w:val="22"/>
          <w:szCs w:val="22"/>
          <w:lang w:val="en-GB"/>
        </w:rPr>
        <w:t xml:space="preserve"> </w:t>
      </w:r>
      <w:proofErr w:type="spellStart"/>
      <w:r w:rsidRPr="00FD18AD">
        <w:rPr>
          <w:rFonts w:ascii="Arial" w:hAnsi="Arial" w:cs="Arial"/>
          <w:bCs/>
          <w:snapToGrid w:val="0"/>
          <w:sz w:val="22"/>
          <w:szCs w:val="22"/>
          <w:lang w:val="en-GB"/>
        </w:rPr>
        <w:t>alfa</w:t>
      </w:r>
      <w:proofErr w:type="spellEnd"/>
      <w:r w:rsidRPr="00FD18AD">
        <w:rPr>
          <w:rFonts w:ascii="Arial" w:hAnsi="Arial" w:cs="Arial"/>
          <w:bCs/>
          <w:snapToGrid w:val="0"/>
          <w:sz w:val="22"/>
          <w:szCs w:val="22"/>
          <w:lang w:val="en-GB"/>
        </w:rPr>
        <w:t xml:space="preserve"> restriction should be re-examined out of session </w:t>
      </w:r>
      <w:r w:rsidR="00736143">
        <w:rPr>
          <w:rFonts w:ascii="Arial" w:hAnsi="Arial" w:cs="Arial"/>
          <w:bCs/>
          <w:snapToGrid w:val="0"/>
          <w:sz w:val="22"/>
          <w:szCs w:val="22"/>
          <w:lang w:val="en-GB"/>
        </w:rPr>
        <w:t xml:space="preserve">to allow </w:t>
      </w:r>
      <w:r w:rsidRPr="00736143">
        <w:rPr>
          <w:rFonts w:ascii="Arial" w:hAnsi="Arial" w:cs="Arial"/>
          <w:bCs/>
          <w:snapToGrid w:val="0"/>
          <w:sz w:val="22"/>
          <w:szCs w:val="22"/>
          <w:lang w:val="en-GB"/>
        </w:rPr>
        <w:t xml:space="preserve">common </w:t>
      </w:r>
      <w:r w:rsidR="00736143">
        <w:rPr>
          <w:rFonts w:ascii="Arial" w:hAnsi="Arial" w:cs="Arial"/>
          <w:bCs/>
          <w:snapToGrid w:val="0"/>
          <w:sz w:val="22"/>
          <w:szCs w:val="22"/>
          <w:lang w:val="en-GB"/>
        </w:rPr>
        <w:t>changes to be made, therefore aligning</w:t>
      </w:r>
      <w:r w:rsidRPr="00736143">
        <w:rPr>
          <w:rFonts w:ascii="Arial" w:hAnsi="Arial" w:cs="Arial"/>
          <w:bCs/>
          <w:snapToGrid w:val="0"/>
          <w:sz w:val="22"/>
          <w:szCs w:val="22"/>
          <w:lang w:val="en-GB"/>
        </w:rPr>
        <w:t xml:space="preserve"> the DPI mannitol and </w:t>
      </w:r>
      <w:proofErr w:type="spellStart"/>
      <w:r w:rsidRPr="00736143">
        <w:rPr>
          <w:rFonts w:ascii="Arial" w:hAnsi="Arial" w:cs="Arial"/>
          <w:bCs/>
          <w:snapToGrid w:val="0"/>
          <w:sz w:val="22"/>
          <w:szCs w:val="22"/>
          <w:lang w:val="en-GB"/>
        </w:rPr>
        <w:t>dornase</w:t>
      </w:r>
      <w:proofErr w:type="spellEnd"/>
      <w:r w:rsidRPr="00736143">
        <w:rPr>
          <w:rFonts w:ascii="Arial" w:hAnsi="Arial" w:cs="Arial"/>
          <w:bCs/>
          <w:snapToGrid w:val="0"/>
          <w:sz w:val="22"/>
          <w:szCs w:val="22"/>
          <w:lang w:val="en-GB"/>
        </w:rPr>
        <w:t xml:space="preserve"> </w:t>
      </w:r>
      <w:proofErr w:type="spellStart"/>
      <w:r w:rsidRPr="00736143">
        <w:rPr>
          <w:rFonts w:ascii="Arial" w:hAnsi="Arial" w:cs="Arial"/>
          <w:bCs/>
          <w:snapToGrid w:val="0"/>
          <w:sz w:val="22"/>
          <w:szCs w:val="22"/>
          <w:lang w:val="en-GB"/>
        </w:rPr>
        <w:t>alfa</w:t>
      </w:r>
      <w:proofErr w:type="spellEnd"/>
      <w:r w:rsidR="00736143">
        <w:rPr>
          <w:rFonts w:ascii="Arial" w:hAnsi="Arial" w:cs="Arial"/>
          <w:bCs/>
          <w:snapToGrid w:val="0"/>
          <w:sz w:val="22"/>
          <w:szCs w:val="22"/>
          <w:lang w:val="en-GB"/>
        </w:rPr>
        <w:t xml:space="preserve"> restrictions where possible</w:t>
      </w:r>
      <w:r w:rsidRPr="00FD18AD">
        <w:rPr>
          <w:rFonts w:ascii="Arial" w:hAnsi="Arial" w:cs="Arial"/>
          <w:bCs/>
          <w:snapToGrid w:val="0"/>
          <w:sz w:val="22"/>
          <w:szCs w:val="22"/>
          <w:lang w:val="en-GB"/>
        </w:rPr>
        <w:t xml:space="preserve">. </w:t>
      </w:r>
    </w:p>
    <w:p w:rsidR="00FD18AD" w:rsidRPr="00DD6F41" w:rsidRDefault="00FD18AD" w:rsidP="00FD18AD">
      <w:pPr>
        <w:widowControl w:val="0"/>
        <w:contextualSpacing/>
        <w:jc w:val="both"/>
        <w:rPr>
          <w:rFonts w:ascii="Arial" w:hAnsi="Arial" w:cs="Arial"/>
          <w:bCs/>
          <w:snapToGrid w:val="0"/>
          <w:sz w:val="18"/>
          <w:szCs w:val="22"/>
          <w:lang w:val="en-GB"/>
        </w:rPr>
      </w:pPr>
    </w:p>
    <w:p w:rsidR="00BE3FA9" w:rsidRPr="00EB18B8" w:rsidRDefault="00BE3FA9" w:rsidP="00713AA4">
      <w:pPr>
        <w:widowControl w:val="0"/>
        <w:numPr>
          <w:ilvl w:val="1"/>
          <w:numId w:val="1"/>
        </w:numPr>
        <w:contextualSpacing/>
        <w:jc w:val="both"/>
        <w:rPr>
          <w:rFonts w:ascii="Arial" w:hAnsi="Arial" w:cs="Arial"/>
          <w:bCs/>
          <w:snapToGrid w:val="0"/>
          <w:sz w:val="22"/>
          <w:szCs w:val="22"/>
          <w:lang w:val="en-GB"/>
        </w:rPr>
      </w:pPr>
      <w:r w:rsidRPr="00EB18B8">
        <w:rPr>
          <w:rFonts w:ascii="Arial" w:hAnsi="Arial" w:cs="Arial"/>
          <w:bCs/>
          <w:snapToGrid w:val="0"/>
          <w:sz w:val="22"/>
          <w:szCs w:val="22"/>
          <w:lang w:val="en-GB"/>
        </w:rPr>
        <w:t>The PBAC noted that this submission is not eligible for an Independent Review. Independent Review is not available in response to a request to modify or extend an existing listing</w:t>
      </w:r>
    </w:p>
    <w:p w:rsidR="00BE3FA9" w:rsidRPr="00EB18B8" w:rsidRDefault="00BE3FA9" w:rsidP="00BE3FA9">
      <w:pPr>
        <w:widowControl w:val="0"/>
        <w:contextualSpacing/>
        <w:jc w:val="both"/>
        <w:rPr>
          <w:rFonts w:ascii="Arial" w:hAnsi="Arial" w:cs="Arial"/>
          <w:bCs/>
          <w:snapToGrid w:val="0"/>
          <w:sz w:val="22"/>
          <w:szCs w:val="22"/>
          <w:lang w:val="en-GB"/>
        </w:rPr>
      </w:pPr>
    </w:p>
    <w:p w:rsidR="001179F9" w:rsidRPr="00EB18B8" w:rsidRDefault="001179F9" w:rsidP="001179F9">
      <w:pPr>
        <w:jc w:val="both"/>
        <w:rPr>
          <w:rFonts w:ascii="Arial" w:hAnsi="Arial" w:cs="Arial"/>
          <w:b/>
          <w:bCs/>
          <w:snapToGrid w:val="0"/>
          <w:sz w:val="22"/>
          <w:szCs w:val="22"/>
          <w:lang w:val="en-GB"/>
        </w:rPr>
      </w:pPr>
      <w:r w:rsidRPr="00EB18B8">
        <w:rPr>
          <w:rFonts w:ascii="Arial" w:hAnsi="Arial" w:cs="Arial"/>
          <w:b/>
          <w:bCs/>
          <w:snapToGrid w:val="0"/>
          <w:sz w:val="22"/>
          <w:szCs w:val="22"/>
          <w:lang w:val="en-GB"/>
        </w:rPr>
        <w:t>Outcome:</w:t>
      </w:r>
    </w:p>
    <w:p w:rsidR="001179F9" w:rsidRPr="00EB18B8" w:rsidRDefault="001179F9" w:rsidP="001179F9">
      <w:pPr>
        <w:jc w:val="both"/>
        <w:rPr>
          <w:rFonts w:ascii="Arial" w:hAnsi="Arial" w:cs="Arial"/>
          <w:bCs/>
          <w:snapToGrid w:val="0"/>
          <w:sz w:val="22"/>
          <w:szCs w:val="22"/>
          <w:lang w:val="en-GB"/>
        </w:rPr>
      </w:pPr>
      <w:r w:rsidRPr="00EB18B8">
        <w:rPr>
          <w:rFonts w:ascii="Arial" w:hAnsi="Arial" w:cs="Arial"/>
          <w:bCs/>
          <w:snapToGrid w:val="0"/>
          <w:sz w:val="22"/>
          <w:szCs w:val="22"/>
          <w:lang w:val="en-GB"/>
        </w:rPr>
        <w:t>Rejected</w:t>
      </w:r>
    </w:p>
    <w:p w:rsidR="00BE3FA9" w:rsidRDefault="00BE3FA9" w:rsidP="00603747">
      <w:pPr>
        <w:widowControl w:val="0"/>
        <w:contextualSpacing/>
        <w:jc w:val="both"/>
        <w:rPr>
          <w:rFonts w:ascii="Arial" w:hAnsi="Arial" w:cs="Arial"/>
          <w:bCs/>
          <w:snapToGrid w:val="0"/>
          <w:sz w:val="22"/>
          <w:szCs w:val="22"/>
          <w:lang w:val="en-GB"/>
        </w:rPr>
      </w:pPr>
    </w:p>
    <w:p w:rsidR="001179F9" w:rsidRPr="00EA0EDA" w:rsidRDefault="001179F9" w:rsidP="001179F9">
      <w:pPr>
        <w:widowControl w:val="0"/>
        <w:jc w:val="both"/>
        <w:rPr>
          <w:rFonts w:ascii="Arial" w:hAnsi="Arial" w:cs="Arial"/>
          <w:bCs/>
          <w:snapToGrid w:val="0"/>
          <w:sz w:val="22"/>
          <w:szCs w:val="22"/>
          <w:highlight w:val="yellow"/>
        </w:rPr>
      </w:pPr>
    </w:p>
    <w:p w:rsidR="001179F9" w:rsidRPr="00EB18B8" w:rsidRDefault="001179F9" w:rsidP="00713AA4">
      <w:pPr>
        <w:widowControl w:val="0"/>
        <w:numPr>
          <w:ilvl w:val="0"/>
          <w:numId w:val="1"/>
        </w:numPr>
        <w:jc w:val="both"/>
        <w:rPr>
          <w:rFonts w:ascii="Arial" w:hAnsi="Arial" w:cs="Arial"/>
          <w:b/>
          <w:bCs/>
          <w:i/>
          <w:snapToGrid w:val="0"/>
          <w:sz w:val="22"/>
          <w:szCs w:val="22"/>
          <w:lang w:val="en-GB"/>
        </w:rPr>
      </w:pPr>
      <w:r w:rsidRPr="00EB18B8">
        <w:rPr>
          <w:rFonts w:ascii="Arial" w:hAnsi="Arial" w:cs="Arial"/>
          <w:b/>
          <w:bCs/>
          <w:snapToGrid w:val="0"/>
          <w:sz w:val="22"/>
          <w:szCs w:val="22"/>
          <w:lang w:val="en-GB"/>
        </w:rPr>
        <w:t>Recommended listing</w:t>
      </w:r>
    </w:p>
    <w:p w:rsidR="001179F9" w:rsidRPr="00EB18B8" w:rsidRDefault="001179F9" w:rsidP="001179F9">
      <w:pPr>
        <w:jc w:val="both"/>
        <w:rPr>
          <w:rFonts w:ascii="Arial" w:hAnsi="Arial" w:cs="Arial"/>
          <w:b/>
          <w:bCs/>
          <w:i/>
          <w:snapToGrid w:val="0"/>
          <w:sz w:val="22"/>
          <w:szCs w:val="22"/>
          <w:lang w:val="en-GB"/>
        </w:rPr>
      </w:pPr>
    </w:p>
    <w:p w:rsidR="001179F9" w:rsidRPr="00EB18B8" w:rsidRDefault="00BE3FA9" w:rsidP="00713AA4">
      <w:pPr>
        <w:widowControl w:val="0"/>
        <w:numPr>
          <w:ilvl w:val="1"/>
          <w:numId w:val="1"/>
        </w:numPr>
        <w:contextualSpacing/>
        <w:jc w:val="both"/>
        <w:rPr>
          <w:rFonts w:ascii="Arial" w:hAnsi="Arial" w:cs="Arial"/>
          <w:b/>
          <w:bCs/>
          <w:snapToGrid w:val="0"/>
          <w:sz w:val="22"/>
          <w:szCs w:val="22"/>
        </w:rPr>
      </w:pPr>
      <w:r w:rsidRPr="00EB18B8">
        <w:rPr>
          <w:rFonts w:ascii="Arial" w:hAnsi="Arial" w:cs="Arial"/>
          <w:bCs/>
          <w:snapToGrid w:val="0"/>
          <w:sz w:val="22"/>
          <w:szCs w:val="22"/>
        </w:rPr>
        <w:t>Amend existing</w:t>
      </w:r>
      <w:r w:rsidR="001179F9" w:rsidRPr="00EB18B8">
        <w:rPr>
          <w:rFonts w:ascii="Arial" w:hAnsi="Arial" w:cs="Arial"/>
          <w:bCs/>
          <w:snapToGrid w:val="0"/>
          <w:sz w:val="22"/>
          <w:szCs w:val="22"/>
        </w:rPr>
        <w:t xml:space="preserve"> listing as follows:</w:t>
      </w:r>
    </w:p>
    <w:p w:rsidR="001179F9" w:rsidRDefault="001179F9" w:rsidP="001179F9">
      <w:pPr>
        <w:pStyle w:val="NoSpacing"/>
        <w:rPr>
          <w:lang w:val="en-GB"/>
        </w:rPr>
      </w:pPr>
    </w:p>
    <w:tbl>
      <w:tblPr>
        <w:tblW w:w="8363" w:type="dxa"/>
        <w:tblInd w:w="817" w:type="dxa"/>
        <w:tblLayout w:type="fixed"/>
        <w:tblLook w:val="0000" w:firstRow="0" w:lastRow="0" w:firstColumn="0" w:lastColumn="0" w:noHBand="0" w:noVBand="0"/>
      </w:tblPr>
      <w:tblGrid>
        <w:gridCol w:w="1985"/>
        <w:gridCol w:w="1134"/>
        <w:gridCol w:w="988"/>
        <w:gridCol w:w="571"/>
        <w:gridCol w:w="1559"/>
        <w:gridCol w:w="1047"/>
        <w:gridCol w:w="1079"/>
      </w:tblGrid>
      <w:tr w:rsidR="00EB18B8" w:rsidRPr="0039782C" w:rsidTr="00187D9A">
        <w:trPr>
          <w:cantSplit/>
          <w:trHeight w:val="471"/>
        </w:trPr>
        <w:tc>
          <w:tcPr>
            <w:tcW w:w="3119" w:type="dxa"/>
            <w:gridSpan w:val="2"/>
            <w:tcBorders>
              <w:bottom w:val="single" w:sz="4" w:space="0" w:color="auto"/>
            </w:tcBorders>
          </w:tcPr>
          <w:p w:rsidR="00EB18B8" w:rsidRPr="0039782C" w:rsidRDefault="00EB18B8" w:rsidP="00187D9A">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EB18B8" w:rsidRPr="0039782C" w:rsidRDefault="00EB18B8" w:rsidP="00187D9A">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988" w:type="dxa"/>
            <w:tcBorders>
              <w:bottom w:val="single" w:sz="4" w:space="0" w:color="auto"/>
            </w:tcBorders>
          </w:tcPr>
          <w:p w:rsidR="00EB18B8" w:rsidRPr="0039782C" w:rsidRDefault="00EB18B8" w:rsidP="00187D9A">
            <w:pPr>
              <w:keepNext/>
              <w:ind w:left="-108"/>
              <w:jc w:val="center"/>
              <w:rPr>
                <w:rFonts w:ascii="Arial Narrow" w:hAnsi="Arial Narrow" w:cs="Arial"/>
                <w:b/>
                <w:sz w:val="20"/>
                <w:szCs w:val="20"/>
              </w:rPr>
            </w:pPr>
            <w:r>
              <w:rPr>
                <w:rFonts w:ascii="Arial Narrow" w:hAnsi="Arial Narrow" w:cs="Arial"/>
                <w:b/>
                <w:sz w:val="20"/>
                <w:szCs w:val="20"/>
              </w:rPr>
              <w:t xml:space="preserve"> </w:t>
            </w:r>
            <w:r w:rsidRPr="0039782C">
              <w:rPr>
                <w:rFonts w:ascii="Arial Narrow" w:hAnsi="Arial Narrow" w:cs="Arial"/>
                <w:b/>
                <w:sz w:val="20"/>
                <w:szCs w:val="20"/>
              </w:rPr>
              <w:t>Max.</w:t>
            </w:r>
          </w:p>
          <w:p w:rsidR="00EB18B8" w:rsidRPr="0039782C" w:rsidRDefault="00EB18B8" w:rsidP="00187D9A">
            <w:pPr>
              <w:keepNext/>
              <w:ind w:left="-108"/>
              <w:jc w:val="center"/>
              <w:rPr>
                <w:rFonts w:ascii="Arial Narrow" w:hAnsi="Arial Narrow" w:cs="Arial"/>
                <w:b/>
                <w:sz w:val="20"/>
                <w:szCs w:val="20"/>
              </w:rPr>
            </w:pPr>
            <w:r>
              <w:rPr>
                <w:rFonts w:ascii="Arial Narrow" w:hAnsi="Arial Narrow" w:cs="Arial"/>
                <w:b/>
                <w:sz w:val="20"/>
                <w:szCs w:val="20"/>
              </w:rPr>
              <w:t xml:space="preserve"> </w:t>
            </w:r>
            <w:r w:rsidRPr="0039782C">
              <w:rPr>
                <w:rFonts w:ascii="Arial Narrow" w:hAnsi="Arial Narrow" w:cs="Arial"/>
                <w:b/>
                <w:sz w:val="20"/>
                <w:szCs w:val="20"/>
              </w:rPr>
              <w:t>Qty</w:t>
            </w:r>
            <w:r>
              <w:rPr>
                <w:rFonts w:ascii="Arial Narrow" w:hAnsi="Arial Narrow" w:cs="Arial"/>
                <w:b/>
                <w:sz w:val="20"/>
                <w:szCs w:val="20"/>
              </w:rPr>
              <w:t xml:space="preserve"> packs</w:t>
            </w:r>
          </w:p>
        </w:tc>
        <w:tc>
          <w:tcPr>
            <w:tcW w:w="571" w:type="dxa"/>
            <w:tcBorders>
              <w:bottom w:val="single" w:sz="4" w:space="0" w:color="auto"/>
            </w:tcBorders>
          </w:tcPr>
          <w:p w:rsidR="00EB18B8" w:rsidRPr="0039782C" w:rsidRDefault="00EB18B8" w:rsidP="00187D9A">
            <w:pPr>
              <w:keepNext/>
              <w:ind w:left="-108"/>
              <w:jc w:val="center"/>
              <w:rPr>
                <w:rFonts w:ascii="Arial Narrow" w:hAnsi="Arial Narrow" w:cs="Arial"/>
                <w:b/>
                <w:sz w:val="20"/>
                <w:szCs w:val="20"/>
              </w:rPr>
            </w:pPr>
            <w:r w:rsidRPr="0039782C">
              <w:rPr>
                <w:rFonts w:ascii="Arial Narrow" w:hAnsi="Arial Narrow" w:cs="Arial"/>
                <w:b/>
                <w:sz w:val="20"/>
                <w:szCs w:val="20"/>
              </w:rPr>
              <w:t>№.of</w:t>
            </w:r>
          </w:p>
          <w:p w:rsidR="00EB18B8" w:rsidRPr="0039782C" w:rsidRDefault="00EB18B8" w:rsidP="00187D9A">
            <w:pPr>
              <w:keepNext/>
              <w:ind w:left="-108"/>
              <w:jc w:val="center"/>
              <w:rPr>
                <w:rFonts w:ascii="Arial Narrow" w:hAnsi="Arial Narrow" w:cs="Arial"/>
                <w:b/>
                <w:sz w:val="20"/>
                <w:szCs w:val="20"/>
              </w:rPr>
            </w:pPr>
            <w:r w:rsidRPr="0039782C">
              <w:rPr>
                <w:rFonts w:ascii="Arial Narrow" w:hAnsi="Arial Narrow" w:cs="Arial"/>
                <w:b/>
                <w:sz w:val="20"/>
                <w:szCs w:val="20"/>
              </w:rPr>
              <w:t>Rpts</w:t>
            </w:r>
          </w:p>
        </w:tc>
        <w:tc>
          <w:tcPr>
            <w:tcW w:w="1559" w:type="dxa"/>
            <w:tcBorders>
              <w:bottom w:val="single" w:sz="4" w:space="0" w:color="auto"/>
            </w:tcBorders>
          </w:tcPr>
          <w:p w:rsidR="00EB18B8" w:rsidRPr="0039782C" w:rsidRDefault="00EB18B8" w:rsidP="00B80FBB">
            <w:pPr>
              <w:keepNext/>
              <w:ind w:left="-108"/>
              <w:jc w:val="center"/>
              <w:rPr>
                <w:rFonts w:ascii="Arial Narrow" w:hAnsi="Arial Narrow" w:cs="Arial"/>
                <w:b/>
                <w:sz w:val="20"/>
                <w:szCs w:val="20"/>
              </w:rPr>
            </w:pPr>
          </w:p>
        </w:tc>
        <w:tc>
          <w:tcPr>
            <w:tcW w:w="2126" w:type="dxa"/>
            <w:gridSpan w:val="2"/>
            <w:tcBorders>
              <w:bottom w:val="single" w:sz="4" w:space="0" w:color="auto"/>
            </w:tcBorders>
          </w:tcPr>
          <w:p w:rsidR="00EB18B8" w:rsidRPr="0039782C" w:rsidRDefault="00EB18B8" w:rsidP="00187D9A">
            <w:pPr>
              <w:keepNext/>
              <w:jc w:val="center"/>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EB18B8" w:rsidRPr="00260CE3" w:rsidTr="00187D9A">
        <w:trPr>
          <w:cantSplit/>
          <w:trHeight w:val="577"/>
        </w:trPr>
        <w:tc>
          <w:tcPr>
            <w:tcW w:w="3119" w:type="dxa"/>
            <w:gridSpan w:val="2"/>
            <w:tcBorders>
              <w:top w:val="single" w:sz="4" w:space="0" w:color="auto"/>
            </w:tcBorders>
          </w:tcPr>
          <w:p w:rsidR="00EB18B8" w:rsidRPr="00260CE3" w:rsidRDefault="00EB18B8" w:rsidP="00187D9A">
            <w:pPr>
              <w:keepNext/>
              <w:ind w:left="-108"/>
              <w:jc w:val="both"/>
              <w:rPr>
                <w:rFonts w:ascii="Arial Narrow" w:hAnsi="Arial Narrow" w:cs="Arial"/>
                <w:sz w:val="20"/>
                <w:szCs w:val="20"/>
              </w:rPr>
            </w:pPr>
            <w:r>
              <w:rPr>
                <w:rFonts w:ascii="Arial Narrow" w:hAnsi="Arial Narrow" w:cs="Arial"/>
                <w:sz w:val="20"/>
                <w:szCs w:val="20"/>
              </w:rPr>
              <w:t>MANNITOL</w:t>
            </w:r>
          </w:p>
          <w:p w:rsidR="00EB18B8" w:rsidRPr="00260CE3" w:rsidRDefault="00EB18B8" w:rsidP="00187D9A">
            <w:pPr>
              <w:keepNext/>
              <w:ind w:left="-108"/>
              <w:jc w:val="both"/>
              <w:rPr>
                <w:rFonts w:ascii="Arial Narrow" w:hAnsi="Arial Narrow" w:cs="Arial"/>
                <w:sz w:val="20"/>
                <w:szCs w:val="20"/>
              </w:rPr>
            </w:pPr>
            <w:r w:rsidRPr="003E19C0">
              <w:rPr>
                <w:rFonts w:ascii="Arial Narrow" w:hAnsi="Arial Narrow" w:cs="Arial"/>
                <w:sz w:val="20"/>
                <w:szCs w:val="20"/>
              </w:rPr>
              <w:t>Pack containing 280 capsules containing powder for inhalation 40 mg and 2 inhalers, 1</w:t>
            </w:r>
          </w:p>
        </w:tc>
        <w:tc>
          <w:tcPr>
            <w:tcW w:w="988" w:type="dxa"/>
            <w:tcBorders>
              <w:top w:val="single" w:sz="4" w:space="0" w:color="auto"/>
            </w:tcBorders>
          </w:tcPr>
          <w:p w:rsidR="00EB18B8" w:rsidRPr="00260CE3" w:rsidRDefault="00EB18B8" w:rsidP="00187D9A">
            <w:pPr>
              <w:keepNext/>
              <w:ind w:left="-108"/>
              <w:jc w:val="center"/>
              <w:rPr>
                <w:rFonts w:ascii="Arial Narrow" w:hAnsi="Arial Narrow" w:cs="Arial"/>
                <w:sz w:val="20"/>
                <w:szCs w:val="20"/>
              </w:rPr>
            </w:pPr>
          </w:p>
          <w:p w:rsidR="00EB18B8" w:rsidRPr="00260CE3" w:rsidRDefault="00EB18B8" w:rsidP="00187D9A">
            <w:pPr>
              <w:keepNext/>
              <w:ind w:left="-108"/>
              <w:jc w:val="center"/>
              <w:rPr>
                <w:rFonts w:ascii="Arial Narrow" w:hAnsi="Arial Narrow" w:cs="Arial"/>
                <w:sz w:val="20"/>
                <w:szCs w:val="20"/>
              </w:rPr>
            </w:pPr>
            <w:r>
              <w:rPr>
                <w:rFonts w:ascii="Arial Narrow" w:hAnsi="Arial Narrow" w:cs="Arial"/>
                <w:sz w:val="20"/>
                <w:szCs w:val="20"/>
              </w:rPr>
              <w:t>4</w:t>
            </w:r>
          </w:p>
        </w:tc>
        <w:tc>
          <w:tcPr>
            <w:tcW w:w="571" w:type="dxa"/>
            <w:tcBorders>
              <w:top w:val="single" w:sz="4" w:space="0" w:color="auto"/>
            </w:tcBorders>
          </w:tcPr>
          <w:p w:rsidR="00EB18B8" w:rsidRPr="00260CE3" w:rsidRDefault="00EB18B8" w:rsidP="00187D9A">
            <w:pPr>
              <w:keepNext/>
              <w:ind w:left="-108"/>
              <w:jc w:val="center"/>
              <w:rPr>
                <w:rFonts w:ascii="Arial Narrow" w:hAnsi="Arial Narrow" w:cs="Arial"/>
                <w:sz w:val="20"/>
                <w:szCs w:val="20"/>
              </w:rPr>
            </w:pPr>
          </w:p>
          <w:p w:rsidR="00EB18B8" w:rsidRPr="00260CE3" w:rsidRDefault="00EB18B8" w:rsidP="00187D9A">
            <w:pPr>
              <w:keepNext/>
              <w:ind w:left="-108"/>
              <w:jc w:val="center"/>
              <w:rPr>
                <w:rFonts w:ascii="Arial Narrow" w:hAnsi="Arial Narrow" w:cs="Arial"/>
                <w:sz w:val="20"/>
                <w:szCs w:val="20"/>
              </w:rPr>
            </w:pPr>
            <w:r>
              <w:rPr>
                <w:rFonts w:ascii="Arial Narrow" w:hAnsi="Arial Narrow" w:cs="Arial"/>
                <w:sz w:val="20"/>
                <w:szCs w:val="20"/>
              </w:rPr>
              <w:t>5</w:t>
            </w:r>
          </w:p>
        </w:tc>
        <w:tc>
          <w:tcPr>
            <w:tcW w:w="1559" w:type="dxa"/>
            <w:tcBorders>
              <w:top w:val="single" w:sz="4" w:space="0" w:color="auto"/>
            </w:tcBorders>
          </w:tcPr>
          <w:p w:rsidR="00EB18B8" w:rsidRPr="00260CE3" w:rsidRDefault="00EB18B8" w:rsidP="00187D9A">
            <w:pPr>
              <w:keepNext/>
              <w:ind w:left="-108"/>
              <w:jc w:val="center"/>
              <w:rPr>
                <w:rFonts w:ascii="Arial Narrow" w:hAnsi="Arial Narrow" w:cs="Arial"/>
                <w:sz w:val="20"/>
                <w:szCs w:val="20"/>
              </w:rPr>
            </w:pPr>
          </w:p>
          <w:p w:rsidR="00EB18B8" w:rsidRDefault="00EB18B8" w:rsidP="00187D9A">
            <w:pPr>
              <w:keepNext/>
              <w:ind w:left="-108"/>
              <w:jc w:val="center"/>
              <w:rPr>
                <w:rFonts w:ascii="Arial Narrow" w:hAnsi="Arial Narrow" w:cs="Arial"/>
                <w:sz w:val="20"/>
                <w:szCs w:val="20"/>
              </w:rPr>
            </w:pPr>
          </w:p>
          <w:p w:rsidR="00EB18B8" w:rsidRPr="00260CE3" w:rsidRDefault="00EB18B8" w:rsidP="00B80FBB">
            <w:pPr>
              <w:keepNext/>
              <w:ind w:left="-108"/>
              <w:jc w:val="center"/>
              <w:rPr>
                <w:rFonts w:ascii="Arial Narrow" w:hAnsi="Arial Narrow" w:cs="Arial"/>
                <w:sz w:val="20"/>
                <w:szCs w:val="20"/>
              </w:rPr>
            </w:pPr>
          </w:p>
        </w:tc>
        <w:tc>
          <w:tcPr>
            <w:tcW w:w="1047" w:type="dxa"/>
            <w:tcBorders>
              <w:top w:val="single" w:sz="4" w:space="0" w:color="auto"/>
            </w:tcBorders>
          </w:tcPr>
          <w:p w:rsidR="00EB18B8" w:rsidRDefault="00EB18B8" w:rsidP="00187D9A">
            <w:pPr>
              <w:keepNext/>
              <w:jc w:val="center"/>
              <w:rPr>
                <w:rFonts w:ascii="Arial Narrow" w:hAnsi="Arial Narrow" w:cs="Arial"/>
                <w:sz w:val="20"/>
                <w:szCs w:val="20"/>
              </w:rPr>
            </w:pPr>
          </w:p>
          <w:p w:rsidR="00EB18B8" w:rsidRPr="00260CE3" w:rsidRDefault="00EB18B8" w:rsidP="00187D9A">
            <w:pPr>
              <w:keepNext/>
              <w:jc w:val="center"/>
              <w:rPr>
                <w:rFonts w:ascii="Arial Narrow" w:hAnsi="Arial Narrow" w:cs="Arial"/>
                <w:sz w:val="20"/>
                <w:szCs w:val="20"/>
              </w:rPr>
            </w:pPr>
            <w:proofErr w:type="spellStart"/>
            <w:r>
              <w:rPr>
                <w:rFonts w:ascii="Arial Narrow" w:hAnsi="Arial Narrow" w:cs="Arial"/>
                <w:sz w:val="20"/>
                <w:szCs w:val="20"/>
              </w:rPr>
              <w:t>Bronchitol</w:t>
            </w:r>
            <w:proofErr w:type="spellEnd"/>
            <w:r w:rsidRPr="00814E2D">
              <w:rPr>
                <w:b/>
                <w:sz w:val="20"/>
                <w:vertAlign w:val="superscript"/>
              </w:rPr>
              <w:t>®</w:t>
            </w:r>
          </w:p>
        </w:tc>
        <w:tc>
          <w:tcPr>
            <w:tcW w:w="1079" w:type="dxa"/>
            <w:tcBorders>
              <w:top w:val="single" w:sz="4" w:space="0" w:color="auto"/>
            </w:tcBorders>
          </w:tcPr>
          <w:p w:rsidR="00EB18B8" w:rsidRDefault="00EB18B8" w:rsidP="00187D9A">
            <w:pPr>
              <w:keepNext/>
              <w:jc w:val="center"/>
              <w:rPr>
                <w:rFonts w:ascii="Arial Narrow" w:hAnsi="Arial Narrow" w:cs="Arial"/>
                <w:sz w:val="20"/>
                <w:szCs w:val="20"/>
              </w:rPr>
            </w:pPr>
          </w:p>
          <w:p w:rsidR="00EB18B8" w:rsidRPr="00260CE3" w:rsidRDefault="00EB18B8" w:rsidP="00187D9A">
            <w:pPr>
              <w:keepNext/>
              <w:jc w:val="center"/>
              <w:rPr>
                <w:rFonts w:ascii="Arial Narrow" w:hAnsi="Arial Narrow" w:cs="Arial"/>
                <w:sz w:val="20"/>
                <w:szCs w:val="20"/>
              </w:rPr>
            </w:pPr>
            <w:proofErr w:type="spellStart"/>
            <w:r>
              <w:rPr>
                <w:rFonts w:ascii="Arial Narrow" w:hAnsi="Arial Narrow" w:cs="Arial"/>
                <w:sz w:val="20"/>
                <w:szCs w:val="20"/>
              </w:rPr>
              <w:t>Pharmaxis</w:t>
            </w:r>
            <w:proofErr w:type="spellEnd"/>
          </w:p>
        </w:tc>
      </w:tr>
      <w:tr w:rsidR="00EB18B8" w:rsidRPr="00260CE3" w:rsidTr="00187D9A">
        <w:trPr>
          <w:cantSplit/>
          <w:trHeight w:val="360"/>
        </w:trPr>
        <w:tc>
          <w:tcPr>
            <w:tcW w:w="8363" w:type="dxa"/>
            <w:gridSpan w:val="7"/>
            <w:tcBorders>
              <w:bottom w:val="single" w:sz="4" w:space="0" w:color="auto"/>
            </w:tcBorders>
          </w:tcPr>
          <w:p w:rsidR="00EB18B8" w:rsidRPr="00260CE3" w:rsidRDefault="00EB18B8" w:rsidP="00187D9A">
            <w:pPr>
              <w:jc w:val="both"/>
              <w:rPr>
                <w:rFonts w:ascii="Arial Narrow" w:hAnsi="Arial Narrow" w:cs="Arial"/>
                <w:sz w:val="20"/>
                <w:szCs w:val="20"/>
              </w:rPr>
            </w:pPr>
          </w:p>
        </w:tc>
      </w:tr>
      <w:tr w:rsidR="00EB18B8" w:rsidRPr="00260CE3" w:rsidTr="00187D9A">
        <w:trPr>
          <w:cantSplit/>
          <w:trHeight w:val="257"/>
        </w:trPr>
        <w:tc>
          <w:tcPr>
            <w:tcW w:w="1985" w:type="dxa"/>
            <w:tcBorders>
              <w:top w:val="single" w:sz="4" w:space="0" w:color="auto"/>
              <w:left w:val="single" w:sz="4" w:space="0" w:color="auto"/>
              <w:bottom w:val="single" w:sz="4" w:space="0" w:color="auto"/>
              <w:right w:val="single" w:sz="4" w:space="0" w:color="auto"/>
            </w:tcBorders>
            <w:vAlign w:val="center"/>
          </w:tcPr>
          <w:p w:rsidR="00EB18B8" w:rsidRPr="00260CE3" w:rsidRDefault="00EB18B8" w:rsidP="00187D9A">
            <w:pPr>
              <w:rPr>
                <w:rFonts w:ascii="Arial Narrow" w:hAnsi="Arial Narrow" w:cs="Arial"/>
                <w:b/>
                <w:sz w:val="20"/>
                <w:szCs w:val="20"/>
              </w:rPr>
            </w:pPr>
            <w:r w:rsidRPr="00260CE3">
              <w:rPr>
                <w:rFonts w:ascii="Arial Narrow" w:hAnsi="Arial Narrow" w:cs="Arial"/>
                <w:b/>
                <w:sz w:val="20"/>
                <w:szCs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EB18B8" w:rsidRPr="00260CE3" w:rsidRDefault="00EB18B8" w:rsidP="00187D9A">
            <w:pPr>
              <w:rPr>
                <w:rFonts w:ascii="Arial Narrow" w:hAnsi="Arial Narrow" w:cs="Arial"/>
                <w:sz w:val="20"/>
                <w:szCs w:val="20"/>
              </w:rPr>
            </w:pPr>
            <w:r w:rsidRPr="00260CE3">
              <w:rPr>
                <w:rFonts w:ascii="Arial Narrow" w:hAnsi="Arial Narrow" w:cs="Arial"/>
                <w:sz w:val="20"/>
                <w:szCs w:val="20"/>
              </w:rPr>
              <w:t>Section 100 – Highly Specialised Drugs Program</w:t>
            </w:r>
          </w:p>
        </w:tc>
      </w:tr>
      <w:tr w:rsidR="00EB18B8" w:rsidRPr="00260CE3" w:rsidTr="00187D9A">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EB18B8" w:rsidRPr="00260CE3" w:rsidRDefault="00EB18B8" w:rsidP="00187D9A">
            <w:pPr>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EB18B8" w:rsidRPr="00260CE3" w:rsidRDefault="00EB18B8" w:rsidP="00187D9A">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E369E1">
              <w:rPr>
                <w:rFonts w:ascii="Arial Narrow" w:hAnsi="Arial Narrow" w:cs="Arial"/>
                <w:sz w:val="20"/>
                <w:szCs w:val="20"/>
              </w:rPr>
            </w:r>
            <w:r w:rsidR="00E369E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369E1">
              <w:rPr>
                <w:rFonts w:ascii="Arial Narrow" w:hAnsi="Arial Narrow" w:cs="Arial"/>
                <w:sz w:val="20"/>
                <w:szCs w:val="20"/>
              </w:rPr>
            </w:r>
            <w:r w:rsidR="00E369E1">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E369E1">
              <w:rPr>
                <w:rFonts w:ascii="Arial Narrow" w:hAnsi="Arial Narrow" w:cs="Arial"/>
                <w:sz w:val="20"/>
                <w:szCs w:val="20"/>
              </w:rPr>
            </w:r>
            <w:r w:rsidR="00E369E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E369E1">
              <w:rPr>
                <w:rFonts w:ascii="Arial Narrow" w:hAnsi="Arial Narrow" w:cs="Arial"/>
                <w:sz w:val="20"/>
                <w:szCs w:val="20"/>
              </w:rPr>
            </w:r>
            <w:r w:rsidR="00E369E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EB18B8" w:rsidRPr="00260CE3" w:rsidRDefault="00EB18B8" w:rsidP="00187D9A">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E369E1">
              <w:rPr>
                <w:rFonts w:ascii="Arial Narrow" w:hAnsi="Arial Narrow" w:cs="Arial"/>
                <w:sz w:val="20"/>
                <w:szCs w:val="20"/>
              </w:rPr>
            </w:r>
            <w:r w:rsidR="00E369E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EB18B8" w:rsidRPr="00260CE3" w:rsidTr="00187D9A">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EB18B8" w:rsidRPr="00260CE3" w:rsidRDefault="00EB18B8" w:rsidP="00187D9A">
            <w:pPr>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EB18B8" w:rsidRPr="00260CE3" w:rsidRDefault="00EB18B8" w:rsidP="00187D9A">
            <w:pPr>
              <w:rPr>
                <w:rFonts w:ascii="Arial Narrow" w:hAnsi="Arial Narrow" w:cs="Arial"/>
                <w:sz w:val="20"/>
                <w:szCs w:val="20"/>
              </w:rPr>
            </w:pPr>
            <w:r>
              <w:rPr>
                <w:rFonts w:ascii="Arial Narrow" w:hAnsi="Arial Narrow" w:cs="Arial"/>
                <w:sz w:val="20"/>
                <w:szCs w:val="20"/>
              </w:rPr>
              <w:t>Cystic fibrosis</w:t>
            </w:r>
          </w:p>
        </w:tc>
      </w:tr>
      <w:tr w:rsidR="00EB18B8" w:rsidRPr="00260CE3" w:rsidTr="00187D9A">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EB18B8" w:rsidRPr="006753DF" w:rsidRDefault="00EB18B8" w:rsidP="00187D9A">
            <w:pPr>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6378" w:type="dxa"/>
            <w:gridSpan w:val="6"/>
            <w:tcBorders>
              <w:top w:val="single" w:sz="4" w:space="0" w:color="auto"/>
              <w:left w:val="single" w:sz="4" w:space="0" w:color="auto"/>
              <w:bottom w:val="single" w:sz="4" w:space="0" w:color="auto"/>
              <w:right w:val="single" w:sz="4" w:space="0" w:color="auto"/>
            </w:tcBorders>
          </w:tcPr>
          <w:p w:rsidR="00EB18B8" w:rsidRPr="00106BCF" w:rsidRDefault="00EB18B8" w:rsidP="00187D9A">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E369E1">
              <w:rPr>
                <w:rFonts w:ascii="Arial Narrow" w:hAnsi="Arial Narrow" w:cs="Arial"/>
                <w:sz w:val="20"/>
                <w:szCs w:val="20"/>
              </w:rPr>
            </w:r>
            <w:r w:rsidR="00E369E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(Private hospital)</w:t>
            </w:r>
          </w:p>
          <w:p w:rsidR="00EB18B8" w:rsidRPr="00260CE3" w:rsidRDefault="00EB18B8" w:rsidP="00187D9A">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E369E1">
              <w:rPr>
                <w:rFonts w:ascii="Arial Narrow" w:hAnsi="Arial Narrow" w:cs="Arial"/>
                <w:sz w:val="20"/>
                <w:szCs w:val="20"/>
              </w:rPr>
            </w:r>
            <w:r w:rsidR="00E369E1">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r>
              <w:rPr>
                <w:rFonts w:ascii="Arial Narrow" w:hAnsi="Arial Narrow" w:cs="Arial"/>
                <w:sz w:val="20"/>
                <w:szCs w:val="20"/>
              </w:rPr>
              <w:t xml:space="preserve"> (Public hospital)</w:t>
            </w:r>
          </w:p>
        </w:tc>
      </w:tr>
      <w:tr w:rsidR="00EB18B8" w:rsidRPr="00F45D5E" w:rsidTr="00187D9A">
        <w:trPr>
          <w:cantSplit/>
          <w:trHeight w:val="360"/>
        </w:trPr>
        <w:tc>
          <w:tcPr>
            <w:tcW w:w="1985" w:type="dxa"/>
            <w:tcBorders>
              <w:top w:val="single" w:sz="4" w:space="0" w:color="auto"/>
              <w:left w:val="single" w:sz="4" w:space="0" w:color="auto"/>
              <w:bottom w:val="single" w:sz="4" w:space="0" w:color="auto"/>
              <w:right w:val="single" w:sz="4" w:space="0" w:color="auto"/>
            </w:tcBorders>
          </w:tcPr>
          <w:p w:rsidR="00EB18B8" w:rsidRPr="00FD03EE" w:rsidRDefault="00EB18B8" w:rsidP="00187D9A">
            <w:pPr>
              <w:jc w:val="both"/>
              <w:rPr>
                <w:rFonts w:ascii="Arial Narrow" w:hAnsi="Arial Narrow" w:cs="Arial"/>
                <w:b/>
                <w:sz w:val="20"/>
                <w:szCs w:val="20"/>
              </w:rPr>
            </w:pPr>
            <w:r w:rsidRPr="00260CE3">
              <w:rPr>
                <w:rFonts w:ascii="Arial Narrow" w:hAnsi="Arial Narrow" w:cs="Arial"/>
                <w:b/>
                <w:sz w:val="20"/>
                <w:szCs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EB18B8" w:rsidRPr="007024DD" w:rsidRDefault="00EB18B8" w:rsidP="00187D9A">
            <w:pPr>
              <w:rPr>
                <w:rFonts w:ascii="Arial Narrow" w:hAnsi="Arial Narrow" w:cs="Arial"/>
                <w:sz w:val="20"/>
                <w:szCs w:val="20"/>
              </w:rPr>
            </w:pPr>
            <w:r w:rsidRPr="007024DD">
              <w:rPr>
                <w:rFonts w:ascii="Arial Narrow" w:hAnsi="Arial Narrow" w:cs="Arial"/>
                <w:sz w:val="20"/>
                <w:szCs w:val="20"/>
              </w:rPr>
              <w:t xml:space="preserve">Patient must have been assessed for bronchial </w:t>
            </w:r>
            <w:proofErr w:type="spellStart"/>
            <w:r w:rsidRPr="007024DD">
              <w:rPr>
                <w:rFonts w:ascii="Arial Narrow" w:hAnsi="Arial Narrow" w:cs="Arial"/>
                <w:sz w:val="20"/>
                <w:szCs w:val="20"/>
              </w:rPr>
              <w:t>hyperresponsiveness</w:t>
            </w:r>
            <w:proofErr w:type="spellEnd"/>
            <w:r w:rsidRPr="007024DD">
              <w:rPr>
                <w:rFonts w:ascii="Arial Narrow" w:hAnsi="Arial Narrow" w:cs="Arial"/>
                <w:sz w:val="20"/>
                <w:szCs w:val="20"/>
              </w:rPr>
              <w:t xml:space="preserve"> as per the TGA approved Product Information mannitol initiation dose assessment, prior to mannitol therapy</w:t>
            </w:r>
            <w:r>
              <w:rPr>
                <w:rFonts w:ascii="Arial Narrow" w:hAnsi="Arial Narrow" w:cs="Arial"/>
                <w:sz w:val="20"/>
                <w:szCs w:val="20"/>
              </w:rPr>
              <w:t xml:space="preserve">, </w:t>
            </w:r>
            <w:r w:rsidR="00724D80">
              <w:rPr>
                <w:rFonts w:ascii="Arial Narrow" w:hAnsi="Arial Narrow" w:cs="Arial"/>
                <w:sz w:val="20"/>
                <w:szCs w:val="20"/>
              </w:rPr>
              <w:t>with a negative result;</w:t>
            </w:r>
            <w:r w:rsidRPr="007024DD">
              <w:rPr>
                <w:rFonts w:ascii="Arial Narrow" w:hAnsi="Arial Narrow" w:cs="Arial"/>
                <w:sz w:val="20"/>
                <w:szCs w:val="20"/>
              </w:rPr>
              <w:t xml:space="preserve"> </w:t>
            </w:r>
          </w:p>
          <w:p w:rsidR="00EB18B8" w:rsidRPr="007024DD" w:rsidRDefault="00EB18B8" w:rsidP="00187D9A">
            <w:pPr>
              <w:rPr>
                <w:rFonts w:ascii="Arial Narrow" w:hAnsi="Arial Narrow" w:cs="Arial"/>
                <w:sz w:val="20"/>
                <w:szCs w:val="20"/>
              </w:rPr>
            </w:pPr>
          </w:p>
          <w:p w:rsidR="00EB18B8" w:rsidRPr="007024DD" w:rsidRDefault="00EB18B8" w:rsidP="00187D9A">
            <w:pPr>
              <w:rPr>
                <w:rFonts w:ascii="Arial Narrow" w:hAnsi="Arial Narrow" w:cs="Arial"/>
                <w:sz w:val="20"/>
                <w:szCs w:val="20"/>
              </w:rPr>
            </w:pPr>
            <w:r w:rsidRPr="007024DD">
              <w:rPr>
                <w:rFonts w:ascii="Arial Narrow" w:hAnsi="Arial Narrow" w:cs="Arial"/>
                <w:sz w:val="20"/>
                <w:szCs w:val="20"/>
              </w:rPr>
              <w:t>AND</w:t>
            </w:r>
          </w:p>
          <w:p w:rsidR="00EB18B8" w:rsidRPr="007024DD" w:rsidRDefault="00EB18B8" w:rsidP="00187D9A">
            <w:pPr>
              <w:rPr>
                <w:rFonts w:ascii="Arial Narrow" w:hAnsi="Arial Narrow" w:cs="Arial"/>
                <w:sz w:val="20"/>
                <w:szCs w:val="20"/>
              </w:rPr>
            </w:pPr>
          </w:p>
          <w:p w:rsidR="00EB18B8" w:rsidRPr="00724D80" w:rsidRDefault="00EB18B8" w:rsidP="00187D9A">
            <w:pPr>
              <w:rPr>
                <w:rFonts w:ascii="Arial Narrow" w:hAnsi="Arial Narrow" w:cs="Arial"/>
                <w:sz w:val="20"/>
                <w:szCs w:val="20"/>
              </w:rPr>
            </w:pPr>
            <w:r w:rsidRPr="00EB18B8">
              <w:rPr>
                <w:rFonts w:ascii="Arial Narrow" w:hAnsi="Arial Narrow" w:cs="Arial"/>
                <w:sz w:val="20"/>
                <w:szCs w:val="20"/>
              </w:rPr>
              <w:t xml:space="preserve">Patient must be intolerant or inadequately responsive to </w:t>
            </w:r>
            <w:proofErr w:type="spellStart"/>
            <w:r w:rsidRPr="00EB18B8">
              <w:rPr>
                <w:rFonts w:ascii="Arial Narrow" w:hAnsi="Arial Narrow" w:cs="Arial"/>
                <w:sz w:val="20"/>
                <w:szCs w:val="20"/>
              </w:rPr>
              <w:t>dornase</w:t>
            </w:r>
            <w:proofErr w:type="spellEnd"/>
            <w:r w:rsidRPr="00EB18B8">
              <w:rPr>
                <w:rFonts w:ascii="Arial Narrow" w:hAnsi="Arial Narrow" w:cs="Arial"/>
                <w:sz w:val="20"/>
                <w:szCs w:val="20"/>
              </w:rPr>
              <w:t xml:space="preserve"> </w:t>
            </w:r>
            <w:proofErr w:type="spellStart"/>
            <w:r w:rsidRPr="00EB18B8">
              <w:rPr>
                <w:rFonts w:ascii="Arial Narrow" w:hAnsi="Arial Narrow" w:cs="Arial"/>
                <w:sz w:val="20"/>
                <w:szCs w:val="20"/>
              </w:rPr>
              <w:t>alfa</w:t>
            </w:r>
            <w:proofErr w:type="spellEnd"/>
            <w:r w:rsidR="00724D80">
              <w:rPr>
                <w:rFonts w:ascii="Arial Narrow" w:hAnsi="Arial Narrow" w:cs="Arial"/>
                <w:sz w:val="20"/>
                <w:szCs w:val="20"/>
              </w:rPr>
              <w:t>.</w:t>
            </w:r>
          </w:p>
        </w:tc>
      </w:tr>
      <w:tr w:rsidR="00EB18B8" w:rsidRPr="00260CE3" w:rsidTr="00187D9A">
        <w:trPr>
          <w:cantSplit/>
          <w:trHeight w:val="360"/>
        </w:trPr>
        <w:tc>
          <w:tcPr>
            <w:tcW w:w="1985" w:type="dxa"/>
            <w:tcBorders>
              <w:top w:val="single" w:sz="4" w:space="0" w:color="auto"/>
              <w:left w:val="single" w:sz="4" w:space="0" w:color="auto"/>
              <w:bottom w:val="single" w:sz="4" w:space="0" w:color="auto"/>
              <w:right w:val="single" w:sz="4" w:space="0" w:color="auto"/>
            </w:tcBorders>
          </w:tcPr>
          <w:p w:rsidR="00EB18B8" w:rsidRPr="00FD03EE" w:rsidRDefault="00EB18B8" w:rsidP="00187D9A">
            <w:pPr>
              <w:jc w:val="both"/>
              <w:rPr>
                <w:rFonts w:ascii="Arial Narrow" w:hAnsi="Arial Narrow" w:cs="Arial"/>
                <w:b/>
                <w:sz w:val="20"/>
                <w:szCs w:val="20"/>
              </w:rPr>
            </w:pPr>
            <w:r w:rsidRPr="00260CE3">
              <w:rPr>
                <w:rFonts w:ascii="Arial Narrow" w:hAnsi="Arial Narrow" w:cs="Arial"/>
                <w:b/>
                <w:sz w:val="20"/>
                <w:szCs w:val="20"/>
              </w:rPr>
              <w:lastRenderedPageBreak/>
              <w:t>Population criteria:</w:t>
            </w:r>
          </w:p>
        </w:tc>
        <w:tc>
          <w:tcPr>
            <w:tcW w:w="6378" w:type="dxa"/>
            <w:gridSpan w:val="6"/>
            <w:tcBorders>
              <w:top w:val="single" w:sz="4" w:space="0" w:color="auto"/>
              <w:left w:val="single" w:sz="4" w:space="0" w:color="auto"/>
              <w:bottom w:val="single" w:sz="4" w:space="0" w:color="auto"/>
              <w:right w:val="single" w:sz="4" w:space="0" w:color="auto"/>
            </w:tcBorders>
          </w:tcPr>
          <w:p w:rsidR="00EB18B8" w:rsidRPr="00F45D5E" w:rsidRDefault="00EB18B8" w:rsidP="00187D9A">
            <w:pPr>
              <w:rPr>
                <w:rFonts w:ascii="Arial Narrow" w:hAnsi="Arial Narrow" w:cs="Arial"/>
                <w:strike/>
                <w:sz w:val="20"/>
                <w:szCs w:val="20"/>
              </w:rPr>
            </w:pPr>
            <w:r w:rsidRPr="00EB18B8">
              <w:rPr>
                <w:rFonts w:ascii="Arial Narrow" w:hAnsi="Arial Narrow" w:cs="Arial"/>
                <w:sz w:val="20"/>
                <w:szCs w:val="20"/>
              </w:rPr>
              <w:t>Patient must be 6 years of age or olde</w:t>
            </w:r>
            <w:r>
              <w:rPr>
                <w:rFonts w:ascii="Arial Narrow" w:hAnsi="Arial Narrow" w:cs="Arial"/>
                <w:sz w:val="20"/>
                <w:szCs w:val="20"/>
              </w:rPr>
              <w:t>r.</w:t>
            </w:r>
          </w:p>
          <w:p w:rsidR="00EB18B8" w:rsidRPr="00077858" w:rsidRDefault="00EB18B8" w:rsidP="00187D9A">
            <w:pPr>
              <w:rPr>
                <w:rFonts w:ascii="Arial Narrow" w:hAnsi="Arial Narrow" w:cs="Arial"/>
                <w:sz w:val="20"/>
                <w:szCs w:val="20"/>
              </w:rPr>
            </w:pPr>
          </w:p>
          <w:p w:rsidR="00EB18B8" w:rsidRPr="00077858" w:rsidRDefault="00EB18B8" w:rsidP="00187D9A">
            <w:pPr>
              <w:rPr>
                <w:rFonts w:ascii="Arial Narrow" w:hAnsi="Arial Narrow" w:cs="Arial"/>
                <w:sz w:val="20"/>
                <w:szCs w:val="20"/>
              </w:rPr>
            </w:pPr>
            <w:r w:rsidRPr="00077858">
              <w:rPr>
                <w:rFonts w:ascii="Arial Narrow" w:hAnsi="Arial Narrow" w:cs="Arial"/>
                <w:sz w:val="20"/>
                <w:szCs w:val="20"/>
              </w:rPr>
              <w:t>Patient must be assessed at a cystic fibrosis clinic/centre which is under the control of specialist respiratory physicians with experience and expertise in th</w:t>
            </w:r>
            <w:r>
              <w:rPr>
                <w:rFonts w:ascii="Arial Narrow" w:hAnsi="Arial Narrow" w:cs="Arial"/>
                <w:sz w:val="20"/>
                <w:szCs w:val="20"/>
              </w:rPr>
              <w:t xml:space="preserve">e management of cystic fibrosis </w:t>
            </w:r>
            <w:r w:rsidRPr="002B5780">
              <w:rPr>
                <w:rFonts w:ascii="Arial Narrow" w:hAnsi="Arial Narrow" w:cs="Arial"/>
                <w:sz w:val="20"/>
                <w:szCs w:val="20"/>
              </w:rPr>
              <w:t>or</w:t>
            </w:r>
            <w:r>
              <w:rPr>
                <w:rFonts w:ascii="Arial Narrow" w:hAnsi="Arial Narrow" w:cs="Arial"/>
                <w:i/>
                <w:sz w:val="20"/>
                <w:szCs w:val="20"/>
              </w:rPr>
              <w:t xml:space="preserve"> </w:t>
            </w:r>
            <w:r w:rsidRPr="00077858">
              <w:rPr>
                <w:rFonts w:ascii="Arial Narrow" w:hAnsi="Arial Narrow" w:cs="Arial"/>
                <w:sz w:val="20"/>
                <w:szCs w:val="20"/>
              </w:rPr>
              <w:t xml:space="preserve">by a specialist physician or paediatrician in consultation with such a unit. </w:t>
            </w:r>
          </w:p>
          <w:p w:rsidR="00EB18B8" w:rsidRPr="00077858" w:rsidRDefault="00EB18B8" w:rsidP="00187D9A">
            <w:pPr>
              <w:rPr>
                <w:rFonts w:ascii="Arial Narrow" w:hAnsi="Arial Narrow" w:cs="Arial"/>
                <w:sz w:val="20"/>
                <w:szCs w:val="20"/>
              </w:rPr>
            </w:pPr>
          </w:p>
          <w:p w:rsidR="00EB18B8" w:rsidRPr="00077858" w:rsidRDefault="00EB18B8" w:rsidP="00187D9A">
            <w:pPr>
              <w:rPr>
                <w:rFonts w:ascii="Arial Narrow" w:hAnsi="Arial Narrow" w:cs="Arial"/>
                <w:sz w:val="20"/>
                <w:szCs w:val="20"/>
              </w:rPr>
            </w:pPr>
            <w:r w:rsidRPr="00077858">
              <w:rPr>
                <w:rFonts w:ascii="Arial Narrow" w:hAnsi="Arial Narrow" w:cs="Arial"/>
                <w:sz w:val="20"/>
                <w:szCs w:val="20"/>
              </w:rPr>
              <w:t>Prior to mannitol therapy, a baseline measurement of FEV1 must be undertaken during a stable period of the disease.</w:t>
            </w:r>
          </w:p>
          <w:p w:rsidR="00EB18B8" w:rsidRPr="00077858" w:rsidRDefault="00EB18B8" w:rsidP="00187D9A">
            <w:pPr>
              <w:rPr>
                <w:rFonts w:ascii="Arial Narrow" w:hAnsi="Arial Narrow" w:cs="Arial"/>
                <w:sz w:val="20"/>
                <w:szCs w:val="20"/>
              </w:rPr>
            </w:pPr>
          </w:p>
          <w:p w:rsidR="00EB18B8" w:rsidRPr="00077858" w:rsidRDefault="00EB18B8" w:rsidP="00187D9A">
            <w:pPr>
              <w:rPr>
                <w:rFonts w:ascii="Arial Narrow" w:hAnsi="Arial Narrow" w:cs="Arial"/>
                <w:sz w:val="20"/>
                <w:szCs w:val="20"/>
              </w:rPr>
            </w:pPr>
            <w:r w:rsidRPr="00077858">
              <w:rPr>
                <w:rFonts w:ascii="Arial Narrow" w:hAnsi="Arial Narrow" w:cs="Arial"/>
                <w:sz w:val="20"/>
                <w:szCs w:val="20"/>
              </w:rPr>
              <w:t>Initial therapy is limited to 3 months treatment with mannitol at a dose of 400 mg twice daily.</w:t>
            </w:r>
          </w:p>
          <w:p w:rsidR="00EB18B8" w:rsidRPr="00077858" w:rsidRDefault="00EB18B8" w:rsidP="00187D9A">
            <w:pPr>
              <w:rPr>
                <w:rFonts w:ascii="Arial Narrow" w:hAnsi="Arial Narrow" w:cs="Arial"/>
                <w:sz w:val="20"/>
                <w:szCs w:val="20"/>
              </w:rPr>
            </w:pPr>
          </w:p>
          <w:p w:rsidR="00EB18B8" w:rsidRPr="00077858" w:rsidRDefault="00EB18B8" w:rsidP="00187D9A">
            <w:pPr>
              <w:rPr>
                <w:rFonts w:ascii="Arial Narrow" w:hAnsi="Arial Narrow" w:cs="Arial"/>
                <w:sz w:val="20"/>
                <w:szCs w:val="20"/>
              </w:rPr>
            </w:pPr>
            <w:r w:rsidRPr="00077858">
              <w:rPr>
                <w:rFonts w:ascii="Arial Narrow" w:hAnsi="Arial Narrow" w:cs="Arial"/>
                <w:sz w:val="20"/>
                <w:szCs w:val="20"/>
              </w:rPr>
              <w:t>To be eligible for continued PBS-subsidised treatment with mannitol following 3 months of initial treatment:</w:t>
            </w:r>
          </w:p>
          <w:p w:rsidR="00EB18B8" w:rsidRPr="00077858" w:rsidRDefault="00EB18B8" w:rsidP="00187D9A">
            <w:pPr>
              <w:rPr>
                <w:rFonts w:ascii="Arial Narrow" w:hAnsi="Arial Narrow" w:cs="Arial"/>
                <w:sz w:val="20"/>
                <w:szCs w:val="20"/>
              </w:rPr>
            </w:pPr>
          </w:p>
          <w:p w:rsidR="00EB18B8" w:rsidRPr="00077858" w:rsidRDefault="00EB18B8" w:rsidP="00187D9A">
            <w:pPr>
              <w:rPr>
                <w:rFonts w:ascii="Arial Narrow" w:hAnsi="Arial Narrow" w:cs="Arial"/>
                <w:sz w:val="20"/>
                <w:szCs w:val="20"/>
              </w:rPr>
            </w:pPr>
            <w:r w:rsidRPr="00077858">
              <w:rPr>
                <w:rFonts w:ascii="Arial Narrow" w:hAnsi="Arial Narrow" w:cs="Arial"/>
                <w:sz w:val="20"/>
                <w:szCs w:val="20"/>
              </w:rPr>
              <w:t>(1) the patient must demonstrate no deterioration in FEV1 compared to baseline; AND</w:t>
            </w:r>
          </w:p>
          <w:p w:rsidR="00EB18B8" w:rsidRPr="00077858" w:rsidRDefault="00EB18B8" w:rsidP="00187D9A">
            <w:pPr>
              <w:rPr>
                <w:rFonts w:ascii="Arial Narrow" w:hAnsi="Arial Narrow" w:cs="Arial"/>
                <w:sz w:val="20"/>
                <w:szCs w:val="20"/>
              </w:rPr>
            </w:pPr>
          </w:p>
          <w:p w:rsidR="00EB18B8" w:rsidRPr="00077858" w:rsidRDefault="00EB18B8" w:rsidP="00187D9A">
            <w:pPr>
              <w:rPr>
                <w:rFonts w:ascii="Arial Narrow" w:hAnsi="Arial Narrow" w:cs="Arial"/>
                <w:sz w:val="20"/>
                <w:szCs w:val="20"/>
              </w:rPr>
            </w:pPr>
            <w:r w:rsidRPr="00077858">
              <w:rPr>
                <w:rFonts w:ascii="Arial Narrow" w:hAnsi="Arial Narrow" w:cs="Arial"/>
                <w:sz w:val="20"/>
                <w:szCs w:val="20"/>
              </w:rPr>
              <w:t xml:space="preserve">(2) the patient or the patient's family (in the case of paediatric patients); AND </w:t>
            </w:r>
          </w:p>
          <w:p w:rsidR="00EB18B8" w:rsidRPr="00077858" w:rsidRDefault="00EB18B8" w:rsidP="00187D9A">
            <w:pPr>
              <w:rPr>
                <w:rFonts w:ascii="Arial Narrow" w:hAnsi="Arial Narrow" w:cs="Arial"/>
                <w:sz w:val="20"/>
                <w:szCs w:val="20"/>
              </w:rPr>
            </w:pPr>
          </w:p>
          <w:p w:rsidR="00EB18B8" w:rsidRPr="00077858" w:rsidRDefault="00EB18B8" w:rsidP="00187D9A">
            <w:pPr>
              <w:rPr>
                <w:rFonts w:ascii="Arial Narrow" w:hAnsi="Arial Narrow" w:cs="Arial"/>
                <w:sz w:val="20"/>
                <w:szCs w:val="20"/>
              </w:rPr>
            </w:pPr>
            <w:r w:rsidRPr="00077858">
              <w:rPr>
                <w:rFonts w:ascii="Arial Narrow" w:hAnsi="Arial Narrow" w:cs="Arial"/>
                <w:sz w:val="20"/>
                <w:szCs w:val="20"/>
              </w:rPr>
              <w:t xml:space="preserve">(3) </w:t>
            </w:r>
            <w:proofErr w:type="gramStart"/>
            <w:r w:rsidRPr="00077858">
              <w:rPr>
                <w:rFonts w:ascii="Arial Narrow" w:hAnsi="Arial Narrow" w:cs="Arial"/>
                <w:sz w:val="20"/>
                <w:szCs w:val="20"/>
              </w:rPr>
              <w:t>the</w:t>
            </w:r>
            <w:proofErr w:type="gramEnd"/>
            <w:r w:rsidRPr="00077858">
              <w:rPr>
                <w:rFonts w:ascii="Arial Narrow" w:hAnsi="Arial Narrow" w:cs="Arial"/>
                <w:sz w:val="20"/>
                <w:szCs w:val="20"/>
              </w:rPr>
              <w:t xml:space="preserve"> treating physician(s) must report a benefit in the clinical status of the patient.</w:t>
            </w:r>
          </w:p>
          <w:p w:rsidR="00EB18B8" w:rsidRPr="00077858" w:rsidRDefault="00EB18B8" w:rsidP="00187D9A">
            <w:pPr>
              <w:rPr>
                <w:rFonts w:ascii="Arial Narrow" w:hAnsi="Arial Narrow" w:cs="Arial"/>
                <w:sz w:val="20"/>
                <w:szCs w:val="20"/>
              </w:rPr>
            </w:pPr>
          </w:p>
          <w:p w:rsidR="00EB18B8" w:rsidRPr="00077858" w:rsidRDefault="00EB18B8" w:rsidP="00187D9A">
            <w:pPr>
              <w:rPr>
                <w:rFonts w:ascii="Arial Narrow" w:hAnsi="Arial Narrow" w:cs="Arial"/>
                <w:sz w:val="20"/>
                <w:szCs w:val="20"/>
              </w:rPr>
            </w:pPr>
            <w:r w:rsidRPr="00077858">
              <w:rPr>
                <w:rFonts w:ascii="Arial Narrow" w:hAnsi="Arial Narrow" w:cs="Arial"/>
                <w:sz w:val="20"/>
                <w:szCs w:val="20"/>
              </w:rPr>
              <w:t xml:space="preserve">Further reassessments must be undertaken and documented at six-monthly intervals. Mannitol therapy should cease if there is not general agreement of benefit as there is always the possibility of harm from unnecessary use. </w:t>
            </w:r>
          </w:p>
          <w:p w:rsidR="00EB18B8" w:rsidRPr="00260CE3" w:rsidRDefault="00EB18B8" w:rsidP="00187D9A">
            <w:pPr>
              <w:rPr>
                <w:rFonts w:ascii="Arial Narrow" w:hAnsi="Arial Narrow" w:cs="Arial"/>
                <w:sz w:val="20"/>
                <w:szCs w:val="20"/>
              </w:rPr>
            </w:pPr>
          </w:p>
        </w:tc>
      </w:tr>
      <w:tr w:rsidR="00EB18B8" w:rsidRPr="00077858" w:rsidTr="00187D9A">
        <w:trPr>
          <w:cantSplit/>
          <w:trHeight w:val="360"/>
        </w:trPr>
        <w:tc>
          <w:tcPr>
            <w:tcW w:w="1985" w:type="dxa"/>
            <w:tcBorders>
              <w:top w:val="single" w:sz="4" w:space="0" w:color="auto"/>
              <w:left w:val="single" w:sz="4" w:space="0" w:color="auto"/>
              <w:bottom w:val="single" w:sz="4" w:space="0" w:color="auto"/>
              <w:right w:val="single" w:sz="4" w:space="0" w:color="auto"/>
            </w:tcBorders>
          </w:tcPr>
          <w:p w:rsidR="00EB18B8" w:rsidRPr="00260CE3" w:rsidRDefault="00EB18B8" w:rsidP="00187D9A">
            <w:pPr>
              <w:jc w:val="both"/>
              <w:rPr>
                <w:rFonts w:ascii="Arial Narrow" w:hAnsi="Arial Narrow" w:cs="Arial"/>
                <w:b/>
                <w:sz w:val="20"/>
                <w:szCs w:val="20"/>
              </w:rPr>
            </w:pPr>
            <w:r w:rsidRPr="00260CE3">
              <w:rPr>
                <w:rFonts w:ascii="Arial Narrow" w:hAnsi="Arial Narrow" w:cs="Arial"/>
                <w:b/>
                <w:sz w:val="20"/>
                <w:szCs w:val="20"/>
              </w:rPr>
              <w:t>Population criteria:</w:t>
            </w:r>
          </w:p>
        </w:tc>
        <w:tc>
          <w:tcPr>
            <w:tcW w:w="6378" w:type="dxa"/>
            <w:gridSpan w:val="6"/>
            <w:tcBorders>
              <w:top w:val="single" w:sz="4" w:space="0" w:color="auto"/>
              <w:left w:val="single" w:sz="4" w:space="0" w:color="auto"/>
              <w:bottom w:val="single" w:sz="4" w:space="0" w:color="auto"/>
              <w:right w:val="single" w:sz="4" w:space="0" w:color="auto"/>
            </w:tcBorders>
          </w:tcPr>
          <w:p w:rsidR="00EB18B8" w:rsidRPr="00077858" w:rsidRDefault="00EB18B8" w:rsidP="00187D9A">
            <w:pPr>
              <w:rPr>
                <w:rFonts w:ascii="Arial Narrow" w:hAnsi="Arial Narrow" w:cs="Arial"/>
                <w:sz w:val="20"/>
                <w:szCs w:val="20"/>
              </w:rPr>
            </w:pPr>
            <w:r w:rsidRPr="00EB18B8">
              <w:rPr>
                <w:rFonts w:ascii="Arial Narrow" w:hAnsi="Arial Narrow" w:cs="Arial"/>
                <w:sz w:val="20"/>
                <w:szCs w:val="20"/>
              </w:rPr>
              <w:t>Patient must be 6 years of age or older.</w:t>
            </w:r>
          </w:p>
        </w:tc>
      </w:tr>
      <w:tr w:rsidR="00EB18B8" w:rsidRPr="009E60C5" w:rsidTr="00187D9A">
        <w:trPr>
          <w:cantSplit/>
          <w:trHeight w:val="360"/>
        </w:trPr>
        <w:tc>
          <w:tcPr>
            <w:tcW w:w="1985" w:type="dxa"/>
            <w:tcBorders>
              <w:top w:val="single" w:sz="4" w:space="0" w:color="auto"/>
              <w:left w:val="single" w:sz="4" w:space="0" w:color="auto"/>
              <w:bottom w:val="single" w:sz="4" w:space="0" w:color="auto"/>
              <w:right w:val="single" w:sz="4" w:space="0" w:color="auto"/>
            </w:tcBorders>
          </w:tcPr>
          <w:p w:rsidR="00EB18B8" w:rsidRPr="00FD03EE" w:rsidRDefault="00EB18B8" w:rsidP="00187D9A">
            <w:pPr>
              <w:jc w:val="both"/>
              <w:rPr>
                <w:rFonts w:ascii="Arial Narrow" w:hAnsi="Arial Narrow" w:cs="Arial"/>
                <w:b/>
                <w:sz w:val="20"/>
                <w:szCs w:val="20"/>
              </w:rPr>
            </w:pPr>
            <w:r w:rsidRPr="00260CE3">
              <w:rPr>
                <w:rFonts w:ascii="Arial Narrow" w:hAnsi="Arial Narrow" w:cs="Arial"/>
                <w:b/>
                <w:sz w:val="20"/>
                <w:szCs w:val="20"/>
              </w:rPr>
              <w:t>Prescriber Instructions</w:t>
            </w:r>
          </w:p>
        </w:tc>
        <w:tc>
          <w:tcPr>
            <w:tcW w:w="6378" w:type="dxa"/>
            <w:gridSpan w:val="6"/>
            <w:tcBorders>
              <w:top w:val="single" w:sz="4" w:space="0" w:color="auto"/>
              <w:left w:val="single" w:sz="4" w:space="0" w:color="auto"/>
              <w:bottom w:val="single" w:sz="4" w:space="0" w:color="auto"/>
              <w:right w:val="single" w:sz="4" w:space="0" w:color="auto"/>
            </w:tcBorders>
          </w:tcPr>
          <w:p w:rsidR="00EB18B8" w:rsidRPr="002C0A12" w:rsidRDefault="00EB18B8" w:rsidP="00187D9A">
            <w:pPr>
              <w:rPr>
                <w:rFonts w:ascii="Arial Narrow" w:hAnsi="Arial Narrow" w:cs="Arial"/>
                <w:b/>
                <w:sz w:val="20"/>
                <w:szCs w:val="20"/>
                <w:u w:val="single"/>
              </w:rPr>
            </w:pPr>
            <w:r w:rsidRPr="00077858">
              <w:rPr>
                <w:rFonts w:ascii="Arial Narrow" w:hAnsi="Arial Narrow" w:cs="Arial"/>
                <w:b/>
                <w:sz w:val="20"/>
                <w:szCs w:val="20"/>
                <w:u w:val="single"/>
              </w:rPr>
              <w:t>Note</w:t>
            </w:r>
          </w:p>
          <w:p w:rsidR="00EB18B8" w:rsidRDefault="00EB18B8" w:rsidP="00187D9A">
            <w:pPr>
              <w:rPr>
                <w:rFonts w:ascii="Arial Narrow" w:hAnsi="Arial Narrow" w:cs="Arial"/>
                <w:sz w:val="20"/>
                <w:szCs w:val="20"/>
              </w:rPr>
            </w:pPr>
            <w:r w:rsidRPr="00077858">
              <w:rPr>
                <w:rFonts w:ascii="Arial Narrow" w:hAnsi="Arial Narrow" w:cs="Arial"/>
                <w:sz w:val="20"/>
                <w:szCs w:val="20"/>
              </w:rPr>
              <w:t>It is highly desirable that all patients be included in the national cystic fibrosis patient database.</w:t>
            </w:r>
          </w:p>
          <w:p w:rsidR="00EB18B8" w:rsidRPr="00077858" w:rsidRDefault="00EB18B8" w:rsidP="00187D9A">
            <w:pPr>
              <w:rPr>
                <w:rFonts w:ascii="Arial Narrow" w:hAnsi="Arial Narrow" w:cs="Arial"/>
                <w:sz w:val="20"/>
                <w:szCs w:val="20"/>
              </w:rPr>
            </w:pPr>
          </w:p>
          <w:p w:rsidR="00EB18B8" w:rsidRPr="00412C7D" w:rsidRDefault="00EB18B8" w:rsidP="00187D9A">
            <w:pPr>
              <w:rPr>
                <w:rFonts w:ascii="Arial Narrow" w:hAnsi="Arial Narrow" w:cs="Arial"/>
                <w:b/>
                <w:sz w:val="20"/>
                <w:szCs w:val="20"/>
                <w:u w:val="single"/>
              </w:rPr>
            </w:pPr>
            <w:r w:rsidRPr="00412C7D">
              <w:rPr>
                <w:rFonts w:ascii="Arial Narrow" w:hAnsi="Arial Narrow" w:cs="Arial"/>
                <w:b/>
                <w:sz w:val="20"/>
                <w:szCs w:val="20"/>
                <w:u w:val="single"/>
              </w:rPr>
              <w:t>Note</w:t>
            </w:r>
          </w:p>
          <w:p w:rsidR="00EB18B8" w:rsidRPr="00EB18B8" w:rsidRDefault="00EB18B8" w:rsidP="00187D9A">
            <w:pPr>
              <w:rPr>
                <w:rFonts w:ascii="Arial Narrow" w:hAnsi="Arial Narrow" w:cs="Arial"/>
                <w:sz w:val="20"/>
                <w:szCs w:val="20"/>
              </w:rPr>
            </w:pPr>
            <w:r w:rsidRPr="00FA3C24">
              <w:rPr>
                <w:rFonts w:ascii="Arial Narrow" w:hAnsi="Arial Narrow" w:cs="Arial"/>
                <w:sz w:val="20"/>
                <w:szCs w:val="20"/>
              </w:rPr>
              <w:t xml:space="preserve">Mannitol is not PBS-subsidised for use in combination with PBS-subsidised </w:t>
            </w:r>
            <w:proofErr w:type="spellStart"/>
            <w:r w:rsidRPr="00FA3C24">
              <w:rPr>
                <w:rFonts w:ascii="Arial Narrow" w:hAnsi="Arial Narrow" w:cs="Arial"/>
                <w:sz w:val="20"/>
                <w:szCs w:val="20"/>
              </w:rPr>
              <w:t>dornase</w:t>
            </w:r>
            <w:proofErr w:type="spellEnd"/>
            <w:r w:rsidRPr="00FA3C24">
              <w:rPr>
                <w:rFonts w:ascii="Arial Narrow" w:hAnsi="Arial Narrow" w:cs="Arial"/>
                <w:sz w:val="20"/>
                <w:szCs w:val="20"/>
              </w:rPr>
              <w:t xml:space="preserve"> </w:t>
            </w:r>
            <w:proofErr w:type="spellStart"/>
            <w:r w:rsidRPr="00FA3C24">
              <w:rPr>
                <w:rFonts w:ascii="Arial Narrow" w:hAnsi="Arial Narrow" w:cs="Arial"/>
                <w:sz w:val="20"/>
                <w:szCs w:val="20"/>
              </w:rPr>
              <w:t>alfa</w:t>
            </w:r>
            <w:proofErr w:type="spellEnd"/>
            <w:r w:rsidRPr="00FA3C24">
              <w:rPr>
                <w:rFonts w:ascii="Arial Narrow" w:hAnsi="Arial Narrow" w:cs="Arial"/>
                <w:sz w:val="20"/>
                <w:szCs w:val="20"/>
              </w:rPr>
              <w:t>.</w:t>
            </w:r>
          </w:p>
        </w:tc>
      </w:tr>
    </w:tbl>
    <w:p w:rsidR="001179F9" w:rsidRDefault="001179F9" w:rsidP="001179F9">
      <w:pPr>
        <w:pStyle w:val="NoSpacing"/>
        <w:rPr>
          <w:lang w:val="en-GB"/>
        </w:rPr>
      </w:pPr>
    </w:p>
    <w:p w:rsidR="00DB02A6" w:rsidRDefault="00DB02A6" w:rsidP="00DB02A6">
      <w:pPr>
        <w:pStyle w:val="ListParagraph"/>
        <w:ind w:left="360"/>
        <w:rPr>
          <w:rFonts w:ascii="Calibri" w:hAnsi="Calibri" w:cs="Calibri"/>
        </w:rPr>
      </w:pPr>
    </w:p>
    <w:p w:rsidR="00DB02A6" w:rsidRDefault="00DB02A6" w:rsidP="00DB02A6">
      <w:pPr>
        <w:pStyle w:val="ListParagraph"/>
        <w:ind w:left="360"/>
        <w:rPr>
          <w:rFonts w:ascii="Calibri" w:hAnsi="Calibri" w:cs="Calibri"/>
        </w:rPr>
      </w:pPr>
    </w:p>
    <w:p w:rsidR="006360C4" w:rsidRPr="00FE445E" w:rsidRDefault="006360C4" w:rsidP="00FE445E">
      <w:pPr>
        <w:widowControl w:val="0"/>
        <w:numPr>
          <w:ilvl w:val="0"/>
          <w:numId w:val="1"/>
        </w:numPr>
        <w:jc w:val="both"/>
        <w:rPr>
          <w:rFonts w:ascii="Arial" w:hAnsi="Arial" w:cs="Arial"/>
          <w:b/>
          <w:bCs/>
          <w:snapToGrid w:val="0"/>
          <w:sz w:val="22"/>
          <w:szCs w:val="22"/>
          <w:lang w:val="en-GB"/>
        </w:rPr>
      </w:pPr>
      <w:r w:rsidRPr="00FE445E">
        <w:rPr>
          <w:rFonts w:ascii="Arial" w:hAnsi="Arial" w:cs="Arial"/>
          <w:b/>
          <w:bCs/>
          <w:snapToGrid w:val="0"/>
          <w:sz w:val="22"/>
          <w:szCs w:val="22"/>
          <w:lang w:val="en-GB"/>
        </w:rPr>
        <w:t xml:space="preserve">Context for Decision </w:t>
      </w:r>
    </w:p>
    <w:p w:rsidR="006360C4" w:rsidRDefault="006360C4" w:rsidP="002D6458"/>
    <w:p w:rsidR="006360C4" w:rsidRPr="00FE445E" w:rsidRDefault="006360C4" w:rsidP="00FE445E">
      <w:pPr>
        <w:widowControl w:val="0"/>
        <w:ind w:left="720"/>
        <w:contextualSpacing/>
        <w:jc w:val="both"/>
        <w:rPr>
          <w:rFonts w:ascii="Arial" w:hAnsi="Arial" w:cs="Arial"/>
          <w:bCs/>
          <w:snapToGrid w:val="0"/>
          <w:sz w:val="22"/>
          <w:szCs w:val="22"/>
          <w:lang w:val="en-GB"/>
        </w:rPr>
      </w:pPr>
      <w:r w:rsidRPr="00FE445E">
        <w:rPr>
          <w:rFonts w:ascii="Arial" w:hAnsi="Arial" w:cs="Arial"/>
          <w:bCs/>
          <w:snapToGrid w:val="0"/>
          <w:sz w:val="22"/>
          <w:szCs w:val="22"/>
          <w:lang w:val="en-GB"/>
        </w:rPr>
        <w:t xml:space="preserve">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 </w:t>
      </w:r>
    </w:p>
    <w:p w:rsidR="006360C4" w:rsidRDefault="006360C4" w:rsidP="002D6458"/>
    <w:p w:rsidR="006360C4" w:rsidRPr="00FE445E" w:rsidRDefault="006360C4" w:rsidP="00FE445E">
      <w:pPr>
        <w:widowControl w:val="0"/>
        <w:numPr>
          <w:ilvl w:val="0"/>
          <w:numId w:val="1"/>
        </w:numPr>
        <w:jc w:val="both"/>
        <w:rPr>
          <w:rFonts w:ascii="Arial" w:hAnsi="Arial" w:cs="Arial"/>
          <w:b/>
          <w:bCs/>
          <w:snapToGrid w:val="0"/>
          <w:sz w:val="22"/>
          <w:szCs w:val="22"/>
          <w:lang w:val="en-GB"/>
        </w:rPr>
      </w:pPr>
      <w:r w:rsidRPr="00FE445E">
        <w:rPr>
          <w:rFonts w:ascii="Arial" w:hAnsi="Arial" w:cs="Arial"/>
          <w:b/>
          <w:bCs/>
          <w:snapToGrid w:val="0"/>
          <w:sz w:val="22"/>
          <w:szCs w:val="22"/>
          <w:lang w:val="en-GB"/>
        </w:rPr>
        <w:t xml:space="preserve">Sponsor’s Comment </w:t>
      </w:r>
    </w:p>
    <w:p w:rsidR="006360C4" w:rsidRDefault="006360C4" w:rsidP="002D6458"/>
    <w:p w:rsidR="002D6458" w:rsidRPr="002D6458" w:rsidRDefault="00BE1DAA" w:rsidP="00BE1DAA">
      <w:pPr>
        <w:ind w:left="720"/>
        <w:rPr>
          <w:rFonts w:ascii="Arial" w:hAnsi="Arial"/>
          <w:sz w:val="22"/>
          <w:szCs w:val="22"/>
        </w:rPr>
      </w:pPr>
      <w:proofErr w:type="spellStart"/>
      <w:r w:rsidRPr="00BE1DAA">
        <w:rPr>
          <w:rFonts w:ascii="Arial" w:hAnsi="Arial"/>
          <w:sz w:val="22"/>
          <w:szCs w:val="22"/>
        </w:rPr>
        <w:t>Pharmaxis</w:t>
      </w:r>
      <w:proofErr w:type="spellEnd"/>
      <w:r w:rsidRPr="00BE1DAA">
        <w:rPr>
          <w:rFonts w:ascii="Arial" w:hAnsi="Arial"/>
          <w:sz w:val="22"/>
          <w:szCs w:val="22"/>
        </w:rPr>
        <w:t xml:space="preserve"> is disappointed that the PBAC could not recommend a change to amend the </w:t>
      </w:r>
      <w:proofErr w:type="spellStart"/>
      <w:r w:rsidRPr="00BE1DAA">
        <w:rPr>
          <w:rFonts w:ascii="Arial" w:hAnsi="Arial"/>
          <w:sz w:val="22"/>
          <w:szCs w:val="22"/>
        </w:rPr>
        <w:t>Bronchitol</w:t>
      </w:r>
      <w:proofErr w:type="spellEnd"/>
      <w:r w:rsidRPr="00BE1DAA">
        <w:rPr>
          <w:rFonts w:ascii="Arial" w:hAnsi="Arial"/>
          <w:sz w:val="22"/>
          <w:szCs w:val="22"/>
        </w:rPr>
        <w:t xml:space="preserve"> listing to bring it in line with best clinical practice.  </w:t>
      </w:r>
      <w:proofErr w:type="spellStart"/>
      <w:r w:rsidRPr="00BE1DAA">
        <w:rPr>
          <w:rFonts w:ascii="Arial" w:hAnsi="Arial"/>
          <w:sz w:val="22"/>
          <w:szCs w:val="22"/>
        </w:rPr>
        <w:t>Pharmaxis</w:t>
      </w:r>
      <w:proofErr w:type="spellEnd"/>
      <w:r w:rsidRPr="00BE1DAA">
        <w:rPr>
          <w:rFonts w:ascii="Arial" w:hAnsi="Arial"/>
          <w:sz w:val="22"/>
          <w:szCs w:val="22"/>
        </w:rPr>
        <w:t xml:space="preserve"> welcomes the PBACs recommendation of simplification of the current wording and </w:t>
      </w:r>
      <w:r w:rsidRPr="00BE1DAA">
        <w:rPr>
          <w:rFonts w:ascii="Arial" w:hAnsi="Arial"/>
          <w:sz w:val="22"/>
          <w:szCs w:val="22"/>
        </w:rPr>
        <w:lastRenderedPageBreak/>
        <w:t xml:space="preserve">will continue to look at ways to amend the current listing to enable </w:t>
      </w:r>
      <w:proofErr w:type="spellStart"/>
      <w:r w:rsidRPr="00BE1DAA">
        <w:rPr>
          <w:rFonts w:ascii="Arial" w:hAnsi="Arial"/>
          <w:sz w:val="22"/>
          <w:szCs w:val="22"/>
        </w:rPr>
        <w:t>Bronchitol</w:t>
      </w:r>
      <w:proofErr w:type="spellEnd"/>
      <w:r w:rsidRPr="00BE1DAA">
        <w:rPr>
          <w:rFonts w:ascii="Arial" w:hAnsi="Arial"/>
          <w:sz w:val="22"/>
          <w:szCs w:val="22"/>
        </w:rPr>
        <w:t xml:space="preserve"> to be used in addition to best supportive care for appropriate patients.</w:t>
      </w:r>
    </w:p>
    <w:sectPr w:rsidR="002D6458" w:rsidRPr="002D6458"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CFC" w:rsidRDefault="00545CFC">
      <w:r>
        <w:separator/>
      </w:r>
    </w:p>
    <w:p w:rsidR="00545CFC" w:rsidRDefault="00545CFC"/>
  </w:endnote>
  <w:endnote w:type="continuationSeparator" w:id="0">
    <w:p w:rsidR="00545CFC" w:rsidRDefault="00545CFC">
      <w:r>
        <w:continuationSeparator/>
      </w:r>
    </w:p>
    <w:p w:rsidR="00545CFC" w:rsidRDefault="00545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720A2" w:rsidTr="005A3173">
      <w:trPr>
        <w:trHeight w:val="151"/>
      </w:trPr>
      <w:tc>
        <w:tcPr>
          <w:tcW w:w="2250" w:type="pct"/>
          <w:tcBorders>
            <w:top w:val="nil"/>
            <w:left w:val="nil"/>
            <w:bottom w:val="single" w:sz="4" w:space="0" w:color="4F81BD"/>
            <w:right w:val="nil"/>
          </w:tcBorders>
        </w:tcPr>
        <w:p w:rsidR="008720A2" w:rsidRPr="005A3173" w:rsidRDefault="008720A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720A2" w:rsidRPr="005A3173" w:rsidRDefault="008720A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720A2" w:rsidRPr="005A3173" w:rsidRDefault="008720A2" w:rsidP="005A3173">
          <w:pPr>
            <w:pStyle w:val="Header"/>
            <w:spacing w:line="276" w:lineRule="auto"/>
            <w:rPr>
              <w:rFonts w:ascii="Calibri" w:eastAsia="MS Gothic" w:hAnsi="Calibri"/>
              <w:b/>
              <w:bCs/>
              <w:color w:val="4F81BD"/>
            </w:rPr>
          </w:pPr>
        </w:p>
      </w:tc>
    </w:tr>
    <w:tr w:rsidR="008720A2" w:rsidTr="005A3173">
      <w:trPr>
        <w:trHeight w:val="150"/>
      </w:trPr>
      <w:tc>
        <w:tcPr>
          <w:tcW w:w="2250" w:type="pct"/>
          <w:tcBorders>
            <w:top w:val="single" w:sz="4" w:space="0" w:color="4F81BD"/>
            <w:left w:val="nil"/>
            <w:bottom w:val="nil"/>
            <w:right w:val="nil"/>
          </w:tcBorders>
        </w:tcPr>
        <w:p w:rsidR="008720A2" w:rsidRPr="005A3173" w:rsidRDefault="008720A2" w:rsidP="005A3173">
          <w:pPr>
            <w:pStyle w:val="Header"/>
            <w:spacing w:line="276" w:lineRule="auto"/>
            <w:rPr>
              <w:rFonts w:ascii="Calibri" w:eastAsia="MS Gothic" w:hAnsi="Calibri"/>
              <w:b/>
              <w:bCs/>
              <w:color w:val="4F81BD"/>
            </w:rPr>
          </w:pPr>
        </w:p>
      </w:tc>
      <w:tc>
        <w:tcPr>
          <w:tcW w:w="0" w:type="auto"/>
          <w:vMerge/>
          <w:vAlign w:val="center"/>
          <w:hideMark/>
        </w:tcPr>
        <w:p w:rsidR="008720A2" w:rsidRPr="005A3173" w:rsidRDefault="008720A2" w:rsidP="005A3173">
          <w:pPr>
            <w:rPr>
              <w:rFonts w:ascii="Calibri" w:hAnsi="Calibri"/>
              <w:color w:val="365F91"/>
              <w:sz w:val="22"/>
              <w:szCs w:val="22"/>
            </w:rPr>
          </w:pPr>
        </w:p>
      </w:tc>
      <w:tc>
        <w:tcPr>
          <w:tcW w:w="2250" w:type="pct"/>
          <w:tcBorders>
            <w:top w:val="single" w:sz="4" w:space="0" w:color="4F81BD"/>
            <w:left w:val="nil"/>
            <w:bottom w:val="nil"/>
            <w:right w:val="nil"/>
          </w:tcBorders>
        </w:tcPr>
        <w:p w:rsidR="008720A2" w:rsidRPr="005A3173" w:rsidRDefault="008720A2" w:rsidP="005A3173">
          <w:pPr>
            <w:pStyle w:val="Header"/>
            <w:spacing w:line="276" w:lineRule="auto"/>
            <w:rPr>
              <w:rFonts w:ascii="Calibri" w:eastAsia="MS Gothic" w:hAnsi="Calibri"/>
              <w:b/>
              <w:bCs/>
              <w:color w:val="4F81BD"/>
            </w:rPr>
          </w:pPr>
        </w:p>
      </w:tc>
    </w:tr>
  </w:tbl>
  <w:p w:rsidR="008720A2" w:rsidRDefault="008720A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20A2" w:rsidRDefault="008720A2">
    <w:pPr>
      <w:pStyle w:val="Footer"/>
    </w:pPr>
  </w:p>
  <w:p w:rsidR="008720A2" w:rsidRDefault="008720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8720A2" w:rsidP="00EF44A0">
    <w:pPr>
      <w:pStyle w:val="Footer"/>
      <w:jc w:val="center"/>
      <w:rPr>
        <w:rFonts w:ascii="Arial" w:hAnsi="Arial" w:cs="Arial"/>
        <w:b/>
        <w:sz w:val="20"/>
        <w:szCs w:val="20"/>
      </w:rPr>
    </w:pPr>
  </w:p>
  <w:p w:rsidR="008720A2" w:rsidRPr="00651169" w:rsidRDefault="008720A2" w:rsidP="002A6D3B">
    <w:pPr>
      <w:pStyle w:val="Footer"/>
      <w:ind w:left="360"/>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E369E1">
      <w:rPr>
        <w:rFonts w:ascii="Arial" w:hAnsi="Arial" w:cs="Arial"/>
        <w:noProof/>
        <w:sz w:val="20"/>
        <w:szCs w:val="20"/>
      </w:rPr>
      <w:t>12</w:t>
    </w:r>
    <w:r w:rsidRPr="00651169">
      <w:rPr>
        <w:rFonts w:ascii="Arial" w:hAnsi="Arial" w:cs="Arial"/>
        <w:noProof/>
        <w:sz w:val="20"/>
        <w:szCs w:val="20"/>
      </w:rPr>
      <w:fldChar w:fldCharType="end"/>
    </w:r>
  </w:p>
  <w:p w:rsidR="008720A2" w:rsidRDefault="008720A2" w:rsidP="002A6D3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720A2" w:rsidTr="005A3173">
      <w:trPr>
        <w:trHeight w:val="151"/>
      </w:trPr>
      <w:tc>
        <w:tcPr>
          <w:tcW w:w="2250" w:type="pct"/>
          <w:tcBorders>
            <w:top w:val="nil"/>
            <w:left w:val="nil"/>
            <w:bottom w:val="single" w:sz="4" w:space="0" w:color="4F81BD"/>
            <w:right w:val="nil"/>
          </w:tcBorders>
        </w:tcPr>
        <w:p w:rsidR="008720A2" w:rsidRPr="005A3173" w:rsidRDefault="008720A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720A2" w:rsidRPr="005A3173" w:rsidRDefault="008720A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720A2" w:rsidRPr="005A3173" w:rsidRDefault="008720A2" w:rsidP="005A3173">
          <w:pPr>
            <w:pStyle w:val="Header"/>
            <w:spacing w:line="276" w:lineRule="auto"/>
            <w:rPr>
              <w:rFonts w:ascii="Calibri" w:eastAsia="MS Gothic" w:hAnsi="Calibri"/>
              <w:b/>
              <w:bCs/>
              <w:color w:val="4F81BD"/>
            </w:rPr>
          </w:pPr>
        </w:p>
      </w:tc>
    </w:tr>
    <w:tr w:rsidR="008720A2" w:rsidTr="005A3173">
      <w:trPr>
        <w:trHeight w:val="150"/>
      </w:trPr>
      <w:tc>
        <w:tcPr>
          <w:tcW w:w="2250" w:type="pct"/>
          <w:tcBorders>
            <w:top w:val="single" w:sz="4" w:space="0" w:color="4F81BD"/>
            <w:left w:val="nil"/>
            <w:bottom w:val="nil"/>
            <w:right w:val="nil"/>
          </w:tcBorders>
        </w:tcPr>
        <w:p w:rsidR="008720A2" w:rsidRPr="005A3173" w:rsidRDefault="008720A2" w:rsidP="005A3173">
          <w:pPr>
            <w:pStyle w:val="Header"/>
            <w:spacing w:line="276" w:lineRule="auto"/>
            <w:rPr>
              <w:rFonts w:ascii="Calibri" w:eastAsia="MS Gothic" w:hAnsi="Calibri"/>
              <w:b/>
              <w:bCs/>
              <w:color w:val="4F81BD"/>
            </w:rPr>
          </w:pPr>
        </w:p>
      </w:tc>
      <w:tc>
        <w:tcPr>
          <w:tcW w:w="0" w:type="auto"/>
          <w:vMerge/>
          <w:vAlign w:val="center"/>
          <w:hideMark/>
        </w:tcPr>
        <w:p w:rsidR="008720A2" w:rsidRPr="005A3173" w:rsidRDefault="008720A2" w:rsidP="005A3173">
          <w:pPr>
            <w:rPr>
              <w:rFonts w:ascii="Calibri" w:hAnsi="Calibri"/>
              <w:color w:val="365F91"/>
              <w:sz w:val="22"/>
              <w:szCs w:val="22"/>
            </w:rPr>
          </w:pPr>
        </w:p>
      </w:tc>
      <w:tc>
        <w:tcPr>
          <w:tcW w:w="2250" w:type="pct"/>
          <w:tcBorders>
            <w:top w:val="single" w:sz="4" w:space="0" w:color="4F81BD"/>
            <w:left w:val="nil"/>
            <w:bottom w:val="nil"/>
            <w:right w:val="nil"/>
          </w:tcBorders>
        </w:tcPr>
        <w:p w:rsidR="008720A2" w:rsidRPr="005A3173" w:rsidRDefault="008720A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720A2" w:rsidTr="005A3173">
      <w:trPr>
        <w:trHeight w:val="151"/>
      </w:trPr>
      <w:tc>
        <w:tcPr>
          <w:tcW w:w="2250" w:type="pct"/>
          <w:tcBorders>
            <w:top w:val="nil"/>
            <w:left w:val="nil"/>
            <w:bottom w:val="single" w:sz="4" w:space="0" w:color="4F81BD"/>
            <w:right w:val="nil"/>
          </w:tcBorders>
        </w:tcPr>
        <w:p w:rsidR="008720A2" w:rsidRPr="005A3173" w:rsidRDefault="008720A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720A2" w:rsidRPr="005A3173" w:rsidRDefault="008720A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720A2" w:rsidRPr="005A3173" w:rsidRDefault="008720A2" w:rsidP="005A3173">
          <w:pPr>
            <w:pStyle w:val="Header"/>
            <w:spacing w:line="276" w:lineRule="auto"/>
            <w:rPr>
              <w:rFonts w:ascii="Calibri" w:eastAsia="MS Gothic" w:hAnsi="Calibri"/>
              <w:b/>
              <w:bCs/>
              <w:color w:val="4F81BD"/>
            </w:rPr>
          </w:pPr>
        </w:p>
      </w:tc>
    </w:tr>
    <w:tr w:rsidR="008720A2" w:rsidTr="005A3173">
      <w:trPr>
        <w:trHeight w:val="150"/>
      </w:trPr>
      <w:tc>
        <w:tcPr>
          <w:tcW w:w="2250" w:type="pct"/>
          <w:tcBorders>
            <w:top w:val="single" w:sz="4" w:space="0" w:color="4F81BD"/>
            <w:left w:val="nil"/>
            <w:bottom w:val="nil"/>
            <w:right w:val="nil"/>
          </w:tcBorders>
        </w:tcPr>
        <w:p w:rsidR="008720A2" w:rsidRPr="005A3173" w:rsidRDefault="008720A2" w:rsidP="005A3173">
          <w:pPr>
            <w:pStyle w:val="Header"/>
            <w:spacing w:line="276" w:lineRule="auto"/>
            <w:rPr>
              <w:rFonts w:ascii="Calibri" w:eastAsia="MS Gothic" w:hAnsi="Calibri"/>
              <w:b/>
              <w:bCs/>
              <w:color w:val="4F81BD"/>
            </w:rPr>
          </w:pPr>
        </w:p>
      </w:tc>
      <w:tc>
        <w:tcPr>
          <w:tcW w:w="0" w:type="auto"/>
          <w:vMerge/>
          <w:vAlign w:val="center"/>
          <w:hideMark/>
        </w:tcPr>
        <w:p w:rsidR="008720A2" w:rsidRPr="005A3173" w:rsidRDefault="008720A2" w:rsidP="005A3173">
          <w:pPr>
            <w:rPr>
              <w:rFonts w:ascii="Calibri" w:hAnsi="Calibri"/>
              <w:color w:val="365F91"/>
              <w:sz w:val="22"/>
              <w:szCs w:val="22"/>
            </w:rPr>
          </w:pPr>
        </w:p>
      </w:tc>
      <w:tc>
        <w:tcPr>
          <w:tcW w:w="2250" w:type="pct"/>
          <w:tcBorders>
            <w:top w:val="single" w:sz="4" w:space="0" w:color="4F81BD"/>
            <w:left w:val="nil"/>
            <w:bottom w:val="nil"/>
            <w:right w:val="nil"/>
          </w:tcBorders>
        </w:tcPr>
        <w:p w:rsidR="008720A2" w:rsidRPr="005A3173" w:rsidRDefault="008720A2" w:rsidP="005A3173">
          <w:pPr>
            <w:pStyle w:val="Header"/>
            <w:spacing w:line="276" w:lineRule="auto"/>
            <w:rPr>
              <w:rFonts w:ascii="Calibri" w:eastAsia="MS Gothic" w:hAnsi="Calibri"/>
              <w:b/>
              <w:bCs/>
              <w:color w:val="4F81BD"/>
            </w:rPr>
          </w:pPr>
        </w:p>
      </w:tc>
    </w:tr>
  </w:tbl>
  <w:p w:rsidR="008720A2" w:rsidRPr="007C0F57" w:rsidRDefault="008720A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8720A2" w:rsidRPr="007C0F57" w:rsidRDefault="008720A2" w:rsidP="007C0F57">
    <w:pPr>
      <w:pStyle w:val="Footer"/>
      <w:jc w:val="center"/>
      <w:rPr>
        <w:b/>
        <w:i/>
        <w:sz w:val="20"/>
        <w:szCs w:val="20"/>
      </w:rPr>
    </w:pPr>
    <w:r w:rsidRPr="007C0F57">
      <w:rPr>
        <w:b/>
        <w:i/>
        <w:sz w:val="20"/>
        <w:szCs w:val="20"/>
      </w:rPr>
      <w:t>Commercial-in-Confidence</w:t>
    </w:r>
  </w:p>
  <w:p w:rsidR="008720A2" w:rsidRDefault="008720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CFC" w:rsidRDefault="00545CFC">
      <w:r>
        <w:separator/>
      </w:r>
    </w:p>
    <w:p w:rsidR="00545CFC" w:rsidRDefault="00545CFC"/>
  </w:footnote>
  <w:footnote w:type="continuationSeparator" w:id="0">
    <w:p w:rsidR="00545CFC" w:rsidRDefault="00545CFC">
      <w:r>
        <w:continuationSeparator/>
      </w:r>
    </w:p>
    <w:p w:rsidR="00545CFC" w:rsidRDefault="00545C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720A2" w:rsidRPr="008E0D90" w:rsidTr="00A06225">
      <w:trPr>
        <w:trHeight w:val="151"/>
      </w:trPr>
      <w:tc>
        <w:tcPr>
          <w:tcW w:w="2389" w:type="pct"/>
          <w:tcBorders>
            <w:top w:val="nil"/>
            <w:left w:val="nil"/>
            <w:bottom w:val="single" w:sz="4" w:space="0" w:color="4F81BD"/>
            <w:right w:val="nil"/>
          </w:tcBorders>
        </w:tcPr>
        <w:p w:rsidR="008720A2" w:rsidRPr="00A06225" w:rsidRDefault="008720A2">
          <w:pPr>
            <w:pStyle w:val="Header"/>
            <w:spacing w:line="276" w:lineRule="auto"/>
            <w:rPr>
              <w:rFonts w:ascii="Cambria" w:eastAsia="MS Gothic" w:hAnsi="Cambria"/>
              <w:b/>
              <w:bCs/>
              <w:color w:val="4F81BD"/>
            </w:rPr>
          </w:pPr>
        </w:p>
      </w:tc>
      <w:tc>
        <w:tcPr>
          <w:tcW w:w="333" w:type="pct"/>
          <w:vMerge w:val="restart"/>
          <w:noWrap/>
          <w:vAlign w:val="center"/>
          <w:hideMark/>
        </w:tcPr>
        <w:p w:rsidR="008720A2" w:rsidRPr="00A06225" w:rsidRDefault="008720A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720A2" w:rsidRPr="00A06225" w:rsidRDefault="008720A2">
          <w:pPr>
            <w:pStyle w:val="Header"/>
            <w:spacing w:line="276" w:lineRule="auto"/>
            <w:rPr>
              <w:rFonts w:ascii="Cambria" w:eastAsia="MS Gothic" w:hAnsi="Cambria"/>
              <w:b/>
              <w:bCs/>
              <w:color w:val="4F81BD"/>
            </w:rPr>
          </w:pPr>
        </w:p>
      </w:tc>
    </w:tr>
    <w:tr w:rsidR="008720A2" w:rsidRPr="008E0D90" w:rsidTr="00A06225">
      <w:trPr>
        <w:trHeight w:val="150"/>
      </w:trPr>
      <w:tc>
        <w:tcPr>
          <w:tcW w:w="2389" w:type="pct"/>
          <w:tcBorders>
            <w:top w:val="single" w:sz="4" w:space="0" w:color="4F81BD"/>
            <w:left w:val="nil"/>
            <w:bottom w:val="nil"/>
            <w:right w:val="nil"/>
          </w:tcBorders>
        </w:tcPr>
        <w:p w:rsidR="008720A2" w:rsidRPr="00A06225" w:rsidRDefault="008720A2">
          <w:pPr>
            <w:pStyle w:val="Header"/>
            <w:spacing w:line="276" w:lineRule="auto"/>
            <w:rPr>
              <w:rFonts w:ascii="Cambria" w:eastAsia="MS Gothic" w:hAnsi="Cambria"/>
              <w:b/>
              <w:bCs/>
              <w:color w:val="4F81BD"/>
            </w:rPr>
          </w:pPr>
        </w:p>
      </w:tc>
      <w:tc>
        <w:tcPr>
          <w:tcW w:w="0" w:type="auto"/>
          <w:vMerge/>
          <w:vAlign w:val="center"/>
          <w:hideMark/>
        </w:tcPr>
        <w:p w:rsidR="008720A2" w:rsidRPr="00A06225" w:rsidRDefault="008720A2">
          <w:pPr>
            <w:rPr>
              <w:rFonts w:ascii="Cambria" w:hAnsi="Cambria"/>
              <w:color w:val="4F81BD"/>
              <w:sz w:val="22"/>
              <w:szCs w:val="22"/>
            </w:rPr>
          </w:pPr>
        </w:p>
      </w:tc>
      <w:tc>
        <w:tcPr>
          <w:tcW w:w="2278" w:type="pct"/>
          <w:tcBorders>
            <w:top w:val="single" w:sz="4" w:space="0" w:color="4F81BD"/>
            <w:left w:val="nil"/>
            <w:bottom w:val="nil"/>
            <w:right w:val="nil"/>
          </w:tcBorders>
        </w:tcPr>
        <w:p w:rsidR="008720A2" w:rsidRPr="00A06225" w:rsidRDefault="008720A2">
          <w:pPr>
            <w:pStyle w:val="Header"/>
            <w:spacing w:line="276" w:lineRule="auto"/>
            <w:rPr>
              <w:rFonts w:ascii="Cambria" w:eastAsia="MS Gothic" w:hAnsi="Cambria"/>
              <w:b/>
              <w:bCs/>
              <w:color w:val="4F81BD"/>
            </w:rPr>
          </w:pPr>
        </w:p>
      </w:tc>
    </w:tr>
  </w:tbl>
  <w:p w:rsidR="008720A2" w:rsidRDefault="008720A2">
    <w:pPr>
      <w:pStyle w:val="Header"/>
    </w:pPr>
  </w:p>
  <w:p w:rsidR="008720A2" w:rsidRDefault="008720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Pr="00DF217D" w:rsidRDefault="008720A2" w:rsidP="002A6D3B">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July 2015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8720A2" w:rsidRDefault="008720A2"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B7B"/>
    <w:multiLevelType w:val="hybridMultilevel"/>
    <w:tmpl w:val="FE8611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33795A0C"/>
    <w:multiLevelType w:val="hybridMultilevel"/>
    <w:tmpl w:val="6AF23836"/>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2">
    <w:nsid w:val="3C221FB5"/>
    <w:multiLevelType w:val="hybridMultilevel"/>
    <w:tmpl w:val="212CEA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46306399"/>
    <w:multiLevelType w:val="multilevel"/>
    <w:tmpl w:val="702A70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4D033C"/>
    <w:multiLevelType w:val="multilevel"/>
    <w:tmpl w:val="2ACADCD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1EBE"/>
    <w:rsid w:val="000228B7"/>
    <w:rsid w:val="0002464A"/>
    <w:rsid w:val="0003106B"/>
    <w:rsid w:val="00032C05"/>
    <w:rsid w:val="000403DE"/>
    <w:rsid w:val="000421A1"/>
    <w:rsid w:val="0004240E"/>
    <w:rsid w:val="0004467E"/>
    <w:rsid w:val="00045E26"/>
    <w:rsid w:val="000514B5"/>
    <w:rsid w:val="00052483"/>
    <w:rsid w:val="00055DFB"/>
    <w:rsid w:val="0005650E"/>
    <w:rsid w:val="0006055F"/>
    <w:rsid w:val="00060E64"/>
    <w:rsid w:val="00066755"/>
    <w:rsid w:val="00077858"/>
    <w:rsid w:val="0008508B"/>
    <w:rsid w:val="000859DB"/>
    <w:rsid w:val="00095B2D"/>
    <w:rsid w:val="000969AD"/>
    <w:rsid w:val="000A14F2"/>
    <w:rsid w:val="000A1920"/>
    <w:rsid w:val="000A31CF"/>
    <w:rsid w:val="000A38B5"/>
    <w:rsid w:val="000B558D"/>
    <w:rsid w:val="000B5F32"/>
    <w:rsid w:val="000C007C"/>
    <w:rsid w:val="000C0674"/>
    <w:rsid w:val="000C2062"/>
    <w:rsid w:val="000C32E2"/>
    <w:rsid w:val="000C6996"/>
    <w:rsid w:val="000D1ADF"/>
    <w:rsid w:val="000D23BA"/>
    <w:rsid w:val="000D52F8"/>
    <w:rsid w:val="000D5B78"/>
    <w:rsid w:val="000D76CD"/>
    <w:rsid w:val="000E50C1"/>
    <w:rsid w:val="000E681E"/>
    <w:rsid w:val="000E76D5"/>
    <w:rsid w:val="000F1A35"/>
    <w:rsid w:val="000F4E6A"/>
    <w:rsid w:val="000F5F90"/>
    <w:rsid w:val="00101F39"/>
    <w:rsid w:val="00102C9E"/>
    <w:rsid w:val="001107BF"/>
    <w:rsid w:val="00110987"/>
    <w:rsid w:val="001110D7"/>
    <w:rsid w:val="001113C6"/>
    <w:rsid w:val="0011448E"/>
    <w:rsid w:val="001179F9"/>
    <w:rsid w:val="00120631"/>
    <w:rsid w:val="0012417C"/>
    <w:rsid w:val="001241C6"/>
    <w:rsid w:val="00134DBA"/>
    <w:rsid w:val="00142395"/>
    <w:rsid w:val="00142714"/>
    <w:rsid w:val="001452ED"/>
    <w:rsid w:val="00156543"/>
    <w:rsid w:val="001569EB"/>
    <w:rsid w:val="00162308"/>
    <w:rsid w:val="00162EB0"/>
    <w:rsid w:val="00165A9F"/>
    <w:rsid w:val="001720AF"/>
    <w:rsid w:val="00175644"/>
    <w:rsid w:val="0018154A"/>
    <w:rsid w:val="001830CE"/>
    <w:rsid w:val="00187D9A"/>
    <w:rsid w:val="001945FD"/>
    <w:rsid w:val="001958C0"/>
    <w:rsid w:val="00196307"/>
    <w:rsid w:val="001A4607"/>
    <w:rsid w:val="001A4636"/>
    <w:rsid w:val="001A71FE"/>
    <w:rsid w:val="001B017F"/>
    <w:rsid w:val="001B150F"/>
    <w:rsid w:val="001B4371"/>
    <w:rsid w:val="001B5129"/>
    <w:rsid w:val="001B5A33"/>
    <w:rsid w:val="001B7C1F"/>
    <w:rsid w:val="001C1195"/>
    <w:rsid w:val="001C135E"/>
    <w:rsid w:val="001D4DD0"/>
    <w:rsid w:val="001D67E2"/>
    <w:rsid w:val="001E132B"/>
    <w:rsid w:val="001E493D"/>
    <w:rsid w:val="001E70DF"/>
    <w:rsid w:val="00205053"/>
    <w:rsid w:val="002055E6"/>
    <w:rsid w:val="0020750E"/>
    <w:rsid w:val="00210CEE"/>
    <w:rsid w:val="00211185"/>
    <w:rsid w:val="002122F6"/>
    <w:rsid w:val="00213CFB"/>
    <w:rsid w:val="002412CD"/>
    <w:rsid w:val="00251281"/>
    <w:rsid w:val="002676FE"/>
    <w:rsid w:val="00271BA1"/>
    <w:rsid w:val="0027351A"/>
    <w:rsid w:val="00277505"/>
    <w:rsid w:val="00282848"/>
    <w:rsid w:val="00291FD9"/>
    <w:rsid w:val="0029458F"/>
    <w:rsid w:val="00297077"/>
    <w:rsid w:val="002A104C"/>
    <w:rsid w:val="002A2C62"/>
    <w:rsid w:val="002A2E8B"/>
    <w:rsid w:val="002A4960"/>
    <w:rsid w:val="002A4C34"/>
    <w:rsid w:val="002A6D3B"/>
    <w:rsid w:val="002B1AE6"/>
    <w:rsid w:val="002B2342"/>
    <w:rsid w:val="002B30F8"/>
    <w:rsid w:val="002B5780"/>
    <w:rsid w:val="002B62CB"/>
    <w:rsid w:val="002B72E0"/>
    <w:rsid w:val="002C0A12"/>
    <w:rsid w:val="002C212F"/>
    <w:rsid w:val="002C3A67"/>
    <w:rsid w:val="002C4916"/>
    <w:rsid w:val="002C6C71"/>
    <w:rsid w:val="002D546A"/>
    <w:rsid w:val="002D6458"/>
    <w:rsid w:val="002E0B55"/>
    <w:rsid w:val="002E3153"/>
    <w:rsid w:val="002E72CA"/>
    <w:rsid w:val="002F0BCF"/>
    <w:rsid w:val="002F2829"/>
    <w:rsid w:val="002F3308"/>
    <w:rsid w:val="002F6EE6"/>
    <w:rsid w:val="00302C22"/>
    <w:rsid w:val="003046A6"/>
    <w:rsid w:val="00321896"/>
    <w:rsid w:val="00321BDC"/>
    <w:rsid w:val="0032655B"/>
    <w:rsid w:val="00326E79"/>
    <w:rsid w:val="00327D3B"/>
    <w:rsid w:val="00330C88"/>
    <w:rsid w:val="003367EF"/>
    <w:rsid w:val="00337330"/>
    <w:rsid w:val="00341AE4"/>
    <w:rsid w:val="00341FAF"/>
    <w:rsid w:val="00347741"/>
    <w:rsid w:val="00353972"/>
    <w:rsid w:val="00353F34"/>
    <w:rsid w:val="00357217"/>
    <w:rsid w:val="0036124F"/>
    <w:rsid w:val="00363346"/>
    <w:rsid w:val="003669FD"/>
    <w:rsid w:val="00377FC0"/>
    <w:rsid w:val="00384B30"/>
    <w:rsid w:val="003872CF"/>
    <w:rsid w:val="00392A1B"/>
    <w:rsid w:val="00393C7B"/>
    <w:rsid w:val="0039782C"/>
    <w:rsid w:val="003A3DF6"/>
    <w:rsid w:val="003A5B4A"/>
    <w:rsid w:val="003A63BE"/>
    <w:rsid w:val="003B23C5"/>
    <w:rsid w:val="003B2A75"/>
    <w:rsid w:val="003B4908"/>
    <w:rsid w:val="003D383B"/>
    <w:rsid w:val="003D3A97"/>
    <w:rsid w:val="003D4AC4"/>
    <w:rsid w:val="003D62F4"/>
    <w:rsid w:val="003D63B7"/>
    <w:rsid w:val="003E19C0"/>
    <w:rsid w:val="003E468B"/>
    <w:rsid w:val="003E4D1B"/>
    <w:rsid w:val="003E599D"/>
    <w:rsid w:val="003E6855"/>
    <w:rsid w:val="003F0DA6"/>
    <w:rsid w:val="003F577C"/>
    <w:rsid w:val="003F5C8C"/>
    <w:rsid w:val="003F67EE"/>
    <w:rsid w:val="003F6884"/>
    <w:rsid w:val="004067C5"/>
    <w:rsid w:val="00412C7D"/>
    <w:rsid w:val="00414D2B"/>
    <w:rsid w:val="00416A82"/>
    <w:rsid w:val="00421D77"/>
    <w:rsid w:val="00432AE9"/>
    <w:rsid w:val="0043519D"/>
    <w:rsid w:val="00437EB9"/>
    <w:rsid w:val="004465BD"/>
    <w:rsid w:val="004553FB"/>
    <w:rsid w:val="00455695"/>
    <w:rsid w:val="00457786"/>
    <w:rsid w:val="00466ADA"/>
    <w:rsid w:val="00467F3A"/>
    <w:rsid w:val="00467F64"/>
    <w:rsid w:val="00471759"/>
    <w:rsid w:val="004759FA"/>
    <w:rsid w:val="00476245"/>
    <w:rsid w:val="00485940"/>
    <w:rsid w:val="00490DB0"/>
    <w:rsid w:val="00493539"/>
    <w:rsid w:val="004A4B16"/>
    <w:rsid w:val="004A4C35"/>
    <w:rsid w:val="004A5A85"/>
    <w:rsid w:val="004A77C4"/>
    <w:rsid w:val="004B0440"/>
    <w:rsid w:val="004B3D09"/>
    <w:rsid w:val="004B5640"/>
    <w:rsid w:val="004C1BD7"/>
    <w:rsid w:val="004C1D7A"/>
    <w:rsid w:val="004C3150"/>
    <w:rsid w:val="004C5CAC"/>
    <w:rsid w:val="004C691D"/>
    <w:rsid w:val="004C7D83"/>
    <w:rsid w:val="004D02A5"/>
    <w:rsid w:val="004D14FB"/>
    <w:rsid w:val="004D6DBF"/>
    <w:rsid w:val="004D6E79"/>
    <w:rsid w:val="004E2C21"/>
    <w:rsid w:val="004E692D"/>
    <w:rsid w:val="004E79C2"/>
    <w:rsid w:val="004F1748"/>
    <w:rsid w:val="004F344D"/>
    <w:rsid w:val="00501554"/>
    <w:rsid w:val="00503BD7"/>
    <w:rsid w:val="00506AED"/>
    <w:rsid w:val="00510B3C"/>
    <w:rsid w:val="0051374F"/>
    <w:rsid w:val="00513F20"/>
    <w:rsid w:val="00514CD7"/>
    <w:rsid w:val="005319B2"/>
    <w:rsid w:val="00532C74"/>
    <w:rsid w:val="005349F1"/>
    <w:rsid w:val="00534E2E"/>
    <w:rsid w:val="00536C12"/>
    <w:rsid w:val="00537F71"/>
    <w:rsid w:val="00544552"/>
    <w:rsid w:val="00545CFC"/>
    <w:rsid w:val="00552E99"/>
    <w:rsid w:val="00557D39"/>
    <w:rsid w:val="00564800"/>
    <w:rsid w:val="00575E32"/>
    <w:rsid w:val="005772DB"/>
    <w:rsid w:val="00581932"/>
    <w:rsid w:val="00584338"/>
    <w:rsid w:val="0058710C"/>
    <w:rsid w:val="00590A5D"/>
    <w:rsid w:val="0059505C"/>
    <w:rsid w:val="005963BB"/>
    <w:rsid w:val="00597DC8"/>
    <w:rsid w:val="005A2DAC"/>
    <w:rsid w:val="005A3173"/>
    <w:rsid w:val="005A3223"/>
    <w:rsid w:val="005A3DA3"/>
    <w:rsid w:val="005A52C4"/>
    <w:rsid w:val="005A6464"/>
    <w:rsid w:val="005B22B4"/>
    <w:rsid w:val="005B6A30"/>
    <w:rsid w:val="005C52A8"/>
    <w:rsid w:val="005D03AB"/>
    <w:rsid w:val="005D1E90"/>
    <w:rsid w:val="005D5017"/>
    <w:rsid w:val="005D7E92"/>
    <w:rsid w:val="005E7BE4"/>
    <w:rsid w:val="005F02B5"/>
    <w:rsid w:val="005F2AEF"/>
    <w:rsid w:val="005F330F"/>
    <w:rsid w:val="005F411B"/>
    <w:rsid w:val="005F4590"/>
    <w:rsid w:val="00601A91"/>
    <w:rsid w:val="00602BA3"/>
    <w:rsid w:val="00603747"/>
    <w:rsid w:val="00607A40"/>
    <w:rsid w:val="0061044B"/>
    <w:rsid w:val="00611117"/>
    <w:rsid w:val="00614159"/>
    <w:rsid w:val="00616486"/>
    <w:rsid w:val="00617C00"/>
    <w:rsid w:val="006263BF"/>
    <w:rsid w:val="0062748A"/>
    <w:rsid w:val="00630A2C"/>
    <w:rsid w:val="00634769"/>
    <w:rsid w:val="006360C4"/>
    <w:rsid w:val="00636A37"/>
    <w:rsid w:val="0063720F"/>
    <w:rsid w:val="00640D65"/>
    <w:rsid w:val="006444C3"/>
    <w:rsid w:val="00651169"/>
    <w:rsid w:val="00653D69"/>
    <w:rsid w:val="00656324"/>
    <w:rsid w:val="00664DE9"/>
    <w:rsid w:val="00665BE1"/>
    <w:rsid w:val="00666ED5"/>
    <w:rsid w:val="00670A76"/>
    <w:rsid w:val="006711AA"/>
    <w:rsid w:val="00672B57"/>
    <w:rsid w:val="006753DF"/>
    <w:rsid w:val="00675622"/>
    <w:rsid w:val="00676C93"/>
    <w:rsid w:val="006808DF"/>
    <w:rsid w:val="00681DE8"/>
    <w:rsid w:val="006824DE"/>
    <w:rsid w:val="006906DB"/>
    <w:rsid w:val="00695FC2"/>
    <w:rsid w:val="006971E2"/>
    <w:rsid w:val="006A12A5"/>
    <w:rsid w:val="006A1FA4"/>
    <w:rsid w:val="006A4489"/>
    <w:rsid w:val="006A5B7C"/>
    <w:rsid w:val="006A68B5"/>
    <w:rsid w:val="006B0592"/>
    <w:rsid w:val="006B0A70"/>
    <w:rsid w:val="006B0D73"/>
    <w:rsid w:val="006B0D94"/>
    <w:rsid w:val="006B3B36"/>
    <w:rsid w:val="006B485D"/>
    <w:rsid w:val="006B4DB8"/>
    <w:rsid w:val="006C708E"/>
    <w:rsid w:val="006C767F"/>
    <w:rsid w:val="006D0CDA"/>
    <w:rsid w:val="006D3AB0"/>
    <w:rsid w:val="006D6EC7"/>
    <w:rsid w:val="006D7590"/>
    <w:rsid w:val="006E2FA6"/>
    <w:rsid w:val="006F5023"/>
    <w:rsid w:val="006F5125"/>
    <w:rsid w:val="006F55B6"/>
    <w:rsid w:val="007011F0"/>
    <w:rsid w:val="007024DD"/>
    <w:rsid w:val="00703B1D"/>
    <w:rsid w:val="00707440"/>
    <w:rsid w:val="00711BF9"/>
    <w:rsid w:val="00713AA4"/>
    <w:rsid w:val="007174BB"/>
    <w:rsid w:val="00717E0D"/>
    <w:rsid w:val="00724D80"/>
    <w:rsid w:val="00730067"/>
    <w:rsid w:val="00736143"/>
    <w:rsid w:val="007367DB"/>
    <w:rsid w:val="007457AA"/>
    <w:rsid w:val="007533E5"/>
    <w:rsid w:val="00753E24"/>
    <w:rsid w:val="0076420C"/>
    <w:rsid w:val="00770192"/>
    <w:rsid w:val="00774F86"/>
    <w:rsid w:val="007753C2"/>
    <w:rsid w:val="00781A24"/>
    <w:rsid w:val="007830F4"/>
    <w:rsid w:val="007838B8"/>
    <w:rsid w:val="007943B7"/>
    <w:rsid w:val="007948C5"/>
    <w:rsid w:val="00794F58"/>
    <w:rsid w:val="00797B57"/>
    <w:rsid w:val="007B10B7"/>
    <w:rsid w:val="007B2656"/>
    <w:rsid w:val="007B3832"/>
    <w:rsid w:val="007B694C"/>
    <w:rsid w:val="007C0F57"/>
    <w:rsid w:val="007C40B6"/>
    <w:rsid w:val="007C5547"/>
    <w:rsid w:val="007C729F"/>
    <w:rsid w:val="007E1D28"/>
    <w:rsid w:val="007E6CC2"/>
    <w:rsid w:val="007F1EC2"/>
    <w:rsid w:val="007F2641"/>
    <w:rsid w:val="007F3D22"/>
    <w:rsid w:val="007F4A85"/>
    <w:rsid w:val="007F647E"/>
    <w:rsid w:val="007F7C36"/>
    <w:rsid w:val="008060D4"/>
    <w:rsid w:val="00806796"/>
    <w:rsid w:val="00814B34"/>
    <w:rsid w:val="00815417"/>
    <w:rsid w:val="00815E58"/>
    <w:rsid w:val="00816F16"/>
    <w:rsid w:val="008201C6"/>
    <w:rsid w:val="00824BF7"/>
    <w:rsid w:val="00825587"/>
    <w:rsid w:val="00826F6D"/>
    <w:rsid w:val="00827DED"/>
    <w:rsid w:val="00840D42"/>
    <w:rsid w:val="0084214F"/>
    <w:rsid w:val="00844084"/>
    <w:rsid w:val="00856DDD"/>
    <w:rsid w:val="00857F98"/>
    <w:rsid w:val="008623C7"/>
    <w:rsid w:val="00862446"/>
    <w:rsid w:val="00863E68"/>
    <w:rsid w:val="008720A2"/>
    <w:rsid w:val="00874AA0"/>
    <w:rsid w:val="00876170"/>
    <w:rsid w:val="0088034B"/>
    <w:rsid w:val="00882085"/>
    <w:rsid w:val="00883188"/>
    <w:rsid w:val="0088619A"/>
    <w:rsid w:val="00892097"/>
    <w:rsid w:val="00897D58"/>
    <w:rsid w:val="008A0AEC"/>
    <w:rsid w:val="008A1956"/>
    <w:rsid w:val="008A3FD6"/>
    <w:rsid w:val="008A4937"/>
    <w:rsid w:val="008A58A3"/>
    <w:rsid w:val="008B0ECE"/>
    <w:rsid w:val="008B2D6B"/>
    <w:rsid w:val="008B713B"/>
    <w:rsid w:val="008B7D2B"/>
    <w:rsid w:val="008C3477"/>
    <w:rsid w:val="008C643B"/>
    <w:rsid w:val="008C7335"/>
    <w:rsid w:val="008C7B70"/>
    <w:rsid w:val="008D35F4"/>
    <w:rsid w:val="008D3C82"/>
    <w:rsid w:val="008D447E"/>
    <w:rsid w:val="008D7A41"/>
    <w:rsid w:val="008E038B"/>
    <w:rsid w:val="008E3680"/>
    <w:rsid w:val="008E39F1"/>
    <w:rsid w:val="008E5870"/>
    <w:rsid w:val="008E6BEF"/>
    <w:rsid w:val="008E6F07"/>
    <w:rsid w:val="008F1434"/>
    <w:rsid w:val="008F7355"/>
    <w:rsid w:val="009067B7"/>
    <w:rsid w:val="0091397C"/>
    <w:rsid w:val="00930937"/>
    <w:rsid w:val="009317C7"/>
    <w:rsid w:val="00933E6C"/>
    <w:rsid w:val="0093537D"/>
    <w:rsid w:val="0093565A"/>
    <w:rsid w:val="00940706"/>
    <w:rsid w:val="00942160"/>
    <w:rsid w:val="00946D6D"/>
    <w:rsid w:val="00951C14"/>
    <w:rsid w:val="009602C5"/>
    <w:rsid w:val="00966D7D"/>
    <w:rsid w:val="00974C21"/>
    <w:rsid w:val="00986E84"/>
    <w:rsid w:val="00987223"/>
    <w:rsid w:val="00991AE2"/>
    <w:rsid w:val="0099257A"/>
    <w:rsid w:val="00992799"/>
    <w:rsid w:val="0099320F"/>
    <w:rsid w:val="00997A38"/>
    <w:rsid w:val="009A532C"/>
    <w:rsid w:val="009B0F67"/>
    <w:rsid w:val="009B5455"/>
    <w:rsid w:val="009B6E90"/>
    <w:rsid w:val="009C2389"/>
    <w:rsid w:val="009C334F"/>
    <w:rsid w:val="009C5198"/>
    <w:rsid w:val="009C703C"/>
    <w:rsid w:val="009D15D1"/>
    <w:rsid w:val="009D3CAA"/>
    <w:rsid w:val="009E1AD3"/>
    <w:rsid w:val="009E250D"/>
    <w:rsid w:val="009E60C5"/>
    <w:rsid w:val="009F32EE"/>
    <w:rsid w:val="009F4E46"/>
    <w:rsid w:val="009F5B65"/>
    <w:rsid w:val="009F5F2E"/>
    <w:rsid w:val="00A06225"/>
    <w:rsid w:val="00A06968"/>
    <w:rsid w:val="00A128E6"/>
    <w:rsid w:val="00A25E9C"/>
    <w:rsid w:val="00A377BB"/>
    <w:rsid w:val="00A37C8D"/>
    <w:rsid w:val="00A5273B"/>
    <w:rsid w:val="00A53A9D"/>
    <w:rsid w:val="00A55FEE"/>
    <w:rsid w:val="00A624DB"/>
    <w:rsid w:val="00A62C1A"/>
    <w:rsid w:val="00A6426D"/>
    <w:rsid w:val="00A64DA8"/>
    <w:rsid w:val="00A70622"/>
    <w:rsid w:val="00A70977"/>
    <w:rsid w:val="00A72E9B"/>
    <w:rsid w:val="00A73019"/>
    <w:rsid w:val="00A8390C"/>
    <w:rsid w:val="00A84E14"/>
    <w:rsid w:val="00A928BD"/>
    <w:rsid w:val="00A94623"/>
    <w:rsid w:val="00AA1BBD"/>
    <w:rsid w:val="00AA21D1"/>
    <w:rsid w:val="00AA4D1C"/>
    <w:rsid w:val="00AB352E"/>
    <w:rsid w:val="00AB700A"/>
    <w:rsid w:val="00AC5206"/>
    <w:rsid w:val="00AC6D44"/>
    <w:rsid w:val="00AD2B36"/>
    <w:rsid w:val="00AD4963"/>
    <w:rsid w:val="00AE11A5"/>
    <w:rsid w:val="00AE13E2"/>
    <w:rsid w:val="00AE3AD2"/>
    <w:rsid w:val="00AE7A36"/>
    <w:rsid w:val="00AF02B3"/>
    <w:rsid w:val="00AF68CC"/>
    <w:rsid w:val="00B00935"/>
    <w:rsid w:val="00B01C64"/>
    <w:rsid w:val="00B05E5A"/>
    <w:rsid w:val="00B078D5"/>
    <w:rsid w:val="00B12883"/>
    <w:rsid w:val="00B205AA"/>
    <w:rsid w:val="00B22E84"/>
    <w:rsid w:val="00B23B04"/>
    <w:rsid w:val="00B259D3"/>
    <w:rsid w:val="00B25F75"/>
    <w:rsid w:val="00B267FF"/>
    <w:rsid w:val="00B34CDC"/>
    <w:rsid w:val="00B355EF"/>
    <w:rsid w:val="00B43E90"/>
    <w:rsid w:val="00B44302"/>
    <w:rsid w:val="00B50242"/>
    <w:rsid w:val="00B5091D"/>
    <w:rsid w:val="00B53CC1"/>
    <w:rsid w:val="00B56118"/>
    <w:rsid w:val="00B6547A"/>
    <w:rsid w:val="00B65681"/>
    <w:rsid w:val="00B670FA"/>
    <w:rsid w:val="00B6773F"/>
    <w:rsid w:val="00B761C7"/>
    <w:rsid w:val="00B764F8"/>
    <w:rsid w:val="00B801BA"/>
    <w:rsid w:val="00B80FBB"/>
    <w:rsid w:val="00B90423"/>
    <w:rsid w:val="00B96987"/>
    <w:rsid w:val="00B971BF"/>
    <w:rsid w:val="00BA3864"/>
    <w:rsid w:val="00BB1490"/>
    <w:rsid w:val="00BB2E27"/>
    <w:rsid w:val="00BB3C33"/>
    <w:rsid w:val="00BB5D3F"/>
    <w:rsid w:val="00BB69F5"/>
    <w:rsid w:val="00BB7EC3"/>
    <w:rsid w:val="00BC1FBE"/>
    <w:rsid w:val="00BC4B9A"/>
    <w:rsid w:val="00BC6BF5"/>
    <w:rsid w:val="00BD784C"/>
    <w:rsid w:val="00BE0220"/>
    <w:rsid w:val="00BE1DAA"/>
    <w:rsid w:val="00BE3FA9"/>
    <w:rsid w:val="00BF44E1"/>
    <w:rsid w:val="00BF4CB6"/>
    <w:rsid w:val="00C00DA7"/>
    <w:rsid w:val="00C02D28"/>
    <w:rsid w:val="00C10665"/>
    <w:rsid w:val="00C11E73"/>
    <w:rsid w:val="00C12768"/>
    <w:rsid w:val="00C12974"/>
    <w:rsid w:val="00C15958"/>
    <w:rsid w:val="00C27B58"/>
    <w:rsid w:val="00C31FB5"/>
    <w:rsid w:val="00C3367A"/>
    <w:rsid w:val="00C35996"/>
    <w:rsid w:val="00C37540"/>
    <w:rsid w:val="00C4023F"/>
    <w:rsid w:val="00C412E8"/>
    <w:rsid w:val="00C45EC8"/>
    <w:rsid w:val="00C47D8A"/>
    <w:rsid w:val="00C52904"/>
    <w:rsid w:val="00C5342C"/>
    <w:rsid w:val="00C6256A"/>
    <w:rsid w:val="00C632D1"/>
    <w:rsid w:val="00C638BD"/>
    <w:rsid w:val="00C639F1"/>
    <w:rsid w:val="00C658C5"/>
    <w:rsid w:val="00C6605F"/>
    <w:rsid w:val="00C66A61"/>
    <w:rsid w:val="00C70D65"/>
    <w:rsid w:val="00C80958"/>
    <w:rsid w:val="00C83D82"/>
    <w:rsid w:val="00C84032"/>
    <w:rsid w:val="00C91449"/>
    <w:rsid w:val="00C91EBF"/>
    <w:rsid w:val="00C92D10"/>
    <w:rsid w:val="00C9562B"/>
    <w:rsid w:val="00CA67A6"/>
    <w:rsid w:val="00CB5694"/>
    <w:rsid w:val="00CB71CB"/>
    <w:rsid w:val="00CC1B2D"/>
    <w:rsid w:val="00CC454C"/>
    <w:rsid w:val="00CD1465"/>
    <w:rsid w:val="00CD28BC"/>
    <w:rsid w:val="00CD3700"/>
    <w:rsid w:val="00CD4088"/>
    <w:rsid w:val="00CE009E"/>
    <w:rsid w:val="00CE10C4"/>
    <w:rsid w:val="00CE27B5"/>
    <w:rsid w:val="00CE51D4"/>
    <w:rsid w:val="00CF1610"/>
    <w:rsid w:val="00CF238B"/>
    <w:rsid w:val="00CF473D"/>
    <w:rsid w:val="00CF7DFD"/>
    <w:rsid w:val="00D0321E"/>
    <w:rsid w:val="00D116E5"/>
    <w:rsid w:val="00D1455A"/>
    <w:rsid w:val="00D17C89"/>
    <w:rsid w:val="00D22811"/>
    <w:rsid w:val="00D3280C"/>
    <w:rsid w:val="00D3406A"/>
    <w:rsid w:val="00D346FE"/>
    <w:rsid w:val="00D37DAC"/>
    <w:rsid w:val="00D469B2"/>
    <w:rsid w:val="00D54428"/>
    <w:rsid w:val="00D55B53"/>
    <w:rsid w:val="00D60144"/>
    <w:rsid w:val="00D60F06"/>
    <w:rsid w:val="00D61664"/>
    <w:rsid w:val="00D61692"/>
    <w:rsid w:val="00D62AFD"/>
    <w:rsid w:val="00D741EB"/>
    <w:rsid w:val="00D77B82"/>
    <w:rsid w:val="00D82C01"/>
    <w:rsid w:val="00D84934"/>
    <w:rsid w:val="00D84BFB"/>
    <w:rsid w:val="00D91271"/>
    <w:rsid w:val="00D93028"/>
    <w:rsid w:val="00D93D31"/>
    <w:rsid w:val="00DA2380"/>
    <w:rsid w:val="00DA2CB5"/>
    <w:rsid w:val="00DA48A5"/>
    <w:rsid w:val="00DA4BAC"/>
    <w:rsid w:val="00DA611E"/>
    <w:rsid w:val="00DA7932"/>
    <w:rsid w:val="00DB02A6"/>
    <w:rsid w:val="00DC68E2"/>
    <w:rsid w:val="00DD283C"/>
    <w:rsid w:val="00DD5472"/>
    <w:rsid w:val="00DD60BF"/>
    <w:rsid w:val="00DD6F41"/>
    <w:rsid w:val="00DE101B"/>
    <w:rsid w:val="00DE253E"/>
    <w:rsid w:val="00DE2A00"/>
    <w:rsid w:val="00DE6D27"/>
    <w:rsid w:val="00DF01F4"/>
    <w:rsid w:val="00DF217D"/>
    <w:rsid w:val="00DF26A7"/>
    <w:rsid w:val="00E01593"/>
    <w:rsid w:val="00E164B3"/>
    <w:rsid w:val="00E16910"/>
    <w:rsid w:val="00E16B48"/>
    <w:rsid w:val="00E22595"/>
    <w:rsid w:val="00E25F55"/>
    <w:rsid w:val="00E2697C"/>
    <w:rsid w:val="00E353A8"/>
    <w:rsid w:val="00E369E1"/>
    <w:rsid w:val="00E36CCF"/>
    <w:rsid w:val="00E50F0A"/>
    <w:rsid w:val="00E60A5A"/>
    <w:rsid w:val="00E62CBF"/>
    <w:rsid w:val="00E65E54"/>
    <w:rsid w:val="00E66E43"/>
    <w:rsid w:val="00E76307"/>
    <w:rsid w:val="00E80155"/>
    <w:rsid w:val="00E8411C"/>
    <w:rsid w:val="00E848C0"/>
    <w:rsid w:val="00E85E64"/>
    <w:rsid w:val="00E87B53"/>
    <w:rsid w:val="00E909C9"/>
    <w:rsid w:val="00E91B96"/>
    <w:rsid w:val="00E941A1"/>
    <w:rsid w:val="00E95CE3"/>
    <w:rsid w:val="00EA2825"/>
    <w:rsid w:val="00EA4587"/>
    <w:rsid w:val="00EA7BC5"/>
    <w:rsid w:val="00EB18B8"/>
    <w:rsid w:val="00EB5088"/>
    <w:rsid w:val="00EB69AC"/>
    <w:rsid w:val="00EC3FC7"/>
    <w:rsid w:val="00ED1644"/>
    <w:rsid w:val="00ED674A"/>
    <w:rsid w:val="00ED7D9C"/>
    <w:rsid w:val="00EE418B"/>
    <w:rsid w:val="00EE58E0"/>
    <w:rsid w:val="00EF44A0"/>
    <w:rsid w:val="00F050BD"/>
    <w:rsid w:val="00F05657"/>
    <w:rsid w:val="00F15750"/>
    <w:rsid w:val="00F16AA8"/>
    <w:rsid w:val="00F22F8D"/>
    <w:rsid w:val="00F25578"/>
    <w:rsid w:val="00F258E5"/>
    <w:rsid w:val="00F26DB2"/>
    <w:rsid w:val="00F300BC"/>
    <w:rsid w:val="00F30BC8"/>
    <w:rsid w:val="00F3334E"/>
    <w:rsid w:val="00F405CC"/>
    <w:rsid w:val="00F41DF8"/>
    <w:rsid w:val="00F45D5E"/>
    <w:rsid w:val="00F50EC4"/>
    <w:rsid w:val="00F57A6D"/>
    <w:rsid w:val="00F60540"/>
    <w:rsid w:val="00F62B72"/>
    <w:rsid w:val="00F63722"/>
    <w:rsid w:val="00F638CC"/>
    <w:rsid w:val="00F70A94"/>
    <w:rsid w:val="00F76654"/>
    <w:rsid w:val="00F8247A"/>
    <w:rsid w:val="00F8609B"/>
    <w:rsid w:val="00F93743"/>
    <w:rsid w:val="00F94FD6"/>
    <w:rsid w:val="00F9629A"/>
    <w:rsid w:val="00F97C21"/>
    <w:rsid w:val="00FA189E"/>
    <w:rsid w:val="00FA3C24"/>
    <w:rsid w:val="00FA5883"/>
    <w:rsid w:val="00FA6055"/>
    <w:rsid w:val="00FB0E6A"/>
    <w:rsid w:val="00FB1A5E"/>
    <w:rsid w:val="00FB322F"/>
    <w:rsid w:val="00FB442F"/>
    <w:rsid w:val="00FC1929"/>
    <w:rsid w:val="00FC22D8"/>
    <w:rsid w:val="00FC5B46"/>
    <w:rsid w:val="00FD03EE"/>
    <w:rsid w:val="00FD18AD"/>
    <w:rsid w:val="00FE445E"/>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paragraph" w:customStyle="1" w:styleId="COMtbl-HEADLeftAligned">
    <w:name w:val="COMtbl-HEAD Left Aligned"/>
    <w:basedOn w:val="Normal"/>
    <w:qFormat/>
    <w:rsid w:val="0088034B"/>
    <w:pPr>
      <w:widowControl w:val="0"/>
      <w:tabs>
        <w:tab w:val="left" w:pos="720"/>
      </w:tabs>
    </w:pPr>
    <w:rPr>
      <w:rFonts w:ascii="Arial Narrow" w:hAnsi="Arial Narrow" w:cs="Arial"/>
      <w:b/>
      <w:snapToGrid w:val="0"/>
      <w:sz w:val="20"/>
      <w:szCs w:val="20"/>
      <w:lang w:eastAsia="en-US"/>
    </w:rPr>
  </w:style>
  <w:style w:type="paragraph" w:customStyle="1" w:styleId="COMtbl-HEADCentred">
    <w:name w:val="COMtbl-HEAD Centred"/>
    <w:basedOn w:val="COMtbl-HEADLeftAligned"/>
    <w:qFormat/>
    <w:rsid w:val="0088034B"/>
    <w:pPr>
      <w:jc w:val="center"/>
    </w:pPr>
  </w:style>
  <w:style w:type="paragraph" w:customStyle="1" w:styleId="COMTbl-foot">
    <w:name w:val="COMTbl-foot"/>
    <w:basedOn w:val="Normal"/>
    <w:link w:val="COMTbl-footChar"/>
    <w:qFormat/>
    <w:rsid w:val="0088034B"/>
    <w:pPr>
      <w:widowControl w:val="0"/>
      <w:jc w:val="both"/>
    </w:pPr>
    <w:rPr>
      <w:rFonts w:ascii="Arial" w:hAnsi="Arial" w:cs="Arial"/>
      <w:snapToGrid w:val="0"/>
      <w:sz w:val="18"/>
      <w:szCs w:val="20"/>
      <w:lang w:eastAsia="en-US"/>
    </w:rPr>
  </w:style>
  <w:style w:type="character" w:customStyle="1" w:styleId="COMTbl-footChar">
    <w:name w:val="COMTbl-foot Char"/>
    <w:basedOn w:val="DefaultParagraphFont"/>
    <w:link w:val="COMTbl-foot"/>
    <w:rsid w:val="0088034B"/>
    <w:rPr>
      <w:rFonts w:ascii="Arial" w:hAnsi="Arial" w:cs="Arial"/>
      <w:snapToGrid w:val="0"/>
      <w:sz w:val="18"/>
      <w:lang w:eastAsia="en-US"/>
    </w:rPr>
  </w:style>
  <w:style w:type="paragraph" w:customStyle="1" w:styleId="COMtbl-textLeftAligned">
    <w:name w:val="COMtbl-text Left Aligned"/>
    <w:basedOn w:val="COMtbl-HEADLeftAligned"/>
    <w:qFormat/>
    <w:rsid w:val="0088034B"/>
    <w:rPr>
      <w:b w:val="0"/>
    </w:rPr>
  </w:style>
  <w:style w:type="paragraph" w:customStyle="1" w:styleId="COMtbl-textCentred">
    <w:name w:val="COMtbl-text Centred"/>
    <w:basedOn w:val="COMtbl-HEADCentred"/>
    <w:qFormat/>
    <w:rsid w:val="0088034B"/>
    <w:rPr>
      <w:b w:val="0"/>
    </w:rPr>
  </w:style>
  <w:style w:type="character" w:customStyle="1" w:styleId="ListParagraphChar">
    <w:name w:val="List Paragraph Char"/>
    <w:basedOn w:val="DefaultParagraphFont"/>
    <w:link w:val="ListParagraph"/>
    <w:uiPriority w:val="72"/>
    <w:rsid w:val="002C6C71"/>
    <w:rPr>
      <w:sz w:val="24"/>
      <w:szCs w:val="24"/>
    </w:rPr>
  </w:style>
  <w:style w:type="paragraph" w:customStyle="1" w:styleId="PBACHeading1">
    <w:name w:val="PBAC Heading 1"/>
    <w:qFormat/>
    <w:rsid w:val="005D7E92"/>
    <w:pPr>
      <w:ind w:left="720" w:hanging="720"/>
    </w:pPr>
    <w:rPr>
      <w:rFonts w:ascii="Arial" w:hAnsi="Arial" w:cs="Arial"/>
      <w:b/>
      <w:snapToGrid w:val="0"/>
      <w:sz w:val="22"/>
      <w:szCs w:val="22"/>
      <w:lang w:eastAsia="en-US"/>
    </w:rPr>
  </w:style>
  <w:style w:type="paragraph" w:customStyle="1" w:styleId="Default">
    <w:name w:val="Default"/>
    <w:rsid w:val="00B53CC1"/>
    <w:pPr>
      <w:autoSpaceDE w:val="0"/>
      <w:autoSpaceDN w:val="0"/>
      <w:adjustRightInd w:val="0"/>
    </w:pPr>
    <w:rPr>
      <w:rFonts w:ascii="Calibri" w:hAnsi="Calibri" w:cs="Calibri"/>
      <w:color w:val="000000"/>
      <w:sz w:val="24"/>
      <w:szCs w:val="24"/>
    </w:rPr>
  </w:style>
  <w:style w:type="character" w:styleId="Hyperlink">
    <w:name w:val="Hyperlink"/>
    <w:uiPriority w:val="99"/>
    <w:rsid w:val="001179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paragraph" w:customStyle="1" w:styleId="COMtbl-HEADLeftAligned">
    <w:name w:val="COMtbl-HEAD Left Aligned"/>
    <w:basedOn w:val="Normal"/>
    <w:qFormat/>
    <w:rsid w:val="0088034B"/>
    <w:pPr>
      <w:widowControl w:val="0"/>
      <w:tabs>
        <w:tab w:val="left" w:pos="720"/>
      </w:tabs>
    </w:pPr>
    <w:rPr>
      <w:rFonts w:ascii="Arial Narrow" w:hAnsi="Arial Narrow" w:cs="Arial"/>
      <w:b/>
      <w:snapToGrid w:val="0"/>
      <w:sz w:val="20"/>
      <w:szCs w:val="20"/>
      <w:lang w:eastAsia="en-US"/>
    </w:rPr>
  </w:style>
  <w:style w:type="paragraph" w:customStyle="1" w:styleId="COMtbl-HEADCentred">
    <w:name w:val="COMtbl-HEAD Centred"/>
    <w:basedOn w:val="COMtbl-HEADLeftAligned"/>
    <w:qFormat/>
    <w:rsid w:val="0088034B"/>
    <w:pPr>
      <w:jc w:val="center"/>
    </w:pPr>
  </w:style>
  <w:style w:type="paragraph" w:customStyle="1" w:styleId="COMTbl-foot">
    <w:name w:val="COMTbl-foot"/>
    <w:basedOn w:val="Normal"/>
    <w:link w:val="COMTbl-footChar"/>
    <w:qFormat/>
    <w:rsid w:val="0088034B"/>
    <w:pPr>
      <w:widowControl w:val="0"/>
      <w:jc w:val="both"/>
    </w:pPr>
    <w:rPr>
      <w:rFonts w:ascii="Arial" w:hAnsi="Arial" w:cs="Arial"/>
      <w:snapToGrid w:val="0"/>
      <w:sz w:val="18"/>
      <w:szCs w:val="20"/>
      <w:lang w:eastAsia="en-US"/>
    </w:rPr>
  </w:style>
  <w:style w:type="character" w:customStyle="1" w:styleId="COMTbl-footChar">
    <w:name w:val="COMTbl-foot Char"/>
    <w:basedOn w:val="DefaultParagraphFont"/>
    <w:link w:val="COMTbl-foot"/>
    <w:rsid w:val="0088034B"/>
    <w:rPr>
      <w:rFonts w:ascii="Arial" w:hAnsi="Arial" w:cs="Arial"/>
      <w:snapToGrid w:val="0"/>
      <w:sz w:val="18"/>
      <w:lang w:eastAsia="en-US"/>
    </w:rPr>
  </w:style>
  <w:style w:type="paragraph" w:customStyle="1" w:styleId="COMtbl-textLeftAligned">
    <w:name w:val="COMtbl-text Left Aligned"/>
    <w:basedOn w:val="COMtbl-HEADLeftAligned"/>
    <w:qFormat/>
    <w:rsid w:val="0088034B"/>
    <w:rPr>
      <w:b w:val="0"/>
    </w:rPr>
  </w:style>
  <w:style w:type="paragraph" w:customStyle="1" w:styleId="COMtbl-textCentred">
    <w:name w:val="COMtbl-text Centred"/>
    <w:basedOn w:val="COMtbl-HEADCentred"/>
    <w:qFormat/>
    <w:rsid w:val="0088034B"/>
    <w:rPr>
      <w:b w:val="0"/>
    </w:rPr>
  </w:style>
  <w:style w:type="character" w:customStyle="1" w:styleId="ListParagraphChar">
    <w:name w:val="List Paragraph Char"/>
    <w:basedOn w:val="DefaultParagraphFont"/>
    <w:link w:val="ListParagraph"/>
    <w:uiPriority w:val="72"/>
    <w:rsid w:val="002C6C71"/>
    <w:rPr>
      <w:sz w:val="24"/>
      <w:szCs w:val="24"/>
    </w:rPr>
  </w:style>
  <w:style w:type="paragraph" w:customStyle="1" w:styleId="PBACHeading1">
    <w:name w:val="PBAC Heading 1"/>
    <w:qFormat/>
    <w:rsid w:val="005D7E92"/>
    <w:pPr>
      <w:ind w:left="720" w:hanging="720"/>
    </w:pPr>
    <w:rPr>
      <w:rFonts w:ascii="Arial" w:hAnsi="Arial" w:cs="Arial"/>
      <w:b/>
      <w:snapToGrid w:val="0"/>
      <w:sz w:val="22"/>
      <w:szCs w:val="22"/>
      <w:lang w:eastAsia="en-US"/>
    </w:rPr>
  </w:style>
  <w:style w:type="paragraph" w:customStyle="1" w:styleId="Default">
    <w:name w:val="Default"/>
    <w:rsid w:val="00B53CC1"/>
    <w:pPr>
      <w:autoSpaceDE w:val="0"/>
      <w:autoSpaceDN w:val="0"/>
      <w:adjustRightInd w:val="0"/>
    </w:pPr>
    <w:rPr>
      <w:rFonts w:ascii="Calibri" w:hAnsi="Calibri" w:cs="Calibri"/>
      <w:color w:val="000000"/>
      <w:sz w:val="24"/>
      <w:szCs w:val="24"/>
    </w:rPr>
  </w:style>
  <w:style w:type="character" w:styleId="Hyperlink">
    <w:name w:val="Hyperlink"/>
    <w:uiPriority w:val="99"/>
    <w:rsid w:val="00117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4282956">
      <w:bodyDiv w:val="1"/>
      <w:marLeft w:val="0"/>
      <w:marRight w:val="0"/>
      <w:marTop w:val="0"/>
      <w:marBottom w:val="0"/>
      <w:divBdr>
        <w:top w:val="none" w:sz="0" w:space="0" w:color="auto"/>
        <w:left w:val="none" w:sz="0" w:space="0" w:color="auto"/>
        <w:bottom w:val="none" w:sz="0" w:space="0" w:color="auto"/>
        <w:right w:val="none" w:sz="0" w:space="0" w:color="auto"/>
      </w:divBdr>
    </w:div>
    <w:div w:id="254242940">
      <w:bodyDiv w:val="1"/>
      <w:marLeft w:val="0"/>
      <w:marRight w:val="0"/>
      <w:marTop w:val="0"/>
      <w:marBottom w:val="0"/>
      <w:divBdr>
        <w:top w:val="none" w:sz="0" w:space="0" w:color="auto"/>
        <w:left w:val="none" w:sz="0" w:space="0" w:color="auto"/>
        <w:bottom w:val="none" w:sz="0" w:space="0" w:color="auto"/>
        <w:right w:val="none" w:sz="0" w:space="0" w:color="auto"/>
      </w:divBdr>
    </w:div>
    <w:div w:id="569273131">
      <w:bodyDiv w:val="1"/>
      <w:marLeft w:val="0"/>
      <w:marRight w:val="0"/>
      <w:marTop w:val="0"/>
      <w:marBottom w:val="0"/>
      <w:divBdr>
        <w:top w:val="none" w:sz="0" w:space="0" w:color="auto"/>
        <w:left w:val="none" w:sz="0" w:space="0" w:color="auto"/>
        <w:bottom w:val="none" w:sz="0" w:space="0" w:color="auto"/>
        <w:right w:val="none" w:sz="0" w:space="0" w:color="auto"/>
      </w:divBdr>
    </w:div>
    <w:div w:id="759790227">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1431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18F36-62B3-4921-B765-EB744A01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5981</Words>
  <Characters>34337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2015-10-19T04:26:00Z</dcterms:created>
  <dcterms:modified xsi:type="dcterms:W3CDTF">2015-10-21T22:08:00Z</dcterms:modified>
</cp:coreProperties>
</file>