
<file path=[Content_Types].xml><?xml version="1.0" encoding="utf-8"?>
<Types xmlns="http://schemas.openxmlformats.org/package/2006/content-types">
  <Default Extension="png" ContentType="image/png"/>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5C4" w:rsidRDefault="0068412F" w:rsidP="00323E7A">
      <w:pPr>
        <w:pStyle w:val="Heading1"/>
        <w:widowControl/>
        <w:jc w:val="left"/>
        <w:rPr>
          <w:sz w:val="28"/>
        </w:rPr>
      </w:pPr>
      <w:bookmarkStart w:id="0" w:name="_Toc419885962"/>
      <w:r>
        <w:rPr>
          <w:sz w:val="28"/>
        </w:rPr>
        <w:t>5.10</w:t>
      </w:r>
      <w:r w:rsidR="00B60939" w:rsidRPr="00207D00">
        <w:rPr>
          <w:sz w:val="28"/>
        </w:rPr>
        <w:tab/>
      </w:r>
      <w:r w:rsidR="0030426C">
        <w:rPr>
          <w:sz w:val="28"/>
        </w:rPr>
        <w:t>NIVOLUMAB</w:t>
      </w:r>
    </w:p>
    <w:p w:rsidR="00B60939" w:rsidRPr="006B65E3" w:rsidRDefault="006B65E3" w:rsidP="007535C4">
      <w:pPr>
        <w:pStyle w:val="Heading1"/>
        <w:widowControl/>
        <w:ind w:hanging="11"/>
        <w:jc w:val="left"/>
        <w:rPr>
          <w:caps w:val="0"/>
          <w:sz w:val="28"/>
        </w:rPr>
      </w:pPr>
      <w:r w:rsidRPr="006B65E3">
        <w:rPr>
          <w:caps w:val="0"/>
          <w:sz w:val="28"/>
          <w:szCs w:val="28"/>
        </w:rPr>
        <w:t xml:space="preserve">concentrate solution for infusion, 10 mg/mL, </w:t>
      </w:r>
      <w:r>
        <w:rPr>
          <w:caps w:val="0"/>
          <w:sz w:val="28"/>
          <w:szCs w:val="28"/>
        </w:rPr>
        <w:t>1 x </w:t>
      </w:r>
      <w:r w:rsidRPr="006B65E3">
        <w:rPr>
          <w:caps w:val="0"/>
          <w:sz w:val="28"/>
          <w:szCs w:val="28"/>
        </w:rPr>
        <w:t>4</w:t>
      </w:r>
      <w:r w:rsidR="005565AF">
        <w:rPr>
          <w:caps w:val="0"/>
          <w:sz w:val="28"/>
          <w:szCs w:val="28"/>
        </w:rPr>
        <w:t> mL</w:t>
      </w:r>
      <w:r w:rsidRPr="006B65E3">
        <w:rPr>
          <w:caps w:val="0"/>
          <w:sz w:val="28"/>
          <w:szCs w:val="28"/>
        </w:rPr>
        <w:t xml:space="preserve"> vial, concentrate solution for infusion, 10</w:t>
      </w:r>
      <w:r w:rsidR="005565AF">
        <w:rPr>
          <w:caps w:val="0"/>
          <w:sz w:val="28"/>
          <w:szCs w:val="28"/>
        </w:rPr>
        <w:t> </w:t>
      </w:r>
      <w:r w:rsidRPr="006B65E3">
        <w:rPr>
          <w:caps w:val="0"/>
          <w:sz w:val="28"/>
          <w:szCs w:val="28"/>
        </w:rPr>
        <w:t xml:space="preserve">mg/mL, </w:t>
      </w:r>
      <w:r>
        <w:rPr>
          <w:caps w:val="0"/>
          <w:sz w:val="28"/>
          <w:szCs w:val="28"/>
        </w:rPr>
        <w:t>1 x </w:t>
      </w:r>
      <w:r w:rsidR="005565AF">
        <w:rPr>
          <w:caps w:val="0"/>
          <w:sz w:val="28"/>
          <w:szCs w:val="28"/>
        </w:rPr>
        <w:t>10 mL</w:t>
      </w:r>
      <w:r w:rsidRPr="006B65E3">
        <w:rPr>
          <w:caps w:val="0"/>
          <w:sz w:val="28"/>
          <w:szCs w:val="28"/>
        </w:rPr>
        <w:t xml:space="preserve"> vial</w:t>
      </w:r>
      <w:r w:rsidR="00B60939" w:rsidRPr="00207D00">
        <w:rPr>
          <w:sz w:val="28"/>
        </w:rPr>
        <w:t xml:space="preserve">, </w:t>
      </w:r>
      <w:r w:rsidR="0030426C">
        <w:rPr>
          <w:caps w:val="0"/>
          <w:sz w:val="28"/>
        </w:rPr>
        <w:t>Opdivo</w:t>
      </w:r>
      <w:r w:rsidR="007C692B" w:rsidRPr="007C692B">
        <w:rPr>
          <w:rFonts w:ascii="Arial" w:hAnsi="Arial"/>
          <w:caps w:val="0"/>
          <w:sz w:val="28"/>
          <w:vertAlign w:val="superscript"/>
        </w:rPr>
        <w:t>®</w:t>
      </w:r>
      <w:r w:rsidR="00B60939" w:rsidRPr="00207D00">
        <w:rPr>
          <w:sz w:val="28"/>
        </w:rPr>
        <w:t xml:space="preserve">, </w:t>
      </w:r>
      <w:r w:rsidR="0030426C">
        <w:rPr>
          <w:caps w:val="0"/>
          <w:sz w:val="28"/>
        </w:rPr>
        <w:t>Bristol Myers Squibb</w:t>
      </w:r>
      <w:bookmarkEnd w:id="0"/>
    </w:p>
    <w:p w:rsidR="00433044" w:rsidRPr="004A2FC8" w:rsidRDefault="00433044" w:rsidP="00323E7A">
      <w:pPr>
        <w:pStyle w:val="Heading2"/>
        <w:widowControl/>
        <w:rPr>
          <w:highlight w:val="yellow"/>
        </w:rPr>
      </w:pPr>
    </w:p>
    <w:p w:rsidR="00B50DB8" w:rsidRDefault="00B50DB8" w:rsidP="00323E7A">
      <w:pPr>
        <w:pStyle w:val="Heading2"/>
        <w:widowControl/>
        <w:numPr>
          <w:ilvl w:val="0"/>
          <w:numId w:val="23"/>
        </w:numPr>
        <w:ind w:left="709" w:hanging="709"/>
      </w:pPr>
      <w:bookmarkStart w:id="1" w:name="_Toc419885964"/>
      <w:r w:rsidRPr="00EE7EEB">
        <w:t>Purpose of Application</w:t>
      </w:r>
      <w:bookmarkEnd w:id="1"/>
    </w:p>
    <w:p w:rsidR="00002803" w:rsidRPr="00002803" w:rsidRDefault="00002803" w:rsidP="00323E7A">
      <w:pPr>
        <w:widowControl/>
      </w:pPr>
    </w:p>
    <w:p w:rsidR="00002803" w:rsidRPr="00EE7EEB" w:rsidRDefault="0030426C" w:rsidP="00323E7A">
      <w:pPr>
        <w:pStyle w:val="ListParagraph"/>
        <w:widowControl/>
        <w:numPr>
          <w:ilvl w:val="1"/>
          <w:numId w:val="23"/>
        </w:numPr>
        <w:ind w:left="709" w:hanging="709"/>
      </w:pPr>
      <w:r w:rsidRPr="00EE7EEB">
        <w:t xml:space="preserve">Section </w:t>
      </w:r>
      <w:r w:rsidR="00FF2C4D" w:rsidRPr="00EE7EEB">
        <w:t xml:space="preserve">100 </w:t>
      </w:r>
      <w:r w:rsidRPr="00EE7EEB">
        <w:t xml:space="preserve">(Efficient Funding of Chemotherapy – Public and Private Hospital) Authority Required listing for the treatment of unresectable Stage III or Stage IV </w:t>
      </w:r>
      <w:r w:rsidR="00A054F8" w:rsidRPr="00EE7EEB">
        <w:t>malignant</w:t>
      </w:r>
      <w:r w:rsidRPr="00EE7EEB">
        <w:t xml:space="preserve"> melanoma</w:t>
      </w:r>
      <w:r w:rsidR="001E238E" w:rsidRPr="00EE7EEB">
        <w:t>.</w:t>
      </w:r>
    </w:p>
    <w:p w:rsidR="00B60939" w:rsidRPr="00EE7EEB" w:rsidRDefault="00B60939" w:rsidP="00323E7A">
      <w:pPr>
        <w:widowControl/>
      </w:pPr>
    </w:p>
    <w:p w:rsidR="004E43B2" w:rsidRPr="00EE7EEB" w:rsidRDefault="004E43B2" w:rsidP="00323E7A">
      <w:pPr>
        <w:widowControl/>
      </w:pPr>
    </w:p>
    <w:p w:rsidR="00B50DB8" w:rsidRPr="00EE7EEB" w:rsidRDefault="00B50DB8" w:rsidP="00323E7A">
      <w:pPr>
        <w:pStyle w:val="Heading2"/>
        <w:widowControl/>
        <w:numPr>
          <w:ilvl w:val="0"/>
          <w:numId w:val="23"/>
        </w:numPr>
        <w:ind w:left="709" w:hanging="709"/>
      </w:pPr>
      <w:bookmarkStart w:id="2" w:name="_Toc419885965"/>
      <w:r w:rsidRPr="00EE7EEB">
        <w:t>Requested listing</w:t>
      </w:r>
      <w:bookmarkEnd w:id="2"/>
    </w:p>
    <w:p w:rsidR="00F00C4E" w:rsidRPr="00EE7EEB" w:rsidRDefault="00F00C4E" w:rsidP="00323E7A">
      <w:pPr>
        <w:widowControl/>
      </w:pPr>
    </w:p>
    <w:p w:rsidR="00617E12" w:rsidRDefault="00A054F8" w:rsidP="00323E7A">
      <w:pPr>
        <w:pStyle w:val="ListParagraph"/>
        <w:widowControl/>
        <w:numPr>
          <w:ilvl w:val="1"/>
          <w:numId w:val="23"/>
        </w:numPr>
        <w:ind w:left="709" w:hanging="709"/>
      </w:pPr>
      <w:r w:rsidRPr="00EE7EEB">
        <w:t xml:space="preserve">The requested restriction is provided below, including initial and continuing treatment criteria.  </w:t>
      </w:r>
      <w:r w:rsidR="00661889" w:rsidRPr="00EE7EEB">
        <w:t>Suggestions</w:t>
      </w:r>
      <w:r w:rsidR="00661889" w:rsidRPr="00F95E1C">
        <w:t xml:space="preserve"> and additions proposed by the Secretariat to the requested listing are added in italics and suggested deletions are crossed out with strikethrough.</w:t>
      </w:r>
    </w:p>
    <w:p w:rsidR="00810A6C" w:rsidRDefault="00810A6C" w:rsidP="00323E7A">
      <w:pPr>
        <w:widowControl/>
      </w:pPr>
    </w:p>
    <w:tbl>
      <w:tblPr>
        <w:tblW w:w="4604" w:type="pct"/>
        <w:tblInd w:w="737" w:type="dxa"/>
        <w:tblLayout w:type="fixed"/>
        <w:tblCellMar>
          <w:left w:w="28" w:type="dxa"/>
          <w:right w:w="28" w:type="dxa"/>
        </w:tblCellMar>
        <w:tblLook w:val="0000" w:firstRow="0" w:lastRow="0" w:firstColumn="0" w:lastColumn="0" w:noHBand="0" w:noVBand="0"/>
      </w:tblPr>
      <w:tblGrid>
        <w:gridCol w:w="3827"/>
        <w:gridCol w:w="709"/>
        <w:gridCol w:w="567"/>
        <w:gridCol w:w="1701"/>
        <w:gridCol w:w="992"/>
        <w:gridCol w:w="567"/>
      </w:tblGrid>
      <w:tr w:rsidR="00661889" w:rsidRPr="00D80E04" w:rsidTr="00EC5D25">
        <w:trPr>
          <w:trHeight w:val="471"/>
        </w:trPr>
        <w:tc>
          <w:tcPr>
            <w:tcW w:w="2288" w:type="pct"/>
            <w:tcBorders>
              <w:bottom w:val="single" w:sz="4" w:space="0" w:color="auto"/>
            </w:tcBorders>
          </w:tcPr>
          <w:p w:rsidR="00A054F8" w:rsidRPr="00D80E04" w:rsidRDefault="00A054F8" w:rsidP="00323E7A">
            <w:pPr>
              <w:keepNext/>
              <w:widowControl/>
              <w:rPr>
                <w:rFonts w:ascii="Arial Narrow" w:hAnsi="Arial Narrow"/>
                <w:sz w:val="20"/>
              </w:rPr>
            </w:pPr>
            <w:r w:rsidRPr="00D80E04">
              <w:rPr>
                <w:rFonts w:ascii="Arial Narrow" w:hAnsi="Arial Narrow"/>
                <w:sz w:val="20"/>
              </w:rPr>
              <w:t>Name, Restriction,</w:t>
            </w:r>
          </w:p>
          <w:p w:rsidR="00A054F8" w:rsidRPr="00D80E04" w:rsidRDefault="00A054F8" w:rsidP="00323E7A">
            <w:pPr>
              <w:keepNext/>
              <w:widowControl/>
              <w:rPr>
                <w:rFonts w:ascii="Arial Narrow" w:hAnsi="Arial Narrow"/>
                <w:sz w:val="20"/>
              </w:rPr>
            </w:pPr>
            <w:r w:rsidRPr="00D80E04">
              <w:rPr>
                <w:rFonts w:ascii="Arial Narrow" w:hAnsi="Arial Narrow"/>
                <w:sz w:val="20"/>
              </w:rPr>
              <w:t>Manner of administration and form</w:t>
            </w:r>
          </w:p>
        </w:tc>
        <w:tc>
          <w:tcPr>
            <w:tcW w:w="424" w:type="pct"/>
            <w:tcBorders>
              <w:bottom w:val="single" w:sz="4" w:space="0" w:color="auto"/>
            </w:tcBorders>
          </w:tcPr>
          <w:p w:rsidR="00A054F8" w:rsidRPr="00D80E04" w:rsidRDefault="00A054F8" w:rsidP="00323E7A">
            <w:pPr>
              <w:keepNext/>
              <w:widowControl/>
              <w:jc w:val="center"/>
              <w:rPr>
                <w:rFonts w:ascii="Arial Narrow" w:hAnsi="Arial Narrow"/>
                <w:sz w:val="20"/>
              </w:rPr>
            </w:pPr>
            <w:r w:rsidRPr="00D80E04">
              <w:rPr>
                <w:rFonts w:ascii="Arial Narrow" w:hAnsi="Arial Narrow"/>
                <w:sz w:val="20"/>
              </w:rPr>
              <w:t>Max.</w:t>
            </w:r>
          </w:p>
          <w:p w:rsidR="00A054F8" w:rsidRPr="00963614" w:rsidRDefault="00320333" w:rsidP="00323E7A">
            <w:pPr>
              <w:keepNext/>
              <w:widowControl/>
              <w:jc w:val="center"/>
              <w:rPr>
                <w:rFonts w:ascii="Arial Narrow" w:hAnsi="Arial Narrow"/>
                <w:sz w:val="20"/>
              </w:rPr>
            </w:pPr>
            <w:r w:rsidRPr="00963614">
              <w:rPr>
                <w:rFonts w:ascii="Arial Narrow" w:hAnsi="Arial Narrow"/>
                <w:sz w:val="20"/>
              </w:rPr>
              <w:t>Amount</w:t>
            </w:r>
          </w:p>
        </w:tc>
        <w:tc>
          <w:tcPr>
            <w:tcW w:w="339" w:type="pct"/>
            <w:tcBorders>
              <w:bottom w:val="single" w:sz="4" w:space="0" w:color="auto"/>
            </w:tcBorders>
          </w:tcPr>
          <w:p w:rsidR="00A054F8" w:rsidRPr="00D80E04" w:rsidRDefault="00A054F8" w:rsidP="00323E7A">
            <w:pPr>
              <w:keepNext/>
              <w:widowControl/>
              <w:jc w:val="center"/>
              <w:rPr>
                <w:rFonts w:ascii="Arial Narrow" w:hAnsi="Arial Narrow"/>
                <w:sz w:val="20"/>
              </w:rPr>
            </w:pPr>
            <w:r>
              <w:rPr>
                <w:rFonts w:ascii="Arial Narrow" w:hAnsi="Arial Narrow"/>
                <w:sz w:val="20"/>
              </w:rPr>
              <w:t>No</w:t>
            </w:r>
            <w:r w:rsidRPr="00D80E04">
              <w:rPr>
                <w:rFonts w:ascii="Arial Narrow" w:hAnsi="Arial Narrow"/>
                <w:sz w:val="20"/>
              </w:rPr>
              <w:t>.of</w:t>
            </w:r>
          </w:p>
          <w:p w:rsidR="00A054F8" w:rsidRPr="00D80E04" w:rsidRDefault="00A054F8" w:rsidP="00323E7A">
            <w:pPr>
              <w:keepNext/>
              <w:widowControl/>
              <w:jc w:val="center"/>
              <w:rPr>
                <w:rFonts w:ascii="Arial Narrow" w:hAnsi="Arial Narrow"/>
                <w:sz w:val="20"/>
              </w:rPr>
            </w:pPr>
            <w:r w:rsidRPr="00D80E04">
              <w:rPr>
                <w:rFonts w:ascii="Arial Narrow" w:hAnsi="Arial Narrow"/>
                <w:sz w:val="20"/>
              </w:rPr>
              <w:t>Rpts</w:t>
            </w:r>
          </w:p>
        </w:tc>
        <w:tc>
          <w:tcPr>
            <w:tcW w:w="1017" w:type="pct"/>
            <w:tcBorders>
              <w:bottom w:val="single" w:sz="4" w:space="0" w:color="auto"/>
            </w:tcBorders>
          </w:tcPr>
          <w:p w:rsidR="00A054F8" w:rsidRPr="00D80E04" w:rsidRDefault="00A054F8" w:rsidP="00323E7A">
            <w:pPr>
              <w:keepNext/>
              <w:widowControl/>
              <w:jc w:val="center"/>
              <w:rPr>
                <w:rFonts w:ascii="Arial Narrow" w:hAnsi="Arial Narrow"/>
                <w:sz w:val="20"/>
              </w:rPr>
            </w:pPr>
            <w:r w:rsidRPr="00D80E04">
              <w:rPr>
                <w:rFonts w:ascii="Arial Narrow" w:hAnsi="Arial Narrow"/>
                <w:sz w:val="20"/>
              </w:rPr>
              <w:t xml:space="preserve">Dispensed Price for Max. </w:t>
            </w:r>
            <w:r w:rsidR="00282A4E" w:rsidRPr="00963614">
              <w:rPr>
                <w:rFonts w:ascii="Arial Narrow" w:hAnsi="Arial Narrow"/>
                <w:sz w:val="20"/>
              </w:rPr>
              <w:t>Amount</w:t>
            </w:r>
          </w:p>
        </w:tc>
        <w:tc>
          <w:tcPr>
            <w:tcW w:w="932" w:type="pct"/>
            <w:gridSpan w:val="2"/>
            <w:tcBorders>
              <w:bottom w:val="single" w:sz="4" w:space="0" w:color="auto"/>
            </w:tcBorders>
          </w:tcPr>
          <w:p w:rsidR="00A054F8" w:rsidRPr="00D80E04" w:rsidRDefault="00A054F8" w:rsidP="00323E7A">
            <w:pPr>
              <w:keepNext/>
              <w:widowControl/>
              <w:ind w:left="116" w:right="17" w:hanging="116"/>
              <w:jc w:val="center"/>
              <w:rPr>
                <w:rFonts w:ascii="Arial Narrow" w:hAnsi="Arial Narrow"/>
                <w:sz w:val="20"/>
                <w:lang w:val="fr-FR"/>
              </w:rPr>
            </w:pPr>
            <w:r w:rsidRPr="00D80E04">
              <w:rPr>
                <w:rFonts w:ascii="Arial Narrow" w:hAnsi="Arial Narrow"/>
                <w:sz w:val="20"/>
              </w:rPr>
              <w:t>Proprietary Name and Manufacturer</w:t>
            </w:r>
          </w:p>
        </w:tc>
      </w:tr>
      <w:tr w:rsidR="00661889" w:rsidRPr="00D80E04" w:rsidTr="00EC5D25">
        <w:trPr>
          <w:trHeight w:val="577"/>
        </w:trPr>
        <w:tc>
          <w:tcPr>
            <w:tcW w:w="2288" w:type="pct"/>
          </w:tcPr>
          <w:p w:rsidR="00A054F8" w:rsidRPr="00D80E04" w:rsidRDefault="00A054F8" w:rsidP="00323E7A">
            <w:pPr>
              <w:keepNext/>
              <w:widowControl/>
              <w:rPr>
                <w:rFonts w:ascii="Arial Narrow" w:hAnsi="Arial Narrow"/>
                <w:smallCaps/>
                <w:sz w:val="20"/>
              </w:rPr>
            </w:pPr>
            <w:r>
              <w:rPr>
                <w:rFonts w:ascii="Arial Narrow" w:hAnsi="Arial Narrow"/>
                <w:smallCaps/>
                <w:sz w:val="20"/>
              </w:rPr>
              <w:t>NIVOLUMAB</w:t>
            </w:r>
          </w:p>
          <w:p w:rsidR="00A054F8" w:rsidRPr="00D80E04" w:rsidRDefault="00320333" w:rsidP="00323E7A">
            <w:pPr>
              <w:keepNext/>
              <w:widowControl/>
              <w:jc w:val="left"/>
              <w:rPr>
                <w:rFonts w:ascii="Arial Narrow" w:hAnsi="Arial Narrow"/>
                <w:sz w:val="20"/>
              </w:rPr>
            </w:pPr>
            <w:r>
              <w:rPr>
                <w:rFonts w:ascii="Arial Narrow" w:hAnsi="Arial Narrow"/>
                <w:sz w:val="20"/>
              </w:rPr>
              <w:t xml:space="preserve">nivolumab </w:t>
            </w:r>
            <w:r w:rsidR="00A054F8">
              <w:rPr>
                <w:rFonts w:ascii="Arial Narrow" w:hAnsi="Arial Narrow"/>
                <w:sz w:val="20"/>
              </w:rPr>
              <w:t>40</w:t>
            </w:r>
            <w:r w:rsidR="00EC5D25">
              <w:rPr>
                <w:rFonts w:ascii="Arial Narrow" w:hAnsi="Arial Narrow"/>
                <w:sz w:val="20"/>
              </w:rPr>
              <w:t> </w:t>
            </w:r>
            <w:r w:rsidR="00A054F8">
              <w:rPr>
                <w:rFonts w:ascii="Arial Narrow" w:hAnsi="Arial Narrow"/>
                <w:sz w:val="20"/>
              </w:rPr>
              <w:t>mg/4</w:t>
            </w:r>
            <w:r w:rsidR="00EC5D25">
              <w:rPr>
                <w:rFonts w:ascii="Arial Narrow" w:hAnsi="Arial Narrow"/>
                <w:sz w:val="20"/>
              </w:rPr>
              <w:t> </w:t>
            </w:r>
            <w:r w:rsidR="00A054F8">
              <w:rPr>
                <w:rFonts w:ascii="Arial Narrow" w:hAnsi="Arial Narrow"/>
                <w:sz w:val="20"/>
              </w:rPr>
              <w:t>mL injection</w:t>
            </w:r>
            <w:r>
              <w:rPr>
                <w:rFonts w:ascii="Arial Narrow" w:hAnsi="Arial Narrow"/>
                <w:sz w:val="20"/>
              </w:rPr>
              <w:t>,</w:t>
            </w:r>
            <w:r w:rsidR="00A054F8">
              <w:rPr>
                <w:rFonts w:ascii="Arial Narrow" w:hAnsi="Arial Narrow"/>
                <w:sz w:val="20"/>
              </w:rPr>
              <w:t xml:space="preserve"> 1 × 4</w:t>
            </w:r>
            <w:r w:rsidR="00EC5D25">
              <w:rPr>
                <w:rFonts w:ascii="Arial Narrow" w:hAnsi="Arial Narrow"/>
                <w:sz w:val="20"/>
              </w:rPr>
              <w:t> </w:t>
            </w:r>
            <w:r w:rsidR="00A054F8">
              <w:rPr>
                <w:rFonts w:ascii="Arial Narrow" w:hAnsi="Arial Narrow"/>
                <w:sz w:val="20"/>
              </w:rPr>
              <w:t>mL vial</w:t>
            </w:r>
          </w:p>
          <w:p w:rsidR="00661889" w:rsidRDefault="00661889" w:rsidP="00323E7A">
            <w:pPr>
              <w:keepNext/>
              <w:widowControl/>
              <w:jc w:val="left"/>
              <w:rPr>
                <w:rFonts w:ascii="Arial Narrow" w:hAnsi="Arial Narrow"/>
                <w:sz w:val="20"/>
              </w:rPr>
            </w:pPr>
          </w:p>
          <w:p w:rsidR="00320333" w:rsidRPr="00D80E04" w:rsidRDefault="00320333" w:rsidP="00323E7A">
            <w:pPr>
              <w:keepNext/>
              <w:widowControl/>
              <w:jc w:val="left"/>
              <w:rPr>
                <w:rFonts w:ascii="Arial Narrow" w:hAnsi="Arial Narrow"/>
                <w:sz w:val="20"/>
              </w:rPr>
            </w:pPr>
            <w:r>
              <w:rPr>
                <w:rFonts w:ascii="Arial Narrow" w:hAnsi="Arial Narrow"/>
                <w:sz w:val="20"/>
              </w:rPr>
              <w:t xml:space="preserve">nivolumab </w:t>
            </w:r>
            <w:r w:rsidR="00A054F8">
              <w:rPr>
                <w:rFonts w:ascii="Arial Narrow" w:hAnsi="Arial Narrow"/>
                <w:sz w:val="20"/>
              </w:rPr>
              <w:t>100</w:t>
            </w:r>
            <w:r w:rsidR="00EC5D25">
              <w:rPr>
                <w:rFonts w:ascii="Arial Narrow" w:hAnsi="Arial Narrow"/>
                <w:sz w:val="20"/>
              </w:rPr>
              <w:t> </w:t>
            </w:r>
            <w:r w:rsidR="00A054F8">
              <w:rPr>
                <w:rFonts w:ascii="Arial Narrow" w:hAnsi="Arial Narrow"/>
                <w:sz w:val="20"/>
              </w:rPr>
              <w:t>mg/10</w:t>
            </w:r>
            <w:r w:rsidR="00EC5D25">
              <w:rPr>
                <w:rFonts w:ascii="Arial Narrow" w:hAnsi="Arial Narrow"/>
                <w:sz w:val="20"/>
              </w:rPr>
              <w:t> </w:t>
            </w:r>
            <w:r w:rsidR="00A054F8">
              <w:rPr>
                <w:rFonts w:ascii="Arial Narrow" w:hAnsi="Arial Narrow"/>
                <w:sz w:val="20"/>
              </w:rPr>
              <w:t>mL injection</w:t>
            </w:r>
            <w:r>
              <w:rPr>
                <w:rFonts w:ascii="Arial Narrow" w:hAnsi="Arial Narrow"/>
                <w:sz w:val="20"/>
              </w:rPr>
              <w:t>,</w:t>
            </w:r>
            <w:r w:rsidR="00A054F8">
              <w:rPr>
                <w:rFonts w:ascii="Arial Narrow" w:hAnsi="Arial Narrow"/>
                <w:sz w:val="20"/>
              </w:rPr>
              <w:t xml:space="preserve"> 1 × 10</w:t>
            </w:r>
            <w:r w:rsidR="00EC5D25">
              <w:rPr>
                <w:rFonts w:ascii="Arial Narrow" w:hAnsi="Arial Narrow"/>
                <w:sz w:val="20"/>
              </w:rPr>
              <w:t> </w:t>
            </w:r>
            <w:r w:rsidR="00A054F8">
              <w:rPr>
                <w:rFonts w:ascii="Arial Narrow" w:hAnsi="Arial Narrow"/>
                <w:sz w:val="20"/>
              </w:rPr>
              <w:t xml:space="preserve">mL vial </w:t>
            </w:r>
          </w:p>
        </w:tc>
        <w:tc>
          <w:tcPr>
            <w:tcW w:w="424" w:type="pct"/>
          </w:tcPr>
          <w:p w:rsidR="00A054F8" w:rsidRPr="009C4BDE" w:rsidRDefault="00A054F8" w:rsidP="00323E7A">
            <w:pPr>
              <w:keepNext/>
              <w:widowControl/>
              <w:rPr>
                <w:rFonts w:ascii="Arial Narrow" w:hAnsi="Arial Narrow"/>
                <w:i/>
                <w:sz w:val="20"/>
              </w:rPr>
            </w:pPr>
          </w:p>
          <w:p w:rsidR="00A054F8" w:rsidRPr="009C4BDE" w:rsidRDefault="00A054F8" w:rsidP="00323E7A">
            <w:pPr>
              <w:keepNext/>
              <w:widowControl/>
              <w:jc w:val="center"/>
              <w:rPr>
                <w:rFonts w:ascii="Arial Narrow" w:hAnsi="Arial Narrow"/>
                <w:i/>
                <w:sz w:val="20"/>
              </w:rPr>
            </w:pPr>
          </w:p>
          <w:p w:rsidR="00A054F8" w:rsidRPr="009C4BDE" w:rsidRDefault="00320333" w:rsidP="00323E7A">
            <w:pPr>
              <w:keepNext/>
              <w:widowControl/>
              <w:jc w:val="center"/>
              <w:rPr>
                <w:rFonts w:ascii="Arial Narrow" w:hAnsi="Arial Narrow"/>
                <w:i/>
                <w:sz w:val="20"/>
              </w:rPr>
            </w:pPr>
            <w:r w:rsidRPr="009C4BDE">
              <w:rPr>
                <w:rFonts w:ascii="Arial Narrow" w:hAnsi="Arial Narrow"/>
                <w:i/>
                <w:sz w:val="20"/>
              </w:rPr>
              <w:t>360 mg</w:t>
            </w:r>
          </w:p>
        </w:tc>
        <w:tc>
          <w:tcPr>
            <w:tcW w:w="339" w:type="pct"/>
          </w:tcPr>
          <w:p w:rsidR="00A054F8" w:rsidRPr="009C4BDE" w:rsidRDefault="00A054F8" w:rsidP="00323E7A">
            <w:pPr>
              <w:keepNext/>
              <w:widowControl/>
              <w:rPr>
                <w:rFonts w:ascii="Arial Narrow" w:hAnsi="Arial Narrow"/>
                <w:i/>
                <w:sz w:val="20"/>
              </w:rPr>
            </w:pPr>
          </w:p>
          <w:p w:rsidR="00661889" w:rsidRPr="009C4BDE" w:rsidRDefault="00661889" w:rsidP="00323E7A">
            <w:pPr>
              <w:keepNext/>
              <w:widowControl/>
              <w:jc w:val="center"/>
              <w:rPr>
                <w:rFonts w:ascii="Arial Narrow" w:hAnsi="Arial Narrow"/>
                <w:i/>
                <w:sz w:val="20"/>
              </w:rPr>
            </w:pPr>
          </w:p>
          <w:p w:rsidR="00A054F8" w:rsidRPr="009C4BDE" w:rsidRDefault="00661889" w:rsidP="00323E7A">
            <w:pPr>
              <w:keepNext/>
              <w:widowControl/>
              <w:jc w:val="center"/>
              <w:rPr>
                <w:rFonts w:ascii="Arial Narrow" w:hAnsi="Arial Narrow"/>
                <w:i/>
                <w:sz w:val="20"/>
              </w:rPr>
            </w:pPr>
            <w:r w:rsidRPr="009C4BDE">
              <w:rPr>
                <w:rFonts w:ascii="Arial Narrow" w:hAnsi="Arial Narrow"/>
                <w:i/>
                <w:sz w:val="20"/>
              </w:rPr>
              <w:t>5</w:t>
            </w:r>
          </w:p>
        </w:tc>
        <w:tc>
          <w:tcPr>
            <w:tcW w:w="1017" w:type="pct"/>
            <w:vAlign w:val="center"/>
          </w:tcPr>
          <w:p w:rsidR="00CA537A" w:rsidRPr="00963614" w:rsidRDefault="00CA537A" w:rsidP="00323E7A">
            <w:pPr>
              <w:keepNext/>
              <w:widowControl/>
              <w:rPr>
                <w:rFonts w:ascii="Arial Narrow" w:hAnsi="Arial Narrow"/>
                <w:sz w:val="20"/>
              </w:rPr>
            </w:pPr>
            <w:r w:rsidRPr="00963614">
              <w:rPr>
                <w:rFonts w:ascii="Arial Narrow" w:hAnsi="Arial Narrow"/>
                <w:sz w:val="20"/>
              </w:rPr>
              <w:t>$</w:t>
            </w:r>
            <w:r w:rsidR="00930DE3">
              <w:rPr>
                <w:rFonts w:ascii="Arial Narrow" w:hAnsi="Arial Narrow"/>
                <w:noProof/>
                <w:color w:val="000000"/>
                <w:sz w:val="20"/>
                <w:highlight w:val="black"/>
              </w:rPr>
              <w:t>'''''''''''''''''''''''</w:t>
            </w:r>
            <w:r w:rsidRPr="00963614">
              <w:rPr>
                <w:rFonts w:ascii="Arial Narrow" w:hAnsi="Arial Narrow"/>
                <w:sz w:val="20"/>
              </w:rPr>
              <w:t xml:space="preserve"> (public</w:t>
            </w:r>
            <w:r w:rsidR="005C7773" w:rsidRPr="00963614">
              <w:rPr>
                <w:rFonts w:ascii="Arial Narrow" w:hAnsi="Arial Narrow"/>
                <w:sz w:val="20"/>
              </w:rPr>
              <w:t xml:space="preserve"> effective price</w:t>
            </w:r>
            <w:r w:rsidRPr="00963614">
              <w:rPr>
                <w:rFonts w:ascii="Arial Narrow" w:hAnsi="Arial Narrow"/>
                <w:sz w:val="20"/>
              </w:rPr>
              <w:t>)</w:t>
            </w:r>
          </w:p>
          <w:p w:rsidR="00CA537A" w:rsidRPr="00D80E04" w:rsidRDefault="00CA537A" w:rsidP="00323E7A">
            <w:pPr>
              <w:keepNext/>
              <w:widowControl/>
              <w:rPr>
                <w:rFonts w:ascii="Arial Narrow" w:hAnsi="Arial Narrow"/>
                <w:sz w:val="20"/>
              </w:rPr>
            </w:pPr>
            <w:r w:rsidRPr="00963614">
              <w:rPr>
                <w:rFonts w:ascii="Arial Narrow" w:hAnsi="Arial Narrow"/>
                <w:sz w:val="20"/>
              </w:rPr>
              <w:t>$</w:t>
            </w:r>
            <w:r w:rsidR="00930DE3">
              <w:rPr>
                <w:rFonts w:ascii="Arial Narrow" w:hAnsi="Arial Narrow"/>
                <w:noProof/>
                <w:color w:val="000000"/>
                <w:sz w:val="20"/>
                <w:highlight w:val="black"/>
              </w:rPr>
              <w:t>'''''''''''''''''''''''''</w:t>
            </w:r>
            <w:r w:rsidRPr="00963614">
              <w:rPr>
                <w:rFonts w:ascii="Arial Narrow" w:hAnsi="Arial Narrow"/>
                <w:sz w:val="20"/>
              </w:rPr>
              <w:t xml:space="preserve"> (private</w:t>
            </w:r>
            <w:r w:rsidR="005C7773" w:rsidRPr="00963614">
              <w:rPr>
                <w:rFonts w:ascii="Arial Narrow" w:hAnsi="Arial Narrow"/>
                <w:sz w:val="20"/>
              </w:rPr>
              <w:t xml:space="preserve"> effective price</w:t>
            </w:r>
            <w:r w:rsidRPr="00963614">
              <w:rPr>
                <w:rFonts w:ascii="Arial Narrow" w:hAnsi="Arial Narrow"/>
                <w:sz w:val="20"/>
              </w:rPr>
              <w:t>)</w:t>
            </w:r>
          </w:p>
        </w:tc>
        <w:tc>
          <w:tcPr>
            <w:tcW w:w="593" w:type="pct"/>
          </w:tcPr>
          <w:p w:rsidR="00A054F8" w:rsidRPr="00D80E04" w:rsidRDefault="00A054F8" w:rsidP="00323E7A">
            <w:pPr>
              <w:keepNext/>
              <w:widowControl/>
              <w:ind w:right="17"/>
              <w:rPr>
                <w:rFonts w:ascii="Arial Narrow" w:hAnsi="Arial Narrow"/>
                <w:sz w:val="20"/>
              </w:rPr>
            </w:pPr>
          </w:p>
          <w:p w:rsidR="00A054F8" w:rsidRPr="00D80E04" w:rsidRDefault="00A054F8" w:rsidP="00323E7A">
            <w:pPr>
              <w:keepNext/>
              <w:widowControl/>
              <w:ind w:right="17"/>
              <w:rPr>
                <w:rFonts w:ascii="Arial Narrow" w:hAnsi="Arial Narrow"/>
                <w:sz w:val="20"/>
              </w:rPr>
            </w:pPr>
            <w:r>
              <w:rPr>
                <w:rFonts w:ascii="Arial Narrow" w:hAnsi="Arial Narrow"/>
                <w:sz w:val="20"/>
              </w:rPr>
              <w:t>Opdivo</w:t>
            </w:r>
            <w:r w:rsidR="007C692B" w:rsidRPr="007C692B">
              <w:rPr>
                <w:rFonts w:ascii="Arial Narrow" w:hAnsi="Arial Narrow"/>
                <w:sz w:val="20"/>
                <w:vertAlign w:val="superscript"/>
              </w:rPr>
              <w:t>®</w:t>
            </w:r>
          </w:p>
        </w:tc>
        <w:tc>
          <w:tcPr>
            <w:tcW w:w="339" w:type="pct"/>
          </w:tcPr>
          <w:p w:rsidR="00A054F8" w:rsidRPr="00D80E04" w:rsidRDefault="00A054F8" w:rsidP="00323E7A">
            <w:pPr>
              <w:keepNext/>
              <w:widowControl/>
              <w:ind w:left="116" w:right="17" w:hanging="116"/>
              <w:rPr>
                <w:rFonts w:ascii="Arial Narrow" w:hAnsi="Arial Narrow"/>
                <w:sz w:val="20"/>
              </w:rPr>
            </w:pPr>
          </w:p>
          <w:p w:rsidR="00A054F8" w:rsidRPr="00D80E04" w:rsidRDefault="00A054F8" w:rsidP="00323E7A">
            <w:pPr>
              <w:keepNext/>
              <w:widowControl/>
              <w:ind w:left="116" w:right="17" w:hanging="116"/>
              <w:rPr>
                <w:rFonts w:ascii="Arial Narrow" w:hAnsi="Arial Narrow"/>
                <w:sz w:val="20"/>
              </w:rPr>
            </w:pPr>
            <w:r>
              <w:rPr>
                <w:rFonts w:ascii="Arial Narrow" w:hAnsi="Arial Narrow"/>
                <w:sz w:val="20"/>
              </w:rPr>
              <w:t>BQ</w:t>
            </w:r>
          </w:p>
        </w:tc>
      </w:tr>
    </w:tbl>
    <w:p w:rsidR="00A054F8" w:rsidRDefault="00A054F8" w:rsidP="00323E7A">
      <w:pPr>
        <w:widowControl/>
        <w:rPr>
          <w:szCs w:val="22"/>
        </w:rPr>
      </w:pPr>
    </w:p>
    <w:tbl>
      <w:tblPr>
        <w:tblW w:w="8363" w:type="dxa"/>
        <w:tblInd w:w="817" w:type="dxa"/>
        <w:tblLayout w:type="fixed"/>
        <w:tblLook w:val="0000" w:firstRow="0" w:lastRow="0" w:firstColumn="0" w:lastColumn="0" w:noHBand="0" w:noVBand="0"/>
      </w:tblPr>
      <w:tblGrid>
        <w:gridCol w:w="2835"/>
        <w:gridCol w:w="5528"/>
      </w:tblGrid>
      <w:tr w:rsidR="00320333" w:rsidRPr="00260CE3" w:rsidTr="00980106">
        <w:trPr>
          <w:cantSplit/>
          <w:trHeight w:val="360"/>
        </w:trPr>
        <w:tc>
          <w:tcPr>
            <w:tcW w:w="8363" w:type="dxa"/>
            <w:gridSpan w:val="2"/>
            <w:tcBorders>
              <w:bottom w:val="single" w:sz="4" w:space="0" w:color="auto"/>
            </w:tcBorders>
          </w:tcPr>
          <w:p w:rsidR="00320333" w:rsidRPr="00645903" w:rsidRDefault="00320333" w:rsidP="00323E7A">
            <w:pPr>
              <w:widowControl/>
              <w:ind w:left="-108"/>
              <w:rPr>
                <w:rFonts w:ascii="Arial Narrow" w:hAnsi="Arial Narrow"/>
                <w:b/>
                <w:i/>
                <w:sz w:val="20"/>
                <w:szCs w:val="20"/>
              </w:rPr>
            </w:pPr>
            <w:r>
              <w:rPr>
                <w:rFonts w:ascii="Arial Narrow" w:hAnsi="Arial Narrow"/>
                <w:b/>
                <w:i/>
                <w:sz w:val="20"/>
                <w:szCs w:val="20"/>
              </w:rPr>
              <w:t xml:space="preserve">Initial treatment - </w:t>
            </w:r>
            <w:r w:rsidRPr="00645903">
              <w:rPr>
                <w:rFonts w:ascii="Arial Narrow" w:hAnsi="Arial Narrow"/>
                <w:b/>
                <w:i/>
                <w:sz w:val="20"/>
                <w:szCs w:val="20"/>
              </w:rPr>
              <w:t>BRAF V600 mutation negative</w:t>
            </w:r>
          </w:p>
        </w:tc>
      </w:tr>
      <w:tr w:rsidR="00320333" w:rsidRPr="00260CE3" w:rsidTr="00980106">
        <w:trPr>
          <w:cantSplit/>
          <w:trHeight w:val="360"/>
        </w:trPr>
        <w:tc>
          <w:tcPr>
            <w:tcW w:w="2835" w:type="dxa"/>
            <w:tcBorders>
              <w:top w:val="single" w:sz="4" w:space="0" w:color="auto"/>
              <w:left w:val="single" w:sz="4" w:space="0" w:color="auto"/>
              <w:bottom w:val="single" w:sz="4" w:space="0" w:color="auto"/>
              <w:right w:val="single" w:sz="4" w:space="0" w:color="auto"/>
            </w:tcBorders>
          </w:tcPr>
          <w:p w:rsidR="00320333" w:rsidRPr="00260CE3" w:rsidRDefault="00320333" w:rsidP="00323E7A">
            <w:pPr>
              <w:widowControl/>
              <w:rPr>
                <w:rFonts w:ascii="Arial Narrow" w:hAnsi="Arial Narrow"/>
                <w:b/>
                <w:sz w:val="20"/>
                <w:szCs w:val="20"/>
              </w:rPr>
            </w:pPr>
            <w:r w:rsidRPr="00260CE3">
              <w:rPr>
                <w:rFonts w:ascii="Arial Narrow" w:hAnsi="Arial Narrow"/>
                <w:b/>
                <w:sz w:val="20"/>
                <w:szCs w:val="20"/>
              </w:rPr>
              <w:t>Category / Program</w:t>
            </w:r>
          </w:p>
        </w:tc>
        <w:tc>
          <w:tcPr>
            <w:tcW w:w="5528" w:type="dxa"/>
            <w:tcBorders>
              <w:top w:val="single" w:sz="4" w:space="0" w:color="auto"/>
              <w:left w:val="single" w:sz="4" w:space="0" w:color="auto"/>
              <w:bottom w:val="single" w:sz="4" w:space="0" w:color="auto"/>
              <w:right w:val="single" w:sz="4" w:space="0" w:color="auto"/>
            </w:tcBorders>
          </w:tcPr>
          <w:p w:rsidR="00320333" w:rsidRPr="00260CE3" w:rsidRDefault="00320333" w:rsidP="00323E7A">
            <w:pPr>
              <w:widowControl/>
              <w:rPr>
                <w:rFonts w:ascii="Arial Narrow" w:hAnsi="Arial Narrow"/>
                <w:sz w:val="20"/>
                <w:szCs w:val="20"/>
              </w:rPr>
            </w:pPr>
            <w:r w:rsidRPr="00260CE3">
              <w:rPr>
                <w:rFonts w:ascii="Arial Narrow" w:hAnsi="Arial Narrow"/>
                <w:sz w:val="20"/>
                <w:szCs w:val="20"/>
              </w:rPr>
              <w:t xml:space="preserve">Section 100 – </w:t>
            </w:r>
            <w:r>
              <w:rPr>
                <w:rFonts w:ascii="Arial Narrow" w:hAnsi="Arial Narrow"/>
                <w:sz w:val="20"/>
                <w:szCs w:val="20"/>
              </w:rPr>
              <w:t xml:space="preserve">Efficient Funding of </w:t>
            </w:r>
            <w:r w:rsidRPr="00260CE3">
              <w:rPr>
                <w:rFonts w:ascii="Arial Narrow" w:hAnsi="Arial Narrow"/>
                <w:sz w:val="20"/>
                <w:szCs w:val="20"/>
              </w:rPr>
              <w:t>Chemotherapy</w:t>
            </w:r>
          </w:p>
        </w:tc>
      </w:tr>
      <w:tr w:rsidR="00320333" w:rsidRPr="00260CE3" w:rsidTr="00980106">
        <w:trPr>
          <w:cantSplit/>
          <w:trHeight w:val="360"/>
        </w:trPr>
        <w:tc>
          <w:tcPr>
            <w:tcW w:w="2835" w:type="dxa"/>
            <w:tcBorders>
              <w:top w:val="single" w:sz="4" w:space="0" w:color="auto"/>
              <w:left w:val="single" w:sz="4" w:space="0" w:color="auto"/>
              <w:bottom w:val="single" w:sz="4" w:space="0" w:color="auto"/>
              <w:right w:val="single" w:sz="4" w:space="0" w:color="auto"/>
            </w:tcBorders>
          </w:tcPr>
          <w:p w:rsidR="00320333" w:rsidRPr="00260CE3" w:rsidRDefault="00320333" w:rsidP="00323E7A">
            <w:pPr>
              <w:widowControl/>
              <w:rPr>
                <w:rFonts w:ascii="Arial Narrow" w:hAnsi="Arial Narrow"/>
                <w:b/>
                <w:sz w:val="20"/>
                <w:szCs w:val="20"/>
              </w:rPr>
            </w:pPr>
            <w:r w:rsidRPr="00260CE3">
              <w:rPr>
                <w:rFonts w:ascii="Arial Narrow" w:hAnsi="Arial Narrow"/>
                <w:b/>
                <w:sz w:val="20"/>
                <w:szCs w:val="20"/>
              </w:rPr>
              <w:t>Prescriber type:</w:t>
            </w:r>
          </w:p>
        </w:tc>
        <w:tc>
          <w:tcPr>
            <w:tcW w:w="5528" w:type="dxa"/>
            <w:tcBorders>
              <w:top w:val="single" w:sz="4" w:space="0" w:color="auto"/>
              <w:left w:val="single" w:sz="4" w:space="0" w:color="auto"/>
              <w:bottom w:val="single" w:sz="4" w:space="0" w:color="auto"/>
              <w:right w:val="single" w:sz="4" w:space="0" w:color="auto"/>
            </w:tcBorders>
          </w:tcPr>
          <w:p w:rsidR="00320333" w:rsidRPr="00260CE3" w:rsidRDefault="006E129E" w:rsidP="00323E7A">
            <w:pPr>
              <w:widowControl/>
              <w:rPr>
                <w:rFonts w:ascii="Arial Narrow" w:hAnsi="Arial Narrow"/>
                <w:sz w:val="20"/>
                <w:szCs w:val="20"/>
              </w:rPr>
            </w:pPr>
            <w:r w:rsidRPr="00260CE3">
              <w:rPr>
                <w:rFonts w:ascii="Arial Narrow" w:hAnsi="Arial Narrow"/>
                <w:sz w:val="20"/>
                <w:szCs w:val="20"/>
              </w:rPr>
              <w:fldChar w:fldCharType="begin">
                <w:ffData>
                  <w:name w:val="Check1"/>
                  <w:enabled/>
                  <w:calcOnExit w:val="0"/>
                  <w:checkBox>
                    <w:sizeAuto/>
                    <w:default w:val="0"/>
                  </w:checkBox>
                </w:ffData>
              </w:fldChar>
            </w:r>
            <w:r w:rsidR="00320333" w:rsidRPr="00260CE3">
              <w:rPr>
                <w:rFonts w:ascii="Arial Narrow" w:hAnsi="Arial Narrow"/>
                <w:sz w:val="20"/>
                <w:szCs w:val="20"/>
              </w:rPr>
              <w:instrText xml:space="preserve"> FORMCHECKBOX </w:instrText>
            </w:r>
            <w:r w:rsidR="006E43DE">
              <w:rPr>
                <w:rFonts w:ascii="Arial Narrow" w:hAnsi="Arial Narrow"/>
                <w:sz w:val="20"/>
                <w:szCs w:val="20"/>
              </w:rPr>
            </w:r>
            <w:r w:rsidR="006E43DE">
              <w:rPr>
                <w:rFonts w:ascii="Arial Narrow" w:hAnsi="Arial Narrow"/>
                <w:sz w:val="20"/>
                <w:szCs w:val="20"/>
              </w:rPr>
              <w:fldChar w:fldCharType="separate"/>
            </w:r>
            <w:r w:rsidRPr="00260CE3">
              <w:rPr>
                <w:rFonts w:ascii="Arial Narrow" w:hAnsi="Arial Narrow"/>
                <w:sz w:val="20"/>
                <w:szCs w:val="20"/>
              </w:rPr>
              <w:fldChar w:fldCharType="end"/>
            </w:r>
            <w:r w:rsidR="00320333" w:rsidRPr="00260CE3">
              <w:rPr>
                <w:rFonts w:ascii="Arial Narrow" w:hAnsi="Arial Narrow"/>
                <w:sz w:val="20"/>
                <w:szCs w:val="20"/>
              </w:rPr>
              <w:t xml:space="preserve">Dental  </w:t>
            </w:r>
            <w:r>
              <w:rPr>
                <w:rFonts w:ascii="Arial Narrow" w:hAnsi="Arial Narrow"/>
                <w:sz w:val="20"/>
                <w:szCs w:val="20"/>
              </w:rPr>
              <w:fldChar w:fldCharType="begin">
                <w:ffData>
                  <w:name w:val=""/>
                  <w:enabled/>
                  <w:calcOnExit w:val="0"/>
                  <w:checkBox>
                    <w:sizeAuto/>
                    <w:default w:val="1"/>
                  </w:checkBox>
                </w:ffData>
              </w:fldChar>
            </w:r>
            <w:r w:rsidR="00320333">
              <w:rPr>
                <w:rFonts w:ascii="Arial Narrow" w:hAnsi="Arial Narrow"/>
                <w:sz w:val="20"/>
                <w:szCs w:val="20"/>
              </w:rPr>
              <w:instrText xml:space="preserve"> FORMCHECKBOX </w:instrText>
            </w:r>
            <w:r w:rsidR="006E43DE">
              <w:rPr>
                <w:rFonts w:ascii="Arial Narrow" w:hAnsi="Arial Narrow"/>
                <w:sz w:val="20"/>
                <w:szCs w:val="20"/>
              </w:rPr>
            </w:r>
            <w:r w:rsidR="006E43DE">
              <w:rPr>
                <w:rFonts w:ascii="Arial Narrow" w:hAnsi="Arial Narrow"/>
                <w:sz w:val="20"/>
                <w:szCs w:val="20"/>
              </w:rPr>
              <w:fldChar w:fldCharType="separate"/>
            </w:r>
            <w:r>
              <w:rPr>
                <w:rFonts w:ascii="Arial Narrow" w:hAnsi="Arial Narrow"/>
                <w:sz w:val="20"/>
                <w:szCs w:val="20"/>
              </w:rPr>
              <w:fldChar w:fldCharType="end"/>
            </w:r>
            <w:r w:rsidR="00320333" w:rsidRPr="00260CE3">
              <w:rPr>
                <w:rFonts w:ascii="Arial Narrow" w:hAnsi="Arial Narrow"/>
                <w:sz w:val="20"/>
                <w:szCs w:val="20"/>
              </w:rPr>
              <w:t xml:space="preserve">Medical Practitioners  </w:t>
            </w:r>
            <w:r w:rsidRPr="00260CE3">
              <w:rPr>
                <w:rFonts w:ascii="Arial Narrow" w:hAnsi="Arial Narrow"/>
                <w:sz w:val="20"/>
                <w:szCs w:val="20"/>
              </w:rPr>
              <w:fldChar w:fldCharType="begin">
                <w:ffData>
                  <w:name w:val="Check3"/>
                  <w:enabled/>
                  <w:calcOnExit w:val="0"/>
                  <w:checkBox>
                    <w:sizeAuto/>
                    <w:default w:val="0"/>
                  </w:checkBox>
                </w:ffData>
              </w:fldChar>
            </w:r>
            <w:r w:rsidR="00320333" w:rsidRPr="00260CE3">
              <w:rPr>
                <w:rFonts w:ascii="Arial Narrow" w:hAnsi="Arial Narrow"/>
                <w:sz w:val="20"/>
                <w:szCs w:val="20"/>
              </w:rPr>
              <w:instrText xml:space="preserve"> FORMCHECKBOX </w:instrText>
            </w:r>
            <w:r w:rsidR="006E43DE">
              <w:rPr>
                <w:rFonts w:ascii="Arial Narrow" w:hAnsi="Arial Narrow"/>
                <w:sz w:val="20"/>
                <w:szCs w:val="20"/>
              </w:rPr>
            </w:r>
            <w:r w:rsidR="006E43DE">
              <w:rPr>
                <w:rFonts w:ascii="Arial Narrow" w:hAnsi="Arial Narrow"/>
                <w:sz w:val="20"/>
                <w:szCs w:val="20"/>
              </w:rPr>
              <w:fldChar w:fldCharType="separate"/>
            </w:r>
            <w:r w:rsidRPr="00260CE3">
              <w:rPr>
                <w:rFonts w:ascii="Arial Narrow" w:hAnsi="Arial Narrow"/>
                <w:sz w:val="20"/>
                <w:szCs w:val="20"/>
              </w:rPr>
              <w:fldChar w:fldCharType="end"/>
            </w:r>
            <w:r w:rsidR="00320333" w:rsidRPr="00260CE3">
              <w:rPr>
                <w:rFonts w:ascii="Arial Narrow" w:hAnsi="Arial Narrow"/>
                <w:sz w:val="20"/>
                <w:szCs w:val="20"/>
              </w:rPr>
              <w:t xml:space="preserve">Nurse practitioners  </w:t>
            </w:r>
            <w:r w:rsidRPr="00260CE3">
              <w:rPr>
                <w:rFonts w:ascii="Arial Narrow" w:hAnsi="Arial Narrow"/>
                <w:sz w:val="20"/>
                <w:szCs w:val="20"/>
              </w:rPr>
              <w:fldChar w:fldCharType="begin">
                <w:ffData>
                  <w:name w:val=""/>
                  <w:enabled/>
                  <w:calcOnExit w:val="0"/>
                  <w:checkBox>
                    <w:sizeAuto/>
                    <w:default w:val="0"/>
                  </w:checkBox>
                </w:ffData>
              </w:fldChar>
            </w:r>
            <w:r w:rsidR="00320333" w:rsidRPr="00260CE3">
              <w:rPr>
                <w:rFonts w:ascii="Arial Narrow" w:hAnsi="Arial Narrow"/>
                <w:sz w:val="20"/>
                <w:szCs w:val="20"/>
              </w:rPr>
              <w:instrText xml:space="preserve"> FORMCHECKBOX </w:instrText>
            </w:r>
            <w:r w:rsidR="006E43DE">
              <w:rPr>
                <w:rFonts w:ascii="Arial Narrow" w:hAnsi="Arial Narrow"/>
                <w:sz w:val="20"/>
                <w:szCs w:val="20"/>
              </w:rPr>
            </w:r>
            <w:r w:rsidR="006E43DE">
              <w:rPr>
                <w:rFonts w:ascii="Arial Narrow" w:hAnsi="Arial Narrow"/>
                <w:sz w:val="20"/>
                <w:szCs w:val="20"/>
              </w:rPr>
              <w:fldChar w:fldCharType="separate"/>
            </w:r>
            <w:r w:rsidRPr="00260CE3">
              <w:rPr>
                <w:rFonts w:ascii="Arial Narrow" w:hAnsi="Arial Narrow"/>
                <w:sz w:val="20"/>
                <w:szCs w:val="20"/>
              </w:rPr>
              <w:fldChar w:fldCharType="end"/>
            </w:r>
            <w:r w:rsidR="00320333" w:rsidRPr="00260CE3">
              <w:rPr>
                <w:rFonts w:ascii="Arial Narrow" w:hAnsi="Arial Narrow"/>
                <w:sz w:val="20"/>
                <w:szCs w:val="20"/>
              </w:rPr>
              <w:t>Optometrists</w:t>
            </w:r>
            <w:r w:rsidR="0043765A">
              <w:rPr>
                <w:rFonts w:ascii="Arial Narrow" w:hAnsi="Arial Narrow"/>
                <w:sz w:val="20"/>
                <w:szCs w:val="20"/>
              </w:rPr>
              <w:t xml:space="preserve">  </w:t>
            </w:r>
            <w:r w:rsidRPr="00260CE3">
              <w:rPr>
                <w:rFonts w:ascii="Arial Narrow" w:hAnsi="Arial Narrow"/>
                <w:sz w:val="20"/>
                <w:szCs w:val="20"/>
              </w:rPr>
              <w:fldChar w:fldCharType="begin">
                <w:ffData>
                  <w:name w:val="Check5"/>
                  <w:enabled/>
                  <w:calcOnExit w:val="0"/>
                  <w:checkBox>
                    <w:sizeAuto/>
                    <w:default w:val="0"/>
                  </w:checkBox>
                </w:ffData>
              </w:fldChar>
            </w:r>
            <w:r w:rsidR="00320333" w:rsidRPr="00260CE3">
              <w:rPr>
                <w:rFonts w:ascii="Arial Narrow" w:hAnsi="Arial Narrow"/>
                <w:sz w:val="20"/>
                <w:szCs w:val="20"/>
              </w:rPr>
              <w:instrText xml:space="preserve"> FORMCHECKBOX </w:instrText>
            </w:r>
            <w:r w:rsidR="006E43DE">
              <w:rPr>
                <w:rFonts w:ascii="Arial Narrow" w:hAnsi="Arial Narrow"/>
                <w:sz w:val="20"/>
                <w:szCs w:val="20"/>
              </w:rPr>
            </w:r>
            <w:r w:rsidR="006E43DE">
              <w:rPr>
                <w:rFonts w:ascii="Arial Narrow" w:hAnsi="Arial Narrow"/>
                <w:sz w:val="20"/>
                <w:szCs w:val="20"/>
              </w:rPr>
              <w:fldChar w:fldCharType="separate"/>
            </w:r>
            <w:r w:rsidRPr="00260CE3">
              <w:rPr>
                <w:rFonts w:ascii="Arial Narrow" w:hAnsi="Arial Narrow"/>
                <w:sz w:val="20"/>
                <w:szCs w:val="20"/>
              </w:rPr>
              <w:fldChar w:fldCharType="end"/>
            </w:r>
            <w:r w:rsidR="00320333" w:rsidRPr="00260CE3">
              <w:rPr>
                <w:rFonts w:ascii="Arial Narrow" w:hAnsi="Arial Narrow"/>
                <w:sz w:val="20"/>
                <w:szCs w:val="20"/>
              </w:rPr>
              <w:t>Midwives</w:t>
            </w:r>
          </w:p>
        </w:tc>
      </w:tr>
      <w:tr w:rsidR="00320333" w:rsidRPr="00260CE3" w:rsidTr="00980106">
        <w:trPr>
          <w:cantSplit/>
          <w:trHeight w:val="360"/>
        </w:trPr>
        <w:tc>
          <w:tcPr>
            <w:tcW w:w="2835" w:type="dxa"/>
            <w:tcBorders>
              <w:top w:val="single" w:sz="4" w:space="0" w:color="auto"/>
              <w:left w:val="single" w:sz="4" w:space="0" w:color="auto"/>
              <w:bottom w:val="single" w:sz="4" w:space="0" w:color="auto"/>
              <w:right w:val="single" w:sz="4" w:space="0" w:color="auto"/>
            </w:tcBorders>
          </w:tcPr>
          <w:p w:rsidR="00320333" w:rsidRPr="00260CE3" w:rsidRDefault="00320333" w:rsidP="00323E7A">
            <w:pPr>
              <w:widowControl/>
              <w:rPr>
                <w:rFonts w:ascii="Arial Narrow" w:hAnsi="Arial Narrow"/>
                <w:b/>
                <w:sz w:val="20"/>
                <w:szCs w:val="20"/>
              </w:rPr>
            </w:pPr>
            <w:r w:rsidRPr="00260CE3">
              <w:rPr>
                <w:rFonts w:ascii="Arial Narrow" w:hAnsi="Arial Narrow"/>
                <w:b/>
                <w:sz w:val="20"/>
                <w:szCs w:val="20"/>
              </w:rPr>
              <w:t>Episodicity:</w:t>
            </w:r>
          </w:p>
        </w:tc>
        <w:tc>
          <w:tcPr>
            <w:tcW w:w="5528" w:type="dxa"/>
            <w:tcBorders>
              <w:top w:val="single" w:sz="4" w:space="0" w:color="auto"/>
              <w:left w:val="single" w:sz="4" w:space="0" w:color="auto"/>
              <w:bottom w:val="single" w:sz="4" w:space="0" w:color="auto"/>
              <w:right w:val="single" w:sz="4" w:space="0" w:color="auto"/>
            </w:tcBorders>
          </w:tcPr>
          <w:p w:rsidR="00320333" w:rsidRPr="00260CE3" w:rsidRDefault="00320333" w:rsidP="00323E7A">
            <w:pPr>
              <w:widowControl/>
              <w:rPr>
                <w:rFonts w:ascii="Arial Narrow" w:hAnsi="Arial Narrow"/>
                <w:sz w:val="20"/>
                <w:szCs w:val="20"/>
              </w:rPr>
            </w:pPr>
            <w:r>
              <w:rPr>
                <w:rFonts w:ascii="Arial Narrow" w:hAnsi="Arial Narrow"/>
                <w:sz w:val="20"/>
                <w:szCs w:val="20"/>
              </w:rPr>
              <w:t>-</w:t>
            </w:r>
          </w:p>
        </w:tc>
      </w:tr>
      <w:tr w:rsidR="00320333" w:rsidRPr="00260CE3" w:rsidTr="00980106">
        <w:trPr>
          <w:cantSplit/>
          <w:trHeight w:val="360"/>
        </w:trPr>
        <w:tc>
          <w:tcPr>
            <w:tcW w:w="2835" w:type="dxa"/>
            <w:tcBorders>
              <w:top w:val="single" w:sz="4" w:space="0" w:color="auto"/>
              <w:left w:val="single" w:sz="4" w:space="0" w:color="auto"/>
              <w:bottom w:val="single" w:sz="4" w:space="0" w:color="auto"/>
              <w:right w:val="single" w:sz="4" w:space="0" w:color="auto"/>
            </w:tcBorders>
          </w:tcPr>
          <w:p w:rsidR="00320333" w:rsidRPr="00260CE3" w:rsidRDefault="00320333" w:rsidP="00323E7A">
            <w:pPr>
              <w:widowControl/>
              <w:rPr>
                <w:rFonts w:ascii="Arial Narrow" w:hAnsi="Arial Narrow"/>
                <w:b/>
                <w:sz w:val="20"/>
                <w:szCs w:val="20"/>
              </w:rPr>
            </w:pPr>
            <w:r w:rsidRPr="00260CE3">
              <w:rPr>
                <w:rFonts w:ascii="Arial Narrow" w:hAnsi="Arial Narrow"/>
                <w:b/>
                <w:sz w:val="20"/>
                <w:szCs w:val="20"/>
              </w:rPr>
              <w:t>Severity:</w:t>
            </w:r>
          </w:p>
        </w:tc>
        <w:tc>
          <w:tcPr>
            <w:tcW w:w="5528" w:type="dxa"/>
            <w:tcBorders>
              <w:top w:val="single" w:sz="4" w:space="0" w:color="auto"/>
              <w:left w:val="single" w:sz="4" w:space="0" w:color="auto"/>
              <w:bottom w:val="single" w:sz="4" w:space="0" w:color="auto"/>
              <w:right w:val="single" w:sz="4" w:space="0" w:color="auto"/>
            </w:tcBorders>
          </w:tcPr>
          <w:p w:rsidR="00320333" w:rsidRPr="00260CE3" w:rsidRDefault="00320333" w:rsidP="00323E7A">
            <w:pPr>
              <w:widowControl/>
              <w:rPr>
                <w:rFonts w:ascii="Arial Narrow" w:hAnsi="Arial Narrow"/>
                <w:sz w:val="20"/>
                <w:szCs w:val="20"/>
              </w:rPr>
            </w:pPr>
            <w:r>
              <w:rPr>
                <w:rFonts w:ascii="Arial Narrow" w:hAnsi="Arial Narrow"/>
                <w:sz w:val="20"/>
                <w:szCs w:val="20"/>
              </w:rPr>
              <w:t>Unresectable Stage III or Stage IV</w:t>
            </w:r>
          </w:p>
        </w:tc>
      </w:tr>
      <w:tr w:rsidR="00320333" w:rsidRPr="00260CE3" w:rsidTr="00980106">
        <w:trPr>
          <w:cantSplit/>
          <w:trHeight w:val="360"/>
        </w:trPr>
        <w:tc>
          <w:tcPr>
            <w:tcW w:w="2835" w:type="dxa"/>
            <w:tcBorders>
              <w:top w:val="single" w:sz="4" w:space="0" w:color="auto"/>
              <w:left w:val="single" w:sz="4" w:space="0" w:color="auto"/>
              <w:bottom w:val="single" w:sz="4" w:space="0" w:color="auto"/>
              <w:right w:val="single" w:sz="4" w:space="0" w:color="auto"/>
            </w:tcBorders>
          </w:tcPr>
          <w:p w:rsidR="00320333" w:rsidRPr="00260CE3" w:rsidRDefault="00320333" w:rsidP="00323E7A">
            <w:pPr>
              <w:widowControl/>
              <w:rPr>
                <w:rFonts w:ascii="Arial Narrow" w:hAnsi="Arial Narrow"/>
                <w:b/>
                <w:sz w:val="20"/>
                <w:szCs w:val="20"/>
              </w:rPr>
            </w:pPr>
            <w:r w:rsidRPr="00260CE3">
              <w:rPr>
                <w:rFonts w:ascii="Arial Narrow" w:hAnsi="Arial Narrow"/>
                <w:b/>
                <w:sz w:val="20"/>
                <w:szCs w:val="20"/>
              </w:rPr>
              <w:t>Condition:</w:t>
            </w:r>
          </w:p>
        </w:tc>
        <w:tc>
          <w:tcPr>
            <w:tcW w:w="5528" w:type="dxa"/>
            <w:tcBorders>
              <w:top w:val="single" w:sz="4" w:space="0" w:color="auto"/>
              <w:left w:val="single" w:sz="4" w:space="0" w:color="auto"/>
              <w:bottom w:val="single" w:sz="4" w:space="0" w:color="auto"/>
              <w:right w:val="single" w:sz="4" w:space="0" w:color="auto"/>
            </w:tcBorders>
          </w:tcPr>
          <w:p w:rsidR="00320333" w:rsidRPr="00260CE3" w:rsidRDefault="00320333" w:rsidP="00323E7A">
            <w:pPr>
              <w:widowControl/>
              <w:rPr>
                <w:rFonts w:ascii="Arial Narrow" w:hAnsi="Arial Narrow"/>
                <w:sz w:val="20"/>
                <w:szCs w:val="20"/>
              </w:rPr>
            </w:pPr>
            <w:r>
              <w:rPr>
                <w:rFonts w:ascii="Arial Narrow" w:hAnsi="Arial Narrow"/>
                <w:sz w:val="20"/>
                <w:szCs w:val="20"/>
              </w:rPr>
              <w:t>Malignant melanoma</w:t>
            </w:r>
          </w:p>
        </w:tc>
      </w:tr>
      <w:tr w:rsidR="00320333" w:rsidRPr="00260CE3" w:rsidTr="00980106">
        <w:trPr>
          <w:cantSplit/>
          <w:trHeight w:val="360"/>
        </w:trPr>
        <w:tc>
          <w:tcPr>
            <w:tcW w:w="2835" w:type="dxa"/>
            <w:tcBorders>
              <w:top w:val="single" w:sz="4" w:space="0" w:color="auto"/>
              <w:left w:val="single" w:sz="4" w:space="0" w:color="auto"/>
              <w:bottom w:val="single" w:sz="4" w:space="0" w:color="auto"/>
              <w:right w:val="single" w:sz="4" w:space="0" w:color="auto"/>
            </w:tcBorders>
          </w:tcPr>
          <w:p w:rsidR="00320333" w:rsidRPr="00260CE3" w:rsidRDefault="00320333" w:rsidP="00323E7A">
            <w:pPr>
              <w:widowControl/>
              <w:rPr>
                <w:rFonts w:ascii="Arial Narrow" w:hAnsi="Arial Narrow"/>
                <w:b/>
                <w:sz w:val="20"/>
                <w:szCs w:val="20"/>
              </w:rPr>
            </w:pPr>
            <w:r w:rsidRPr="00260CE3">
              <w:rPr>
                <w:rFonts w:ascii="Arial Narrow" w:hAnsi="Arial Narrow"/>
                <w:b/>
                <w:sz w:val="20"/>
                <w:szCs w:val="20"/>
              </w:rPr>
              <w:t>PBS Indication:</w:t>
            </w:r>
          </w:p>
        </w:tc>
        <w:tc>
          <w:tcPr>
            <w:tcW w:w="5528" w:type="dxa"/>
            <w:tcBorders>
              <w:top w:val="single" w:sz="4" w:space="0" w:color="auto"/>
              <w:left w:val="single" w:sz="4" w:space="0" w:color="auto"/>
              <w:bottom w:val="single" w:sz="4" w:space="0" w:color="auto"/>
              <w:right w:val="single" w:sz="4" w:space="0" w:color="auto"/>
            </w:tcBorders>
          </w:tcPr>
          <w:p w:rsidR="00320333" w:rsidRPr="00260CE3" w:rsidRDefault="00320333" w:rsidP="00323E7A">
            <w:pPr>
              <w:widowControl/>
              <w:rPr>
                <w:rFonts w:ascii="Arial Narrow" w:hAnsi="Arial Narrow"/>
                <w:sz w:val="20"/>
                <w:szCs w:val="20"/>
              </w:rPr>
            </w:pPr>
            <w:r>
              <w:rPr>
                <w:rFonts w:ascii="Arial Narrow" w:hAnsi="Arial Narrow"/>
                <w:sz w:val="20"/>
                <w:szCs w:val="20"/>
              </w:rPr>
              <w:t>Unresectable Stage III or Stage IV malignant melanoma</w:t>
            </w:r>
          </w:p>
        </w:tc>
      </w:tr>
      <w:tr w:rsidR="00320333" w:rsidRPr="00260CE3" w:rsidTr="00980106">
        <w:trPr>
          <w:cantSplit/>
          <w:trHeight w:val="360"/>
        </w:trPr>
        <w:tc>
          <w:tcPr>
            <w:tcW w:w="2835" w:type="dxa"/>
            <w:tcBorders>
              <w:top w:val="single" w:sz="4" w:space="0" w:color="auto"/>
              <w:left w:val="single" w:sz="4" w:space="0" w:color="auto"/>
              <w:bottom w:val="single" w:sz="4" w:space="0" w:color="auto"/>
              <w:right w:val="single" w:sz="4" w:space="0" w:color="auto"/>
            </w:tcBorders>
          </w:tcPr>
          <w:p w:rsidR="00320333" w:rsidRPr="00C0121C" w:rsidRDefault="00320333" w:rsidP="00323E7A">
            <w:pPr>
              <w:widowControl/>
              <w:rPr>
                <w:rFonts w:ascii="Arial Narrow" w:hAnsi="Arial Narrow"/>
                <w:b/>
                <w:sz w:val="20"/>
                <w:szCs w:val="20"/>
              </w:rPr>
            </w:pPr>
            <w:r w:rsidRPr="00260CE3">
              <w:rPr>
                <w:rFonts w:ascii="Arial Narrow" w:hAnsi="Arial Narrow"/>
                <w:b/>
                <w:sz w:val="20"/>
                <w:szCs w:val="20"/>
              </w:rPr>
              <w:t>Treatment phase:</w:t>
            </w:r>
          </w:p>
        </w:tc>
        <w:tc>
          <w:tcPr>
            <w:tcW w:w="5528" w:type="dxa"/>
            <w:tcBorders>
              <w:top w:val="single" w:sz="4" w:space="0" w:color="auto"/>
              <w:left w:val="single" w:sz="4" w:space="0" w:color="auto"/>
              <w:bottom w:val="single" w:sz="4" w:space="0" w:color="auto"/>
              <w:right w:val="single" w:sz="4" w:space="0" w:color="auto"/>
            </w:tcBorders>
          </w:tcPr>
          <w:p w:rsidR="00320333" w:rsidRPr="00260CE3" w:rsidRDefault="00320333" w:rsidP="00323E7A">
            <w:pPr>
              <w:widowControl/>
              <w:rPr>
                <w:rFonts w:ascii="Arial Narrow" w:hAnsi="Arial Narrow"/>
                <w:sz w:val="20"/>
                <w:szCs w:val="20"/>
              </w:rPr>
            </w:pPr>
            <w:r>
              <w:rPr>
                <w:rFonts w:ascii="Arial Narrow" w:hAnsi="Arial Narrow"/>
                <w:sz w:val="20"/>
                <w:szCs w:val="20"/>
              </w:rPr>
              <w:t>Initial</w:t>
            </w:r>
          </w:p>
        </w:tc>
      </w:tr>
      <w:tr w:rsidR="00320333" w:rsidRPr="00260CE3" w:rsidTr="00980106">
        <w:trPr>
          <w:cantSplit/>
          <w:trHeight w:val="360"/>
        </w:trPr>
        <w:tc>
          <w:tcPr>
            <w:tcW w:w="2835" w:type="dxa"/>
            <w:tcBorders>
              <w:top w:val="single" w:sz="4" w:space="0" w:color="auto"/>
              <w:left w:val="single" w:sz="4" w:space="0" w:color="auto"/>
              <w:bottom w:val="single" w:sz="4" w:space="0" w:color="auto"/>
              <w:right w:val="single" w:sz="4" w:space="0" w:color="auto"/>
            </w:tcBorders>
          </w:tcPr>
          <w:p w:rsidR="00320333" w:rsidRPr="00C0121C" w:rsidRDefault="00320333" w:rsidP="00323E7A">
            <w:pPr>
              <w:widowControl/>
              <w:rPr>
                <w:rFonts w:ascii="Arial Narrow" w:hAnsi="Arial Narrow"/>
                <w:b/>
                <w:sz w:val="20"/>
                <w:szCs w:val="20"/>
              </w:rPr>
            </w:pPr>
            <w:r w:rsidRPr="00260CE3">
              <w:rPr>
                <w:rFonts w:ascii="Arial Narrow" w:hAnsi="Arial Narrow"/>
                <w:b/>
                <w:sz w:val="20"/>
                <w:szCs w:val="20"/>
              </w:rPr>
              <w:t>Restriction</w:t>
            </w:r>
            <w:r>
              <w:rPr>
                <w:rFonts w:ascii="Arial Narrow" w:hAnsi="Arial Narrow"/>
                <w:b/>
                <w:sz w:val="20"/>
                <w:szCs w:val="20"/>
              </w:rPr>
              <w:t xml:space="preserve"> Level / Method</w:t>
            </w:r>
            <w:r w:rsidRPr="00260CE3">
              <w:rPr>
                <w:rFonts w:ascii="Arial Narrow" w:hAnsi="Arial Narrow"/>
                <w:b/>
                <w:sz w:val="20"/>
                <w:szCs w:val="20"/>
              </w:rPr>
              <w:t>:</w:t>
            </w:r>
          </w:p>
        </w:tc>
        <w:tc>
          <w:tcPr>
            <w:tcW w:w="5528" w:type="dxa"/>
            <w:tcBorders>
              <w:top w:val="single" w:sz="4" w:space="0" w:color="auto"/>
              <w:left w:val="single" w:sz="4" w:space="0" w:color="auto"/>
              <w:bottom w:val="single" w:sz="4" w:space="0" w:color="auto"/>
              <w:right w:val="single" w:sz="4" w:space="0" w:color="auto"/>
            </w:tcBorders>
          </w:tcPr>
          <w:p w:rsidR="00320333" w:rsidRPr="00106BCF" w:rsidRDefault="006E129E" w:rsidP="00323E7A">
            <w:pPr>
              <w:widowControl/>
              <w:rPr>
                <w:rFonts w:ascii="Arial Narrow" w:hAnsi="Arial Narrow"/>
                <w:sz w:val="20"/>
                <w:szCs w:val="20"/>
              </w:rPr>
            </w:pPr>
            <w:r w:rsidRPr="00106BCF">
              <w:rPr>
                <w:rFonts w:ascii="Arial Narrow" w:hAnsi="Arial Narrow"/>
                <w:sz w:val="20"/>
                <w:szCs w:val="20"/>
              </w:rPr>
              <w:fldChar w:fldCharType="begin">
                <w:ffData>
                  <w:name w:val="Check1"/>
                  <w:enabled/>
                  <w:calcOnExit w:val="0"/>
                  <w:checkBox>
                    <w:sizeAuto/>
                    <w:default w:val="0"/>
                  </w:checkBox>
                </w:ffData>
              </w:fldChar>
            </w:r>
            <w:r w:rsidR="00320333" w:rsidRPr="00106BCF">
              <w:rPr>
                <w:rFonts w:ascii="Arial Narrow" w:hAnsi="Arial Narrow"/>
                <w:sz w:val="20"/>
                <w:szCs w:val="20"/>
              </w:rPr>
              <w:instrText xml:space="preserve"> FORMCHECKBOX </w:instrText>
            </w:r>
            <w:r w:rsidR="006E43DE">
              <w:rPr>
                <w:rFonts w:ascii="Arial Narrow" w:hAnsi="Arial Narrow"/>
                <w:sz w:val="20"/>
                <w:szCs w:val="20"/>
              </w:rPr>
            </w:r>
            <w:r w:rsidR="006E43DE">
              <w:rPr>
                <w:rFonts w:ascii="Arial Narrow" w:hAnsi="Arial Narrow"/>
                <w:sz w:val="20"/>
                <w:szCs w:val="20"/>
              </w:rPr>
              <w:fldChar w:fldCharType="separate"/>
            </w:r>
            <w:r w:rsidRPr="00106BCF">
              <w:rPr>
                <w:rFonts w:ascii="Arial Narrow" w:hAnsi="Arial Narrow"/>
                <w:sz w:val="20"/>
                <w:szCs w:val="20"/>
              </w:rPr>
              <w:fldChar w:fldCharType="end"/>
            </w:r>
            <w:r w:rsidR="00320333" w:rsidRPr="00106BCF">
              <w:rPr>
                <w:rFonts w:ascii="Arial Narrow" w:hAnsi="Arial Narrow"/>
                <w:sz w:val="20"/>
                <w:szCs w:val="20"/>
              </w:rPr>
              <w:t>Restricted benefit</w:t>
            </w:r>
          </w:p>
          <w:p w:rsidR="00320333" w:rsidRPr="00106BCF" w:rsidRDefault="006E129E" w:rsidP="00323E7A">
            <w:pPr>
              <w:widowControl/>
              <w:rPr>
                <w:rFonts w:ascii="Arial Narrow" w:hAnsi="Arial Narrow"/>
                <w:sz w:val="20"/>
                <w:szCs w:val="20"/>
              </w:rPr>
            </w:pPr>
            <w:r w:rsidRPr="00106BCF">
              <w:rPr>
                <w:rFonts w:ascii="Arial Narrow" w:hAnsi="Arial Narrow"/>
                <w:sz w:val="20"/>
                <w:szCs w:val="20"/>
              </w:rPr>
              <w:fldChar w:fldCharType="begin">
                <w:ffData>
                  <w:name w:val=""/>
                  <w:enabled/>
                  <w:calcOnExit w:val="0"/>
                  <w:checkBox>
                    <w:sizeAuto/>
                    <w:default w:val="0"/>
                  </w:checkBox>
                </w:ffData>
              </w:fldChar>
            </w:r>
            <w:r w:rsidR="00320333" w:rsidRPr="00106BCF">
              <w:rPr>
                <w:rFonts w:ascii="Arial Narrow" w:hAnsi="Arial Narrow"/>
                <w:sz w:val="20"/>
                <w:szCs w:val="20"/>
              </w:rPr>
              <w:instrText xml:space="preserve"> FORMCHECKBOX </w:instrText>
            </w:r>
            <w:r w:rsidR="006E43DE">
              <w:rPr>
                <w:rFonts w:ascii="Arial Narrow" w:hAnsi="Arial Narrow"/>
                <w:sz w:val="20"/>
                <w:szCs w:val="20"/>
              </w:rPr>
            </w:r>
            <w:r w:rsidR="006E43DE">
              <w:rPr>
                <w:rFonts w:ascii="Arial Narrow" w:hAnsi="Arial Narrow"/>
                <w:sz w:val="20"/>
                <w:szCs w:val="20"/>
              </w:rPr>
              <w:fldChar w:fldCharType="separate"/>
            </w:r>
            <w:r w:rsidRPr="00106BCF">
              <w:rPr>
                <w:rFonts w:ascii="Arial Narrow" w:hAnsi="Arial Narrow"/>
                <w:sz w:val="20"/>
                <w:szCs w:val="20"/>
              </w:rPr>
              <w:fldChar w:fldCharType="end"/>
            </w:r>
            <w:r w:rsidR="00320333" w:rsidRPr="00106BCF">
              <w:rPr>
                <w:rFonts w:ascii="Arial Narrow" w:hAnsi="Arial Narrow"/>
                <w:sz w:val="20"/>
                <w:szCs w:val="20"/>
              </w:rPr>
              <w:t>Authority Required - In Writing</w:t>
            </w:r>
          </w:p>
          <w:p w:rsidR="00320333" w:rsidRPr="00106BCF" w:rsidRDefault="006E129E" w:rsidP="00323E7A">
            <w:pPr>
              <w:widowControl/>
              <w:rPr>
                <w:rFonts w:ascii="Arial Narrow" w:hAnsi="Arial Narrow"/>
                <w:sz w:val="20"/>
                <w:szCs w:val="20"/>
              </w:rPr>
            </w:pPr>
            <w:r w:rsidRPr="00106BCF">
              <w:rPr>
                <w:rFonts w:ascii="Arial Narrow" w:hAnsi="Arial Narrow"/>
                <w:sz w:val="20"/>
                <w:szCs w:val="20"/>
              </w:rPr>
              <w:fldChar w:fldCharType="begin">
                <w:ffData>
                  <w:name w:val="Check3"/>
                  <w:enabled/>
                  <w:calcOnExit w:val="0"/>
                  <w:checkBox>
                    <w:sizeAuto/>
                    <w:default w:val="0"/>
                  </w:checkBox>
                </w:ffData>
              </w:fldChar>
            </w:r>
            <w:r w:rsidR="00320333" w:rsidRPr="00106BCF">
              <w:rPr>
                <w:rFonts w:ascii="Arial Narrow" w:hAnsi="Arial Narrow"/>
                <w:sz w:val="20"/>
                <w:szCs w:val="20"/>
              </w:rPr>
              <w:instrText xml:space="preserve"> FORMCHECKBOX </w:instrText>
            </w:r>
            <w:r w:rsidR="006E43DE">
              <w:rPr>
                <w:rFonts w:ascii="Arial Narrow" w:hAnsi="Arial Narrow"/>
                <w:sz w:val="20"/>
                <w:szCs w:val="20"/>
              </w:rPr>
            </w:r>
            <w:r w:rsidR="006E43DE">
              <w:rPr>
                <w:rFonts w:ascii="Arial Narrow" w:hAnsi="Arial Narrow"/>
                <w:sz w:val="20"/>
                <w:szCs w:val="20"/>
              </w:rPr>
              <w:fldChar w:fldCharType="separate"/>
            </w:r>
            <w:r w:rsidRPr="00106BCF">
              <w:rPr>
                <w:rFonts w:ascii="Arial Narrow" w:hAnsi="Arial Narrow"/>
                <w:sz w:val="20"/>
                <w:szCs w:val="20"/>
              </w:rPr>
              <w:fldChar w:fldCharType="end"/>
            </w:r>
            <w:r w:rsidR="00320333" w:rsidRPr="00106BCF">
              <w:rPr>
                <w:rFonts w:ascii="Arial Narrow" w:hAnsi="Arial Narrow"/>
                <w:sz w:val="20"/>
                <w:szCs w:val="20"/>
              </w:rPr>
              <w:t>Authority Required - Telephone</w:t>
            </w:r>
          </w:p>
          <w:p w:rsidR="00320333" w:rsidRPr="00106BCF" w:rsidRDefault="006E129E" w:rsidP="00323E7A">
            <w:pPr>
              <w:widowControl/>
              <w:rPr>
                <w:rFonts w:ascii="Arial Narrow" w:hAnsi="Arial Narrow"/>
                <w:sz w:val="20"/>
                <w:szCs w:val="20"/>
              </w:rPr>
            </w:pPr>
            <w:r w:rsidRPr="00106BCF">
              <w:rPr>
                <w:rFonts w:ascii="Arial Narrow" w:hAnsi="Arial Narrow"/>
                <w:sz w:val="20"/>
                <w:szCs w:val="20"/>
              </w:rPr>
              <w:fldChar w:fldCharType="begin">
                <w:ffData>
                  <w:name w:val=""/>
                  <w:enabled/>
                  <w:calcOnExit w:val="0"/>
                  <w:checkBox>
                    <w:sizeAuto/>
                    <w:default w:val="0"/>
                  </w:checkBox>
                </w:ffData>
              </w:fldChar>
            </w:r>
            <w:r w:rsidR="00320333" w:rsidRPr="00106BCF">
              <w:rPr>
                <w:rFonts w:ascii="Arial Narrow" w:hAnsi="Arial Narrow"/>
                <w:sz w:val="20"/>
                <w:szCs w:val="20"/>
              </w:rPr>
              <w:instrText xml:space="preserve"> FORMCHECKBOX </w:instrText>
            </w:r>
            <w:r w:rsidR="006E43DE">
              <w:rPr>
                <w:rFonts w:ascii="Arial Narrow" w:hAnsi="Arial Narrow"/>
                <w:sz w:val="20"/>
                <w:szCs w:val="20"/>
              </w:rPr>
            </w:r>
            <w:r w:rsidR="006E43DE">
              <w:rPr>
                <w:rFonts w:ascii="Arial Narrow" w:hAnsi="Arial Narrow"/>
                <w:sz w:val="20"/>
                <w:szCs w:val="20"/>
              </w:rPr>
              <w:fldChar w:fldCharType="separate"/>
            </w:r>
            <w:r w:rsidRPr="00106BCF">
              <w:rPr>
                <w:rFonts w:ascii="Arial Narrow" w:hAnsi="Arial Narrow"/>
                <w:sz w:val="20"/>
                <w:szCs w:val="20"/>
              </w:rPr>
              <w:fldChar w:fldCharType="end"/>
            </w:r>
            <w:r w:rsidR="00320333" w:rsidRPr="00106BCF">
              <w:rPr>
                <w:rFonts w:ascii="Arial Narrow" w:hAnsi="Arial Narrow"/>
                <w:sz w:val="20"/>
                <w:szCs w:val="20"/>
              </w:rPr>
              <w:t xml:space="preserve">Authority Required </w:t>
            </w:r>
            <w:r w:rsidR="00320333">
              <w:rPr>
                <w:rFonts w:ascii="Arial Narrow" w:hAnsi="Arial Narrow"/>
                <w:sz w:val="20"/>
                <w:szCs w:val="20"/>
              </w:rPr>
              <w:t>-</w:t>
            </w:r>
            <w:r w:rsidR="00320333" w:rsidRPr="00106BCF">
              <w:rPr>
                <w:rFonts w:ascii="Arial Narrow" w:hAnsi="Arial Narrow"/>
                <w:sz w:val="20"/>
                <w:szCs w:val="20"/>
              </w:rPr>
              <w:t xml:space="preserve"> Emergency</w:t>
            </w:r>
          </w:p>
          <w:p w:rsidR="00320333" w:rsidRPr="00106BCF" w:rsidRDefault="006E129E" w:rsidP="00323E7A">
            <w:pPr>
              <w:widowControl/>
              <w:rPr>
                <w:rFonts w:ascii="Arial Narrow" w:hAnsi="Arial Narrow"/>
                <w:sz w:val="20"/>
                <w:szCs w:val="20"/>
              </w:rPr>
            </w:pPr>
            <w:r w:rsidRPr="00106BCF">
              <w:rPr>
                <w:rFonts w:ascii="Arial Narrow" w:hAnsi="Arial Narrow"/>
                <w:sz w:val="20"/>
                <w:szCs w:val="20"/>
              </w:rPr>
              <w:fldChar w:fldCharType="begin">
                <w:ffData>
                  <w:name w:val="Check5"/>
                  <w:enabled/>
                  <w:calcOnExit w:val="0"/>
                  <w:checkBox>
                    <w:sizeAuto/>
                    <w:default w:val="0"/>
                  </w:checkBox>
                </w:ffData>
              </w:fldChar>
            </w:r>
            <w:r w:rsidR="00320333" w:rsidRPr="00106BCF">
              <w:rPr>
                <w:rFonts w:ascii="Arial Narrow" w:hAnsi="Arial Narrow"/>
                <w:sz w:val="20"/>
                <w:szCs w:val="20"/>
              </w:rPr>
              <w:instrText xml:space="preserve"> FORMCHECKBOX </w:instrText>
            </w:r>
            <w:r w:rsidR="006E43DE">
              <w:rPr>
                <w:rFonts w:ascii="Arial Narrow" w:hAnsi="Arial Narrow"/>
                <w:sz w:val="20"/>
                <w:szCs w:val="20"/>
              </w:rPr>
            </w:r>
            <w:r w:rsidR="006E43DE">
              <w:rPr>
                <w:rFonts w:ascii="Arial Narrow" w:hAnsi="Arial Narrow"/>
                <w:sz w:val="20"/>
                <w:szCs w:val="20"/>
              </w:rPr>
              <w:fldChar w:fldCharType="separate"/>
            </w:r>
            <w:r w:rsidRPr="00106BCF">
              <w:rPr>
                <w:rFonts w:ascii="Arial Narrow" w:hAnsi="Arial Narrow"/>
                <w:sz w:val="20"/>
                <w:szCs w:val="20"/>
              </w:rPr>
              <w:fldChar w:fldCharType="end"/>
            </w:r>
            <w:r w:rsidR="00320333" w:rsidRPr="00106BCF">
              <w:rPr>
                <w:rFonts w:ascii="Arial Narrow" w:hAnsi="Arial Narrow"/>
                <w:sz w:val="20"/>
                <w:szCs w:val="20"/>
              </w:rPr>
              <w:t>Authority Required - Electronic</w:t>
            </w:r>
          </w:p>
          <w:p w:rsidR="00320333" w:rsidRPr="00260CE3" w:rsidRDefault="006E129E" w:rsidP="00323E7A">
            <w:pPr>
              <w:widowControl/>
              <w:rPr>
                <w:rFonts w:ascii="Arial Narrow" w:hAnsi="Arial Narrow"/>
                <w:sz w:val="20"/>
                <w:szCs w:val="20"/>
              </w:rPr>
            </w:pPr>
            <w:r>
              <w:rPr>
                <w:rFonts w:ascii="Arial Narrow" w:hAnsi="Arial Narrow"/>
                <w:sz w:val="20"/>
                <w:szCs w:val="20"/>
              </w:rPr>
              <w:fldChar w:fldCharType="begin">
                <w:ffData>
                  <w:name w:val="Check5"/>
                  <w:enabled/>
                  <w:calcOnExit w:val="0"/>
                  <w:checkBox>
                    <w:sizeAuto/>
                    <w:default w:val="1"/>
                  </w:checkBox>
                </w:ffData>
              </w:fldChar>
            </w:r>
            <w:bookmarkStart w:id="3" w:name="Check5"/>
            <w:r w:rsidR="00320333">
              <w:rPr>
                <w:rFonts w:ascii="Arial Narrow" w:hAnsi="Arial Narrow"/>
                <w:sz w:val="20"/>
                <w:szCs w:val="20"/>
              </w:rPr>
              <w:instrText xml:space="preserve"> FORMCHECKBOX </w:instrText>
            </w:r>
            <w:r w:rsidR="006E43DE">
              <w:rPr>
                <w:rFonts w:ascii="Arial Narrow" w:hAnsi="Arial Narrow"/>
                <w:sz w:val="20"/>
                <w:szCs w:val="20"/>
              </w:rPr>
            </w:r>
            <w:r w:rsidR="006E43DE">
              <w:rPr>
                <w:rFonts w:ascii="Arial Narrow" w:hAnsi="Arial Narrow"/>
                <w:sz w:val="20"/>
                <w:szCs w:val="20"/>
              </w:rPr>
              <w:fldChar w:fldCharType="separate"/>
            </w:r>
            <w:r>
              <w:rPr>
                <w:rFonts w:ascii="Arial Narrow" w:hAnsi="Arial Narrow"/>
                <w:sz w:val="20"/>
                <w:szCs w:val="20"/>
              </w:rPr>
              <w:fldChar w:fldCharType="end"/>
            </w:r>
            <w:bookmarkEnd w:id="3"/>
            <w:r w:rsidR="00320333" w:rsidRPr="00106BCF">
              <w:rPr>
                <w:rFonts w:ascii="Arial Narrow" w:hAnsi="Arial Narrow"/>
                <w:sz w:val="20"/>
                <w:szCs w:val="20"/>
              </w:rPr>
              <w:t>Streamlined</w:t>
            </w:r>
          </w:p>
        </w:tc>
      </w:tr>
      <w:tr w:rsidR="00320333" w:rsidRPr="00260CE3" w:rsidTr="00980106">
        <w:trPr>
          <w:cantSplit/>
          <w:trHeight w:val="2542"/>
        </w:trPr>
        <w:tc>
          <w:tcPr>
            <w:tcW w:w="2835" w:type="dxa"/>
            <w:tcBorders>
              <w:top w:val="single" w:sz="4" w:space="0" w:color="auto"/>
              <w:left w:val="single" w:sz="4" w:space="0" w:color="auto"/>
              <w:bottom w:val="single" w:sz="4" w:space="0" w:color="auto"/>
              <w:right w:val="single" w:sz="4" w:space="0" w:color="auto"/>
            </w:tcBorders>
          </w:tcPr>
          <w:p w:rsidR="00320333" w:rsidRPr="00044AC5" w:rsidRDefault="00320333" w:rsidP="00323E7A">
            <w:pPr>
              <w:widowControl/>
              <w:rPr>
                <w:rFonts w:ascii="Arial Narrow" w:hAnsi="Arial Narrow"/>
                <w:b/>
                <w:sz w:val="20"/>
                <w:szCs w:val="20"/>
              </w:rPr>
            </w:pPr>
            <w:r w:rsidRPr="00260CE3">
              <w:rPr>
                <w:rFonts w:ascii="Arial Narrow" w:hAnsi="Arial Narrow"/>
                <w:b/>
                <w:sz w:val="20"/>
                <w:szCs w:val="20"/>
              </w:rPr>
              <w:lastRenderedPageBreak/>
              <w:t>Clinical criteria:</w:t>
            </w:r>
          </w:p>
        </w:tc>
        <w:tc>
          <w:tcPr>
            <w:tcW w:w="5528" w:type="dxa"/>
            <w:tcBorders>
              <w:top w:val="single" w:sz="4" w:space="0" w:color="auto"/>
              <w:left w:val="single" w:sz="4" w:space="0" w:color="auto"/>
              <w:bottom w:val="single" w:sz="4" w:space="0" w:color="auto"/>
              <w:right w:val="single" w:sz="4" w:space="0" w:color="auto"/>
            </w:tcBorders>
          </w:tcPr>
          <w:p w:rsidR="00320333" w:rsidRPr="00C0121C" w:rsidRDefault="00320333" w:rsidP="00323E7A">
            <w:pPr>
              <w:widowControl/>
              <w:rPr>
                <w:rFonts w:ascii="Arial Narrow" w:hAnsi="Arial Narrow"/>
                <w:sz w:val="20"/>
                <w:szCs w:val="20"/>
              </w:rPr>
            </w:pPr>
            <w:r>
              <w:rPr>
                <w:rFonts w:ascii="Arial Narrow" w:hAnsi="Arial Narrow"/>
                <w:sz w:val="20"/>
                <w:szCs w:val="20"/>
              </w:rPr>
              <w:t>The t</w:t>
            </w:r>
            <w:r w:rsidRPr="00C0121C">
              <w:rPr>
                <w:rFonts w:ascii="Arial Narrow" w:hAnsi="Arial Narrow"/>
                <w:sz w:val="20"/>
                <w:szCs w:val="20"/>
              </w:rPr>
              <w:t>reatment must be the sole PBS-subsidised therapy for this condition</w:t>
            </w:r>
          </w:p>
          <w:p w:rsidR="00320333" w:rsidRPr="00C0121C" w:rsidRDefault="00320333" w:rsidP="00323E7A">
            <w:pPr>
              <w:widowControl/>
              <w:rPr>
                <w:rFonts w:ascii="Arial Narrow" w:hAnsi="Arial Narrow"/>
                <w:sz w:val="20"/>
                <w:szCs w:val="20"/>
              </w:rPr>
            </w:pPr>
          </w:p>
          <w:p w:rsidR="00320333" w:rsidRPr="00C0121C" w:rsidRDefault="00320333" w:rsidP="00323E7A">
            <w:pPr>
              <w:widowControl/>
              <w:rPr>
                <w:rFonts w:ascii="Arial Narrow" w:hAnsi="Arial Narrow"/>
                <w:sz w:val="20"/>
                <w:szCs w:val="20"/>
              </w:rPr>
            </w:pPr>
            <w:r w:rsidRPr="00C0121C">
              <w:rPr>
                <w:rFonts w:ascii="Arial Narrow" w:hAnsi="Arial Narrow"/>
                <w:sz w:val="20"/>
                <w:szCs w:val="20"/>
              </w:rPr>
              <w:t>AND</w:t>
            </w:r>
          </w:p>
          <w:p w:rsidR="00320333" w:rsidRPr="00C0121C" w:rsidRDefault="00320333" w:rsidP="00323E7A">
            <w:pPr>
              <w:widowControl/>
              <w:rPr>
                <w:rFonts w:ascii="Arial Narrow" w:hAnsi="Arial Narrow"/>
                <w:sz w:val="20"/>
                <w:szCs w:val="20"/>
              </w:rPr>
            </w:pPr>
          </w:p>
          <w:p w:rsidR="00320333" w:rsidRDefault="00320333" w:rsidP="00323E7A">
            <w:pPr>
              <w:widowControl/>
              <w:rPr>
                <w:rFonts w:ascii="Arial Narrow" w:hAnsi="Arial Narrow"/>
                <w:sz w:val="20"/>
                <w:szCs w:val="20"/>
              </w:rPr>
            </w:pPr>
            <w:r w:rsidRPr="00A715A4">
              <w:rPr>
                <w:rFonts w:ascii="Arial Narrow" w:hAnsi="Arial Narrow"/>
                <w:sz w:val="20"/>
                <w:szCs w:val="20"/>
              </w:rPr>
              <w:t xml:space="preserve">The condition must not have been treated previously with </w:t>
            </w:r>
            <w:r>
              <w:rPr>
                <w:rFonts w:ascii="Arial Narrow" w:hAnsi="Arial Narrow"/>
                <w:i/>
                <w:sz w:val="20"/>
                <w:szCs w:val="20"/>
              </w:rPr>
              <w:t>a PD-1 inhibitor</w:t>
            </w:r>
            <w:r w:rsidR="0043765A">
              <w:rPr>
                <w:rFonts w:ascii="Arial Narrow" w:hAnsi="Arial Narrow"/>
                <w:i/>
                <w:sz w:val="20"/>
                <w:szCs w:val="20"/>
              </w:rPr>
              <w:t xml:space="preserve"> </w:t>
            </w:r>
            <w:r w:rsidRPr="00A715A4">
              <w:rPr>
                <w:rFonts w:ascii="Arial Narrow" w:hAnsi="Arial Narrow"/>
                <w:strike/>
                <w:sz w:val="20"/>
                <w:szCs w:val="20"/>
              </w:rPr>
              <w:t>nivolumab</w:t>
            </w:r>
            <w:r>
              <w:rPr>
                <w:rFonts w:ascii="Arial Narrow" w:hAnsi="Arial Narrow"/>
                <w:sz w:val="20"/>
                <w:szCs w:val="20"/>
              </w:rPr>
              <w:t xml:space="preserve">; </w:t>
            </w:r>
            <w:r w:rsidRPr="00F663C6">
              <w:rPr>
                <w:rFonts w:ascii="Arial Narrow" w:hAnsi="Arial Narrow"/>
                <w:i/>
                <w:sz w:val="20"/>
                <w:szCs w:val="20"/>
              </w:rPr>
              <w:t>OR</w:t>
            </w:r>
          </w:p>
          <w:p w:rsidR="00320333" w:rsidRPr="00F663C6" w:rsidRDefault="00320333" w:rsidP="00323E7A">
            <w:pPr>
              <w:widowControl/>
              <w:rPr>
                <w:rFonts w:ascii="Arial Narrow" w:hAnsi="Arial Narrow"/>
                <w:i/>
                <w:sz w:val="20"/>
                <w:szCs w:val="20"/>
              </w:rPr>
            </w:pPr>
            <w:r w:rsidRPr="00F663C6">
              <w:rPr>
                <w:rFonts w:ascii="Arial Narrow" w:hAnsi="Arial Narrow"/>
                <w:i/>
                <w:sz w:val="20"/>
                <w:szCs w:val="20"/>
              </w:rPr>
              <w:t xml:space="preserve">Patient must have developed intolerance to another </w:t>
            </w:r>
            <w:r>
              <w:rPr>
                <w:rFonts w:ascii="Arial Narrow" w:hAnsi="Arial Narrow"/>
                <w:i/>
                <w:sz w:val="20"/>
                <w:szCs w:val="20"/>
              </w:rPr>
              <w:t>PD-1</w:t>
            </w:r>
            <w:r w:rsidRPr="00F663C6">
              <w:rPr>
                <w:rFonts w:ascii="Arial Narrow" w:hAnsi="Arial Narrow"/>
                <w:i/>
                <w:sz w:val="20"/>
                <w:szCs w:val="20"/>
              </w:rPr>
              <w:t xml:space="preserve"> inhibitor of a severity necessitating permanent treatment withdrawal</w:t>
            </w:r>
          </w:p>
          <w:p w:rsidR="00320333" w:rsidRDefault="00320333" w:rsidP="00323E7A">
            <w:pPr>
              <w:widowControl/>
              <w:rPr>
                <w:rFonts w:ascii="Arial Narrow" w:hAnsi="Arial Narrow"/>
                <w:sz w:val="20"/>
                <w:szCs w:val="20"/>
              </w:rPr>
            </w:pPr>
          </w:p>
          <w:p w:rsidR="00320333" w:rsidRDefault="00320333" w:rsidP="00323E7A">
            <w:pPr>
              <w:widowControl/>
              <w:rPr>
                <w:rFonts w:ascii="Arial Narrow" w:hAnsi="Arial Narrow"/>
                <w:i/>
                <w:sz w:val="20"/>
                <w:szCs w:val="20"/>
              </w:rPr>
            </w:pPr>
            <w:r>
              <w:rPr>
                <w:rFonts w:ascii="Arial Narrow" w:hAnsi="Arial Narrow"/>
                <w:i/>
                <w:sz w:val="20"/>
                <w:szCs w:val="20"/>
              </w:rPr>
              <w:t>AND</w:t>
            </w:r>
          </w:p>
          <w:p w:rsidR="00320333" w:rsidRDefault="00320333" w:rsidP="00323E7A">
            <w:pPr>
              <w:widowControl/>
              <w:rPr>
                <w:rFonts w:ascii="Arial Narrow" w:hAnsi="Arial Narrow"/>
                <w:i/>
                <w:sz w:val="20"/>
                <w:szCs w:val="20"/>
              </w:rPr>
            </w:pPr>
          </w:p>
          <w:p w:rsidR="00320333" w:rsidRPr="00D40D7C" w:rsidRDefault="00320333" w:rsidP="00323E7A">
            <w:pPr>
              <w:widowControl/>
              <w:rPr>
                <w:rFonts w:ascii="Arial Narrow" w:hAnsi="Arial Narrow"/>
                <w:i/>
                <w:sz w:val="20"/>
                <w:szCs w:val="20"/>
              </w:rPr>
            </w:pPr>
            <w:r>
              <w:rPr>
                <w:rFonts w:ascii="Arial Narrow" w:hAnsi="Arial Narrow"/>
                <w:i/>
                <w:sz w:val="20"/>
                <w:szCs w:val="20"/>
              </w:rPr>
              <w:t>The condition</w:t>
            </w:r>
            <w:r w:rsidRPr="00D40D7C">
              <w:rPr>
                <w:rFonts w:ascii="Arial Narrow" w:hAnsi="Arial Narrow"/>
                <w:i/>
                <w:sz w:val="20"/>
                <w:szCs w:val="20"/>
              </w:rPr>
              <w:t xml:space="preserve"> must be n</w:t>
            </w:r>
            <w:r>
              <w:rPr>
                <w:rFonts w:ascii="Arial Narrow" w:hAnsi="Arial Narrow"/>
                <w:i/>
                <w:sz w:val="20"/>
                <w:szCs w:val="20"/>
              </w:rPr>
              <w:t>egative for a BRAF V600 mutation</w:t>
            </w:r>
            <w:r w:rsidR="0043765A">
              <w:rPr>
                <w:rFonts w:ascii="Arial Narrow" w:hAnsi="Arial Narrow"/>
                <w:i/>
                <w:sz w:val="20"/>
                <w:szCs w:val="20"/>
              </w:rPr>
              <w:t>.</w:t>
            </w:r>
          </w:p>
        </w:tc>
      </w:tr>
      <w:tr w:rsidR="00320333" w:rsidRPr="00260CE3" w:rsidTr="00980106">
        <w:trPr>
          <w:cantSplit/>
          <w:trHeight w:val="508"/>
        </w:trPr>
        <w:tc>
          <w:tcPr>
            <w:tcW w:w="2835" w:type="dxa"/>
            <w:tcBorders>
              <w:top w:val="single" w:sz="4" w:space="0" w:color="auto"/>
              <w:left w:val="single" w:sz="4" w:space="0" w:color="auto"/>
              <w:bottom w:val="single" w:sz="4" w:space="0" w:color="auto"/>
              <w:right w:val="single" w:sz="4" w:space="0" w:color="auto"/>
            </w:tcBorders>
          </w:tcPr>
          <w:p w:rsidR="00320333" w:rsidRPr="00260CE3" w:rsidRDefault="00320333" w:rsidP="00323E7A">
            <w:pPr>
              <w:widowControl/>
              <w:rPr>
                <w:rFonts w:ascii="Arial Narrow" w:hAnsi="Arial Narrow"/>
                <w:sz w:val="20"/>
                <w:szCs w:val="20"/>
              </w:rPr>
            </w:pPr>
            <w:r w:rsidRPr="00260CE3">
              <w:rPr>
                <w:rFonts w:ascii="Arial Narrow" w:hAnsi="Arial Narrow"/>
                <w:b/>
                <w:sz w:val="20"/>
                <w:szCs w:val="20"/>
              </w:rPr>
              <w:t>Prescriber Instructions</w:t>
            </w:r>
          </w:p>
        </w:tc>
        <w:tc>
          <w:tcPr>
            <w:tcW w:w="5528" w:type="dxa"/>
            <w:tcBorders>
              <w:top w:val="single" w:sz="4" w:space="0" w:color="auto"/>
              <w:left w:val="single" w:sz="4" w:space="0" w:color="auto"/>
              <w:bottom w:val="single" w:sz="4" w:space="0" w:color="auto"/>
              <w:right w:val="single" w:sz="4" w:space="0" w:color="auto"/>
            </w:tcBorders>
          </w:tcPr>
          <w:p w:rsidR="00320333" w:rsidRPr="00260CE3" w:rsidRDefault="00320333" w:rsidP="00323E7A">
            <w:pPr>
              <w:widowControl/>
              <w:rPr>
                <w:rFonts w:ascii="Arial Narrow" w:hAnsi="Arial Narrow"/>
                <w:sz w:val="20"/>
                <w:szCs w:val="20"/>
              </w:rPr>
            </w:pPr>
            <w:r w:rsidRPr="00C0121C">
              <w:rPr>
                <w:rFonts w:ascii="Arial Narrow" w:hAnsi="Arial Narrow"/>
                <w:sz w:val="20"/>
                <w:szCs w:val="20"/>
              </w:rPr>
              <w:t>The patient’s body weight must be documented in the patient’s medical records at the time treatment is initiated.</w:t>
            </w:r>
          </w:p>
        </w:tc>
      </w:tr>
      <w:tr w:rsidR="00320333" w:rsidRPr="00260CE3" w:rsidTr="0043765A">
        <w:trPr>
          <w:cantSplit/>
          <w:trHeight w:val="1201"/>
        </w:trPr>
        <w:tc>
          <w:tcPr>
            <w:tcW w:w="2835" w:type="dxa"/>
            <w:tcBorders>
              <w:top w:val="single" w:sz="4" w:space="0" w:color="auto"/>
              <w:left w:val="single" w:sz="4" w:space="0" w:color="auto"/>
              <w:bottom w:val="single" w:sz="4" w:space="0" w:color="auto"/>
              <w:right w:val="single" w:sz="4" w:space="0" w:color="auto"/>
            </w:tcBorders>
          </w:tcPr>
          <w:p w:rsidR="00320333" w:rsidRPr="00C0121C" w:rsidRDefault="00320333" w:rsidP="00323E7A">
            <w:pPr>
              <w:widowControl/>
              <w:rPr>
                <w:rFonts w:ascii="Arial Narrow" w:hAnsi="Arial Narrow"/>
                <w:b/>
                <w:sz w:val="20"/>
                <w:szCs w:val="20"/>
              </w:rPr>
            </w:pPr>
            <w:r w:rsidRPr="00260CE3">
              <w:rPr>
                <w:rFonts w:ascii="Arial Narrow" w:hAnsi="Arial Narrow"/>
                <w:b/>
                <w:sz w:val="20"/>
                <w:szCs w:val="20"/>
              </w:rPr>
              <w:t>Administrative Advice</w:t>
            </w:r>
          </w:p>
        </w:tc>
        <w:tc>
          <w:tcPr>
            <w:tcW w:w="5528" w:type="dxa"/>
            <w:tcBorders>
              <w:top w:val="single" w:sz="4" w:space="0" w:color="auto"/>
              <w:left w:val="single" w:sz="4" w:space="0" w:color="auto"/>
              <w:bottom w:val="single" w:sz="4" w:space="0" w:color="auto"/>
              <w:right w:val="single" w:sz="4" w:space="0" w:color="auto"/>
            </w:tcBorders>
          </w:tcPr>
          <w:p w:rsidR="00320333" w:rsidRDefault="00320333" w:rsidP="00323E7A">
            <w:pPr>
              <w:widowControl/>
              <w:rPr>
                <w:rFonts w:ascii="Arial Narrow" w:hAnsi="Arial Narrow"/>
                <w:strike/>
                <w:sz w:val="20"/>
                <w:szCs w:val="20"/>
              </w:rPr>
            </w:pPr>
            <w:r w:rsidRPr="00C0121C">
              <w:rPr>
                <w:rFonts w:ascii="Arial Narrow" w:hAnsi="Arial Narrow"/>
                <w:strike/>
                <w:sz w:val="20"/>
                <w:szCs w:val="20"/>
              </w:rPr>
              <w:t>The recommended dose of nivolumab is 3 mg/kg administered intravenously over 60 minutes every 2 weeks.</w:t>
            </w:r>
          </w:p>
          <w:p w:rsidR="00320333" w:rsidRDefault="00320333" w:rsidP="00323E7A">
            <w:pPr>
              <w:widowControl/>
              <w:rPr>
                <w:rFonts w:ascii="Arial Narrow" w:hAnsi="Arial Narrow"/>
                <w:i/>
                <w:sz w:val="20"/>
                <w:szCs w:val="20"/>
              </w:rPr>
            </w:pPr>
            <w:r w:rsidRPr="00C5156F">
              <w:rPr>
                <w:rFonts w:ascii="Arial Narrow" w:hAnsi="Arial Narrow"/>
                <w:i/>
                <w:sz w:val="20"/>
                <w:szCs w:val="20"/>
              </w:rPr>
              <w:t>No increase in the maximum number of repeats may be authorised.</w:t>
            </w:r>
          </w:p>
          <w:p w:rsidR="00320333" w:rsidRDefault="00320333" w:rsidP="00323E7A">
            <w:pPr>
              <w:widowControl/>
              <w:rPr>
                <w:rFonts w:ascii="Arial Narrow" w:hAnsi="Arial Narrow"/>
                <w:i/>
                <w:sz w:val="20"/>
                <w:szCs w:val="20"/>
              </w:rPr>
            </w:pPr>
          </w:p>
          <w:p w:rsidR="00320333" w:rsidRPr="00E21DAB" w:rsidRDefault="00320333" w:rsidP="00323E7A">
            <w:pPr>
              <w:widowControl/>
              <w:rPr>
                <w:rFonts w:ascii="Arial Narrow" w:hAnsi="Arial Narrow"/>
                <w:i/>
                <w:sz w:val="20"/>
                <w:szCs w:val="20"/>
              </w:rPr>
            </w:pPr>
            <w:r w:rsidRPr="00C5156F">
              <w:rPr>
                <w:rFonts w:ascii="Arial Narrow" w:hAnsi="Arial Narrow"/>
                <w:i/>
                <w:sz w:val="20"/>
                <w:szCs w:val="20"/>
              </w:rPr>
              <w:t>Special Pricing Arrangements apply.</w:t>
            </w:r>
          </w:p>
        </w:tc>
      </w:tr>
    </w:tbl>
    <w:p w:rsidR="00320333" w:rsidRDefault="00320333" w:rsidP="00323E7A">
      <w:pPr>
        <w:widowControl/>
        <w:rPr>
          <w:szCs w:val="22"/>
        </w:rPr>
      </w:pPr>
    </w:p>
    <w:p w:rsidR="00320333" w:rsidRDefault="00320333" w:rsidP="00323E7A">
      <w:pPr>
        <w:widowControl/>
        <w:ind w:firstLine="720"/>
        <w:rPr>
          <w:szCs w:val="22"/>
        </w:rPr>
      </w:pPr>
      <w:r>
        <w:rPr>
          <w:rFonts w:ascii="Arial Narrow" w:hAnsi="Arial Narrow"/>
          <w:b/>
          <w:i/>
          <w:sz w:val="20"/>
          <w:szCs w:val="20"/>
        </w:rPr>
        <w:t xml:space="preserve">Initial treatment - </w:t>
      </w:r>
      <w:r w:rsidRPr="00645903">
        <w:rPr>
          <w:rFonts w:ascii="Arial Narrow" w:hAnsi="Arial Narrow"/>
          <w:b/>
          <w:i/>
          <w:sz w:val="20"/>
          <w:szCs w:val="20"/>
        </w:rPr>
        <w:t xml:space="preserve">BRAF V600 mutation </w:t>
      </w:r>
      <w:r>
        <w:rPr>
          <w:rFonts w:ascii="Arial Narrow" w:hAnsi="Arial Narrow"/>
          <w:b/>
          <w:i/>
          <w:sz w:val="20"/>
          <w:szCs w:val="20"/>
        </w:rPr>
        <w:t>posi</w:t>
      </w:r>
      <w:r w:rsidRPr="00645903">
        <w:rPr>
          <w:rFonts w:ascii="Arial Narrow" w:hAnsi="Arial Narrow"/>
          <w:b/>
          <w:i/>
          <w:sz w:val="20"/>
          <w:szCs w:val="20"/>
        </w:rPr>
        <w:t>tive</w:t>
      </w:r>
    </w:p>
    <w:tbl>
      <w:tblPr>
        <w:tblW w:w="8363" w:type="dxa"/>
        <w:tblInd w:w="817" w:type="dxa"/>
        <w:tblLayout w:type="fixed"/>
        <w:tblLook w:val="0000" w:firstRow="0" w:lastRow="0" w:firstColumn="0" w:lastColumn="0" w:noHBand="0" w:noVBand="0"/>
      </w:tblPr>
      <w:tblGrid>
        <w:gridCol w:w="2835"/>
        <w:gridCol w:w="5528"/>
      </w:tblGrid>
      <w:tr w:rsidR="00320333" w:rsidRPr="00260CE3" w:rsidTr="00980106">
        <w:trPr>
          <w:cantSplit/>
          <w:trHeight w:val="360"/>
        </w:trPr>
        <w:tc>
          <w:tcPr>
            <w:tcW w:w="2835" w:type="dxa"/>
            <w:tcBorders>
              <w:top w:val="single" w:sz="4" w:space="0" w:color="auto"/>
              <w:left w:val="single" w:sz="4" w:space="0" w:color="auto"/>
              <w:bottom w:val="single" w:sz="4" w:space="0" w:color="auto"/>
              <w:right w:val="single" w:sz="4" w:space="0" w:color="auto"/>
            </w:tcBorders>
          </w:tcPr>
          <w:p w:rsidR="00320333" w:rsidRPr="00260CE3" w:rsidRDefault="00320333" w:rsidP="00323E7A">
            <w:pPr>
              <w:widowControl/>
              <w:rPr>
                <w:rFonts w:ascii="Arial Narrow" w:hAnsi="Arial Narrow"/>
                <w:b/>
                <w:sz w:val="20"/>
                <w:szCs w:val="20"/>
              </w:rPr>
            </w:pPr>
            <w:r w:rsidRPr="00260CE3">
              <w:rPr>
                <w:rFonts w:ascii="Arial Narrow" w:hAnsi="Arial Narrow"/>
                <w:b/>
                <w:sz w:val="20"/>
                <w:szCs w:val="20"/>
              </w:rPr>
              <w:t>Category / Program</w:t>
            </w:r>
          </w:p>
        </w:tc>
        <w:tc>
          <w:tcPr>
            <w:tcW w:w="5528" w:type="dxa"/>
            <w:tcBorders>
              <w:top w:val="single" w:sz="4" w:space="0" w:color="auto"/>
              <w:left w:val="single" w:sz="4" w:space="0" w:color="auto"/>
              <w:bottom w:val="single" w:sz="4" w:space="0" w:color="auto"/>
              <w:right w:val="single" w:sz="4" w:space="0" w:color="auto"/>
            </w:tcBorders>
          </w:tcPr>
          <w:p w:rsidR="00320333" w:rsidRPr="00260CE3" w:rsidRDefault="00320333" w:rsidP="00323E7A">
            <w:pPr>
              <w:widowControl/>
              <w:rPr>
                <w:rFonts w:ascii="Arial Narrow" w:hAnsi="Arial Narrow"/>
                <w:sz w:val="20"/>
                <w:szCs w:val="20"/>
              </w:rPr>
            </w:pPr>
            <w:r w:rsidRPr="00260CE3">
              <w:rPr>
                <w:rFonts w:ascii="Arial Narrow" w:hAnsi="Arial Narrow"/>
                <w:sz w:val="20"/>
                <w:szCs w:val="20"/>
              </w:rPr>
              <w:t xml:space="preserve">Section 100 – </w:t>
            </w:r>
            <w:r>
              <w:rPr>
                <w:rFonts w:ascii="Arial Narrow" w:hAnsi="Arial Narrow"/>
                <w:sz w:val="20"/>
                <w:szCs w:val="20"/>
              </w:rPr>
              <w:t xml:space="preserve">Efficient Funding of </w:t>
            </w:r>
            <w:r w:rsidRPr="00260CE3">
              <w:rPr>
                <w:rFonts w:ascii="Arial Narrow" w:hAnsi="Arial Narrow"/>
                <w:sz w:val="20"/>
                <w:szCs w:val="20"/>
              </w:rPr>
              <w:t>Chemotherapy</w:t>
            </w:r>
          </w:p>
        </w:tc>
      </w:tr>
      <w:tr w:rsidR="00320333" w:rsidRPr="00260CE3" w:rsidTr="00980106">
        <w:trPr>
          <w:cantSplit/>
          <w:trHeight w:val="360"/>
        </w:trPr>
        <w:tc>
          <w:tcPr>
            <w:tcW w:w="2835" w:type="dxa"/>
            <w:tcBorders>
              <w:top w:val="single" w:sz="4" w:space="0" w:color="auto"/>
              <w:left w:val="single" w:sz="4" w:space="0" w:color="auto"/>
              <w:bottom w:val="single" w:sz="4" w:space="0" w:color="auto"/>
              <w:right w:val="single" w:sz="4" w:space="0" w:color="auto"/>
            </w:tcBorders>
          </w:tcPr>
          <w:p w:rsidR="00320333" w:rsidRPr="00260CE3" w:rsidRDefault="00320333" w:rsidP="00323E7A">
            <w:pPr>
              <w:widowControl/>
              <w:rPr>
                <w:rFonts w:ascii="Arial Narrow" w:hAnsi="Arial Narrow"/>
                <w:b/>
                <w:sz w:val="20"/>
                <w:szCs w:val="20"/>
              </w:rPr>
            </w:pPr>
            <w:r w:rsidRPr="00260CE3">
              <w:rPr>
                <w:rFonts w:ascii="Arial Narrow" w:hAnsi="Arial Narrow"/>
                <w:b/>
                <w:sz w:val="20"/>
                <w:szCs w:val="20"/>
              </w:rPr>
              <w:t>Prescriber type:</w:t>
            </w:r>
          </w:p>
        </w:tc>
        <w:tc>
          <w:tcPr>
            <w:tcW w:w="5528" w:type="dxa"/>
            <w:tcBorders>
              <w:top w:val="single" w:sz="4" w:space="0" w:color="auto"/>
              <w:left w:val="single" w:sz="4" w:space="0" w:color="auto"/>
              <w:bottom w:val="single" w:sz="4" w:space="0" w:color="auto"/>
              <w:right w:val="single" w:sz="4" w:space="0" w:color="auto"/>
            </w:tcBorders>
          </w:tcPr>
          <w:p w:rsidR="00320333" w:rsidRPr="00260CE3" w:rsidRDefault="006E129E" w:rsidP="00323E7A">
            <w:pPr>
              <w:widowControl/>
              <w:rPr>
                <w:rFonts w:ascii="Arial Narrow" w:hAnsi="Arial Narrow"/>
                <w:sz w:val="20"/>
                <w:szCs w:val="20"/>
              </w:rPr>
            </w:pPr>
            <w:r w:rsidRPr="00260CE3">
              <w:rPr>
                <w:rFonts w:ascii="Arial Narrow" w:hAnsi="Arial Narrow"/>
                <w:sz w:val="20"/>
                <w:szCs w:val="20"/>
              </w:rPr>
              <w:fldChar w:fldCharType="begin">
                <w:ffData>
                  <w:name w:val="Check1"/>
                  <w:enabled/>
                  <w:calcOnExit w:val="0"/>
                  <w:checkBox>
                    <w:sizeAuto/>
                    <w:default w:val="0"/>
                  </w:checkBox>
                </w:ffData>
              </w:fldChar>
            </w:r>
            <w:r w:rsidR="00320333" w:rsidRPr="00260CE3">
              <w:rPr>
                <w:rFonts w:ascii="Arial Narrow" w:hAnsi="Arial Narrow"/>
                <w:sz w:val="20"/>
                <w:szCs w:val="20"/>
              </w:rPr>
              <w:instrText xml:space="preserve"> FORMCHECKBOX </w:instrText>
            </w:r>
            <w:r w:rsidR="006E43DE">
              <w:rPr>
                <w:rFonts w:ascii="Arial Narrow" w:hAnsi="Arial Narrow"/>
                <w:sz w:val="20"/>
                <w:szCs w:val="20"/>
              </w:rPr>
            </w:r>
            <w:r w:rsidR="006E43DE">
              <w:rPr>
                <w:rFonts w:ascii="Arial Narrow" w:hAnsi="Arial Narrow"/>
                <w:sz w:val="20"/>
                <w:szCs w:val="20"/>
              </w:rPr>
              <w:fldChar w:fldCharType="separate"/>
            </w:r>
            <w:r w:rsidRPr="00260CE3">
              <w:rPr>
                <w:rFonts w:ascii="Arial Narrow" w:hAnsi="Arial Narrow"/>
                <w:sz w:val="20"/>
                <w:szCs w:val="20"/>
              </w:rPr>
              <w:fldChar w:fldCharType="end"/>
            </w:r>
            <w:r w:rsidR="00320333" w:rsidRPr="00260CE3">
              <w:rPr>
                <w:rFonts w:ascii="Arial Narrow" w:hAnsi="Arial Narrow"/>
                <w:sz w:val="20"/>
                <w:szCs w:val="20"/>
              </w:rPr>
              <w:t xml:space="preserve">Dental  </w:t>
            </w:r>
            <w:r>
              <w:rPr>
                <w:rFonts w:ascii="Arial Narrow" w:hAnsi="Arial Narrow"/>
                <w:sz w:val="20"/>
                <w:szCs w:val="20"/>
              </w:rPr>
              <w:fldChar w:fldCharType="begin">
                <w:ffData>
                  <w:name w:val=""/>
                  <w:enabled/>
                  <w:calcOnExit w:val="0"/>
                  <w:checkBox>
                    <w:sizeAuto/>
                    <w:default w:val="1"/>
                  </w:checkBox>
                </w:ffData>
              </w:fldChar>
            </w:r>
            <w:r w:rsidR="00320333">
              <w:rPr>
                <w:rFonts w:ascii="Arial Narrow" w:hAnsi="Arial Narrow"/>
                <w:sz w:val="20"/>
                <w:szCs w:val="20"/>
              </w:rPr>
              <w:instrText xml:space="preserve"> FORMCHECKBOX </w:instrText>
            </w:r>
            <w:r w:rsidR="006E43DE">
              <w:rPr>
                <w:rFonts w:ascii="Arial Narrow" w:hAnsi="Arial Narrow"/>
                <w:sz w:val="20"/>
                <w:szCs w:val="20"/>
              </w:rPr>
            </w:r>
            <w:r w:rsidR="006E43DE">
              <w:rPr>
                <w:rFonts w:ascii="Arial Narrow" w:hAnsi="Arial Narrow"/>
                <w:sz w:val="20"/>
                <w:szCs w:val="20"/>
              </w:rPr>
              <w:fldChar w:fldCharType="separate"/>
            </w:r>
            <w:r>
              <w:rPr>
                <w:rFonts w:ascii="Arial Narrow" w:hAnsi="Arial Narrow"/>
                <w:sz w:val="20"/>
                <w:szCs w:val="20"/>
              </w:rPr>
              <w:fldChar w:fldCharType="end"/>
            </w:r>
            <w:r w:rsidR="00320333" w:rsidRPr="00260CE3">
              <w:rPr>
                <w:rFonts w:ascii="Arial Narrow" w:hAnsi="Arial Narrow"/>
                <w:sz w:val="20"/>
                <w:szCs w:val="20"/>
              </w:rPr>
              <w:t xml:space="preserve">Medical Practitioners  </w:t>
            </w:r>
            <w:r w:rsidRPr="00260CE3">
              <w:rPr>
                <w:rFonts w:ascii="Arial Narrow" w:hAnsi="Arial Narrow"/>
                <w:sz w:val="20"/>
                <w:szCs w:val="20"/>
              </w:rPr>
              <w:fldChar w:fldCharType="begin">
                <w:ffData>
                  <w:name w:val="Check3"/>
                  <w:enabled/>
                  <w:calcOnExit w:val="0"/>
                  <w:checkBox>
                    <w:sizeAuto/>
                    <w:default w:val="0"/>
                  </w:checkBox>
                </w:ffData>
              </w:fldChar>
            </w:r>
            <w:r w:rsidR="00320333" w:rsidRPr="00260CE3">
              <w:rPr>
                <w:rFonts w:ascii="Arial Narrow" w:hAnsi="Arial Narrow"/>
                <w:sz w:val="20"/>
                <w:szCs w:val="20"/>
              </w:rPr>
              <w:instrText xml:space="preserve"> FORMCHECKBOX </w:instrText>
            </w:r>
            <w:r w:rsidR="006E43DE">
              <w:rPr>
                <w:rFonts w:ascii="Arial Narrow" w:hAnsi="Arial Narrow"/>
                <w:sz w:val="20"/>
                <w:szCs w:val="20"/>
              </w:rPr>
            </w:r>
            <w:r w:rsidR="006E43DE">
              <w:rPr>
                <w:rFonts w:ascii="Arial Narrow" w:hAnsi="Arial Narrow"/>
                <w:sz w:val="20"/>
                <w:szCs w:val="20"/>
              </w:rPr>
              <w:fldChar w:fldCharType="separate"/>
            </w:r>
            <w:r w:rsidRPr="00260CE3">
              <w:rPr>
                <w:rFonts w:ascii="Arial Narrow" w:hAnsi="Arial Narrow"/>
                <w:sz w:val="20"/>
                <w:szCs w:val="20"/>
              </w:rPr>
              <w:fldChar w:fldCharType="end"/>
            </w:r>
            <w:r w:rsidR="00320333" w:rsidRPr="00260CE3">
              <w:rPr>
                <w:rFonts w:ascii="Arial Narrow" w:hAnsi="Arial Narrow"/>
                <w:sz w:val="20"/>
                <w:szCs w:val="20"/>
              </w:rPr>
              <w:t xml:space="preserve">Nurse practitioners  </w:t>
            </w:r>
            <w:r w:rsidRPr="00260CE3">
              <w:rPr>
                <w:rFonts w:ascii="Arial Narrow" w:hAnsi="Arial Narrow"/>
                <w:sz w:val="20"/>
                <w:szCs w:val="20"/>
              </w:rPr>
              <w:fldChar w:fldCharType="begin">
                <w:ffData>
                  <w:name w:val=""/>
                  <w:enabled/>
                  <w:calcOnExit w:val="0"/>
                  <w:checkBox>
                    <w:sizeAuto/>
                    <w:default w:val="0"/>
                  </w:checkBox>
                </w:ffData>
              </w:fldChar>
            </w:r>
            <w:r w:rsidR="00320333" w:rsidRPr="00260CE3">
              <w:rPr>
                <w:rFonts w:ascii="Arial Narrow" w:hAnsi="Arial Narrow"/>
                <w:sz w:val="20"/>
                <w:szCs w:val="20"/>
              </w:rPr>
              <w:instrText xml:space="preserve"> FORMCHECKBOX </w:instrText>
            </w:r>
            <w:r w:rsidR="006E43DE">
              <w:rPr>
                <w:rFonts w:ascii="Arial Narrow" w:hAnsi="Arial Narrow"/>
                <w:sz w:val="20"/>
                <w:szCs w:val="20"/>
              </w:rPr>
            </w:r>
            <w:r w:rsidR="006E43DE">
              <w:rPr>
                <w:rFonts w:ascii="Arial Narrow" w:hAnsi="Arial Narrow"/>
                <w:sz w:val="20"/>
                <w:szCs w:val="20"/>
              </w:rPr>
              <w:fldChar w:fldCharType="separate"/>
            </w:r>
            <w:r w:rsidRPr="00260CE3">
              <w:rPr>
                <w:rFonts w:ascii="Arial Narrow" w:hAnsi="Arial Narrow"/>
                <w:sz w:val="20"/>
                <w:szCs w:val="20"/>
              </w:rPr>
              <w:fldChar w:fldCharType="end"/>
            </w:r>
            <w:r w:rsidR="00320333" w:rsidRPr="00260CE3">
              <w:rPr>
                <w:rFonts w:ascii="Arial Narrow" w:hAnsi="Arial Narrow"/>
                <w:sz w:val="20"/>
                <w:szCs w:val="20"/>
              </w:rPr>
              <w:t>Optometrists</w:t>
            </w:r>
            <w:r w:rsidR="0043765A">
              <w:rPr>
                <w:rFonts w:ascii="Arial Narrow" w:hAnsi="Arial Narrow"/>
                <w:sz w:val="20"/>
                <w:szCs w:val="20"/>
              </w:rPr>
              <w:t xml:space="preserve">  </w:t>
            </w:r>
            <w:r w:rsidRPr="00260CE3">
              <w:rPr>
                <w:rFonts w:ascii="Arial Narrow" w:hAnsi="Arial Narrow"/>
                <w:sz w:val="20"/>
                <w:szCs w:val="20"/>
              </w:rPr>
              <w:fldChar w:fldCharType="begin">
                <w:ffData>
                  <w:name w:val="Check5"/>
                  <w:enabled/>
                  <w:calcOnExit w:val="0"/>
                  <w:checkBox>
                    <w:sizeAuto/>
                    <w:default w:val="0"/>
                  </w:checkBox>
                </w:ffData>
              </w:fldChar>
            </w:r>
            <w:r w:rsidR="00320333" w:rsidRPr="00260CE3">
              <w:rPr>
                <w:rFonts w:ascii="Arial Narrow" w:hAnsi="Arial Narrow"/>
                <w:sz w:val="20"/>
                <w:szCs w:val="20"/>
              </w:rPr>
              <w:instrText xml:space="preserve"> FORMCHECKBOX </w:instrText>
            </w:r>
            <w:r w:rsidR="006E43DE">
              <w:rPr>
                <w:rFonts w:ascii="Arial Narrow" w:hAnsi="Arial Narrow"/>
                <w:sz w:val="20"/>
                <w:szCs w:val="20"/>
              </w:rPr>
            </w:r>
            <w:r w:rsidR="006E43DE">
              <w:rPr>
                <w:rFonts w:ascii="Arial Narrow" w:hAnsi="Arial Narrow"/>
                <w:sz w:val="20"/>
                <w:szCs w:val="20"/>
              </w:rPr>
              <w:fldChar w:fldCharType="separate"/>
            </w:r>
            <w:r w:rsidRPr="00260CE3">
              <w:rPr>
                <w:rFonts w:ascii="Arial Narrow" w:hAnsi="Arial Narrow"/>
                <w:sz w:val="20"/>
                <w:szCs w:val="20"/>
              </w:rPr>
              <w:fldChar w:fldCharType="end"/>
            </w:r>
            <w:r w:rsidR="00320333" w:rsidRPr="00260CE3">
              <w:rPr>
                <w:rFonts w:ascii="Arial Narrow" w:hAnsi="Arial Narrow"/>
                <w:sz w:val="20"/>
                <w:szCs w:val="20"/>
              </w:rPr>
              <w:t>Midwives</w:t>
            </w:r>
          </w:p>
        </w:tc>
      </w:tr>
      <w:tr w:rsidR="00320333" w:rsidRPr="00260CE3" w:rsidTr="00980106">
        <w:trPr>
          <w:cantSplit/>
          <w:trHeight w:val="360"/>
        </w:trPr>
        <w:tc>
          <w:tcPr>
            <w:tcW w:w="2835" w:type="dxa"/>
            <w:tcBorders>
              <w:top w:val="single" w:sz="4" w:space="0" w:color="auto"/>
              <w:left w:val="single" w:sz="4" w:space="0" w:color="auto"/>
              <w:bottom w:val="single" w:sz="4" w:space="0" w:color="auto"/>
              <w:right w:val="single" w:sz="4" w:space="0" w:color="auto"/>
            </w:tcBorders>
          </w:tcPr>
          <w:p w:rsidR="00320333" w:rsidRPr="00260CE3" w:rsidRDefault="00320333" w:rsidP="00323E7A">
            <w:pPr>
              <w:widowControl/>
              <w:rPr>
                <w:rFonts w:ascii="Arial Narrow" w:hAnsi="Arial Narrow"/>
                <w:b/>
                <w:sz w:val="20"/>
                <w:szCs w:val="20"/>
              </w:rPr>
            </w:pPr>
            <w:r w:rsidRPr="00260CE3">
              <w:rPr>
                <w:rFonts w:ascii="Arial Narrow" w:hAnsi="Arial Narrow"/>
                <w:b/>
                <w:sz w:val="20"/>
                <w:szCs w:val="20"/>
              </w:rPr>
              <w:t>Episodicity:</w:t>
            </w:r>
          </w:p>
        </w:tc>
        <w:tc>
          <w:tcPr>
            <w:tcW w:w="5528" w:type="dxa"/>
            <w:tcBorders>
              <w:top w:val="single" w:sz="4" w:space="0" w:color="auto"/>
              <w:left w:val="single" w:sz="4" w:space="0" w:color="auto"/>
              <w:bottom w:val="single" w:sz="4" w:space="0" w:color="auto"/>
              <w:right w:val="single" w:sz="4" w:space="0" w:color="auto"/>
            </w:tcBorders>
          </w:tcPr>
          <w:p w:rsidR="00320333" w:rsidRPr="00260CE3" w:rsidRDefault="00320333" w:rsidP="00323E7A">
            <w:pPr>
              <w:widowControl/>
              <w:rPr>
                <w:rFonts w:ascii="Arial Narrow" w:hAnsi="Arial Narrow"/>
                <w:sz w:val="20"/>
                <w:szCs w:val="20"/>
              </w:rPr>
            </w:pPr>
            <w:r>
              <w:rPr>
                <w:rFonts w:ascii="Arial Narrow" w:hAnsi="Arial Narrow"/>
                <w:sz w:val="20"/>
                <w:szCs w:val="20"/>
              </w:rPr>
              <w:t>-</w:t>
            </w:r>
          </w:p>
        </w:tc>
      </w:tr>
      <w:tr w:rsidR="00320333" w:rsidRPr="00260CE3" w:rsidTr="00980106">
        <w:trPr>
          <w:cantSplit/>
          <w:trHeight w:val="360"/>
        </w:trPr>
        <w:tc>
          <w:tcPr>
            <w:tcW w:w="2835" w:type="dxa"/>
            <w:tcBorders>
              <w:top w:val="single" w:sz="4" w:space="0" w:color="auto"/>
              <w:left w:val="single" w:sz="4" w:space="0" w:color="auto"/>
              <w:bottom w:val="single" w:sz="4" w:space="0" w:color="auto"/>
              <w:right w:val="single" w:sz="4" w:space="0" w:color="auto"/>
            </w:tcBorders>
          </w:tcPr>
          <w:p w:rsidR="00320333" w:rsidRPr="00260CE3" w:rsidRDefault="00320333" w:rsidP="00323E7A">
            <w:pPr>
              <w:widowControl/>
              <w:rPr>
                <w:rFonts w:ascii="Arial Narrow" w:hAnsi="Arial Narrow"/>
                <w:b/>
                <w:sz w:val="20"/>
                <w:szCs w:val="20"/>
              </w:rPr>
            </w:pPr>
            <w:r w:rsidRPr="00260CE3">
              <w:rPr>
                <w:rFonts w:ascii="Arial Narrow" w:hAnsi="Arial Narrow"/>
                <w:b/>
                <w:sz w:val="20"/>
                <w:szCs w:val="20"/>
              </w:rPr>
              <w:t>Severity:</w:t>
            </w:r>
          </w:p>
        </w:tc>
        <w:tc>
          <w:tcPr>
            <w:tcW w:w="5528" w:type="dxa"/>
            <w:tcBorders>
              <w:top w:val="single" w:sz="4" w:space="0" w:color="auto"/>
              <w:left w:val="single" w:sz="4" w:space="0" w:color="auto"/>
              <w:bottom w:val="single" w:sz="4" w:space="0" w:color="auto"/>
              <w:right w:val="single" w:sz="4" w:space="0" w:color="auto"/>
            </w:tcBorders>
          </w:tcPr>
          <w:p w:rsidR="00320333" w:rsidRPr="00260CE3" w:rsidRDefault="00320333" w:rsidP="00323E7A">
            <w:pPr>
              <w:widowControl/>
              <w:rPr>
                <w:rFonts w:ascii="Arial Narrow" w:hAnsi="Arial Narrow"/>
                <w:sz w:val="20"/>
                <w:szCs w:val="20"/>
              </w:rPr>
            </w:pPr>
            <w:r>
              <w:rPr>
                <w:rFonts w:ascii="Arial Narrow" w:hAnsi="Arial Narrow"/>
                <w:sz w:val="20"/>
                <w:szCs w:val="20"/>
              </w:rPr>
              <w:t>Unresectable Stage III or Stage IV</w:t>
            </w:r>
          </w:p>
        </w:tc>
      </w:tr>
      <w:tr w:rsidR="00320333" w:rsidRPr="00260CE3" w:rsidTr="00980106">
        <w:trPr>
          <w:cantSplit/>
          <w:trHeight w:val="360"/>
        </w:trPr>
        <w:tc>
          <w:tcPr>
            <w:tcW w:w="2835" w:type="dxa"/>
            <w:tcBorders>
              <w:top w:val="single" w:sz="4" w:space="0" w:color="auto"/>
              <w:left w:val="single" w:sz="4" w:space="0" w:color="auto"/>
              <w:bottom w:val="single" w:sz="4" w:space="0" w:color="auto"/>
              <w:right w:val="single" w:sz="4" w:space="0" w:color="auto"/>
            </w:tcBorders>
          </w:tcPr>
          <w:p w:rsidR="00320333" w:rsidRPr="00260CE3" w:rsidRDefault="00320333" w:rsidP="00323E7A">
            <w:pPr>
              <w:widowControl/>
              <w:rPr>
                <w:rFonts w:ascii="Arial Narrow" w:hAnsi="Arial Narrow"/>
                <w:b/>
                <w:sz w:val="20"/>
                <w:szCs w:val="20"/>
              </w:rPr>
            </w:pPr>
            <w:r w:rsidRPr="00260CE3">
              <w:rPr>
                <w:rFonts w:ascii="Arial Narrow" w:hAnsi="Arial Narrow"/>
                <w:b/>
                <w:sz w:val="20"/>
                <w:szCs w:val="20"/>
              </w:rPr>
              <w:t>Condition:</w:t>
            </w:r>
          </w:p>
        </w:tc>
        <w:tc>
          <w:tcPr>
            <w:tcW w:w="5528" w:type="dxa"/>
            <w:tcBorders>
              <w:top w:val="single" w:sz="4" w:space="0" w:color="auto"/>
              <w:left w:val="single" w:sz="4" w:space="0" w:color="auto"/>
              <w:bottom w:val="single" w:sz="4" w:space="0" w:color="auto"/>
              <w:right w:val="single" w:sz="4" w:space="0" w:color="auto"/>
            </w:tcBorders>
          </w:tcPr>
          <w:p w:rsidR="00320333" w:rsidRPr="00260CE3" w:rsidRDefault="00320333" w:rsidP="00323E7A">
            <w:pPr>
              <w:widowControl/>
              <w:rPr>
                <w:rFonts w:ascii="Arial Narrow" w:hAnsi="Arial Narrow"/>
                <w:sz w:val="20"/>
                <w:szCs w:val="20"/>
              </w:rPr>
            </w:pPr>
            <w:r>
              <w:rPr>
                <w:rFonts w:ascii="Arial Narrow" w:hAnsi="Arial Narrow"/>
                <w:sz w:val="20"/>
                <w:szCs w:val="20"/>
              </w:rPr>
              <w:t>Malignant melanoma</w:t>
            </w:r>
          </w:p>
        </w:tc>
      </w:tr>
      <w:tr w:rsidR="00320333" w:rsidRPr="00260CE3" w:rsidTr="00980106">
        <w:trPr>
          <w:cantSplit/>
          <w:trHeight w:val="360"/>
        </w:trPr>
        <w:tc>
          <w:tcPr>
            <w:tcW w:w="2835" w:type="dxa"/>
            <w:tcBorders>
              <w:top w:val="single" w:sz="4" w:space="0" w:color="auto"/>
              <w:left w:val="single" w:sz="4" w:space="0" w:color="auto"/>
              <w:bottom w:val="single" w:sz="4" w:space="0" w:color="auto"/>
              <w:right w:val="single" w:sz="4" w:space="0" w:color="auto"/>
            </w:tcBorders>
          </w:tcPr>
          <w:p w:rsidR="00320333" w:rsidRPr="00260CE3" w:rsidRDefault="00320333" w:rsidP="00323E7A">
            <w:pPr>
              <w:widowControl/>
              <w:rPr>
                <w:rFonts w:ascii="Arial Narrow" w:hAnsi="Arial Narrow"/>
                <w:b/>
                <w:sz w:val="20"/>
                <w:szCs w:val="20"/>
              </w:rPr>
            </w:pPr>
            <w:r w:rsidRPr="00260CE3">
              <w:rPr>
                <w:rFonts w:ascii="Arial Narrow" w:hAnsi="Arial Narrow"/>
                <w:b/>
                <w:sz w:val="20"/>
                <w:szCs w:val="20"/>
              </w:rPr>
              <w:t>PBS Indication:</w:t>
            </w:r>
          </w:p>
        </w:tc>
        <w:tc>
          <w:tcPr>
            <w:tcW w:w="5528" w:type="dxa"/>
            <w:tcBorders>
              <w:top w:val="single" w:sz="4" w:space="0" w:color="auto"/>
              <w:left w:val="single" w:sz="4" w:space="0" w:color="auto"/>
              <w:bottom w:val="single" w:sz="4" w:space="0" w:color="auto"/>
              <w:right w:val="single" w:sz="4" w:space="0" w:color="auto"/>
            </w:tcBorders>
          </w:tcPr>
          <w:p w:rsidR="00320333" w:rsidRPr="00260CE3" w:rsidRDefault="00320333" w:rsidP="00323E7A">
            <w:pPr>
              <w:widowControl/>
              <w:rPr>
                <w:rFonts w:ascii="Arial Narrow" w:hAnsi="Arial Narrow"/>
                <w:sz w:val="20"/>
                <w:szCs w:val="20"/>
              </w:rPr>
            </w:pPr>
            <w:r>
              <w:rPr>
                <w:rFonts w:ascii="Arial Narrow" w:hAnsi="Arial Narrow"/>
                <w:sz w:val="20"/>
                <w:szCs w:val="20"/>
              </w:rPr>
              <w:t>Unresectable Stage III or Stage IV malignant melanoma</w:t>
            </w:r>
          </w:p>
        </w:tc>
      </w:tr>
      <w:tr w:rsidR="00320333" w:rsidRPr="00260CE3" w:rsidTr="00980106">
        <w:trPr>
          <w:cantSplit/>
          <w:trHeight w:val="360"/>
        </w:trPr>
        <w:tc>
          <w:tcPr>
            <w:tcW w:w="2835" w:type="dxa"/>
            <w:tcBorders>
              <w:top w:val="single" w:sz="4" w:space="0" w:color="auto"/>
              <w:left w:val="single" w:sz="4" w:space="0" w:color="auto"/>
              <w:bottom w:val="single" w:sz="4" w:space="0" w:color="auto"/>
              <w:right w:val="single" w:sz="4" w:space="0" w:color="auto"/>
            </w:tcBorders>
          </w:tcPr>
          <w:p w:rsidR="00320333" w:rsidRPr="00C0121C" w:rsidRDefault="00320333" w:rsidP="00323E7A">
            <w:pPr>
              <w:widowControl/>
              <w:rPr>
                <w:rFonts w:ascii="Arial Narrow" w:hAnsi="Arial Narrow"/>
                <w:b/>
                <w:sz w:val="20"/>
                <w:szCs w:val="20"/>
              </w:rPr>
            </w:pPr>
            <w:r w:rsidRPr="00260CE3">
              <w:rPr>
                <w:rFonts w:ascii="Arial Narrow" w:hAnsi="Arial Narrow"/>
                <w:b/>
                <w:sz w:val="20"/>
                <w:szCs w:val="20"/>
              </w:rPr>
              <w:t>Treatment phase:</w:t>
            </w:r>
          </w:p>
        </w:tc>
        <w:tc>
          <w:tcPr>
            <w:tcW w:w="5528" w:type="dxa"/>
            <w:tcBorders>
              <w:top w:val="single" w:sz="4" w:space="0" w:color="auto"/>
              <w:left w:val="single" w:sz="4" w:space="0" w:color="auto"/>
              <w:bottom w:val="single" w:sz="4" w:space="0" w:color="auto"/>
              <w:right w:val="single" w:sz="4" w:space="0" w:color="auto"/>
            </w:tcBorders>
          </w:tcPr>
          <w:p w:rsidR="00320333" w:rsidRPr="00260CE3" w:rsidRDefault="00320333" w:rsidP="00323E7A">
            <w:pPr>
              <w:widowControl/>
              <w:rPr>
                <w:rFonts w:ascii="Arial Narrow" w:hAnsi="Arial Narrow"/>
                <w:sz w:val="20"/>
                <w:szCs w:val="20"/>
              </w:rPr>
            </w:pPr>
            <w:r>
              <w:rPr>
                <w:rFonts w:ascii="Arial Narrow" w:hAnsi="Arial Narrow"/>
                <w:sz w:val="20"/>
                <w:szCs w:val="20"/>
              </w:rPr>
              <w:t>Initial</w:t>
            </w:r>
          </w:p>
        </w:tc>
      </w:tr>
      <w:tr w:rsidR="00320333" w:rsidRPr="00260CE3" w:rsidTr="00980106">
        <w:trPr>
          <w:cantSplit/>
          <w:trHeight w:val="360"/>
        </w:trPr>
        <w:tc>
          <w:tcPr>
            <w:tcW w:w="2835" w:type="dxa"/>
            <w:tcBorders>
              <w:top w:val="single" w:sz="4" w:space="0" w:color="auto"/>
              <w:left w:val="single" w:sz="4" w:space="0" w:color="auto"/>
              <w:bottom w:val="single" w:sz="4" w:space="0" w:color="auto"/>
              <w:right w:val="single" w:sz="4" w:space="0" w:color="auto"/>
            </w:tcBorders>
          </w:tcPr>
          <w:p w:rsidR="00320333" w:rsidRPr="00C0121C" w:rsidRDefault="00320333" w:rsidP="00323E7A">
            <w:pPr>
              <w:widowControl/>
              <w:rPr>
                <w:rFonts w:ascii="Arial Narrow" w:hAnsi="Arial Narrow"/>
                <w:b/>
                <w:sz w:val="20"/>
                <w:szCs w:val="20"/>
              </w:rPr>
            </w:pPr>
            <w:r w:rsidRPr="00260CE3">
              <w:rPr>
                <w:rFonts w:ascii="Arial Narrow" w:hAnsi="Arial Narrow"/>
                <w:b/>
                <w:sz w:val="20"/>
                <w:szCs w:val="20"/>
              </w:rPr>
              <w:t>Restriction</w:t>
            </w:r>
            <w:r>
              <w:rPr>
                <w:rFonts w:ascii="Arial Narrow" w:hAnsi="Arial Narrow"/>
                <w:b/>
                <w:sz w:val="20"/>
                <w:szCs w:val="20"/>
              </w:rPr>
              <w:t xml:space="preserve"> Level / Method</w:t>
            </w:r>
            <w:r w:rsidRPr="00260CE3">
              <w:rPr>
                <w:rFonts w:ascii="Arial Narrow" w:hAnsi="Arial Narrow"/>
                <w:b/>
                <w:sz w:val="20"/>
                <w:szCs w:val="20"/>
              </w:rPr>
              <w:t>:</w:t>
            </w:r>
          </w:p>
        </w:tc>
        <w:tc>
          <w:tcPr>
            <w:tcW w:w="5528" w:type="dxa"/>
            <w:tcBorders>
              <w:top w:val="single" w:sz="4" w:space="0" w:color="auto"/>
              <w:left w:val="single" w:sz="4" w:space="0" w:color="auto"/>
              <w:bottom w:val="single" w:sz="4" w:space="0" w:color="auto"/>
              <w:right w:val="single" w:sz="4" w:space="0" w:color="auto"/>
            </w:tcBorders>
          </w:tcPr>
          <w:p w:rsidR="00320333" w:rsidRPr="00106BCF" w:rsidRDefault="006E129E" w:rsidP="00323E7A">
            <w:pPr>
              <w:widowControl/>
              <w:rPr>
                <w:rFonts w:ascii="Arial Narrow" w:hAnsi="Arial Narrow"/>
                <w:sz w:val="20"/>
                <w:szCs w:val="20"/>
              </w:rPr>
            </w:pPr>
            <w:r w:rsidRPr="00106BCF">
              <w:rPr>
                <w:rFonts w:ascii="Arial Narrow" w:hAnsi="Arial Narrow"/>
                <w:sz w:val="20"/>
                <w:szCs w:val="20"/>
              </w:rPr>
              <w:fldChar w:fldCharType="begin">
                <w:ffData>
                  <w:name w:val="Check1"/>
                  <w:enabled/>
                  <w:calcOnExit w:val="0"/>
                  <w:checkBox>
                    <w:sizeAuto/>
                    <w:default w:val="0"/>
                  </w:checkBox>
                </w:ffData>
              </w:fldChar>
            </w:r>
            <w:r w:rsidR="00320333" w:rsidRPr="00106BCF">
              <w:rPr>
                <w:rFonts w:ascii="Arial Narrow" w:hAnsi="Arial Narrow"/>
                <w:sz w:val="20"/>
                <w:szCs w:val="20"/>
              </w:rPr>
              <w:instrText xml:space="preserve"> FORMCHECKBOX </w:instrText>
            </w:r>
            <w:r w:rsidR="006E43DE">
              <w:rPr>
                <w:rFonts w:ascii="Arial Narrow" w:hAnsi="Arial Narrow"/>
                <w:sz w:val="20"/>
                <w:szCs w:val="20"/>
              </w:rPr>
            </w:r>
            <w:r w:rsidR="006E43DE">
              <w:rPr>
                <w:rFonts w:ascii="Arial Narrow" w:hAnsi="Arial Narrow"/>
                <w:sz w:val="20"/>
                <w:szCs w:val="20"/>
              </w:rPr>
              <w:fldChar w:fldCharType="separate"/>
            </w:r>
            <w:r w:rsidRPr="00106BCF">
              <w:rPr>
                <w:rFonts w:ascii="Arial Narrow" w:hAnsi="Arial Narrow"/>
                <w:sz w:val="20"/>
                <w:szCs w:val="20"/>
              </w:rPr>
              <w:fldChar w:fldCharType="end"/>
            </w:r>
            <w:r w:rsidR="00320333" w:rsidRPr="00106BCF">
              <w:rPr>
                <w:rFonts w:ascii="Arial Narrow" w:hAnsi="Arial Narrow"/>
                <w:sz w:val="20"/>
                <w:szCs w:val="20"/>
              </w:rPr>
              <w:t>Restricted benefit</w:t>
            </w:r>
          </w:p>
          <w:p w:rsidR="00320333" w:rsidRPr="00106BCF" w:rsidRDefault="006E129E" w:rsidP="00323E7A">
            <w:pPr>
              <w:widowControl/>
              <w:rPr>
                <w:rFonts w:ascii="Arial Narrow" w:hAnsi="Arial Narrow"/>
                <w:sz w:val="20"/>
                <w:szCs w:val="20"/>
              </w:rPr>
            </w:pPr>
            <w:r w:rsidRPr="00106BCF">
              <w:rPr>
                <w:rFonts w:ascii="Arial Narrow" w:hAnsi="Arial Narrow"/>
                <w:sz w:val="20"/>
                <w:szCs w:val="20"/>
              </w:rPr>
              <w:fldChar w:fldCharType="begin">
                <w:ffData>
                  <w:name w:val=""/>
                  <w:enabled/>
                  <w:calcOnExit w:val="0"/>
                  <w:checkBox>
                    <w:sizeAuto/>
                    <w:default w:val="0"/>
                  </w:checkBox>
                </w:ffData>
              </w:fldChar>
            </w:r>
            <w:r w:rsidR="00320333" w:rsidRPr="00106BCF">
              <w:rPr>
                <w:rFonts w:ascii="Arial Narrow" w:hAnsi="Arial Narrow"/>
                <w:sz w:val="20"/>
                <w:szCs w:val="20"/>
              </w:rPr>
              <w:instrText xml:space="preserve"> FORMCHECKBOX </w:instrText>
            </w:r>
            <w:r w:rsidR="006E43DE">
              <w:rPr>
                <w:rFonts w:ascii="Arial Narrow" w:hAnsi="Arial Narrow"/>
                <w:sz w:val="20"/>
                <w:szCs w:val="20"/>
              </w:rPr>
            </w:r>
            <w:r w:rsidR="006E43DE">
              <w:rPr>
                <w:rFonts w:ascii="Arial Narrow" w:hAnsi="Arial Narrow"/>
                <w:sz w:val="20"/>
                <w:szCs w:val="20"/>
              </w:rPr>
              <w:fldChar w:fldCharType="separate"/>
            </w:r>
            <w:r w:rsidRPr="00106BCF">
              <w:rPr>
                <w:rFonts w:ascii="Arial Narrow" w:hAnsi="Arial Narrow"/>
                <w:sz w:val="20"/>
                <w:szCs w:val="20"/>
              </w:rPr>
              <w:fldChar w:fldCharType="end"/>
            </w:r>
            <w:r w:rsidR="00320333" w:rsidRPr="00106BCF">
              <w:rPr>
                <w:rFonts w:ascii="Arial Narrow" w:hAnsi="Arial Narrow"/>
                <w:sz w:val="20"/>
                <w:szCs w:val="20"/>
              </w:rPr>
              <w:t>Authority Required - In Writing</w:t>
            </w:r>
          </w:p>
          <w:p w:rsidR="00320333" w:rsidRPr="00106BCF" w:rsidRDefault="006E129E" w:rsidP="00323E7A">
            <w:pPr>
              <w:widowControl/>
              <w:rPr>
                <w:rFonts w:ascii="Arial Narrow" w:hAnsi="Arial Narrow"/>
                <w:sz w:val="20"/>
                <w:szCs w:val="20"/>
              </w:rPr>
            </w:pPr>
            <w:r w:rsidRPr="00106BCF">
              <w:rPr>
                <w:rFonts w:ascii="Arial Narrow" w:hAnsi="Arial Narrow"/>
                <w:sz w:val="20"/>
                <w:szCs w:val="20"/>
              </w:rPr>
              <w:fldChar w:fldCharType="begin">
                <w:ffData>
                  <w:name w:val="Check3"/>
                  <w:enabled/>
                  <w:calcOnExit w:val="0"/>
                  <w:checkBox>
                    <w:sizeAuto/>
                    <w:default w:val="0"/>
                  </w:checkBox>
                </w:ffData>
              </w:fldChar>
            </w:r>
            <w:r w:rsidR="00320333" w:rsidRPr="00106BCF">
              <w:rPr>
                <w:rFonts w:ascii="Arial Narrow" w:hAnsi="Arial Narrow"/>
                <w:sz w:val="20"/>
                <w:szCs w:val="20"/>
              </w:rPr>
              <w:instrText xml:space="preserve"> FORMCHECKBOX </w:instrText>
            </w:r>
            <w:r w:rsidR="006E43DE">
              <w:rPr>
                <w:rFonts w:ascii="Arial Narrow" w:hAnsi="Arial Narrow"/>
                <w:sz w:val="20"/>
                <w:szCs w:val="20"/>
              </w:rPr>
            </w:r>
            <w:r w:rsidR="006E43DE">
              <w:rPr>
                <w:rFonts w:ascii="Arial Narrow" w:hAnsi="Arial Narrow"/>
                <w:sz w:val="20"/>
                <w:szCs w:val="20"/>
              </w:rPr>
              <w:fldChar w:fldCharType="separate"/>
            </w:r>
            <w:r w:rsidRPr="00106BCF">
              <w:rPr>
                <w:rFonts w:ascii="Arial Narrow" w:hAnsi="Arial Narrow"/>
                <w:sz w:val="20"/>
                <w:szCs w:val="20"/>
              </w:rPr>
              <w:fldChar w:fldCharType="end"/>
            </w:r>
            <w:r w:rsidR="00320333" w:rsidRPr="00106BCF">
              <w:rPr>
                <w:rFonts w:ascii="Arial Narrow" w:hAnsi="Arial Narrow"/>
                <w:sz w:val="20"/>
                <w:szCs w:val="20"/>
              </w:rPr>
              <w:t>Authority Required - Telephone</w:t>
            </w:r>
          </w:p>
          <w:p w:rsidR="00320333" w:rsidRPr="00106BCF" w:rsidRDefault="006E129E" w:rsidP="00323E7A">
            <w:pPr>
              <w:widowControl/>
              <w:rPr>
                <w:rFonts w:ascii="Arial Narrow" w:hAnsi="Arial Narrow"/>
                <w:sz w:val="20"/>
                <w:szCs w:val="20"/>
              </w:rPr>
            </w:pPr>
            <w:r w:rsidRPr="00106BCF">
              <w:rPr>
                <w:rFonts w:ascii="Arial Narrow" w:hAnsi="Arial Narrow"/>
                <w:sz w:val="20"/>
                <w:szCs w:val="20"/>
              </w:rPr>
              <w:fldChar w:fldCharType="begin">
                <w:ffData>
                  <w:name w:val=""/>
                  <w:enabled/>
                  <w:calcOnExit w:val="0"/>
                  <w:checkBox>
                    <w:sizeAuto/>
                    <w:default w:val="0"/>
                  </w:checkBox>
                </w:ffData>
              </w:fldChar>
            </w:r>
            <w:r w:rsidR="00320333" w:rsidRPr="00106BCF">
              <w:rPr>
                <w:rFonts w:ascii="Arial Narrow" w:hAnsi="Arial Narrow"/>
                <w:sz w:val="20"/>
                <w:szCs w:val="20"/>
              </w:rPr>
              <w:instrText xml:space="preserve"> FORMCHECKBOX </w:instrText>
            </w:r>
            <w:r w:rsidR="006E43DE">
              <w:rPr>
                <w:rFonts w:ascii="Arial Narrow" w:hAnsi="Arial Narrow"/>
                <w:sz w:val="20"/>
                <w:szCs w:val="20"/>
              </w:rPr>
            </w:r>
            <w:r w:rsidR="006E43DE">
              <w:rPr>
                <w:rFonts w:ascii="Arial Narrow" w:hAnsi="Arial Narrow"/>
                <w:sz w:val="20"/>
                <w:szCs w:val="20"/>
              </w:rPr>
              <w:fldChar w:fldCharType="separate"/>
            </w:r>
            <w:r w:rsidRPr="00106BCF">
              <w:rPr>
                <w:rFonts w:ascii="Arial Narrow" w:hAnsi="Arial Narrow"/>
                <w:sz w:val="20"/>
                <w:szCs w:val="20"/>
              </w:rPr>
              <w:fldChar w:fldCharType="end"/>
            </w:r>
            <w:r w:rsidR="00320333" w:rsidRPr="00106BCF">
              <w:rPr>
                <w:rFonts w:ascii="Arial Narrow" w:hAnsi="Arial Narrow"/>
                <w:sz w:val="20"/>
                <w:szCs w:val="20"/>
              </w:rPr>
              <w:t>Authority Required – Emergency</w:t>
            </w:r>
          </w:p>
          <w:p w:rsidR="00320333" w:rsidRPr="00106BCF" w:rsidRDefault="006E129E" w:rsidP="00323E7A">
            <w:pPr>
              <w:widowControl/>
              <w:rPr>
                <w:rFonts w:ascii="Arial Narrow" w:hAnsi="Arial Narrow"/>
                <w:sz w:val="20"/>
                <w:szCs w:val="20"/>
              </w:rPr>
            </w:pPr>
            <w:r w:rsidRPr="00106BCF">
              <w:rPr>
                <w:rFonts w:ascii="Arial Narrow" w:hAnsi="Arial Narrow"/>
                <w:sz w:val="20"/>
                <w:szCs w:val="20"/>
              </w:rPr>
              <w:fldChar w:fldCharType="begin">
                <w:ffData>
                  <w:name w:val="Check5"/>
                  <w:enabled/>
                  <w:calcOnExit w:val="0"/>
                  <w:checkBox>
                    <w:sizeAuto/>
                    <w:default w:val="0"/>
                  </w:checkBox>
                </w:ffData>
              </w:fldChar>
            </w:r>
            <w:r w:rsidR="00320333" w:rsidRPr="00106BCF">
              <w:rPr>
                <w:rFonts w:ascii="Arial Narrow" w:hAnsi="Arial Narrow"/>
                <w:sz w:val="20"/>
                <w:szCs w:val="20"/>
              </w:rPr>
              <w:instrText xml:space="preserve"> FORMCHECKBOX </w:instrText>
            </w:r>
            <w:r w:rsidR="006E43DE">
              <w:rPr>
                <w:rFonts w:ascii="Arial Narrow" w:hAnsi="Arial Narrow"/>
                <w:sz w:val="20"/>
                <w:szCs w:val="20"/>
              </w:rPr>
            </w:r>
            <w:r w:rsidR="006E43DE">
              <w:rPr>
                <w:rFonts w:ascii="Arial Narrow" w:hAnsi="Arial Narrow"/>
                <w:sz w:val="20"/>
                <w:szCs w:val="20"/>
              </w:rPr>
              <w:fldChar w:fldCharType="separate"/>
            </w:r>
            <w:r w:rsidRPr="00106BCF">
              <w:rPr>
                <w:rFonts w:ascii="Arial Narrow" w:hAnsi="Arial Narrow"/>
                <w:sz w:val="20"/>
                <w:szCs w:val="20"/>
              </w:rPr>
              <w:fldChar w:fldCharType="end"/>
            </w:r>
            <w:r w:rsidR="00320333" w:rsidRPr="00106BCF">
              <w:rPr>
                <w:rFonts w:ascii="Arial Narrow" w:hAnsi="Arial Narrow"/>
                <w:sz w:val="20"/>
                <w:szCs w:val="20"/>
              </w:rPr>
              <w:t>Authority Required - Electronic</w:t>
            </w:r>
          </w:p>
          <w:p w:rsidR="00320333" w:rsidRPr="00260CE3" w:rsidRDefault="006E129E" w:rsidP="00323E7A">
            <w:pPr>
              <w:widowControl/>
              <w:rPr>
                <w:rFonts w:ascii="Arial Narrow" w:hAnsi="Arial Narrow"/>
                <w:sz w:val="20"/>
                <w:szCs w:val="20"/>
              </w:rPr>
            </w:pPr>
            <w:r>
              <w:rPr>
                <w:rFonts w:ascii="Arial Narrow" w:hAnsi="Arial Narrow"/>
                <w:sz w:val="20"/>
                <w:szCs w:val="20"/>
              </w:rPr>
              <w:fldChar w:fldCharType="begin">
                <w:ffData>
                  <w:name w:val="Check5"/>
                  <w:enabled/>
                  <w:calcOnExit w:val="0"/>
                  <w:checkBox>
                    <w:sizeAuto/>
                    <w:default w:val="1"/>
                  </w:checkBox>
                </w:ffData>
              </w:fldChar>
            </w:r>
            <w:r w:rsidR="00320333">
              <w:rPr>
                <w:rFonts w:ascii="Arial Narrow" w:hAnsi="Arial Narrow"/>
                <w:sz w:val="20"/>
                <w:szCs w:val="20"/>
              </w:rPr>
              <w:instrText xml:space="preserve"> FORMCHECKBOX </w:instrText>
            </w:r>
            <w:r w:rsidR="006E43DE">
              <w:rPr>
                <w:rFonts w:ascii="Arial Narrow" w:hAnsi="Arial Narrow"/>
                <w:sz w:val="20"/>
                <w:szCs w:val="20"/>
              </w:rPr>
            </w:r>
            <w:r w:rsidR="006E43DE">
              <w:rPr>
                <w:rFonts w:ascii="Arial Narrow" w:hAnsi="Arial Narrow"/>
                <w:sz w:val="20"/>
                <w:szCs w:val="20"/>
              </w:rPr>
              <w:fldChar w:fldCharType="separate"/>
            </w:r>
            <w:r>
              <w:rPr>
                <w:rFonts w:ascii="Arial Narrow" w:hAnsi="Arial Narrow"/>
                <w:sz w:val="20"/>
                <w:szCs w:val="20"/>
              </w:rPr>
              <w:fldChar w:fldCharType="end"/>
            </w:r>
            <w:r w:rsidR="00320333" w:rsidRPr="00106BCF">
              <w:rPr>
                <w:rFonts w:ascii="Arial Narrow" w:hAnsi="Arial Narrow"/>
                <w:sz w:val="20"/>
                <w:szCs w:val="20"/>
              </w:rPr>
              <w:t>Streamlined</w:t>
            </w:r>
          </w:p>
        </w:tc>
      </w:tr>
      <w:tr w:rsidR="00320333" w:rsidRPr="00D40D7C" w:rsidTr="00980106">
        <w:trPr>
          <w:cantSplit/>
          <w:trHeight w:val="3823"/>
        </w:trPr>
        <w:tc>
          <w:tcPr>
            <w:tcW w:w="2835" w:type="dxa"/>
            <w:tcBorders>
              <w:top w:val="single" w:sz="4" w:space="0" w:color="auto"/>
              <w:left w:val="single" w:sz="4" w:space="0" w:color="auto"/>
              <w:bottom w:val="single" w:sz="4" w:space="0" w:color="auto"/>
              <w:right w:val="single" w:sz="4" w:space="0" w:color="auto"/>
            </w:tcBorders>
          </w:tcPr>
          <w:p w:rsidR="00320333" w:rsidRPr="00044AC5" w:rsidRDefault="00320333" w:rsidP="00323E7A">
            <w:pPr>
              <w:widowControl/>
              <w:rPr>
                <w:rFonts w:ascii="Arial Narrow" w:hAnsi="Arial Narrow"/>
                <w:b/>
                <w:sz w:val="20"/>
                <w:szCs w:val="20"/>
              </w:rPr>
            </w:pPr>
            <w:r w:rsidRPr="00260CE3">
              <w:rPr>
                <w:rFonts w:ascii="Arial Narrow" w:hAnsi="Arial Narrow"/>
                <w:b/>
                <w:sz w:val="20"/>
                <w:szCs w:val="20"/>
              </w:rPr>
              <w:lastRenderedPageBreak/>
              <w:t>Clinical criteria:</w:t>
            </w:r>
          </w:p>
        </w:tc>
        <w:tc>
          <w:tcPr>
            <w:tcW w:w="5528" w:type="dxa"/>
            <w:tcBorders>
              <w:top w:val="single" w:sz="4" w:space="0" w:color="auto"/>
              <w:left w:val="single" w:sz="4" w:space="0" w:color="auto"/>
              <w:bottom w:val="single" w:sz="4" w:space="0" w:color="auto"/>
              <w:right w:val="single" w:sz="4" w:space="0" w:color="auto"/>
            </w:tcBorders>
          </w:tcPr>
          <w:p w:rsidR="00320333" w:rsidRPr="00C0121C" w:rsidRDefault="00320333" w:rsidP="00323E7A">
            <w:pPr>
              <w:widowControl/>
              <w:rPr>
                <w:rFonts w:ascii="Arial Narrow" w:hAnsi="Arial Narrow"/>
                <w:sz w:val="20"/>
                <w:szCs w:val="20"/>
              </w:rPr>
            </w:pPr>
            <w:r>
              <w:rPr>
                <w:rFonts w:ascii="Arial Narrow" w:hAnsi="Arial Narrow"/>
                <w:sz w:val="20"/>
                <w:szCs w:val="20"/>
              </w:rPr>
              <w:t>The t</w:t>
            </w:r>
            <w:r w:rsidRPr="00C0121C">
              <w:rPr>
                <w:rFonts w:ascii="Arial Narrow" w:hAnsi="Arial Narrow"/>
                <w:sz w:val="20"/>
                <w:szCs w:val="20"/>
              </w:rPr>
              <w:t>reatment must be the sole PBS-subsidised therapy for this condition</w:t>
            </w:r>
          </w:p>
          <w:p w:rsidR="00320333" w:rsidRPr="00C0121C" w:rsidRDefault="00320333" w:rsidP="00323E7A">
            <w:pPr>
              <w:widowControl/>
              <w:rPr>
                <w:rFonts w:ascii="Arial Narrow" w:hAnsi="Arial Narrow"/>
                <w:sz w:val="20"/>
                <w:szCs w:val="20"/>
              </w:rPr>
            </w:pPr>
          </w:p>
          <w:p w:rsidR="00320333" w:rsidRPr="00C0121C" w:rsidRDefault="00320333" w:rsidP="00323E7A">
            <w:pPr>
              <w:widowControl/>
              <w:rPr>
                <w:rFonts w:ascii="Arial Narrow" w:hAnsi="Arial Narrow"/>
                <w:sz w:val="20"/>
                <w:szCs w:val="20"/>
              </w:rPr>
            </w:pPr>
            <w:r w:rsidRPr="00C0121C">
              <w:rPr>
                <w:rFonts w:ascii="Arial Narrow" w:hAnsi="Arial Narrow"/>
                <w:sz w:val="20"/>
                <w:szCs w:val="20"/>
              </w:rPr>
              <w:t>AND</w:t>
            </w:r>
          </w:p>
          <w:p w:rsidR="00320333" w:rsidRPr="00C0121C" w:rsidRDefault="00320333" w:rsidP="00323E7A">
            <w:pPr>
              <w:widowControl/>
              <w:rPr>
                <w:rFonts w:ascii="Arial Narrow" w:hAnsi="Arial Narrow"/>
                <w:sz w:val="20"/>
                <w:szCs w:val="20"/>
              </w:rPr>
            </w:pPr>
          </w:p>
          <w:p w:rsidR="00320333" w:rsidRDefault="00320333" w:rsidP="00323E7A">
            <w:pPr>
              <w:widowControl/>
              <w:rPr>
                <w:rFonts w:ascii="Arial Narrow" w:hAnsi="Arial Narrow"/>
                <w:sz w:val="20"/>
                <w:szCs w:val="20"/>
              </w:rPr>
            </w:pPr>
            <w:r w:rsidRPr="00A715A4">
              <w:rPr>
                <w:rFonts w:ascii="Arial Narrow" w:hAnsi="Arial Narrow"/>
                <w:sz w:val="20"/>
                <w:szCs w:val="20"/>
              </w:rPr>
              <w:t xml:space="preserve">The condition must not have been treated previously with </w:t>
            </w:r>
            <w:r>
              <w:rPr>
                <w:rFonts w:ascii="Arial Narrow" w:hAnsi="Arial Narrow"/>
                <w:i/>
                <w:sz w:val="20"/>
                <w:szCs w:val="20"/>
              </w:rPr>
              <w:t xml:space="preserve">a PD-1 inhibitor </w:t>
            </w:r>
            <w:r w:rsidRPr="00A715A4">
              <w:rPr>
                <w:rFonts w:ascii="Arial Narrow" w:hAnsi="Arial Narrow"/>
                <w:strike/>
                <w:sz w:val="20"/>
                <w:szCs w:val="20"/>
              </w:rPr>
              <w:t>nivolumab</w:t>
            </w:r>
            <w:r>
              <w:rPr>
                <w:rFonts w:ascii="Arial Narrow" w:hAnsi="Arial Narrow"/>
                <w:sz w:val="20"/>
                <w:szCs w:val="20"/>
              </w:rPr>
              <w:t xml:space="preserve">; </w:t>
            </w:r>
            <w:r w:rsidRPr="00F663C6">
              <w:rPr>
                <w:rFonts w:ascii="Arial Narrow" w:hAnsi="Arial Narrow"/>
                <w:i/>
                <w:sz w:val="20"/>
                <w:szCs w:val="20"/>
              </w:rPr>
              <w:t>OR</w:t>
            </w:r>
          </w:p>
          <w:p w:rsidR="00320333" w:rsidRPr="00F663C6" w:rsidRDefault="00320333" w:rsidP="00323E7A">
            <w:pPr>
              <w:widowControl/>
              <w:rPr>
                <w:rFonts w:ascii="Arial Narrow" w:hAnsi="Arial Narrow"/>
                <w:i/>
                <w:sz w:val="20"/>
                <w:szCs w:val="20"/>
              </w:rPr>
            </w:pPr>
            <w:r w:rsidRPr="00F663C6">
              <w:rPr>
                <w:rFonts w:ascii="Arial Narrow" w:hAnsi="Arial Narrow"/>
                <w:i/>
                <w:sz w:val="20"/>
                <w:szCs w:val="20"/>
              </w:rPr>
              <w:t xml:space="preserve">Patient must have developed intolerance to another </w:t>
            </w:r>
            <w:r>
              <w:rPr>
                <w:rFonts w:ascii="Arial Narrow" w:hAnsi="Arial Narrow"/>
                <w:i/>
                <w:sz w:val="20"/>
                <w:szCs w:val="20"/>
              </w:rPr>
              <w:t>PD-1</w:t>
            </w:r>
            <w:r w:rsidRPr="00F663C6">
              <w:rPr>
                <w:rFonts w:ascii="Arial Narrow" w:hAnsi="Arial Narrow"/>
                <w:i/>
                <w:sz w:val="20"/>
                <w:szCs w:val="20"/>
              </w:rPr>
              <w:t xml:space="preserve"> inhibitor of a severity necessitating permanent treatment withdrawal</w:t>
            </w:r>
          </w:p>
          <w:p w:rsidR="00320333" w:rsidRDefault="00320333" w:rsidP="00323E7A">
            <w:pPr>
              <w:widowControl/>
              <w:rPr>
                <w:rFonts w:ascii="Arial Narrow" w:hAnsi="Arial Narrow"/>
                <w:sz w:val="20"/>
                <w:szCs w:val="20"/>
              </w:rPr>
            </w:pPr>
          </w:p>
          <w:p w:rsidR="00320333" w:rsidRDefault="00320333" w:rsidP="00323E7A">
            <w:pPr>
              <w:widowControl/>
              <w:rPr>
                <w:rFonts w:ascii="Arial Narrow" w:hAnsi="Arial Narrow"/>
                <w:i/>
                <w:sz w:val="20"/>
                <w:szCs w:val="20"/>
              </w:rPr>
            </w:pPr>
            <w:r>
              <w:rPr>
                <w:rFonts w:ascii="Arial Narrow" w:hAnsi="Arial Narrow"/>
                <w:i/>
                <w:sz w:val="20"/>
                <w:szCs w:val="20"/>
              </w:rPr>
              <w:t>AND</w:t>
            </w:r>
          </w:p>
          <w:p w:rsidR="00320333" w:rsidRDefault="00320333" w:rsidP="00323E7A">
            <w:pPr>
              <w:widowControl/>
              <w:rPr>
                <w:rFonts w:ascii="Arial Narrow" w:hAnsi="Arial Narrow"/>
                <w:i/>
                <w:sz w:val="20"/>
                <w:szCs w:val="20"/>
              </w:rPr>
            </w:pPr>
          </w:p>
          <w:p w:rsidR="00320333" w:rsidRDefault="00320333" w:rsidP="00323E7A">
            <w:pPr>
              <w:widowControl/>
              <w:rPr>
                <w:rFonts w:ascii="Arial Narrow" w:hAnsi="Arial Narrow"/>
                <w:i/>
                <w:sz w:val="20"/>
                <w:szCs w:val="20"/>
              </w:rPr>
            </w:pPr>
            <w:r w:rsidRPr="00A33351">
              <w:rPr>
                <w:rFonts w:ascii="Arial Narrow" w:hAnsi="Arial Narrow"/>
                <w:i/>
                <w:sz w:val="20"/>
                <w:szCs w:val="20"/>
              </w:rPr>
              <w:t>The condition must be po</w:t>
            </w:r>
            <w:r>
              <w:rPr>
                <w:rFonts w:ascii="Arial Narrow" w:hAnsi="Arial Narrow"/>
                <w:i/>
                <w:sz w:val="20"/>
                <w:szCs w:val="20"/>
              </w:rPr>
              <w:t>sitive for a BRAF V600 mutation</w:t>
            </w:r>
          </w:p>
          <w:p w:rsidR="00320333" w:rsidRDefault="00320333" w:rsidP="00323E7A">
            <w:pPr>
              <w:widowControl/>
              <w:rPr>
                <w:rFonts w:ascii="Arial Narrow" w:hAnsi="Arial Narrow"/>
                <w:i/>
                <w:sz w:val="20"/>
                <w:szCs w:val="20"/>
              </w:rPr>
            </w:pPr>
          </w:p>
          <w:p w:rsidR="00320333" w:rsidRDefault="00320333" w:rsidP="00323E7A">
            <w:pPr>
              <w:widowControl/>
              <w:rPr>
                <w:rFonts w:ascii="Arial Narrow" w:hAnsi="Arial Narrow"/>
                <w:i/>
                <w:sz w:val="20"/>
                <w:szCs w:val="20"/>
              </w:rPr>
            </w:pPr>
            <w:r>
              <w:rPr>
                <w:rFonts w:ascii="Arial Narrow" w:hAnsi="Arial Narrow"/>
                <w:i/>
                <w:sz w:val="20"/>
                <w:szCs w:val="20"/>
              </w:rPr>
              <w:t>AND</w:t>
            </w:r>
          </w:p>
          <w:p w:rsidR="00320333" w:rsidRDefault="00320333" w:rsidP="00323E7A">
            <w:pPr>
              <w:widowControl/>
              <w:rPr>
                <w:rFonts w:ascii="Arial Narrow" w:hAnsi="Arial Narrow"/>
                <w:i/>
                <w:sz w:val="20"/>
                <w:szCs w:val="20"/>
              </w:rPr>
            </w:pPr>
          </w:p>
          <w:p w:rsidR="00320333" w:rsidRPr="00D40D7C" w:rsidRDefault="00320333" w:rsidP="00323E7A">
            <w:pPr>
              <w:widowControl/>
              <w:rPr>
                <w:rFonts w:ascii="Arial Narrow" w:hAnsi="Arial Narrow"/>
                <w:i/>
                <w:sz w:val="20"/>
                <w:szCs w:val="20"/>
              </w:rPr>
            </w:pPr>
            <w:r>
              <w:rPr>
                <w:rFonts w:ascii="Arial Narrow" w:hAnsi="Arial Narrow"/>
                <w:i/>
                <w:sz w:val="20"/>
                <w:szCs w:val="20"/>
              </w:rPr>
              <w:t>The condition must have progressed following treatment with a BRAF inhibitor (with or without a MEK inhibitor) unless contraindicated or not tolerated according to the TGA approved Product Information.</w:t>
            </w:r>
          </w:p>
        </w:tc>
      </w:tr>
      <w:tr w:rsidR="00320333" w:rsidRPr="00260CE3" w:rsidTr="00980106">
        <w:trPr>
          <w:cantSplit/>
          <w:trHeight w:val="508"/>
        </w:trPr>
        <w:tc>
          <w:tcPr>
            <w:tcW w:w="2835" w:type="dxa"/>
            <w:tcBorders>
              <w:top w:val="single" w:sz="4" w:space="0" w:color="auto"/>
              <w:left w:val="single" w:sz="4" w:space="0" w:color="auto"/>
              <w:bottom w:val="single" w:sz="4" w:space="0" w:color="auto"/>
              <w:right w:val="single" w:sz="4" w:space="0" w:color="auto"/>
            </w:tcBorders>
          </w:tcPr>
          <w:p w:rsidR="00320333" w:rsidRPr="00260CE3" w:rsidRDefault="00320333" w:rsidP="00323E7A">
            <w:pPr>
              <w:widowControl/>
              <w:rPr>
                <w:rFonts w:ascii="Arial Narrow" w:hAnsi="Arial Narrow"/>
                <w:b/>
                <w:sz w:val="20"/>
                <w:szCs w:val="20"/>
              </w:rPr>
            </w:pPr>
            <w:r w:rsidRPr="00260CE3">
              <w:rPr>
                <w:rFonts w:ascii="Arial Narrow" w:hAnsi="Arial Narrow"/>
                <w:b/>
                <w:sz w:val="20"/>
                <w:szCs w:val="20"/>
              </w:rPr>
              <w:t>Prescriber Instructions</w:t>
            </w:r>
          </w:p>
          <w:p w:rsidR="00320333" w:rsidRPr="00260CE3" w:rsidRDefault="00320333" w:rsidP="00323E7A">
            <w:pPr>
              <w:widowControl/>
              <w:rPr>
                <w:rFonts w:ascii="Arial Narrow" w:hAnsi="Arial Narrow"/>
                <w:sz w:val="20"/>
                <w:szCs w:val="20"/>
              </w:rPr>
            </w:pPr>
          </w:p>
        </w:tc>
        <w:tc>
          <w:tcPr>
            <w:tcW w:w="5528" w:type="dxa"/>
            <w:tcBorders>
              <w:top w:val="single" w:sz="4" w:space="0" w:color="auto"/>
              <w:left w:val="single" w:sz="4" w:space="0" w:color="auto"/>
              <w:bottom w:val="single" w:sz="4" w:space="0" w:color="auto"/>
              <w:right w:val="single" w:sz="4" w:space="0" w:color="auto"/>
            </w:tcBorders>
          </w:tcPr>
          <w:p w:rsidR="00320333" w:rsidRPr="00260CE3" w:rsidRDefault="00320333" w:rsidP="00323E7A">
            <w:pPr>
              <w:widowControl/>
              <w:rPr>
                <w:rFonts w:ascii="Arial Narrow" w:hAnsi="Arial Narrow"/>
                <w:sz w:val="20"/>
                <w:szCs w:val="20"/>
              </w:rPr>
            </w:pPr>
            <w:r w:rsidRPr="00C0121C">
              <w:rPr>
                <w:rFonts w:ascii="Arial Narrow" w:hAnsi="Arial Narrow"/>
                <w:sz w:val="20"/>
                <w:szCs w:val="20"/>
              </w:rPr>
              <w:t>The patient’s body weight must be documented in the patient’s medical records at the time treatment is initiated.</w:t>
            </w:r>
          </w:p>
        </w:tc>
      </w:tr>
      <w:tr w:rsidR="00320333" w:rsidRPr="00E21DAB" w:rsidTr="0043765A">
        <w:trPr>
          <w:cantSplit/>
          <w:trHeight w:val="1069"/>
        </w:trPr>
        <w:tc>
          <w:tcPr>
            <w:tcW w:w="2835" w:type="dxa"/>
            <w:tcBorders>
              <w:top w:val="single" w:sz="4" w:space="0" w:color="auto"/>
              <w:left w:val="single" w:sz="4" w:space="0" w:color="auto"/>
              <w:bottom w:val="single" w:sz="4" w:space="0" w:color="auto"/>
              <w:right w:val="single" w:sz="4" w:space="0" w:color="auto"/>
            </w:tcBorders>
          </w:tcPr>
          <w:p w:rsidR="00320333" w:rsidRPr="00C0121C" w:rsidRDefault="00320333" w:rsidP="00323E7A">
            <w:pPr>
              <w:widowControl/>
              <w:rPr>
                <w:rFonts w:ascii="Arial Narrow" w:hAnsi="Arial Narrow"/>
                <w:b/>
                <w:sz w:val="20"/>
                <w:szCs w:val="20"/>
              </w:rPr>
            </w:pPr>
            <w:r w:rsidRPr="00260CE3">
              <w:rPr>
                <w:rFonts w:ascii="Arial Narrow" w:hAnsi="Arial Narrow"/>
                <w:b/>
                <w:sz w:val="20"/>
                <w:szCs w:val="20"/>
              </w:rPr>
              <w:t>Administrative Advice</w:t>
            </w:r>
          </w:p>
        </w:tc>
        <w:tc>
          <w:tcPr>
            <w:tcW w:w="5528" w:type="dxa"/>
            <w:tcBorders>
              <w:top w:val="single" w:sz="4" w:space="0" w:color="auto"/>
              <w:left w:val="single" w:sz="4" w:space="0" w:color="auto"/>
              <w:bottom w:val="single" w:sz="4" w:space="0" w:color="auto"/>
              <w:right w:val="single" w:sz="4" w:space="0" w:color="auto"/>
            </w:tcBorders>
          </w:tcPr>
          <w:p w:rsidR="00320333" w:rsidRDefault="00320333" w:rsidP="00323E7A">
            <w:pPr>
              <w:widowControl/>
              <w:rPr>
                <w:rFonts w:ascii="Arial Narrow" w:hAnsi="Arial Narrow"/>
                <w:strike/>
                <w:sz w:val="20"/>
                <w:szCs w:val="20"/>
              </w:rPr>
            </w:pPr>
            <w:r w:rsidRPr="00C0121C">
              <w:rPr>
                <w:rFonts w:ascii="Arial Narrow" w:hAnsi="Arial Narrow"/>
                <w:strike/>
                <w:sz w:val="20"/>
                <w:szCs w:val="20"/>
              </w:rPr>
              <w:t>The recommended dose of nivolumab is 3 mg/kg administered intravenously over 60 minutes every 2 weeks.</w:t>
            </w:r>
          </w:p>
          <w:p w:rsidR="00320333" w:rsidRDefault="00320333" w:rsidP="00323E7A">
            <w:pPr>
              <w:widowControl/>
              <w:rPr>
                <w:rFonts w:ascii="Arial Narrow" w:hAnsi="Arial Narrow"/>
                <w:i/>
                <w:sz w:val="20"/>
                <w:szCs w:val="20"/>
              </w:rPr>
            </w:pPr>
            <w:r w:rsidRPr="00C5156F">
              <w:rPr>
                <w:rFonts w:ascii="Arial Narrow" w:hAnsi="Arial Narrow"/>
                <w:i/>
                <w:sz w:val="20"/>
                <w:szCs w:val="20"/>
              </w:rPr>
              <w:t>No increase in the maximum number of repeats may be authorised.</w:t>
            </w:r>
          </w:p>
          <w:p w:rsidR="00320333" w:rsidRDefault="00320333" w:rsidP="00323E7A">
            <w:pPr>
              <w:widowControl/>
              <w:rPr>
                <w:rFonts w:ascii="Arial Narrow" w:hAnsi="Arial Narrow"/>
                <w:i/>
                <w:sz w:val="20"/>
                <w:szCs w:val="20"/>
              </w:rPr>
            </w:pPr>
          </w:p>
          <w:p w:rsidR="00320333" w:rsidRPr="00E21DAB" w:rsidRDefault="00320333" w:rsidP="00323E7A">
            <w:pPr>
              <w:widowControl/>
              <w:rPr>
                <w:rFonts w:ascii="Arial Narrow" w:hAnsi="Arial Narrow"/>
                <w:i/>
                <w:sz w:val="20"/>
                <w:szCs w:val="20"/>
              </w:rPr>
            </w:pPr>
            <w:r w:rsidRPr="00C5156F">
              <w:rPr>
                <w:rFonts w:ascii="Arial Narrow" w:hAnsi="Arial Narrow"/>
                <w:i/>
                <w:sz w:val="20"/>
                <w:szCs w:val="20"/>
              </w:rPr>
              <w:t>Special Pricing Arrangements apply.</w:t>
            </w:r>
          </w:p>
        </w:tc>
      </w:tr>
    </w:tbl>
    <w:p w:rsidR="00320333" w:rsidRDefault="00320333" w:rsidP="00323E7A">
      <w:pPr>
        <w:widowControl/>
        <w:rPr>
          <w:szCs w:val="22"/>
        </w:rPr>
      </w:pPr>
    </w:p>
    <w:p w:rsidR="00320333" w:rsidRPr="000D7C39" w:rsidRDefault="00320333" w:rsidP="00323E7A">
      <w:pPr>
        <w:widowControl/>
        <w:ind w:firstLine="720"/>
        <w:rPr>
          <w:rFonts w:ascii="Arial Narrow" w:hAnsi="Arial Narrow"/>
          <w:b/>
          <w:i/>
          <w:sz w:val="20"/>
          <w:szCs w:val="20"/>
        </w:rPr>
      </w:pPr>
      <w:r w:rsidRPr="000D7C39">
        <w:rPr>
          <w:rFonts w:ascii="Arial Narrow" w:hAnsi="Arial Narrow"/>
          <w:b/>
          <w:i/>
          <w:sz w:val="20"/>
          <w:szCs w:val="20"/>
        </w:rPr>
        <w:t>Continuing treatment</w:t>
      </w:r>
    </w:p>
    <w:tbl>
      <w:tblPr>
        <w:tblW w:w="8363" w:type="dxa"/>
        <w:tblInd w:w="817" w:type="dxa"/>
        <w:tblLayout w:type="fixed"/>
        <w:tblLook w:val="0000" w:firstRow="0" w:lastRow="0" w:firstColumn="0" w:lastColumn="0" w:noHBand="0" w:noVBand="0"/>
      </w:tblPr>
      <w:tblGrid>
        <w:gridCol w:w="2835"/>
        <w:gridCol w:w="5528"/>
      </w:tblGrid>
      <w:tr w:rsidR="00320333" w:rsidRPr="00260CE3" w:rsidTr="00980106">
        <w:trPr>
          <w:cantSplit/>
          <w:trHeight w:val="360"/>
        </w:trPr>
        <w:tc>
          <w:tcPr>
            <w:tcW w:w="2835" w:type="dxa"/>
            <w:tcBorders>
              <w:top w:val="single" w:sz="4" w:space="0" w:color="auto"/>
              <w:left w:val="single" w:sz="4" w:space="0" w:color="auto"/>
              <w:bottom w:val="single" w:sz="4" w:space="0" w:color="auto"/>
              <w:right w:val="single" w:sz="4" w:space="0" w:color="auto"/>
            </w:tcBorders>
          </w:tcPr>
          <w:p w:rsidR="00320333" w:rsidRPr="00260CE3" w:rsidRDefault="00320333" w:rsidP="00323E7A">
            <w:pPr>
              <w:widowControl/>
              <w:rPr>
                <w:rFonts w:ascii="Arial Narrow" w:hAnsi="Arial Narrow"/>
                <w:b/>
                <w:sz w:val="20"/>
                <w:szCs w:val="20"/>
              </w:rPr>
            </w:pPr>
            <w:r w:rsidRPr="00260CE3">
              <w:rPr>
                <w:rFonts w:ascii="Arial Narrow" w:hAnsi="Arial Narrow"/>
                <w:b/>
                <w:sz w:val="20"/>
                <w:szCs w:val="20"/>
              </w:rPr>
              <w:t>Category / Program</w:t>
            </w:r>
          </w:p>
        </w:tc>
        <w:tc>
          <w:tcPr>
            <w:tcW w:w="5528" w:type="dxa"/>
            <w:tcBorders>
              <w:top w:val="single" w:sz="4" w:space="0" w:color="auto"/>
              <w:left w:val="single" w:sz="4" w:space="0" w:color="auto"/>
              <w:bottom w:val="single" w:sz="4" w:space="0" w:color="auto"/>
              <w:right w:val="single" w:sz="4" w:space="0" w:color="auto"/>
            </w:tcBorders>
          </w:tcPr>
          <w:p w:rsidR="00320333" w:rsidRPr="00260CE3" w:rsidRDefault="00320333" w:rsidP="00323E7A">
            <w:pPr>
              <w:widowControl/>
              <w:rPr>
                <w:rFonts w:ascii="Arial Narrow" w:hAnsi="Arial Narrow"/>
                <w:sz w:val="20"/>
                <w:szCs w:val="20"/>
              </w:rPr>
            </w:pPr>
            <w:r w:rsidRPr="00260CE3">
              <w:rPr>
                <w:rFonts w:ascii="Arial Narrow" w:hAnsi="Arial Narrow"/>
                <w:sz w:val="20"/>
                <w:szCs w:val="20"/>
              </w:rPr>
              <w:t xml:space="preserve">Section 100 – </w:t>
            </w:r>
            <w:r>
              <w:rPr>
                <w:rFonts w:ascii="Arial Narrow" w:hAnsi="Arial Narrow"/>
                <w:sz w:val="20"/>
                <w:szCs w:val="20"/>
              </w:rPr>
              <w:t xml:space="preserve">Efficient Funding of </w:t>
            </w:r>
            <w:r w:rsidRPr="00260CE3">
              <w:rPr>
                <w:rFonts w:ascii="Arial Narrow" w:hAnsi="Arial Narrow"/>
                <w:sz w:val="20"/>
                <w:szCs w:val="20"/>
              </w:rPr>
              <w:t>Chemotherapy</w:t>
            </w:r>
          </w:p>
        </w:tc>
      </w:tr>
      <w:tr w:rsidR="00320333" w:rsidRPr="00260CE3" w:rsidTr="00980106">
        <w:trPr>
          <w:cantSplit/>
          <w:trHeight w:val="360"/>
        </w:trPr>
        <w:tc>
          <w:tcPr>
            <w:tcW w:w="2835" w:type="dxa"/>
            <w:tcBorders>
              <w:top w:val="single" w:sz="4" w:space="0" w:color="auto"/>
              <w:left w:val="single" w:sz="4" w:space="0" w:color="auto"/>
              <w:bottom w:val="single" w:sz="4" w:space="0" w:color="auto"/>
              <w:right w:val="single" w:sz="4" w:space="0" w:color="auto"/>
            </w:tcBorders>
          </w:tcPr>
          <w:p w:rsidR="00320333" w:rsidRPr="00260CE3" w:rsidRDefault="00320333" w:rsidP="00323E7A">
            <w:pPr>
              <w:widowControl/>
              <w:rPr>
                <w:rFonts w:ascii="Arial Narrow" w:hAnsi="Arial Narrow"/>
                <w:b/>
                <w:sz w:val="20"/>
                <w:szCs w:val="20"/>
              </w:rPr>
            </w:pPr>
            <w:r w:rsidRPr="00260CE3">
              <w:rPr>
                <w:rFonts w:ascii="Arial Narrow" w:hAnsi="Arial Narrow"/>
                <w:b/>
                <w:sz w:val="20"/>
                <w:szCs w:val="20"/>
              </w:rPr>
              <w:t>Prescriber type:</w:t>
            </w:r>
          </w:p>
        </w:tc>
        <w:tc>
          <w:tcPr>
            <w:tcW w:w="5528" w:type="dxa"/>
            <w:tcBorders>
              <w:top w:val="single" w:sz="4" w:space="0" w:color="auto"/>
              <w:left w:val="single" w:sz="4" w:space="0" w:color="auto"/>
              <w:bottom w:val="single" w:sz="4" w:space="0" w:color="auto"/>
              <w:right w:val="single" w:sz="4" w:space="0" w:color="auto"/>
            </w:tcBorders>
          </w:tcPr>
          <w:p w:rsidR="00320333" w:rsidRPr="00260CE3" w:rsidRDefault="006E129E" w:rsidP="00323E7A">
            <w:pPr>
              <w:widowControl/>
              <w:rPr>
                <w:rFonts w:ascii="Arial Narrow" w:hAnsi="Arial Narrow"/>
                <w:sz w:val="20"/>
                <w:szCs w:val="20"/>
              </w:rPr>
            </w:pPr>
            <w:r w:rsidRPr="00260CE3">
              <w:rPr>
                <w:rFonts w:ascii="Arial Narrow" w:hAnsi="Arial Narrow"/>
                <w:sz w:val="20"/>
                <w:szCs w:val="20"/>
              </w:rPr>
              <w:fldChar w:fldCharType="begin">
                <w:ffData>
                  <w:name w:val="Check1"/>
                  <w:enabled/>
                  <w:calcOnExit w:val="0"/>
                  <w:checkBox>
                    <w:sizeAuto/>
                    <w:default w:val="0"/>
                  </w:checkBox>
                </w:ffData>
              </w:fldChar>
            </w:r>
            <w:r w:rsidR="00320333" w:rsidRPr="00260CE3">
              <w:rPr>
                <w:rFonts w:ascii="Arial Narrow" w:hAnsi="Arial Narrow"/>
                <w:sz w:val="20"/>
                <w:szCs w:val="20"/>
              </w:rPr>
              <w:instrText xml:space="preserve"> FORMCHECKBOX </w:instrText>
            </w:r>
            <w:r w:rsidR="006E43DE">
              <w:rPr>
                <w:rFonts w:ascii="Arial Narrow" w:hAnsi="Arial Narrow"/>
                <w:sz w:val="20"/>
                <w:szCs w:val="20"/>
              </w:rPr>
            </w:r>
            <w:r w:rsidR="006E43DE">
              <w:rPr>
                <w:rFonts w:ascii="Arial Narrow" w:hAnsi="Arial Narrow"/>
                <w:sz w:val="20"/>
                <w:szCs w:val="20"/>
              </w:rPr>
              <w:fldChar w:fldCharType="separate"/>
            </w:r>
            <w:r w:rsidRPr="00260CE3">
              <w:rPr>
                <w:rFonts w:ascii="Arial Narrow" w:hAnsi="Arial Narrow"/>
                <w:sz w:val="20"/>
                <w:szCs w:val="20"/>
              </w:rPr>
              <w:fldChar w:fldCharType="end"/>
            </w:r>
            <w:r w:rsidR="00320333" w:rsidRPr="00260CE3">
              <w:rPr>
                <w:rFonts w:ascii="Arial Narrow" w:hAnsi="Arial Narrow"/>
                <w:sz w:val="20"/>
                <w:szCs w:val="20"/>
              </w:rPr>
              <w:t xml:space="preserve">Dental  </w:t>
            </w:r>
            <w:r>
              <w:rPr>
                <w:rFonts w:ascii="Arial Narrow" w:hAnsi="Arial Narrow"/>
                <w:sz w:val="20"/>
                <w:szCs w:val="20"/>
              </w:rPr>
              <w:fldChar w:fldCharType="begin">
                <w:ffData>
                  <w:name w:val=""/>
                  <w:enabled/>
                  <w:calcOnExit w:val="0"/>
                  <w:checkBox>
                    <w:sizeAuto/>
                    <w:default w:val="1"/>
                  </w:checkBox>
                </w:ffData>
              </w:fldChar>
            </w:r>
            <w:r w:rsidR="00320333">
              <w:rPr>
                <w:rFonts w:ascii="Arial Narrow" w:hAnsi="Arial Narrow"/>
                <w:sz w:val="20"/>
                <w:szCs w:val="20"/>
              </w:rPr>
              <w:instrText xml:space="preserve"> FORMCHECKBOX </w:instrText>
            </w:r>
            <w:r w:rsidR="006E43DE">
              <w:rPr>
                <w:rFonts w:ascii="Arial Narrow" w:hAnsi="Arial Narrow"/>
                <w:sz w:val="20"/>
                <w:szCs w:val="20"/>
              </w:rPr>
            </w:r>
            <w:r w:rsidR="006E43DE">
              <w:rPr>
                <w:rFonts w:ascii="Arial Narrow" w:hAnsi="Arial Narrow"/>
                <w:sz w:val="20"/>
                <w:szCs w:val="20"/>
              </w:rPr>
              <w:fldChar w:fldCharType="separate"/>
            </w:r>
            <w:r>
              <w:rPr>
                <w:rFonts w:ascii="Arial Narrow" w:hAnsi="Arial Narrow"/>
                <w:sz w:val="20"/>
                <w:szCs w:val="20"/>
              </w:rPr>
              <w:fldChar w:fldCharType="end"/>
            </w:r>
            <w:r w:rsidR="00320333" w:rsidRPr="00260CE3">
              <w:rPr>
                <w:rFonts w:ascii="Arial Narrow" w:hAnsi="Arial Narrow"/>
                <w:sz w:val="20"/>
                <w:szCs w:val="20"/>
              </w:rPr>
              <w:t xml:space="preserve">Medical Practitioners  </w:t>
            </w:r>
            <w:r w:rsidRPr="00260CE3">
              <w:rPr>
                <w:rFonts w:ascii="Arial Narrow" w:hAnsi="Arial Narrow"/>
                <w:sz w:val="20"/>
                <w:szCs w:val="20"/>
              </w:rPr>
              <w:fldChar w:fldCharType="begin">
                <w:ffData>
                  <w:name w:val="Check3"/>
                  <w:enabled/>
                  <w:calcOnExit w:val="0"/>
                  <w:checkBox>
                    <w:sizeAuto/>
                    <w:default w:val="0"/>
                  </w:checkBox>
                </w:ffData>
              </w:fldChar>
            </w:r>
            <w:r w:rsidR="00320333" w:rsidRPr="00260CE3">
              <w:rPr>
                <w:rFonts w:ascii="Arial Narrow" w:hAnsi="Arial Narrow"/>
                <w:sz w:val="20"/>
                <w:szCs w:val="20"/>
              </w:rPr>
              <w:instrText xml:space="preserve"> FORMCHECKBOX </w:instrText>
            </w:r>
            <w:r w:rsidR="006E43DE">
              <w:rPr>
                <w:rFonts w:ascii="Arial Narrow" w:hAnsi="Arial Narrow"/>
                <w:sz w:val="20"/>
                <w:szCs w:val="20"/>
              </w:rPr>
            </w:r>
            <w:r w:rsidR="006E43DE">
              <w:rPr>
                <w:rFonts w:ascii="Arial Narrow" w:hAnsi="Arial Narrow"/>
                <w:sz w:val="20"/>
                <w:szCs w:val="20"/>
              </w:rPr>
              <w:fldChar w:fldCharType="separate"/>
            </w:r>
            <w:r w:rsidRPr="00260CE3">
              <w:rPr>
                <w:rFonts w:ascii="Arial Narrow" w:hAnsi="Arial Narrow"/>
                <w:sz w:val="20"/>
                <w:szCs w:val="20"/>
              </w:rPr>
              <w:fldChar w:fldCharType="end"/>
            </w:r>
            <w:r w:rsidR="00320333" w:rsidRPr="00260CE3">
              <w:rPr>
                <w:rFonts w:ascii="Arial Narrow" w:hAnsi="Arial Narrow"/>
                <w:sz w:val="20"/>
                <w:szCs w:val="20"/>
              </w:rPr>
              <w:t xml:space="preserve">Nurse practitioners  </w:t>
            </w:r>
            <w:r w:rsidRPr="00260CE3">
              <w:rPr>
                <w:rFonts w:ascii="Arial Narrow" w:hAnsi="Arial Narrow"/>
                <w:sz w:val="20"/>
                <w:szCs w:val="20"/>
              </w:rPr>
              <w:fldChar w:fldCharType="begin">
                <w:ffData>
                  <w:name w:val=""/>
                  <w:enabled/>
                  <w:calcOnExit w:val="0"/>
                  <w:checkBox>
                    <w:sizeAuto/>
                    <w:default w:val="0"/>
                  </w:checkBox>
                </w:ffData>
              </w:fldChar>
            </w:r>
            <w:r w:rsidR="00320333" w:rsidRPr="00260CE3">
              <w:rPr>
                <w:rFonts w:ascii="Arial Narrow" w:hAnsi="Arial Narrow"/>
                <w:sz w:val="20"/>
                <w:szCs w:val="20"/>
              </w:rPr>
              <w:instrText xml:space="preserve"> FORMCHECKBOX </w:instrText>
            </w:r>
            <w:r w:rsidR="006E43DE">
              <w:rPr>
                <w:rFonts w:ascii="Arial Narrow" w:hAnsi="Arial Narrow"/>
                <w:sz w:val="20"/>
                <w:szCs w:val="20"/>
              </w:rPr>
            </w:r>
            <w:r w:rsidR="006E43DE">
              <w:rPr>
                <w:rFonts w:ascii="Arial Narrow" w:hAnsi="Arial Narrow"/>
                <w:sz w:val="20"/>
                <w:szCs w:val="20"/>
              </w:rPr>
              <w:fldChar w:fldCharType="separate"/>
            </w:r>
            <w:r w:rsidRPr="00260CE3">
              <w:rPr>
                <w:rFonts w:ascii="Arial Narrow" w:hAnsi="Arial Narrow"/>
                <w:sz w:val="20"/>
                <w:szCs w:val="20"/>
              </w:rPr>
              <w:fldChar w:fldCharType="end"/>
            </w:r>
            <w:r w:rsidR="00320333" w:rsidRPr="00260CE3">
              <w:rPr>
                <w:rFonts w:ascii="Arial Narrow" w:hAnsi="Arial Narrow"/>
                <w:sz w:val="20"/>
                <w:szCs w:val="20"/>
              </w:rPr>
              <w:t>Optometrists</w:t>
            </w:r>
            <w:r w:rsidR="0043765A">
              <w:rPr>
                <w:rFonts w:ascii="Arial Narrow" w:hAnsi="Arial Narrow"/>
                <w:sz w:val="20"/>
                <w:szCs w:val="20"/>
              </w:rPr>
              <w:t xml:space="preserve">  </w:t>
            </w:r>
            <w:r w:rsidRPr="00260CE3">
              <w:rPr>
                <w:rFonts w:ascii="Arial Narrow" w:hAnsi="Arial Narrow"/>
                <w:sz w:val="20"/>
                <w:szCs w:val="20"/>
              </w:rPr>
              <w:fldChar w:fldCharType="begin">
                <w:ffData>
                  <w:name w:val="Check5"/>
                  <w:enabled/>
                  <w:calcOnExit w:val="0"/>
                  <w:checkBox>
                    <w:sizeAuto/>
                    <w:default w:val="0"/>
                  </w:checkBox>
                </w:ffData>
              </w:fldChar>
            </w:r>
            <w:r w:rsidR="00320333" w:rsidRPr="00260CE3">
              <w:rPr>
                <w:rFonts w:ascii="Arial Narrow" w:hAnsi="Arial Narrow"/>
                <w:sz w:val="20"/>
                <w:szCs w:val="20"/>
              </w:rPr>
              <w:instrText xml:space="preserve"> FORMCHECKBOX </w:instrText>
            </w:r>
            <w:r w:rsidR="006E43DE">
              <w:rPr>
                <w:rFonts w:ascii="Arial Narrow" w:hAnsi="Arial Narrow"/>
                <w:sz w:val="20"/>
                <w:szCs w:val="20"/>
              </w:rPr>
            </w:r>
            <w:r w:rsidR="006E43DE">
              <w:rPr>
                <w:rFonts w:ascii="Arial Narrow" w:hAnsi="Arial Narrow"/>
                <w:sz w:val="20"/>
                <w:szCs w:val="20"/>
              </w:rPr>
              <w:fldChar w:fldCharType="separate"/>
            </w:r>
            <w:r w:rsidRPr="00260CE3">
              <w:rPr>
                <w:rFonts w:ascii="Arial Narrow" w:hAnsi="Arial Narrow"/>
                <w:sz w:val="20"/>
                <w:szCs w:val="20"/>
              </w:rPr>
              <w:fldChar w:fldCharType="end"/>
            </w:r>
            <w:r w:rsidR="00320333" w:rsidRPr="00260CE3">
              <w:rPr>
                <w:rFonts w:ascii="Arial Narrow" w:hAnsi="Arial Narrow"/>
                <w:sz w:val="20"/>
                <w:szCs w:val="20"/>
              </w:rPr>
              <w:t>Midwives</w:t>
            </w:r>
          </w:p>
        </w:tc>
      </w:tr>
      <w:tr w:rsidR="00320333" w:rsidRPr="00260CE3" w:rsidTr="00980106">
        <w:trPr>
          <w:cantSplit/>
          <w:trHeight w:val="360"/>
        </w:trPr>
        <w:tc>
          <w:tcPr>
            <w:tcW w:w="2835" w:type="dxa"/>
            <w:tcBorders>
              <w:top w:val="single" w:sz="4" w:space="0" w:color="auto"/>
              <w:left w:val="single" w:sz="4" w:space="0" w:color="auto"/>
              <w:bottom w:val="single" w:sz="4" w:space="0" w:color="auto"/>
              <w:right w:val="single" w:sz="4" w:space="0" w:color="auto"/>
            </w:tcBorders>
          </w:tcPr>
          <w:p w:rsidR="00320333" w:rsidRPr="00260CE3" w:rsidRDefault="00320333" w:rsidP="00323E7A">
            <w:pPr>
              <w:widowControl/>
              <w:rPr>
                <w:rFonts w:ascii="Arial Narrow" w:hAnsi="Arial Narrow"/>
                <w:b/>
                <w:sz w:val="20"/>
                <w:szCs w:val="20"/>
              </w:rPr>
            </w:pPr>
            <w:r w:rsidRPr="00260CE3">
              <w:rPr>
                <w:rFonts w:ascii="Arial Narrow" w:hAnsi="Arial Narrow"/>
                <w:b/>
                <w:sz w:val="20"/>
                <w:szCs w:val="20"/>
              </w:rPr>
              <w:t>Episodicity:</w:t>
            </w:r>
          </w:p>
        </w:tc>
        <w:tc>
          <w:tcPr>
            <w:tcW w:w="5528" w:type="dxa"/>
            <w:tcBorders>
              <w:top w:val="single" w:sz="4" w:space="0" w:color="auto"/>
              <w:left w:val="single" w:sz="4" w:space="0" w:color="auto"/>
              <w:bottom w:val="single" w:sz="4" w:space="0" w:color="auto"/>
              <w:right w:val="single" w:sz="4" w:space="0" w:color="auto"/>
            </w:tcBorders>
          </w:tcPr>
          <w:p w:rsidR="00320333" w:rsidRPr="00260CE3" w:rsidRDefault="00320333" w:rsidP="00323E7A">
            <w:pPr>
              <w:widowControl/>
              <w:rPr>
                <w:rFonts w:ascii="Arial Narrow" w:hAnsi="Arial Narrow"/>
                <w:sz w:val="20"/>
                <w:szCs w:val="20"/>
              </w:rPr>
            </w:pPr>
            <w:r>
              <w:rPr>
                <w:rFonts w:ascii="Arial Narrow" w:hAnsi="Arial Narrow"/>
                <w:sz w:val="20"/>
                <w:szCs w:val="20"/>
              </w:rPr>
              <w:t>-</w:t>
            </w:r>
          </w:p>
        </w:tc>
      </w:tr>
      <w:tr w:rsidR="00320333" w:rsidRPr="00260CE3" w:rsidTr="00980106">
        <w:trPr>
          <w:cantSplit/>
          <w:trHeight w:val="360"/>
        </w:trPr>
        <w:tc>
          <w:tcPr>
            <w:tcW w:w="2835" w:type="dxa"/>
            <w:tcBorders>
              <w:top w:val="single" w:sz="4" w:space="0" w:color="auto"/>
              <w:left w:val="single" w:sz="4" w:space="0" w:color="auto"/>
              <w:bottom w:val="single" w:sz="4" w:space="0" w:color="auto"/>
              <w:right w:val="single" w:sz="4" w:space="0" w:color="auto"/>
            </w:tcBorders>
          </w:tcPr>
          <w:p w:rsidR="00320333" w:rsidRPr="00260CE3" w:rsidRDefault="00320333" w:rsidP="00323E7A">
            <w:pPr>
              <w:widowControl/>
              <w:rPr>
                <w:rFonts w:ascii="Arial Narrow" w:hAnsi="Arial Narrow"/>
                <w:b/>
                <w:sz w:val="20"/>
                <w:szCs w:val="20"/>
              </w:rPr>
            </w:pPr>
            <w:r w:rsidRPr="00260CE3">
              <w:rPr>
                <w:rFonts w:ascii="Arial Narrow" w:hAnsi="Arial Narrow"/>
                <w:b/>
                <w:sz w:val="20"/>
                <w:szCs w:val="20"/>
              </w:rPr>
              <w:t>Severity:</w:t>
            </w:r>
          </w:p>
        </w:tc>
        <w:tc>
          <w:tcPr>
            <w:tcW w:w="5528" w:type="dxa"/>
            <w:tcBorders>
              <w:top w:val="single" w:sz="4" w:space="0" w:color="auto"/>
              <w:left w:val="single" w:sz="4" w:space="0" w:color="auto"/>
              <w:bottom w:val="single" w:sz="4" w:space="0" w:color="auto"/>
              <w:right w:val="single" w:sz="4" w:space="0" w:color="auto"/>
            </w:tcBorders>
          </w:tcPr>
          <w:p w:rsidR="00320333" w:rsidRPr="00260CE3" w:rsidRDefault="00320333" w:rsidP="00323E7A">
            <w:pPr>
              <w:widowControl/>
              <w:rPr>
                <w:rFonts w:ascii="Arial Narrow" w:hAnsi="Arial Narrow"/>
                <w:sz w:val="20"/>
                <w:szCs w:val="20"/>
              </w:rPr>
            </w:pPr>
            <w:r>
              <w:rPr>
                <w:rFonts w:ascii="Arial Narrow" w:hAnsi="Arial Narrow"/>
                <w:sz w:val="20"/>
                <w:szCs w:val="20"/>
              </w:rPr>
              <w:t>Unresectable Stage III or Stage IV</w:t>
            </w:r>
          </w:p>
        </w:tc>
      </w:tr>
      <w:tr w:rsidR="00320333" w:rsidRPr="00260CE3" w:rsidTr="00980106">
        <w:trPr>
          <w:cantSplit/>
          <w:trHeight w:val="360"/>
        </w:trPr>
        <w:tc>
          <w:tcPr>
            <w:tcW w:w="2835" w:type="dxa"/>
            <w:tcBorders>
              <w:top w:val="single" w:sz="4" w:space="0" w:color="auto"/>
              <w:left w:val="single" w:sz="4" w:space="0" w:color="auto"/>
              <w:bottom w:val="single" w:sz="4" w:space="0" w:color="auto"/>
              <w:right w:val="single" w:sz="4" w:space="0" w:color="auto"/>
            </w:tcBorders>
          </w:tcPr>
          <w:p w:rsidR="00320333" w:rsidRPr="00260CE3" w:rsidRDefault="00320333" w:rsidP="00323E7A">
            <w:pPr>
              <w:widowControl/>
              <w:rPr>
                <w:rFonts w:ascii="Arial Narrow" w:hAnsi="Arial Narrow"/>
                <w:b/>
                <w:sz w:val="20"/>
                <w:szCs w:val="20"/>
              </w:rPr>
            </w:pPr>
            <w:r w:rsidRPr="00260CE3">
              <w:rPr>
                <w:rFonts w:ascii="Arial Narrow" w:hAnsi="Arial Narrow"/>
                <w:b/>
                <w:sz w:val="20"/>
                <w:szCs w:val="20"/>
              </w:rPr>
              <w:t>Condition:</w:t>
            </w:r>
          </w:p>
        </w:tc>
        <w:tc>
          <w:tcPr>
            <w:tcW w:w="5528" w:type="dxa"/>
            <w:tcBorders>
              <w:top w:val="single" w:sz="4" w:space="0" w:color="auto"/>
              <w:left w:val="single" w:sz="4" w:space="0" w:color="auto"/>
              <w:bottom w:val="single" w:sz="4" w:space="0" w:color="auto"/>
              <w:right w:val="single" w:sz="4" w:space="0" w:color="auto"/>
            </w:tcBorders>
          </w:tcPr>
          <w:p w:rsidR="00320333" w:rsidRPr="00260CE3" w:rsidRDefault="00320333" w:rsidP="00323E7A">
            <w:pPr>
              <w:widowControl/>
              <w:rPr>
                <w:rFonts w:ascii="Arial Narrow" w:hAnsi="Arial Narrow"/>
                <w:sz w:val="20"/>
                <w:szCs w:val="20"/>
              </w:rPr>
            </w:pPr>
            <w:r>
              <w:rPr>
                <w:rFonts w:ascii="Arial Narrow" w:hAnsi="Arial Narrow"/>
                <w:sz w:val="20"/>
                <w:szCs w:val="20"/>
              </w:rPr>
              <w:t>Malignant melanoma</w:t>
            </w:r>
          </w:p>
        </w:tc>
      </w:tr>
      <w:tr w:rsidR="00320333" w:rsidRPr="00260CE3" w:rsidTr="00980106">
        <w:trPr>
          <w:cantSplit/>
          <w:trHeight w:val="360"/>
        </w:trPr>
        <w:tc>
          <w:tcPr>
            <w:tcW w:w="2835" w:type="dxa"/>
            <w:tcBorders>
              <w:top w:val="single" w:sz="4" w:space="0" w:color="auto"/>
              <w:left w:val="single" w:sz="4" w:space="0" w:color="auto"/>
              <w:bottom w:val="single" w:sz="4" w:space="0" w:color="auto"/>
              <w:right w:val="single" w:sz="4" w:space="0" w:color="auto"/>
            </w:tcBorders>
          </w:tcPr>
          <w:p w:rsidR="00320333" w:rsidRPr="00260CE3" w:rsidRDefault="00320333" w:rsidP="00323E7A">
            <w:pPr>
              <w:widowControl/>
              <w:rPr>
                <w:rFonts w:ascii="Arial Narrow" w:hAnsi="Arial Narrow"/>
                <w:b/>
                <w:sz w:val="20"/>
                <w:szCs w:val="20"/>
              </w:rPr>
            </w:pPr>
            <w:r w:rsidRPr="00260CE3">
              <w:rPr>
                <w:rFonts w:ascii="Arial Narrow" w:hAnsi="Arial Narrow"/>
                <w:b/>
                <w:sz w:val="20"/>
                <w:szCs w:val="20"/>
              </w:rPr>
              <w:t>PBS Indication:</w:t>
            </w:r>
          </w:p>
        </w:tc>
        <w:tc>
          <w:tcPr>
            <w:tcW w:w="5528" w:type="dxa"/>
            <w:tcBorders>
              <w:top w:val="single" w:sz="4" w:space="0" w:color="auto"/>
              <w:left w:val="single" w:sz="4" w:space="0" w:color="auto"/>
              <w:bottom w:val="single" w:sz="4" w:space="0" w:color="auto"/>
              <w:right w:val="single" w:sz="4" w:space="0" w:color="auto"/>
            </w:tcBorders>
          </w:tcPr>
          <w:p w:rsidR="00320333" w:rsidRPr="00260CE3" w:rsidRDefault="00320333" w:rsidP="00323E7A">
            <w:pPr>
              <w:widowControl/>
              <w:rPr>
                <w:rFonts w:ascii="Arial Narrow" w:hAnsi="Arial Narrow"/>
                <w:sz w:val="20"/>
                <w:szCs w:val="20"/>
              </w:rPr>
            </w:pPr>
            <w:r>
              <w:rPr>
                <w:rFonts w:ascii="Arial Narrow" w:hAnsi="Arial Narrow"/>
                <w:sz w:val="20"/>
                <w:szCs w:val="20"/>
              </w:rPr>
              <w:t>Unresectable Stage III or Stage IV malignant melanoma</w:t>
            </w:r>
          </w:p>
        </w:tc>
      </w:tr>
      <w:tr w:rsidR="00320333" w:rsidRPr="00260CE3" w:rsidTr="00980106">
        <w:trPr>
          <w:cantSplit/>
          <w:trHeight w:val="360"/>
        </w:trPr>
        <w:tc>
          <w:tcPr>
            <w:tcW w:w="2835" w:type="dxa"/>
            <w:tcBorders>
              <w:top w:val="single" w:sz="4" w:space="0" w:color="auto"/>
              <w:left w:val="single" w:sz="4" w:space="0" w:color="auto"/>
              <w:bottom w:val="single" w:sz="4" w:space="0" w:color="auto"/>
              <w:right w:val="single" w:sz="4" w:space="0" w:color="auto"/>
            </w:tcBorders>
          </w:tcPr>
          <w:p w:rsidR="00320333" w:rsidRPr="00C0121C" w:rsidRDefault="00320333" w:rsidP="00323E7A">
            <w:pPr>
              <w:widowControl/>
              <w:rPr>
                <w:rFonts w:ascii="Arial Narrow" w:hAnsi="Arial Narrow"/>
                <w:b/>
                <w:sz w:val="20"/>
                <w:szCs w:val="20"/>
              </w:rPr>
            </w:pPr>
            <w:r w:rsidRPr="00260CE3">
              <w:rPr>
                <w:rFonts w:ascii="Arial Narrow" w:hAnsi="Arial Narrow"/>
                <w:b/>
                <w:sz w:val="20"/>
                <w:szCs w:val="20"/>
              </w:rPr>
              <w:t>Treatment phase:</w:t>
            </w:r>
          </w:p>
        </w:tc>
        <w:tc>
          <w:tcPr>
            <w:tcW w:w="5528" w:type="dxa"/>
            <w:tcBorders>
              <w:top w:val="single" w:sz="4" w:space="0" w:color="auto"/>
              <w:left w:val="single" w:sz="4" w:space="0" w:color="auto"/>
              <w:bottom w:val="single" w:sz="4" w:space="0" w:color="auto"/>
              <w:right w:val="single" w:sz="4" w:space="0" w:color="auto"/>
            </w:tcBorders>
          </w:tcPr>
          <w:p w:rsidR="00320333" w:rsidRPr="00260CE3" w:rsidRDefault="00320333" w:rsidP="00323E7A">
            <w:pPr>
              <w:widowControl/>
              <w:rPr>
                <w:rFonts w:ascii="Arial Narrow" w:hAnsi="Arial Narrow"/>
                <w:sz w:val="20"/>
                <w:szCs w:val="20"/>
              </w:rPr>
            </w:pPr>
            <w:r>
              <w:rPr>
                <w:rFonts w:ascii="Arial Narrow" w:hAnsi="Arial Narrow"/>
                <w:sz w:val="20"/>
                <w:szCs w:val="20"/>
              </w:rPr>
              <w:t>Continuing</w:t>
            </w:r>
          </w:p>
        </w:tc>
      </w:tr>
      <w:tr w:rsidR="00320333" w:rsidRPr="00260CE3" w:rsidTr="00980106">
        <w:trPr>
          <w:cantSplit/>
          <w:trHeight w:val="360"/>
        </w:trPr>
        <w:tc>
          <w:tcPr>
            <w:tcW w:w="2835" w:type="dxa"/>
            <w:tcBorders>
              <w:top w:val="single" w:sz="4" w:space="0" w:color="auto"/>
              <w:left w:val="single" w:sz="4" w:space="0" w:color="auto"/>
              <w:bottom w:val="single" w:sz="4" w:space="0" w:color="auto"/>
              <w:right w:val="single" w:sz="4" w:space="0" w:color="auto"/>
            </w:tcBorders>
          </w:tcPr>
          <w:p w:rsidR="00320333" w:rsidRPr="00C0121C" w:rsidRDefault="00320333" w:rsidP="00323E7A">
            <w:pPr>
              <w:widowControl/>
              <w:rPr>
                <w:rFonts w:ascii="Arial Narrow" w:hAnsi="Arial Narrow"/>
                <w:b/>
                <w:sz w:val="20"/>
                <w:szCs w:val="20"/>
              </w:rPr>
            </w:pPr>
            <w:r w:rsidRPr="00260CE3">
              <w:rPr>
                <w:rFonts w:ascii="Arial Narrow" w:hAnsi="Arial Narrow"/>
                <w:b/>
                <w:sz w:val="20"/>
                <w:szCs w:val="20"/>
              </w:rPr>
              <w:t>Restriction</w:t>
            </w:r>
            <w:r>
              <w:rPr>
                <w:rFonts w:ascii="Arial Narrow" w:hAnsi="Arial Narrow"/>
                <w:b/>
                <w:sz w:val="20"/>
                <w:szCs w:val="20"/>
              </w:rPr>
              <w:t xml:space="preserve"> Level / Method</w:t>
            </w:r>
            <w:r w:rsidRPr="00260CE3">
              <w:rPr>
                <w:rFonts w:ascii="Arial Narrow" w:hAnsi="Arial Narrow"/>
                <w:b/>
                <w:sz w:val="20"/>
                <w:szCs w:val="20"/>
              </w:rPr>
              <w:t>:</w:t>
            </w:r>
          </w:p>
        </w:tc>
        <w:tc>
          <w:tcPr>
            <w:tcW w:w="5528" w:type="dxa"/>
            <w:tcBorders>
              <w:top w:val="single" w:sz="4" w:space="0" w:color="auto"/>
              <w:left w:val="single" w:sz="4" w:space="0" w:color="auto"/>
              <w:bottom w:val="single" w:sz="4" w:space="0" w:color="auto"/>
              <w:right w:val="single" w:sz="4" w:space="0" w:color="auto"/>
            </w:tcBorders>
          </w:tcPr>
          <w:p w:rsidR="00320333" w:rsidRPr="00106BCF" w:rsidRDefault="006E129E" w:rsidP="00323E7A">
            <w:pPr>
              <w:widowControl/>
              <w:rPr>
                <w:rFonts w:ascii="Arial Narrow" w:hAnsi="Arial Narrow"/>
                <w:sz w:val="20"/>
                <w:szCs w:val="20"/>
              </w:rPr>
            </w:pPr>
            <w:r w:rsidRPr="00106BCF">
              <w:rPr>
                <w:rFonts w:ascii="Arial Narrow" w:hAnsi="Arial Narrow"/>
                <w:sz w:val="20"/>
                <w:szCs w:val="20"/>
              </w:rPr>
              <w:fldChar w:fldCharType="begin">
                <w:ffData>
                  <w:name w:val="Check1"/>
                  <w:enabled/>
                  <w:calcOnExit w:val="0"/>
                  <w:checkBox>
                    <w:sizeAuto/>
                    <w:default w:val="0"/>
                  </w:checkBox>
                </w:ffData>
              </w:fldChar>
            </w:r>
            <w:r w:rsidR="00320333" w:rsidRPr="00106BCF">
              <w:rPr>
                <w:rFonts w:ascii="Arial Narrow" w:hAnsi="Arial Narrow"/>
                <w:sz w:val="20"/>
                <w:szCs w:val="20"/>
              </w:rPr>
              <w:instrText xml:space="preserve"> FORMCHECKBOX </w:instrText>
            </w:r>
            <w:r w:rsidR="006E43DE">
              <w:rPr>
                <w:rFonts w:ascii="Arial Narrow" w:hAnsi="Arial Narrow"/>
                <w:sz w:val="20"/>
                <w:szCs w:val="20"/>
              </w:rPr>
            </w:r>
            <w:r w:rsidR="006E43DE">
              <w:rPr>
                <w:rFonts w:ascii="Arial Narrow" w:hAnsi="Arial Narrow"/>
                <w:sz w:val="20"/>
                <w:szCs w:val="20"/>
              </w:rPr>
              <w:fldChar w:fldCharType="separate"/>
            </w:r>
            <w:r w:rsidRPr="00106BCF">
              <w:rPr>
                <w:rFonts w:ascii="Arial Narrow" w:hAnsi="Arial Narrow"/>
                <w:sz w:val="20"/>
                <w:szCs w:val="20"/>
              </w:rPr>
              <w:fldChar w:fldCharType="end"/>
            </w:r>
            <w:r w:rsidR="00320333" w:rsidRPr="00106BCF">
              <w:rPr>
                <w:rFonts w:ascii="Arial Narrow" w:hAnsi="Arial Narrow"/>
                <w:sz w:val="20"/>
                <w:szCs w:val="20"/>
              </w:rPr>
              <w:t>Restricted benefit</w:t>
            </w:r>
          </w:p>
          <w:p w:rsidR="00320333" w:rsidRPr="00106BCF" w:rsidRDefault="006E129E" w:rsidP="00323E7A">
            <w:pPr>
              <w:widowControl/>
              <w:rPr>
                <w:rFonts w:ascii="Arial Narrow" w:hAnsi="Arial Narrow"/>
                <w:sz w:val="20"/>
                <w:szCs w:val="20"/>
              </w:rPr>
            </w:pPr>
            <w:r w:rsidRPr="00106BCF">
              <w:rPr>
                <w:rFonts w:ascii="Arial Narrow" w:hAnsi="Arial Narrow"/>
                <w:sz w:val="20"/>
                <w:szCs w:val="20"/>
              </w:rPr>
              <w:fldChar w:fldCharType="begin">
                <w:ffData>
                  <w:name w:val=""/>
                  <w:enabled/>
                  <w:calcOnExit w:val="0"/>
                  <w:checkBox>
                    <w:sizeAuto/>
                    <w:default w:val="0"/>
                  </w:checkBox>
                </w:ffData>
              </w:fldChar>
            </w:r>
            <w:r w:rsidR="00320333" w:rsidRPr="00106BCF">
              <w:rPr>
                <w:rFonts w:ascii="Arial Narrow" w:hAnsi="Arial Narrow"/>
                <w:sz w:val="20"/>
                <w:szCs w:val="20"/>
              </w:rPr>
              <w:instrText xml:space="preserve"> FORMCHECKBOX </w:instrText>
            </w:r>
            <w:r w:rsidR="006E43DE">
              <w:rPr>
                <w:rFonts w:ascii="Arial Narrow" w:hAnsi="Arial Narrow"/>
                <w:sz w:val="20"/>
                <w:szCs w:val="20"/>
              </w:rPr>
            </w:r>
            <w:r w:rsidR="006E43DE">
              <w:rPr>
                <w:rFonts w:ascii="Arial Narrow" w:hAnsi="Arial Narrow"/>
                <w:sz w:val="20"/>
                <w:szCs w:val="20"/>
              </w:rPr>
              <w:fldChar w:fldCharType="separate"/>
            </w:r>
            <w:r w:rsidRPr="00106BCF">
              <w:rPr>
                <w:rFonts w:ascii="Arial Narrow" w:hAnsi="Arial Narrow"/>
                <w:sz w:val="20"/>
                <w:szCs w:val="20"/>
              </w:rPr>
              <w:fldChar w:fldCharType="end"/>
            </w:r>
            <w:r w:rsidR="00320333" w:rsidRPr="00106BCF">
              <w:rPr>
                <w:rFonts w:ascii="Arial Narrow" w:hAnsi="Arial Narrow"/>
                <w:sz w:val="20"/>
                <w:szCs w:val="20"/>
              </w:rPr>
              <w:t>Authority Required - In Writing</w:t>
            </w:r>
          </w:p>
          <w:p w:rsidR="00320333" w:rsidRPr="00106BCF" w:rsidRDefault="006E129E" w:rsidP="00323E7A">
            <w:pPr>
              <w:widowControl/>
              <w:rPr>
                <w:rFonts w:ascii="Arial Narrow" w:hAnsi="Arial Narrow"/>
                <w:sz w:val="20"/>
                <w:szCs w:val="20"/>
              </w:rPr>
            </w:pPr>
            <w:r w:rsidRPr="00106BCF">
              <w:rPr>
                <w:rFonts w:ascii="Arial Narrow" w:hAnsi="Arial Narrow"/>
                <w:sz w:val="20"/>
                <w:szCs w:val="20"/>
              </w:rPr>
              <w:fldChar w:fldCharType="begin">
                <w:ffData>
                  <w:name w:val="Check3"/>
                  <w:enabled/>
                  <w:calcOnExit w:val="0"/>
                  <w:checkBox>
                    <w:sizeAuto/>
                    <w:default w:val="0"/>
                  </w:checkBox>
                </w:ffData>
              </w:fldChar>
            </w:r>
            <w:r w:rsidR="00320333" w:rsidRPr="00106BCF">
              <w:rPr>
                <w:rFonts w:ascii="Arial Narrow" w:hAnsi="Arial Narrow"/>
                <w:sz w:val="20"/>
                <w:szCs w:val="20"/>
              </w:rPr>
              <w:instrText xml:space="preserve"> FORMCHECKBOX </w:instrText>
            </w:r>
            <w:r w:rsidR="006E43DE">
              <w:rPr>
                <w:rFonts w:ascii="Arial Narrow" w:hAnsi="Arial Narrow"/>
                <w:sz w:val="20"/>
                <w:szCs w:val="20"/>
              </w:rPr>
            </w:r>
            <w:r w:rsidR="006E43DE">
              <w:rPr>
                <w:rFonts w:ascii="Arial Narrow" w:hAnsi="Arial Narrow"/>
                <w:sz w:val="20"/>
                <w:szCs w:val="20"/>
              </w:rPr>
              <w:fldChar w:fldCharType="separate"/>
            </w:r>
            <w:r w:rsidRPr="00106BCF">
              <w:rPr>
                <w:rFonts w:ascii="Arial Narrow" w:hAnsi="Arial Narrow"/>
                <w:sz w:val="20"/>
                <w:szCs w:val="20"/>
              </w:rPr>
              <w:fldChar w:fldCharType="end"/>
            </w:r>
            <w:r w:rsidR="00320333" w:rsidRPr="00106BCF">
              <w:rPr>
                <w:rFonts w:ascii="Arial Narrow" w:hAnsi="Arial Narrow"/>
                <w:sz w:val="20"/>
                <w:szCs w:val="20"/>
              </w:rPr>
              <w:t>Authority Required - Telephone</w:t>
            </w:r>
          </w:p>
          <w:p w:rsidR="00320333" w:rsidRPr="00106BCF" w:rsidRDefault="006E129E" w:rsidP="00323E7A">
            <w:pPr>
              <w:widowControl/>
              <w:rPr>
                <w:rFonts w:ascii="Arial Narrow" w:hAnsi="Arial Narrow"/>
                <w:sz w:val="20"/>
                <w:szCs w:val="20"/>
              </w:rPr>
            </w:pPr>
            <w:r w:rsidRPr="00106BCF">
              <w:rPr>
                <w:rFonts w:ascii="Arial Narrow" w:hAnsi="Arial Narrow"/>
                <w:sz w:val="20"/>
                <w:szCs w:val="20"/>
              </w:rPr>
              <w:fldChar w:fldCharType="begin">
                <w:ffData>
                  <w:name w:val=""/>
                  <w:enabled/>
                  <w:calcOnExit w:val="0"/>
                  <w:checkBox>
                    <w:sizeAuto/>
                    <w:default w:val="0"/>
                  </w:checkBox>
                </w:ffData>
              </w:fldChar>
            </w:r>
            <w:r w:rsidR="00320333" w:rsidRPr="00106BCF">
              <w:rPr>
                <w:rFonts w:ascii="Arial Narrow" w:hAnsi="Arial Narrow"/>
                <w:sz w:val="20"/>
                <w:szCs w:val="20"/>
              </w:rPr>
              <w:instrText xml:space="preserve"> FORMCHECKBOX </w:instrText>
            </w:r>
            <w:r w:rsidR="006E43DE">
              <w:rPr>
                <w:rFonts w:ascii="Arial Narrow" w:hAnsi="Arial Narrow"/>
                <w:sz w:val="20"/>
                <w:szCs w:val="20"/>
              </w:rPr>
            </w:r>
            <w:r w:rsidR="006E43DE">
              <w:rPr>
                <w:rFonts w:ascii="Arial Narrow" w:hAnsi="Arial Narrow"/>
                <w:sz w:val="20"/>
                <w:szCs w:val="20"/>
              </w:rPr>
              <w:fldChar w:fldCharType="separate"/>
            </w:r>
            <w:r w:rsidRPr="00106BCF">
              <w:rPr>
                <w:rFonts w:ascii="Arial Narrow" w:hAnsi="Arial Narrow"/>
                <w:sz w:val="20"/>
                <w:szCs w:val="20"/>
              </w:rPr>
              <w:fldChar w:fldCharType="end"/>
            </w:r>
            <w:r w:rsidR="00320333" w:rsidRPr="00106BCF">
              <w:rPr>
                <w:rFonts w:ascii="Arial Narrow" w:hAnsi="Arial Narrow"/>
                <w:sz w:val="20"/>
                <w:szCs w:val="20"/>
              </w:rPr>
              <w:t>Authority Required – Emergency</w:t>
            </w:r>
          </w:p>
          <w:p w:rsidR="00320333" w:rsidRPr="00106BCF" w:rsidRDefault="006E129E" w:rsidP="00323E7A">
            <w:pPr>
              <w:widowControl/>
              <w:rPr>
                <w:rFonts w:ascii="Arial Narrow" w:hAnsi="Arial Narrow"/>
                <w:sz w:val="20"/>
                <w:szCs w:val="20"/>
              </w:rPr>
            </w:pPr>
            <w:r w:rsidRPr="00106BCF">
              <w:rPr>
                <w:rFonts w:ascii="Arial Narrow" w:hAnsi="Arial Narrow"/>
                <w:sz w:val="20"/>
                <w:szCs w:val="20"/>
              </w:rPr>
              <w:fldChar w:fldCharType="begin">
                <w:ffData>
                  <w:name w:val="Check5"/>
                  <w:enabled/>
                  <w:calcOnExit w:val="0"/>
                  <w:checkBox>
                    <w:sizeAuto/>
                    <w:default w:val="0"/>
                  </w:checkBox>
                </w:ffData>
              </w:fldChar>
            </w:r>
            <w:r w:rsidR="00320333" w:rsidRPr="00106BCF">
              <w:rPr>
                <w:rFonts w:ascii="Arial Narrow" w:hAnsi="Arial Narrow"/>
                <w:sz w:val="20"/>
                <w:szCs w:val="20"/>
              </w:rPr>
              <w:instrText xml:space="preserve"> FORMCHECKBOX </w:instrText>
            </w:r>
            <w:r w:rsidR="006E43DE">
              <w:rPr>
                <w:rFonts w:ascii="Arial Narrow" w:hAnsi="Arial Narrow"/>
                <w:sz w:val="20"/>
                <w:szCs w:val="20"/>
              </w:rPr>
            </w:r>
            <w:r w:rsidR="006E43DE">
              <w:rPr>
                <w:rFonts w:ascii="Arial Narrow" w:hAnsi="Arial Narrow"/>
                <w:sz w:val="20"/>
                <w:szCs w:val="20"/>
              </w:rPr>
              <w:fldChar w:fldCharType="separate"/>
            </w:r>
            <w:r w:rsidRPr="00106BCF">
              <w:rPr>
                <w:rFonts w:ascii="Arial Narrow" w:hAnsi="Arial Narrow"/>
                <w:sz w:val="20"/>
                <w:szCs w:val="20"/>
              </w:rPr>
              <w:fldChar w:fldCharType="end"/>
            </w:r>
            <w:r w:rsidR="00320333" w:rsidRPr="00106BCF">
              <w:rPr>
                <w:rFonts w:ascii="Arial Narrow" w:hAnsi="Arial Narrow"/>
                <w:sz w:val="20"/>
                <w:szCs w:val="20"/>
              </w:rPr>
              <w:t>Authority Required - Electronic</w:t>
            </w:r>
          </w:p>
          <w:p w:rsidR="00320333" w:rsidRPr="00260CE3" w:rsidRDefault="006E129E" w:rsidP="00323E7A">
            <w:pPr>
              <w:widowControl/>
              <w:rPr>
                <w:rFonts w:ascii="Arial Narrow" w:hAnsi="Arial Narrow"/>
                <w:sz w:val="20"/>
                <w:szCs w:val="20"/>
              </w:rPr>
            </w:pPr>
            <w:r>
              <w:rPr>
                <w:rFonts w:ascii="Arial Narrow" w:hAnsi="Arial Narrow"/>
                <w:sz w:val="20"/>
                <w:szCs w:val="20"/>
              </w:rPr>
              <w:fldChar w:fldCharType="begin">
                <w:ffData>
                  <w:name w:val="Check5"/>
                  <w:enabled/>
                  <w:calcOnExit w:val="0"/>
                  <w:checkBox>
                    <w:sizeAuto/>
                    <w:default w:val="1"/>
                  </w:checkBox>
                </w:ffData>
              </w:fldChar>
            </w:r>
            <w:r w:rsidR="00320333">
              <w:rPr>
                <w:rFonts w:ascii="Arial Narrow" w:hAnsi="Arial Narrow"/>
                <w:sz w:val="20"/>
                <w:szCs w:val="20"/>
              </w:rPr>
              <w:instrText xml:space="preserve"> FORMCHECKBOX </w:instrText>
            </w:r>
            <w:r w:rsidR="006E43DE">
              <w:rPr>
                <w:rFonts w:ascii="Arial Narrow" w:hAnsi="Arial Narrow"/>
                <w:sz w:val="20"/>
                <w:szCs w:val="20"/>
              </w:rPr>
            </w:r>
            <w:r w:rsidR="006E43DE">
              <w:rPr>
                <w:rFonts w:ascii="Arial Narrow" w:hAnsi="Arial Narrow"/>
                <w:sz w:val="20"/>
                <w:szCs w:val="20"/>
              </w:rPr>
              <w:fldChar w:fldCharType="separate"/>
            </w:r>
            <w:r>
              <w:rPr>
                <w:rFonts w:ascii="Arial Narrow" w:hAnsi="Arial Narrow"/>
                <w:sz w:val="20"/>
                <w:szCs w:val="20"/>
              </w:rPr>
              <w:fldChar w:fldCharType="end"/>
            </w:r>
            <w:r w:rsidR="00320333" w:rsidRPr="00106BCF">
              <w:rPr>
                <w:rFonts w:ascii="Arial Narrow" w:hAnsi="Arial Narrow"/>
                <w:sz w:val="20"/>
                <w:szCs w:val="20"/>
              </w:rPr>
              <w:t>Streamlined</w:t>
            </w:r>
          </w:p>
        </w:tc>
      </w:tr>
      <w:tr w:rsidR="00320333" w:rsidRPr="00260CE3" w:rsidTr="00980106">
        <w:trPr>
          <w:cantSplit/>
          <w:trHeight w:val="1184"/>
        </w:trPr>
        <w:tc>
          <w:tcPr>
            <w:tcW w:w="2835" w:type="dxa"/>
            <w:tcBorders>
              <w:top w:val="single" w:sz="4" w:space="0" w:color="auto"/>
              <w:left w:val="single" w:sz="4" w:space="0" w:color="auto"/>
              <w:bottom w:val="single" w:sz="4" w:space="0" w:color="auto"/>
              <w:right w:val="single" w:sz="4" w:space="0" w:color="auto"/>
            </w:tcBorders>
          </w:tcPr>
          <w:p w:rsidR="00320333" w:rsidRPr="00044AC5" w:rsidRDefault="00320333" w:rsidP="00323E7A">
            <w:pPr>
              <w:widowControl/>
              <w:rPr>
                <w:rFonts w:ascii="Arial Narrow" w:hAnsi="Arial Narrow"/>
                <w:b/>
                <w:sz w:val="20"/>
                <w:szCs w:val="20"/>
              </w:rPr>
            </w:pPr>
            <w:r w:rsidRPr="00260CE3">
              <w:rPr>
                <w:rFonts w:ascii="Arial Narrow" w:hAnsi="Arial Narrow"/>
                <w:b/>
                <w:sz w:val="20"/>
                <w:szCs w:val="20"/>
              </w:rPr>
              <w:t>Clinical criteria:</w:t>
            </w:r>
          </w:p>
        </w:tc>
        <w:tc>
          <w:tcPr>
            <w:tcW w:w="5528" w:type="dxa"/>
            <w:tcBorders>
              <w:top w:val="single" w:sz="4" w:space="0" w:color="auto"/>
              <w:left w:val="single" w:sz="4" w:space="0" w:color="auto"/>
              <w:bottom w:val="single" w:sz="4" w:space="0" w:color="auto"/>
              <w:right w:val="single" w:sz="4" w:space="0" w:color="auto"/>
            </w:tcBorders>
          </w:tcPr>
          <w:p w:rsidR="00320333" w:rsidRDefault="00320333" w:rsidP="00323E7A">
            <w:pPr>
              <w:widowControl/>
              <w:rPr>
                <w:rFonts w:ascii="Arial Narrow" w:hAnsi="Arial Narrow"/>
                <w:sz w:val="20"/>
                <w:szCs w:val="20"/>
              </w:rPr>
            </w:pPr>
            <w:r w:rsidRPr="003776D3">
              <w:rPr>
                <w:rFonts w:ascii="Arial Narrow" w:hAnsi="Arial Narrow"/>
                <w:sz w:val="20"/>
                <w:szCs w:val="20"/>
              </w:rPr>
              <w:t>Patient must have previously been issued with an authority prescription for t</w:t>
            </w:r>
            <w:r>
              <w:rPr>
                <w:rFonts w:ascii="Arial Narrow" w:hAnsi="Arial Narrow"/>
                <w:sz w:val="20"/>
                <w:szCs w:val="20"/>
              </w:rPr>
              <w:t>his drug</w:t>
            </w:r>
          </w:p>
          <w:p w:rsidR="00320333" w:rsidRPr="003776D3" w:rsidRDefault="00320333" w:rsidP="00323E7A">
            <w:pPr>
              <w:widowControl/>
              <w:rPr>
                <w:rFonts w:ascii="Arial Narrow" w:hAnsi="Arial Narrow"/>
                <w:sz w:val="20"/>
                <w:szCs w:val="20"/>
              </w:rPr>
            </w:pPr>
          </w:p>
          <w:p w:rsidR="00320333" w:rsidRDefault="00320333" w:rsidP="00323E7A">
            <w:pPr>
              <w:widowControl/>
              <w:rPr>
                <w:rFonts w:ascii="Arial Narrow" w:hAnsi="Arial Narrow"/>
                <w:sz w:val="20"/>
                <w:szCs w:val="20"/>
              </w:rPr>
            </w:pPr>
            <w:r w:rsidRPr="003776D3">
              <w:rPr>
                <w:rFonts w:ascii="Arial Narrow" w:hAnsi="Arial Narrow"/>
                <w:sz w:val="20"/>
                <w:szCs w:val="20"/>
              </w:rPr>
              <w:t>AND</w:t>
            </w:r>
          </w:p>
          <w:p w:rsidR="00320333" w:rsidRPr="003776D3" w:rsidRDefault="00320333" w:rsidP="00323E7A">
            <w:pPr>
              <w:widowControl/>
              <w:rPr>
                <w:rFonts w:ascii="Arial Narrow" w:hAnsi="Arial Narrow"/>
                <w:sz w:val="20"/>
                <w:szCs w:val="20"/>
              </w:rPr>
            </w:pPr>
          </w:p>
          <w:p w:rsidR="00320333" w:rsidRPr="00C0121C" w:rsidRDefault="00320333" w:rsidP="00323E7A">
            <w:pPr>
              <w:widowControl/>
              <w:rPr>
                <w:rFonts w:ascii="Arial Narrow" w:hAnsi="Arial Narrow"/>
                <w:sz w:val="20"/>
                <w:szCs w:val="20"/>
              </w:rPr>
            </w:pPr>
            <w:r>
              <w:rPr>
                <w:rFonts w:ascii="Arial Narrow" w:hAnsi="Arial Narrow"/>
                <w:sz w:val="20"/>
                <w:szCs w:val="20"/>
              </w:rPr>
              <w:t>The t</w:t>
            </w:r>
            <w:r w:rsidRPr="00C0121C">
              <w:rPr>
                <w:rFonts w:ascii="Arial Narrow" w:hAnsi="Arial Narrow"/>
                <w:sz w:val="20"/>
                <w:szCs w:val="20"/>
              </w:rPr>
              <w:t>reatment must be the sole PBS-subsidised therapy for this condition</w:t>
            </w:r>
          </w:p>
          <w:p w:rsidR="00320333" w:rsidRPr="00C0121C" w:rsidRDefault="00320333" w:rsidP="00323E7A">
            <w:pPr>
              <w:widowControl/>
              <w:rPr>
                <w:rFonts w:ascii="Arial Narrow" w:hAnsi="Arial Narrow"/>
                <w:sz w:val="20"/>
                <w:szCs w:val="20"/>
              </w:rPr>
            </w:pPr>
          </w:p>
          <w:p w:rsidR="00320333" w:rsidRPr="00C0121C" w:rsidRDefault="00320333" w:rsidP="00323E7A">
            <w:pPr>
              <w:widowControl/>
              <w:rPr>
                <w:rFonts w:ascii="Arial Narrow" w:hAnsi="Arial Narrow"/>
                <w:sz w:val="20"/>
                <w:szCs w:val="20"/>
              </w:rPr>
            </w:pPr>
            <w:r w:rsidRPr="00C0121C">
              <w:rPr>
                <w:rFonts w:ascii="Arial Narrow" w:hAnsi="Arial Narrow"/>
                <w:sz w:val="20"/>
                <w:szCs w:val="20"/>
              </w:rPr>
              <w:t>AND</w:t>
            </w:r>
          </w:p>
          <w:p w:rsidR="00320333" w:rsidRPr="00C0121C" w:rsidRDefault="00320333" w:rsidP="00323E7A">
            <w:pPr>
              <w:widowControl/>
              <w:rPr>
                <w:rFonts w:ascii="Arial Narrow" w:hAnsi="Arial Narrow"/>
                <w:sz w:val="20"/>
                <w:szCs w:val="20"/>
              </w:rPr>
            </w:pPr>
          </w:p>
          <w:p w:rsidR="00320333" w:rsidRPr="00A715A4" w:rsidRDefault="00320333" w:rsidP="00323E7A">
            <w:pPr>
              <w:widowControl/>
              <w:rPr>
                <w:rFonts w:ascii="Arial Narrow" w:hAnsi="Arial Narrow"/>
                <w:sz w:val="20"/>
                <w:szCs w:val="20"/>
              </w:rPr>
            </w:pPr>
            <w:r w:rsidRPr="003776D3">
              <w:rPr>
                <w:rFonts w:ascii="Arial Narrow" w:hAnsi="Arial Narrow"/>
                <w:sz w:val="20"/>
                <w:szCs w:val="20"/>
              </w:rPr>
              <w:t>Patient must have stable or responding disease.</w:t>
            </w:r>
          </w:p>
        </w:tc>
      </w:tr>
      <w:tr w:rsidR="00320333" w:rsidRPr="00260CE3" w:rsidTr="00980106">
        <w:trPr>
          <w:cantSplit/>
          <w:trHeight w:val="508"/>
        </w:trPr>
        <w:tc>
          <w:tcPr>
            <w:tcW w:w="2835" w:type="dxa"/>
            <w:tcBorders>
              <w:top w:val="single" w:sz="4" w:space="0" w:color="auto"/>
              <w:left w:val="single" w:sz="4" w:space="0" w:color="auto"/>
              <w:bottom w:val="single" w:sz="4" w:space="0" w:color="auto"/>
              <w:right w:val="single" w:sz="4" w:space="0" w:color="auto"/>
            </w:tcBorders>
          </w:tcPr>
          <w:p w:rsidR="00320333" w:rsidRPr="00260CE3" w:rsidRDefault="00320333" w:rsidP="00323E7A">
            <w:pPr>
              <w:widowControl/>
              <w:rPr>
                <w:rFonts w:ascii="Arial Narrow" w:hAnsi="Arial Narrow"/>
                <w:b/>
                <w:sz w:val="20"/>
                <w:szCs w:val="20"/>
              </w:rPr>
            </w:pPr>
            <w:r w:rsidRPr="00260CE3">
              <w:rPr>
                <w:rFonts w:ascii="Arial Narrow" w:hAnsi="Arial Narrow"/>
                <w:b/>
                <w:sz w:val="20"/>
                <w:szCs w:val="20"/>
              </w:rPr>
              <w:lastRenderedPageBreak/>
              <w:t>Prescriber Instructions</w:t>
            </w:r>
          </w:p>
          <w:p w:rsidR="00320333" w:rsidRPr="00260CE3" w:rsidRDefault="00320333" w:rsidP="00323E7A">
            <w:pPr>
              <w:widowControl/>
              <w:rPr>
                <w:rFonts w:ascii="Arial Narrow" w:hAnsi="Arial Narrow"/>
                <w:sz w:val="20"/>
                <w:szCs w:val="20"/>
              </w:rPr>
            </w:pPr>
          </w:p>
        </w:tc>
        <w:tc>
          <w:tcPr>
            <w:tcW w:w="5528" w:type="dxa"/>
            <w:tcBorders>
              <w:top w:val="single" w:sz="4" w:space="0" w:color="auto"/>
              <w:left w:val="single" w:sz="4" w:space="0" w:color="auto"/>
              <w:bottom w:val="single" w:sz="4" w:space="0" w:color="auto"/>
              <w:right w:val="single" w:sz="4" w:space="0" w:color="auto"/>
            </w:tcBorders>
          </w:tcPr>
          <w:p w:rsidR="00320333" w:rsidRPr="00260CE3" w:rsidRDefault="00320333" w:rsidP="00323E7A">
            <w:pPr>
              <w:widowControl/>
              <w:rPr>
                <w:rFonts w:ascii="Arial Narrow" w:hAnsi="Arial Narrow"/>
                <w:sz w:val="20"/>
                <w:szCs w:val="20"/>
              </w:rPr>
            </w:pPr>
            <w:r w:rsidRPr="00C0121C">
              <w:rPr>
                <w:rFonts w:ascii="Arial Narrow" w:hAnsi="Arial Narrow"/>
                <w:sz w:val="20"/>
                <w:szCs w:val="20"/>
              </w:rPr>
              <w:t>The patient’s body weight must be documented in the patient’s medical records at the time treatment is initiated.</w:t>
            </w:r>
          </w:p>
        </w:tc>
      </w:tr>
      <w:tr w:rsidR="00320333" w:rsidRPr="00260CE3" w:rsidTr="0043765A">
        <w:trPr>
          <w:cantSplit/>
          <w:trHeight w:val="1171"/>
        </w:trPr>
        <w:tc>
          <w:tcPr>
            <w:tcW w:w="2835" w:type="dxa"/>
            <w:tcBorders>
              <w:top w:val="single" w:sz="4" w:space="0" w:color="auto"/>
              <w:left w:val="single" w:sz="4" w:space="0" w:color="auto"/>
              <w:bottom w:val="single" w:sz="4" w:space="0" w:color="auto"/>
              <w:right w:val="single" w:sz="4" w:space="0" w:color="auto"/>
            </w:tcBorders>
          </w:tcPr>
          <w:p w:rsidR="00320333" w:rsidRPr="00C0121C" w:rsidRDefault="00320333" w:rsidP="00323E7A">
            <w:pPr>
              <w:widowControl/>
              <w:rPr>
                <w:rFonts w:ascii="Arial Narrow" w:hAnsi="Arial Narrow"/>
                <w:b/>
                <w:sz w:val="20"/>
                <w:szCs w:val="20"/>
              </w:rPr>
            </w:pPr>
            <w:r w:rsidRPr="00260CE3">
              <w:rPr>
                <w:rFonts w:ascii="Arial Narrow" w:hAnsi="Arial Narrow"/>
                <w:b/>
                <w:sz w:val="20"/>
                <w:szCs w:val="20"/>
              </w:rPr>
              <w:t>Administrative Advice</w:t>
            </w:r>
          </w:p>
        </w:tc>
        <w:tc>
          <w:tcPr>
            <w:tcW w:w="5528" w:type="dxa"/>
            <w:tcBorders>
              <w:top w:val="single" w:sz="4" w:space="0" w:color="auto"/>
              <w:left w:val="single" w:sz="4" w:space="0" w:color="auto"/>
              <w:bottom w:val="single" w:sz="4" w:space="0" w:color="auto"/>
              <w:right w:val="single" w:sz="4" w:space="0" w:color="auto"/>
            </w:tcBorders>
          </w:tcPr>
          <w:p w:rsidR="00320333" w:rsidRDefault="00320333" w:rsidP="00323E7A">
            <w:pPr>
              <w:widowControl/>
              <w:rPr>
                <w:rFonts w:ascii="Arial Narrow" w:hAnsi="Arial Narrow"/>
                <w:strike/>
                <w:sz w:val="20"/>
                <w:szCs w:val="20"/>
              </w:rPr>
            </w:pPr>
            <w:r w:rsidRPr="00C0121C">
              <w:rPr>
                <w:rFonts w:ascii="Arial Narrow" w:hAnsi="Arial Narrow"/>
                <w:strike/>
                <w:sz w:val="20"/>
                <w:szCs w:val="20"/>
              </w:rPr>
              <w:t>The recommended dose of nivolumab is 3 mg/kg administered intravenously over 60 minutes every 2 weeks.</w:t>
            </w:r>
          </w:p>
          <w:p w:rsidR="00320333" w:rsidRDefault="00320333" w:rsidP="00323E7A">
            <w:pPr>
              <w:widowControl/>
              <w:rPr>
                <w:rFonts w:ascii="Arial Narrow" w:hAnsi="Arial Narrow"/>
                <w:i/>
                <w:sz w:val="20"/>
                <w:szCs w:val="20"/>
              </w:rPr>
            </w:pPr>
            <w:r w:rsidRPr="00C5156F">
              <w:rPr>
                <w:rFonts w:ascii="Arial Narrow" w:hAnsi="Arial Narrow"/>
                <w:i/>
                <w:sz w:val="20"/>
                <w:szCs w:val="20"/>
              </w:rPr>
              <w:t>No increase in the maximum number of repeats may be authorised.</w:t>
            </w:r>
          </w:p>
          <w:p w:rsidR="00320333" w:rsidRDefault="00320333" w:rsidP="00323E7A">
            <w:pPr>
              <w:widowControl/>
              <w:rPr>
                <w:rFonts w:ascii="Arial Narrow" w:hAnsi="Arial Narrow"/>
                <w:i/>
                <w:sz w:val="20"/>
                <w:szCs w:val="20"/>
              </w:rPr>
            </w:pPr>
          </w:p>
          <w:p w:rsidR="00320333" w:rsidRPr="00E21DAB" w:rsidRDefault="00320333" w:rsidP="00323E7A">
            <w:pPr>
              <w:widowControl/>
              <w:rPr>
                <w:rFonts w:ascii="Arial Narrow" w:hAnsi="Arial Narrow"/>
                <w:i/>
                <w:sz w:val="20"/>
                <w:szCs w:val="20"/>
              </w:rPr>
            </w:pPr>
            <w:r w:rsidRPr="00C5156F">
              <w:rPr>
                <w:rFonts w:ascii="Arial Narrow" w:hAnsi="Arial Narrow"/>
                <w:i/>
                <w:sz w:val="20"/>
                <w:szCs w:val="20"/>
              </w:rPr>
              <w:t>Special Pricing Arrangements apply.</w:t>
            </w:r>
          </w:p>
        </w:tc>
      </w:tr>
    </w:tbl>
    <w:p w:rsidR="00320333" w:rsidRPr="00A054F8" w:rsidRDefault="00320333" w:rsidP="00323E7A">
      <w:pPr>
        <w:widowControl/>
        <w:rPr>
          <w:szCs w:val="22"/>
        </w:rPr>
      </w:pPr>
    </w:p>
    <w:p w:rsidR="003B3344" w:rsidRPr="00210778" w:rsidRDefault="003B3344" w:rsidP="00323E7A">
      <w:pPr>
        <w:pStyle w:val="ListParagraph"/>
        <w:widowControl/>
        <w:numPr>
          <w:ilvl w:val="1"/>
          <w:numId w:val="23"/>
        </w:numPr>
        <w:ind w:left="709" w:hanging="709"/>
      </w:pPr>
      <w:r w:rsidRPr="00210778">
        <w:t xml:space="preserve">The </w:t>
      </w:r>
      <w:r>
        <w:t xml:space="preserve">requested listing differs from the PBAC-recommended </w:t>
      </w:r>
      <w:r w:rsidR="008C3485">
        <w:t xml:space="preserve">PBS </w:t>
      </w:r>
      <w:r>
        <w:t>listing for pembrolizumab</w:t>
      </w:r>
      <w:r w:rsidR="00323E7A">
        <w:t xml:space="preserve"> (see the </w:t>
      </w:r>
      <w:r w:rsidR="00323E7A" w:rsidRPr="00930DE3">
        <w:t>positive recommendations from the March 2015 meeting</w:t>
      </w:r>
      <w:r w:rsidR="00323E7A">
        <w:t>)</w:t>
      </w:r>
      <w:r>
        <w:t xml:space="preserve">, which </w:t>
      </w:r>
      <w:r w:rsidR="00F9085B">
        <w:t>wa</w:t>
      </w:r>
      <w:r>
        <w:t xml:space="preserve">s recommended to be for patients who have not been exposed to ipilimumab, </w:t>
      </w:r>
      <w:r w:rsidR="008C3485">
        <w:t xml:space="preserve">with </w:t>
      </w:r>
      <w:r>
        <w:t>the sponsor of pembrolizumab provid</w:t>
      </w:r>
      <w:r w:rsidR="008C3485">
        <w:t>ing subsidised</w:t>
      </w:r>
      <w:r>
        <w:t xml:space="preserve"> access </w:t>
      </w:r>
      <w:r w:rsidR="008C3485">
        <w:t xml:space="preserve">to pembrolizumab </w:t>
      </w:r>
      <w:r>
        <w:t>for patients who are refractory to ipilimumab.</w:t>
      </w:r>
    </w:p>
    <w:p w:rsidR="003B3344" w:rsidRPr="00210778" w:rsidRDefault="003B3344" w:rsidP="00323E7A">
      <w:pPr>
        <w:widowControl/>
      </w:pPr>
    </w:p>
    <w:p w:rsidR="002C2775" w:rsidRDefault="00A054F8" w:rsidP="00323E7A">
      <w:pPr>
        <w:pStyle w:val="ListParagraph"/>
        <w:widowControl/>
        <w:numPr>
          <w:ilvl w:val="1"/>
          <w:numId w:val="23"/>
        </w:numPr>
        <w:ind w:left="709" w:hanging="709"/>
      </w:pPr>
      <w:r w:rsidRPr="00210778">
        <w:t>The submission sought listing on the basis of a cost utility analysis compared to ipilimumab, via an indirect comparison.</w:t>
      </w:r>
    </w:p>
    <w:p w:rsidR="00F66C06" w:rsidRPr="004A053A" w:rsidRDefault="00F66C06" w:rsidP="00323E7A">
      <w:pPr>
        <w:widowControl/>
      </w:pPr>
    </w:p>
    <w:p w:rsidR="00F66C06" w:rsidRPr="004A053A" w:rsidRDefault="00661889" w:rsidP="00323E7A">
      <w:pPr>
        <w:pStyle w:val="ListParagraph"/>
        <w:widowControl/>
        <w:numPr>
          <w:ilvl w:val="1"/>
          <w:numId w:val="23"/>
        </w:numPr>
        <w:ind w:left="709" w:hanging="709"/>
      </w:pPr>
      <w:r w:rsidRPr="004A053A">
        <w:t xml:space="preserve">Although the submission indicated there </w:t>
      </w:r>
      <w:r w:rsidR="0043765A" w:rsidRPr="004A053A">
        <w:t>we</w:t>
      </w:r>
      <w:r w:rsidRPr="004A053A">
        <w:t xml:space="preserve">re approximately 180 patients currently in an expanded access program, there was no discussion in the submission of grandfathering provisions for these patients. </w:t>
      </w:r>
      <w:r w:rsidR="00323E7A">
        <w:t>In the PSCR</w:t>
      </w:r>
      <w:r w:rsidR="00F66C06" w:rsidRPr="004A053A">
        <w:t>, the sponsor note</w:t>
      </w:r>
      <w:r w:rsidR="0043765A" w:rsidRPr="004A053A">
        <w:t>d</w:t>
      </w:r>
      <w:r w:rsidR="00F66C06" w:rsidRPr="004A053A">
        <w:t xml:space="preserve"> that</w:t>
      </w:r>
      <w:r w:rsidR="0043765A" w:rsidRPr="004A053A">
        <w:t>,</w:t>
      </w:r>
      <w:r w:rsidR="00F66C06" w:rsidRPr="004A053A">
        <w:t xml:space="preserve"> </w:t>
      </w:r>
      <w:r w:rsidR="00191974" w:rsidRPr="004A053A">
        <w:t xml:space="preserve">should nivolumab be recommended for listing, </w:t>
      </w:r>
      <w:r w:rsidR="00F66C06" w:rsidRPr="004A053A">
        <w:t>patients accessing nivolumab via the sponsor’s Expanded Access Program</w:t>
      </w:r>
      <w:r w:rsidR="00EA57DF" w:rsidRPr="004A053A">
        <w:t xml:space="preserve">, who are deriving clinical benefit, </w:t>
      </w:r>
      <w:r w:rsidR="00091F7D" w:rsidRPr="004A053A">
        <w:t xml:space="preserve">should </w:t>
      </w:r>
      <w:r w:rsidR="00EA57DF" w:rsidRPr="004A053A">
        <w:t xml:space="preserve">be grandfathered </w:t>
      </w:r>
      <w:r w:rsidR="00287DBE" w:rsidRPr="004A053A">
        <w:t xml:space="preserve">across </w:t>
      </w:r>
      <w:r w:rsidR="00EA57DF" w:rsidRPr="004A053A">
        <w:t>to PBS-</w:t>
      </w:r>
      <w:r w:rsidR="00191974" w:rsidRPr="004A053A">
        <w:t>subsidised</w:t>
      </w:r>
      <w:r w:rsidR="00EA57DF" w:rsidRPr="004A053A">
        <w:t xml:space="preserve"> nivolumab.</w:t>
      </w:r>
    </w:p>
    <w:p w:rsidR="00F97A78" w:rsidRDefault="00F97A78" w:rsidP="00323E7A">
      <w:pPr>
        <w:widowControl/>
        <w:rPr>
          <w:szCs w:val="22"/>
        </w:rPr>
      </w:pPr>
    </w:p>
    <w:p w:rsidR="007C295B" w:rsidRPr="00882085" w:rsidRDefault="007C295B" w:rsidP="00323E7A">
      <w:pPr>
        <w:widowControl/>
      </w:pPr>
    </w:p>
    <w:p w:rsidR="00B50DB8" w:rsidRDefault="00B50DB8" w:rsidP="00323E7A">
      <w:pPr>
        <w:pStyle w:val="Heading2"/>
        <w:widowControl/>
        <w:numPr>
          <w:ilvl w:val="0"/>
          <w:numId w:val="23"/>
        </w:numPr>
        <w:ind w:left="709" w:hanging="709"/>
      </w:pPr>
      <w:bookmarkStart w:id="4" w:name="_Toc419885966"/>
      <w:r w:rsidRPr="00407F2D">
        <w:t>Background</w:t>
      </w:r>
      <w:bookmarkEnd w:id="4"/>
    </w:p>
    <w:p w:rsidR="00BB35C8" w:rsidRPr="00BB35C8" w:rsidRDefault="00BB35C8" w:rsidP="00323E7A">
      <w:pPr>
        <w:widowControl/>
      </w:pPr>
    </w:p>
    <w:p w:rsidR="003A3593" w:rsidRPr="003F23CD" w:rsidRDefault="003A3593" w:rsidP="00323E7A">
      <w:pPr>
        <w:widowControl/>
        <w:rPr>
          <w:vanish/>
        </w:rPr>
      </w:pPr>
    </w:p>
    <w:p w:rsidR="0017704D" w:rsidRPr="003F23CD" w:rsidRDefault="006E38BD" w:rsidP="00323E7A">
      <w:pPr>
        <w:pStyle w:val="ListParagraph"/>
        <w:widowControl/>
        <w:numPr>
          <w:ilvl w:val="1"/>
          <w:numId w:val="23"/>
        </w:numPr>
        <w:ind w:left="709" w:hanging="709"/>
      </w:pPr>
      <w:r w:rsidRPr="003F23CD">
        <w:rPr>
          <w:bCs/>
          <w:szCs w:val="22"/>
        </w:rPr>
        <w:t xml:space="preserve">TGA status at time of </w:t>
      </w:r>
      <w:r w:rsidR="003F23CD" w:rsidRPr="003F23CD">
        <w:rPr>
          <w:bCs/>
          <w:szCs w:val="22"/>
        </w:rPr>
        <w:t>PBAC consideration</w:t>
      </w:r>
      <w:r w:rsidRPr="003F23CD">
        <w:rPr>
          <w:bCs/>
          <w:szCs w:val="22"/>
        </w:rPr>
        <w:t xml:space="preserve">: </w:t>
      </w:r>
      <w:r w:rsidR="0017704D" w:rsidRPr="003F23CD">
        <w:rPr>
          <w:bCs/>
          <w:szCs w:val="22"/>
        </w:rPr>
        <w:t>no TGA documentation was available.</w:t>
      </w:r>
    </w:p>
    <w:p w:rsidR="0017704D" w:rsidRPr="0017704D" w:rsidRDefault="0017704D" w:rsidP="00323E7A">
      <w:pPr>
        <w:widowControl/>
      </w:pPr>
    </w:p>
    <w:p w:rsidR="00B60939" w:rsidRPr="006C03DC" w:rsidRDefault="00A054F8" w:rsidP="00323E7A">
      <w:pPr>
        <w:pStyle w:val="ListParagraph"/>
        <w:widowControl/>
        <w:numPr>
          <w:ilvl w:val="1"/>
          <w:numId w:val="23"/>
        </w:numPr>
        <w:ind w:left="709" w:hanging="709"/>
      </w:pPr>
      <w:r>
        <w:t xml:space="preserve">Nivolumab was submitted to the TGA on </w:t>
      </w:r>
      <w:r w:rsidR="008C3485">
        <w:t xml:space="preserve">7 </w:t>
      </w:r>
      <w:r>
        <w:t xml:space="preserve">January 2015 and there was no TGA documentation available at the time of evaluation.  </w:t>
      </w:r>
      <w:r w:rsidR="00CF1D02">
        <w:t>The submission indicated that the current submission was being made under “extreme” parallel processing (submission’s highlighting</w:t>
      </w:r>
      <w:r w:rsidR="00CF1D02" w:rsidRPr="006C03DC">
        <w:t>)</w:t>
      </w:r>
      <w:r w:rsidRPr="006C03DC">
        <w:t>.</w:t>
      </w:r>
      <w:r w:rsidR="00365BF9" w:rsidRPr="006C03DC">
        <w:t xml:space="preserve">  There was no indication provided in the submission if the anticipated date of registration in February 2016 will be moved forward in regard to extreme parallel processing.</w:t>
      </w:r>
    </w:p>
    <w:p w:rsidR="00B60939" w:rsidRPr="008C3485" w:rsidRDefault="00B60939" w:rsidP="00323E7A">
      <w:pPr>
        <w:widowControl/>
        <w:rPr>
          <w:szCs w:val="22"/>
        </w:rPr>
      </w:pPr>
    </w:p>
    <w:p w:rsidR="002C2775" w:rsidRPr="003A3593" w:rsidRDefault="00BF3F4F" w:rsidP="00323E7A">
      <w:pPr>
        <w:pStyle w:val="ListParagraph"/>
        <w:widowControl/>
        <w:numPr>
          <w:ilvl w:val="1"/>
          <w:numId w:val="23"/>
        </w:numPr>
        <w:ind w:left="709" w:hanging="709"/>
      </w:pPr>
      <w:r w:rsidRPr="003A3593">
        <w:t>This was the first consideration of nivolumab by the PBAC.  Another PD-1 inhibitor, pembrolizumab, was considered by the PBAC in March 2015, and the PBAC has also recently considered ipilimumab (November 2012), vemurafenib (March 2013), dabrafenib (July 2014) and trametinib (November 2014) for the treatment of unresectable Stage III or Stage IV metastatic melanoma.</w:t>
      </w:r>
    </w:p>
    <w:p w:rsidR="00BF3F4F" w:rsidRPr="003A3593" w:rsidRDefault="00BF3F4F" w:rsidP="00323E7A">
      <w:pPr>
        <w:widowControl/>
      </w:pPr>
    </w:p>
    <w:p w:rsidR="00BF3F4F" w:rsidRPr="003A3593" w:rsidRDefault="00BF3F4F" w:rsidP="00323E7A">
      <w:pPr>
        <w:pStyle w:val="ListParagraph"/>
        <w:widowControl/>
        <w:numPr>
          <w:ilvl w:val="1"/>
          <w:numId w:val="23"/>
        </w:numPr>
        <w:ind w:left="709" w:hanging="709"/>
      </w:pPr>
      <w:r w:rsidRPr="003A3593">
        <w:t>The submission indicate</w:t>
      </w:r>
      <w:r w:rsidR="004710B5" w:rsidRPr="003A3593">
        <w:t>d</w:t>
      </w:r>
      <w:r w:rsidRPr="003A3593">
        <w:t xml:space="preserve"> that the sponsor </w:t>
      </w:r>
      <w:r w:rsidR="008C3485" w:rsidRPr="003A3593">
        <w:t>wa</w:t>
      </w:r>
      <w:r w:rsidRPr="003A3593">
        <w:t>s planning to lodge a submission in July 2015 for combination nivolumab and ipilimumab therapy.</w:t>
      </w:r>
    </w:p>
    <w:p w:rsidR="00B60939" w:rsidRDefault="00B60939" w:rsidP="00323E7A">
      <w:pPr>
        <w:widowControl/>
      </w:pPr>
    </w:p>
    <w:p w:rsidR="004A2FC8" w:rsidRDefault="004A2FC8" w:rsidP="00323E7A">
      <w:pPr>
        <w:widowControl/>
        <w:ind w:firstLine="709"/>
        <w:rPr>
          <w:i/>
          <w:szCs w:val="22"/>
        </w:rPr>
      </w:pPr>
      <w:r w:rsidRPr="00F2655B">
        <w:rPr>
          <w:i/>
          <w:szCs w:val="22"/>
        </w:rPr>
        <w:t>For more detail on PBAC’s view, see section 7 “PBAC outcome”</w:t>
      </w:r>
      <w:r w:rsidR="000B0D54">
        <w:rPr>
          <w:i/>
          <w:szCs w:val="22"/>
        </w:rPr>
        <w:t>.</w:t>
      </w:r>
    </w:p>
    <w:p w:rsidR="004A2FC8" w:rsidRDefault="004A2FC8" w:rsidP="00323E7A">
      <w:pPr>
        <w:widowControl/>
      </w:pPr>
    </w:p>
    <w:p w:rsidR="00E55BB5" w:rsidRPr="00882085" w:rsidRDefault="00E55BB5" w:rsidP="00323E7A">
      <w:pPr>
        <w:widowControl/>
      </w:pPr>
    </w:p>
    <w:p w:rsidR="00B50DB8" w:rsidRDefault="00B50DB8" w:rsidP="00323E7A">
      <w:pPr>
        <w:pStyle w:val="Heading2"/>
        <w:keepNext/>
        <w:widowControl/>
        <w:numPr>
          <w:ilvl w:val="0"/>
          <w:numId w:val="23"/>
        </w:numPr>
        <w:ind w:left="709" w:hanging="709"/>
      </w:pPr>
      <w:bookmarkStart w:id="5" w:name="_Toc419885967"/>
      <w:r w:rsidRPr="00407F2D">
        <w:lastRenderedPageBreak/>
        <w:t>Clinical place for the proposed therapy</w:t>
      </w:r>
      <w:bookmarkEnd w:id="5"/>
    </w:p>
    <w:p w:rsidR="00BB35C8" w:rsidRPr="00BB35C8" w:rsidRDefault="00BB35C8" w:rsidP="00323E7A">
      <w:pPr>
        <w:keepNext/>
        <w:widowControl/>
      </w:pPr>
    </w:p>
    <w:p w:rsidR="003A3593" w:rsidRPr="00287DBE" w:rsidRDefault="003A3593" w:rsidP="00323E7A">
      <w:pPr>
        <w:widowControl/>
        <w:rPr>
          <w:vanish/>
        </w:rPr>
      </w:pPr>
    </w:p>
    <w:p w:rsidR="00B60939" w:rsidRPr="004A053A" w:rsidRDefault="001C382C" w:rsidP="00323E7A">
      <w:pPr>
        <w:pStyle w:val="ListParagraph"/>
        <w:widowControl/>
        <w:numPr>
          <w:ilvl w:val="1"/>
          <w:numId w:val="23"/>
        </w:numPr>
        <w:ind w:left="709" w:hanging="709"/>
      </w:pPr>
      <w:r>
        <w:t>The requested listing specifie</w:t>
      </w:r>
      <w:r w:rsidR="00442CF6">
        <w:t>d</w:t>
      </w:r>
      <w:r>
        <w:t xml:space="preserve"> </w:t>
      </w:r>
      <w:r w:rsidRPr="004A053A">
        <w:t>monotherapy treatment of unresectable Stage III or Stage IV malignant melanoma in previously untreated patients (BRAF wild</w:t>
      </w:r>
      <w:r w:rsidR="00B02F92" w:rsidRPr="004A053A">
        <w:t>-</w:t>
      </w:r>
      <w:r w:rsidRPr="004A053A">
        <w:t xml:space="preserve">type) </w:t>
      </w:r>
      <w:r w:rsidR="00442CF6" w:rsidRPr="004A053A">
        <w:t xml:space="preserve">as well as monotherapy treatment in patients who have progressed on or after a BRAF </w:t>
      </w:r>
      <w:r w:rsidR="003C485F" w:rsidRPr="004A053A">
        <w:t>inhibitor regimen or after ipili</w:t>
      </w:r>
      <w:r w:rsidR="00442CF6" w:rsidRPr="004A053A">
        <w:t>mumab therapy (BRAF mutant).  It was anticipated that</w:t>
      </w:r>
      <w:r w:rsidR="008C3485" w:rsidRPr="004A053A">
        <w:t>,</w:t>
      </w:r>
      <w:r w:rsidR="00442CF6" w:rsidRPr="004A053A">
        <w:t xml:space="preserve"> for BRAF wild</w:t>
      </w:r>
      <w:r w:rsidR="008C3485" w:rsidRPr="004A053A">
        <w:t>-</w:t>
      </w:r>
      <w:r w:rsidR="00442CF6" w:rsidRPr="004A053A">
        <w:t>type patients, 95% of patients w</w:t>
      </w:r>
      <w:r w:rsidR="008C3485" w:rsidRPr="004A053A">
        <w:t>ould</w:t>
      </w:r>
      <w:r w:rsidR="00442CF6" w:rsidRPr="004A053A">
        <w:t xml:space="preserve"> use PD-1 inhibitors (nivolumab or pembrolizumab) in the first-line setting, replacing ipilimumab.  For BRAF mutant patients, 95% of patients w</w:t>
      </w:r>
      <w:r w:rsidR="008C3485" w:rsidRPr="004A053A">
        <w:t>ould</w:t>
      </w:r>
      <w:r w:rsidR="00442CF6" w:rsidRPr="004A053A">
        <w:t xml:space="preserve"> receive dabrafenib ± trametinib as first-line therapy and PD-1 inhibitors w</w:t>
      </w:r>
      <w:r w:rsidR="008C3485" w:rsidRPr="004A053A">
        <w:t>ould</w:t>
      </w:r>
      <w:r w:rsidR="00442CF6" w:rsidRPr="004A053A">
        <w:t xml:space="preserve"> be used as second-line therapy, replacing ipilimumab.</w:t>
      </w:r>
    </w:p>
    <w:p w:rsidR="00894489" w:rsidRPr="004A053A" w:rsidRDefault="00894489" w:rsidP="00323E7A">
      <w:pPr>
        <w:widowControl/>
        <w:rPr>
          <w:szCs w:val="22"/>
        </w:rPr>
      </w:pPr>
    </w:p>
    <w:p w:rsidR="002C2775" w:rsidRPr="004A053A" w:rsidRDefault="000B0D54" w:rsidP="00323E7A">
      <w:pPr>
        <w:pStyle w:val="ListParagraph"/>
        <w:widowControl/>
        <w:numPr>
          <w:ilvl w:val="1"/>
          <w:numId w:val="23"/>
        </w:numPr>
        <w:ind w:left="709" w:hanging="709"/>
      </w:pPr>
      <w:r>
        <w:t>Noting</w:t>
      </w:r>
      <w:r w:rsidR="00442CF6" w:rsidRPr="004A053A">
        <w:t xml:space="preserve"> the forecast submission </w:t>
      </w:r>
      <w:r>
        <w:t xml:space="preserve">expected to be lodged </w:t>
      </w:r>
      <w:r w:rsidR="00442CF6" w:rsidRPr="004A053A">
        <w:t xml:space="preserve">in July 2015 (for the November 2015 PBAC meeting) for combination use of nivolumab and ipilimumab, </w:t>
      </w:r>
      <w:r w:rsidR="00295196" w:rsidRPr="004A053A">
        <w:t>the ESC</w:t>
      </w:r>
      <w:r w:rsidR="00442CF6" w:rsidRPr="004A053A">
        <w:t xml:space="preserve"> considered</w:t>
      </w:r>
      <w:r w:rsidR="00295196" w:rsidRPr="004A053A">
        <w:t xml:space="preserve"> that the treatment of malignant melanoma is a rapidly evolving area, and it was</w:t>
      </w:r>
      <w:r w:rsidR="00442CF6" w:rsidRPr="004A053A">
        <w:t xml:space="preserve"> likely that the treatment algorithm depicted in the current submission </w:t>
      </w:r>
      <w:r w:rsidR="008C3485" w:rsidRPr="004A053A">
        <w:t xml:space="preserve">would </w:t>
      </w:r>
      <w:r w:rsidR="00442CF6" w:rsidRPr="004A053A">
        <w:t>change in the near future.</w:t>
      </w:r>
    </w:p>
    <w:p w:rsidR="004A2FC8" w:rsidRDefault="004A2FC8" w:rsidP="00323E7A">
      <w:pPr>
        <w:widowControl/>
      </w:pPr>
    </w:p>
    <w:p w:rsidR="00E55BB5" w:rsidRPr="00882085" w:rsidRDefault="00E55BB5" w:rsidP="00323E7A">
      <w:pPr>
        <w:pStyle w:val="Header"/>
        <w:widowControl/>
        <w:rPr>
          <w:szCs w:val="22"/>
        </w:rPr>
      </w:pPr>
    </w:p>
    <w:p w:rsidR="00B50DB8" w:rsidRDefault="00B50DB8" w:rsidP="00323E7A">
      <w:pPr>
        <w:pStyle w:val="Heading2"/>
        <w:widowControl/>
        <w:numPr>
          <w:ilvl w:val="0"/>
          <w:numId w:val="23"/>
        </w:numPr>
        <w:ind w:left="709" w:hanging="709"/>
      </w:pPr>
      <w:bookmarkStart w:id="6" w:name="_Toc419885968"/>
      <w:r w:rsidRPr="00751BD0">
        <w:t>Comparator</w:t>
      </w:r>
      <w:bookmarkEnd w:id="6"/>
    </w:p>
    <w:p w:rsidR="00BB35C8" w:rsidRPr="00BB35C8" w:rsidRDefault="00BB35C8" w:rsidP="00323E7A">
      <w:pPr>
        <w:widowControl/>
      </w:pPr>
    </w:p>
    <w:p w:rsidR="003A3593" w:rsidRPr="004A053A" w:rsidRDefault="003A3593" w:rsidP="00323E7A">
      <w:pPr>
        <w:widowControl/>
        <w:rPr>
          <w:vanish/>
        </w:rPr>
      </w:pPr>
    </w:p>
    <w:p w:rsidR="002C2775" w:rsidRPr="004A053A" w:rsidRDefault="000125EF" w:rsidP="00323E7A">
      <w:pPr>
        <w:pStyle w:val="ListParagraph"/>
        <w:widowControl/>
        <w:numPr>
          <w:ilvl w:val="1"/>
          <w:numId w:val="23"/>
        </w:numPr>
        <w:ind w:left="709" w:hanging="709"/>
      </w:pPr>
      <w:r w:rsidRPr="004A053A">
        <w:t>The submission nominated i</w:t>
      </w:r>
      <w:r w:rsidR="00B228D2" w:rsidRPr="004A053A">
        <w:t>pilimumab</w:t>
      </w:r>
      <w:r w:rsidRPr="004A053A">
        <w:t xml:space="preserve"> as the main comparator</w:t>
      </w:r>
      <w:r w:rsidR="00B228D2" w:rsidRPr="004A053A">
        <w:t xml:space="preserve">.  </w:t>
      </w:r>
      <w:r w:rsidR="00323E7A">
        <w:t>The PSCR</w:t>
      </w:r>
      <w:r w:rsidR="006E14C6" w:rsidRPr="004A053A">
        <w:t xml:space="preserve"> maintained that ipilimumab is still the appropriate main comparator “as i) it is the only immuno-oncology medicine currently PBS listed for the treatment of unresectable or metastatic melanoma and ii) head-to-head data comparing nivolumab with ipilimumab are available.”  </w:t>
      </w:r>
      <w:r w:rsidR="00B228D2" w:rsidRPr="004A053A">
        <w:t>While this was the appropriate comparator at the time the submission was lodged,</w:t>
      </w:r>
      <w:r w:rsidR="007535DF" w:rsidRPr="004A053A">
        <w:t xml:space="preserve"> the ESC considered that</w:t>
      </w:r>
      <w:r w:rsidR="00B228D2" w:rsidRPr="004A053A">
        <w:t xml:space="preserve"> the recommendation of pembrolizumab in March 2015 by the PBAC </w:t>
      </w:r>
      <w:r w:rsidR="00401E77" w:rsidRPr="004A053A">
        <w:t xml:space="preserve">(albeit in ipilimumab-naïve patients only) </w:t>
      </w:r>
      <w:r w:rsidR="008C3485" w:rsidRPr="004A053A">
        <w:t xml:space="preserve">meant </w:t>
      </w:r>
      <w:r w:rsidR="00B228D2" w:rsidRPr="004A053A">
        <w:t>that pembrolizumab w</w:t>
      </w:r>
      <w:r w:rsidR="008C3485" w:rsidRPr="004A053A">
        <w:t>ould also</w:t>
      </w:r>
      <w:r w:rsidR="00B228D2" w:rsidRPr="004A053A">
        <w:t xml:space="preserve"> be </w:t>
      </w:r>
      <w:r w:rsidR="008C3485" w:rsidRPr="004A053A">
        <w:t>an</w:t>
      </w:r>
      <w:r w:rsidR="00B228D2" w:rsidRPr="004A053A">
        <w:t xml:space="preserve"> appropriate comparator</w:t>
      </w:r>
      <w:r w:rsidR="006E14C6" w:rsidRPr="004A053A">
        <w:t xml:space="preserve"> because nivolumab and pembrolizumab are closer pharmacological analogues than either is to ipilimumab and the availability </w:t>
      </w:r>
      <w:r w:rsidR="004A73BF" w:rsidRPr="004A053A">
        <w:t xml:space="preserve">or not </w:t>
      </w:r>
      <w:r w:rsidR="006E14C6" w:rsidRPr="004A053A">
        <w:t>of evidence is irrelevant to the determination of the main comparator</w:t>
      </w:r>
      <w:r w:rsidR="00B228D2" w:rsidRPr="004A053A">
        <w:t>.</w:t>
      </w:r>
      <w:r w:rsidR="00EE0FA0" w:rsidRPr="004A053A">
        <w:t xml:space="preserve">  The ESC requested that a comparison of the nivolumab and pembrolizumab submissions be prepared for the PBAC.</w:t>
      </w:r>
    </w:p>
    <w:p w:rsidR="00B228D2" w:rsidRPr="004A053A" w:rsidRDefault="00B228D2" w:rsidP="00323E7A">
      <w:pPr>
        <w:widowControl/>
        <w:rPr>
          <w:szCs w:val="22"/>
        </w:rPr>
      </w:pPr>
    </w:p>
    <w:p w:rsidR="00B228D2" w:rsidRPr="004A053A" w:rsidRDefault="00B228D2" w:rsidP="00323E7A">
      <w:pPr>
        <w:pStyle w:val="ListParagraph"/>
        <w:widowControl/>
        <w:numPr>
          <w:ilvl w:val="1"/>
          <w:numId w:val="23"/>
        </w:numPr>
        <w:ind w:left="709" w:hanging="709"/>
      </w:pPr>
      <w:r w:rsidRPr="004A053A">
        <w:t>The submission presented what was described as an informal comparison of nivolumab and pembrolizumab.  The informal comparison presented by the submission consisted solely of tabled evidence from the nivolumab trial CA209-066 and two pembrolizumab trials, KN-001 and KN-006, with no statistical comparisons provided.  Therefore, the informal comparison presented by the submission did not represent an actual comparison that c</w:t>
      </w:r>
      <w:r w:rsidR="00044262" w:rsidRPr="004A053A">
        <w:t>ould</w:t>
      </w:r>
      <w:r w:rsidRPr="004A053A">
        <w:t xml:space="preserve"> inform the comparative effectiveness and safety of nivolumab and pembrolizumab.</w:t>
      </w:r>
      <w:r w:rsidR="00671DA4" w:rsidRPr="004A053A">
        <w:t xml:space="preserve"> </w:t>
      </w:r>
      <w:r w:rsidR="00182FE8" w:rsidRPr="004A053A">
        <w:t xml:space="preserve"> The PSCR provided an indirect comparison </w:t>
      </w:r>
      <w:r w:rsidR="005B558C" w:rsidRPr="004A053A">
        <w:t>of pembrolizumab and nivolumab (</w:t>
      </w:r>
      <w:r w:rsidR="00CA537A" w:rsidRPr="004A053A">
        <w:t xml:space="preserve">based on </w:t>
      </w:r>
      <w:r w:rsidR="005B558C" w:rsidRPr="004A053A">
        <w:t xml:space="preserve">CA209-067 </w:t>
      </w:r>
      <w:r w:rsidR="00CA537A" w:rsidRPr="004A053A">
        <w:t>and</w:t>
      </w:r>
      <w:r w:rsidR="005B558C" w:rsidRPr="004A053A">
        <w:t xml:space="preserve"> KN-006</w:t>
      </w:r>
      <w:r w:rsidR="00CA537A" w:rsidRPr="004A053A">
        <w:t xml:space="preserve"> data</w:t>
      </w:r>
      <w:r w:rsidR="005B558C" w:rsidRPr="004A053A">
        <w:t>)</w:t>
      </w:r>
      <w:r w:rsidR="007535DF" w:rsidRPr="004A053A">
        <w:t>.</w:t>
      </w:r>
    </w:p>
    <w:p w:rsidR="00FA6362" w:rsidRDefault="00FA6362" w:rsidP="00323E7A">
      <w:pPr>
        <w:widowControl/>
        <w:rPr>
          <w:szCs w:val="22"/>
        </w:rPr>
      </w:pPr>
    </w:p>
    <w:p w:rsidR="004A2FC8" w:rsidRDefault="004A2FC8" w:rsidP="00323E7A">
      <w:pPr>
        <w:widowControl/>
        <w:ind w:firstLine="709"/>
        <w:rPr>
          <w:i/>
          <w:szCs w:val="22"/>
        </w:rPr>
      </w:pPr>
      <w:r w:rsidRPr="008370B4">
        <w:rPr>
          <w:i/>
          <w:szCs w:val="22"/>
        </w:rPr>
        <w:t>For more detail on PBAC’s view, see section 7 “PBAC outcome”</w:t>
      </w:r>
      <w:r w:rsidR="000B0D54">
        <w:rPr>
          <w:i/>
          <w:szCs w:val="22"/>
        </w:rPr>
        <w:t>.</w:t>
      </w:r>
    </w:p>
    <w:p w:rsidR="004A2FC8" w:rsidRDefault="004A2FC8" w:rsidP="00323E7A">
      <w:pPr>
        <w:widowControl/>
        <w:rPr>
          <w:szCs w:val="22"/>
        </w:rPr>
      </w:pPr>
    </w:p>
    <w:p w:rsidR="00FF2C4D" w:rsidRPr="00DF5D2B" w:rsidRDefault="00FF2C4D" w:rsidP="00323E7A">
      <w:pPr>
        <w:widowControl/>
        <w:rPr>
          <w:szCs w:val="22"/>
        </w:rPr>
      </w:pPr>
    </w:p>
    <w:p w:rsidR="00B50DB8" w:rsidRPr="00407F2D" w:rsidRDefault="00BD6CF3" w:rsidP="00323E7A">
      <w:pPr>
        <w:pStyle w:val="Heading2"/>
        <w:widowControl/>
        <w:numPr>
          <w:ilvl w:val="0"/>
          <w:numId w:val="23"/>
        </w:numPr>
        <w:ind w:left="709" w:hanging="709"/>
      </w:pPr>
      <w:bookmarkStart w:id="7" w:name="_Toc419885969"/>
      <w:r>
        <w:t>C</w:t>
      </w:r>
      <w:r w:rsidR="00B50DB8" w:rsidRPr="00407F2D">
        <w:t>onsideration of the evidence</w:t>
      </w:r>
      <w:bookmarkEnd w:id="7"/>
    </w:p>
    <w:p w:rsidR="00B60939" w:rsidRDefault="00B60939" w:rsidP="00323E7A">
      <w:pPr>
        <w:widowControl/>
      </w:pPr>
    </w:p>
    <w:p w:rsidR="00902186" w:rsidRPr="00902186" w:rsidRDefault="00902186" w:rsidP="00323E7A">
      <w:pPr>
        <w:pStyle w:val="Heading2"/>
        <w:widowControl/>
        <w:rPr>
          <w:i/>
        </w:rPr>
      </w:pPr>
      <w:r w:rsidRPr="00902186">
        <w:rPr>
          <w:i/>
        </w:rPr>
        <w:t>Sponsor hearing</w:t>
      </w:r>
    </w:p>
    <w:p w:rsidR="00902186" w:rsidRPr="00902186" w:rsidRDefault="00902186" w:rsidP="00323E7A">
      <w:pPr>
        <w:widowControl/>
        <w:rPr>
          <w:bCs/>
          <w:szCs w:val="22"/>
        </w:rPr>
      </w:pPr>
    </w:p>
    <w:p w:rsidR="00902186" w:rsidRPr="00902186" w:rsidRDefault="00902186" w:rsidP="00323E7A">
      <w:pPr>
        <w:pStyle w:val="ListParagraph"/>
        <w:widowControl/>
        <w:numPr>
          <w:ilvl w:val="1"/>
          <w:numId w:val="23"/>
        </w:numPr>
        <w:ind w:left="709" w:hanging="709"/>
        <w:rPr>
          <w:bCs/>
          <w:szCs w:val="22"/>
        </w:rPr>
      </w:pPr>
      <w:r w:rsidRPr="00902186">
        <w:rPr>
          <w:bCs/>
          <w:szCs w:val="22"/>
        </w:rPr>
        <w:t>There was no hearing for this item.</w:t>
      </w:r>
    </w:p>
    <w:p w:rsidR="004A2FC8" w:rsidRPr="003A49F2" w:rsidRDefault="004A2FC8" w:rsidP="00323E7A">
      <w:pPr>
        <w:widowControl/>
        <w:rPr>
          <w:bCs/>
          <w:szCs w:val="22"/>
          <w:highlight w:val="yellow"/>
        </w:rPr>
      </w:pPr>
    </w:p>
    <w:p w:rsidR="00BD16DD" w:rsidRPr="00BD16DD" w:rsidRDefault="00BD16DD" w:rsidP="00323E7A">
      <w:pPr>
        <w:widowControl/>
        <w:spacing w:after="200" w:line="276" w:lineRule="auto"/>
        <w:rPr>
          <w:b/>
          <w:bCs/>
          <w:i/>
          <w:szCs w:val="22"/>
        </w:rPr>
      </w:pPr>
      <w:r w:rsidRPr="00BD16DD">
        <w:rPr>
          <w:b/>
          <w:bCs/>
          <w:i/>
          <w:szCs w:val="22"/>
        </w:rPr>
        <w:lastRenderedPageBreak/>
        <w:t>Consumer comments</w:t>
      </w:r>
    </w:p>
    <w:p w:rsidR="00BD16DD" w:rsidRPr="00BD16DD" w:rsidRDefault="00BD16DD" w:rsidP="00323E7A">
      <w:pPr>
        <w:pStyle w:val="ListParagraph"/>
        <w:widowControl/>
        <w:numPr>
          <w:ilvl w:val="1"/>
          <w:numId w:val="23"/>
        </w:numPr>
        <w:ind w:left="709" w:hanging="709"/>
        <w:rPr>
          <w:bCs/>
          <w:szCs w:val="22"/>
        </w:rPr>
      </w:pPr>
      <w:r w:rsidRPr="00BD16DD">
        <w:rPr>
          <w:bCs/>
          <w:szCs w:val="22"/>
        </w:rPr>
        <w:t>The PBAC noted and welcomed the input from individuals (12), health care professionals (1) and organisations (3) via the Consumer Comments facility on the PBS website. The comments described the importance of access to melanoma treatments on the PBS and the survival benefits of nivolumab compared to current treatment</w:t>
      </w:r>
      <w:r>
        <w:rPr>
          <w:bCs/>
          <w:szCs w:val="22"/>
        </w:rPr>
        <w:t xml:space="preserve"> with chemotherapy or ipilimumab</w:t>
      </w:r>
      <w:r w:rsidR="000B0D54">
        <w:rPr>
          <w:bCs/>
          <w:szCs w:val="22"/>
        </w:rPr>
        <w:t>.</w:t>
      </w:r>
    </w:p>
    <w:p w:rsidR="004A2FC8" w:rsidRPr="003A49F2" w:rsidRDefault="004A2FC8" w:rsidP="00323E7A">
      <w:pPr>
        <w:widowControl/>
        <w:contextualSpacing/>
        <w:rPr>
          <w:bCs/>
          <w:szCs w:val="22"/>
          <w:highlight w:val="yellow"/>
        </w:rPr>
      </w:pPr>
    </w:p>
    <w:p w:rsidR="000C6E04" w:rsidRPr="000C6E04" w:rsidRDefault="000C6E04" w:rsidP="00323E7A">
      <w:pPr>
        <w:widowControl/>
        <w:rPr>
          <w:i/>
          <w:u w:val="single"/>
        </w:rPr>
      </w:pPr>
      <w:r w:rsidRPr="000C6E04">
        <w:rPr>
          <w:i/>
          <w:u w:val="single"/>
        </w:rPr>
        <w:t>Original submission (11 March 2015)</w:t>
      </w:r>
    </w:p>
    <w:p w:rsidR="000C6E04" w:rsidRPr="00882085" w:rsidRDefault="000C6E04" w:rsidP="00323E7A">
      <w:pPr>
        <w:widowControl/>
      </w:pPr>
    </w:p>
    <w:p w:rsidR="00B60939" w:rsidRDefault="00B60939" w:rsidP="00323E7A">
      <w:pPr>
        <w:pStyle w:val="Heading2"/>
        <w:widowControl/>
        <w:rPr>
          <w:i/>
        </w:rPr>
      </w:pPr>
      <w:bookmarkStart w:id="8" w:name="_Toc419885970"/>
      <w:r w:rsidRPr="002C2775">
        <w:rPr>
          <w:i/>
        </w:rPr>
        <w:t>Clinical trials</w:t>
      </w:r>
      <w:bookmarkEnd w:id="8"/>
    </w:p>
    <w:p w:rsidR="00BB35C8" w:rsidRPr="00BB35C8" w:rsidRDefault="00BB35C8" w:rsidP="00323E7A">
      <w:pPr>
        <w:widowControl/>
      </w:pPr>
    </w:p>
    <w:p w:rsidR="003A3593" w:rsidRPr="00287DBE" w:rsidRDefault="003A3593" w:rsidP="00323E7A">
      <w:pPr>
        <w:widowControl/>
        <w:rPr>
          <w:vanish/>
        </w:rPr>
      </w:pPr>
    </w:p>
    <w:p w:rsidR="007F1017" w:rsidRPr="006C03DC" w:rsidRDefault="00000C64" w:rsidP="00323E7A">
      <w:pPr>
        <w:pStyle w:val="ListParagraph"/>
        <w:widowControl/>
        <w:numPr>
          <w:ilvl w:val="1"/>
          <w:numId w:val="23"/>
        </w:numPr>
        <w:ind w:left="709" w:hanging="709"/>
      </w:pPr>
      <w:r>
        <w:t xml:space="preserve">The </w:t>
      </w:r>
      <w:r w:rsidR="000B0D54">
        <w:t xml:space="preserve">original </w:t>
      </w:r>
      <w:r>
        <w:t xml:space="preserve">submission was based on an indirect comparison of </w:t>
      </w:r>
      <w:r w:rsidR="003C7BAF">
        <w:t xml:space="preserve">one trial </w:t>
      </w:r>
      <w:r w:rsidR="00E35544">
        <w:t xml:space="preserve">(CA209-066) </w:t>
      </w:r>
      <w:r w:rsidR="003C7BAF">
        <w:t xml:space="preserve">comparing nivolumab and </w:t>
      </w:r>
      <w:r w:rsidR="003C7BAF" w:rsidRPr="006C03DC">
        <w:t xml:space="preserve">dacarbazine (DTIC) and a second trial </w:t>
      </w:r>
      <w:r w:rsidR="00E35544">
        <w:t xml:space="preserve">(MDX010-20) </w:t>
      </w:r>
      <w:r w:rsidR="003C7BAF" w:rsidRPr="006C03DC">
        <w:t xml:space="preserve">comparing ipilimumab and gp100.  The submission claimed that since DTIC and gp100 both represent largely ineffective therapies, they </w:t>
      </w:r>
      <w:r w:rsidR="003C485F" w:rsidRPr="006C03DC">
        <w:t>represent</w:t>
      </w:r>
      <w:r w:rsidR="003C7BAF" w:rsidRPr="006C03DC">
        <w:t xml:space="preserve"> a common </w:t>
      </w:r>
      <w:r w:rsidR="00044262" w:rsidRPr="006C03DC">
        <w:t>reference</w:t>
      </w:r>
      <w:r w:rsidR="003C7BAF" w:rsidRPr="006C03DC">
        <w:t>.  Given that gp100 was used as a proxy for DTIC and fotemustine in the original (July 2011) and subsequent ipilimumab submissions (March 2012, November 2012), this was considered reasonable.</w:t>
      </w:r>
    </w:p>
    <w:p w:rsidR="00862502" w:rsidRPr="00862502" w:rsidRDefault="00862502" w:rsidP="00323E7A">
      <w:pPr>
        <w:widowControl/>
        <w:rPr>
          <w:szCs w:val="22"/>
        </w:rPr>
      </w:pPr>
    </w:p>
    <w:p w:rsidR="00862502" w:rsidRPr="003A3593" w:rsidRDefault="00862502" w:rsidP="00323E7A">
      <w:pPr>
        <w:pStyle w:val="ListParagraph"/>
        <w:widowControl/>
        <w:numPr>
          <w:ilvl w:val="1"/>
          <w:numId w:val="23"/>
        </w:numPr>
        <w:ind w:left="709" w:hanging="709"/>
      </w:pPr>
      <w:r w:rsidRPr="003A3593">
        <w:t>Details of the trials presented in the submission ar</w:t>
      </w:r>
      <w:r w:rsidR="00044262" w:rsidRPr="003A3593">
        <w:t>e provided in the table below.</w:t>
      </w:r>
    </w:p>
    <w:p w:rsidR="00862502" w:rsidRPr="00862502" w:rsidRDefault="00862502" w:rsidP="00323E7A">
      <w:pPr>
        <w:widowControl/>
        <w:rPr>
          <w:szCs w:val="22"/>
        </w:rPr>
      </w:pPr>
    </w:p>
    <w:p w:rsidR="003C7BAF" w:rsidRPr="00CC072A" w:rsidRDefault="003C7BAF" w:rsidP="00323E7A">
      <w:pPr>
        <w:widowControl/>
        <w:ind w:left="709"/>
        <w:rPr>
          <w:rStyle w:val="CommentReference"/>
        </w:rPr>
      </w:pPr>
      <w:r w:rsidRPr="00CC072A">
        <w:rPr>
          <w:rStyle w:val="CommentReference"/>
        </w:rPr>
        <w:t xml:space="preserve">Table </w:t>
      </w:r>
      <w:r w:rsidR="0061538A">
        <w:rPr>
          <w:rStyle w:val="CommentReference"/>
        </w:rPr>
        <w:t>1</w:t>
      </w:r>
      <w:r w:rsidRPr="00CC072A">
        <w:rPr>
          <w:rStyle w:val="CommentReference"/>
        </w:rPr>
        <w:t>: Trials (and associated reports) presented in the submission</w:t>
      </w:r>
    </w:p>
    <w:tbl>
      <w:tblPr>
        <w:tblW w:w="4587"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1"/>
        <w:gridCol w:w="1135"/>
        <w:gridCol w:w="6206"/>
      </w:tblGrid>
      <w:tr w:rsidR="000B0D54" w:rsidRPr="004E2ADC" w:rsidTr="000B0D54">
        <w:tc>
          <w:tcPr>
            <w:tcW w:w="595" w:type="pct"/>
            <w:tcBorders>
              <w:top w:val="single" w:sz="4" w:space="0" w:color="auto"/>
              <w:left w:val="single" w:sz="4" w:space="0" w:color="auto"/>
              <w:bottom w:val="single" w:sz="4" w:space="0" w:color="auto"/>
              <w:right w:val="single" w:sz="4" w:space="0" w:color="auto"/>
            </w:tcBorders>
            <w:vAlign w:val="center"/>
          </w:tcPr>
          <w:p w:rsidR="000B0D54" w:rsidRPr="004E2ADC" w:rsidRDefault="000B0D54" w:rsidP="00323E7A">
            <w:pPr>
              <w:pStyle w:val="TableHeading"/>
              <w:keepNext w:val="0"/>
              <w:spacing w:before="0" w:after="0"/>
              <w:rPr>
                <w:rFonts w:cs="Arial"/>
                <w:lang w:eastAsia="en-AU"/>
              </w:rPr>
            </w:pPr>
            <w:r w:rsidRPr="004E2ADC">
              <w:rPr>
                <w:rFonts w:cs="Arial"/>
                <w:lang w:eastAsia="en-AU"/>
              </w:rPr>
              <w:t>Trial</w:t>
            </w:r>
          </w:p>
        </w:tc>
        <w:tc>
          <w:tcPr>
            <w:tcW w:w="681" w:type="pct"/>
            <w:tcBorders>
              <w:top w:val="single" w:sz="4" w:space="0" w:color="auto"/>
              <w:left w:val="single" w:sz="4" w:space="0" w:color="auto"/>
              <w:bottom w:val="single" w:sz="4" w:space="0" w:color="auto"/>
              <w:right w:val="single" w:sz="4" w:space="0" w:color="auto"/>
            </w:tcBorders>
            <w:vAlign w:val="center"/>
          </w:tcPr>
          <w:p w:rsidR="000B0D54" w:rsidRPr="004E2ADC" w:rsidRDefault="000B0D54" w:rsidP="00323E7A">
            <w:pPr>
              <w:pStyle w:val="TableHeading"/>
              <w:keepNext w:val="0"/>
              <w:spacing w:before="0" w:after="0"/>
              <w:jc w:val="center"/>
              <w:rPr>
                <w:rFonts w:cs="Arial"/>
                <w:lang w:eastAsia="en-AU"/>
              </w:rPr>
            </w:pPr>
            <w:r w:rsidRPr="004E2ADC">
              <w:rPr>
                <w:rFonts w:cs="Arial"/>
                <w:lang w:eastAsia="en-AU"/>
              </w:rPr>
              <w:t>Description</w:t>
            </w:r>
          </w:p>
        </w:tc>
        <w:tc>
          <w:tcPr>
            <w:tcW w:w="3724" w:type="pct"/>
            <w:tcBorders>
              <w:top w:val="single" w:sz="4" w:space="0" w:color="auto"/>
              <w:left w:val="single" w:sz="4" w:space="0" w:color="auto"/>
              <w:bottom w:val="single" w:sz="4" w:space="0" w:color="auto"/>
              <w:right w:val="single" w:sz="4" w:space="0" w:color="auto"/>
            </w:tcBorders>
            <w:vAlign w:val="center"/>
          </w:tcPr>
          <w:p w:rsidR="000B0D54" w:rsidRPr="004E2ADC" w:rsidRDefault="000B0D54" w:rsidP="00323E7A">
            <w:pPr>
              <w:pStyle w:val="TableHeading"/>
              <w:keepNext w:val="0"/>
              <w:spacing w:before="0" w:after="0"/>
              <w:jc w:val="center"/>
              <w:rPr>
                <w:rFonts w:cs="Arial"/>
                <w:lang w:eastAsia="en-AU"/>
              </w:rPr>
            </w:pPr>
            <w:r w:rsidRPr="004E2ADC">
              <w:rPr>
                <w:rFonts w:cs="Arial"/>
                <w:lang w:eastAsia="en-AU"/>
              </w:rPr>
              <w:t>Reports</w:t>
            </w:r>
          </w:p>
        </w:tc>
      </w:tr>
      <w:tr w:rsidR="003C7BAF" w:rsidRPr="004E2ADC" w:rsidTr="003C7BAF">
        <w:tc>
          <w:tcPr>
            <w:tcW w:w="5000" w:type="pct"/>
            <w:gridSpan w:val="3"/>
            <w:tcBorders>
              <w:top w:val="single" w:sz="4" w:space="0" w:color="auto"/>
              <w:left w:val="single" w:sz="4" w:space="0" w:color="auto"/>
              <w:bottom w:val="single" w:sz="4" w:space="0" w:color="auto"/>
              <w:right w:val="single" w:sz="4" w:space="0" w:color="auto"/>
            </w:tcBorders>
            <w:vAlign w:val="center"/>
          </w:tcPr>
          <w:p w:rsidR="003C7BAF" w:rsidRPr="004E2ADC" w:rsidRDefault="003C7BAF" w:rsidP="00323E7A">
            <w:pPr>
              <w:pStyle w:val="TableHeading"/>
              <w:keepNext w:val="0"/>
              <w:spacing w:before="0" w:after="0"/>
              <w:rPr>
                <w:rFonts w:cs="Arial"/>
                <w:lang w:eastAsia="en-AU"/>
              </w:rPr>
            </w:pPr>
            <w:r w:rsidRPr="004E2ADC">
              <w:rPr>
                <w:rFonts w:cs="Arial"/>
                <w:lang w:eastAsia="en-AU"/>
              </w:rPr>
              <w:t xml:space="preserve">Common reference </w:t>
            </w:r>
            <w:r>
              <w:rPr>
                <w:rFonts w:cs="Arial"/>
                <w:lang w:eastAsia="en-AU"/>
              </w:rPr>
              <w:t>DTIC and gp100</w:t>
            </w:r>
          </w:p>
        </w:tc>
      </w:tr>
      <w:tr w:rsidR="003C7BAF" w:rsidRPr="004E2ADC" w:rsidTr="003C7BAF">
        <w:tc>
          <w:tcPr>
            <w:tcW w:w="5000" w:type="pct"/>
            <w:gridSpan w:val="3"/>
            <w:tcBorders>
              <w:top w:val="single" w:sz="4" w:space="0" w:color="auto"/>
              <w:left w:val="single" w:sz="4" w:space="0" w:color="auto"/>
              <w:bottom w:val="single" w:sz="4" w:space="0" w:color="auto"/>
              <w:right w:val="single" w:sz="4" w:space="0" w:color="auto"/>
            </w:tcBorders>
            <w:vAlign w:val="center"/>
          </w:tcPr>
          <w:p w:rsidR="003C7BAF" w:rsidRPr="00C77845" w:rsidRDefault="003C7BAF" w:rsidP="00323E7A">
            <w:pPr>
              <w:pStyle w:val="TableText0"/>
              <w:keepNext w:val="0"/>
              <w:spacing w:before="0" w:after="0"/>
              <w:rPr>
                <w:rFonts w:cs="Arial"/>
                <w:iCs/>
                <w:lang w:eastAsia="en-AU"/>
              </w:rPr>
            </w:pPr>
            <w:r w:rsidRPr="00C77845">
              <w:rPr>
                <w:rFonts w:cs="Arial"/>
                <w:iCs/>
                <w:lang w:eastAsia="en-AU"/>
              </w:rPr>
              <w:t>Nivolumab</w:t>
            </w:r>
          </w:p>
        </w:tc>
      </w:tr>
      <w:tr w:rsidR="000B0D54" w:rsidRPr="004E2ADC" w:rsidTr="000B0D54">
        <w:tc>
          <w:tcPr>
            <w:tcW w:w="595" w:type="pct"/>
            <w:tcBorders>
              <w:top w:val="single" w:sz="4" w:space="0" w:color="auto"/>
              <w:left w:val="single" w:sz="4" w:space="0" w:color="auto"/>
              <w:bottom w:val="single" w:sz="4" w:space="0" w:color="auto"/>
              <w:right w:val="single" w:sz="4" w:space="0" w:color="auto"/>
            </w:tcBorders>
          </w:tcPr>
          <w:p w:rsidR="000B0D54" w:rsidRPr="004E2ADC" w:rsidRDefault="000B0D54" w:rsidP="00323E7A">
            <w:pPr>
              <w:pStyle w:val="TableText0"/>
              <w:keepNext w:val="0"/>
              <w:spacing w:before="0" w:after="0"/>
              <w:rPr>
                <w:rFonts w:cs="Arial"/>
                <w:lang w:eastAsia="en-AU"/>
              </w:rPr>
            </w:pPr>
            <w:r>
              <w:rPr>
                <w:rFonts w:cs="Arial"/>
                <w:lang w:eastAsia="en-AU"/>
              </w:rPr>
              <w:t>CA209-066</w:t>
            </w:r>
          </w:p>
        </w:tc>
        <w:tc>
          <w:tcPr>
            <w:tcW w:w="681" w:type="pct"/>
            <w:tcBorders>
              <w:top w:val="single" w:sz="4" w:space="0" w:color="auto"/>
              <w:left w:val="single" w:sz="4" w:space="0" w:color="auto"/>
              <w:bottom w:val="single" w:sz="4" w:space="0" w:color="auto"/>
              <w:right w:val="single" w:sz="4" w:space="0" w:color="auto"/>
            </w:tcBorders>
          </w:tcPr>
          <w:p w:rsidR="000B0D54" w:rsidRPr="004E2ADC" w:rsidRDefault="000B0D54" w:rsidP="00323E7A">
            <w:pPr>
              <w:pStyle w:val="TableText0"/>
              <w:keepNext w:val="0"/>
              <w:spacing w:before="0" w:after="0"/>
              <w:rPr>
                <w:rFonts w:cs="Arial"/>
                <w:lang w:eastAsia="en-AU"/>
              </w:rPr>
            </w:pPr>
            <w:r>
              <w:rPr>
                <w:rFonts w:cs="Arial"/>
                <w:lang w:eastAsia="en-AU"/>
              </w:rPr>
              <w:t>R, DB, MC</w:t>
            </w:r>
          </w:p>
        </w:tc>
        <w:tc>
          <w:tcPr>
            <w:tcW w:w="3724" w:type="pct"/>
            <w:tcBorders>
              <w:top w:val="single" w:sz="4" w:space="0" w:color="auto"/>
              <w:left w:val="single" w:sz="4" w:space="0" w:color="auto"/>
              <w:bottom w:val="single" w:sz="4" w:space="0" w:color="auto"/>
              <w:right w:val="single" w:sz="4" w:space="0" w:color="auto"/>
            </w:tcBorders>
            <w:vAlign w:val="center"/>
          </w:tcPr>
          <w:p w:rsidR="000B0D54" w:rsidRPr="004E2ADC" w:rsidRDefault="000B0D54" w:rsidP="00323E7A">
            <w:pPr>
              <w:pStyle w:val="TableText0"/>
              <w:keepNext w:val="0"/>
              <w:spacing w:before="0" w:after="0"/>
              <w:rPr>
                <w:rFonts w:cs="Arial"/>
                <w:lang w:eastAsia="en-AU"/>
              </w:rPr>
            </w:pPr>
            <w:r w:rsidRPr="00FD0EB4">
              <w:rPr>
                <w:rFonts w:cs="Arial"/>
                <w:lang w:eastAsia="en-AU"/>
              </w:rPr>
              <w:t>A Phase 3, Randomized, Double-blind Study of BMS-936558 (Nivolumab)</w:t>
            </w:r>
            <w:r>
              <w:rPr>
                <w:rFonts w:cs="Arial"/>
                <w:lang w:eastAsia="en-AU"/>
              </w:rPr>
              <w:t xml:space="preserve"> </w:t>
            </w:r>
            <w:r w:rsidRPr="00FD0EB4">
              <w:rPr>
                <w:rFonts w:cs="Arial"/>
                <w:lang w:eastAsia="en-AU"/>
              </w:rPr>
              <w:t>Versus Dacarbazine in Subjects with Previously Untreated, Unresectable or</w:t>
            </w:r>
            <w:r>
              <w:rPr>
                <w:rFonts w:cs="Arial"/>
                <w:lang w:eastAsia="en-AU"/>
              </w:rPr>
              <w:t xml:space="preserve"> </w:t>
            </w:r>
            <w:r w:rsidRPr="00FD0EB4">
              <w:rPr>
                <w:rFonts w:cs="Arial"/>
                <w:lang w:eastAsia="en-AU"/>
              </w:rPr>
              <w:t>Metastatic Melanoma</w:t>
            </w:r>
            <w:r w:rsidRPr="004E2ADC">
              <w:rPr>
                <w:rFonts w:cs="Arial"/>
                <w:lang w:eastAsia="en-AU"/>
              </w:rPr>
              <w:t xml:space="preserve">. </w:t>
            </w:r>
            <w:r w:rsidRPr="00FD0EB4">
              <w:rPr>
                <w:rFonts w:cs="Arial"/>
                <w:lang w:eastAsia="en-AU"/>
              </w:rPr>
              <w:t>20-Oct-2014</w:t>
            </w:r>
            <w:r>
              <w:rPr>
                <w:rFonts w:cs="Arial"/>
                <w:lang w:eastAsia="en-AU"/>
              </w:rPr>
              <w:t>.</w:t>
            </w:r>
          </w:p>
          <w:p w:rsidR="000B0D54" w:rsidRDefault="000B0D54" w:rsidP="00323E7A">
            <w:pPr>
              <w:pStyle w:val="TableText0"/>
              <w:keepNext w:val="0"/>
              <w:spacing w:before="0" w:after="0"/>
              <w:rPr>
                <w:rFonts w:cs="Arial"/>
                <w:lang w:eastAsia="en-AU"/>
              </w:rPr>
            </w:pPr>
          </w:p>
          <w:p w:rsidR="000B0D54" w:rsidRPr="004E2ADC" w:rsidRDefault="000B0D54" w:rsidP="00323E7A">
            <w:pPr>
              <w:pStyle w:val="TableText0"/>
              <w:keepNext w:val="0"/>
              <w:spacing w:before="0" w:after="0"/>
              <w:rPr>
                <w:rFonts w:cs="Arial"/>
                <w:lang w:eastAsia="en-AU"/>
              </w:rPr>
            </w:pPr>
            <w:r>
              <w:rPr>
                <w:rFonts w:cs="Arial"/>
                <w:lang w:eastAsia="en-AU"/>
              </w:rPr>
              <w:t>Robert C, Long GV, Brady B, et al. Nivolumab in previously untreated melanoma without BRAF mutation. N Engl J Med 2015; 372(4):311-9.</w:t>
            </w:r>
          </w:p>
        </w:tc>
      </w:tr>
      <w:tr w:rsidR="003C7BAF" w:rsidRPr="004E2ADC" w:rsidTr="003C7BAF">
        <w:tc>
          <w:tcPr>
            <w:tcW w:w="5000" w:type="pct"/>
            <w:gridSpan w:val="3"/>
            <w:tcBorders>
              <w:top w:val="single" w:sz="4" w:space="0" w:color="auto"/>
              <w:left w:val="single" w:sz="4" w:space="0" w:color="auto"/>
              <w:bottom w:val="single" w:sz="4" w:space="0" w:color="auto"/>
              <w:right w:val="single" w:sz="4" w:space="0" w:color="auto"/>
            </w:tcBorders>
            <w:vAlign w:val="center"/>
          </w:tcPr>
          <w:p w:rsidR="003C7BAF" w:rsidRPr="00C77845" w:rsidRDefault="003C7BAF" w:rsidP="00323E7A">
            <w:pPr>
              <w:pStyle w:val="TableText0"/>
              <w:keepNext w:val="0"/>
              <w:spacing w:before="0" w:after="0"/>
              <w:rPr>
                <w:rFonts w:cs="Arial"/>
                <w:iCs/>
                <w:lang w:eastAsia="en-AU"/>
              </w:rPr>
            </w:pPr>
            <w:r w:rsidRPr="00C77845">
              <w:rPr>
                <w:rFonts w:cs="Arial"/>
                <w:iCs/>
                <w:lang w:eastAsia="en-AU"/>
              </w:rPr>
              <w:t>Ipilimumab</w:t>
            </w:r>
          </w:p>
        </w:tc>
      </w:tr>
      <w:tr w:rsidR="000B0D54" w:rsidRPr="004E2ADC" w:rsidTr="000B0D54">
        <w:tc>
          <w:tcPr>
            <w:tcW w:w="595" w:type="pct"/>
            <w:tcBorders>
              <w:top w:val="single" w:sz="4" w:space="0" w:color="auto"/>
              <w:left w:val="single" w:sz="4" w:space="0" w:color="auto"/>
              <w:bottom w:val="single" w:sz="4" w:space="0" w:color="auto"/>
              <w:right w:val="single" w:sz="4" w:space="0" w:color="auto"/>
            </w:tcBorders>
          </w:tcPr>
          <w:p w:rsidR="000B0D54" w:rsidRPr="004E2ADC" w:rsidRDefault="000B0D54" w:rsidP="00323E7A">
            <w:pPr>
              <w:pStyle w:val="TableText0"/>
              <w:keepNext w:val="0"/>
              <w:spacing w:before="0" w:after="0"/>
              <w:rPr>
                <w:rFonts w:cs="Arial"/>
                <w:lang w:eastAsia="en-AU"/>
              </w:rPr>
            </w:pPr>
            <w:r>
              <w:rPr>
                <w:rFonts w:cs="Arial"/>
                <w:lang w:eastAsia="en-AU"/>
              </w:rPr>
              <w:t>MDX010-20</w:t>
            </w:r>
          </w:p>
        </w:tc>
        <w:tc>
          <w:tcPr>
            <w:tcW w:w="681" w:type="pct"/>
            <w:tcBorders>
              <w:top w:val="single" w:sz="4" w:space="0" w:color="auto"/>
              <w:left w:val="single" w:sz="4" w:space="0" w:color="auto"/>
              <w:bottom w:val="single" w:sz="4" w:space="0" w:color="auto"/>
              <w:right w:val="single" w:sz="4" w:space="0" w:color="auto"/>
            </w:tcBorders>
          </w:tcPr>
          <w:p w:rsidR="000B0D54" w:rsidRPr="004E2ADC" w:rsidRDefault="000B0D54" w:rsidP="00323E7A">
            <w:pPr>
              <w:pStyle w:val="TableText0"/>
              <w:keepNext w:val="0"/>
              <w:spacing w:before="0" w:after="0"/>
              <w:rPr>
                <w:rFonts w:cs="Arial"/>
                <w:lang w:eastAsia="en-AU"/>
              </w:rPr>
            </w:pPr>
            <w:r>
              <w:rPr>
                <w:rFonts w:cs="Arial"/>
                <w:lang w:eastAsia="en-AU"/>
              </w:rPr>
              <w:t>R, DB, MC</w:t>
            </w:r>
          </w:p>
        </w:tc>
        <w:tc>
          <w:tcPr>
            <w:tcW w:w="3724" w:type="pct"/>
            <w:tcBorders>
              <w:top w:val="single" w:sz="4" w:space="0" w:color="auto"/>
              <w:left w:val="single" w:sz="4" w:space="0" w:color="auto"/>
              <w:bottom w:val="single" w:sz="4" w:space="0" w:color="auto"/>
              <w:right w:val="single" w:sz="4" w:space="0" w:color="auto"/>
            </w:tcBorders>
          </w:tcPr>
          <w:p w:rsidR="000B0D54" w:rsidRPr="00885C28" w:rsidRDefault="000B0D54" w:rsidP="00323E7A">
            <w:pPr>
              <w:pStyle w:val="TableText0"/>
              <w:keepNext w:val="0"/>
              <w:spacing w:before="0" w:after="0"/>
              <w:rPr>
                <w:rFonts w:cs="Arial"/>
                <w:lang w:val="da-DK" w:eastAsia="en-AU"/>
              </w:rPr>
            </w:pPr>
            <w:r w:rsidRPr="00460B1D">
              <w:rPr>
                <w:rFonts w:cs="Arial"/>
                <w:lang w:eastAsia="en-AU"/>
              </w:rPr>
              <w:t xml:space="preserve">A </w:t>
            </w:r>
            <w:r>
              <w:rPr>
                <w:rFonts w:cs="Arial"/>
                <w:lang w:eastAsia="en-AU"/>
              </w:rPr>
              <w:t>Randomized, Double-blind Multicenter</w:t>
            </w:r>
            <w:r w:rsidRPr="00460B1D">
              <w:rPr>
                <w:rFonts w:cs="Arial"/>
                <w:lang w:eastAsia="en-AU"/>
              </w:rPr>
              <w:t xml:space="preserve"> Study Comparing</w:t>
            </w:r>
            <w:r>
              <w:rPr>
                <w:rFonts w:cs="Arial"/>
                <w:lang w:eastAsia="en-AU"/>
              </w:rPr>
              <w:t xml:space="preserve"> </w:t>
            </w:r>
            <w:r w:rsidRPr="00460B1D">
              <w:rPr>
                <w:rFonts w:cs="Arial"/>
                <w:lang w:eastAsia="en-AU"/>
              </w:rPr>
              <w:t>MDX-010 Monotherapy, MDX-010 in Combination with a</w:t>
            </w:r>
            <w:r>
              <w:rPr>
                <w:rFonts w:cs="Arial"/>
                <w:lang w:eastAsia="en-AU"/>
              </w:rPr>
              <w:t xml:space="preserve"> </w:t>
            </w:r>
            <w:r w:rsidRPr="00460B1D">
              <w:rPr>
                <w:rFonts w:cs="Arial"/>
                <w:lang w:eastAsia="en-AU"/>
              </w:rPr>
              <w:t>Melanoma Peptide Vaccine, and Melanoma Vaccine Monotherapy</w:t>
            </w:r>
            <w:r>
              <w:rPr>
                <w:rFonts w:cs="Arial"/>
                <w:lang w:eastAsia="en-AU"/>
              </w:rPr>
              <w:t xml:space="preserve"> </w:t>
            </w:r>
            <w:r w:rsidRPr="00460B1D">
              <w:rPr>
                <w:rFonts w:cs="Arial"/>
                <w:lang w:eastAsia="en-AU"/>
              </w:rPr>
              <w:t>in HLA-A*0201-Positive Patients with Previously Treated</w:t>
            </w:r>
            <w:r>
              <w:rPr>
                <w:rFonts w:cs="Arial"/>
                <w:lang w:eastAsia="en-AU"/>
              </w:rPr>
              <w:t xml:space="preserve"> </w:t>
            </w:r>
            <w:r w:rsidRPr="00460B1D">
              <w:rPr>
                <w:rFonts w:cs="Arial"/>
                <w:lang w:eastAsia="en-AU"/>
              </w:rPr>
              <w:t>Unresectable Stage III or IV Melanoma</w:t>
            </w:r>
            <w:r w:rsidRPr="004E2ADC">
              <w:rPr>
                <w:rFonts w:cs="Arial"/>
                <w:lang w:eastAsia="en-AU"/>
              </w:rPr>
              <w:t>.</w:t>
            </w:r>
            <w:r>
              <w:rPr>
                <w:rFonts w:cs="Arial"/>
                <w:lang w:eastAsia="en-AU"/>
              </w:rPr>
              <w:t xml:space="preserve"> </w:t>
            </w:r>
            <w:r w:rsidRPr="00885C28">
              <w:rPr>
                <w:rFonts w:cs="Arial"/>
                <w:lang w:val="da-DK" w:eastAsia="en-AU"/>
              </w:rPr>
              <w:t>Mar-2010.</w:t>
            </w:r>
          </w:p>
          <w:p w:rsidR="000B0D54" w:rsidRPr="00885C28" w:rsidRDefault="000B0D54" w:rsidP="00323E7A">
            <w:pPr>
              <w:pStyle w:val="TableText0"/>
              <w:keepNext w:val="0"/>
              <w:spacing w:before="0" w:after="0"/>
              <w:rPr>
                <w:rFonts w:cs="Arial"/>
                <w:lang w:val="da-DK" w:eastAsia="en-AU"/>
              </w:rPr>
            </w:pPr>
          </w:p>
          <w:p w:rsidR="000B0D54" w:rsidRPr="00885C28" w:rsidRDefault="000B0D54" w:rsidP="00323E7A">
            <w:pPr>
              <w:pStyle w:val="TableText0"/>
              <w:keepNext w:val="0"/>
              <w:spacing w:before="0" w:after="0"/>
              <w:rPr>
                <w:rFonts w:cs="Arial"/>
                <w:lang w:val="da-DK" w:eastAsia="en-AU"/>
              </w:rPr>
            </w:pPr>
            <w:r w:rsidRPr="00885C28">
              <w:rPr>
                <w:rFonts w:cs="Arial"/>
                <w:lang w:val="da-DK" w:eastAsia="en-AU"/>
              </w:rPr>
              <w:t xml:space="preserve">Hodi FS, O'Day SJ, McDermott DF, Weber RW, et al. </w:t>
            </w:r>
            <w:r w:rsidRPr="004B6361">
              <w:rPr>
                <w:rFonts w:cs="Arial"/>
                <w:lang w:eastAsia="en-AU"/>
              </w:rPr>
              <w:t xml:space="preserve">Improved survival with ipilimumab in patients with metastatic melanoma. </w:t>
            </w:r>
            <w:r w:rsidRPr="00885C28">
              <w:rPr>
                <w:rFonts w:cs="Arial"/>
                <w:lang w:val="da-DK" w:eastAsia="en-AU"/>
              </w:rPr>
              <w:t>N Engl J Med. 2010a; 363(8): 711-23.</w:t>
            </w:r>
          </w:p>
          <w:p w:rsidR="000B0D54" w:rsidRPr="00885C28" w:rsidRDefault="000B0D54" w:rsidP="00323E7A">
            <w:pPr>
              <w:pStyle w:val="TableText0"/>
              <w:keepNext w:val="0"/>
              <w:spacing w:before="0" w:after="0"/>
              <w:rPr>
                <w:rFonts w:cs="Arial"/>
                <w:lang w:val="da-DK" w:eastAsia="en-AU"/>
              </w:rPr>
            </w:pPr>
          </w:p>
          <w:p w:rsidR="000B0D54" w:rsidRPr="004E2ADC" w:rsidRDefault="000B0D54" w:rsidP="00323E7A">
            <w:pPr>
              <w:pStyle w:val="TableText0"/>
              <w:keepNext w:val="0"/>
              <w:spacing w:before="0" w:after="0"/>
              <w:rPr>
                <w:rFonts w:cs="Arial"/>
                <w:lang w:eastAsia="en-AU"/>
              </w:rPr>
            </w:pPr>
            <w:r w:rsidRPr="00885C28">
              <w:rPr>
                <w:rFonts w:cs="Arial"/>
                <w:lang w:val="da-DK" w:eastAsia="en-AU"/>
              </w:rPr>
              <w:t xml:space="preserve">Weber JS, Dummer R, de Pril V, Lebbé C, et al. </w:t>
            </w:r>
            <w:r w:rsidRPr="004B6361">
              <w:rPr>
                <w:rFonts w:cs="Arial"/>
                <w:lang w:eastAsia="en-AU"/>
              </w:rPr>
              <w:t>Patterns of onset and resolution of immune-related adverse events of special interest with ipilimumab: detailed safety analysis from a phase 3 trial in patients with advanced melanoma. Cancer. 2013; 119(9):1675-82.</w:t>
            </w:r>
          </w:p>
        </w:tc>
      </w:tr>
    </w:tbl>
    <w:p w:rsidR="003C7BAF" w:rsidRDefault="003C7BAF" w:rsidP="00323E7A">
      <w:pPr>
        <w:widowControl/>
        <w:ind w:left="709"/>
        <w:rPr>
          <w:rStyle w:val="CommentReference"/>
          <w:b w:val="0"/>
          <w:sz w:val="18"/>
        </w:rPr>
      </w:pPr>
      <w:r>
        <w:rPr>
          <w:rStyle w:val="CommentReference"/>
          <w:b w:val="0"/>
          <w:sz w:val="18"/>
        </w:rPr>
        <w:t xml:space="preserve">Source: </w:t>
      </w:r>
      <w:r w:rsidRPr="00C77845">
        <w:rPr>
          <w:rStyle w:val="CommentReference"/>
          <w:b w:val="0"/>
          <w:sz w:val="18"/>
        </w:rPr>
        <w:t>Table</w:t>
      </w:r>
      <w:r>
        <w:rPr>
          <w:rStyle w:val="CommentReference"/>
          <w:b w:val="0"/>
          <w:sz w:val="18"/>
        </w:rPr>
        <w:t xml:space="preserve"> 9, p48-50, Table 11, p55-56</w:t>
      </w:r>
      <w:r w:rsidRPr="00C77845">
        <w:rPr>
          <w:rStyle w:val="CommentReference"/>
          <w:b w:val="0"/>
          <w:sz w:val="18"/>
        </w:rPr>
        <w:t xml:space="preserve"> of the submission</w:t>
      </w:r>
      <w:r>
        <w:rPr>
          <w:rStyle w:val="CommentReference"/>
          <w:b w:val="0"/>
          <w:sz w:val="18"/>
        </w:rPr>
        <w:t>.</w:t>
      </w:r>
    </w:p>
    <w:p w:rsidR="003C7BAF" w:rsidRDefault="00FE2AC8" w:rsidP="00323E7A">
      <w:pPr>
        <w:widowControl/>
        <w:ind w:left="709"/>
        <w:rPr>
          <w:rStyle w:val="CommentReference"/>
          <w:b w:val="0"/>
          <w:sz w:val="18"/>
        </w:rPr>
      </w:pPr>
      <w:r>
        <w:rPr>
          <w:rStyle w:val="CommentReference"/>
          <w:b w:val="0"/>
          <w:sz w:val="18"/>
        </w:rPr>
        <w:t>DB=double-blind; DTIC=dacar</w:t>
      </w:r>
      <w:r w:rsidR="003C7BAF">
        <w:rPr>
          <w:rStyle w:val="CommentReference"/>
          <w:b w:val="0"/>
          <w:sz w:val="18"/>
        </w:rPr>
        <w:t xml:space="preserve">bazine; gp100=melanoma antigen glycoprotein 100 peptide vaccine; MC=multicentre; </w:t>
      </w:r>
      <w:r w:rsidR="00831A62">
        <w:rPr>
          <w:rStyle w:val="CommentReference"/>
          <w:b w:val="0"/>
          <w:sz w:val="18"/>
        </w:rPr>
        <w:t>R=</w:t>
      </w:r>
      <w:r w:rsidR="00D74B13">
        <w:rPr>
          <w:rStyle w:val="CommentReference"/>
          <w:b w:val="0"/>
          <w:sz w:val="18"/>
        </w:rPr>
        <w:t>randomised</w:t>
      </w:r>
    </w:p>
    <w:p w:rsidR="003C7BAF" w:rsidRPr="008F120A" w:rsidRDefault="003C7BAF" w:rsidP="00323E7A">
      <w:pPr>
        <w:widowControl/>
        <w:rPr>
          <w:szCs w:val="22"/>
        </w:rPr>
      </w:pPr>
    </w:p>
    <w:p w:rsidR="00896788" w:rsidRDefault="00E473AE" w:rsidP="00323E7A">
      <w:pPr>
        <w:pStyle w:val="ListParagraph"/>
        <w:widowControl/>
        <w:numPr>
          <w:ilvl w:val="1"/>
          <w:numId w:val="23"/>
        </w:numPr>
        <w:ind w:left="709" w:hanging="709"/>
      </w:pPr>
      <w:r>
        <w:t xml:space="preserve">The submission excluded CA209-037, which is a randomised, open-label trial comparing nivolumab </w:t>
      </w:r>
      <w:r w:rsidR="00044262">
        <w:t>with</w:t>
      </w:r>
      <w:r>
        <w:t xml:space="preserve"> DTIC or carboplatin+paclitaxel in patients </w:t>
      </w:r>
      <w:r w:rsidR="003C485F">
        <w:t>progressing post anti-CTLA-4 (i</w:t>
      </w:r>
      <w:r>
        <w:t xml:space="preserve">pilimumab) therapy.  The submission indicated the main reason for </w:t>
      </w:r>
      <w:r>
        <w:lastRenderedPageBreak/>
        <w:t xml:space="preserve">excluding this trial </w:t>
      </w:r>
      <w:r w:rsidR="00044262">
        <w:t>wa</w:t>
      </w:r>
      <w:r>
        <w:t xml:space="preserve">s that there </w:t>
      </w:r>
      <w:r w:rsidR="00044262">
        <w:t>wa</w:t>
      </w:r>
      <w:r>
        <w:t xml:space="preserve">s limited information available and the trial </w:t>
      </w:r>
      <w:r w:rsidR="00044262">
        <w:t>wa</w:t>
      </w:r>
      <w:r>
        <w:t>s still ongoing.  The submission indicate</w:t>
      </w:r>
      <w:r w:rsidR="00044262">
        <w:t>d</w:t>
      </w:r>
      <w:r>
        <w:t xml:space="preserve"> that while data for overall response rate has been presented (at ESMO 2014), data for overall survival </w:t>
      </w:r>
      <w:r w:rsidR="00044262">
        <w:t>wa</w:t>
      </w:r>
      <w:r>
        <w:t xml:space="preserve">s not yet available.  In </w:t>
      </w:r>
      <w:r w:rsidRPr="006C03DC">
        <w:t>addition, the trial included patients who had failed prior therapy with ipilimumab.  The submission state</w:t>
      </w:r>
      <w:r w:rsidR="00044262" w:rsidRPr="006C03DC">
        <w:t>d</w:t>
      </w:r>
      <w:r w:rsidRPr="006C03DC">
        <w:t xml:space="preserve"> that patients most likely to receive nivolumab in the second-line setting w</w:t>
      </w:r>
      <w:r w:rsidR="00044262" w:rsidRPr="006C03DC">
        <w:t>ould</w:t>
      </w:r>
      <w:r w:rsidRPr="006C03DC">
        <w:t xml:space="preserve"> be those who have failed on BRAF inhibitors, which this trial d</w:t>
      </w:r>
      <w:r w:rsidR="00044262" w:rsidRPr="006C03DC">
        <w:t>id</w:t>
      </w:r>
      <w:r w:rsidRPr="006C03DC">
        <w:t xml:space="preserve"> not inform.  However, the trial protocol indicate</w:t>
      </w:r>
      <w:r w:rsidR="00044262" w:rsidRPr="006C03DC">
        <w:t>d</w:t>
      </w:r>
      <w:r w:rsidRPr="006C03DC">
        <w:t xml:space="preserve"> that BRAF mutant patients must have progressed on ipilimumab and a BRAF inhibitor, and the data presented at ESMO indicated that 22% of the trial population were BRAF mutant.  Importantly, the requested PBS listing specifie</w:t>
      </w:r>
      <w:r w:rsidR="00771FEA" w:rsidRPr="006C03DC">
        <w:t>d</w:t>
      </w:r>
      <w:r w:rsidRPr="006C03DC">
        <w:t xml:space="preserve"> patients who have progressed on or after a BRAF inhibit</w:t>
      </w:r>
      <w:r w:rsidR="00771FEA" w:rsidRPr="006C03DC">
        <w:t>or</w:t>
      </w:r>
      <w:r w:rsidRPr="006C03DC">
        <w:t xml:space="preserve"> regimen or after ipilimumab therapy.  While CA209-037 appear</w:t>
      </w:r>
      <w:r w:rsidR="00771FEA" w:rsidRPr="006C03DC">
        <w:t>ed</w:t>
      </w:r>
      <w:r w:rsidRPr="006C03DC">
        <w:t xml:space="preserve"> to have included BRAF mutant patients who ha</w:t>
      </w:r>
      <w:r w:rsidR="00771FEA" w:rsidRPr="006C03DC">
        <w:t>d</w:t>
      </w:r>
      <w:r w:rsidRPr="006C03DC">
        <w:t xml:space="preserve"> failed both a BRAF inhibitor and ipilimumab, it also include</w:t>
      </w:r>
      <w:r w:rsidR="00771FEA" w:rsidRPr="006C03DC">
        <w:t>d</w:t>
      </w:r>
      <w:r w:rsidRPr="006C03DC">
        <w:t xml:space="preserve"> patients who ha</w:t>
      </w:r>
      <w:r w:rsidR="00771FEA" w:rsidRPr="006C03DC">
        <w:t>d</w:t>
      </w:r>
      <w:r w:rsidRPr="006C03DC">
        <w:t xml:space="preserve"> failed ipilimumab, which </w:t>
      </w:r>
      <w:r w:rsidR="00771FEA" w:rsidRPr="006C03DC">
        <w:t>wa</w:t>
      </w:r>
      <w:r w:rsidRPr="006C03DC">
        <w:t xml:space="preserve">s a relevant patient population for the requested PBS listing.  With a trial completion date of January 2015, it </w:t>
      </w:r>
      <w:r w:rsidR="00771FEA" w:rsidRPr="006C03DC">
        <w:t>wa</w:t>
      </w:r>
      <w:r w:rsidRPr="006C03DC">
        <w:t>s assumed that data additional to that presented at ESMO 2014 would be available.  Inclusion of this trial would have been informative for the requested PBS listing.</w:t>
      </w:r>
    </w:p>
    <w:p w:rsidR="00D51523" w:rsidRDefault="00D51523" w:rsidP="00323E7A">
      <w:pPr>
        <w:widowControl/>
      </w:pPr>
    </w:p>
    <w:p w:rsidR="00862502" w:rsidRPr="003A3593" w:rsidRDefault="008F120A" w:rsidP="00323E7A">
      <w:pPr>
        <w:pStyle w:val="ListParagraph"/>
        <w:widowControl/>
        <w:numPr>
          <w:ilvl w:val="1"/>
          <w:numId w:val="23"/>
        </w:numPr>
        <w:ind w:left="709" w:hanging="709"/>
      </w:pPr>
      <w:r w:rsidRPr="003A3593">
        <w:t xml:space="preserve">The key features of the </w:t>
      </w:r>
      <w:r w:rsidR="00B9041E" w:rsidRPr="003A3593">
        <w:t>randomised trials</w:t>
      </w:r>
      <w:r w:rsidRPr="003A3593">
        <w:t xml:space="preserve"> </w:t>
      </w:r>
      <w:r w:rsidR="00B9041E" w:rsidRPr="003A3593">
        <w:t xml:space="preserve">used in the indirect comparison </w:t>
      </w:r>
      <w:r w:rsidRPr="003A3593">
        <w:t>are summarised in the table below</w:t>
      </w:r>
      <w:r w:rsidR="00771FEA" w:rsidRPr="003A3593">
        <w:t>.</w:t>
      </w:r>
    </w:p>
    <w:p w:rsidR="00601C2C" w:rsidRDefault="00601C2C" w:rsidP="00323E7A">
      <w:pPr>
        <w:widowControl/>
        <w:rPr>
          <w:szCs w:val="22"/>
        </w:rPr>
      </w:pPr>
    </w:p>
    <w:p w:rsidR="00601C2C" w:rsidRPr="00902D0A" w:rsidRDefault="00601C2C" w:rsidP="00323E7A">
      <w:pPr>
        <w:widowControl/>
        <w:ind w:left="709"/>
        <w:rPr>
          <w:rFonts w:ascii="Arial Narrow" w:hAnsi="Arial Narrow"/>
          <w:b/>
          <w:sz w:val="20"/>
        </w:rPr>
      </w:pPr>
      <w:r>
        <w:rPr>
          <w:rFonts w:ascii="Arial Narrow" w:hAnsi="Arial Narrow"/>
          <w:b/>
          <w:sz w:val="20"/>
        </w:rPr>
        <w:t xml:space="preserve">Table </w:t>
      </w:r>
      <w:r w:rsidR="0061538A">
        <w:rPr>
          <w:rFonts w:ascii="Arial Narrow" w:hAnsi="Arial Narrow"/>
          <w:b/>
          <w:sz w:val="20"/>
        </w:rPr>
        <w:t>2</w:t>
      </w:r>
      <w:r w:rsidRPr="00902D0A">
        <w:rPr>
          <w:rFonts w:ascii="Arial Narrow" w:hAnsi="Arial Narrow"/>
          <w:b/>
          <w:sz w:val="20"/>
        </w:rPr>
        <w:t xml:space="preserve">: Summary of trials used </w:t>
      </w:r>
      <w:r>
        <w:rPr>
          <w:rFonts w:ascii="Arial Narrow" w:hAnsi="Arial Narrow"/>
          <w:b/>
          <w:sz w:val="20"/>
        </w:rPr>
        <w:t>in the clinical evaluation</w:t>
      </w:r>
    </w:p>
    <w:tbl>
      <w:tblPr>
        <w:tblStyle w:val="TableGrid"/>
        <w:tblW w:w="4604" w:type="pct"/>
        <w:tblInd w:w="737" w:type="dxa"/>
        <w:tblCellMar>
          <w:left w:w="28" w:type="dxa"/>
          <w:right w:w="28" w:type="dxa"/>
        </w:tblCellMar>
        <w:tblLook w:val="04A0" w:firstRow="1" w:lastRow="0" w:firstColumn="1" w:lastColumn="0" w:noHBand="0" w:noVBand="1"/>
        <w:tblCaption w:val="Summary of trials used in the clinical evaluation"/>
        <w:tblDescription w:val="Key features of the randomised trials used in the indirect comparison are summarised in the table"/>
      </w:tblPr>
      <w:tblGrid>
        <w:gridCol w:w="750"/>
        <w:gridCol w:w="411"/>
        <w:gridCol w:w="2383"/>
        <w:gridCol w:w="1131"/>
        <w:gridCol w:w="1403"/>
        <w:gridCol w:w="2285"/>
      </w:tblGrid>
      <w:tr w:rsidR="00601C2C" w:rsidRPr="00CD0F2E" w:rsidTr="00FA6362">
        <w:trPr>
          <w:tblHeader/>
        </w:trPr>
        <w:tc>
          <w:tcPr>
            <w:tcW w:w="448" w:type="pct"/>
            <w:vAlign w:val="center"/>
          </w:tcPr>
          <w:p w:rsidR="00601C2C" w:rsidRPr="00CD0F2E" w:rsidRDefault="00601C2C" w:rsidP="00323E7A">
            <w:pPr>
              <w:widowControl/>
              <w:jc w:val="left"/>
              <w:rPr>
                <w:rFonts w:ascii="Arial Narrow" w:hAnsi="Arial Narrow"/>
                <w:b/>
                <w:sz w:val="20"/>
              </w:rPr>
            </w:pPr>
            <w:r w:rsidRPr="00CD0F2E">
              <w:rPr>
                <w:rFonts w:ascii="Arial Narrow" w:hAnsi="Arial Narrow"/>
                <w:b/>
                <w:sz w:val="20"/>
              </w:rPr>
              <w:t>Trial</w:t>
            </w:r>
            <w:r>
              <w:rPr>
                <w:rFonts w:ascii="Arial Narrow" w:hAnsi="Arial Narrow"/>
                <w:b/>
                <w:sz w:val="20"/>
              </w:rPr>
              <w:t xml:space="preserve"> ID</w:t>
            </w:r>
          </w:p>
        </w:tc>
        <w:tc>
          <w:tcPr>
            <w:tcW w:w="246" w:type="pct"/>
            <w:vAlign w:val="center"/>
          </w:tcPr>
          <w:p w:rsidR="00601C2C" w:rsidRPr="00CD0F2E" w:rsidRDefault="00601C2C" w:rsidP="00323E7A">
            <w:pPr>
              <w:widowControl/>
              <w:jc w:val="center"/>
              <w:rPr>
                <w:rFonts w:ascii="Arial Narrow" w:hAnsi="Arial Narrow"/>
                <w:b/>
                <w:sz w:val="20"/>
              </w:rPr>
            </w:pPr>
            <w:r>
              <w:rPr>
                <w:rFonts w:ascii="Arial Narrow" w:hAnsi="Arial Narrow"/>
                <w:b/>
                <w:sz w:val="20"/>
              </w:rPr>
              <w:t>N</w:t>
            </w:r>
          </w:p>
        </w:tc>
        <w:tc>
          <w:tcPr>
            <w:tcW w:w="1425" w:type="pct"/>
            <w:vAlign w:val="center"/>
          </w:tcPr>
          <w:p w:rsidR="00601C2C" w:rsidRPr="00CD0F2E" w:rsidRDefault="00601C2C" w:rsidP="00323E7A">
            <w:pPr>
              <w:widowControl/>
              <w:jc w:val="center"/>
              <w:rPr>
                <w:rFonts w:ascii="Arial Narrow" w:hAnsi="Arial Narrow"/>
                <w:b/>
                <w:sz w:val="20"/>
              </w:rPr>
            </w:pPr>
            <w:r>
              <w:rPr>
                <w:rFonts w:ascii="Arial Narrow" w:hAnsi="Arial Narrow"/>
                <w:b/>
                <w:sz w:val="20"/>
              </w:rPr>
              <w:t>Comparison</w:t>
            </w:r>
          </w:p>
        </w:tc>
        <w:tc>
          <w:tcPr>
            <w:tcW w:w="676" w:type="pct"/>
            <w:vAlign w:val="center"/>
          </w:tcPr>
          <w:p w:rsidR="00601C2C" w:rsidRPr="00CD0F2E" w:rsidRDefault="00601C2C" w:rsidP="00323E7A">
            <w:pPr>
              <w:widowControl/>
              <w:jc w:val="center"/>
              <w:rPr>
                <w:rFonts w:ascii="Arial Narrow" w:hAnsi="Arial Narrow"/>
                <w:b/>
                <w:sz w:val="20"/>
              </w:rPr>
            </w:pPr>
            <w:r>
              <w:rPr>
                <w:rFonts w:ascii="Arial Narrow" w:hAnsi="Arial Narrow"/>
                <w:b/>
                <w:sz w:val="20"/>
              </w:rPr>
              <w:t>Trial d</w:t>
            </w:r>
            <w:r w:rsidRPr="00CD0F2E">
              <w:rPr>
                <w:rFonts w:ascii="Arial Narrow" w:hAnsi="Arial Narrow"/>
                <w:b/>
                <w:sz w:val="20"/>
              </w:rPr>
              <w:t>esign</w:t>
            </w:r>
          </w:p>
        </w:tc>
        <w:tc>
          <w:tcPr>
            <w:tcW w:w="839" w:type="pct"/>
            <w:vAlign w:val="center"/>
          </w:tcPr>
          <w:p w:rsidR="00601C2C" w:rsidRPr="00CD0F2E" w:rsidRDefault="00601C2C" w:rsidP="00323E7A">
            <w:pPr>
              <w:widowControl/>
              <w:jc w:val="center"/>
              <w:rPr>
                <w:rFonts w:ascii="Arial Narrow" w:hAnsi="Arial Narrow"/>
                <w:b/>
                <w:sz w:val="20"/>
              </w:rPr>
            </w:pPr>
            <w:r w:rsidRPr="00CD0F2E">
              <w:rPr>
                <w:rFonts w:ascii="Arial Narrow" w:hAnsi="Arial Narrow"/>
                <w:b/>
                <w:sz w:val="20"/>
              </w:rPr>
              <w:t xml:space="preserve">Primary </w:t>
            </w:r>
            <w:r>
              <w:rPr>
                <w:rFonts w:ascii="Arial Narrow" w:hAnsi="Arial Narrow"/>
                <w:b/>
                <w:sz w:val="20"/>
              </w:rPr>
              <w:t>o</w:t>
            </w:r>
            <w:r w:rsidRPr="00CD0F2E">
              <w:rPr>
                <w:rFonts w:ascii="Arial Narrow" w:hAnsi="Arial Narrow"/>
                <w:b/>
                <w:sz w:val="20"/>
              </w:rPr>
              <w:t>utcome</w:t>
            </w:r>
          </w:p>
        </w:tc>
        <w:tc>
          <w:tcPr>
            <w:tcW w:w="1366" w:type="pct"/>
            <w:vAlign w:val="center"/>
          </w:tcPr>
          <w:p w:rsidR="00601C2C" w:rsidRPr="00CD0F2E" w:rsidRDefault="00601C2C" w:rsidP="00323E7A">
            <w:pPr>
              <w:widowControl/>
              <w:jc w:val="center"/>
              <w:rPr>
                <w:rFonts w:ascii="Arial Narrow" w:hAnsi="Arial Narrow"/>
                <w:b/>
                <w:sz w:val="20"/>
              </w:rPr>
            </w:pPr>
            <w:r>
              <w:rPr>
                <w:rFonts w:ascii="Arial Narrow" w:hAnsi="Arial Narrow"/>
                <w:b/>
                <w:sz w:val="20"/>
              </w:rPr>
              <w:t>Use in the economic evaluation</w:t>
            </w:r>
          </w:p>
        </w:tc>
      </w:tr>
      <w:tr w:rsidR="00601C2C" w:rsidRPr="00CD0F2E" w:rsidTr="00FA6362">
        <w:tc>
          <w:tcPr>
            <w:tcW w:w="5000" w:type="pct"/>
            <w:gridSpan w:val="6"/>
            <w:vAlign w:val="center"/>
          </w:tcPr>
          <w:p w:rsidR="00601C2C" w:rsidRDefault="00601C2C" w:rsidP="00323E7A">
            <w:pPr>
              <w:widowControl/>
              <w:jc w:val="left"/>
              <w:rPr>
                <w:rFonts w:ascii="Arial Narrow" w:hAnsi="Arial Narrow"/>
                <w:b/>
                <w:sz w:val="20"/>
              </w:rPr>
            </w:pPr>
            <w:r>
              <w:rPr>
                <w:rFonts w:ascii="Arial Narrow" w:hAnsi="Arial Narrow"/>
                <w:b/>
                <w:sz w:val="20"/>
              </w:rPr>
              <w:t xml:space="preserve">Nivolumab </w:t>
            </w:r>
            <w:r w:rsidR="003C485F">
              <w:rPr>
                <w:rFonts w:ascii="Arial Narrow" w:hAnsi="Arial Narrow"/>
                <w:b/>
                <w:sz w:val="20"/>
              </w:rPr>
              <w:t>vs.</w:t>
            </w:r>
            <w:r>
              <w:rPr>
                <w:rFonts w:ascii="Arial Narrow" w:hAnsi="Arial Narrow"/>
                <w:b/>
                <w:sz w:val="20"/>
              </w:rPr>
              <w:t xml:space="preserve"> DTIC</w:t>
            </w:r>
          </w:p>
        </w:tc>
      </w:tr>
      <w:tr w:rsidR="00601C2C" w:rsidTr="00FA6362">
        <w:tc>
          <w:tcPr>
            <w:tcW w:w="448" w:type="pct"/>
            <w:vAlign w:val="center"/>
          </w:tcPr>
          <w:p w:rsidR="00601C2C" w:rsidRDefault="00601C2C" w:rsidP="00323E7A">
            <w:pPr>
              <w:widowControl/>
              <w:jc w:val="left"/>
              <w:rPr>
                <w:rFonts w:ascii="Arial Narrow" w:hAnsi="Arial Narrow"/>
                <w:sz w:val="20"/>
              </w:rPr>
            </w:pPr>
            <w:r>
              <w:rPr>
                <w:rFonts w:ascii="Arial Narrow" w:hAnsi="Arial Narrow"/>
                <w:sz w:val="20"/>
              </w:rPr>
              <w:t>CA209-066</w:t>
            </w:r>
          </w:p>
        </w:tc>
        <w:tc>
          <w:tcPr>
            <w:tcW w:w="246" w:type="pct"/>
            <w:vAlign w:val="center"/>
          </w:tcPr>
          <w:p w:rsidR="00601C2C" w:rsidRDefault="00601C2C" w:rsidP="00323E7A">
            <w:pPr>
              <w:widowControl/>
              <w:jc w:val="center"/>
              <w:rPr>
                <w:rFonts w:ascii="Arial Narrow" w:hAnsi="Arial Narrow"/>
                <w:sz w:val="20"/>
              </w:rPr>
            </w:pPr>
            <w:r>
              <w:rPr>
                <w:rFonts w:ascii="Arial Narrow" w:hAnsi="Arial Narrow"/>
                <w:sz w:val="20"/>
              </w:rPr>
              <w:t>411</w:t>
            </w:r>
          </w:p>
        </w:tc>
        <w:tc>
          <w:tcPr>
            <w:tcW w:w="1425" w:type="pct"/>
            <w:vAlign w:val="center"/>
          </w:tcPr>
          <w:p w:rsidR="00601C2C" w:rsidRDefault="00601C2C" w:rsidP="00323E7A">
            <w:pPr>
              <w:widowControl/>
              <w:jc w:val="center"/>
              <w:rPr>
                <w:rFonts w:ascii="Arial Narrow" w:hAnsi="Arial Narrow"/>
                <w:sz w:val="20"/>
                <w:highlight w:val="yellow"/>
              </w:rPr>
            </w:pPr>
            <w:r w:rsidRPr="00D30840">
              <w:rPr>
                <w:rFonts w:ascii="Arial Narrow" w:hAnsi="Arial Narrow"/>
                <w:sz w:val="20"/>
              </w:rPr>
              <w:t>Nivo 3mg/kg Q2W</w:t>
            </w:r>
            <w:r w:rsidRPr="007C6E0B">
              <w:rPr>
                <w:rFonts w:ascii="Arial Narrow" w:hAnsi="Arial Narrow"/>
                <w:sz w:val="20"/>
                <w:vertAlign w:val="superscript"/>
              </w:rPr>
              <w:t>a</w:t>
            </w:r>
            <w:r w:rsidRPr="00D30840">
              <w:rPr>
                <w:rFonts w:ascii="Arial Narrow" w:hAnsi="Arial Narrow"/>
                <w:sz w:val="20"/>
              </w:rPr>
              <w:t xml:space="preserve"> </w:t>
            </w:r>
            <w:r w:rsidRPr="002E26D7">
              <w:rPr>
                <w:rFonts w:ascii="Arial Narrow" w:hAnsi="Arial Narrow"/>
                <w:sz w:val="20"/>
              </w:rPr>
              <w:t>n=210</w:t>
            </w:r>
          </w:p>
          <w:p w:rsidR="00601C2C" w:rsidRPr="007C1A7A" w:rsidRDefault="00601C2C" w:rsidP="00323E7A">
            <w:pPr>
              <w:widowControl/>
              <w:jc w:val="center"/>
              <w:rPr>
                <w:rFonts w:ascii="Arial Narrow" w:hAnsi="Arial Narrow"/>
                <w:sz w:val="20"/>
                <w:highlight w:val="yellow"/>
              </w:rPr>
            </w:pPr>
            <w:r w:rsidRPr="00D30840">
              <w:rPr>
                <w:rFonts w:ascii="Arial Narrow" w:hAnsi="Arial Narrow"/>
                <w:sz w:val="20"/>
              </w:rPr>
              <w:t>DTIC 1000mg/m</w:t>
            </w:r>
            <w:r w:rsidRPr="00D30840">
              <w:rPr>
                <w:rFonts w:ascii="Arial Narrow" w:hAnsi="Arial Narrow"/>
                <w:sz w:val="20"/>
                <w:vertAlign w:val="superscript"/>
              </w:rPr>
              <w:t>2</w:t>
            </w:r>
            <w:r w:rsidRPr="00D30840">
              <w:rPr>
                <w:rFonts w:ascii="Arial Narrow" w:hAnsi="Arial Narrow"/>
                <w:sz w:val="20"/>
              </w:rPr>
              <w:t xml:space="preserve"> Q3W </w:t>
            </w:r>
            <w:r w:rsidRPr="002E26D7">
              <w:rPr>
                <w:rFonts w:ascii="Arial Narrow" w:hAnsi="Arial Narrow"/>
                <w:sz w:val="20"/>
              </w:rPr>
              <w:t>n=208</w:t>
            </w:r>
          </w:p>
        </w:tc>
        <w:tc>
          <w:tcPr>
            <w:tcW w:w="676" w:type="pct"/>
            <w:vAlign w:val="center"/>
          </w:tcPr>
          <w:p w:rsidR="00601C2C" w:rsidRDefault="00601C2C" w:rsidP="00323E7A">
            <w:pPr>
              <w:widowControl/>
              <w:jc w:val="center"/>
              <w:rPr>
                <w:rFonts w:ascii="Arial Narrow" w:hAnsi="Arial Narrow"/>
                <w:sz w:val="20"/>
              </w:rPr>
            </w:pPr>
            <w:r>
              <w:rPr>
                <w:rFonts w:ascii="Arial Narrow" w:hAnsi="Arial Narrow"/>
                <w:sz w:val="20"/>
              </w:rPr>
              <w:t xml:space="preserve">Phase III </w:t>
            </w:r>
          </w:p>
          <w:p w:rsidR="00601C2C" w:rsidRDefault="00601C2C" w:rsidP="00323E7A">
            <w:pPr>
              <w:widowControl/>
              <w:jc w:val="center"/>
              <w:rPr>
                <w:rFonts w:ascii="Arial Narrow" w:hAnsi="Arial Narrow"/>
                <w:sz w:val="20"/>
              </w:rPr>
            </w:pPr>
            <w:r>
              <w:rPr>
                <w:rFonts w:ascii="Arial Narrow" w:hAnsi="Arial Narrow"/>
                <w:sz w:val="20"/>
              </w:rPr>
              <w:t>R, DB, MC</w:t>
            </w:r>
          </w:p>
        </w:tc>
        <w:tc>
          <w:tcPr>
            <w:tcW w:w="839" w:type="pct"/>
            <w:vAlign w:val="center"/>
          </w:tcPr>
          <w:p w:rsidR="00601C2C" w:rsidRDefault="00601C2C" w:rsidP="00323E7A">
            <w:pPr>
              <w:widowControl/>
              <w:jc w:val="center"/>
              <w:rPr>
                <w:rFonts w:ascii="Arial Narrow" w:hAnsi="Arial Narrow"/>
                <w:sz w:val="20"/>
              </w:rPr>
            </w:pPr>
            <w:r>
              <w:rPr>
                <w:rFonts w:ascii="Arial Narrow" w:hAnsi="Arial Narrow"/>
                <w:sz w:val="20"/>
              </w:rPr>
              <w:t>Overall survival</w:t>
            </w:r>
          </w:p>
        </w:tc>
        <w:tc>
          <w:tcPr>
            <w:tcW w:w="1366" w:type="pct"/>
            <w:vAlign w:val="center"/>
          </w:tcPr>
          <w:p w:rsidR="00601C2C" w:rsidRPr="00A1638A" w:rsidRDefault="00601C2C" w:rsidP="00323E7A">
            <w:pPr>
              <w:widowControl/>
              <w:jc w:val="center"/>
              <w:rPr>
                <w:rFonts w:ascii="Arial Narrow" w:hAnsi="Arial Narrow"/>
                <w:sz w:val="20"/>
              </w:rPr>
            </w:pPr>
            <w:r w:rsidRPr="00A1638A">
              <w:rPr>
                <w:rFonts w:ascii="Arial Narrow" w:hAnsi="Arial Narrow"/>
                <w:sz w:val="20"/>
              </w:rPr>
              <w:t>Extrapolated survival data</w:t>
            </w:r>
          </w:p>
        </w:tc>
      </w:tr>
      <w:tr w:rsidR="00601C2C" w:rsidRPr="00A1638A" w:rsidTr="00FA6362">
        <w:tc>
          <w:tcPr>
            <w:tcW w:w="5000" w:type="pct"/>
            <w:gridSpan w:val="6"/>
            <w:vAlign w:val="center"/>
          </w:tcPr>
          <w:p w:rsidR="00601C2C" w:rsidRPr="00A1638A" w:rsidRDefault="00601C2C" w:rsidP="00323E7A">
            <w:pPr>
              <w:widowControl/>
              <w:jc w:val="left"/>
              <w:rPr>
                <w:rFonts w:ascii="Arial Narrow" w:hAnsi="Arial Narrow"/>
                <w:b/>
                <w:sz w:val="20"/>
              </w:rPr>
            </w:pPr>
            <w:r w:rsidRPr="00A1638A">
              <w:rPr>
                <w:rFonts w:ascii="Arial Narrow" w:hAnsi="Arial Narrow"/>
                <w:b/>
                <w:sz w:val="20"/>
              </w:rPr>
              <w:t xml:space="preserve">Ipilimumab </w:t>
            </w:r>
            <w:r>
              <w:rPr>
                <w:rFonts w:ascii="Arial Narrow" w:hAnsi="Arial Narrow"/>
                <w:b/>
                <w:sz w:val="20"/>
              </w:rPr>
              <w:t>vs. gp100</w:t>
            </w:r>
          </w:p>
        </w:tc>
      </w:tr>
      <w:tr w:rsidR="00601C2C" w:rsidTr="00FA6362">
        <w:tc>
          <w:tcPr>
            <w:tcW w:w="448" w:type="pct"/>
            <w:vAlign w:val="center"/>
          </w:tcPr>
          <w:p w:rsidR="00601C2C" w:rsidRDefault="00601C2C" w:rsidP="00323E7A">
            <w:pPr>
              <w:widowControl/>
              <w:jc w:val="left"/>
              <w:rPr>
                <w:rFonts w:ascii="Arial Narrow" w:hAnsi="Arial Narrow"/>
                <w:sz w:val="20"/>
              </w:rPr>
            </w:pPr>
            <w:r>
              <w:rPr>
                <w:rFonts w:ascii="Arial Narrow" w:hAnsi="Arial Narrow"/>
                <w:sz w:val="20"/>
              </w:rPr>
              <w:t>MDX010-20</w:t>
            </w:r>
          </w:p>
        </w:tc>
        <w:tc>
          <w:tcPr>
            <w:tcW w:w="246" w:type="pct"/>
            <w:vAlign w:val="center"/>
          </w:tcPr>
          <w:p w:rsidR="00601C2C" w:rsidRDefault="00601C2C" w:rsidP="00323E7A">
            <w:pPr>
              <w:widowControl/>
              <w:jc w:val="center"/>
              <w:rPr>
                <w:rFonts w:ascii="Arial Narrow" w:hAnsi="Arial Narrow"/>
                <w:sz w:val="20"/>
              </w:rPr>
            </w:pPr>
            <w:r>
              <w:rPr>
                <w:rFonts w:ascii="Arial Narrow" w:hAnsi="Arial Narrow"/>
                <w:sz w:val="20"/>
              </w:rPr>
              <w:t>676</w:t>
            </w:r>
          </w:p>
        </w:tc>
        <w:tc>
          <w:tcPr>
            <w:tcW w:w="1425" w:type="pct"/>
            <w:vAlign w:val="center"/>
          </w:tcPr>
          <w:p w:rsidR="00601C2C" w:rsidRDefault="00601C2C" w:rsidP="00323E7A">
            <w:pPr>
              <w:widowControl/>
              <w:jc w:val="center"/>
              <w:rPr>
                <w:rFonts w:ascii="Arial Narrow" w:hAnsi="Arial Narrow"/>
                <w:sz w:val="20"/>
              </w:rPr>
            </w:pPr>
            <w:r>
              <w:rPr>
                <w:rFonts w:ascii="Arial Narrow" w:hAnsi="Arial Narrow"/>
                <w:sz w:val="20"/>
              </w:rPr>
              <w:t>IPI 3mg/kg Q3W+gp100 n=403</w:t>
            </w:r>
          </w:p>
          <w:p w:rsidR="00601C2C" w:rsidRDefault="00601C2C" w:rsidP="00323E7A">
            <w:pPr>
              <w:widowControl/>
              <w:jc w:val="center"/>
              <w:rPr>
                <w:rFonts w:ascii="Arial Narrow" w:hAnsi="Arial Narrow"/>
                <w:sz w:val="20"/>
              </w:rPr>
            </w:pPr>
            <w:r>
              <w:rPr>
                <w:rFonts w:ascii="Arial Narrow" w:hAnsi="Arial Narrow"/>
                <w:sz w:val="20"/>
              </w:rPr>
              <w:t>IPI 3mg/kg Q3W</w:t>
            </w:r>
            <w:r w:rsidRPr="007C6E0B">
              <w:rPr>
                <w:rFonts w:ascii="Arial Narrow" w:hAnsi="Arial Narrow"/>
                <w:sz w:val="20"/>
                <w:vertAlign w:val="superscript"/>
              </w:rPr>
              <w:t>a</w:t>
            </w:r>
            <w:r>
              <w:rPr>
                <w:rFonts w:ascii="Arial Narrow" w:hAnsi="Arial Narrow"/>
                <w:sz w:val="20"/>
              </w:rPr>
              <w:t xml:space="preserve"> n=137</w:t>
            </w:r>
          </w:p>
          <w:p w:rsidR="00601C2C" w:rsidRDefault="00601C2C" w:rsidP="00323E7A">
            <w:pPr>
              <w:widowControl/>
              <w:jc w:val="center"/>
              <w:rPr>
                <w:rFonts w:ascii="Arial Narrow" w:hAnsi="Arial Narrow"/>
                <w:sz w:val="20"/>
              </w:rPr>
            </w:pPr>
            <w:r>
              <w:rPr>
                <w:rFonts w:ascii="Arial Narrow" w:hAnsi="Arial Narrow"/>
                <w:sz w:val="20"/>
              </w:rPr>
              <w:t>gp100 n=136</w:t>
            </w:r>
          </w:p>
        </w:tc>
        <w:tc>
          <w:tcPr>
            <w:tcW w:w="676" w:type="pct"/>
            <w:vAlign w:val="center"/>
          </w:tcPr>
          <w:p w:rsidR="00601C2C" w:rsidRDefault="00601C2C" w:rsidP="00323E7A">
            <w:pPr>
              <w:widowControl/>
              <w:jc w:val="center"/>
              <w:rPr>
                <w:rFonts w:ascii="Arial Narrow" w:hAnsi="Arial Narrow"/>
                <w:sz w:val="20"/>
              </w:rPr>
            </w:pPr>
            <w:r>
              <w:rPr>
                <w:rFonts w:ascii="Arial Narrow" w:hAnsi="Arial Narrow"/>
                <w:sz w:val="20"/>
              </w:rPr>
              <w:t xml:space="preserve">Phase III </w:t>
            </w:r>
          </w:p>
          <w:p w:rsidR="00601C2C" w:rsidRDefault="00601C2C" w:rsidP="00323E7A">
            <w:pPr>
              <w:widowControl/>
              <w:jc w:val="center"/>
              <w:rPr>
                <w:rFonts w:ascii="Arial Narrow" w:hAnsi="Arial Narrow"/>
                <w:sz w:val="20"/>
              </w:rPr>
            </w:pPr>
            <w:r>
              <w:rPr>
                <w:rFonts w:ascii="Arial Narrow" w:hAnsi="Arial Narrow"/>
                <w:sz w:val="20"/>
              </w:rPr>
              <w:t xml:space="preserve">R, DB, MC </w:t>
            </w:r>
          </w:p>
        </w:tc>
        <w:tc>
          <w:tcPr>
            <w:tcW w:w="839" w:type="pct"/>
            <w:vAlign w:val="center"/>
          </w:tcPr>
          <w:p w:rsidR="00601C2C" w:rsidRDefault="00601C2C" w:rsidP="00323E7A">
            <w:pPr>
              <w:widowControl/>
              <w:jc w:val="center"/>
              <w:rPr>
                <w:rFonts w:ascii="Arial Narrow" w:hAnsi="Arial Narrow"/>
                <w:sz w:val="20"/>
              </w:rPr>
            </w:pPr>
            <w:r>
              <w:rPr>
                <w:rFonts w:ascii="Arial Narrow" w:hAnsi="Arial Narrow"/>
                <w:sz w:val="20"/>
              </w:rPr>
              <w:t>Overall survival</w:t>
            </w:r>
          </w:p>
        </w:tc>
        <w:tc>
          <w:tcPr>
            <w:tcW w:w="1366" w:type="pct"/>
            <w:vAlign w:val="center"/>
          </w:tcPr>
          <w:p w:rsidR="00601C2C" w:rsidRPr="00A1638A" w:rsidRDefault="00601C2C" w:rsidP="00323E7A">
            <w:pPr>
              <w:widowControl/>
              <w:jc w:val="center"/>
              <w:rPr>
                <w:rFonts w:ascii="Arial Narrow" w:hAnsi="Arial Narrow"/>
                <w:sz w:val="20"/>
              </w:rPr>
            </w:pPr>
            <w:r>
              <w:rPr>
                <w:rFonts w:ascii="Arial Narrow" w:hAnsi="Arial Narrow"/>
                <w:sz w:val="20"/>
              </w:rPr>
              <w:t>Indirect HRs for PFS and OS applied to nivolumab transition probabilities</w:t>
            </w:r>
          </w:p>
        </w:tc>
      </w:tr>
    </w:tbl>
    <w:p w:rsidR="00601C2C" w:rsidRPr="007C6E0B" w:rsidRDefault="00601C2C" w:rsidP="00323E7A">
      <w:pPr>
        <w:widowControl/>
        <w:tabs>
          <w:tab w:val="left" w:pos="851"/>
        </w:tabs>
        <w:ind w:left="851" w:hanging="142"/>
        <w:rPr>
          <w:rFonts w:ascii="Arial Narrow" w:hAnsi="Arial Narrow"/>
          <w:sz w:val="18"/>
          <w:szCs w:val="18"/>
        </w:rPr>
      </w:pPr>
      <w:r w:rsidRPr="007C6E0B">
        <w:rPr>
          <w:rFonts w:ascii="Arial Narrow" w:hAnsi="Arial Narrow"/>
          <w:sz w:val="18"/>
          <w:szCs w:val="18"/>
          <w:vertAlign w:val="superscript"/>
        </w:rPr>
        <w:t>a</w:t>
      </w:r>
      <w:r>
        <w:rPr>
          <w:rFonts w:ascii="Arial Narrow" w:hAnsi="Arial Narrow"/>
          <w:sz w:val="18"/>
          <w:szCs w:val="18"/>
        </w:rPr>
        <w:tab/>
        <w:t>In the CA209-066 trial, nivolumab was administered with DTIC-matched placebo IV Q3W and DTIC was administered with nivolumab-matched placebo IV Q2W.  In the MDX010-20 trial, ipilimumab monotherapy and gp100 monotherapy were administered with gp100 placebo or ipilimumab placebo, respectively.</w:t>
      </w:r>
    </w:p>
    <w:p w:rsidR="00601C2C" w:rsidRDefault="0001036A" w:rsidP="00323E7A">
      <w:pPr>
        <w:widowControl/>
        <w:ind w:left="709"/>
        <w:rPr>
          <w:rFonts w:ascii="Arial Narrow" w:hAnsi="Arial Narrow"/>
          <w:sz w:val="18"/>
          <w:szCs w:val="18"/>
        </w:rPr>
      </w:pPr>
      <w:r>
        <w:rPr>
          <w:rFonts w:ascii="Arial Narrow" w:hAnsi="Arial Narrow"/>
          <w:sz w:val="18"/>
          <w:szCs w:val="18"/>
        </w:rPr>
        <w:t>DB=double-</w:t>
      </w:r>
      <w:r w:rsidR="00601C2C">
        <w:rPr>
          <w:rFonts w:ascii="Arial Narrow" w:hAnsi="Arial Narrow"/>
          <w:sz w:val="18"/>
          <w:szCs w:val="18"/>
        </w:rPr>
        <w:t xml:space="preserve">blind; gp100=glycoprotein 100 peptide vaccine; HR=hazard ratio; IPI=ipilimumab; MC=multicentre; </w:t>
      </w:r>
      <w:r w:rsidR="00771FEA">
        <w:rPr>
          <w:rFonts w:ascii="Arial Narrow" w:hAnsi="Arial Narrow"/>
          <w:sz w:val="18"/>
          <w:szCs w:val="18"/>
        </w:rPr>
        <w:t xml:space="preserve">Nivo=nivolumab; </w:t>
      </w:r>
      <w:r w:rsidR="00601C2C">
        <w:rPr>
          <w:rFonts w:ascii="Arial Narrow" w:hAnsi="Arial Narrow"/>
          <w:sz w:val="18"/>
          <w:szCs w:val="18"/>
        </w:rPr>
        <w:t xml:space="preserve">Q2W=every 2 weeks; Q3W=every 3 weeks; R=randomised </w:t>
      </w:r>
    </w:p>
    <w:p w:rsidR="00601C2C" w:rsidRDefault="00601C2C" w:rsidP="00323E7A">
      <w:pPr>
        <w:widowControl/>
        <w:tabs>
          <w:tab w:val="left" w:pos="851"/>
        </w:tabs>
        <w:ind w:left="851" w:hanging="142"/>
      </w:pPr>
      <w:r>
        <w:rPr>
          <w:rFonts w:ascii="Arial Narrow" w:hAnsi="Arial Narrow"/>
          <w:sz w:val="18"/>
          <w:szCs w:val="18"/>
        </w:rPr>
        <w:t>Source: compiled during the evaluation</w:t>
      </w:r>
    </w:p>
    <w:p w:rsidR="00601C2C" w:rsidRPr="00601C2C" w:rsidRDefault="00601C2C" w:rsidP="00323E7A">
      <w:pPr>
        <w:widowControl/>
        <w:rPr>
          <w:szCs w:val="22"/>
        </w:rPr>
      </w:pPr>
    </w:p>
    <w:p w:rsidR="00EE6594" w:rsidRPr="006C03DC" w:rsidRDefault="006370EC" w:rsidP="00323E7A">
      <w:pPr>
        <w:pStyle w:val="ListParagraph"/>
        <w:widowControl/>
        <w:numPr>
          <w:ilvl w:val="1"/>
          <w:numId w:val="23"/>
        </w:numPr>
        <w:ind w:left="709" w:hanging="709"/>
      </w:pPr>
      <w:r w:rsidRPr="006C03DC">
        <w:t>Given that the data lock for CA209-066 occurred prior to the protocol amendment which allowed DTIC-treated patients to cross-over to nivolumab post progression, and there was no cross-over in the MDX010-20 trial, outcomes are not confounded by cross-over.</w:t>
      </w:r>
    </w:p>
    <w:p w:rsidR="00EE6594" w:rsidRPr="006C03DC" w:rsidRDefault="00EE6594" w:rsidP="00323E7A">
      <w:pPr>
        <w:widowControl/>
      </w:pPr>
    </w:p>
    <w:p w:rsidR="00601C2C" w:rsidRPr="006C03DC" w:rsidRDefault="000B0D54" w:rsidP="00323E7A">
      <w:pPr>
        <w:pStyle w:val="ListParagraph"/>
        <w:widowControl/>
        <w:numPr>
          <w:ilvl w:val="1"/>
          <w:numId w:val="23"/>
        </w:numPr>
        <w:ind w:left="709" w:hanging="709"/>
      </w:pPr>
      <w:r>
        <w:t>Although</w:t>
      </w:r>
      <w:r w:rsidR="00601C2C" w:rsidRPr="006C03DC">
        <w:t xml:space="preserve"> the overall risk of bias </w:t>
      </w:r>
      <w:r w:rsidR="00771FEA" w:rsidRPr="006C03DC">
        <w:t>with</w:t>
      </w:r>
      <w:r w:rsidR="00601C2C" w:rsidRPr="006C03DC">
        <w:t>in the two randomised, double-</w:t>
      </w:r>
      <w:r w:rsidR="004A3E52" w:rsidRPr="006C03DC">
        <w:t xml:space="preserve">blind trials </w:t>
      </w:r>
      <w:r w:rsidR="009C0BCD" w:rsidRPr="006C03DC">
        <w:t>wa</w:t>
      </w:r>
      <w:r w:rsidR="004A3E52" w:rsidRPr="006C03DC">
        <w:t xml:space="preserve">s low, </w:t>
      </w:r>
      <w:r w:rsidR="00771FEA" w:rsidRPr="006C03DC">
        <w:t xml:space="preserve">the risk of bias across the indirect comparison of </w:t>
      </w:r>
      <w:r w:rsidR="004A3E52" w:rsidRPr="006C03DC">
        <w:t xml:space="preserve">CA209-066 and MDX010-20 </w:t>
      </w:r>
      <w:r w:rsidR="00771FEA" w:rsidRPr="006C03DC">
        <w:t xml:space="preserve">was high.  These trials </w:t>
      </w:r>
      <w:r w:rsidR="009C0BCD" w:rsidRPr="006C03DC">
        <w:t>we</w:t>
      </w:r>
      <w:r w:rsidR="004A3E52" w:rsidRPr="006C03DC">
        <w:t xml:space="preserve">re </w:t>
      </w:r>
      <w:r w:rsidR="00E55587" w:rsidRPr="006C03DC">
        <w:t>poorly exchangeable</w:t>
      </w:r>
      <w:r w:rsidR="004A3E52" w:rsidRPr="006C03DC">
        <w:t>, for the following reasons:</w:t>
      </w:r>
    </w:p>
    <w:p w:rsidR="007F1017" w:rsidRPr="006C03DC" w:rsidRDefault="00A63FB0" w:rsidP="00323E7A">
      <w:pPr>
        <w:pStyle w:val="ListParagraph"/>
        <w:widowControl/>
        <w:numPr>
          <w:ilvl w:val="0"/>
          <w:numId w:val="4"/>
        </w:numPr>
        <w:ind w:left="993" w:hanging="284"/>
        <w:rPr>
          <w:szCs w:val="22"/>
        </w:rPr>
      </w:pPr>
      <w:r w:rsidRPr="006C03DC">
        <w:t xml:space="preserve">Patients in the nivolumab trial CA209-066 had less severe disease (64.4% with ECOG=0 across both arms of CA209-066 compared to 53.3% with ECOG=0 in </w:t>
      </w:r>
      <w:r w:rsidR="00771FEA" w:rsidRPr="006C03DC">
        <w:t xml:space="preserve">the ipilimumab trial </w:t>
      </w:r>
      <w:r w:rsidRPr="006C03DC">
        <w:t xml:space="preserve">MDX010-20).  Of </w:t>
      </w:r>
      <w:r w:rsidR="00771FEA" w:rsidRPr="006C03DC">
        <w:t>additional</w:t>
      </w:r>
      <w:r w:rsidRPr="006C03DC">
        <w:t xml:space="preserve"> concern was the imbalance in ECOG status within the nivolumab trial, with 70.5% of patients in the nivolumab arm with ECOG=0 compared to 58.2% in the DTIC arm.</w:t>
      </w:r>
    </w:p>
    <w:p w:rsidR="00BB53BC" w:rsidRPr="006C03DC" w:rsidRDefault="00BB53BC" w:rsidP="00323E7A">
      <w:pPr>
        <w:pStyle w:val="ListParagraph"/>
        <w:widowControl/>
        <w:numPr>
          <w:ilvl w:val="0"/>
          <w:numId w:val="4"/>
        </w:numPr>
        <w:ind w:left="993" w:hanging="284"/>
        <w:rPr>
          <w:szCs w:val="22"/>
        </w:rPr>
      </w:pPr>
      <w:r w:rsidRPr="006C03DC">
        <w:t>Patients in CA209-066 had shorter duration of disease.  While this concur</w:t>
      </w:r>
      <w:r w:rsidR="00771FEA" w:rsidRPr="006C03DC">
        <w:t>red</w:t>
      </w:r>
      <w:r w:rsidRPr="006C03DC">
        <w:t xml:space="preserve"> with the requirement that the patients were treatment naïve compared to </w:t>
      </w:r>
      <w:r w:rsidR="00771FEA" w:rsidRPr="006C03DC">
        <w:t>MDX010-20</w:t>
      </w:r>
      <w:r w:rsidRPr="006C03DC">
        <w:t xml:space="preserve">, </w:t>
      </w:r>
      <w:r w:rsidRPr="006C03DC">
        <w:lastRenderedPageBreak/>
        <w:t>which required that patients had received at least one prior systemic therapy, it also suggest</w:t>
      </w:r>
      <w:r w:rsidR="00771FEA" w:rsidRPr="006C03DC">
        <w:t>ed</w:t>
      </w:r>
      <w:r w:rsidRPr="006C03DC">
        <w:t xml:space="preserve"> patients in CA209-066 were healthier than those in MDX010-20.</w:t>
      </w:r>
    </w:p>
    <w:p w:rsidR="00B120B8" w:rsidRPr="006C03DC" w:rsidRDefault="005C7821" w:rsidP="00323E7A">
      <w:pPr>
        <w:pStyle w:val="ListParagraph"/>
        <w:widowControl/>
        <w:numPr>
          <w:ilvl w:val="0"/>
          <w:numId w:val="4"/>
        </w:numPr>
        <w:ind w:left="993" w:hanging="284"/>
        <w:rPr>
          <w:szCs w:val="22"/>
        </w:rPr>
      </w:pPr>
      <w:r w:rsidRPr="006C03DC">
        <w:t>The duration of f</w:t>
      </w:r>
      <w:r w:rsidR="00B120B8" w:rsidRPr="006C03DC">
        <w:t>ollow-up in CA209-066 was 16 months</w:t>
      </w:r>
      <w:r w:rsidRPr="006C03DC">
        <w:t>.  In</w:t>
      </w:r>
      <w:r w:rsidR="00B120B8" w:rsidRPr="006C03DC">
        <w:t xml:space="preserve"> </w:t>
      </w:r>
      <w:r w:rsidR="002025D2" w:rsidRPr="006C03DC">
        <w:t xml:space="preserve">contrast, </w:t>
      </w:r>
      <w:r w:rsidR="00102B3E" w:rsidRPr="006C03DC">
        <w:t xml:space="preserve">the duration of </w:t>
      </w:r>
      <w:r w:rsidR="002025D2" w:rsidRPr="006C03DC">
        <w:t xml:space="preserve">follow-up as reported in the MDX010-20 CSR was </w:t>
      </w:r>
      <w:r w:rsidRPr="006C03DC">
        <w:t>55 months</w:t>
      </w:r>
      <w:r w:rsidR="00B120B8" w:rsidRPr="006C03DC">
        <w:t>.</w:t>
      </w:r>
      <w:r w:rsidR="00102B3E" w:rsidRPr="006C03DC">
        <w:t xml:space="preserve">  In neither case is it clear whether this was the mean or median or (more likely) longest duration of follow-up.  Nevertheless, the clearly longer duration of follow-up in the ipilimumab trial would favour nivolumab noting PBAC has elsewhere concluded that </w:t>
      </w:r>
      <w:r w:rsidR="00FB78A6">
        <w:t>hazard ratio</w:t>
      </w:r>
      <w:r w:rsidR="00102B3E" w:rsidRPr="006C03DC">
        <w:t>s tend to become less favourable over time.</w:t>
      </w:r>
    </w:p>
    <w:p w:rsidR="0017085A" w:rsidRPr="006C03DC" w:rsidRDefault="0017085A" w:rsidP="00323E7A">
      <w:pPr>
        <w:pStyle w:val="ListParagraph"/>
        <w:widowControl/>
        <w:numPr>
          <w:ilvl w:val="0"/>
          <w:numId w:val="4"/>
        </w:numPr>
        <w:ind w:left="993" w:hanging="284"/>
        <w:rPr>
          <w:szCs w:val="22"/>
        </w:rPr>
      </w:pPr>
      <w:r w:rsidRPr="006C03DC">
        <w:t>While MDX010-20, in previously treated patients, was used as the pivotal clinical evidence in the ipilimumab submissions (July 2011, March 2012, November 2012), and therefore use of this evidence ha</w:t>
      </w:r>
      <w:r w:rsidR="00BE53E3" w:rsidRPr="006C03DC">
        <w:t>d previously</w:t>
      </w:r>
      <w:r w:rsidRPr="006C03DC">
        <w:t xml:space="preserve"> been accepted </w:t>
      </w:r>
      <w:r w:rsidR="00BE53E3" w:rsidRPr="006C03DC">
        <w:t xml:space="preserve">by the PBAC </w:t>
      </w:r>
      <w:r w:rsidRPr="006C03DC">
        <w:t>in a first-line scenario</w:t>
      </w:r>
      <w:r w:rsidR="00462BF8" w:rsidRPr="006C03DC">
        <w:t xml:space="preserve">, it </w:t>
      </w:r>
      <w:r w:rsidR="00BE53E3" w:rsidRPr="006C03DC">
        <w:t>wa</w:t>
      </w:r>
      <w:r w:rsidR="00462BF8" w:rsidRPr="006C03DC">
        <w:t xml:space="preserve">s likely that relevant differences </w:t>
      </w:r>
      <w:r w:rsidR="00BE53E3" w:rsidRPr="006C03DC">
        <w:t xml:space="preserve">remain </w:t>
      </w:r>
      <w:r w:rsidR="00462BF8" w:rsidRPr="006C03DC">
        <w:t xml:space="preserve">between </w:t>
      </w:r>
      <w:r w:rsidR="00BE53E3" w:rsidRPr="006C03DC">
        <w:t xml:space="preserve">previously treated and previously untreated </w:t>
      </w:r>
      <w:r w:rsidR="00462BF8" w:rsidRPr="006C03DC">
        <w:t>populations.  In particular, evidence available in Schadendorf 2015</w:t>
      </w:r>
      <w:r w:rsidR="006767E4" w:rsidRPr="006C03DC">
        <w:t xml:space="preserve"> (meta-analysi</w:t>
      </w:r>
      <w:r w:rsidR="00323E7A">
        <w:t>s of 10 randomised trials and 2 </w:t>
      </w:r>
      <w:r w:rsidR="006767E4" w:rsidRPr="006C03DC">
        <w:t>observational studies)</w:t>
      </w:r>
      <w:r w:rsidR="00462BF8" w:rsidRPr="006C03DC">
        <w:t xml:space="preserve"> indicate</w:t>
      </w:r>
      <w:r w:rsidR="00BE53E3" w:rsidRPr="006C03DC">
        <w:t>d</w:t>
      </w:r>
      <w:r w:rsidR="00462BF8" w:rsidRPr="006C03DC">
        <w:t xml:space="preserve"> that first-line </w:t>
      </w:r>
      <w:r w:rsidR="00E05FAA" w:rsidRPr="006C03DC">
        <w:t xml:space="preserve">ipilimumab </w:t>
      </w:r>
      <w:r w:rsidR="00462BF8" w:rsidRPr="006C03DC">
        <w:t>treatment is more effective than second-line treatment.  Consequently, an indirect comparison between a first-line trial (CA209-066) and a second-line trial (MDX010-20) is likely to be biased in favour of the first-line trial.</w:t>
      </w:r>
    </w:p>
    <w:p w:rsidR="00462BF8" w:rsidRPr="004A053A" w:rsidRDefault="00462BF8" w:rsidP="00323E7A">
      <w:pPr>
        <w:pStyle w:val="ListParagraph"/>
        <w:widowControl/>
        <w:numPr>
          <w:ilvl w:val="0"/>
          <w:numId w:val="4"/>
        </w:numPr>
        <w:ind w:left="993" w:hanging="284"/>
        <w:rPr>
          <w:szCs w:val="22"/>
        </w:rPr>
      </w:pPr>
      <w:r w:rsidRPr="006C03DC">
        <w:t>CA209-066 include</w:t>
      </w:r>
      <w:r w:rsidR="00BE53E3" w:rsidRPr="006C03DC">
        <w:t>d</w:t>
      </w:r>
      <w:r w:rsidRPr="006C03DC">
        <w:t xml:space="preserve"> on</w:t>
      </w:r>
      <w:r w:rsidR="0034302B" w:rsidRPr="006C03DC">
        <w:t>ly</w:t>
      </w:r>
      <w:r w:rsidRPr="006C03DC">
        <w:t xml:space="preserve"> BRAF wild</w:t>
      </w:r>
      <w:r w:rsidR="00BE53E3" w:rsidRPr="006C03DC">
        <w:t>-</w:t>
      </w:r>
      <w:r w:rsidRPr="006C03DC">
        <w:t>type patients. BRAF status was not assessed at the time of the ipilimumab trial an</w:t>
      </w:r>
      <w:r w:rsidR="001777D8" w:rsidRPr="006C03DC">
        <w:t>d</w:t>
      </w:r>
      <w:r w:rsidRPr="006C03DC">
        <w:t xml:space="preserve"> it c</w:t>
      </w:r>
      <w:r w:rsidR="00BE53E3" w:rsidRPr="006C03DC">
        <w:t xml:space="preserve">ould </w:t>
      </w:r>
      <w:r w:rsidRPr="006C03DC">
        <w:t xml:space="preserve">not be determined what </w:t>
      </w:r>
      <w:r w:rsidRPr="004A053A">
        <w:t>proportion</w:t>
      </w:r>
      <w:r w:rsidR="00BE53E3" w:rsidRPr="004A053A">
        <w:t>s</w:t>
      </w:r>
      <w:r w:rsidRPr="004A053A">
        <w:t xml:space="preserve"> of the MDX010-20 </w:t>
      </w:r>
      <w:r w:rsidR="0034302B" w:rsidRPr="004A053A">
        <w:t>population w</w:t>
      </w:r>
      <w:r w:rsidR="00BE53E3" w:rsidRPr="004A053A">
        <w:t>ere</w:t>
      </w:r>
      <w:r w:rsidR="0034302B" w:rsidRPr="004A053A">
        <w:t xml:space="preserve"> BRAF wild</w:t>
      </w:r>
      <w:r w:rsidR="00BE53E3" w:rsidRPr="004A053A">
        <w:t>-</w:t>
      </w:r>
      <w:r w:rsidR="0034302B" w:rsidRPr="004A053A">
        <w:t>type or</w:t>
      </w:r>
      <w:r w:rsidRPr="004A053A">
        <w:t xml:space="preserve"> BRAF mutant.  The submission presented an analysis of </w:t>
      </w:r>
      <w:r w:rsidR="00030D89" w:rsidRPr="004A053A">
        <w:t>objective</w:t>
      </w:r>
      <w:r w:rsidRPr="004A053A">
        <w:t xml:space="preserve"> response rate</w:t>
      </w:r>
      <w:r w:rsidR="00323E7A">
        <w:t xml:space="preserve"> comparing 217 </w:t>
      </w:r>
      <w:r w:rsidR="00030D89" w:rsidRPr="004A053A">
        <w:t>BRAF wild</w:t>
      </w:r>
      <w:r w:rsidR="00BE53E3" w:rsidRPr="004A053A">
        <w:t>-</w:t>
      </w:r>
      <w:r w:rsidR="00030D89" w:rsidRPr="004A053A">
        <w:t xml:space="preserve">type and 74 BRAF mutant patients and claimed this demonstrated there </w:t>
      </w:r>
      <w:r w:rsidR="00BE53E3" w:rsidRPr="004A053A">
        <w:t>wa</w:t>
      </w:r>
      <w:r w:rsidR="00030D89" w:rsidRPr="004A053A">
        <w:t>s no evidence</w:t>
      </w:r>
      <w:r w:rsidR="00882AAD" w:rsidRPr="004A053A">
        <w:t xml:space="preserve"> to suggest the effect of nivolumab observed in BRAF wild</w:t>
      </w:r>
      <w:r w:rsidR="00323E7A">
        <w:noBreakHyphen/>
      </w:r>
      <w:r w:rsidR="00882AAD" w:rsidRPr="004A053A">
        <w:t>type patients would be different to that seen in BRAF mutant patients</w:t>
      </w:r>
      <w:r w:rsidR="00030D89" w:rsidRPr="004A053A">
        <w:t xml:space="preserve">. </w:t>
      </w:r>
      <w:r w:rsidR="006E14C6" w:rsidRPr="004A053A">
        <w:t xml:space="preserve"> </w:t>
      </w:r>
      <w:r w:rsidR="00030D89" w:rsidRPr="004A053A">
        <w:t>The applicability of this comparison to the requested listing could not be determined.</w:t>
      </w:r>
      <w:r w:rsidR="00882AAD" w:rsidRPr="004A053A">
        <w:t xml:space="preserve">  </w:t>
      </w:r>
      <w:r w:rsidR="00012BB5" w:rsidRPr="004A053A">
        <w:t xml:space="preserve">The submission argued that the difference in BRAF status </w:t>
      </w:r>
      <w:r w:rsidR="00BE53E3" w:rsidRPr="004A053A">
        <w:t>wa</w:t>
      </w:r>
      <w:r w:rsidR="00012BB5" w:rsidRPr="004A053A">
        <w:t xml:space="preserve">s not relevant </w:t>
      </w:r>
      <w:r w:rsidR="0034302B" w:rsidRPr="004A053A">
        <w:t>to the</w:t>
      </w:r>
      <w:r w:rsidR="00012BB5" w:rsidRPr="004A053A">
        <w:t xml:space="preserve"> modelled evaluation as it focuse</w:t>
      </w:r>
      <w:r w:rsidR="00BE53E3" w:rsidRPr="004A053A">
        <w:t>d</w:t>
      </w:r>
      <w:r w:rsidR="00012BB5" w:rsidRPr="004A053A">
        <w:t xml:space="preserve"> on BRAF wild</w:t>
      </w:r>
      <w:r w:rsidR="00BE53E3" w:rsidRPr="004A053A">
        <w:t>-</w:t>
      </w:r>
      <w:r w:rsidR="00012BB5" w:rsidRPr="004A053A">
        <w:t xml:space="preserve">type patients.  The key issue </w:t>
      </w:r>
      <w:r w:rsidR="00BE53E3" w:rsidRPr="004A053A">
        <w:t>wa</w:t>
      </w:r>
      <w:r w:rsidR="00012BB5" w:rsidRPr="004A053A">
        <w:t xml:space="preserve">s that the clinical claim </w:t>
      </w:r>
      <w:r w:rsidR="009A7C61" w:rsidRPr="004A053A">
        <w:t>based on BRAF wild</w:t>
      </w:r>
      <w:r w:rsidR="00BE53E3" w:rsidRPr="004A053A">
        <w:t>-</w:t>
      </w:r>
      <w:r w:rsidR="009A7C61" w:rsidRPr="004A053A">
        <w:t>type patient</w:t>
      </w:r>
      <w:r w:rsidR="00012BB5" w:rsidRPr="004A053A">
        <w:t>s</w:t>
      </w:r>
      <w:r w:rsidR="009A7C61" w:rsidRPr="004A053A">
        <w:t xml:space="preserve"> </w:t>
      </w:r>
      <w:r w:rsidR="00BE53E3" w:rsidRPr="004A053A">
        <w:t>wa</w:t>
      </w:r>
      <w:r w:rsidR="00012BB5" w:rsidRPr="004A053A">
        <w:t xml:space="preserve">s applied to BRAF mutant patients; and the modelled results </w:t>
      </w:r>
      <w:r w:rsidR="00BE53E3" w:rsidRPr="004A053A">
        <w:t>we</w:t>
      </w:r>
      <w:r w:rsidR="00012BB5" w:rsidRPr="004A053A">
        <w:t>re also applied to BRAF mutant patients, given the anticipated use of nivolumab in BRAF mutant patients following the failure of</w:t>
      </w:r>
      <w:r w:rsidR="009A7C61" w:rsidRPr="004A053A">
        <w:t xml:space="preserve"> </w:t>
      </w:r>
      <w:r w:rsidR="00BE53E3" w:rsidRPr="004A053A">
        <w:t xml:space="preserve">a </w:t>
      </w:r>
      <w:r w:rsidR="009A7C61" w:rsidRPr="004A053A">
        <w:t>BRAF inhibitor.</w:t>
      </w:r>
      <w:r w:rsidR="00814107" w:rsidRPr="004A053A">
        <w:t xml:space="preserve"> </w:t>
      </w:r>
      <w:r w:rsidR="00A93F18" w:rsidRPr="004A053A">
        <w:t xml:space="preserve"> The PSCR stated that this data was drawn from a study (Larkin et al, </w:t>
      </w:r>
      <w:r w:rsidR="00562338" w:rsidRPr="004A053A">
        <w:t xml:space="preserve">JAMA Oncology, February </w:t>
      </w:r>
      <w:r w:rsidR="00A93F18" w:rsidRPr="004A053A">
        <w:t xml:space="preserve">2015), </w:t>
      </w:r>
      <w:r w:rsidR="00433516" w:rsidRPr="004A053A">
        <w:t>which</w:t>
      </w:r>
      <w:r w:rsidR="00A93F18" w:rsidRPr="004A053A">
        <w:t xml:space="preserve"> demonstrate</w:t>
      </w:r>
      <w:r w:rsidR="00AB161D" w:rsidRPr="004A053A">
        <w:t>d</w:t>
      </w:r>
      <w:r w:rsidR="00A93F18" w:rsidRPr="004A053A">
        <w:t xml:space="preserve"> no difference in PFS rates </w:t>
      </w:r>
      <w:r w:rsidR="00562338" w:rsidRPr="004A053A">
        <w:t xml:space="preserve">in a meta-analysis of four studies </w:t>
      </w:r>
      <w:r w:rsidR="00323E7A">
        <w:t>when comparing wild</w:t>
      </w:r>
      <w:r w:rsidR="00323E7A">
        <w:noBreakHyphen/>
      </w:r>
      <w:r w:rsidR="00A93F18" w:rsidRPr="004A053A">
        <w:t>type or mutant BRAF patients treated with nivolumab monotherapy.</w:t>
      </w:r>
      <w:r w:rsidR="004A73BF" w:rsidRPr="004A053A">
        <w:t xml:space="preserve">  The ESC noted that the meta-analysis was a retrospective analysis of non-randomised cohorts and may not be reliably applicable to the requested PBS population given the data was drawn from three Phase I studies (one bio-marker study, one dos</w:t>
      </w:r>
      <w:r w:rsidR="00323E7A">
        <w:t>e</w:t>
      </w:r>
      <w:r w:rsidR="00323E7A">
        <w:noBreakHyphen/>
      </w:r>
      <w:r w:rsidR="004A73BF" w:rsidRPr="004A053A">
        <w:t>ranging study and one concurrent or sequenced ipilimumab and nivolumab study) and one Phase III study (CA209-037) in patients who had ≥2 previous systemic treatments.  Additionally, the sub-groups in the meta-analysis were small.</w:t>
      </w:r>
    </w:p>
    <w:p w:rsidR="007F1017" w:rsidRPr="00E22A0D" w:rsidRDefault="007F1017" w:rsidP="00323E7A">
      <w:pPr>
        <w:widowControl/>
      </w:pPr>
    </w:p>
    <w:p w:rsidR="00B60939" w:rsidRPr="002C2775" w:rsidRDefault="00B60939" w:rsidP="00323E7A">
      <w:pPr>
        <w:pStyle w:val="Heading2"/>
        <w:widowControl/>
        <w:rPr>
          <w:i/>
        </w:rPr>
      </w:pPr>
      <w:bookmarkStart w:id="9" w:name="_Toc419885971"/>
      <w:r w:rsidRPr="002C2775">
        <w:rPr>
          <w:i/>
        </w:rPr>
        <w:t>Comparative effectiveness</w:t>
      </w:r>
      <w:bookmarkEnd w:id="9"/>
    </w:p>
    <w:p w:rsidR="00B60939" w:rsidRPr="00882085" w:rsidRDefault="00B60939" w:rsidP="00323E7A">
      <w:pPr>
        <w:widowControl/>
        <w:rPr>
          <w:szCs w:val="22"/>
        </w:rPr>
      </w:pPr>
    </w:p>
    <w:p w:rsidR="002C2775" w:rsidRPr="003A3593" w:rsidRDefault="0034302B" w:rsidP="00323E7A">
      <w:pPr>
        <w:pStyle w:val="ListParagraph"/>
        <w:widowControl/>
        <w:numPr>
          <w:ilvl w:val="1"/>
          <w:numId w:val="23"/>
        </w:numPr>
        <w:ind w:left="709" w:hanging="709"/>
      </w:pPr>
      <w:r w:rsidRPr="003A3593">
        <w:t xml:space="preserve">Table </w:t>
      </w:r>
      <w:r w:rsidR="0061538A" w:rsidRPr="003A3593">
        <w:t>3</w:t>
      </w:r>
      <w:r w:rsidRPr="003A3593">
        <w:t xml:space="preserve"> provides the results of the indirect comparison of nivolumab and ipilimumab, for PFS and OS.</w:t>
      </w:r>
    </w:p>
    <w:p w:rsidR="00FA6362" w:rsidRPr="002A3389" w:rsidRDefault="00FA6362" w:rsidP="00323E7A">
      <w:pPr>
        <w:pStyle w:val="BodyText"/>
        <w:widowControl/>
      </w:pPr>
    </w:p>
    <w:p w:rsidR="005D0276" w:rsidRPr="003F5A9C" w:rsidRDefault="005D0276" w:rsidP="00323E7A">
      <w:pPr>
        <w:pStyle w:val="ListParagraph"/>
        <w:keepNext/>
        <w:widowControl/>
        <w:rPr>
          <w:rFonts w:ascii="Arial Narrow" w:hAnsi="Arial Narrow"/>
          <w:b/>
          <w:sz w:val="20"/>
          <w:szCs w:val="22"/>
        </w:rPr>
      </w:pPr>
      <w:r w:rsidRPr="003F5A9C">
        <w:rPr>
          <w:rFonts w:ascii="Arial Narrow" w:hAnsi="Arial Narrow"/>
          <w:b/>
          <w:sz w:val="20"/>
          <w:szCs w:val="22"/>
        </w:rPr>
        <w:lastRenderedPageBreak/>
        <w:t xml:space="preserve">Table </w:t>
      </w:r>
      <w:r w:rsidR="0061538A">
        <w:rPr>
          <w:rFonts w:ascii="Arial Narrow" w:hAnsi="Arial Narrow"/>
          <w:b/>
          <w:sz w:val="20"/>
          <w:szCs w:val="22"/>
        </w:rPr>
        <w:t>3</w:t>
      </w:r>
      <w:r w:rsidRPr="003F5A9C">
        <w:rPr>
          <w:rFonts w:ascii="Arial Narrow" w:hAnsi="Arial Narrow"/>
          <w:b/>
          <w:sz w:val="20"/>
          <w:szCs w:val="22"/>
        </w:rPr>
        <w:t xml:space="preserve">: </w:t>
      </w:r>
      <w:r w:rsidR="00285208">
        <w:rPr>
          <w:rFonts w:ascii="Arial Narrow" w:hAnsi="Arial Narrow"/>
          <w:b/>
          <w:sz w:val="20"/>
          <w:szCs w:val="22"/>
        </w:rPr>
        <w:t xml:space="preserve">Indirect comparison: </w:t>
      </w:r>
      <w:r w:rsidR="00285208">
        <w:rPr>
          <w:rFonts w:ascii="Arial Narrow" w:hAnsi="Arial Narrow"/>
          <w:b/>
          <w:sz w:val="20"/>
        </w:rPr>
        <w:t>OS and PFS CA209-066 and MDX010-20</w:t>
      </w:r>
    </w:p>
    <w:tbl>
      <w:tblPr>
        <w:tblStyle w:val="TableGrid"/>
        <w:tblW w:w="4604" w:type="pct"/>
        <w:tblInd w:w="737" w:type="dxa"/>
        <w:tblCellMar>
          <w:left w:w="28" w:type="dxa"/>
          <w:right w:w="28" w:type="dxa"/>
        </w:tblCellMar>
        <w:tblLook w:val="04A0" w:firstRow="1" w:lastRow="0" w:firstColumn="1" w:lastColumn="0" w:noHBand="0" w:noVBand="1"/>
        <w:tblCaption w:val="Indirect comparison: OS and PFS CA209-066 and MDX010-20"/>
        <w:tblDescription w:val="The results of the indirect comparison of nivolumab and ipilimumab, for PFS and OS."/>
      </w:tblPr>
      <w:tblGrid>
        <w:gridCol w:w="1560"/>
        <w:gridCol w:w="1703"/>
        <w:gridCol w:w="1698"/>
        <w:gridCol w:w="1703"/>
        <w:gridCol w:w="1699"/>
      </w:tblGrid>
      <w:tr w:rsidR="005D0276" w:rsidRPr="00523EE6" w:rsidTr="007C0924">
        <w:trPr>
          <w:tblHeader/>
        </w:trPr>
        <w:tc>
          <w:tcPr>
            <w:tcW w:w="933" w:type="pct"/>
            <w:vAlign w:val="center"/>
          </w:tcPr>
          <w:p w:rsidR="005D0276" w:rsidRPr="00523EE6" w:rsidRDefault="005D0276" w:rsidP="00323E7A">
            <w:pPr>
              <w:keepNext/>
              <w:widowControl/>
              <w:ind w:right="-170"/>
              <w:jc w:val="left"/>
              <w:rPr>
                <w:rFonts w:ascii="Arial Narrow" w:hAnsi="Arial Narrow"/>
                <w:b/>
                <w:sz w:val="20"/>
              </w:rPr>
            </w:pPr>
          </w:p>
        </w:tc>
        <w:tc>
          <w:tcPr>
            <w:tcW w:w="1018" w:type="pct"/>
          </w:tcPr>
          <w:p w:rsidR="005D0276" w:rsidRPr="00523EE6" w:rsidRDefault="005D0276" w:rsidP="00323E7A">
            <w:pPr>
              <w:keepNext/>
              <w:widowControl/>
              <w:ind w:right="-170"/>
              <w:jc w:val="center"/>
              <w:rPr>
                <w:rFonts w:ascii="Arial Narrow" w:hAnsi="Arial Narrow"/>
                <w:b/>
                <w:sz w:val="20"/>
              </w:rPr>
            </w:pPr>
            <w:r>
              <w:rPr>
                <w:rFonts w:ascii="Arial Narrow" w:hAnsi="Arial Narrow"/>
                <w:b/>
                <w:sz w:val="20"/>
              </w:rPr>
              <w:t>Nivo n/N (%)</w:t>
            </w:r>
          </w:p>
        </w:tc>
        <w:tc>
          <w:tcPr>
            <w:tcW w:w="1015" w:type="pct"/>
          </w:tcPr>
          <w:p w:rsidR="005D0276" w:rsidRPr="00523EE6" w:rsidRDefault="005D0276" w:rsidP="00323E7A">
            <w:pPr>
              <w:keepNext/>
              <w:widowControl/>
              <w:ind w:right="-170"/>
              <w:jc w:val="center"/>
              <w:rPr>
                <w:rFonts w:ascii="Arial Narrow" w:hAnsi="Arial Narrow"/>
                <w:b/>
                <w:sz w:val="20"/>
              </w:rPr>
            </w:pPr>
            <w:r>
              <w:rPr>
                <w:rFonts w:ascii="Arial Narrow" w:hAnsi="Arial Narrow"/>
                <w:b/>
                <w:sz w:val="20"/>
              </w:rPr>
              <w:t>DTIC n/N (%)</w:t>
            </w:r>
          </w:p>
        </w:tc>
        <w:tc>
          <w:tcPr>
            <w:tcW w:w="1018" w:type="pct"/>
          </w:tcPr>
          <w:p w:rsidR="005D0276" w:rsidRPr="00523EE6" w:rsidRDefault="005D0276" w:rsidP="00323E7A">
            <w:pPr>
              <w:keepNext/>
              <w:widowControl/>
              <w:ind w:right="115"/>
              <w:jc w:val="center"/>
              <w:rPr>
                <w:rFonts w:ascii="Arial Narrow" w:hAnsi="Arial Narrow"/>
                <w:b/>
                <w:sz w:val="20"/>
              </w:rPr>
            </w:pPr>
            <w:r>
              <w:rPr>
                <w:rFonts w:ascii="Arial Narrow" w:hAnsi="Arial Narrow"/>
                <w:b/>
                <w:sz w:val="20"/>
              </w:rPr>
              <w:t>Absolute difference</w:t>
            </w:r>
          </w:p>
        </w:tc>
        <w:tc>
          <w:tcPr>
            <w:tcW w:w="1017" w:type="pct"/>
          </w:tcPr>
          <w:p w:rsidR="005D0276" w:rsidRPr="00523EE6" w:rsidRDefault="005D0276" w:rsidP="00323E7A">
            <w:pPr>
              <w:keepNext/>
              <w:widowControl/>
              <w:ind w:right="115"/>
              <w:jc w:val="center"/>
              <w:rPr>
                <w:rFonts w:ascii="Arial Narrow" w:hAnsi="Arial Narrow"/>
                <w:b/>
                <w:sz w:val="20"/>
              </w:rPr>
            </w:pPr>
            <w:r>
              <w:rPr>
                <w:rFonts w:ascii="Arial Narrow" w:hAnsi="Arial Narrow"/>
                <w:b/>
                <w:sz w:val="20"/>
              </w:rPr>
              <w:t>HR (95% CI)</w:t>
            </w:r>
          </w:p>
        </w:tc>
      </w:tr>
      <w:tr w:rsidR="005D0276" w:rsidRPr="00523EE6" w:rsidTr="00FA6362">
        <w:tc>
          <w:tcPr>
            <w:tcW w:w="5000" w:type="pct"/>
            <w:gridSpan w:val="5"/>
            <w:vAlign w:val="center"/>
          </w:tcPr>
          <w:p w:rsidR="005D0276" w:rsidRPr="00523EE6" w:rsidRDefault="005D0276" w:rsidP="00323E7A">
            <w:pPr>
              <w:keepNext/>
              <w:widowControl/>
              <w:ind w:right="115"/>
              <w:jc w:val="left"/>
              <w:rPr>
                <w:rFonts w:ascii="Arial Narrow" w:hAnsi="Arial Narrow"/>
                <w:b/>
                <w:sz w:val="20"/>
              </w:rPr>
            </w:pPr>
            <w:r>
              <w:rPr>
                <w:rFonts w:ascii="Arial Narrow" w:hAnsi="Arial Narrow"/>
                <w:b/>
                <w:sz w:val="20"/>
              </w:rPr>
              <w:t xml:space="preserve">Overall survival - </w:t>
            </w:r>
            <w:r w:rsidRPr="00D7126A">
              <w:rPr>
                <w:rFonts w:ascii="Arial Narrow" w:hAnsi="Arial Narrow"/>
                <w:b/>
                <w:sz w:val="20"/>
              </w:rPr>
              <w:t xml:space="preserve">CA209-066 </w:t>
            </w:r>
            <w:r w:rsidR="00BE53E3">
              <w:rPr>
                <w:rFonts w:ascii="Arial Narrow" w:hAnsi="Arial Narrow"/>
                <w:b/>
                <w:sz w:val="20"/>
              </w:rPr>
              <w:t xml:space="preserve">- </w:t>
            </w:r>
            <w:r w:rsidRPr="00D7126A">
              <w:rPr>
                <w:rFonts w:ascii="Arial Narrow" w:hAnsi="Arial Narrow"/>
                <w:b/>
                <w:sz w:val="20"/>
              </w:rPr>
              <w:t>nivo</w:t>
            </w:r>
            <w:r>
              <w:rPr>
                <w:rFonts w:ascii="Arial Narrow" w:hAnsi="Arial Narrow"/>
                <w:b/>
                <w:sz w:val="20"/>
              </w:rPr>
              <w:t>lumab</w:t>
            </w:r>
          </w:p>
        </w:tc>
      </w:tr>
      <w:tr w:rsidR="005D0276" w:rsidRPr="00523EE6" w:rsidTr="00FA6362">
        <w:tc>
          <w:tcPr>
            <w:tcW w:w="933" w:type="pct"/>
          </w:tcPr>
          <w:p w:rsidR="005D0276" w:rsidRPr="00523EE6" w:rsidRDefault="005D0276" w:rsidP="00323E7A">
            <w:pPr>
              <w:keepNext/>
              <w:widowControl/>
              <w:ind w:right="-170"/>
              <w:jc w:val="left"/>
              <w:rPr>
                <w:rFonts w:ascii="Arial Narrow" w:hAnsi="Arial Narrow"/>
                <w:sz w:val="20"/>
              </w:rPr>
            </w:pPr>
            <w:r>
              <w:rPr>
                <w:rFonts w:ascii="Arial Narrow" w:hAnsi="Arial Narrow"/>
                <w:sz w:val="20"/>
              </w:rPr>
              <w:t>Death</w:t>
            </w:r>
          </w:p>
        </w:tc>
        <w:tc>
          <w:tcPr>
            <w:tcW w:w="1018" w:type="pct"/>
          </w:tcPr>
          <w:p w:rsidR="005D0276" w:rsidRPr="00523EE6" w:rsidRDefault="005D0276" w:rsidP="00323E7A">
            <w:pPr>
              <w:keepNext/>
              <w:widowControl/>
              <w:ind w:right="-170"/>
              <w:jc w:val="center"/>
              <w:rPr>
                <w:rFonts w:ascii="Arial Narrow" w:hAnsi="Arial Narrow"/>
                <w:sz w:val="20"/>
              </w:rPr>
            </w:pPr>
            <w:r>
              <w:rPr>
                <w:rFonts w:ascii="Arial Narrow" w:hAnsi="Arial Narrow"/>
                <w:sz w:val="20"/>
              </w:rPr>
              <w:t>50/210 (23.8%)</w:t>
            </w:r>
          </w:p>
        </w:tc>
        <w:tc>
          <w:tcPr>
            <w:tcW w:w="1015" w:type="pct"/>
          </w:tcPr>
          <w:p w:rsidR="005D0276" w:rsidRPr="00523EE6" w:rsidRDefault="005D0276" w:rsidP="00323E7A">
            <w:pPr>
              <w:keepNext/>
              <w:widowControl/>
              <w:ind w:right="-170"/>
              <w:jc w:val="center"/>
              <w:rPr>
                <w:rFonts w:ascii="Arial Narrow" w:hAnsi="Arial Narrow"/>
                <w:sz w:val="20"/>
              </w:rPr>
            </w:pPr>
            <w:r>
              <w:rPr>
                <w:rFonts w:ascii="Arial Narrow" w:hAnsi="Arial Narrow"/>
                <w:sz w:val="20"/>
              </w:rPr>
              <w:t>96/208 (46.2%)</w:t>
            </w:r>
          </w:p>
        </w:tc>
        <w:tc>
          <w:tcPr>
            <w:tcW w:w="1018" w:type="pct"/>
          </w:tcPr>
          <w:p w:rsidR="005D0276" w:rsidRPr="00523EE6" w:rsidRDefault="005D0276" w:rsidP="00323E7A">
            <w:pPr>
              <w:keepNext/>
              <w:widowControl/>
              <w:ind w:right="115"/>
              <w:jc w:val="center"/>
              <w:rPr>
                <w:rFonts w:ascii="Arial Narrow" w:hAnsi="Arial Narrow"/>
                <w:sz w:val="20"/>
              </w:rPr>
            </w:pPr>
            <w:r>
              <w:rPr>
                <w:rFonts w:ascii="Arial Narrow" w:hAnsi="Arial Narrow"/>
                <w:sz w:val="20"/>
              </w:rPr>
              <w:t>-</w:t>
            </w:r>
          </w:p>
        </w:tc>
        <w:tc>
          <w:tcPr>
            <w:tcW w:w="1017" w:type="pct"/>
          </w:tcPr>
          <w:p w:rsidR="005D0276" w:rsidRPr="00523EE6" w:rsidRDefault="005D0276" w:rsidP="00323E7A">
            <w:pPr>
              <w:keepNext/>
              <w:widowControl/>
              <w:ind w:right="115"/>
              <w:jc w:val="center"/>
              <w:rPr>
                <w:rFonts w:ascii="Arial Narrow" w:hAnsi="Arial Narrow"/>
                <w:sz w:val="20"/>
              </w:rPr>
            </w:pPr>
            <w:r>
              <w:rPr>
                <w:rFonts w:ascii="Arial Narrow" w:hAnsi="Arial Narrow"/>
                <w:sz w:val="20"/>
              </w:rPr>
              <w:t>0.42 (0.30, 0.60)</w:t>
            </w:r>
          </w:p>
        </w:tc>
      </w:tr>
      <w:tr w:rsidR="005D0276" w:rsidRPr="00523EE6" w:rsidTr="00FA6362">
        <w:tc>
          <w:tcPr>
            <w:tcW w:w="933" w:type="pct"/>
          </w:tcPr>
          <w:p w:rsidR="005D0276" w:rsidRPr="00523EE6" w:rsidRDefault="005D0276" w:rsidP="00323E7A">
            <w:pPr>
              <w:keepNext/>
              <w:widowControl/>
              <w:ind w:right="-170"/>
              <w:jc w:val="left"/>
              <w:rPr>
                <w:rFonts w:ascii="Arial Narrow" w:hAnsi="Arial Narrow"/>
                <w:sz w:val="20"/>
              </w:rPr>
            </w:pPr>
            <w:r>
              <w:rPr>
                <w:rFonts w:ascii="Arial Narrow" w:hAnsi="Arial Narrow"/>
                <w:sz w:val="20"/>
              </w:rPr>
              <w:t>OS median months</w:t>
            </w:r>
          </w:p>
        </w:tc>
        <w:tc>
          <w:tcPr>
            <w:tcW w:w="1018" w:type="pct"/>
          </w:tcPr>
          <w:p w:rsidR="005D0276" w:rsidRPr="00523EE6" w:rsidRDefault="005D0276" w:rsidP="00323E7A">
            <w:pPr>
              <w:keepNext/>
              <w:widowControl/>
              <w:ind w:right="-170"/>
              <w:jc w:val="center"/>
              <w:rPr>
                <w:rFonts w:ascii="Arial Narrow" w:hAnsi="Arial Narrow"/>
                <w:sz w:val="20"/>
              </w:rPr>
            </w:pPr>
            <w:r>
              <w:rPr>
                <w:rFonts w:ascii="Arial Narrow" w:hAnsi="Arial Narrow"/>
                <w:sz w:val="20"/>
              </w:rPr>
              <w:t>NR</w:t>
            </w:r>
          </w:p>
        </w:tc>
        <w:tc>
          <w:tcPr>
            <w:tcW w:w="1015" w:type="pct"/>
          </w:tcPr>
          <w:p w:rsidR="005D0276" w:rsidRPr="00523EE6" w:rsidRDefault="005D0276" w:rsidP="00323E7A">
            <w:pPr>
              <w:keepNext/>
              <w:widowControl/>
              <w:ind w:right="-170"/>
              <w:jc w:val="center"/>
              <w:rPr>
                <w:rFonts w:ascii="Arial Narrow" w:hAnsi="Arial Narrow"/>
                <w:sz w:val="20"/>
              </w:rPr>
            </w:pPr>
            <w:r>
              <w:rPr>
                <w:rFonts w:ascii="Arial Narrow" w:hAnsi="Arial Narrow"/>
                <w:sz w:val="20"/>
              </w:rPr>
              <w:t>10.84 (9.33, 12.09)</w:t>
            </w:r>
          </w:p>
        </w:tc>
        <w:tc>
          <w:tcPr>
            <w:tcW w:w="1018" w:type="pct"/>
          </w:tcPr>
          <w:p w:rsidR="005D0276" w:rsidRPr="00523EE6" w:rsidRDefault="005D0276" w:rsidP="00323E7A">
            <w:pPr>
              <w:keepNext/>
              <w:widowControl/>
              <w:ind w:right="115"/>
              <w:jc w:val="center"/>
              <w:rPr>
                <w:rFonts w:ascii="Arial Narrow" w:hAnsi="Arial Narrow"/>
                <w:sz w:val="20"/>
              </w:rPr>
            </w:pPr>
            <w:r>
              <w:rPr>
                <w:rFonts w:ascii="Arial Narrow" w:hAnsi="Arial Narrow"/>
                <w:sz w:val="20"/>
              </w:rPr>
              <w:t>-</w:t>
            </w:r>
          </w:p>
        </w:tc>
        <w:tc>
          <w:tcPr>
            <w:tcW w:w="1017" w:type="pct"/>
          </w:tcPr>
          <w:p w:rsidR="005D0276" w:rsidRPr="00523EE6" w:rsidRDefault="005D0276" w:rsidP="00323E7A">
            <w:pPr>
              <w:keepNext/>
              <w:widowControl/>
              <w:ind w:right="115"/>
              <w:jc w:val="center"/>
              <w:rPr>
                <w:rFonts w:ascii="Arial Narrow" w:hAnsi="Arial Narrow"/>
                <w:sz w:val="20"/>
              </w:rPr>
            </w:pPr>
            <w:r>
              <w:rPr>
                <w:rFonts w:ascii="Arial Narrow" w:hAnsi="Arial Narrow"/>
                <w:sz w:val="20"/>
              </w:rPr>
              <w:t>-</w:t>
            </w:r>
          </w:p>
        </w:tc>
      </w:tr>
      <w:tr w:rsidR="005D0276" w:rsidRPr="00523EE6" w:rsidTr="00FA6362">
        <w:tc>
          <w:tcPr>
            <w:tcW w:w="5000" w:type="pct"/>
            <w:gridSpan w:val="5"/>
            <w:vAlign w:val="center"/>
          </w:tcPr>
          <w:p w:rsidR="005D0276" w:rsidRPr="00D7126A" w:rsidRDefault="005D0276" w:rsidP="00323E7A">
            <w:pPr>
              <w:keepNext/>
              <w:widowControl/>
              <w:ind w:right="115"/>
              <w:jc w:val="left"/>
              <w:rPr>
                <w:rFonts w:ascii="Arial Narrow" w:hAnsi="Arial Narrow"/>
                <w:b/>
                <w:sz w:val="20"/>
              </w:rPr>
            </w:pPr>
            <w:r>
              <w:rPr>
                <w:rFonts w:ascii="Arial Narrow" w:hAnsi="Arial Narrow"/>
                <w:b/>
                <w:sz w:val="20"/>
              </w:rPr>
              <w:t xml:space="preserve">Overall survival - MDX010-20 </w:t>
            </w:r>
            <w:r w:rsidR="00BE53E3">
              <w:rPr>
                <w:rFonts w:ascii="Arial Narrow" w:hAnsi="Arial Narrow"/>
                <w:b/>
                <w:sz w:val="20"/>
              </w:rPr>
              <w:t>-</w:t>
            </w:r>
            <w:r>
              <w:rPr>
                <w:rFonts w:ascii="Arial Narrow" w:hAnsi="Arial Narrow"/>
                <w:b/>
                <w:sz w:val="20"/>
              </w:rPr>
              <w:t xml:space="preserve"> ipilimumab</w:t>
            </w:r>
          </w:p>
        </w:tc>
      </w:tr>
      <w:tr w:rsidR="005D0276" w:rsidRPr="00523EE6" w:rsidTr="00FA6362">
        <w:tc>
          <w:tcPr>
            <w:tcW w:w="933" w:type="pct"/>
          </w:tcPr>
          <w:p w:rsidR="005D0276" w:rsidRDefault="005D0276" w:rsidP="00323E7A">
            <w:pPr>
              <w:keepNext/>
              <w:widowControl/>
              <w:ind w:right="-170"/>
              <w:jc w:val="left"/>
              <w:rPr>
                <w:rFonts w:ascii="Arial Narrow" w:hAnsi="Arial Narrow"/>
                <w:sz w:val="20"/>
              </w:rPr>
            </w:pPr>
          </w:p>
        </w:tc>
        <w:tc>
          <w:tcPr>
            <w:tcW w:w="1018" w:type="pct"/>
          </w:tcPr>
          <w:p w:rsidR="005D0276" w:rsidRPr="00523EE6" w:rsidRDefault="005D0276" w:rsidP="00323E7A">
            <w:pPr>
              <w:keepNext/>
              <w:widowControl/>
              <w:ind w:right="-170"/>
              <w:jc w:val="center"/>
              <w:rPr>
                <w:rFonts w:ascii="Arial Narrow" w:hAnsi="Arial Narrow"/>
                <w:sz w:val="20"/>
              </w:rPr>
            </w:pPr>
            <w:r w:rsidRPr="00CC3301">
              <w:rPr>
                <w:rFonts w:ascii="Arial Narrow" w:hAnsi="Arial Narrow"/>
                <w:b/>
                <w:sz w:val="20"/>
              </w:rPr>
              <w:t>Ipi n/N (%)</w:t>
            </w:r>
          </w:p>
        </w:tc>
        <w:tc>
          <w:tcPr>
            <w:tcW w:w="1015" w:type="pct"/>
          </w:tcPr>
          <w:p w:rsidR="005D0276" w:rsidRPr="00523EE6" w:rsidRDefault="005D0276" w:rsidP="00323E7A">
            <w:pPr>
              <w:keepNext/>
              <w:widowControl/>
              <w:ind w:right="-170"/>
              <w:jc w:val="center"/>
              <w:rPr>
                <w:rFonts w:ascii="Arial Narrow" w:hAnsi="Arial Narrow"/>
                <w:sz w:val="20"/>
              </w:rPr>
            </w:pPr>
            <w:r w:rsidRPr="00CC3301">
              <w:rPr>
                <w:rFonts w:ascii="Arial Narrow" w:hAnsi="Arial Narrow"/>
                <w:b/>
                <w:sz w:val="20"/>
              </w:rPr>
              <w:t>gp100 n/N (%)</w:t>
            </w:r>
          </w:p>
        </w:tc>
        <w:tc>
          <w:tcPr>
            <w:tcW w:w="1018" w:type="pct"/>
            <w:vAlign w:val="center"/>
          </w:tcPr>
          <w:p w:rsidR="005D0276" w:rsidRPr="00523EE6" w:rsidRDefault="005D0276" w:rsidP="00323E7A">
            <w:pPr>
              <w:keepNext/>
              <w:widowControl/>
              <w:ind w:right="115"/>
              <w:jc w:val="center"/>
              <w:rPr>
                <w:rFonts w:ascii="Arial Narrow" w:hAnsi="Arial Narrow"/>
                <w:sz w:val="20"/>
              </w:rPr>
            </w:pPr>
          </w:p>
        </w:tc>
        <w:tc>
          <w:tcPr>
            <w:tcW w:w="1017" w:type="pct"/>
            <w:vAlign w:val="center"/>
          </w:tcPr>
          <w:p w:rsidR="005D0276" w:rsidRPr="00523EE6" w:rsidRDefault="005D0276" w:rsidP="00323E7A">
            <w:pPr>
              <w:keepNext/>
              <w:widowControl/>
              <w:ind w:right="115"/>
              <w:jc w:val="center"/>
              <w:rPr>
                <w:rFonts w:ascii="Arial Narrow" w:hAnsi="Arial Narrow"/>
                <w:sz w:val="20"/>
              </w:rPr>
            </w:pPr>
          </w:p>
        </w:tc>
      </w:tr>
      <w:tr w:rsidR="005D0276" w:rsidRPr="00523EE6" w:rsidTr="00FA6362">
        <w:tc>
          <w:tcPr>
            <w:tcW w:w="933" w:type="pct"/>
          </w:tcPr>
          <w:p w:rsidR="005D0276" w:rsidRPr="00523EE6" w:rsidRDefault="005D0276" w:rsidP="00323E7A">
            <w:pPr>
              <w:keepNext/>
              <w:widowControl/>
              <w:ind w:right="-170"/>
              <w:jc w:val="left"/>
              <w:rPr>
                <w:rFonts w:ascii="Arial Narrow" w:hAnsi="Arial Narrow"/>
                <w:sz w:val="20"/>
              </w:rPr>
            </w:pPr>
            <w:r>
              <w:rPr>
                <w:rFonts w:ascii="Arial Narrow" w:hAnsi="Arial Narrow"/>
                <w:sz w:val="20"/>
              </w:rPr>
              <w:t>Death</w:t>
            </w:r>
          </w:p>
        </w:tc>
        <w:tc>
          <w:tcPr>
            <w:tcW w:w="1018" w:type="pct"/>
          </w:tcPr>
          <w:p w:rsidR="005D0276" w:rsidRPr="00523EE6" w:rsidRDefault="005D0276" w:rsidP="00323E7A">
            <w:pPr>
              <w:keepNext/>
              <w:widowControl/>
              <w:ind w:right="-170"/>
              <w:jc w:val="center"/>
              <w:rPr>
                <w:rFonts w:ascii="Arial Narrow" w:hAnsi="Arial Narrow"/>
                <w:sz w:val="20"/>
              </w:rPr>
            </w:pPr>
            <w:r>
              <w:rPr>
                <w:rFonts w:ascii="Arial Narrow" w:hAnsi="Arial Narrow"/>
                <w:sz w:val="20"/>
              </w:rPr>
              <w:t>100/137 (73.0%)</w:t>
            </w:r>
          </w:p>
        </w:tc>
        <w:tc>
          <w:tcPr>
            <w:tcW w:w="1015" w:type="pct"/>
          </w:tcPr>
          <w:p w:rsidR="005D0276" w:rsidRPr="00523EE6" w:rsidRDefault="005D0276" w:rsidP="00323E7A">
            <w:pPr>
              <w:keepNext/>
              <w:widowControl/>
              <w:ind w:right="-170"/>
              <w:jc w:val="center"/>
              <w:rPr>
                <w:rFonts w:ascii="Arial Narrow" w:hAnsi="Arial Narrow"/>
                <w:sz w:val="20"/>
              </w:rPr>
            </w:pPr>
            <w:r>
              <w:rPr>
                <w:rFonts w:ascii="Arial Narrow" w:hAnsi="Arial Narrow"/>
                <w:sz w:val="20"/>
              </w:rPr>
              <w:t>119/136 (87.5%)</w:t>
            </w:r>
          </w:p>
        </w:tc>
        <w:tc>
          <w:tcPr>
            <w:tcW w:w="1018" w:type="pct"/>
          </w:tcPr>
          <w:p w:rsidR="005D0276" w:rsidRPr="00523EE6" w:rsidRDefault="005D0276" w:rsidP="00323E7A">
            <w:pPr>
              <w:keepNext/>
              <w:widowControl/>
              <w:ind w:right="115"/>
              <w:jc w:val="center"/>
              <w:rPr>
                <w:rFonts w:ascii="Arial Narrow" w:hAnsi="Arial Narrow"/>
                <w:sz w:val="20"/>
              </w:rPr>
            </w:pPr>
            <w:r>
              <w:rPr>
                <w:rFonts w:ascii="Arial Narrow" w:hAnsi="Arial Narrow"/>
                <w:sz w:val="20"/>
              </w:rPr>
              <w:t>-</w:t>
            </w:r>
          </w:p>
        </w:tc>
        <w:tc>
          <w:tcPr>
            <w:tcW w:w="1017" w:type="pct"/>
          </w:tcPr>
          <w:p w:rsidR="005D0276" w:rsidRPr="00523EE6" w:rsidRDefault="005D0276" w:rsidP="00323E7A">
            <w:pPr>
              <w:keepNext/>
              <w:widowControl/>
              <w:ind w:right="115"/>
              <w:jc w:val="center"/>
              <w:rPr>
                <w:rFonts w:ascii="Arial Narrow" w:hAnsi="Arial Narrow"/>
                <w:sz w:val="20"/>
              </w:rPr>
            </w:pPr>
            <w:r>
              <w:rPr>
                <w:rFonts w:ascii="Arial Narrow" w:hAnsi="Arial Narrow"/>
                <w:sz w:val="20"/>
              </w:rPr>
              <w:t>0.66 (0.51, 0.87)</w:t>
            </w:r>
          </w:p>
        </w:tc>
      </w:tr>
      <w:tr w:rsidR="005D0276" w:rsidRPr="00523EE6" w:rsidTr="00FA6362">
        <w:tc>
          <w:tcPr>
            <w:tcW w:w="933" w:type="pct"/>
          </w:tcPr>
          <w:p w:rsidR="005D0276" w:rsidRPr="00523EE6" w:rsidRDefault="005D0276" w:rsidP="00323E7A">
            <w:pPr>
              <w:keepNext/>
              <w:widowControl/>
              <w:ind w:right="-170"/>
              <w:jc w:val="left"/>
              <w:rPr>
                <w:rFonts w:ascii="Arial Narrow" w:hAnsi="Arial Narrow"/>
                <w:sz w:val="20"/>
              </w:rPr>
            </w:pPr>
            <w:r>
              <w:rPr>
                <w:rFonts w:ascii="Arial Narrow" w:hAnsi="Arial Narrow"/>
                <w:sz w:val="20"/>
              </w:rPr>
              <w:t>OS median months</w:t>
            </w:r>
          </w:p>
        </w:tc>
        <w:tc>
          <w:tcPr>
            <w:tcW w:w="1018" w:type="pct"/>
          </w:tcPr>
          <w:p w:rsidR="005D0276" w:rsidRPr="00523EE6" w:rsidRDefault="005D0276" w:rsidP="00323E7A">
            <w:pPr>
              <w:keepNext/>
              <w:widowControl/>
              <w:ind w:right="-170"/>
              <w:jc w:val="center"/>
              <w:rPr>
                <w:rFonts w:ascii="Arial Narrow" w:hAnsi="Arial Narrow"/>
                <w:sz w:val="20"/>
              </w:rPr>
            </w:pPr>
            <w:r>
              <w:rPr>
                <w:rFonts w:ascii="Arial Narrow" w:hAnsi="Arial Narrow"/>
                <w:sz w:val="20"/>
              </w:rPr>
              <w:t>10.12 (8.02, 13.80)</w:t>
            </w:r>
          </w:p>
        </w:tc>
        <w:tc>
          <w:tcPr>
            <w:tcW w:w="1015" w:type="pct"/>
          </w:tcPr>
          <w:p w:rsidR="005D0276" w:rsidRPr="00523EE6" w:rsidRDefault="005D0276" w:rsidP="00323E7A">
            <w:pPr>
              <w:keepNext/>
              <w:widowControl/>
              <w:ind w:right="-170"/>
              <w:jc w:val="center"/>
              <w:rPr>
                <w:rFonts w:ascii="Arial Narrow" w:hAnsi="Arial Narrow"/>
                <w:sz w:val="20"/>
              </w:rPr>
            </w:pPr>
            <w:r>
              <w:rPr>
                <w:rFonts w:ascii="Arial Narrow" w:hAnsi="Arial Narrow"/>
                <w:sz w:val="20"/>
              </w:rPr>
              <w:t>6.44 (5.49, 8.71)</w:t>
            </w:r>
          </w:p>
        </w:tc>
        <w:tc>
          <w:tcPr>
            <w:tcW w:w="1018" w:type="pct"/>
          </w:tcPr>
          <w:p w:rsidR="005D0276" w:rsidRPr="00523EE6" w:rsidRDefault="005D0276" w:rsidP="00323E7A">
            <w:pPr>
              <w:keepNext/>
              <w:widowControl/>
              <w:ind w:right="115"/>
              <w:jc w:val="center"/>
              <w:rPr>
                <w:rFonts w:ascii="Arial Narrow" w:hAnsi="Arial Narrow"/>
                <w:sz w:val="20"/>
              </w:rPr>
            </w:pPr>
            <w:r>
              <w:rPr>
                <w:rFonts w:ascii="Arial Narrow" w:hAnsi="Arial Narrow"/>
                <w:sz w:val="20"/>
              </w:rPr>
              <w:t>3.68</w:t>
            </w:r>
          </w:p>
        </w:tc>
        <w:tc>
          <w:tcPr>
            <w:tcW w:w="1017" w:type="pct"/>
          </w:tcPr>
          <w:p w:rsidR="005D0276" w:rsidRPr="00523EE6" w:rsidRDefault="005D0276" w:rsidP="00323E7A">
            <w:pPr>
              <w:keepNext/>
              <w:widowControl/>
              <w:ind w:right="115"/>
              <w:jc w:val="center"/>
              <w:rPr>
                <w:rFonts w:ascii="Arial Narrow" w:hAnsi="Arial Narrow"/>
                <w:sz w:val="20"/>
              </w:rPr>
            </w:pPr>
            <w:r>
              <w:rPr>
                <w:rFonts w:ascii="Arial Narrow" w:hAnsi="Arial Narrow"/>
                <w:sz w:val="20"/>
              </w:rPr>
              <w:t>-</w:t>
            </w:r>
          </w:p>
        </w:tc>
      </w:tr>
      <w:tr w:rsidR="005D0276" w:rsidRPr="00523EE6" w:rsidTr="00FA6362">
        <w:tc>
          <w:tcPr>
            <w:tcW w:w="3983" w:type="pct"/>
            <w:gridSpan w:val="4"/>
            <w:vAlign w:val="center"/>
          </w:tcPr>
          <w:p w:rsidR="005D0276" w:rsidRPr="00D7126A" w:rsidRDefault="005D0276" w:rsidP="00323E7A">
            <w:pPr>
              <w:keepNext/>
              <w:widowControl/>
              <w:ind w:right="115"/>
              <w:jc w:val="left"/>
              <w:rPr>
                <w:rFonts w:ascii="Arial Narrow" w:hAnsi="Arial Narrow"/>
                <w:b/>
                <w:sz w:val="20"/>
              </w:rPr>
            </w:pPr>
            <w:r>
              <w:rPr>
                <w:rFonts w:ascii="Arial Narrow" w:hAnsi="Arial Narrow"/>
                <w:b/>
                <w:sz w:val="20"/>
              </w:rPr>
              <w:t xml:space="preserve">Indirect comparison overall survival </w:t>
            </w:r>
            <w:r w:rsidR="00E55587">
              <w:rPr>
                <w:rFonts w:ascii="Arial Narrow" w:hAnsi="Arial Narrow"/>
                <w:b/>
                <w:sz w:val="20"/>
              </w:rPr>
              <w:t>-</w:t>
            </w:r>
            <w:r>
              <w:rPr>
                <w:rFonts w:ascii="Arial Narrow" w:hAnsi="Arial Narrow"/>
                <w:b/>
                <w:sz w:val="20"/>
              </w:rPr>
              <w:t xml:space="preserve"> nivo vs. ipi</w:t>
            </w:r>
          </w:p>
        </w:tc>
        <w:tc>
          <w:tcPr>
            <w:tcW w:w="1017" w:type="pct"/>
            <w:vAlign w:val="center"/>
          </w:tcPr>
          <w:p w:rsidR="005D0276" w:rsidRPr="00D7126A" w:rsidRDefault="005D0276" w:rsidP="00323E7A">
            <w:pPr>
              <w:keepNext/>
              <w:widowControl/>
              <w:ind w:right="115"/>
              <w:jc w:val="center"/>
              <w:rPr>
                <w:rFonts w:ascii="Arial Narrow" w:hAnsi="Arial Narrow"/>
                <w:b/>
                <w:sz w:val="20"/>
              </w:rPr>
            </w:pPr>
            <w:r w:rsidRPr="00DC2AA1">
              <w:rPr>
                <w:rFonts w:ascii="Arial Narrow" w:hAnsi="Arial Narrow"/>
                <w:b/>
                <w:sz w:val="20"/>
              </w:rPr>
              <w:t>0.64 (0.41, 0.99)</w:t>
            </w:r>
          </w:p>
        </w:tc>
      </w:tr>
      <w:tr w:rsidR="005D0276" w:rsidRPr="00523EE6" w:rsidTr="00FA6362">
        <w:tc>
          <w:tcPr>
            <w:tcW w:w="5000" w:type="pct"/>
            <w:gridSpan w:val="5"/>
            <w:vAlign w:val="center"/>
          </w:tcPr>
          <w:p w:rsidR="005D0276" w:rsidRPr="001A16A5" w:rsidRDefault="005D0276" w:rsidP="00323E7A">
            <w:pPr>
              <w:keepNext/>
              <w:widowControl/>
              <w:ind w:right="115"/>
              <w:jc w:val="left"/>
              <w:rPr>
                <w:rFonts w:ascii="Arial Narrow" w:hAnsi="Arial Narrow"/>
                <w:b/>
                <w:sz w:val="20"/>
              </w:rPr>
            </w:pPr>
            <w:r>
              <w:rPr>
                <w:rFonts w:ascii="Arial Narrow" w:hAnsi="Arial Narrow"/>
                <w:b/>
                <w:sz w:val="20"/>
              </w:rPr>
              <w:t xml:space="preserve">Progression-free survival - </w:t>
            </w:r>
            <w:r w:rsidRPr="00D7126A">
              <w:rPr>
                <w:rFonts w:ascii="Arial Narrow" w:hAnsi="Arial Narrow"/>
                <w:b/>
                <w:sz w:val="20"/>
              </w:rPr>
              <w:t xml:space="preserve">CA209-066 </w:t>
            </w:r>
            <w:r w:rsidR="00E55587">
              <w:rPr>
                <w:rFonts w:ascii="Arial Narrow" w:hAnsi="Arial Narrow"/>
                <w:b/>
                <w:sz w:val="20"/>
              </w:rPr>
              <w:t xml:space="preserve">- </w:t>
            </w:r>
            <w:r w:rsidRPr="00D7126A">
              <w:rPr>
                <w:rFonts w:ascii="Arial Narrow" w:hAnsi="Arial Narrow"/>
                <w:b/>
                <w:sz w:val="20"/>
              </w:rPr>
              <w:t>nivo</w:t>
            </w:r>
            <w:r>
              <w:rPr>
                <w:rFonts w:ascii="Arial Narrow" w:hAnsi="Arial Narrow"/>
                <w:b/>
                <w:sz w:val="20"/>
              </w:rPr>
              <w:t>lumab</w:t>
            </w:r>
          </w:p>
        </w:tc>
      </w:tr>
      <w:tr w:rsidR="005D0276" w:rsidRPr="00523EE6" w:rsidTr="00FA6362">
        <w:tc>
          <w:tcPr>
            <w:tcW w:w="933" w:type="pct"/>
          </w:tcPr>
          <w:p w:rsidR="005D0276" w:rsidRDefault="005D0276" w:rsidP="00323E7A">
            <w:pPr>
              <w:keepNext/>
              <w:widowControl/>
              <w:ind w:right="-170"/>
              <w:jc w:val="left"/>
              <w:rPr>
                <w:rFonts w:ascii="Arial Narrow" w:hAnsi="Arial Narrow"/>
                <w:sz w:val="20"/>
              </w:rPr>
            </w:pPr>
          </w:p>
        </w:tc>
        <w:tc>
          <w:tcPr>
            <w:tcW w:w="1018" w:type="pct"/>
          </w:tcPr>
          <w:p w:rsidR="005D0276" w:rsidRPr="00523EE6" w:rsidRDefault="005D0276" w:rsidP="00323E7A">
            <w:pPr>
              <w:keepNext/>
              <w:widowControl/>
              <w:ind w:right="-170"/>
              <w:jc w:val="center"/>
              <w:rPr>
                <w:rFonts w:ascii="Arial Narrow" w:hAnsi="Arial Narrow"/>
                <w:sz w:val="20"/>
              </w:rPr>
            </w:pPr>
            <w:r>
              <w:rPr>
                <w:rFonts w:ascii="Arial Narrow" w:hAnsi="Arial Narrow"/>
                <w:b/>
                <w:sz w:val="20"/>
              </w:rPr>
              <w:t>Nivo n/N (%)</w:t>
            </w:r>
          </w:p>
        </w:tc>
        <w:tc>
          <w:tcPr>
            <w:tcW w:w="1015" w:type="pct"/>
          </w:tcPr>
          <w:p w:rsidR="005D0276" w:rsidRPr="00523EE6" w:rsidRDefault="005D0276" w:rsidP="00323E7A">
            <w:pPr>
              <w:keepNext/>
              <w:widowControl/>
              <w:ind w:right="-170"/>
              <w:jc w:val="center"/>
              <w:rPr>
                <w:rFonts w:ascii="Arial Narrow" w:hAnsi="Arial Narrow"/>
                <w:sz w:val="20"/>
              </w:rPr>
            </w:pPr>
            <w:r>
              <w:rPr>
                <w:rFonts w:ascii="Arial Narrow" w:hAnsi="Arial Narrow"/>
                <w:b/>
                <w:sz w:val="20"/>
              </w:rPr>
              <w:t>DTIC n/N (%)</w:t>
            </w:r>
          </w:p>
        </w:tc>
        <w:tc>
          <w:tcPr>
            <w:tcW w:w="1018" w:type="pct"/>
            <w:vAlign w:val="center"/>
          </w:tcPr>
          <w:p w:rsidR="005D0276" w:rsidRPr="00523EE6" w:rsidRDefault="005D0276" w:rsidP="00323E7A">
            <w:pPr>
              <w:keepNext/>
              <w:widowControl/>
              <w:ind w:right="115"/>
              <w:jc w:val="center"/>
              <w:rPr>
                <w:rFonts w:ascii="Arial Narrow" w:hAnsi="Arial Narrow"/>
                <w:sz w:val="20"/>
              </w:rPr>
            </w:pPr>
          </w:p>
        </w:tc>
        <w:tc>
          <w:tcPr>
            <w:tcW w:w="1017" w:type="pct"/>
            <w:vAlign w:val="center"/>
          </w:tcPr>
          <w:p w:rsidR="005D0276" w:rsidRPr="00523EE6" w:rsidRDefault="005D0276" w:rsidP="00323E7A">
            <w:pPr>
              <w:keepNext/>
              <w:widowControl/>
              <w:ind w:right="115"/>
              <w:jc w:val="center"/>
              <w:rPr>
                <w:rFonts w:ascii="Arial Narrow" w:hAnsi="Arial Narrow"/>
                <w:sz w:val="20"/>
              </w:rPr>
            </w:pPr>
          </w:p>
        </w:tc>
      </w:tr>
      <w:tr w:rsidR="005D0276" w:rsidRPr="00523EE6" w:rsidTr="00FA6362">
        <w:tc>
          <w:tcPr>
            <w:tcW w:w="933" w:type="pct"/>
          </w:tcPr>
          <w:p w:rsidR="005D0276" w:rsidRPr="00523EE6" w:rsidRDefault="005D0276" w:rsidP="00323E7A">
            <w:pPr>
              <w:keepNext/>
              <w:widowControl/>
              <w:ind w:right="-170"/>
              <w:jc w:val="left"/>
              <w:rPr>
                <w:rFonts w:ascii="Arial Narrow" w:hAnsi="Arial Narrow"/>
                <w:sz w:val="20"/>
              </w:rPr>
            </w:pPr>
            <w:r>
              <w:rPr>
                <w:rFonts w:ascii="Arial Narrow" w:hAnsi="Arial Narrow"/>
                <w:sz w:val="20"/>
              </w:rPr>
              <w:t>Progressed</w:t>
            </w:r>
          </w:p>
        </w:tc>
        <w:tc>
          <w:tcPr>
            <w:tcW w:w="1018" w:type="pct"/>
          </w:tcPr>
          <w:p w:rsidR="005D0276" w:rsidRPr="00523EE6" w:rsidRDefault="005D0276" w:rsidP="00323E7A">
            <w:pPr>
              <w:keepNext/>
              <w:widowControl/>
              <w:ind w:right="-170"/>
              <w:jc w:val="center"/>
              <w:rPr>
                <w:rFonts w:ascii="Arial Narrow" w:hAnsi="Arial Narrow"/>
                <w:sz w:val="20"/>
              </w:rPr>
            </w:pPr>
            <w:r>
              <w:rPr>
                <w:rFonts w:ascii="Arial Narrow" w:hAnsi="Arial Narrow"/>
                <w:sz w:val="20"/>
              </w:rPr>
              <w:t>108/210 (51.4%)</w:t>
            </w:r>
          </w:p>
        </w:tc>
        <w:tc>
          <w:tcPr>
            <w:tcW w:w="1015" w:type="pct"/>
          </w:tcPr>
          <w:p w:rsidR="005D0276" w:rsidRPr="00523EE6" w:rsidRDefault="005D0276" w:rsidP="00323E7A">
            <w:pPr>
              <w:keepNext/>
              <w:widowControl/>
              <w:ind w:right="-170"/>
              <w:jc w:val="center"/>
              <w:rPr>
                <w:rFonts w:ascii="Arial Narrow" w:hAnsi="Arial Narrow"/>
                <w:sz w:val="20"/>
              </w:rPr>
            </w:pPr>
            <w:r>
              <w:rPr>
                <w:rFonts w:ascii="Arial Narrow" w:hAnsi="Arial Narrow"/>
                <w:sz w:val="20"/>
              </w:rPr>
              <w:t>163/208 (78.4%)</w:t>
            </w:r>
          </w:p>
        </w:tc>
        <w:tc>
          <w:tcPr>
            <w:tcW w:w="1018" w:type="pct"/>
          </w:tcPr>
          <w:p w:rsidR="005D0276" w:rsidRPr="00523EE6" w:rsidRDefault="005D0276" w:rsidP="00323E7A">
            <w:pPr>
              <w:keepNext/>
              <w:widowControl/>
              <w:ind w:right="115"/>
              <w:jc w:val="center"/>
              <w:rPr>
                <w:rFonts w:ascii="Arial Narrow" w:hAnsi="Arial Narrow"/>
                <w:sz w:val="20"/>
              </w:rPr>
            </w:pPr>
            <w:r>
              <w:rPr>
                <w:rFonts w:ascii="Arial Narrow" w:hAnsi="Arial Narrow"/>
                <w:sz w:val="20"/>
              </w:rPr>
              <w:t>-</w:t>
            </w:r>
          </w:p>
        </w:tc>
        <w:tc>
          <w:tcPr>
            <w:tcW w:w="1017" w:type="pct"/>
          </w:tcPr>
          <w:p w:rsidR="005D0276" w:rsidRPr="00523EE6" w:rsidRDefault="005D0276" w:rsidP="00323E7A">
            <w:pPr>
              <w:keepNext/>
              <w:widowControl/>
              <w:ind w:right="115"/>
              <w:jc w:val="center"/>
              <w:rPr>
                <w:rFonts w:ascii="Arial Narrow" w:hAnsi="Arial Narrow"/>
                <w:sz w:val="20"/>
              </w:rPr>
            </w:pPr>
            <w:r>
              <w:rPr>
                <w:rFonts w:ascii="Arial Narrow" w:hAnsi="Arial Narrow"/>
                <w:sz w:val="20"/>
              </w:rPr>
              <w:t>0.43 (0.34, 0.56)</w:t>
            </w:r>
          </w:p>
        </w:tc>
      </w:tr>
      <w:tr w:rsidR="005D0276" w:rsidRPr="00523EE6" w:rsidTr="00FA6362">
        <w:tc>
          <w:tcPr>
            <w:tcW w:w="933" w:type="pct"/>
          </w:tcPr>
          <w:p w:rsidR="005D0276" w:rsidRPr="00523EE6" w:rsidRDefault="005D0276" w:rsidP="00323E7A">
            <w:pPr>
              <w:keepNext/>
              <w:widowControl/>
              <w:ind w:right="-170"/>
              <w:jc w:val="left"/>
              <w:rPr>
                <w:rFonts w:ascii="Arial Narrow" w:hAnsi="Arial Narrow"/>
                <w:sz w:val="20"/>
              </w:rPr>
            </w:pPr>
            <w:r>
              <w:rPr>
                <w:rFonts w:ascii="Arial Narrow" w:hAnsi="Arial Narrow"/>
                <w:sz w:val="20"/>
              </w:rPr>
              <w:t>PFS median months</w:t>
            </w:r>
          </w:p>
        </w:tc>
        <w:tc>
          <w:tcPr>
            <w:tcW w:w="1018" w:type="pct"/>
          </w:tcPr>
          <w:p w:rsidR="005D0276" w:rsidRPr="00523EE6" w:rsidRDefault="005D0276" w:rsidP="00323E7A">
            <w:pPr>
              <w:keepNext/>
              <w:widowControl/>
              <w:ind w:right="-170"/>
              <w:jc w:val="center"/>
              <w:rPr>
                <w:rFonts w:ascii="Arial Narrow" w:hAnsi="Arial Narrow"/>
                <w:sz w:val="20"/>
              </w:rPr>
            </w:pPr>
            <w:r>
              <w:rPr>
                <w:rFonts w:ascii="Arial Narrow" w:hAnsi="Arial Narrow"/>
                <w:sz w:val="20"/>
              </w:rPr>
              <w:t>5.06 (3.48, 10.81)</w:t>
            </w:r>
          </w:p>
        </w:tc>
        <w:tc>
          <w:tcPr>
            <w:tcW w:w="1015" w:type="pct"/>
          </w:tcPr>
          <w:p w:rsidR="005D0276" w:rsidRPr="00523EE6" w:rsidRDefault="005D0276" w:rsidP="00323E7A">
            <w:pPr>
              <w:keepNext/>
              <w:widowControl/>
              <w:ind w:right="-170"/>
              <w:jc w:val="center"/>
              <w:rPr>
                <w:rFonts w:ascii="Arial Narrow" w:hAnsi="Arial Narrow"/>
                <w:sz w:val="20"/>
              </w:rPr>
            </w:pPr>
            <w:r>
              <w:rPr>
                <w:rFonts w:ascii="Arial Narrow" w:hAnsi="Arial Narrow"/>
                <w:sz w:val="20"/>
              </w:rPr>
              <w:t>2.17 (2.10, 2.40)</w:t>
            </w:r>
          </w:p>
        </w:tc>
        <w:tc>
          <w:tcPr>
            <w:tcW w:w="1018" w:type="pct"/>
          </w:tcPr>
          <w:p w:rsidR="005D0276" w:rsidRPr="00523EE6" w:rsidRDefault="005D0276" w:rsidP="00323E7A">
            <w:pPr>
              <w:keepNext/>
              <w:widowControl/>
              <w:ind w:right="115"/>
              <w:jc w:val="center"/>
              <w:rPr>
                <w:rFonts w:ascii="Arial Narrow" w:hAnsi="Arial Narrow"/>
                <w:sz w:val="20"/>
              </w:rPr>
            </w:pPr>
            <w:r>
              <w:rPr>
                <w:rFonts w:ascii="Arial Narrow" w:hAnsi="Arial Narrow"/>
                <w:sz w:val="20"/>
              </w:rPr>
              <w:t>2.89</w:t>
            </w:r>
          </w:p>
        </w:tc>
        <w:tc>
          <w:tcPr>
            <w:tcW w:w="1017" w:type="pct"/>
          </w:tcPr>
          <w:p w:rsidR="005D0276" w:rsidRPr="00523EE6" w:rsidRDefault="005D0276" w:rsidP="00323E7A">
            <w:pPr>
              <w:keepNext/>
              <w:widowControl/>
              <w:ind w:right="115"/>
              <w:jc w:val="center"/>
              <w:rPr>
                <w:rFonts w:ascii="Arial Narrow" w:hAnsi="Arial Narrow"/>
                <w:sz w:val="20"/>
              </w:rPr>
            </w:pPr>
            <w:r>
              <w:rPr>
                <w:rFonts w:ascii="Arial Narrow" w:hAnsi="Arial Narrow"/>
                <w:sz w:val="20"/>
              </w:rPr>
              <w:t>-</w:t>
            </w:r>
          </w:p>
        </w:tc>
      </w:tr>
      <w:tr w:rsidR="005D0276" w:rsidRPr="00523EE6" w:rsidTr="00FA6362">
        <w:tc>
          <w:tcPr>
            <w:tcW w:w="5000" w:type="pct"/>
            <w:gridSpan w:val="5"/>
            <w:vAlign w:val="center"/>
          </w:tcPr>
          <w:p w:rsidR="005D0276" w:rsidRPr="001A16A5" w:rsidRDefault="005D0276" w:rsidP="00323E7A">
            <w:pPr>
              <w:keepNext/>
              <w:widowControl/>
              <w:ind w:right="115"/>
              <w:jc w:val="left"/>
              <w:rPr>
                <w:rFonts w:ascii="Arial Narrow" w:hAnsi="Arial Narrow"/>
                <w:b/>
                <w:sz w:val="20"/>
              </w:rPr>
            </w:pPr>
            <w:r>
              <w:rPr>
                <w:rFonts w:ascii="Arial Narrow" w:hAnsi="Arial Narrow"/>
                <w:b/>
                <w:sz w:val="20"/>
              </w:rPr>
              <w:t>Progression-free survival - MDX010-20 - ipilimumab</w:t>
            </w:r>
          </w:p>
        </w:tc>
      </w:tr>
      <w:tr w:rsidR="005D0276" w:rsidRPr="00523EE6" w:rsidTr="00FA6362">
        <w:tc>
          <w:tcPr>
            <w:tcW w:w="933" w:type="pct"/>
          </w:tcPr>
          <w:p w:rsidR="005D0276" w:rsidRDefault="005D0276" w:rsidP="00323E7A">
            <w:pPr>
              <w:keepNext/>
              <w:widowControl/>
              <w:ind w:right="-170"/>
              <w:jc w:val="left"/>
              <w:rPr>
                <w:rFonts w:ascii="Arial Narrow" w:hAnsi="Arial Narrow"/>
                <w:sz w:val="20"/>
              </w:rPr>
            </w:pPr>
          </w:p>
        </w:tc>
        <w:tc>
          <w:tcPr>
            <w:tcW w:w="1018" w:type="pct"/>
          </w:tcPr>
          <w:p w:rsidR="005D0276" w:rsidRPr="00523EE6" w:rsidRDefault="005D0276" w:rsidP="00323E7A">
            <w:pPr>
              <w:keepNext/>
              <w:widowControl/>
              <w:ind w:right="-170"/>
              <w:jc w:val="center"/>
              <w:rPr>
                <w:rFonts w:ascii="Arial Narrow" w:hAnsi="Arial Narrow"/>
                <w:sz w:val="20"/>
              </w:rPr>
            </w:pPr>
            <w:r w:rsidRPr="00CC3301">
              <w:rPr>
                <w:rFonts w:ascii="Arial Narrow" w:hAnsi="Arial Narrow"/>
                <w:b/>
                <w:sz w:val="20"/>
              </w:rPr>
              <w:t>Ipi n/N (%)</w:t>
            </w:r>
          </w:p>
        </w:tc>
        <w:tc>
          <w:tcPr>
            <w:tcW w:w="1015" w:type="pct"/>
          </w:tcPr>
          <w:p w:rsidR="005D0276" w:rsidRPr="00523EE6" w:rsidRDefault="005D0276" w:rsidP="00323E7A">
            <w:pPr>
              <w:keepNext/>
              <w:widowControl/>
              <w:ind w:right="-170"/>
              <w:jc w:val="center"/>
              <w:rPr>
                <w:rFonts w:ascii="Arial Narrow" w:hAnsi="Arial Narrow"/>
                <w:sz w:val="20"/>
              </w:rPr>
            </w:pPr>
            <w:r w:rsidRPr="00CC3301">
              <w:rPr>
                <w:rFonts w:ascii="Arial Narrow" w:hAnsi="Arial Narrow"/>
                <w:b/>
                <w:sz w:val="20"/>
              </w:rPr>
              <w:t>gp100 n/N (%)</w:t>
            </w:r>
          </w:p>
        </w:tc>
        <w:tc>
          <w:tcPr>
            <w:tcW w:w="1018" w:type="pct"/>
            <w:vAlign w:val="center"/>
          </w:tcPr>
          <w:p w:rsidR="005D0276" w:rsidRPr="00523EE6" w:rsidRDefault="005D0276" w:rsidP="00323E7A">
            <w:pPr>
              <w:keepNext/>
              <w:widowControl/>
              <w:ind w:right="115"/>
              <w:jc w:val="center"/>
              <w:rPr>
                <w:rFonts w:ascii="Arial Narrow" w:hAnsi="Arial Narrow"/>
                <w:sz w:val="20"/>
              </w:rPr>
            </w:pPr>
          </w:p>
        </w:tc>
        <w:tc>
          <w:tcPr>
            <w:tcW w:w="1017" w:type="pct"/>
            <w:vAlign w:val="center"/>
          </w:tcPr>
          <w:p w:rsidR="005D0276" w:rsidRPr="00523EE6" w:rsidRDefault="005D0276" w:rsidP="00323E7A">
            <w:pPr>
              <w:keepNext/>
              <w:widowControl/>
              <w:ind w:right="115"/>
              <w:jc w:val="center"/>
              <w:rPr>
                <w:rFonts w:ascii="Arial Narrow" w:hAnsi="Arial Narrow"/>
                <w:sz w:val="20"/>
              </w:rPr>
            </w:pPr>
          </w:p>
        </w:tc>
      </w:tr>
      <w:tr w:rsidR="005D0276" w:rsidRPr="00523EE6" w:rsidTr="00FA6362">
        <w:tc>
          <w:tcPr>
            <w:tcW w:w="933" w:type="pct"/>
          </w:tcPr>
          <w:p w:rsidR="005D0276" w:rsidRPr="00523EE6" w:rsidRDefault="005D0276" w:rsidP="00323E7A">
            <w:pPr>
              <w:keepNext/>
              <w:widowControl/>
              <w:ind w:right="-170"/>
              <w:jc w:val="left"/>
              <w:rPr>
                <w:rFonts w:ascii="Arial Narrow" w:hAnsi="Arial Narrow"/>
                <w:sz w:val="20"/>
              </w:rPr>
            </w:pPr>
            <w:r>
              <w:rPr>
                <w:rFonts w:ascii="Arial Narrow" w:hAnsi="Arial Narrow"/>
                <w:sz w:val="20"/>
              </w:rPr>
              <w:t>Progressed</w:t>
            </w:r>
          </w:p>
        </w:tc>
        <w:tc>
          <w:tcPr>
            <w:tcW w:w="1018" w:type="pct"/>
          </w:tcPr>
          <w:p w:rsidR="005D0276" w:rsidRPr="00523EE6" w:rsidRDefault="005D0276" w:rsidP="00323E7A">
            <w:pPr>
              <w:keepNext/>
              <w:widowControl/>
              <w:ind w:right="-170"/>
              <w:jc w:val="center"/>
              <w:rPr>
                <w:rFonts w:ascii="Arial Narrow" w:hAnsi="Arial Narrow"/>
                <w:sz w:val="20"/>
              </w:rPr>
            </w:pPr>
            <w:r>
              <w:rPr>
                <w:rFonts w:ascii="Arial Narrow" w:hAnsi="Arial Narrow"/>
                <w:sz w:val="20"/>
              </w:rPr>
              <w:t>122/137 (89.1%)</w:t>
            </w:r>
          </w:p>
        </w:tc>
        <w:tc>
          <w:tcPr>
            <w:tcW w:w="1015" w:type="pct"/>
          </w:tcPr>
          <w:p w:rsidR="005D0276" w:rsidRPr="00523EE6" w:rsidRDefault="005D0276" w:rsidP="00323E7A">
            <w:pPr>
              <w:keepNext/>
              <w:widowControl/>
              <w:ind w:right="-170"/>
              <w:jc w:val="center"/>
              <w:rPr>
                <w:rFonts w:ascii="Arial Narrow" w:hAnsi="Arial Narrow"/>
                <w:sz w:val="20"/>
              </w:rPr>
            </w:pPr>
            <w:r>
              <w:rPr>
                <w:rFonts w:ascii="Arial Narrow" w:hAnsi="Arial Narrow"/>
                <w:sz w:val="20"/>
              </w:rPr>
              <w:t>127/136 (93.4%)</w:t>
            </w:r>
          </w:p>
        </w:tc>
        <w:tc>
          <w:tcPr>
            <w:tcW w:w="1018" w:type="pct"/>
          </w:tcPr>
          <w:p w:rsidR="005D0276" w:rsidRPr="00523EE6" w:rsidRDefault="005D0276" w:rsidP="00323E7A">
            <w:pPr>
              <w:keepNext/>
              <w:widowControl/>
              <w:ind w:right="115"/>
              <w:jc w:val="center"/>
              <w:rPr>
                <w:rFonts w:ascii="Arial Narrow" w:hAnsi="Arial Narrow"/>
                <w:sz w:val="20"/>
              </w:rPr>
            </w:pPr>
            <w:r>
              <w:rPr>
                <w:rFonts w:ascii="Arial Narrow" w:hAnsi="Arial Narrow"/>
                <w:sz w:val="20"/>
              </w:rPr>
              <w:t>-</w:t>
            </w:r>
          </w:p>
        </w:tc>
        <w:tc>
          <w:tcPr>
            <w:tcW w:w="1017" w:type="pct"/>
          </w:tcPr>
          <w:p w:rsidR="005D0276" w:rsidRPr="00523EE6" w:rsidRDefault="005D0276" w:rsidP="00323E7A">
            <w:pPr>
              <w:keepNext/>
              <w:widowControl/>
              <w:ind w:right="115"/>
              <w:jc w:val="center"/>
              <w:rPr>
                <w:rFonts w:ascii="Arial Narrow" w:hAnsi="Arial Narrow"/>
                <w:sz w:val="20"/>
              </w:rPr>
            </w:pPr>
            <w:r>
              <w:rPr>
                <w:rFonts w:ascii="Arial Narrow" w:hAnsi="Arial Narrow"/>
                <w:sz w:val="20"/>
              </w:rPr>
              <w:t>0.64 (0.50, 0.83)</w:t>
            </w:r>
          </w:p>
        </w:tc>
      </w:tr>
      <w:tr w:rsidR="005D0276" w:rsidRPr="00523EE6" w:rsidTr="00FA6362">
        <w:tc>
          <w:tcPr>
            <w:tcW w:w="933" w:type="pct"/>
          </w:tcPr>
          <w:p w:rsidR="005D0276" w:rsidRPr="00523EE6" w:rsidRDefault="005D0276" w:rsidP="00323E7A">
            <w:pPr>
              <w:keepNext/>
              <w:widowControl/>
              <w:ind w:right="-170"/>
              <w:jc w:val="left"/>
              <w:rPr>
                <w:rFonts w:ascii="Arial Narrow" w:hAnsi="Arial Narrow"/>
                <w:sz w:val="20"/>
              </w:rPr>
            </w:pPr>
            <w:r>
              <w:rPr>
                <w:rFonts w:ascii="Arial Narrow" w:hAnsi="Arial Narrow"/>
                <w:sz w:val="20"/>
              </w:rPr>
              <w:t>PFS median months</w:t>
            </w:r>
          </w:p>
        </w:tc>
        <w:tc>
          <w:tcPr>
            <w:tcW w:w="1018" w:type="pct"/>
          </w:tcPr>
          <w:p w:rsidR="005D0276" w:rsidRPr="00523EE6" w:rsidRDefault="005D0276" w:rsidP="00323E7A">
            <w:pPr>
              <w:keepNext/>
              <w:widowControl/>
              <w:ind w:right="-170"/>
              <w:jc w:val="center"/>
              <w:rPr>
                <w:rFonts w:ascii="Arial Narrow" w:hAnsi="Arial Narrow"/>
                <w:sz w:val="20"/>
              </w:rPr>
            </w:pPr>
            <w:r>
              <w:rPr>
                <w:rFonts w:ascii="Arial Narrow" w:hAnsi="Arial Narrow"/>
                <w:sz w:val="20"/>
              </w:rPr>
              <w:t>2.86 (2.76, 3.02)</w:t>
            </w:r>
          </w:p>
        </w:tc>
        <w:tc>
          <w:tcPr>
            <w:tcW w:w="1015" w:type="pct"/>
          </w:tcPr>
          <w:p w:rsidR="005D0276" w:rsidRPr="00523EE6" w:rsidRDefault="005D0276" w:rsidP="00323E7A">
            <w:pPr>
              <w:keepNext/>
              <w:widowControl/>
              <w:ind w:right="-170"/>
              <w:jc w:val="center"/>
              <w:rPr>
                <w:rFonts w:ascii="Arial Narrow" w:hAnsi="Arial Narrow"/>
                <w:sz w:val="20"/>
              </w:rPr>
            </w:pPr>
            <w:r>
              <w:rPr>
                <w:rFonts w:ascii="Arial Narrow" w:hAnsi="Arial Narrow"/>
                <w:sz w:val="20"/>
              </w:rPr>
              <w:t>2.76 (2.73, 2.83)</w:t>
            </w:r>
          </w:p>
        </w:tc>
        <w:tc>
          <w:tcPr>
            <w:tcW w:w="1018" w:type="pct"/>
          </w:tcPr>
          <w:p w:rsidR="005D0276" w:rsidRPr="00523EE6" w:rsidRDefault="005D0276" w:rsidP="00323E7A">
            <w:pPr>
              <w:keepNext/>
              <w:widowControl/>
              <w:ind w:right="115"/>
              <w:jc w:val="center"/>
              <w:rPr>
                <w:rFonts w:ascii="Arial Narrow" w:hAnsi="Arial Narrow"/>
                <w:sz w:val="20"/>
              </w:rPr>
            </w:pPr>
            <w:r>
              <w:rPr>
                <w:rFonts w:ascii="Arial Narrow" w:hAnsi="Arial Narrow"/>
                <w:sz w:val="20"/>
              </w:rPr>
              <w:t>0.10</w:t>
            </w:r>
          </w:p>
        </w:tc>
        <w:tc>
          <w:tcPr>
            <w:tcW w:w="1017" w:type="pct"/>
          </w:tcPr>
          <w:p w:rsidR="005D0276" w:rsidRPr="00523EE6" w:rsidRDefault="005D0276" w:rsidP="00323E7A">
            <w:pPr>
              <w:keepNext/>
              <w:widowControl/>
              <w:ind w:right="115"/>
              <w:jc w:val="center"/>
              <w:rPr>
                <w:rFonts w:ascii="Arial Narrow" w:hAnsi="Arial Narrow"/>
                <w:sz w:val="20"/>
              </w:rPr>
            </w:pPr>
            <w:r>
              <w:rPr>
                <w:rFonts w:ascii="Arial Narrow" w:hAnsi="Arial Narrow"/>
                <w:sz w:val="20"/>
              </w:rPr>
              <w:t>-</w:t>
            </w:r>
          </w:p>
        </w:tc>
      </w:tr>
      <w:tr w:rsidR="005D0276" w:rsidRPr="00523EE6" w:rsidTr="00FA6362">
        <w:tc>
          <w:tcPr>
            <w:tcW w:w="3983" w:type="pct"/>
            <w:gridSpan w:val="4"/>
            <w:vAlign w:val="center"/>
          </w:tcPr>
          <w:p w:rsidR="005D0276" w:rsidRPr="001A16A5" w:rsidRDefault="005D0276" w:rsidP="00323E7A">
            <w:pPr>
              <w:keepNext/>
              <w:widowControl/>
              <w:ind w:right="115"/>
              <w:jc w:val="left"/>
              <w:rPr>
                <w:rFonts w:ascii="Arial Narrow" w:hAnsi="Arial Narrow"/>
                <w:b/>
                <w:sz w:val="20"/>
              </w:rPr>
            </w:pPr>
            <w:r>
              <w:rPr>
                <w:rFonts w:ascii="Arial Narrow" w:hAnsi="Arial Narrow"/>
                <w:b/>
                <w:sz w:val="20"/>
              </w:rPr>
              <w:t xml:space="preserve">Indirect comparison progression-free survival </w:t>
            </w:r>
            <w:r w:rsidR="00E55587">
              <w:rPr>
                <w:rFonts w:ascii="Arial Narrow" w:hAnsi="Arial Narrow"/>
                <w:b/>
                <w:sz w:val="20"/>
              </w:rPr>
              <w:t>-</w:t>
            </w:r>
            <w:r>
              <w:rPr>
                <w:rFonts w:ascii="Arial Narrow" w:hAnsi="Arial Narrow"/>
                <w:b/>
                <w:sz w:val="20"/>
              </w:rPr>
              <w:t xml:space="preserve"> nivo vs. ipi</w:t>
            </w:r>
          </w:p>
        </w:tc>
        <w:tc>
          <w:tcPr>
            <w:tcW w:w="1017" w:type="pct"/>
            <w:vAlign w:val="center"/>
          </w:tcPr>
          <w:p w:rsidR="005D0276" w:rsidRPr="001A16A5" w:rsidRDefault="005D0276" w:rsidP="00323E7A">
            <w:pPr>
              <w:keepNext/>
              <w:widowControl/>
              <w:ind w:right="115"/>
              <w:jc w:val="center"/>
              <w:rPr>
                <w:rFonts w:ascii="Arial Narrow" w:hAnsi="Arial Narrow"/>
                <w:b/>
                <w:sz w:val="20"/>
              </w:rPr>
            </w:pPr>
            <w:r w:rsidRPr="00DC2AA1">
              <w:rPr>
                <w:rFonts w:ascii="Arial Narrow" w:hAnsi="Arial Narrow"/>
                <w:b/>
                <w:sz w:val="20"/>
              </w:rPr>
              <w:t>0.67 (0.47, 0.96)</w:t>
            </w:r>
          </w:p>
        </w:tc>
      </w:tr>
    </w:tbl>
    <w:p w:rsidR="005D0276" w:rsidRDefault="005D0276" w:rsidP="00323E7A">
      <w:pPr>
        <w:pStyle w:val="TableFooter"/>
        <w:widowControl/>
        <w:ind w:left="709"/>
      </w:pPr>
      <w:r>
        <w:t>Source:  Table 23, p87; Table 24, p88; Table 25, p90 and Table 26, p91 of the submission</w:t>
      </w:r>
    </w:p>
    <w:p w:rsidR="005D0276" w:rsidRPr="005E1BAA" w:rsidRDefault="005D0276" w:rsidP="00323E7A">
      <w:pPr>
        <w:pStyle w:val="TableFooter"/>
        <w:widowControl/>
        <w:ind w:left="709"/>
      </w:pPr>
      <w:r>
        <w:t>DTIC=dacarbazine; HR=hazard ratio; Ipi=ipilimumab; Nivo=nivolumab</w:t>
      </w:r>
    </w:p>
    <w:p w:rsidR="005D0276" w:rsidRPr="005D0276" w:rsidRDefault="005D0276" w:rsidP="00323E7A">
      <w:pPr>
        <w:widowControl/>
        <w:rPr>
          <w:szCs w:val="22"/>
        </w:rPr>
      </w:pPr>
    </w:p>
    <w:p w:rsidR="00CF0BE1" w:rsidRPr="006C03DC" w:rsidRDefault="00CF0BE1" w:rsidP="00323E7A">
      <w:pPr>
        <w:pStyle w:val="ListParagraph"/>
        <w:widowControl/>
        <w:numPr>
          <w:ilvl w:val="1"/>
          <w:numId w:val="23"/>
        </w:numPr>
        <w:ind w:left="709" w:hanging="709"/>
        <w:rPr>
          <w:szCs w:val="22"/>
        </w:rPr>
      </w:pPr>
      <w:r w:rsidRPr="006C03DC">
        <w:rPr>
          <w:szCs w:val="22"/>
        </w:rPr>
        <w:t xml:space="preserve">The indirect </w:t>
      </w:r>
      <w:r w:rsidRPr="001E5B06">
        <w:t>comparisons</w:t>
      </w:r>
      <w:r w:rsidRPr="006C03DC">
        <w:rPr>
          <w:szCs w:val="22"/>
        </w:rPr>
        <w:t xml:space="preserve"> indicated a statistically significant advantage for nivolumab </w:t>
      </w:r>
      <w:r w:rsidRPr="004A053A">
        <w:rPr>
          <w:szCs w:val="22"/>
        </w:rPr>
        <w:t>compared to ipilimumab for OS and PFS.  The results of both analyses ha</w:t>
      </w:r>
      <w:r w:rsidR="001E5B06" w:rsidRPr="004A053A">
        <w:rPr>
          <w:szCs w:val="22"/>
        </w:rPr>
        <w:t>d</w:t>
      </w:r>
      <w:r w:rsidRPr="004A053A">
        <w:rPr>
          <w:szCs w:val="22"/>
        </w:rPr>
        <w:t xml:space="preserve"> borderline significance, with the upper confidence </w:t>
      </w:r>
      <w:r w:rsidR="00E55587" w:rsidRPr="004A053A">
        <w:rPr>
          <w:szCs w:val="22"/>
        </w:rPr>
        <w:t>limit</w:t>
      </w:r>
      <w:r w:rsidRPr="004A053A">
        <w:rPr>
          <w:szCs w:val="22"/>
        </w:rPr>
        <w:t xml:space="preserve">s close to 1 (0.99 for OS; 0.96 for PFS).  </w:t>
      </w:r>
      <w:r w:rsidR="001E5B06" w:rsidRPr="004A053A">
        <w:rPr>
          <w:szCs w:val="22"/>
        </w:rPr>
        <w:t>Interpretation of these results was hindered by</w:t>
      </w:r>
      <w:r w:rsidRPr="004A053A">
        <w:rPr>
          <w:szCs w:val="22"/>
        </w:rPr>
        <w:t xml:space="preserve"> the </w:t>
      </w:r>
      <w:r w:rsidR="00E55587" w:rsidRPr="004A053A">
        <w:rPr>
          <w:szCs w:val="22"/>
        </w:rPr>
        <w:t>poor exchangeability</w:t>
      </w:r>
      <w:r w:rsidRPr="004A053A">
        <w:rPr>
          <w:szCs w:val="22"/>
        </w:rPr>
        <w:t xml:space="preserve"> between the trials</w:t>
      </w:r>
      <w:r w:rsidR="000438E4" w:rsidRPr="004A053A">
        <w:rPr>
          <w:szCs w:val="22"/>
        </w:rPr>
        <w:t>, particularly the healthier population in the nivolumab trial</w:t>
      </w:r>
      <w:r w:rsidRPr="004A053A">
        <w:rPr>
          <w:szCs w:val="22"/>
        </w:rPr>
        <w:t>.</w:t>
      </w:r>
    </w:p>
    <w:p w:rsidR="00CF0BE1" w:rsidRPr="006C03DC" w:rsidRDefault="00CF0BE1" w:rsidP="00323E7A">
      <w:pPr>
        <w:widowControl/>
        <w:rPr>
          <w:szCs w:val="22"/>
        </w:rPr>
      </w:pPr>
    </w:p>
    <w:p w:rsidR="002B6104" w:rsidRPr="006C03DC" w:rsidRDefault="00CF0BE1" w:rsidP="00323E7A">
      <w:pPr>
        <w:pStyle w:val="ListParagraph"/>
        <w:widowControl/>
        <w:numPr>
          <w:ilvl w:val="1"/>
          <w:numId w:val="23"/>
        </w:numPr>
        <w:ind w:left="709" w:hanging="709"/>
        <w:rPr>
          <w:szCs w:val="22"/>
        </w:rPr>
      </w:pPr>
      <w:r w:rsidRPr="006C03DC">
        <w:rPr>
          <w:szCs w:val="22"/>
        </w:rPr>
        <w:t xml:space="preserve">Overall survival curves from the nivolumab and ipilimumab trials are provided below.  The submission claimed that comparison of the nivolumab and ipilimumab arms in the curves suggest that nivolumab appears to be superior.  </w:t>
      </w:r>
      <w:r w:rsidR="007941BF" w:rsidRPr="006C03DC">
        <w:t>T</w:t>
      </w:r>
      <w:r w:rsidRPr="006C03DC">
        <w:t xml:space="preserve">he time frame of the figures </w:t>
      </w:r>
      <w:r w:rsidR="001E5B06">
        <w:t>wa</w:t>
      </w:r>
      <w:r w:rsidRPr="006C03DC">
        <w:t xml:space="preserve">s different, with the nivolumab Kaplan-Meier curve extending over </w:t>
      </w:r>
      <w:r w:rsidR="007428AB" w:rsidRPr="006C03DC">
        <w:t>1</w:t>
      </w:r>
      <w:r w:rsidR="00A878E9" w:rsidRPr="006C03DC">
        <w:t>6</w:t>
      </w:r>
      <w:r w:rsidR="00323E7A">
        <w:t> </w:t>
      </w:r>
      <w:r w:rsidRPr="006C03DC">
        <w:t xml:space="preserve">months and the ipilimumab curve over </w:t>
      </w:r>
      <w:r w:rsidR="00A878E9" w:rsidRPr="006C03DC">
        <w:t xml:space="preserve">55 </w:t>
      </w:r>
      <w:r w:rsidRPr="006C03DC">
        <w:t>months.</w:t>
      </w:r>
    </w:p>
    <w:p w:rsidR="002B6104" w:rsidRDefault="002B6104" w:rsidP="00323E7A">
      <w:pPr>
        <w:widowControl/>
        <w:rPr>
          <w:szCs w:val="22"/>
        </w:rPr>
      </w:pPr>
    </w:p>
    <w:p w:rsidR="00DB11E4" w:rsidRPr="00314C40" w:rsidRDefault="000C6E04" w:rsidP="00323E7A">
      <w:pPr>
        <w:keepNext/>
        <w:widowControl/>
        <w:ind w:left="709"/>
        <w:rPr>
          <w:rFonts w:ascii="Arial Narrow" w:hAnsi="Arial Narrow"/>
          <w:b/>
          <w:sz w:val="20"/>
          <w:szCs w:val="20"/>
        </w:rPr>
      </w:pPr>
      <w:r>
        <w:rPr>
          <w:rFonts w:ascii="Arial Narrow" w:hAnsi="Arial Narrow"/>
          <w:b/>
          <w:sz w:val="20"/>
          <w:szCs w:val="20"/>
        </w:rPr>
        <w:lastRenderedPageBreak/>
        <w:t xml:space="preserve">Figure 1: </w:t>
      </w:r>
      <w:r w:rsidR="00DB11E4" w:rsidRPr="00314C40">
        <w:rPr>
          <w:rFonts w:ascii="Arial Narrow" w:hAnsi="Arial Narrow"/>
          <w:b/>
          <w:sz w:val="20"/>
          <w:szCs w:val="20"/>
        </w:rPr>
        <w:t>Kaplan-Meier curves overall survival CA209-066 - nivolumab</w:t>
      </w:r>
    </w:p>
    <w:p w:rsidR="00DB11E4" w:rsidRPr="00963B06" w:rsidRDefault="00DB11E4" w:rsidP="00323E7A">
      <w:pPr>
        <w:pStyle w:val="BodyText1"/>
        <w:keepNext/>
        <w:widowControl/>
        <w:spacing w:after="0" w:line="240" w:lineRule="auto"/>
        <w:ind w:left="709"/>
        <w:jc w:val="left"/>
      </w:pPr>
      <w:r w:rsidRPr="00963B06">
        <w:rPr>
          <w:noProof/>
        </w:rPr>
        <w:drawing>
          <wp:inline distT="0" distB="0" distL="0" distR="0" wp14:anchorId="09041724" wp14:editId="7CF8848F">
            <wp:extent cx="4893635" cy="3853180"/>
            <wp:effectExtent l="19050" t="19050" r="21590" b="13970"/>
            <wp:docPr id="3" name="Picture 3" title="Kaplan-Meier curves overall survival CA209-066 - nivolum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900445" cy="3858542"/>
                    </a:xfrm>
                    <a:prstGeom prst="rect">
                      <a:avLst/>
                    </a:prstGeom>
                    <a:noFill/>
                    <a:ln w="9525">
                      <a:solidFill>
                        <a:schemeClr val="tx1"/>
                      </a:solidFill>
                      <a:miter lim="800000"/>
                      <a:headEnd/>
                      <a:tailEnd/>
                    </a:ln>
                  </pic:spPr>
                </pic:pic>
              </a:graphicData>
            </a:graphic>
          </wp:inline>
        </w:drawing>
      </w:r>
    </w:p>
    <w:p w:rsidR="00DB11E4" w:rsidRPr="00EF0CE9" w:rsidRDefault="00DB11E4" w:rsidP="00323E7A">
      <w:pPr>
        <w:pStyle w:val="TableFooter"/>
        <w:keepNext/>
        <w:widowControl/>
        <w:ind w:left="709"/>
        <w:rPr>
          <w:rFonts w:ascii="Arial" w:hAnsi="Arial"/>
        </w:rPr>
      </w:pPr>
      <w:r w:rsidRPr="00EF0CE9">
        <w:rPr>
          <w:rFonts w:ascii="Arial" w:hAnsi="Arial"/>
        </w:rPr>
        <w:t xml:space="preserve">Source: </w:t>
      </w:r>
      <w:r>
        <w:t>Figure 9, p86 of the submission</w:t>
      </w:r>
    </w:p>
    <w:p w:rsidR="00DB11E4" w:rsidRPr="00F00C4E" w:rsidRDefault="00DB11E4" w:rsidP="00323E7A">
      <w:pPr>
        <w:widowControl/>
        <w:rPr>
          <w:sz w:val="8"/>
        </w:rPr>
      </w:pPr>
    </w:p>
    <w:p w:rsidR="00DB11E4" w:rsidRPr="00314C40" w:rsidRDefault="00DB11E4" w:rsidP="00323E7A">
      <w:pPr>
        <w:keepNext/>
        <w:widowControl/>
        <w:ind w:left="709"/>
        <w:rPr>
          <w:rFonts w:ascii="Arial Narrow" w:hAnsi="Arial Narrow"/>
          <w:b/>
          <w:sz w:val="20"/>
          <w:szCs w:val="20"/>
        </w:rPr>
      </w:pPr>
      <w:r w:rsidRPr="00314C40">
        <w:rPr>
          <w:rFonts w:ascii="Arial Narrow" w:hAnsi="Arial Narrow"/>
          <w:b/>
          <w:sz w:val="20"/>
          <w:szCs w:val="20"/>
        </w:rPr>
        <w:t xml:space="preserve">Figure </w:t>
      </w:r>
      <w:r>
        <w:rPr>
          <w:rFonts w:ascii="Arial Narrow" w:hAnsi="Arial Narrow"/>
          <w:b/>
          <w:sz w:val="20"/>
          <w:szCs w:val="20"/>
        </w:rPr>
        <w:t>2</w:t>
      </w:r>
      <w:r w:rsidRPr="00314C40">
        <w:rPr>
          <w:rFonts w:ascii="Arial Narrow" w:hAnsi="Arial Narrow"/>
          <w:b/>
          <w:sz w:val="20"/>
          <w:szCs w:val="20"/>
        </w:rPr>
        <w:t xml:space="preserve">: Kaplan-Meier curves overall survival </w:t>
      </w:r>
      <w:r>
        <w:rPr>
          <w:rFonts w:ascii="Arial Narrow" w:hAnsi="Arial Narrow"/>
          <w:b/>
          <w:sz w:val="20"/>
          <w:szCs w:val="20"/>
        </w:rPr>
        <w:t>MDX010-20 - ipilimumab</w:t>
      </w:r>
    </w:p>
    <w:p w:rsidR="00DB11E4" w:rsidRPr="00963B06" w:rsidRDefault="00DB11E4" w:rsidP="00323E7A">
      <w:pPr>
        <w:widowControl/>
        <w:ind w:left="709"/>
        <w:rPr>
          <w:lang w:eastAsia="ja-JP"/>
        </w:rPr>
      </w:pPr>
      <w:r w:rsidRPr="00963B06">
        <w:rPr>
          <w:noProof/>
          <w:lang w:eastAsia="en-AU"/>
        </w:rPr>
        <w:drawing>
          <wp:inline distT="0" distB="0" distL="0" distR="0" wp14:anchorId="650262E6" wp14:editId="279902A0">
            <wp:extent cx="4893635" cy="3514598"/>
            <wp:effectExtent l="19050" t="19050" r="21590" b="10160"/>
            <wp:docPr id="6" name="Picture 2" title="Kaplan-Meier curves overall survival MDX010-20 - ipilimum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903894" cy="3521966"/>
                    </a:xfrm>
                    <a:prstGeom prst="rect">
                      <a:avLst/>
                    </a:prstGeom>
                    <a:noFill/>
                    <a:ln w="9525">
                      <a:solidFill>
                        <a:schemeClr val="tx1"/>
                      </a:solidFill>
                      <a:miter lim="800000"/>
                      <a:headEnd/>
                      <a:tailEnd/>
                    </a:ln>
                  </pic:spPr>
                </pic:pic>
              </a:graphicData>
            </a:graphic>
          </wp:inline>
        </w:drawing>
      </w:r>
    </w:p>
    <w:p w:rsidR="00DB11E4" w:rsidRDefault="00DB11E4" w:rsidP="00323E7A">
      <w:pPr>
        <w:pStyle w:val="TableFooter"/>
        <w:widowControl/>
        <w:ind w:left="709"/>
      </w:pPr>
      <w:r>
        <w:t>Source:  Figure 10, p87 of the submission</w:t>
      </w:r>
    </w:p>
    <w:p w:rsidR="002B6104" w:rsidRPr="002B6104" w:rsidRDefault="002B6104" w:rsidP="00323E7A">
      <w:pPr>
        <w:widowControl/>
        <w:rPr>
          <w:szCs w:val="22"/>
        </w:rPr>
      </w:pPr>
    </w:p>
    <w:p w:rsidR="005D0276" w:rsidRDefault="002B6104" w:rsidP="00323E7A">
      <w:pPr>
        <w:pStyle w:val="ListParagraph"/>
        <w:widowControl/>
        <w:numPr>
          <w:ilvl w:val="1"/>
          <w:numId w:val="23"/>
        </w:numPr>
        <w:ind w:left="709" w:hanging="709"/>
      </w:pPr>
      <w:r w:rsidRPr="006C03DC">
        <w:lastRenderedPageBreak/>
        <w:t>The submission presented an informal comparison</w:t>
      </w:r>
      <w:r w:rsidR="003C485F" w:rsidRPr="006C03DC">
        <w:t xml:space="preserve"> of nivolumab and pembr</w:t>
      </w:r>
      <w:r w:rsidRPr="006C03DC">
        <w:t xml:space="preserve">olizumab in an attachment to the submission.  This informal comparison consisted solely of tabled data from CA209-066 for nivolumab and KN-001 and KN-006 for pembrolizumab.  No statistical comparisons of the data were provided, nor was there any discussion of similarities and differences between the trials.  As such, the comparison presented by the submission was </w:t>
      </w:r>
      <w:r w:rsidR="00EC2D59" w:rsidRPr="006C03DC">
        <w:t>limited</w:t>
      </w:r>
      <w:r w:rsidRPr="006C03DC">
        <w:t>.</w:t>
      </w:r>
    </w:p>
    <w:p w:rsidR="001A16A5" w:rsidRPr="00F00C4E" w:rsidRDefault="001A16A5" w:rsidP="00323E7A">
      <w:pPr>
        <w:widowControl/>
        <w:rPr>
          <w:sz w:val="18"/>
        </w:rPr>
      </w:pPr>
    </w:p>
    <w:p w:rsidR="00B60939" w:rsidRPr="002C2775" w:rsidRDefault="00B60939" w:rsidP="00323E7A">
      <w:pPr>
        <w:pStyle w:val="Heading2"/>
        <w:widowControl/>
        <w:rPr>
          <w:i/>
        </w:rPr>
      </w:pPr>
      <w:bookmarkStart w:id="10" w:name="_Toc419885972"/>
      <w:r w:rsidRPr="002C2775">
        <w:rPr>
          <w:i/>
        </w:rPr>
        <w:t>Comparative harms</w:t>
      </w:r>
      <w:bookmarkEnd w:id="10"/>
    </w:p>
    <w:p w:rsidR="00B60939" w:rsidRPr="00F00C4E" w:rsidRDefault="00B60939" w:rsidP="00323E7A">
      <w:pPr>
        <w:widowControl/>
        <w:ind w:left="720" w:hanging="720"/>
        <w:rPr>
          <w:sz w:val="18"/>
          <w:szCs w:val="22"/>
        </w:rPr>
      </w:pPr>
    </w:p>
    <w:p w:rsidR="00B60939" w:rsidRPr="006C03DC" w:rsidRDefault="00090E4A" w:rsidP="00323E7A">
      <w:pPr>
        <w:pStyle w:val="ListParagraph"/>
        <w:widowControl/>
        <w:numPr>
          <w:ilvl w:val="1"/>
          <w:numId w:val="23"/>
        </w:numPr>
        <w:ind w:left="709" w:hanging="709"/>
      </w:pPr>
      <w:r w:rsidRPr="003A3593">
        <w:t>The submission did not provide any statistical comparisons of adverse events</w:t>
      </w:r>
      <w:r w:rsidR="000C7A34" w:rsidRPr="003A3593">
        <w:t xml:space="preserve"> (AEs)</w:t>
      </w:r>
      <w:r w:rsidRPr="003A3593">
        <w:t xml:space="preserve"> on the basis that “….the respective control arms included in the trials are unsuitable </w:t>
      </w:r>
      <w:r w:rsidRPr="006C03DC">
        <w:t>proxies for a common comparator”.</w:t>
      </w:r>
      <w:r w:rsidR="001C2CF6" w:rsidRPr="006C03DC">
        <w:t xml:space="preserve">  The submission presented</w:t>
      </w:r>
      <w:r w:rsidRPr="006C03DC">
        <w:t xml:space="preserve"> only a naïve comparis</w:t>
      </w:r>
      <w:r w:rsidR="001C2CF6" w:rsidRPr="006C03DC">
        <w:t>on of safety outcomes and claimed</w:t>
      </w:r>
      <w:r w:rsidRPr="006C03DC">
        <w:t xml:space="preserve"> that the safety of nivolumab is overall more favourable than that of ipilimumab.  </w:t>
      </w:r>
      <w:r w:rsidR="001C2CF6" w:rsidRPr="006C03DC">
        <w:t>G</w:t>
      </w:r>
      <w:r w:rsidRPr="006C03DC">
        <w:t xml:space="preserve">iven that the same trials, with the same comparators, are used for the submission’s indirect comparison of efficacy outcomes, the submission’s rationale for not conducting an indirect comparison </w:t>
      </w:r>
      <w:r w:rsidR="006B3C0E" w:rsidRPr="006C03DC">
        <w:t>could not</w:t>
      </w:r>
      <w:r w:rsidRPr="006C03DC">
        <w:t xml:space="preserve"> be supported.</w:t>
      </w:r>
      <w:r w:rsidR="006B3C0E" w:rsidRPr="006C03DC">
        <w:t xml:space="preserve">  It was assumed that the premise was that DTIC has greater toxicity than gp100, </w:t>
      </w:r>
      <w:r w:rsidR="00F560F6" w:rsidRPr="006C03DC">
        <w:t>and therefore an indirect comparison was not appropriate.  The same difference across comparators should also have been applied to efficacy.  To maintain consistency with the submission’s approach to efficacy outcomes, indirect comparisons of safety outcomes were conducted during the evaluation and determined that the submission’s conclusion of more favourable safety for nivolumab c</w:t>
      </w:r>
      <w:r w:rsidR="00EC2D59" w:rsidRPr="006C03DC">
        <w:t xml:space="preserve">ould </w:t>
      </w:r>
      <w:r w:rsidR="00F560F6" w:rsidRPr="006C03DC">
        <w:t xml:space="preserve">not be statistically supported across all outcomes.  Table </w:t>
      </w:r>
      <w:r w:rsidR="0061538A" w:rsidRPr="006C03DC">
        <w:t>4</w:t>
      </w:r>
      <w:r w:rsidR="00F560F6" w:rsidRPr="006C03DC">
        <w:t xml:space="preserve"> below provides a summary of adverse events.</w:t>
      </w:r>
    </w:p>
    <w:p w:rsidR="000C7A34" w:rsidRPr="00F00C4E" w:rsidRDefault="000C7A34" w:rsidP="00323E7A">
      <w:pPr>
        <w:widowControl/>
        <w:rPr>
          <w:color w:val="000000"/>
          <w:sz w:val="18"/>
          <w:szCs w:val="22"/>
          <w:shd w:val="clear" w:color="auto" w:fill="FFFFFF"/>
        </w:rPr>
      </w:pPr>
    </w:p>
    <w:p w:rsidR="000C7A34" w:rsidRPr="00EC79FE" w:rsidRDefault="000C7A34" w:rsidP="00323E7A">
      <w:pPr>
        <w:widowControl/>
        <w:ind w:left="709"/>
        <w:rPr>
          <w:rFonts w:ascii="Arial Narrow" w:hAnsi="Arial Narrow"/>
          <w:b/>
          <w:sz w:val="20"/>
        </w:rPr>
      </w:pPr>
      <w:r w:rsidRPr="00EC79FE">
        <w:rPr>
          <w:rFonts w:ascii="Arial Narrow" w:hAnsi="Arial Narrow"/>
          <w:b/>
          <w:sz w:val="20"/>
        </w:rPr>
        <w:t xml:space="preserve">Table </w:t>
      </w:r>
      <w:r w:rsidR="0061538A">
        <w:rPr>
          <w:rFonts w:ascii="Arial Narrow" w:hAnsi="Arial Narrow"/>
          <w:b/>
          <w:sz w:val="20"/>
        </w:rPr>
        <w:t>4</w:t>
      </w:r>
      <w:r w:rsidR="000C6E04">
        <w:rPr>
          <w:rFonts w:ascii="Arial Narrow" w:hAnsi="Arial Narrow"/>
          <w:b/>
          <w:sz w:val="20"/>
        </w:rPr>
        <w:t xml:space="preserve">: </w:t>
      </w:r>
      <w:r w:rsidRPr="00EC79FE">
        <w:rPr>
          <w:rFonts w:ascii="Arial Narrow" w:hAnsi="Arial Narrow"/>
          <w:b/>
          <w:sz w:val="20"/>
        </w:rPr>
        <w:t>Summary of indirect comparison</w:t>
      </w:r>
      <w:r w:rsidRPr="00C06265">
        <w:rPr>
          <w:rFonts w:ascii="Arial Narrow" w:hAnsi="Arial Narrow"/>
          <w:b/>
          <w:sz w:val="20"/>
          <w:vertAlign w:val="superscript"/>
        </w:rPr>
        <w:t>a</w:t>
      </w:r>
      <w:r w:rsidRPr="00EC79FE">
        <w:rPr>
          <w:rFonts w:ascii="Arial Narrow" w:hAnsi="Arial Narrow"/>
          <w:b/>
          <w:sz w:val="20"/>
        </w:rPr>
        <w:t xml:space="preserve"> of nivolumab and ipilimumab – safety outcomes</w:t>
      </w:r>
    </w:p>
    <w:tbl>
      <w:tblPr>
        <w:tblStyle w:val="TableGrid"/>
        <w:tblW w:w="8363" w:type="dxa"/>
        <w:tblInd w:w="817" w:type="dxa"/>
        <w:tblLook w:val="04A0" w:firstRow="1" w:lastRow="0" w:firstColumn="1" w:lastColumn="0" w:noHBand="0" w:noVBand="1"/>
        <w:tblCaption w:val="Table 4  provides a summary of adverse events."/>
      </w:tblPr>
      <w:tblGrid>
        <w:gridCol w:w="2410"/>
        <w:gridCol w:w="1984"/>
        <w:gridCol w:w="2127"/>
        <w:gridCol w:w="1842"/>
      </w:tblGrid>
      <w:tr w:rsidR="000C7A34" w:rsidRPr="00737934" w:rsidTr="007C0924">
        <w:trPr>
          <w:tblHeader/>
        </w:trPr>
        <w:tc>
          <w:tcPr>
            <w:tcW w:w="2410" w:type="dxa"/>
            <w:vMerge w:val="restart"/>
            <w:vAlign w:val="center"/>
          </w:tcPr>
          <w:p w:rsidR="000C7A34" w:rsidRPr="00996B66" w:rsidRDefault="000C7A34" w:rsidP="00323E7A">
            <w:pPr>
              <w:widowControl/>
              <w:tabs>
                <w:tab w:val="left" w:pos="142"/>
              </w:tabs>
              <w:jc w:val="left"/>
              <w:rPr>
                <w:rFonts w:ascii="Arial Narrow" w:hAnsi="Arial Narrow"/>
                <w:b/>
                <w:sz w:val="20"/>
              </w:rPr>
            </w:pPr>
            <w:r w:rsidRPr="00996B66">
              <w:rPr>
                <w:rFonts w:ascii="Arial Narrow" w:hAnsi="Arial Narrow"/>
                <w:b/>
                <w:sz w:val="20"/>
              </w:rPr>
              <w:t>Safety outcome</w:t>
            </w:r>
          </w:p>
        </w:tc>
        <w:tc>
          <w:tcPr>
            <w:tcW w:w="1984" w:type="dxa"/>
            <w:vAlign w:val="center"/>
          </w:tcPr>
          <w:p w:rsidR="000C7A34" w:rsidRPr="00996B66" w:rsidRDefault="000C7A34" w:rsidP="00323E7A">
            <w:pPr>
              <w:widowControl/>
              <w:jc w:val="center"/>
              <w:rPr>
                <w:rFonts w:ascii="Arial Narrow" w:hAnsi="Arial Narrow"/>
                <w:b/>
                <w:sz w:val="20"/>
              </w:rPr>
            </w:pPr>
            <w:r w:rsidRPr="00996B66">
              <w:rPr>
                <w:rFonts w:ascii="Arial Narrow" w:hAnsi="Arial Narrow"/>
                <w:b/>
                <w:sz w:val="20"/>
              </w:rPr>
              <w:t>Nivolumab vs. DTIC (N=411)</w:t>
            </w:r>
          </w:p>
        </w:tc>
        <w:tc>
          <w:tcPr>
            <w:tcW w:w="2127" w:type="dxa"/>
            <w:vAlign w:val="center"/>
          </w:tcPr>
          <w:p w:rsidR="000C7A34" w:rsidRPr="00996B66" w:rsidRDefault="000C7A34" w:rsidP="00323E7A">
            <w:pPr>
              <w:widowControl/>
              <w:jc w:val="center"/>
              <w:rPr>
                <w:rFonts w:ascii="Arial Narrow" w:hAnsi="Arial Narrow"/>
                <w:b/>
                <w:sz w:val="20"/>
              </w:rPr>
            </w:pPr>
            <w:r w:rsidRPr="00996B66">
              <w:rPr>
                <w:rFonts w:ascii="Arial Narrow" w:hAnsi="Arial Narrow"/>
                <w:b/>
                <w:sz w:val="20"/>
              </w:rPr>
              <w:t>Ipilimumab vs. gp100 (N=263)</w:t>
            </w:r>
          </w:p>
        </w:tc>
        <w:tc>
          <w:tcPr>
            <w:tcW w:w="1842" w:type="dxa"/>
            <w:vAlign w:val="center"/>
          </w:tcPr>
          <w:p w:rsidR="000C7A34" w:rsidRPr="00996B66" w:rsidRDefault="000C7A34" w:rsidP="00323E7A">
            <w:pPr>
              <w:widowControl/>
              <w:jc w:val="center"/>
              <w:rPr>
                <w:rFonts w:ascii="Arial Narrow" w:hAnsi="Arial Narrow"/>
                <w:b/>
                <w:sz w:val="20"/>
              </w:rPr>
            </w:pPr>
            <w:r w:rsidRPr="00996B66">
              <w:rPr>
                <w:rFonts w:ascii="Arial Narrow" w:hAnsi="Arial Narrow"/>
                <w:b/>
                <w:sz w:val="20"/>
              </w:rPr>
              <w:t>Indirect comparison</w:t>
            </w:r>
          </w:p>
        </w:tc>
      </w:tr>
      <w:tr w:rsidR="000C7A34" w:rsidRPr="00737934" w:rsidTr="008B41C6">
        <w:tc>
          <w:tcPr>
            <w:tcW w:w="2410" w:type="dxa"/>
            <w:vMerge/>
            <w:vAlign w:val="center"/>
          </w:tcPr>
          <w:p w:rsidR="000C7A34" w:rsidRPr="00996B66" w:rsidRDefault="000C7A34" w:rsidP="00323E7A">
            <w:pPr>
              <w:widowControl/>
              <w:tabs>
                <w:tab w:val="left" w:pos="142"/>
              </w:tabs>
              <w:jc w:val="left"/>
              <w:rPr>
                <w:rFonts w:ascii="Arial Narrow" w:hAnsi="Arial Narrow"/>
                <w:b/>
                <w:sz w:val="20"/>
              </w:rPr>
            </w:pPr>
          </w:p>
        </w:tc>
        <w:tc>
          <w:tcPr>
            <w:tcW w:w="1984" w:type="dxa"/>
            <w:vAlign w:val="center"/>
          </w:tcPr>
          <w:p w:rsidR="000C7A34" w:rsidRPr="00996B66" w:rsidRDefault="000C7A34" w:rsidP="00323E7A">
            <w:pPr>
              <w:widowControl/>
              <w:jc w:val="center"/>
              <w:rPr>
                <w:rFonts w:ascii="Arial Narrow" w:hAnsi="Arial Narrow"/>
                <w:b/>
                <w:sz w:val="20"/>
              </w:rPr>
            </w:pPr>
            <w:r w:rsidRPr="00996B66">
              <w:rPr>
                <w:rFonts w:ascii="Arial Narrow" w:hAnsi="Arial Narrow"/>
                <w:b/>
                <w:sz w:val="20"/>
              </w:rPr>
              <w:t>RR (95% CI)</w:t>
            </w:r>
          </w:p>
        </w:tc>
        <w:tc>
          <w:tcPr>
            <w:tcW w:w="2127" w:type="dxa"/>
            <w:vAlign w:val="center"/>
          </w:tcPr>
          <w:p w:rsidR="000C7A34" w:rsidRPr="00996B66" w:rsidRDefault="000C7A34" w:rsidP="00323E7A">
            <w:pPr>
              <w:widowControl/>
              <w:jc w:val="center"/>
              <w:rPr>
                <w:rFonts w:ascii="Arial Narrow" w:hAnsi="Arial Narrow"/>
                <w:b/>
                <w:sz w:val="20"/>
              </w:rPr>
            </w:pPr>
            <w:r w:rsidRPr="00996B66">
              <w:rPr>
                <w:rFonts w:ascii="Arial Narrow" w:hAnsi="Arial Narrow"/>
                <w:b/>
                <w:sz w:val="20"/>
              </w:rPr>
              <w:t>RR (95% CI)</w:t>
            </w:r>
          </w:p>
        </w:tc>
        <w:tc>
          <w:tcPr>
            <w:tcW w:w="1842" w:type="dxa"/>
            <w:vAlign w:val="center"/>
          </w:tcPr>
          <w:p w:rsidR="000C7A34" w:rsidRPr="00996B66" w:rsidRDefault="000C7A34" w:rsidP="00323E7A">
            <w:pPr>
              <w:widowControl/>
              <w:jc w:val="center"/>
              <w:rPr>
                <w:rFonts w:ascii="Arial Narrow" w:hAnsi="Arial Narrow"/>
                <w:b/>
                <w:sz w:val="20"/>
              </w:rPr>
            </w:pPr>
            <w:r w:rsidRPr="00996B66">
              <w:rPr>
                <w:rFonts w:ascii="Arial Narrow" w:hAnsi="Arial Narrow"/>
                <w:b/>
                <w:sz w:val="20"/>
              </w:rPr>
              <w:t>RR (95% CI)</w:t>
            </w:r>
          </w:p>
        </w:tc>
      </w:tr>
      <w:tr w:rsidR="000C7A34" w:rsidRPr="00737934" w:rsidTr="00CD5B3A">
        <w:tc>
          <w:tcPr>
            <w:tcW w:w="8363" w:type="dxa"/>
            <w:gridSpan w:val="4"/>
          </w:tcPr>
          <w:p w:rsidR="000C7A34" w:rsidRPr="00996B66" w:rsidRDefault="000C7A34" w:rsidP="00323E7A">
            <w:pPr>
              <w:widowControl/>
              <w:tabs>
                <w:tab w:val="left" w:pos="142"/>
              </w:tabs>
              <w:jc w:val="left"/>
              <w:rPr>
                <w:rFonts w:ascii="Arial Narrow" w:hAnsi="Arial Narrow"/>
                <w:b/>
                <w:sz w:val="20"/>
              </w:rPr>
            </w:pPr>
            <w:r w:rsidRPr="00996B66">
              <w:rPr>
                <w:rFonts w:ascii="Arial Narrow" w:hAnsi="Arial Narrow"/>
                <w:b/>
                <w:sz w:val="20"/>
              </w:rPr>
              <w:t>Overall drug-related AEs</w:t>
            </w:r>
          </w:p>
        </w:tc>
      </w:tr>
      <w:tr w:rsidR="000C7A34" w:rsidRPr="00737934" w:rsidTr="008B41C6">
        <w:tc>
          <w:tcPr>
            <w:tcW w:w="2410" w:type="dxa"/>
          </w:tcPr>
          <w:p w:rsidR="000C7A34" w:rsidRPr="00996B66" w:rsidRDefault="000C7A34" w:rsidP="00323E7A">
            <w:pPr>
              <w:pStyle w:val="TableText0"/>
              <w:tabs>
                <w:tab w:val="left" w:pos="142"/>
              </w:tabs>
              <w:spacing w:before="0" w:after="0"/>
            </w:pPr>
            <w:r w:rsidRPr="00996B66">
              <w:t>Any AE</w:t>
            </w:r>
          </w:p>
        </w:tc>
        <w:tc>
          <w:tcPr>
            <w:tcW w:w="1984" w:type="dxa"/>
          </w:tcPr>
          <w:p w:rsidR="000C7A34" w:rsidRPr="006C03DC" w:rsidRDefault="000C7A34" w:rsidP="00323E7A">
            <w:pPr>
              <w:widowControl/>
              <w:jc w:val="center"/>
              <w:rPr>
                <w:rFonts w:ascii="Arial Narrow" w:hAnsi="Arial Narrow"/>
                <w:sz w:val="20"/>
              </w:rPr>
            </w:pPr>
            <w:r w:rsidRPr="006C03DC">
              <w:rPr>
                <w:rFonts w:ascii="Arial Narrow" w:hAnsi="Arial Narrow"/>
                <w:sz w:val="20"/>
              </w:rPr>
              <w:t>0.98 (0.88,</w:t>
            </w:r>
            <w:r w:rsidR="00EF0B21" w:rsidRPr="006C03DC">
              <w:rPr>
                <w:rFonts w:ascii="Arial Narrow" w:hAnsi="Arial Narrow"/>
                <w:sz w:val="20"/>
              </w:rPr>
              <w:t xml:space="preserve"> </w:t>
            </w:r>
            <w:r w:rsidRPr="006C03DC">
              <w:rPr>
                <w:rFonts w:ascii="Arial Narrow" w:hAnsi="Arial Narrow"/>
                <w:sz w:val="20"/>
              </w:rPr>
              <w:t>1.10)</w:t>
            </w:r>
          </w:p>
        </w:tc>
        <w:tc>
          <w:tcPr>
            <w:tcW w:w="2127" w:type="dxa"/>
          </w:tcPr>
          <w:p w:rsidR="000C7A34" w:rsidRPr="006C03DC" w:rsidRDefault="000C7A34" w:rsidP="00323E7A">
            <w:pPr>
              <w:widowControl/>
              <w:jc w:val="center"/>
              <w:rPr>
                <w:rFonts w:ascii="Arial Narrow" w:hAnsi="Arial Narrow"/>
                <w:sz w:val="20"/>
              </w:rPr>
            </w:pPr>
            <w:r w:rsidRPr="006C03DC">
              <w:rPr>
                <w:rFonts w:ascii="Arial Narrow" w:hAnsi="Arial Narrow"/>
                <w:sz w:val="20"/>
              </w:rPr>
              <w:t>1.03 (0.91,</w:t>
            </w:r>
            <w:r w:rsidR="00EF0B21" w:rsidRPr="006C03DC">
              <w:rPr>
                <w:rFonts w:ascii="Arial Narrow" w:hAnsi="Arial Narrow"/>
                <w:sz w:val="20"/>
              </w:rPr>
              <w:t xml:space="preserve"> </w:t>
            </w:r>
            <w:r w:rsidRPr="006C03DC">
              <w:rPr>
                <w:rFonts w:ascii="Arial Narrow" w:hAnsi="Arial Narrow"/>
                <w:sz w:val="20"/>
              </w:rPr>
              <w:t>1.16)</w:t>
            </w:r>
          </w:p>
        </w:tc>
        <w:tc>
          <w:tcPr>
            <w:tcW w:w="1842" w:type="dxa"/>
          </w:tcPr>
          <w:p w:rsidR="000C7A34" w:rsidRPr="006C03DC" w:rsidRDefault="000C7A34" w:rsidP="00323E7A">
            <w:pPr>
              <w:widowControl/>
              <w:jc w:val="center"/>
              <w:rPr>
                <w:rFonts w:ascii="Arial Narrow" w:hAnsi="Arial Narrow"/>
                <w:sz w:val="20"/>
              </w:rPr>
            </w:pPr>
            <w:r w:rsidRPr="006C03DC">
              <w:rPr>
                <w:rFonts w:ascii="Arial Narrow" w:hAnsi="Arial Narrow"/>
                <w:sz w:val="20"/>
              </w:rPr>
              <w:t>0.96 (0.55,</w:t>
            </w:r>
            <w:r w:rsidR="00EF0B21" w:rsidRPr="006C03DC">
              <w:rPr>
                <w:rFonts w:ascii="Arial Narrow" w:hAnsi="Arial Narrow"/>
                <w:sz w:val="20"/>
              </w:rPr>
              <w:t xml:space="preserve"> </w:t>
            </w:r>
            <w:r w:rsidRPr="006C03DC">
              <w:rPr>
                <w:rFonts w:ascii="Arial Narrow" w:hAnsi="Arial Narrow"/>
                <w:sz w:val="20"/>
              </w:rPr>
              <w:t>1.67)</w:t>
            </w:r>
          </w:p>
        </w:tc>
      </w:tr>
      <w:tr w:rsidR="000C7A34" w:rsidRPr="00737934" w:rsidTr="008B41C6">
        <w:tc>
          <w:tcPr>
            <w:tcW w:w="2410" w:type="dxa"/>
          </w:tcPr>
          <w:p w:rsidR="000C7A34" w:rsidRPr="00996B66" w:rsidRDefault="000C7A34" w:rsidP="00323E7A">
            <w:pPr>
              <w:pStyle w:val="TableText0"/>
              <w:tabs>
                <w:tab w:val="left" w:pos="142"/>
              </w:tabs>
              <w:spacing w:before="0" w:after="0"/>
            </w:pPr>
            <w:r w:rsidRPr="00996B66">
              <w:t>Discontinued due to AE</w:t>
            </w:r>
          </w:p>
        </w:tc>
        <w:tc>
          <w:tcPr>
            <w:tcW w:w="1984" w:type="dxa"/>
          </w:tcPr>
          <w:p w:rsidR="000C7A34" w:rsidRPr="006C03DC" w:rsidRDefault="000C7A34" w:rsidP="00323E7A">
            <w:pPr>
              <w:widowControl/>
              <w:jc w:val="center"/>
              <w:rPr>
                <w:rFonts w:ascii="Arial Narrow" w:hAnsi="Arial Narrow"/>
                <w:sz w:val="20"/>
              </w:rPr>
            </w:pPr>
            <w:r w:rsidRPr="006C03DC">
              <w:rPr>
                <w:rFonts w:ascii="Arial Narrow" w:hAnsi="Arial Narrow"/>
                <w:sz w:val="20"/>
              </w:rPr>
              <w:t>0.71 (0.23,</w:t>
            </w:r>
            <w:r w:rsidR="00EF0B21" w:rsidRPr="006C03DC">
              <w:rPr>
                <w:rFonts w:ascii="Arial Narrow" w:hAnsi="Arial Narrow"/>
                <w:sz w:val="20"/>
              </w:rPr>
              <w:t xml:space="preserve"> </w:t>
            </w:r>
            <w:r w:rsidRPr="006C03DC">
              <w:rPr>
                <w:rFonts w:ascii="Arial Narrow" w:hAnsi="Arial Narrow"/>
                <w:sz w:val="20"/>
              </w:rPr>
              <w:t>2.21)</w:t>
            </w:r>
          </w:p>
        </w:tc>
        <w:tc>
          <w:tcPr>
            <w:tcW w:w="2127" w:type="dxa"/>
          </w:tcPr>
          <w:p w:rsidR="000C7A34" w:rsidRPr="006C03DC" w:rsidRDefault="000C7A34" w:rsidP="00323E7A">
            <w:pPr>
              <w:widowControl/>
              <w:jc w:val="center"/>
              <w:rPr>
                <w:rFonts w:ascii="Arial Narrow" w:hAnsi="Arial Narrow"/>
                <w:sz w:val="20"/>
              </w:rPr>
            </w:pPr>
            <w:r w:rsidRPr="006C03DC">
              <w:rPr>
                <w:rFonts w:ascii="Arial Narrow" w:hAnsi="Arial Narrow"/>
                <w:sz w:val="20"/>
              </w:rPr>
              <w:t>3.27 (1.09,</w:t>
            </w:r>
            <w:r w:rsidR="00EF0B21" w:rsidRPr="006C03DC">
              <w:rPr>
                <w:rFonts w:ascii="Arial Narrow" w:hAnsi="Arial Narrow"/>
                <w:sz w:val="20"/>
              </w:rPr>
              <w:t xml:space="preserve"> </w:t>
            </w:r>
            <w:r w:rsidRPr="006C03DC">
              <w:rPr>
                <w:rFonts w:ascii="Arial Narrow" w:hAnsi="Arial Narrow"/>
                <w:sz w:val="20"/>
              </w:rPr>
              <w:t>9.80)</w:t>
            </w:r>
          </w:p>
        </w:tc>
        <w:tc>
          <w:tcPr>
            <w:tcW w:w="1842" w:type="dxa"/>
          </w:tcPr>
          <w:p w:rsidR="000C7A34" w:rsidRPr="006C03DC" w:rsidRDefault="000C7A34" w:rsidP="00323E7A">
            <w:pPr>
              <w:widowControl/>
              <w:jc w:val="center"/>
              <w:rPr>
                <w:rFonts w:ascii="Arial Narrow" w:hAnsi="Arial Narrow"/>
                <w:sz w:val="20"/>
              </w:rPr>
            </w:pPr>
            <w:r w:rsidRPr="006C03DC">
              <w:rPr>
                <w:rFonts w:ascii="Arial Narrow" w:hAnsi="Arial Narrow"/>
                <w:sz w:val="20"/>
              </w:rPr>
              <w:t>0.22 (0.05,</w:t>
            </w:r>
            <w:r w:rsidR="00EF0B21" w:rsidRPr="006C03DC">
              <w:rPr>
                <w:rFonts w:ascii="Arial Narrow" w:hAnsi="Arial Narrow"/>
                <w:sz w:val="20"/>
              </w:rPr>
              <w:t xml:space="preserve"> </w:t>
            </w:r>
            <w:r w:rsidRPr="006C03DC">
              <w:rPr>
                <w:rFonts w:ascii="Arial Narrow" w:hAnsi="Arial Narrow"/>
                <w:sz w:val="20"/>
              </w:rPr>
              <w:t>1.05)</w:t>
            </w:r>
          </w:p>
        </w:tc>
      </w:tr>
      <w:tr w:rsidR="000C7A34" w:rsidRPr="00737934" w:rsidTr="008B41C6">
        <w:tc>
          <w:tcPr>
            <w:tcW w:w="2410" w:type="dxa"/>
          </w:tcPr>
          <w:p w:rsidR="000C7A34" w:rsidRPr="00996B66" w:rsidRDefault="00480C55" w:rsidP="00323E7A">
            <w:pPr>
              <w:widowControl/>
              <w:tabs>
                <w:tab w:val="left" w:pos="142"/>
              </w:tabs>
              <w:jc w:val="left"/>
              <w:rPr>
                <w:rFonts w:ascii="Arial Narrow" w:hAnsi="Arial Narrow"/>
                <w:sz w:val="20"/>
              </w:rPr>
            </w:pPr>
            <w:r>
              <w:rPr>
                <w:rFonts w:ascii="Arial Narrow" w:hAnsi="Arial Narrow"/>
                <w:sz w:val="20"/>
              </w:rPr>
              <w:t>Any severe AE (g</w:t>
            </w:r>
            <w:r w:rsidR="000C7A34" w:rsidRPr="00996B66">
              <w:rPr>
                <w:rFonts w:ascii="Arial Narrow" w:hAnsi="Arial Narrow"/>
                <w:sz w:val="20"/>
              </w:rPr>
              <w:t>raded ≥3)</w:t>
            </w:r>
          </w:p>
        </w:tc>
        <w:tc>
          <w:tcPr>
            <w:tcW w:w="1984" w:type="dxa"/>
          </w:tcPr>
          <w:p w:rsidR="000C7A34" w:rsidRPr="006C03DC" w:rsidRDefault="000C7A34" w:rsidP="00323E7A">
            <w:pPr>
              <w:widowControl/>
              <w:jc w:val="center"/>
              <w:rPr>
                <w:rFonts w:ascii="Arial Narrow" w:hAnsi="Arial Narrow"/>
                <w:sz w:val="20"/>
              </w:rPr>
            </w:pPr>
            <w:r w:rsidRPr="006C03DC">
              <w:rPr>
                <w:rFonts w:ascii="Arial Narrow" w:hAnsi="Arial Narrow"/>
                <w:sz w:val="20"/>
              </w:rPr>
              <w:t>0.66 (0.41,</w:t>
            </w:r>
            <w:r w:rsidR="00EF0B21" w:rsidRPr="006C03DC">
              <w:rPr>
                <w:rFonts w:ascii="Arial Narrow" w:hAnsi="Arial Narrow"/>
                <w:sz w:val="20"/>
              </w:rPr>
              <w:t xml:space="preserve"> </w:t>
            </w:r>
            <w:r w:rsidRPr="006C03DC">
              <w:rPr>
                <w:rFonts w:ascii="Arial Narrow" w:hAnsi="Arial Narrow"/>
                <w:sz w:val="20"/>
              </w:rPr>
              <w:t>1.07)</w:t>
            </w:r>
          </w:p>
        </w:tc>
        <w:tc>
          <w:tcPr>
            <w:tcW w:w="2127" w:type="dxa"/>
          </w:tcPr>
          <w:p w:rsidR="000C7A34" w:rsidRPr="006C03DC" w:rsidRDefault="000C7A34" w:rsidP="00323E7A">
            <w:pPr>
              <w:widowControl/>
              <w:jc w:val="center"/>
              <w:rPr>
                <w:rFonts w:ascii="Arial Narrow" w:hAnsi="Arial Narrow"/>
                <w:sz w:val="20"/>
              </w:rPr>
            </w:pPr>
            <w:r w:rsidRPr="006C03DC">
              <w:rPr>
                <w:rFonts w:ascii="Arial Narrow" w:hAnsi="Arial Narrow"/>
                <w:sz w:val="20"/>
              </w:rPr>
              <w:t>2.14 (1.24,</w:t>
            </w:r>
            <w:r w:rsidR="00EF0B21" w:rsidRPr="006C03DC">
              <w:rPr>
                <w:rFonts w:ascii="Arial Narrow" w:hAnsi="Arial Narrow"/>
                <w:sz w:val="20"/>
              </w:rPr>
              <w:t xml:space="preserve"> </w:t>
            </w:r>
            <w:r w:rsidRPr="006C03DC">
              <w:rPr>
                <w:rFonts w:ascii="Arial Narrow" w:hAnsi="Arial Narrow"/>
                <w:sz w:val="20"/>
              </w:rPr>
              <w:t>3.69)</w:t>
            </w:r>
          </w:p>
        </w:tc>
        <w:tc>
          <w:tcPr>
            <w:tcW w:w="1842" w:type="dxa"/>
          </w:tcPr>
          <w:p w:rsidR="000C7A34" w:rsidRPr="006C03DC" w:rsidRDefault="000C7A34" w:rsidP="00323E7A">
            <w:pPr>
              <w:widowControl/>
              <w:jc w:val="center"/>
              <w:rPr>
                <w:rFonts w:ascii="Arial Narrow" w:hAnsi="Arial Narrow"/>
                <w:b/>
                <w:sz w:val="20"/>
              </w:rPr>
            </w:pPr>
            <w:r w:rsidRPr="006C03DC">
              <w:rPr>
                <w:rFonts w:ascii="Arial Narrow" w:hAnsi="Arial Narrow"/>
                <w:b/>
                <w:sz w:val="20"/>
              </w:rPr>
              <w:t>0.31 (0.15,</w:t>
            </w:r>
            <w:r w:rsidR="00EF0B21" w:rsidRPr="006C03DC">
              <w:rPr>
                <w:rFonts w:ascii="Arial Narrow" w:hAnsi="Arial Narrow"/>
                <w:b/>
                <w:sz w:val="20"/>
              </w:rPr>
              <w:t xml:space="preserve"> </w:t>
            </w:r>
            <w:r w:rsidRPr="006C03DC">
              <w:rPr>
                <w:rFonts w:ascii="Arial Narrow" w:hAnsi="Arial Narrow"/>
                <w:b/>
                <w:sz w:val="20"/>
              </w:rPr>
              <w:t>0.64)</w:t>
            </w:r>
          </w:p>
        </w:tc>
      </w:tr>
      <w:tr w:rsidR="00B1352D" w:rsidRPr="00737934" w:rsidTr="008B41C6">
        <w:tc>
          <w:tcPr>
            <w:tcW w:w="2410" w:type="dxa"/>
          </w:tcPr>
          <w:p w:rsidR="00B1352D" w:rsidRPr="00996B66" w:rsidRDefault="00B1352D" w:rsidP="00323E7A">
            <w:pPr>
              <w:widowControl/>
              <w:tabs>
                <w:tab w:val="left" w:pos="142"/>
              </w:tabs>
              <w:jc w:val="left"/>
              <w:rPr>
                <w:rFonts w:ascii="Arial Narrow" w:hAnsi="Arial Narrow"/>
                <w:sz w:val="20"/>
              </w:rPr>
            </w:pPr>
            <w:r>
              <w:rPr>
                <w:rFonts w:ascii="Arial Narrow" w:hAnsi="Arial Narrow"/>
                <w:sz w:val="20"/>
              </w:rPr>
              <w:tab/>
              <w:t>Diarrhoea</w:t>
            </w:r>
          </w:p>
        </w:tc>
        <w:tc>
          <w:tcPr>
            <w:tcW w:w="1984" w:type="dxa"/>
          </w:tcPr>
          <w:p w:rsidR="00B1352D" w:rsidRPr="006C03DC" w:rsidRDefault="00B1352D" w:rsidP="00323E7A">
            <w:pPr>
              <w:widowControl/>
              <w:jc w:val="center"/>
              <w:rPr>
                <w:rFonts w:ascii="Arial Narrow" w:hAnsi="Arial Narrow"/>
                <w:sz w:val="20"/>
                <w:szCs w:val="20"/>
              </w:rPr>
            </w:pPr>
            <w:r w:rsidRPr="006C03DC">
              <w:rPr>
                <w:rFonts w:ascii="Arial Narrow" w:hAnsi="Arial Narrow"/>
                <w:sz w:val="20"/>
                <w:szCs w:val="20"/>
              </w:rPr>
              <w:t>1.99 (0.18,</w:t>
            </w:r>
            <w:r w:rsidR="00EF0B21" w:rsidRPr="006C03DC">
              <w:rPr>
                <w:rFonts w:ascii="Arial Narrow" w:hAnsi="Arial Narrow"/>
                <w:sz w:val="20"/>
                <w:szCs w:val="20"/>
              </w:rPr>
              <w:t xml:space="preserve"> </w:t>
            </w:r>
            <w:r w:rsidRPr="006C03DC">
              <w:rPr>
                <w:rFonts w:ascii="Arial Narrow" w:hAnsi="Arial Narrow"/>
                <w:sz w:val="20"/>
                <w:szCs w:val="20"/>
              </w:rPr>
              <w:t>21.84)</w:t>
            </w:r>
          </w:p>
        </w:tc>
        <w:tc>
          <w:tcPr>
            <w:tcW w:w="2127" w:type="dxa"/>
          </w:tcPr>
          <w:p w:rsidR="00B1352D" w:rsidRPr="006C03DC" w:rsidRDefault="00B1352D" w:rsidP="00323E7A">
            <w:pPr>
              <w:widowControl/>
              <w:jc w:val="center"/>
              <w:rPr>
                <w:rFonts w:ascii="Arial Narrow" w:hAnsi="Arial Narrow"/>
                <w:sz w:val="20"/>
                <w:szCs w:val="20"/>
              </w:rPr>
            </w:pPr>
            <w:r w:rsidRPr="006C03DC">
              <w:rPr>
                <w:rFonts w:ascii="Arial Narrow" w:hAnsi="Arial Narrow"/>
                <w:sz w:val="20"/>
                <w:szCs w:val="20"/>
              </w:rPr>
              <w:t>6.05 (0.74,</w:t>
            </w:r>
            <w:r w:rsidR="00EF0B21" w:rsidRPr="006C03DC">
              <w:rPr>
                <w:rFonts w:ascii="Arial Narrow" w:hAnsi="Arial Narrow"/>
                <w:sz w:val="20"/>
                <w:szCs w:val="20"/>
              </w:rPr>
              <w:t xml:space="preserve"> </w:t>
            </w:r>
            <w:r w:rsidRPr="006C03DC">
              <w:rPr>
                <w:rFonts w:ascii="Arial Narrow" w:hAnsi="Arial Narrow"/>
                <w:sz w:val="20"/>
                <w:szCs w:val="20"/>
              </w:rPr>
              <w:t>49.73)</w:t>
            </w:r>
          </w:p>
        </w:tc>
        <w:tc>
          <w:tcPr>
            <w:tcW w:w="1842" w:type="dxa"/>
          </w:tcPr>
          <w:p w:rsidR="00B1352D" w:rsidRPr="006C03DC" w:rsidRDefault="00B1352D" w:rsidP="00323E7A">
            <w:pPr>
              <w:widowControl/>
              <w:jc w:val="center"/>
              <w:rPr>
                <w:rFonts w:ascii="Arial Narrow" w:hAnsi="Arial Narrow"/>
                <w:b/>
                <w:sz w:val="20"/>
                <w:szCs w:val="20"/>
              </w:rPr>
            </w:pPr>
            <w:r w:rsidRPr="006C03DC">
              <w:rPr>
                <w:rFonts w:ascii="Arial Narrow" w:hAnsi="Arial Narrow"/>
                <w:sz w:val="20"/>
                <w:szCs w:val="20"/>
              </w:rPr>
              <w:t>0.33 (0.01,</w:t>
            </w:r>
            <w:r w:rsidR="00EF0B21" w:rsidRPr="006C03DC">
              <w:rPr>
                <w:rFonts w:ascii="Arial Narrow" w:hAnsi="Arial Narrow"/>
                <w:sz w:val="20"/>
                <w:szCs w:val="20"/>
              </w:rPr>
              <w:t xml:space="preserve"> </w:t>
            </w:r>
            <w:r w:rsidRPr="006C03DC">
              <w:rPr>
                <w:rFonts w:ascii="Arial Narrow" w:hAnsi="Arial Narrow"/>
                <w:sz w:val="20"/>
                <w:szCs w:val="20"/>
              </w:rPr>
              <w:t>8.00)</w:t>
            </w:r>
          </w:p>
        </w:tc>
      </w:tr>
      <w:tr w:rsidR="00B1352D" w:rsidRPr="00737934" w:rsidTr="008B41C6">
        <w:tc>
          <w:tcPr>
            <w:tcW w:w="2410" w:type="dxa"/>
          </w:tcPr>
          <w:p w:rsidR="00B1352D" w:rsidRPr="00996B66" w:rsidRDefault="00B1352D" w:rsidP="00323E7A">
            <w:pPr>
              <w:widowControl/>
              <w:tabs>
                <w:tab w:val="left" w:pos="142"/>
              </w:tabs>
              <w:jc w:val="left"/>
              <w:rPr>
                <w:rFonts w:ascii="Arial Narrow" w:hAnsi="Arial Narrow"/>
                <w:sz w:val="20"/>
              </w:rPr>
            </w:pPr>
            <w:r>
              <w:rPr>
                <w:rFonts w:ascii="Arial Narrow" w:hAnsi="Arial Narrow"/>
                <w:sz w:val="20"/>
              </w:rPr>
              <w:tab/>
              <w:t>Colitis</w:t>
            </w:r>
          </w:p>
        </w:tc>
        <w:tc>
          <w:tcPr>
            <w:tcW w:w="1984" w:type="dxa"/>
          </w:tcPr>
          <w:p w:rsidR="00B1352D" w:rsidRPr="006C03DC" w:rsidRDefault="00B1352D" w:rsidP="00323E7A">
            <w:pPr>
              <w:widowControl/>
              <w:jc w:val="center"/>
              <w:rPr>
                <w:rFonts w:ascii="Arial Narrow" w:hAnsi="Arial Narrow"/>
                <w:sz w:val="20"/>
                <w:szCs w:val="20"/>
              </w:rPr>
            </w:pPr>
            <w:r w:rsidRPr="006C03DC">
              <w:rPr>
                <w:rFonts w:ascii="Arial Narrow" w:hAnsi="Arial Narrow"/>
                <w:sz w:val="20"/>
                <w:szCs w:val="20"/>
              </w:rPr>
              <w:t>NC</w:t>
            </w:r>
          </w:p>
        </w:tc>
        <w:tc>
          <w:tcPr>
            <w:tcW w:w="2127" w:type="dxa"/>
          </w:tcPr>
          <w:p w:rsidR="00B1352D" w:rsidRPr="006C03DC" w:rsidRDefault="00B1352D" w:rsidP="00323E7A">
            <w:pPr>
              <w:widowControl/>
              <w:jc w:val="center"/>
              <w:rPr>
                <w:rFonts w:ascii="Arial Narrow" w:hAnsi="Arial Narrow"/>
                <w:sz w:val="20"/>
                <w:szCs w:val="20"/>
              </w:rPr>
            </w:pPr>
            <w:r w:rsidRPr="006C03DC">
              <w:rPr>
                <w:rFonts w:ascii="Arial Narrow" w:hAnsi="Arial Narrow"/>
                <w:sz w:val="20"/>
                <w:szCs w:val="20"/>
              </w:rPr>
              <w:t>NC</w:t>
            </w:r>
          </w:p>
        </w:tc>
        <w:tc>
          <w:tcPr>
            <w:tcW w:w="1842" w:type="dxa"/>
          </w:tcPr>
          <w:p w:rsidR="00B1352D" w:rsidRPr="006C03DC" w:rsidRDefault="00B1352D" w:rsidP="00323E7A">
            <w:pPr>
              <w:widowControl/>
              <w:jc w:val="center"/>
              <w:rPr>
                <w:rFonts w:ascii="Arial Narrow" w:hAnsi="Arial Narrow"/>
                <w:b/>
                <w:sz w:val="20"/>
                <w:szCs w:val="20"/>
              </w:rPr>
            </w:pPr>
            <w:r w:rsidRPr="006C03DC">
              <w:rPr>
                <w:rFonts w:ascii="Arial Narrow" w:hAnsi="Arial Narrow"/>
                <w:sz w:val="20"/>
                <w:szCs w:val="20"/>
              </w:rPr>
              <w:t>-</w:t>
            </w:r>
          </w:p>
        </w:tc>
      </w:tr>
      <w:tr w:rsidR="00FE7618" w:rsidRPr="00737934" w:rsidTr="008B41C6">
        <w:tc>
          <w:tcPr>
            <w:tcW w:w="2410" w:type="dxa"/>
          </w:tcPr>
          <w:p w:rsidR="00FE7618" w:rsidRPr="00996B66" w:rsidRDefault="00FE7618" w:rsidP="00323E7A">
            <w:pPr>
              <w:widowControl/>
              <w:tabs>
                <w:tab w:val="left" w:pos="142"/>
              </w:tabs>
              <w:jc w:val="left"/>
              <w:rPr>
                <w:rFonts w:ascii="Arial Narrow" w:hAnsi="Arial Narrow"/>
                <w:sz w:val="20"/>
              </w:rPr>
            </w:pPr>
            <w:r w:rsidRPr="00996B66">
              <w:rPr>
                <w:rFonts w:ascii="Arial Narrow" w:hAnsi="Arial Narrow"/>
                <w:sz w:val="20"/>
              </w:rPr>
              <w:t>Any serious AE</w:t>
            </w:r>
          </w:p>
        </w:tc>
        <w:tc>
          <w:tcPr>
            <w:tcW w:w="1984" w:type="dxa"/>
          </w:tcPr>
          <w:p w:rsidR="00FE7618" w:rsidRPr="006C03DC" w:rsidRDefault="00FE7618" w:rsidP="00323E7A">
            <w:pPr>
              <w:widowControl/>
              <w:jc w:val="center"/>
              <w:rPr>
                <w:rFonts w:ascii="Arial Narrow" w:hAnsi="Arial Narrow"/>
                <w:sz w:val="20"/>
              </w:rPr>
            </w:pPr>
            <w:r w:rsidRPr="006C03DC">
              <w:rPr>
                <w:rFonts w:ascii="Arial Narrow" w:hAnsi="Arial Narrow"/>
                <w:sz w:val="20"/>
              </w:rPr>
              <w:t>1.05 (0.57,</w:t>
            </w:r>
            <w:r w:rsidR="00EF0B21" w:rsidRPr="006C03DC">
              <w:rPr>
                <w:rFonts w:ascii="Arial Narrow" w:hAnsi="Arial Narrow"/>
                <w:sz w:val="20"/>
              </w:rPr>
              <w:t xml:space="preserve"> </w:t>
            </w:r>
            <w:r w:rsidRPr="006C03DC">
              <w:rPr>
                <w:rFonts w:ascii="Arial Narrow" w:hAnsi="Arial Narrow"/>
                <w:sz w:val="20"/>
              </w:rPr>
              <w:t>1.94)</w:t>
            </w:r>
          </w:p>
        </w:tc>
        <w:tc>
          <w:tcPr>
            <w:tcW w:w="2127" w:type="dxa"/>
          </w:tcPr>
          <w:p w:rsidR="00FE7618" w:rsidRPr="006C03DC" w:rsidRDefault="00FE7618" w:rsidP="00323E7A">
            <w:pPr>
              <w:widowControl/>
              <w:jc w:val="center"/>
              <w:rPr>
                <w:rFonts w:ascii="Arial Narrow" w:hAnsi="Arial Narrow"/>
                <w:sz w:val="20"/>
              </w:rPr>
            </w:pPr>
            <w:r w:rsidRPr="006C03DC">
              <w:rPr>
                <w:rFonts w:ascii="Arial Narrow" w:hAnsi="Arial Narrow"/>
                <w:sz w:val="20"/>
              </w:rPr>
              <w:t>4.84 (1.89,</w:t>
            </w:r>
            <w:r w:rsidR="00EF0B21" w:rsidRPr="006C03DC">
              <w:rPr>
                <w:rFonts w:ascii="Arial Narrow" w:hAnsi="Arial Narrow"/>
                <w:sz w:val="20"/>
              </w:rPr>
              <w:t xml:space="preserve"> </w:t>
            </w:r>
            <w:r w:rsidRPr="006C03DC">
              <w:rPr>
                <w:rFonts w:ascii="Arial Narrow" w:hAnsi="Arial Narrow"/>
                <w:sz w:val="20"/>
              </w:rPr>
              <w:t>12.31)</w:t>
            </w:r>
          </w:p>
        </w:tc>
        <w:tc>
          <w:tcPr>
            <w:tcW w:w="1842" w:type="dxa"/>
          </w:tcPr>
          <w:p w:rsidR="00FE7618" w:rsidRPr="006C03DC" w:rsidRDefault="00FE7618" w:rsidP="00323E7A">
            <w:pPr>
              <w:widowControl/>
              <w:jc w:val="center"/>
              <w:rPr>
                <w:rFonts w:ascii="Arial Narrow" w:hAnsi="Arial Narrow"/>
                <w:b/>
                <w:sz w:val="20"/>
              </w:rPr>
            </w:pPr>
            <w:r w:rsidRPr="006C03DC">
              <w:rPr>
                <w:rFonts w:ascii="Arial Narrow" w:hAnsi="Arial Narrow"/>
                <w:b/>
                <w:sz w:val="20"/>
              </w:rPr>
              <w:t>0.22 (0.07,</w:t>
            </w:r>
            <w:r w:rsidR="00EF0B21" w:rsidRPr="006C03DC">
              <w:rPr>
                <w:rFonts w:ascii="Arial Narrow" w:hAnsi="Arial Narrow"/>
                <w:b/>
                <w:sz w:val="20"/>
              </w:rPr>
              <w:t xml:space="preserve"> </w:t>
            </w:r>
            <w:r w:rsidRPr="006C03DC">
              <w:rPr>
                <w:rFonts w:ascii="Arial Narrow" w:hAnsi="Arial Narrow"/>
                <w:b/>
                <w:sz w:val="20"/>
              </w:rPr>
              <w:t>0.67)</w:t>
            </w:r>
          </w:p>
        </w:tc>
      </w:tr>
      <w:tr w:rsidR="00B1352D" w:rsidRPr="00737934" w:rsidTr="008B41C6">
        <w:tc>
          <w:tcPr>
            <w:tcW w:w="6521" w:type="dxa"/>
            <w:gridSpan w:val="3"/>
            <w:vAlign w:val="center"/>
          </w:tcPr>
          <w:p w:rsidR="00B1352D" w:rsidRPr="006C03DC" w:rsidRDefault="00B1352D" w:rsidP="00323E7A">
            <w:pPr>
              <w:widowControl/>
              <w:tabs>
                <w:tab w:val="left" w:pos="142"/>
              </w:tabs>
              <w:jc w:val="left"/>
              <w:rPr>
                <w:rFonts w:ascii="Arial Narrow" w:hAnsi="Arial Narrow"/>
                <w:b/>
                <w:sz w:val="20"/>
              </w:rPr>
            </w:pPr>
            <w:r w:rsidRPr="006C03DC">
              <w:rPr>
                <w:rFonts w:ascii="Arial Narrow" w:hAnsi="Arial Narrow"/>
                <w:b/>
                <w:sz w:val="20"/>
              </w:rPr>
              <w:t>Select AEs with potential immunologic etiology</w:t>
            </w:r>
          </w:p>
        </w:tc>
        <w:tc>
          <w:tcPr>
            <w:tcW w:w="1842" w:type="dxa"/>
          </w:tcPr>
          <w:p w:rsidR="00B1352D" w:rsidRPr="006C03DC" w:rsidRDefault="00B1352D" w:rsidP="00323E7A">
            <w:pPr>
              <w:widowControl/>
              <w:jc w:val="center"/>
              <w:rPr>
                <w:rFonts w:ascii="Arial Narrow" w:hAnsi="Arial Narrow"/>
                <w:sz w:val="20"/>
              </w:rPr>
            </w:pPr>
          </w:p>
        </w:tc>
      </w:tr>
      <w:tr w:rsidR="00B1352D" w:rsidRPr="00737934" w:rsidTr="008B41C6">
        <w:tc>
          <w:tcPr>
            <w:tcW w:w="2410" w:type="dxa"/>
          </w:tcPr>
          <w:p w:rsidR="00B1352D" w:rsidRPr="00996B66" w:rsidRDefault="00B1352D" w:rsidP="00323E7A">
            <w:pPr>
              <w:pStyle w:val="TableText0"/>
              <w:tabs>
                <w:tab w:val="left" w:pos="142"/>
              </w:tabs>
              <w:spacing w:before="0" w:after="0"/>
            </w:pPr>
            <w:r w:rsidRPr="00996B66">
              <w:t>Any severity</w:t>
            </w:r>
          </w:p>
        </w:tc>
        <w:tc>
          <w:tcPr>
            <w:tcW w:w="1984" w:type="dxa"/>
          </w:tcPr>
          <w:p w:rsidR="00B1352D" w:rsidRPr="006C03DC" w:rsidRDefault="00B1352D" w:rsidP="00323E7A">
            <w:pPr>
              <w:widowControl/>
              <w:jc w:val="center"/>
              <w:rPr>
                <w:rFonts w:ascii="Arial Narrow" w:hAnsi="Arial Narrow"/>
                <w:sz w:val="20"/>
              </w:rPr>
            </w:pPr>
          </w:p>
        </w:tc>
        <w:tc>
          <w:tcPr>
            <w:tcW w:w="2127" w:type="dxa"/>
          </w:tcPr>
          <w:p w:rsidR="00B1352D" w:rsidRPr="006C03DC" w:rsidRDefault="00B1352D" w:rsidP="00323E7A">
            <w:pPr>
              <w:widowControl/>
              <w:jc w:val="center"/>
              <w:rPr>
                <w:rFonts w:ascii="Arial Narrow" w:hAnsi="Arial Narrow"/>
                <w:sz w:val="20"/>
              </w:rPr>
            </w:pPr>
          </w:p>
        </w:tc>
        <w:tc>
          <w:tcPr>
            <w:tcW w:w="1842" w:type="dxa"/>
          </w:tcPr>
          <w:p w:rsidR="00B1352D" w:rsidRPr="006C03DC" w:rsidRDefault="00B1352D" w:rsidP="00323E7A">
            <w:pPr>
              <w:widowControl/>
              <w:jc w:val="center"/>
              <w:rPr>
                <w:rFonts w:ascii="Arial Narrow" w:hAnsi="Arial Narrow"/>
                <w:sz w:val="20"/>
              </w:rPr>
            </w:pPr>
          </w:p>
        </w:tc>
      </w:tr>
      <w:tr w:rsidR="00B1352D" w:rsidRPr="00737934" w:rsidTr="008B41C6">
        <w:tc>
          <w:tcPr>
            <w:tcW w:w="2410" w:type="dxa"/>
            <w:vAlign w:val="center"/>
          </w:tcPr>
          <w:p w:rsidR="00B1352D" w:rsidRPr="00996B66" w:rsidRDefault="00B1352D" w:rsidP="00323E7A">
            <w:pPr>
              <w:widowControl/>
              <w:tabs>
                <w:tab w:val="left" w:pos="142"/>
              </w:tabs>
              <w:jc w:val="left"/>
              <w:rPr>
                <w:rFonts w:ascii="Arial Narrow" w:hAnsi="Arial Narrow"/>
                <w:sz w:val="20"/>
              </w:rPr>
            </w:pPr>
            <w:r w:rsidRPr="00996B66">
              <w:rPr>
                <w:rFonts w:ascii="Arial Narrow" w:hAnsi="Arial Narrow"/>
                <w:sz w:val="20"/>
              </w:rPr>
              <w:tab/>
              <w:t>Any AE</w:t>
            </w:r>
          </w:p>
        </w:tc>
        <w:tc>
          <w:tcPr>
            <w:tcW w:w="1984" w:type="dxa"/>
          </w:tcPr>
          <w:p w:rsidR="00B1352D" w:rsidRPr="006C03DC" w:rsidRDefault="00EF0B21" w:rsidP="00323E7A">
            <w:pPr>
              <w:widowControl/>
              <w:jc w:val="center"/>
              <w:rPr>
                <w:rFonts w:ascii="Arial Narrow" w:hAnsi="Arial Narrow"/>
                <w:sz w:val="20"/>
              </w:rPr>
            </w:pPr>
            <w:r w:rsidRPr="006C03DC">
              <w:rPr>
                <w:rFonts w:ascii="Arial Narrow" w:hAnsi="Arial Narrow"/>
                <w:sz w:val="20"/>
              </w:rPr>
              <w:t xml:space="preserve">1.53 (1.27, </w:t>
            </w:r>
            <w:r w:rsidR="00B1352D" w:rsidRPr="006C03DC">
              <w:rPr>
                <w:rFonts w:ascii="Arial Narrow" w:hAnsi="Arial Narrow"/>
                <w:sz w:val="20"/>
              </w:rPr>
              <w:t>1.84)</w:t>
            </w:r>
          </w:p>
        </w:tc>
        <w:tc>
          <w:tcPr>
            <w:tcW w:w="2127" w:type="dxa"/>
          </w:tcPr>
          <w:p w:rsidR="00B1352D" w:rsidRPr="006C03DC" w:rsidRDefault="00B1352D" w:rsidP="00323E7A">
            <w:pPr>
              <w:widowControl/>
              <w:jc w:val="center"/>
              <w:rPr>
                <w:rFonts w:ascii="Arial Narrow" w:hAnsi="Arial Narrow"/>
                <w:sz w:val="20"/>
              </w:rPr>
            </w:pPr>
            <w:r w:rsidRPr="006C03DC">
              <w:rPr>
                <w:rFonts w:ascii="Arial Narrow" w:hAnsi="Arial Narrow"/>
                <w:sz w:val="20"/>
              </w:rPr>
              <w:t>1.94 (1.46,</w:t>
            </w:r>
            <w:r w:rsidR="00EF0B21" w:rsidRPr="006C03DC">
              <w:rPr>
                <w:rFonts w:ascii="Arial Narrow" w:hAnsi="Arial Narrow"/>
                <w:sz w:val="20"/>
              </w:rPr>
              <w:t xml:space="preserve"> </w:t>
            </w:r>
            <w:r w:rsidRPr="006C03DC">
              <w:rPr>
                <w:rFonts w:ascii="Arial Narrow" w:hAnsi="Arial Narrow"/>
                <w:sz w:val="20"/>
              </w:rPr>
              <w:t>2.58)</w:t>
            </w:r>
          </w:p>
        </w:tc>
        <w:tc>
          <w:tcPr>
            <w:tcW w:w="1842" w:type="dxa"/>
          </w:tcPr>
          <w:p w:rsidR="00B1352D" w:rsidRPr="006C03DC" w:rsidRDefault="00B1352D" w:rsidP="00323E7A">
            <w:pPr>
              <w:widowControl/>
              <w:jc w:val="center"/>
              <w:rPr>
                <w:rFonts w:ascii="Arial Narrow" w:hAnsi="Arial Narrow"/>
                <w:sz w:val="20"/>
              </w:rPr>
            </w:pPr>
            <w:r w:rsidRPr="006C03DC">
              <w:rPr>
                <w:rFonts w:ascii="Arial Narrow" w:hAnsi="Arial Narrow"/>
                <w:sz w:val="20"/>
              </w:rPr>
              <w:t>0.79 (0.56,</w:t>
            </w:r>
            <w:r w:rsidR="00EF0B21" w:rsidRPr="006C03DC">
              <w:rPr>
                <w:rFonts w:ascii="Arial Narrow" w:hAnsi="Arial Narrow"/>
                <w:sz w:val="20"/>
              </w:rPr>
              <w:t xml:space="preserve"> </w:t>
            </w:r>
            <w:r w:rsidRPr="006C03DC">
              <w:rPr>
                <w:rFonts w:ascii="Arial Narrow" w:hAnsi="Arial Narrow"/>
                <w:sz w:val="20"/>
              </w:rPr>
              <w:t>1.11)</w:t>
            </w:r>
          </w:p>
        </w:tc>
      </w:tr>
      <w:tr w:rsidR="00B1352D" w:rsidRPr="00737934" w:rsidTr="008B41C6">
        <w:tc>
          <w:tcPr>
            <w:tcW w:w="2410" w:type="dxa"/>
            <w:vAlign w:val="center"/>
          </w:tcPr>
          <w:p w:rsidR="00B1352D" w:rsidRPr="00996B66" w:rsidRDefault="00B1352D" w:rsidP="00323E7A">
            <w:pPr>
              <w:widowControl/>
              <w:tabs>
                <w:tab w:val="left" w:pos="142"/>
              </w:tabs>
              <w:jc w:val="left"/>
              <w:rPr>
                <w:rFonts w:ascii="Arial Narrow" w:hAnsi="Arial Narrow"/>
                <w:sz w:val="20"/>
              </w:rPr>
            </w:pPr>
            <w:r w:rsidRPr="00996B66">
              <w:rPr>
                <w:rFonts w:ascii="Arial Narrow" w:hAnsi="Arial Narrow"/>
                <w:sz w:val="20"/>
              </w:rPr>
              <w:tab/>
              <w:t>Endocrine</w:t>
            </w:r>
          </w:p>
        </w:tc>
        <w:tc>
          <w:tcPr>
            <w:tcW w:w="1984" w:type="dxa"/>
          </w:tcPr>
          <w:p w:rsidR="00B1352D" w:rsidRPr="006C03DC" w:rsidRDefault="00B1352D" w:rsidP="00323E7A">
            <w:pPr>
              <w:widowControl/>
              <w:jc w:val="center"/>
              <w:rPr>
                <w:rFonts w:ascii="Arial Narrow" w:hAnsi="Arial Narrow"/>
                <w:sz w:val="20"/>
              </w:rPr>
            </w:pPr>
            <w:r w:rsidRPr="006C03DC">
              <w:rPr>
                <w:rFonts w:ascii="Arial Narrow" w:hAnsi="Arial Narrow"/>
                <w:sz w:val="20"/>
              </w:rPr>
              <w:t>6.30 (1.89,</w:t>
            </w:r>
            <w:r w:rsidR="00EF0B21" w:rsidRPr="006C03DC">
              <w:rPr>
                <w:rFonts w:ascii="Arial Narrow" w:hAnsi="Arial Narrow"/>
                <w:sz w:val="20"/>
              </w:rPr>
              <w:t xml:space="preserve"> </w:t>
            </w:r>
            <w:r w:rsidRPr="006C03DC">
              <w:rPr>
                <w:rFonts w:ascii="Arial Narrow" w:hAnsi="Arial Narrow"/>
                <w:sz w:val="20"/>
              </w:rPr>
              <w:t>21.00)</w:t>
            </w:r>
          </w:p>
        </w:tc>
        <w:tc>
          <w:tcPr>
            <w:tcW w:w="2127" w:type="dxa"/>
          </w:tcPr>
          <w:p w:rsidR="00B1352D" w:rsidRPr="006C03DC" w:rsidRDefault="00B1352D" w:rsidP="00323E7A">
            <w:pPr>
              <w:widowControl/>
              <w:jc w:val="center"/>
              <w:rPr>
                <w:rFonts w:ascii="Arial Narrow" w:hAnsi="Arial Narrow"/>
                <w:sz w:val="20"/>
              </w:rPr>
            </w:pPr>
            <w:r w:rsidRPr="006C03DC">
              <w:rPr>
                <w:rFonts w:ascii="Arial Narrow" w:hAnsi="Arial Narrow"/>
                <w:sz w:val="20"/>
              </w:rPr>
              <w:t>5.04 (1.12,</w:t>
            </w:r>
            <w:r w:rsidR="00EF0B21" w:rsidRPr="006C03DC">
              <w:rPr>
                <w:rFonts w:ascii="Arial Narrow" w:hAnsi="Arial Narrow"/>
                <w:sz w:val="20"/>
              </w:rPr>
              <w:t xml:space="preserve"> </w:t>
            </w:r>
            <w:r w:rsidRPr="006C03DC">
              <w:rPr>
                <w:rFonts w:ascii="Arial Narrow" w:hAnsi="Arial Narrow"/>
                <w:sz w:val="20"/>
              </w:rPr>
              <w:t>22.62)</w:t>
            </w:r>
          </w:p>
        </w:tc>
        <w:tc>
          <w:tcPr>
            <w:tcW w:w="1842" w:type="dxa"/>
          </w:tcPr>
          <w:p w:rsidR="00B1352D" w:rsidRPr="006C03DC" w:rsidRDefault="00B1352D" w:rsidP="00323E7A">
            <w:pPr>
              <w:widowControl/>
              <w:jc w:val="center"/>
              <w:rPr>
                <w:rFonts w:ascii="Arial Narrow" w:hAnsi="Arial Narrow"/>
                <w:b/>
                <w:sz w:val="20"/>
              </w:rPr>
            </w:pPr>
            <w:r w:rsidRPr="006C03DC">
              <w:rPr>
                <w:rFonts w:ascii="Arial Narrow" w:hAnsi="Arial Narrow"/>
                <w:sz w:val="20"/>
              </w:rPr>
              <w:t>1.25 (0.18,</w:t>
            </w:r>
            <w:r w:rsidR="00EF0B21" w:rsidRPr="006C03DC">
              <w:rPr>
                <w:rFonts w:ascii="Arial Narrow" w:hAnsi="Arial Narrow"/>
                <w:sz w:val="20"/>
              </w:rPr>
              <w:t xml:space="preserve"> </w:t>
            </w:r>
            <w:r w:rsidRPr="006C03DC">
              <w:rPr>
                <w:rFonts w:ascii="Arial Narrow" w:hAnsi="Arial Narrow"/>
                <w:sz w:val="20"/>
              </w:rPr>
              <w:t>8.58)</w:t>
            </w:r>
          </w:p>
        </w:tc>
      </w:tr>
      <w:tr w:rsidR="00B1352D" w:rsidRPr="00737934" w:rsidTr="008B41C6">
        <w:tc>
          <w:tcPr>
            <w:tcW w:w="2410" w:type="dxa"/>
            <w:vAlign w:val="center"/>
          </w:tcPr>
          <w:p w:rsidR="00B1352D" w:rsidRPr="00996B66" w:rsidRDefault="00B1352D" w:rsidP="00323E7A">
            <w:pPr>
              <w:widowControl/>
              <w:tabs>
                <w:tab w:val="left" w:pos="142"/>
              </w:tabs>
              <w:jc w:val="left"/>
              <w:rPr>
                <w:rFonts w:ascii="Arial Narrow" w:hAnsi="Arial Narrow"/>
                <w:sz w:val="20"/>
              </w:rPr>
            </w:pPr>
            <w:r w:rsidRPr="00996B66">
              <w:rPr>
                <w:rFonts w:ascii="Arial Narrow" w:hAnsi="Arial Narrow"/>
                <w:sz w:val="20"/>
              </w:rPr>
              <w:tab/>
              <w:t>Gastrointestinal</w:t>
            </w:r>
          </w:p>
        </w:tc>
        <w:tc>
          <w:tcPr>
            <w:tcW w:w="1984" w:type="dxa"/>
          </w:tcPr>
          <w:p w:rsidR="00B1352D" w:rsidRPr="006C03DC" w:rsidRDefault="00B1352D" w:rsidP="00323E7A">
            <w:pPr>
              <w:widowControl/>
              <w:jc w:val="center"/>
              <w:rPr>
                <w:rFonts w:ascii="Arial Narrow" w:hAnsi="Arial Narrow"/>
                <w:sz w:val="20"/>
              </w:rPr>
            </w:pPr>
            <w:r w:rsidRPr="006C03DC">
              <w:rPr>
                <w:rFonts w:ascii="Arial Narrow" w:hAnsi="Arial Narrow"/>
                <w:sz w:val="20"/>
              </w:rPr>
              <w:t>1.20 (0.84,</w:t>
            </w:r>
            <w:r w:rsidR="00EF0B21" w:rsidRPr="006C03DC">
              <w:rPr>
                <w:rFonts w:ascii="Arial Narrow" w:hAnsi="Arial Narrow"/>
                <w:sz w:val="20"/>
              </w:rPr>
              <w:t xml:space="preserve"> </w:t>
            </w:r>
            <w:r w:rsidRPr="006C03DC">
              <w:rPr>
                <w:rFonts w:ascii="Arial Narrow" w:hAnsi="Arial Narrow"/>
                <w:sz w:val="20"/>
              </w:rPr>
              <w:t>1.70)</w:t>
            </w:r>
          </w:p>
        </w:tc>
        <w:tc>
          <w:tcPr>
            <w:tcW w:w="2127" w:type="dxa"/>
          </w:tcPr>
          <w:p w:rsidR="00B1352D" w:rsidRPr="006C03DC" w:rsidRDefault="00B1352D" w:rsidP="00323E7A">
            <w:pPr>
              <w:widowControl/>
              <w:jc w:val="center"/>
              <w:rPr>
                <w:rFonts w:ascii="Arial Narrow" w:hAnsi="Arial Narrow"/>
                <w:sz w:val="20"/>
              </w:rPr>
            </w:pPr>
            <w:r w:rsidRPr="006C03DC">
              <w:rPr>
                <w:rFonts w:ascii="Arial Narrow" w:hAnsi="Arial Narrow"/>
                <w:sz w:val="20"/>
              </w:rPr>
              <w:t>2.07 (1.26,</w:t>
            </w:r>
            <w:r w:rsidR="00EF0B21" w:rsidRPr="006C03DC">
              <w:rPr>
                <w:rFonts w:ascii="Arial Narrow" w:hAnsi="Arial Narrow"/>
                <w:sz w:val="20"/>
              </w:rPr>
              <w:t xml:space="preserve"> </w:t>
            </w:r>
            <w:r w:rsidRPr="006C03DC">
              <w:rPr>
                <w:rFonts w:ascii="Arial Narrow" w:hAnsi="Arial Narrow"/>
                <w:sz w:val="20"/>
              </w:rPr>
              <w:t>3.39)</w:t>
            </w:r>
          </w:p>
        </w:tc>
        <w:tc>
          <w:tcPr>
            <w:tcW w:w="1842" w:type="dxa"/>
          </w:tcPr>
          <w:p w:rsidR="00B1352D" w:rsidRPr="006C03DC" w:rsidRDefault="00B1352D" w:rsidP="00323E7A">
            <w:pPr>
              <w:widowControl/>
              <w:jc w:val="center"/>
              <w:rPr>
                <w:rFonts w:ascii="Arial Narrow" w:hAnsi="Arial Narrow"/>
                <w:b/>
                <w:sz w:val="20"/>
              </w:rPr>
            </w:pPr>
            <w:r w:rsidRPr="006C03DC">
              <w:rPr>
                <w:rFonts w:ascii="Arial Narrow" w:hAnsi="Arial Narrow"/>
                <w:sz w:val="20"/>
              </w:rPr>
              <w:t>0.58 (0.32,</w:t>
            </w:r>
            <w:r w:rsidR="00EF0B21" w:rsidRPr="006C03DC">
              <w:rPr>
                <w:rFonts w:ascii="Arial Narrow" w:hAnsi="Arial Narrow"/>
                <w:sz w:val="20"/>
              </w:rPr>
              <w:t xml:space="preserve"> </w:t>
            </w:r>
            <w:r w:rsidRPr="006C03DC">
              <w:rPr>
                <w:rFonts w:ascii="Arial Narrow" w:hAnsi="Arial Narrow"/>
                <w:sz w:val="20"/>
              </w:rPr>
              <w:t>1.06)</w:t>
            </w:r>
          </w:p>
        </w:tc>
      </w:tr>
      <w:tr w:rsidR="00B1352D" w:rsidRPr="00737934" w:rsidTr="008B41C6">
        <w:tc>
          <w:tcPr>
            <w:tcW w:w="2410" w:type="dxa"/>
            <w:vAlign w:val="center"/>
          </w:tcPr>
          <w:p w:rsidR="00B1352D" w:rsidRPr="00996B66" w:rsidRDefault="00B1352D" w:rsidP="00323E7A">
            <w:pPr>
              <w:widowControl/>
              <w:tabs>
                <w:tab w:val="left" w:pos="142"/>
              </w:tabs>
              <w:jc w:val="left"/>
              <w:rPr>
                <w:rFonts w:ascii="Arial Narrow" w:hAnsi="Arial Narrow"/>
                <w:sz w:val="20"/>
              </w:rPr>
            </w:pPr>
            <w:r w:rsidRPr="00996B66">
              <w:rPr>
                <w:rFonts w:ascii="Arial Narrow" w:hAnsi="Arial Narrow"/>
                <w:sz w:val="20"/>
              </w:rPr>
              <w:tab/>
              <w:t>Hepatic</w:t>
            </w:r>
          </w:p>
        </w:tc>
        <w:tc>
          <w:tcPr>
            <w:tcW w:w="1984" w:type="dxa"/>
          </w:tcPr>
          <w:p w:rsidR="00B1352D" w:rsidRPr="006C03DC" w:rsidRDefault="00B1352D" w:rsidP="00323E7A">
            <w:pPr>
              <w:widowControl/>
              <w:jc w:val="center"/>
              <w:rPr>
                <w:rFonts w:ascii="Arial Narrow" w:hAnsi="Arial Narrow"/>
                <w:b/>
                <w:sz w:val="20"/>
              </w:rPr>
            </w:pPr>
            <w:r w:rsidRPr="006C03DC">
              <w:rPr>
                <w:rFonts w:ascii="Arial Narrow" w:hAnsi="Arial Narrow"/>
                <w:sz w:val="20"/>
              </w:rPr>
              <w:t>1.35 (0.70,</w:t>
            </w:r>
            <w:r w:rsidR="00EF0B21" w:rsidRPr="006C03DC">
              <w:rPr>
                <w:rFonts w:ascii="Arial Narrow" w:hAnsi="Arial Narrow"/>
                <w:sz w:val="20"/>
              </w:rPr>
              <w:t xml:space="preserve"> </w:t>
            </w:r>
            <w:r w:rsidRPr="006C03DC">
              <w:rPr>
                <w:rFonts w:ascii="Arial Narrow" w:hAnsi="Arial Narrow"/>
                <w:sz w:val="20"/>
              </w:rPr>
              <w:t>2.62)</w:t>
            </w:r>
          </w:p>
        </w:tc>
        <w:tc>
          <w:tcPr>
            <w:tcW w:w="2127" w:type="dxa"/>
          </w:tcPr>
          <w:p w:rsidR="00B1352D" w:rsidRPr="006C03DC" w:rsidRDefault="00B1352D" w:rsidP="00323E7A">
            <w:pPr>
              <w:widowControl/>
              <w:jc w:val="center"/>
              <w:rPr>
                <w:rFonts w:ascii="Arial Narrow" w:hAnsi="Arial Narrow"/>
                <w:b/>
                <w:sz w:val="20"/>
              </w:rPr>
            </w:pPr>
            <w:r w:rsidRPr="006C03DC">
              <w:rPr>
                <w:rFonts w:ascii="Arial Narrow" w:hAnsi="Arial Narrow"/>
                <w:sz w:val="20"/>
              </w:rPr>
              <w:t>0.84 (0.26,</w:t>
            </w:r>
            <w:r w:rsidR="00EF0B21" w:rsidRPr="006C03DC">
              <w:rPr>
                <w:rFonts w:ascii="Arial Narrow" w:hAnsi="Arial Narrow"/>
                <w:sz w:val="20"/>
              </w:rPr>
              <w:t xml:space="preserve"> </w:t>
            </w:r>
            <w:r w:rsidRPr="006C03DC">
              <w:rPr>
                <w:rFonts w:ascii="Arial Narrow" w:hAnsi="Arial Narrow"/>
                <w:sz w:val="20"/>
              </w:rPr>
              <w:t>2.69)</w:t>
            </w:r>
          </w:p>
        </w:tc>
        <w:tc>
          <w:tcPr>
            <w:tcW w:w="1842" w:type="dxa"/>
          </w:tcPr>
          <w:p w:rsidR="00B1352D" w:rsidRPr="006C03DC" w:rsidRDefault="00B1352D" w:rsidP="00323E7A">
            <w:pPr>
              <w:widowControl/>
              <w:jc w:val="center"/>
              <w:rPr>
                <w:rFonts w:ascii="Arial Narrow" w:hAnsi="Arial Narrow"/>
                <w:b/>
                <w:sz w:val="20"/>
              </w:rPr>
            </w:pPr>
            <w:r w:rsidRPr="006C03DC">
              <w:rPr>
                <w:rFonts w:ascii="Arial Narrow" w:hAnsi="Arial Narrow"/>
                <w:sz w:val="20"/>
              </w:rPr>
              <w:t>1.61 (0.42,</w:t>
            </w:r>
            <w:r w:rsidR="00EF0B21" w:rsidRPr="006C03DC">
              <w:rPr>
                <w:rFonts w:ascii="Arial Narrow" w:hAnsi="Arial Narrow"/>
                <w:sz w:val="20"/>
              </w:rPr>
              <w:t xml:space="preserve"> </w:t>
            </w:r>
            <w:r w:rsidRPr="006C03DC">
              <w:rPr>
                <w:rFonts w:ascii="Arial Narrow" w:hAnsi="Arial Narrow"/>
                <w:sz w:val="20"/>
              </w:rPr>
              <w:t>6.15)</w:t>
            </w:r>
          </w:p>
        </w:tc>
      </w:tr>
      <w:tr w:rsidR="00B1352D" w:rsidRPr="00737934" w:rsidTr="008B41C6">
        <w:tc>
          <w:tcPr>
            <w:tcW w:w="2410" w:type="dxa"/>
            <w:vAlign w:val="center"/>
          </w:tcPr>
          <w:p w:rsidR="00B1352D" w:rsidRPr="00996B66" w:rsidRDefault="00B1352D" w:rsidP="00323E7A">
            <w:pPr>
              <w:widowControl/>
              <w:tabs>
                <w:tab w:val="left" w:pos="142"/>
              </w:tabs>
              <w:jc w:val="left"/>
              <w:rPr>
                <w:rFonts w:ascii="Arial Narrow" w:hAnsi="Arial Narrow"/>
                <w:sz w:val="20"/>
              </w:rPr>
            </w:pPr>
            <w:r w:rsidRPr="00996B66">
              <w:rPr>
                <w:rFonts w:ascii="Arial Narrow" w:hAnsi="Arial Narrow"/>
                <w:sz w:val="20"/>
              </w:rPr>
              <w:tab/>
              <w:t>Skin</w:t>
            </w:r>
          </w:p>
        </w:tc>
        <w:tc>
          <w:tcPr>
            <w:tcW w:w="1984" w:type="dxa"/>
          </w:tcPr>
          <w:p w:rsidR="00B1352D" w:rsidRPr="006C03DC" w:rsidRDefault="00B1352D" w:rsidP="00323E7A">
            <w:pPr>
              <w:widowControl/>
              <w:jc w:val="center"/>
              <w:rPr>
                <w:rFonts w:ascii="Arial Narrow" w:hAnsi="Arial Narrow"/>
                <w:b/>
                <w:sz w:val="20"/>
              </w:rPr>
            </w:pPr>
            <w:r w:rsidRPr="006C03DC">
              <w:rPr>
                <w:rFonts w:ascii="Arial Narrow" w:hAnsi="Arial Narrow"/>
                <w:sz w:val="20"/>
              </w:rPr>
              <w:t>1.91 (1.45,</w:t>
            </w:r>
            <w:r w:rsidR="00EF0B21" w:rsidRPr="006C03DC">
              <w:rPr>
                <w:rFonts w:ascii="Arial Narrow" w:hAnsi="Arial Narrow"/>
                <w:sz w:val="20"/>
              </w:rPr>
              <w:t xml:space="preserve"> </w:t>
            </w:r>
            <w:r w:rsidRPr="006C03DC">
              <w:rPr>
                <w:rFonts w:ascii="Arial Narrow" w:hAnsi="Arial Narrow"/>
                <w:sz w:val="20"/>
              </w:rPr>
              <w:t>2.53)</w:t>
            </w:r>
          </w:p>
        </w:tc>
        <w:tc>
          <w:tcPr>
            <w:tcW w:w="2127" w:type="dxa"/>
          </w:tcPr>
          <w:p w:rsidR="00B1352D" w:rsidRPr="006C03DC" w:rsidRDefault="00B1352D" w:rsidP="00323E7A">
            <w:pPr>
              <w:widowControl/>
              <w:jc w:val="center"/>
              <w:rPr>
                <w:rFonts w:ascii="Arial Narrow" w:hAnsi="Arial Narrow"/>
                <w:b/>
                <w:sz w:val="20"/>
              </w:rPr>
            </w:pPr>
            <w:r w:rsidRPr="006C03DC">
              <w:rPr>
                <w:rFonts w:ascii="Arial Narrow" w:hAnsi="Arial Narrow"/>
                <w:sz w:val="20"/>
              </w:rPr>
              <w:t>2.26 (1.50,</w:t>
            </w:r>
            <w:r w:rsidR="00EF0B21" w:rsidRPr="006C03DC">
              <w:rPr>
                <w:rFonts w:ascii="Arial Narrow" w:hAnsi="Arial Narrow"/>
                <w:sz w:val="20"/>
              </w:rPr>
              <w:t xml:space="preserve"> </w:t>
            </w:r>
            <w:r w:rsidRPr="006C03DC">
              <w:rPr>
                <w:rFonts w:ascii="Arial Narrow" w:hAnsi="Arial Narrow"/>
                <w:sz w:val="20"/>
              </w:rPr>
              <w:t>3.39)</w:t>
            </w:r>
          </w:p>
        </w:tc>
        <w:tc>
          <w:tcPr>
            <w:tcW w:w="1842" w:type="dxa"/>
          </w:tcPr>
          <w:p w:rsidR="00B1352D" w:rsidRPr="006C03DC" w:rsidRDefault="00B1352D" w:rsidP="00323E7A">
            <w:pPr>
              <w:widowControl/>
              <w:jc w:val="center"/>
              <w:rPr>
                <w:rFonts w:ascii="Arial Narrow" w:hAnsi="Arial Narrow"/>
                <w:b/>
                <w:sz w:val="20"/>
              </w:rPr>
            </w:pPr>
            <w:r w:rsidRPr="006C03DC">
              <w:rPr>
                <w:rFonts w:ascii="Arial Narrow" w:hAnsi="Arial Narrow"/>
                <w:sz w:val="20"/>
              </w:rPr>
              <w:t>0.85 (0.52,</w:t>
            </w:r>
            <w:r w:rsidR="00EF0B21" w:rsidRPr="006C03DC">
              <w:rPr>
                <w:rFonts w:ascii="Arial Narrow" w:hAnsi="Arial Narrow"/>
                <w:sz w:val="20"/>
              </w:rPr>
              <w:t xml:space="preserve"> </w:t>
            </w:r>
            <w:r w:rsidRPr="006C03DC">
              <w:rPr>
                <w:rFonts w:ascii="Arial Narrow" w:hAnsi="Arial Narrow"/>
                <w:sz w:val="20"/>
              </w:rPr>
              <w:t>1.39)</w:t>
            </w:r>
          </w:p>
        </w:tc>
      </w:tr>
      <w:tr w:rsidR="00B1352D" w:rsidRPr="00737934" w:rsidTr="008B41C6">
        <w:tc>
          <w:tcPr>
            <w:tcW w:w="2410" w:type="dxa"/>
          </w:tcPr>
          <w:p w:rsidR="00B1352D" w:rsidRPr="00996B66" w:rsidRDefault="00B1352D" w:rsidP="00323E7A">
            <w:pPr>
              <w:widowControl/>
              <w:tabs>
                <w:tab w:val="left" w:pos="142"/>
              </w:tabs>
              <w:jc w:val="left"/>
              <w:rPr>
                <w:rFonts w:ascii="Arial Narrow" w:hAnsi="Arial Narrow"/>
                <w:sz w:val="20"/>
              </w:rPr>
            </w:pPr>
            <w:r w:rsidRPr="00996B66">
              <w:rPr>
                <w:rFonts w:ascii="Arial Narrow" w:hAnsi="Arial Narrow"/>
                <w:sz w:val="20"/>
              </w:rPr>
              <w:t>Severe</w:t>
            </w:r>
          </w:p>
        </w:tc>
        <w:tc>
          <w:tcPr>
            <w:tcW w:w="1984" w:type="dxa"/>
          </w:tcPr>
          <w:p w:rsidR="00B1352D" w:rsidRPr="006C03DC" w:rsidRDefault="00B1352D" w:rsidP="00323E7A">
            <w:pPr>
              <w:widowControl/>
              <w:jc w:val="center"/>
              <w:rPr>
                <w:rFonts w:ascii="Arial Narrow" w:hAnsi="Arial Narrow"/>
                <w:sz w:val="20"/>
              </w:rPr>
            </w:pPr>
          </w:p>
        </w:tc>
        <w:tc>
          <w:tcPr>
            <w:tcW w:w="2127" w:type="dxa"/>
          </w:tcPr>
          <w:p w:rsidR="00B1352D" w:rsidRPr="006C03DC" w:rsidRDefault="00B1352D" w:rsidP="00323E7A">
            <w:pPr>
              <w:widowControl/>
              <w:jc w:val="center"/>
              <w:rPr>
                <w:rFonts w:ascii="Arial Narrow" w:hAnsi="Arial Narrow"/>
                <w:sz w:val="20"/>
              </w:rPr>
            </w:pPr>
          </w:p>
        </w:tc>
        <w:tc>
          <w:tcPr>
            <w:tcW w:w="1842" w:type="dxa"/>
          </w:tcPr>
          <w:p w:rsidR="00B1352D" w:rsidRPr="006C03DC" w:rsidRDefault="00B1352D" w:rsidP="00323E7A">
            <w:pPr>
              <w:widowControl/>
              <w:jc w:val="center"/>
              <w:rPr>
                <w:rFonts w:ascii="Arial Narrow" w:hAnsi="Arial Narrow"/>
                <w:sz w:val="20"/>
              </w:rPr>
            </w:pPr>
          </w:p>
        </w:tc>
      </w:tr>
      <w:tr w:rsidR="00B1352D" w:rsidRPr="00737934" w:rsidTr="008B41C6">
        <w:tc>
          <w:tcPr>
            <w:tcW w:w="2410" w:type="dxa"/>
          </w:tcPr>
          <w:p w:rsidR="00B1352D" w:rsidRPr="00996B66" w:rsidRDefault="00B1352D" w:rsidP="00323E7A">
            <w:pPr>
              <w:widowControl/>
              <w:tabs>
                <w:tab w:val="left" w:pos="142"/>
              </w:tabs>
              <w:jc w:val="left"/>
              <w:rPr>
                <w:rFonts w:ascii="Arial Narrow" w:hAnsi="Arial Narrow"/>
                <w:sz w:val="20"/>
              </w:rPr>
            </w:pPr>
            <w:r w:rsidRPr="00996B66">
              <w:rPr>
                <w:rFonts w:ascii="Arial Narrow" w:hAnsi="Arial Narrow"/>
                <w:sz w:val="20"/>
              </w:rPr>
              <w:tab/>
              <w:t>Any AE</w:t>
            </w:r>
          </w:p>
        </w:tc>
        <w:tc>
          <w:tcPr>
            <w:tcW w:w="1984" w:type="dxa"/>
          </w:tcPr>
          <w:p w:rsidR="00B1352D" w:rsidRPr="006C03DC" w:rsidRDefault="00B1352D" w:rsidP="00323E7A">
            <w:pPr>
              <w:widowControl/>
              <w:jc w:val="center"/>
              <w:rPr>
                <w:rFonts w:ascii="Arial Narrow" w:hAnsi="Arial Narrow"/>
                <w:sz w:val="20"/>
              </w:rPr>
            </w:pPr>
            <w:r w:rsidRPr="006C03DC">
              <w:rPr>
                <w:rFonts w:ascii="Arial Narrow" w:hAnsi="Arial Narrow"/>
                <w:sz w:val="20"/>
              </w:rPr>
              <w:t>2.32 (1.09,</w:t>
            </w:r>
            <w:r w:rsidR="00EF0B21" w:rsidRPr="006C03DC">
              <w:rPr>
                <w:rFonts w:ascii="Arial Narrow" w:hAnsi="Arial Narrow"/>
                <w:sz w:val="20"/>
              </w:rPr>
              <w:t xml:space="preserve"> </w:t>
            </w:r>
            <w:r w:rsidRPr="006C03DC">
              <w:rPr>
                <w:rFonts w:ascii="Arial Narrow" w:hAnsi="Arial Narrow"/>
                <w:sz w:val="20"/>
              </w:rPr>
              <w:t>4.95)</w:t>
            </w:r>
          </w:p>
        </w:tc>
        <w:tc>
          <w:tcPr>
            <w:tcW w:w="2127" w:type="dxa"/>
          </w:tcPr>
          <w:p w:rsidR="00B1352D" w:rsidRPr="006C03DC" w:rsidRDefault="00B1352D" w:rsidP="00323E7A">
            <w:pPr>
              <w:widowControl/>
              <w:jc w:val="center"/>
              <w:rPr>
                <w:rFonts w:ascii="Arial Narrow" w:hAnsi="Arial Narrow"/>
                <w:sz w:val="20"/>
              </w:rPr>
            </w:pPr>
            <w:r w:rsidRPr="006C03DC">
              <w:rPr>
                <w:rFonts w:ascii="Arial Narrow" w:hAnsi="Arial Narrow"/>
                <w:sz w:val="20"/>
              </w:rPr>
              <w:t>5.29 (1.86,</w:t>
            </w:r>
            <w:r w:rsidR="00EF0B21" w:rsidRPr="006C03DC">
              <w:rPr>
                <w:rFonts w:ascii="Arial Narrow" w:hAnsi="Arial Narrow"/>
                <w:sz w:val="20"/>
              </w:rPr>
              <w:t xml:space="preserve"> </w:t>
            </w:r>
            <w:r w:rsidRPr="006C03DC">
              <w:rPr>
                <w:rFonts w:ascii="Arial Narrow" w:hAnsi="Arial Narrow"/>
                <w:sz w:val="20"/>
              </w:rPr>
              <w:t>15.02)</w:t>
            </w:r>
          </w:p>
        </w:tc>
        <w:tc>
          <w:tcPr>
            <w:tcW w:w="1842" w:type="dxa"/>
          </w:tcPr>
          <w:p w:rsidR="00B1352D" w:rsidRPr="006C03DC" w:rsidRDefault="00B1352D" w:rsidP="00323E7A">
            <w:pPr>
              <w:widowControl/>
              <w:jc w:val="center"/>
              <w:rPr>
                <w:rFonts w:ascii="Arial Narrow" w:hAnsi="Arial Narrow"/>
                <w:sz w:val="20"/>
              </w:rPr>
            </w:pPr>
            <w:r w:rsidRPr="006C03DC">
              <w:rPr>
                <w:rFonts w:ascii="Arial Narrow" w:hAnsi="Arial Narrow"/>
                <w:sz w:val="20"/>
              </w:rPr>
              <w:t>0.44 (0.12,</w:t>
            </w:r>
            <w:r w:rsidR="00EF0B21" w:rsidRPr="006C03DC">
              <w:rPr>
                <w:rFonts w:ascii="Arial Narrow" w:hAnsi="Arial Narrow"/>
                <w:sz w:val="20"/>
              </w:rPr>
              <w:t xml:space="preserve"> </w:t>
            </w:r>
            <w:r w:rsidRPr="006C03DC">
              <w:rPr>
                <w:rFonts w:ascii="Arial Narrow" w:hAnsi="Arial Narrow"/>
                <w:sz w:val="20"/>
              </w:rPr>
              <w:t>1.59)</w:t>
            </w:r>
          </w:p>
        </w:tc>
      </w:tr>
      <w:tr w:rsidR="00B1352D" w:rsidRPr="00737934" w:rsidTr="008B41C6">
        <w:tc>
          <w:tcPr>
            <w:tcW w:w="2410" w:type="dxa"/>
            <w:vAlign w:val="center"/>
          </w:tcPr>
          <w:p w:rsidR="00B1352D" w:rsidRPr="00996B66" w:rsidRDefault="00B1352D" w:rsidP="00323E7A">
            <w:pPr>
              <w:widowControl/>
              <w:tabs>
                <w:tab w:val="left" w:pos="142"/>
              </w:tabs>
              <w:jc w:val="left"/>
              <w:rPr>
                <w:rFonts w:ascii="Arial Narrow" w:hAnsi="Arial Narrow"/>
                <w:sz w:val="20"/>
              </w:rPr>
            </w:pPr>
            <w:r w:rsidRPr="00996B66">
              <w:rPr>
                <w:rFonts w:ascii="Arial Narrow" w:hAnsi="Arial Narrow"/>
                <w:sz w:val="20"/>
              </w:rPr>
              <w:tab/>
              <w:t>Gastrointestinal</w:t>
            </w:r>
          </w:p>
        </w:tc>
        <w:tc>
          <w:tcPr>
            <w:tcW w:w="1984" w:type="dxa"/>
          </w:tcPr>
          <w:p w:rsidR="00B1352D" w:rsidRPr="006C03DC" w:rsidRDefault="00B1352D" w:rsidP="00323E7A">
            <w:pPr>
              <w:widowControl/>
              <w:jc w:val="center"/>
              <w:rPr>
                <w:rFonts w:ascii="Arial Narrow" w:hAnsi="Arial Narrow"/>
                <w:sz w:val="20"/>
              </w:rPr>
            </w:pPr>
            <w:r w:rsidRPr="006C03DC">
              <w:rPr>
                <w:rFonts w:ascii="Arial Narrow" w:hAnsi="Arial Narrow"/>
                <w:sz w:val="20"/>
              </w:rPr>
              <w:t>4.98 (0.58,</w:t>
            </w:r>
            <w:r w:rsidR="00EF0B21" w:rsidRPr="006C03DC">
              <w:rPr>
                <w:rFonts w:ascii="Arial Narrow" w:hAnsi="Arial Narrow"/>
                <w:sz w:val="20"/>
              </w:rPr>
              <w:t xml:space="preserve"> </w:t>
            </w:r>
            <w:r w:rsidRPr="006C03DC">
              <w:rPr>
                <w:rFonts w:ascii="Arial Narrow" w:hAnsi="Arial Narrow"/>
                <w:sz w:val="20"/>
              </w:rPr>
              <w:t>42.33)</w:t>
            </w:r>
          </w:p>
        </w:tc>
        <w:tc>
          <w:tcPr>
            <w:tcW w:w="2127" w:type="dxa"/>
          </w:tcPr>
          <w:p w:rsidR="00B1352D" w:rsidRPr="006C03DC" w:rsidRDefault="00B1352D" w:rsidP="00323E7A">
            <w:pPr>
              <w:widowControl/>
              <w:jc w:val="center"/>
              <w:rPr>
                <w:rFonts w:ascii="Arial Narrow" w:hAnsi="Arial Narrow"/>
                <w:sz w:val="20"/>
              </w:rPr>
            </w:pPr>
            <w:r w:rsidRPr="006C03DC">
              <w:rPr>
                <w:rFonts w:ascii="Arial Narrow" w:hAnsi="Arial Narrow"/>
                <w:sz w:val="20"/>
              </w:rPr>
              <w:t>11.08 (1.45, 84.96)</w:t>
            </w:r>
          </w:p>
        </w:tc>
        <w:tc>
          <w:tcPr>
            <w:tcW w:w="1842" w:type="dxa"/>
          </w:tcPr>
          <w:p w:rsidR="00B1352D" w:rsidRPr="006C03DC" w:rsidRDefault="00B1352D" w:rsidP="00323E7A">
            <w:pPr>
              <w:widowControl/>
              <w:jc w:val="center"/>
              <w:rPr>
                <w:rFonts w:ascii="Arial Narrow" w:hAnsi="Arial Narrow"/>
                <w:sz w:val="20"/>
              </w:rPr>
            </w:pPr>
            <w:r w:rsidRPr="006C03DC">
              <w:rPr>
                <w:rFonts w:ascii="Arial Narrow" w:hAnsi="Arial Narrow"/>
                <w:sz w:val="20"/>
              </w:rPr>
              <w:t>0.45 (0.02, 8.62)</w:t>
            </w:r>
          </w:p>
        </w:tc>
      </w:tr>
      <w:tr w:rsidR="00B1352D" w:rsidRPr="00737934" w:rsidTr="008B41C6">
        <w:tc>
          <w:tcPr>
            <w:tcW w:w="2410" w:type="dxa"/>
            <w:vAlign w:val="center"/>
          </w:tcPr>
          <w:p w:rsidR="00B1352D" w:rsidRPr="00996B66" w:rsidRDefault="00B1352D" w:rsidP="00323E7A">
            <w:pPr>
              <w:widowControl/>
              <w:tabs>
                <w:tab w:val="left" w:pos="142"/>
              </w:tabs>
              <w:jc w:val="left"/>
              <w:rPr>
                <w:rFonts w:ascii="Arial Narrow" w:hAnsi="Arial Narrow"/>
                <w:sz w:val="20"/>
              </w:rPr>
            </w:pPr>
            <w:r w:rsidRPr="00996B66">
              <w:rPr>
                <w:rFonts w:ascii="Arial Narrow" w:hAnsi="Arial Narrow"/>
                <w:sz w:val="20"/>
              </w:rPr>
              <w:tab/>
              <w:t>Hepatic</w:t>
            </w:r>
          </w:p>
        </w:tc>
        <w:tc>
          <w:tcPr>
            <w:tcW w:w="1984" w:type="dxa"/>
          </w:tcPr>
          <w:p w:rsidR="00B1352D" w:rsidRPr="006C03DC" w:rsidRDefault="00B1352D" w:rsidP="00323E7A">
            <w:pPr>
              <w:widowControl/>
              <w:jc w:val="center"/>
              <w:rPr>
                <w:rFonts w:ascii="Arial Narrow" w:hAnsi="Arial Narrow"/>
                <w:sz w:val="20"/>
              </w:rPr>
            </w:pPr>
            <w:r w:rsidRPr="006C03DC">
              <w:rPr>
                <w:rFonts w:ascii="Arial Narrow" w:hAnsi="Arial Narrow"/>
                <w:sz w:val="20"/>
              </w:rPr>
              <w:t>2.19 (0.77,</w:t>
            </w:r>
            <w:r w:rsidR="00EF0B21" w:rsidRPr="006C03DC">
              <w:rPr>
                <w:rFonts w:ascii="Arial Narrow" w:hAnsi="Arial Narrow"/>
                <w:sz w:val="20"/>
              </w:rPr>
              <w:t xml:space="preserve"> </w:t>
            </w:r>
            <w:r w:rsidRPr="006C03DC">
              <w:rPr>
                <w:rFonts w:ascii="Arial Narrow" w:hAnsi="Arial Narrow"/>
                <w:sz w:val="20"/>
              </w:rPr>
              <w:t>6.20)</w:t>
            </w:r>
          </w:p>
        </w:tc>
        <w:tc>
          <w:tcPr>
            <w:tcW w:w="2127" w:type="dxa"/>
          </w:tcPr>
          <w:p w:rsidR="00B1352D" w:rsidRPr="006C03DC" w:rsidRDefault="00B1352D" w:rsidP="00323E7A">
            <w:pPr>
              <w:widowControl/>
              <w:jc w:val="center"/>
              <w:rPr>
                <w:rFonts w:ascii="Arial Narrow" w:hAnsi="Arial Narrow"/>
                <w:sz w:val="20"/>
              </w:rPr>
            </w:pPr>
            <w:r w:rsidRPr="006C03DC">
              <w:rPr>
                <w:rFonts w:ascii="Arial Narrow" w:hAnsi="Arial Narrow"/>
                <w:sz w:val="20"/>
              </w:rPr>
              <w:t>0.34 (0.04,</w:t>
            </w:r>
            <w:r w:rsidR="00EF0B21" w:rsidRPr="006C03DC">
              <w:rPr>
                <w:rFonts w:ascii="Arial Narrow" w:hAnsi="Arial Narrow"/>
                <w:sz w:val="20"/>
              </w:rPr>
              <w:t xml:space="preserve"> </w:t>
            </w:r>
            <w:r w:rsidRPr="006C03DC">
              <w:rPr>
                <w:rFonts w:ascii="Arial Narrow" w:hAnsi="Arial Narrow"/>
                <w:sz w:val="20"/>
              </w:rPr>
              <w:t>3.20)</w:t>
            </w:r>
          </w:p>
        </w:tc>
        <w:tc>
          <w:tcPr>
            <w:tcW w:w="1842" w:type="dxa"/>
          </w:tcPr>
          <w:p w:rsidR="00B1352D" w:rsidRPr="006C03DC" w:rsidRDefault="00B1352D" w:rsidP="00323E7A">
            <w:pPr>
              <w:widowControl/>
              <w:jc w:val="center"/>
              <w:rPr>
                <w:rFonts w:ascii="Arial Narrow" w:hAnsi="Arial Narrow"/>
                <w:sz w:val="20"/>
              </w:rPr>
            </w:pPr>
            <w:r w:rsidRPr="006C03DC">
              <w:rPr>
                <w:rFonts w:ascii="Arial Narrow" w:hAnsi="Arial Narrow"/>
                <w:sz w:val="20"/>
              </w:rPr>
              <w:t>6.52 (0.54,</w:t>
            </w:r>
            <w:r w:rsidR="00EF0B21" w:rsidRPr="006C03DC">
              <w:rPr>
                <w:rFonts w:ascii="Arial Narrow" w:hAnsi="Arial Narrow"/>
                <w:sz w:val="20"/>
              </w:rPr>
              <w:t xml:space="preserve"> </w:t>
            </w:r>
            <w:r w:rsidRPr="006C03DC">
              <w:rPr>
                <w:rFonts w:ascii="Arial Narrow" w:hAnsi="Arial Narrow"/>
                <w:sz w:val="20"/>
              </w:rPr>
              <w:t>78.14)</w:t>
            </w:r>
          </w:p>
        </w:tc>
      </w:tr>
    </w:tbl>
    <w:p w:rsidR="000C7A34" w:rsidRPr="006C03DC" w:rsidRDefault="000C7A34" w:rsidP="00323E7A">
      <w:pPr>
        <w:pStyle w:val="TableFooter"/>
        <w:widowControl/>
        <w:tabs>
          <w:tab w:val="left" w:pos="851"/>
        </w:tabs>
        <w:ind w:left="709"/>
      </w:pPr>
      <w:r w:rsidRPr="006C03DC">
        <w:rPr>
          <w:vertAlign w:val="superscript"/>
        </w:rPr>
        <w:t>a</w:t>
      </w:r>
      <w:r w:rsidRPr="006C03DC">
        <w:tab/>
        <w:t>Statistical analyses conducted during the evaluation.</w:t>
      </w:r>
    </w:p>
    <w:p w:rsidR="000C7A34" w:rsidRDefault="000C7A34" w:rsidP="00323E7A">
      <w:pPr>
        <w:pStyle w:val="TableFooter"/>
        <w:widowControl/>
        <w:tabs>
          <w:tab w:val="left" w:pos="851"/>
        </w:tabs>
        <w:ind w:left="709"/>
      </w:pPr>
      <w:r w:rsidRPr="00EC79FE">
        <w:t xml:space="preserve">Source:  </w:t>
      </w:r>
      <w:r>
        <w:t>Submission Table 29, p.95;</w:t>
      </w:r>
      <w:r w:rsidRPr="00876933">
        <w:t xml:space="preserve"> </w:t>
      </w:r>
      <w:r>
        <w:t>Table 31, p.98;</w:t>
      </w:r>
      <w:r w:rsidRPr="00876933">
        <w:t xml:space="preserve"> </w:t>
      </w:r>
      <w:r>
        <w:t>Table 32,p.99; Table 33,p101 of the submission</w:t>
      </w:r>
      <w:r w:rsidRPr="00876933">
        <w:t>; CA209-066 CSR Tab</w:t>
      </w:r>
      <w:r>
        <w:t>le 8.7.1-1, p118; Table 8.7.3-1, p126; Table 8.7.6-1, p137; Table 8.7.7-1, p118 of the CA209-066 CSR</w:t>
      </w:r>
      <w:r w:rsidRPr="00876933">
        <w:t>; MDX010-20 CSR Table 7.21.1</w:t>
      </w:r>
      <w:r>
        <w:t xml:space="preserve"> of the MDX010-20 CSR.</w:t>
      </w:r>
      <w:r w:rsidRPr="00EC79FE">
        <w:t xml:space="preserve"> </w:t>
      </w:r>
    </w:p>
    <w:p w:rsidR="000C7A34" w:rsidRDefault="000C7A34" w:rsidP="00323E7A">
      <w:pPr>
        <w:pStyle w:val="TableFooter"/>
        <w:widowControl/>
        <w:tabs>
          <w:tab w:val="left" w:pos="851"/>
        </w:tabs>
        <w:ind w:left="709"/>
      </w:pPr>
      <w:r>
        <w:t>AE=adverse event</w:t>
      </w:r>
    </w:p>
    <w:p w:rsidR="000C7A34" w:rsidRPr="000C7A34" w:rsidRDefault="000C7A34" w:rsidP="00323E7A">
      <w:pPr>
        <w:widowControl/>
        <w:rPr>
          <w:szCs w:val="22"/>
        </w:rPr>
      </w:pPr>
    </w:p>
    <w:p w:rsidR="000C7A34" w:rsidRPr="006C03DC" w:rsidRDefault="000C7A34" w:rsidP="00323E7A">
      <w:pPr>
        <w:pStyle w:val="ListParagraph"/>
        <w:widowControl/>
        <w:numPr>
          <w:ilvl w:val="1"/>
          <w:numId w:val="23"/>
        </w:numPr>
        <w:ind w:left="709" w:hanging="709"/>
      </w:pPr>
      <w:r w:rsidRPr="006C03DC">
        <w:lastRenderedPageBreak/>
        <w:t>The submission claimed that there were fewer serious AEs overall for nivolumab, and in particular diarrhoea, colitis and fatigue; that there were fewer severe AEs, in particular diarrhoea and colitis; and there were fewer severe AEs with a potential immunologic cause</w:t>
      </w:r>
      <w:r w:rsidR="007951A8" w:rsidRPr="006C03DC">
        <w:t>,</w:t>
      </w:r>
      <w:r w:rsidRPr="006C03DC">
        <w:t xml:space="preserve"> in particular gastrointestinal and hepatic events.  The analyses conducted during the evaluation (see Table</w:t>
      </w:r>
      <w:r w:rsidR="00FE7618" w:rsidRPr="006C03DC">
        <w:t xml:space="preserve"> </w:t>
      </w:r>
      <w:r w:rsidR="0061538A" w:rsidRPr="006C03DC">
        <w:t>4</w:t>
      </w:r>
      <w:r w:rsidRPr="006C03DC">
        <w:t xml:space="preserve"> above) indicate</w:t>
      </w:r>
      <w:r w:rsidR="00FE7618" w:rsidRPr="006C03DC">
        <w:t>d</w:t>
      </w:r>
      <w:r w:rsidRPr="006C03DC">
        <w:t xml:space="preserve"> that only one claim made by the submission </w:t>
      </w:r>
      <w:r w:rsidR="00FE7618" w:rsidRPr="006C03DC">
        <w:t>wa</w:t>
      </w:r>
      <w:r w:rsidRPr="006C03DC">
        <w:t>s supported – fewer serious AEs overall.  There were also statistically significantly fewer severe AEs graded ≥3 with nivolumab, although</w:t>
      </w:r>
      <w:r w:rsidR="007602D6" w:rsidRPr="006C03DC">
        <w:t xml:space="preserve"> the rates of diarrhoea and colitis events reported were too low to assess </w:t>
      </w:r>
      <w:r w:rsidR="00A571B6" w:rsidRPr="006C03DC">
        <w:t>claims of advantages for nivolumab for these specific events</w:t>
      </w:r>
      <w:r w:rsidR="007602D6" w:rsidRPr="006C03DC">
        <w:t>,</w:t>
      </w:r>
      <w:r w:rsidRPr="006C03DC">
        <w:t xml:space="preserve"> which the submission emphasised.  There were also no statistically significant differences in all other specific AEs cited by the submission, i</w:t>
      </w:r>
      <w:r w:rsidR="00801834" w:rsidRPr="006C03DC">
        <w:t>.</w:t>
      </w:r>
      <w:r w:rsidRPr="006C03DC">
        <w:t>e</w:t>
      </w:r>
      <w:r w:rsidR="00801834" w:rsidRPr="006C03DC">
        <w:t>.</w:t>
      </w:r>
      <w:r w:rsidRPr="006C03DC">
        <w:t xml:space="preserve"> severe AEs with a potential immunologic cause, AEs leading to discontinuation, and serious AEs of diarrhoea, colitis and fatigue.</w:t>
      </w:r>
    </w:p>
    <w:p w:rsidR="00813393" w:rsidRPr="004A053A" w:rsidRDefault="00813393" w:rsidP="00323E7A">
      <w:pPr>
        <w:widowControl/>
      </w:pPr>
    </w:p>
    <w:p w:rsidR="00813393" w:rsidRPr="004A053A" w:rsidRDefault="004A2802" w:rsidP="00323E7A">
      <w:pPr>
        <w:pStyle w:val="ListParagraph"/>
        <w:widowControl/>
        <w:numPr>
          <w:ilvl w:val="1"/>
          <w:numId w:val="23"/>
        </w:numPr>
        <w:ind w:left="709" w:hanging="709"/>
      </w:pPr>
      <w:r w:rsidRPr="004A053A">
        <w:t>Given</w:t>
      </w:r>
      <w:r w:rsidR="00813393" w:rsidRPr="004A053A">
        <w:t xml:space="preserve"> the </w:t>
      </w:r>
      <w:r w:rsidR="00502D53" w:rsidRPr="004A053A">
        <w:t>poor exchangeability</w:t>
      </w:r>
      <w:r w:rsidR="00813393" w:rsidRPr="004A053A">
        <w:t xml:space="preserve"> of the two trials</w:t>
      </w:r>
      <w:r w:rsidR="005B558C" w:rsidRPr="004A053A">
        <w:t xml:space="preserve"> (e.g. ipilimumab patients had a longer duration of advanced disease) and the shorter period of follow-up considered for safety outcomes in the nivolumab trial</w:t>
      </w:r>
      <w:r w:rsidR="00813393" w:rsidRPr="004A053A">
        <w:t>, the safety results did not clearly demonstrate that nivolumab safety was s</w:t>
      </w:r>
      <w:r w:rsidR="007951A8" w:rsidRPr="004A053A">
        <w:t>uperior to that of ipilimumab.</w:t>
      </w:r>
    </w:p>
    <w:p w:rsidR="00D878DD" w:rsidRDefault="00D878DD" w:rsidP="00323E7A">
      <w:pPr>
        <w:pStyle w:val="ListParagraph"/>
        <w:widowControl/>
        <w:ind w:left="0"/>
        <w:rPr>
          <w:szCs w:val="22"/>
        </w:rPr>
      </w:pPr>
    </w:p>
    <w:p w:rsidR="007F1017" w:rsidRPr="002C2775" w:rsidRDefault="007F1017" w:rsidP="00323E7A">
      <w:pPr>
        <w:pStyle w:val="Heading2"/>
        <w:widowControl/>
        <w:rPr>
          <w:i/>
          <w:szCs w:val="22"/>
        </w:rPr>
      </w:pPr>
      <w:bookmarkStart w:id="11" w:name="_Toc419885973"/>
      <w:r w:rsidRPr="002C2775">
        <w:rPr>
          <w:i/>
        </w:rPr>
        <w:t>Benefits/harms</w:t>
      </w:r>
      <w:bookmarkEnd w:id="11"/>
    </w:p>
    <w:p w:rsidR="007F1017" w:rsidRPr="007F1017" w:rsidRDefault="007F1017" w:rsidP="00323E7A">
      <w:pPr>
        <w:pStyle w:val="ListParagraph"/>
        <w:widowControl/>
        <w:ind w:left="0"/>
        <w:rPr>
          <w:szCs w:val="22"/>
        </w:rPr>
      </w:pPr>
    </w:p>
    <w:p w:rsidR="007F1017" w:rsidRPr="003A3593" w:rsidRDefault="009A37CC" w:rsidP="00323E7A">
      <w:pPr>
        <w:pStyle w:val="ListParagraph"/>
        <w:widowControl/>
        <w:numPr>
          <w:ilvl w:val="1"/>
          <w:numId w:val="23"/>
        </w:numPr>
        <w:ind w:left="709" w:hanging="709"/>
      </w:pPr>
      <w:r w:rsidRPr="003A3593">
        <w:t xml:space="preserve">A summary of benefits and harms based on the indirect comparison of nivolumab and ipilimumab is provided in the table below.  </w:t>
      </w:r>
      <w:r w:rsidR="000C6E04">
        <w:rPr>
          <w:szCs w:val="22"/>
        </w:rPr>
        <w:t>Interpretation of these results was hindered by</w:t>
      </w:r>
      <w:r w:rsidR="000C6E04" w:rsidRPr="006C03DC">
        <w:rPr>
          <w:szCs w:val="22"/>
        </w:rPr>
        <w:t xml:space="preserve"> the poor exchangeability between the trials</w:t>
      </w:r>
      <w:r w:rsidR="00493F97" w:rsidRPr="003A3593">
        <w:t>.</w:t>
      </w:r>
    </w:p>
    <w:p w:rsidR="00162913" w:rsidRDefault="00162913" w:rsidP="00323E7A">
      <w:pPr>
        <w:widowControl/>
      </w:pPr>
    </w:p>
    <w:p w:rsidR="00B62715" w:rsidRPr="00A578DC" w:rsidRDefault="00B62715" w:rsidP="00323E7A">
      <w:pPr>
        <w:keepNext/>
        <w:widowControl/>
        <w:ind w:firstLine="720"/>
        <w:rPr>
          <w:rStyle w:val="CommentReference"/>
        </w:rPr>
      </w:pPr>
      <w:r w:rsidRPr="00A578DC">
        <w:rPr>
          <w:rStyle w:val="CommentReference"/>
        </w:rPr>
        <w:lastRenderedPageBreak/>
        <w:t xml:space="preserve">Table </w:t>
      </w:r>
      <w:r w:rsidR="0061538A">
        <w:rPr>
          <w:rStyle w:val="CommentReference"/>
        </w:rPr>
        <w:t>5</w:t>
      </w:r>
      <w:r w:rsidRPr="00A578DC">
        <w:rPr>
          <w:rStyle w:val="CommentReference"/>
        </w:rPr>
        <w:t xml:space="preserve">: Summary of comparative benefits and harms for </w:t>
      </w:r>
      <w:r w:rsidR="00E25432">
        <w:rPr>
          <w:rStyle w:val="CommentReference"/>
        </w:rPr>
        <w:t>nivolumab and ipilimumab – indirect comparison</w:t>
      </w:r>
    </w:p>
    <w:tbl>
      <w:tblPr>
        <w:tblStyle w:val="TableGrid"/>
        <w:tblW w:w="4622" w:type="pct"/>
        <w:tblInd w:w="705" w:type="dxa"/>
        <w:tblLayout w:type="fixed"/>
        <w:tblCellMar>
          <w:left w:w="28" w:type="dxa"/>
          <w:right w:w="28" w:type="dxa"/>
        </w:tblCellMar>
        <w:tblLook w:val="04A0" w:firstRow="1" w:lastRow="0" w:firstColumn="1" w:lastColumn="0" w:noHBand="0" w:noVBand="1"/>
        <w:tblCaption w:val="Summary of comparative benefits and harms for nivolumab and ipilimumab – indirect comparison"/>
      </w:tblPr>
      <w:tblGrid>
        <w:gridCol w:w="1309"/>
        <w:gridCol w:w="574"/>
        <w:gridCol w:w="275"/>
        <w:gridCol w:w="992"/>
        <w:gridCol w:w="272"/>
        <w:gridCol w:w="1288"/>
        <w:gridCol w:w="222"/>
        <w:gridCol w:w="912"/>
        <w:gridCol w:w="992"/>
        <w:gridCol w:w="76"/>
        <w:gridCol w:w="1483"/>
      </w:tblGrid>
      <w:tr w:rsidR="005D044D" w:rsidRPr="00E2771E" w:rsidTr="006E43DE">
        <w:trPr>
          <w:tblHeader/>
        </w:trPr>
        <w:tc>
          <w:tcPr>
            <w:tcW w:w="5000" w:type="pct"/>
            <w:gridSpan w:val="11"/>
            <w:shd w:val="clear" w:color="auto" w:fill="auto"/>
            <w:vAlign w:val="center"/>
          </w:tcPr>
          <w:p w:rsidR="00B62715" w:rsidRPr="00E2771E" w:rsidRDefault="00B62715" w:rsidP="00323E7A">
            <w:pPr>
              <w:keepNext/>
              <w:widowControl/>
              <w:rPr>
                <w:rFonts w:ascii="Arial Narrow" w:hAnsi="Arial Narrow"/>
                <w:b/>
                <w:color w:val="000000"/>
                <w:sz w:val="20"/>
                <w:szCs w:val="18"/>
              </w:rPr>
            </w:pPr>
            <w:r w:rsidRPr="00E2771E">
              <w:rPr>
                <w:rFonts w:ascii="Arial Narrow" w:hAnsi="Arial Narrow"/>
                <w:b/>
                <w:color w:val="000000"/>
                <w:sz w:val="20"/>
                <w:szCs w:val="18"/>
              </w:rPr>
              <w:t>Benefits</w:t>
            </w:r>
          </w:p>
        </w:tc>
      </w:tr>
      <w:tr w:rsidR="005D044D" w:rsidRPr="00E2771E" w:rsidTr="00FA6362">
        <w:tc>
          <w:tcPr>
            <w:tcW w:w="5000" w:type="pct"/>
            <w:gridSpan w:val="11"/>
            <w:shd w:val="clear" w:color="auto" w:fill="auto"/>
            <w:vAlign w:val="center"/>
          </w:tcPr>
          <w:p w:rsidR="00B62715" w:rsidRPr="00E2771E" w:rsidRDefault="00673A97" w:rsidP="00323E7A">
            <w:pPr>
              <w:keepNext/>
              <w:widowControl/>
              <w:rPr>
                <w:rFonts w:ascii="Arial Narrow" w:hAnsi="Arial Narrow"/>
                <w:b/>
                <w:color w:val="000000"/>
                <w:sz w:val="20"/>
                <w:szCs w:val="18"/>
              </w:rPr>
            </w:pPr>
            <w:r>
              <w:rPr>
                <w:rFonts w:ascii="Arial Narrow" w:hAnsi="Arial Narrow"/>
                <w:b/>
                <w:color w:val="000000"/>
                <w:sz w:val="20"/>
                <w:szCs w:val="18"/>
              </w:rPr>
              <w:t>OS</w:t>
            </w:r>
            <w:r w:rsidR="00B62715" w:rsidRPr="00E2771E">
              <w:rPr>
                <w:rFonts w:ascii="Arial Narrow" w:hAnsi="Arial Narrow"/>
                <w:b/>
                <w:color w:val="000000"/>
                <w:sz w:val="20"/>
                <w:szCs w:val="18"/>
              </w:rPr>
              <w:t xml:space="preserve">: </w:t>
            </w:r>
            <w:r>
              <w:rPr>
                <w:rFonts w:ascii="Arial Narrow" w:hAnsi="Arial Narrow"/>
                <w:b/>
                <w:color w:val="000000"/>
                <w:sz w:val="20"/>
                <w:szCs w:val="18"/>
              </w:rPr>
              <w:t>CA209-066 nivolumab</w:t>
            </w:r>
            <w:bookmarkStart w:id="12" w:name="_GoBack"/>
            <w:bookmarkEnd w:id="12"/>
          </w:p>
        </w:tc>
      </w:tr>
      <w:tr w:rsidR="00DA1C86" w:rsidRPr="00E2771E" w:rsidTr="00D13B16">
        <w:tc>
          <w:tcPr>
            <w:tcW w:w="1122" w:type="pct"/>
            <w:gridSpan w:val="2"/>
            <w:shd w:val="clear" w:color="auto" w:fill="auto"/>
            <w:vAlign w:val="center"/>
          </w:tcPr>
          <w:p w:rsidR="00673A97" w:rsidRPr="00E2771E" w:rsidRDefault="00673A97" w:rsidP="00323E7A">
            <w:pPr>
              <w:keepNext/>
              <w:widowControl/>
              <w:jc w:val="center"/>
              <w:rPr>
                <w:rFonts w:ascii="Arial Narrow" w:hAnsi="Arial Narrow"/>
                <w:color w:val="000000"/>
                <w:sz w:val="20"/>
                <w:szCs w:val="18"/>
              </w:rPr>
            </w:pPr>
          </w:p>
        </w:tc>
        <w:tc>
          <w:tcPr>
            <w:tcW w:w="917" w:type="pct"/>
            <w:gridSpan w:val="3"/>
          </w:tcPr>
          <w:p w:rsidR="00673A97" w:rsidRPr="00E2771E" w:rsidRDefault="00673A97" w:rsidP="00323E7A">
            <w:pPr>
              <w:keepNext/>
              <w:widowControl/>
              <w:jc w:val="center"/>
              <w:rPr>
                <w:rFonts w:ascii="Arial Narrow" w:hAnsi="Arial Narrow"/>
                <w:b/>
                <w:color w:val="000000"/>
                <w:sz w:val="20"/>
                <w:szCs w:val="18"/>
              </w:rPr>
            </w:pPr>
            <w:r>
              <w:rPr>
                <w:rFonts w:ascii="Arial Narrow" w:hAnsi="Arial Narrow"/>
                <w:b/>
                <w:sz w:val="20"/>
              </w:rPr>
              <w:t>Nivo n/N (%)</w:t>
            </w:r>
          </w:p>
        </w:tc>
        <w:tc>
          <w:tcPr>
            <w:tcW w:w="899" w:type="pct"/>
            <w:gridSpan w:val="2"/>
          </w:tcPr>
          <w:p w:rsidR="00673A97" w:rsidRPr="00E2771E" w:rsidRDefault="00673A97" w:rsidP="00323E7A">
            <w:pPr>
              <w:keepNext/>
              <w:widowControl/>
              <w:jc w:val="center"/>
              <w:rPr>
                <w:rFonts w:ascii="Arial Narrow" w:hAnsi="Arial Narrow"/>
                <w:b/>
                <w:color w:val="000000"/>
                <w:sz w:val="20"/>
                <w:szCs w:val="18"/>
              </w:rPr>
            </w:pPr>
            <w:r>
              <w:rPr>
                <w:rFonts w:ascii="Arial Narrow" w:hAnsi="Arial Narrow"/>
                <w:b/>
                <w:sz w:val="20"/>
              </w:rPr>
              <w:t>DTIC n/N (%)</w:t>
            </w:r>
          </w:p>
        </w:tc>
        <w:tc>
          <w:tcPr>
            <w:tcW w:w="1179" w:type="pct"/>
            <w:gridSpan w:val="3"/>
            <w:vAlign w:val="center"/>
          </w:tcPr>
          <w:p w:rsidR="00673A97" w:rsidRPr="00E2771E" w:rsidRDefault="00673A97" w:rsidP="00323E7A">
            <w:pPr>
              <w:keepNext/>
              <w:widowControl/>
              <w:jc w:val="center"/>
              <w:rPr>
                <w:rFonts w:ascii="Arial Narrow" w:hAnsi="Arial Narrow"/>
                <w:b/>
                <w:color w:val="000000"/>
                <w:sz w:val="20"/>
                <w:szCs w:val="18"/>
              </w:rPr>
            </w:pPr>
            <w:r w:rsidRPr="00E2771E">
              <w:rPr>
                <w:rFonts w:ascii="Arial Narrow" w:hAnsi="Arial Narrow"/>
                <w:b/>
                <w:color w:val="000000"/>
                <w:sz w:val="20"/>
                <w:szCs w:val="18"/>
              </w:rPr>
              <w:t xml:space="preserve">Absolute </w:t>
            </w:r>
            <w:r w:rsidR="007951A8" w:rsidRPr="00E2771E">
              <w:rPr>
                <w:rFonts w:ascii="Arial Narrow" w:hAnsi="Arial Narrow"/>
                <w:b/>
                <w:color w:val="000000"/>
                <w:sz w:val="20"/>
                <w:szCs w:val="18"/>
              </w:rPr>
              <w:t>d</w:t>
            </w:r>
            <w:r w:rsidRPr="00E2771E">
              <w:rPr>
                <w:rFonts w:ascii="Arial Narrow" w:hAnsi="Arial Narrow"/>
                <w:b/>
                <w:color w:val="000000"/>
                <w:sz w:val="20"/>
                <w:szCs w:val="18"/>
              </w:rPr>
              <w:t>ifference</w:t>
            </w:r>
          </w:p>
        </w:tc>
        <w:tc>
          <w:tcPr>
            <w:tcW w:w="883" w:type="pct"/>
            <w:vAlign w:val="center"/>
          </w:tcPr>
          <w:p w:rsidR="00673A97" w:rsidRPr="00E2771E" w:rsidRDefault="00673A97" w:rsidP="00323E7A">
            <w:pPr>
              <w:keepNext/>
              <w:widowControl/>
              <w:jc w:val="center"/>
              <w:rPr>
                <w:rFonts w:ascii="Arial Narrow" w:hAnsi="Arial Narrow"/>
                <w:b/>
                <w:color w:val="000000"/>
                <w:sz w:val="20"/>
                <w:szCs w:val="18"/>
              </w:rPr>
            </w:pPr>
            <w:r w:rsidRPr="00E2771E">
              <w:rPr>
                <w:rFonts w:ascii="Arial Narrow" w:hAnsi="Arial Narrow"/>
                <w:b/>
                <w:color w:val="000000"/>
                <w:sz w:val="20"/>
                <w:szCs w:val="18"/>
              </w:rPr>
              <w:t>HR (95% CI)</w:t>
            </w:r>
          </w:p>
        </w:tc>
      </w:tr>
      <w:tr w:rsidR="00DA1C86" w:rsidRPr="00E2771E" w:rsidTr="00D13B16">
        <w:tc>
          <w:tcPr>
            <w:tcW w:w="1122" w:type="pct"/>
            <w:gridSpan w:val="2"/>
            <w:shd w:val="clear" w:color="auto" w:fill="auto"/>
          </w:tcPr>
          <w:p w:rsidR="00673A97" w:rsidRPr="00E2771E" w:rsidRDefault="00673A97" w:rsidP="00323E7A">
            <w:pPr>
              <w:keepNext/>
              <w:widowControl/>
              <w:rPr>
                <w:rFonts w:ascii="Arial Narrow" w:hAnsi="Arial Narrow"/>
                <w:color w:val="000000"/>
                <w:sz w:val="20"/>
                <w:szCs w:val="18"/>
              </w:rPr>
            </w:pPr>
            <w:r>
              <w:rPr>
                <w:rFonts w:ascii="Arial Narrow" w:hAnsi="Arial Narrow"/>
                <w:sz w:val="20"/>
              </w:rPr>
              <w:t>Death</w:t>
            </w:r>
          </w:p>
        </w:tc>
        <w:tc>
          <w:tcPr>
            <w:tcW w:w="917" w:type="pct"/>
            <w:gridSpan w:val="3"/>
          </w:tcPr>
          <w:p w:rsidR="00673A97" w:rsidRPr="00E2771E" w:rsidRDefault="00673A97" w:rsidP="00323E7A">
            <w:pPr>
              <w:keepNext/>
              <w:widowControl/>
              <w:jc w:val="center"/>
              <w:rPr>
                <w:rFonts w:ascii="Arial Narrow" w:hAnsi="Arial Narrow"/>
                <w:sz w:val="20"/>
              </w:rPr>
            </w:pPr>
            <w:r>
              <w:rPr>
                <w:rFonts w:ascii="Arial Narrow" w:hAnsi="Arial Narrow"/>
                <w:sz w:val="20"/>
              </w:rPr>
              <w:t>50/210 (23.8%)</w:t>
            </w:r>
          </w:p>
        </w:tc>
        <w:tc>
          <w:tcPr>
            <w:tcW w:w="899" w:type="pct"/>
            <w:gridSpan w:val="2"/>
          </w:tcPr>
          <w:p w:rsidR="00673A97" w:rsidRPr="00E2771E" w:rsidRDefault="00673A97" w:rsidP="00323E7A">
            <w:pPr>
              <w:keepNext/>
              <w:widowControl/>
              <w:jc w:val="center"/>
              <w:rPr>
                <w:rFonts w:ascii="Arial Narrow" w:hAnsi="Arial Narrow"/>
                <w:sz w:val="20"/>
              </w:rPr>
            </w:pPr>
            <w:r>
              <w:rPr>
                <w:rFonts w:ascii="Arial Narrow" w:hAnsi="Arial Narrow"/>
                <w:sz w:val="20"/>
              </w:rPr>
              <w:t>96/208 (46.2%)</w:t>
            </w:r>
          </w:p>
        </w:tc>
        <w:tc>
          <w:tcPr>
            <w:tcW w:w="1179" w:type="pct"/>
            <w:gridSpan w:val="3"/>
          </w:tcPr>
          <w:p w:rsidR="00673A97" w:rsidRPr="00E2771E" w:rsidRDefault="00673A97" w:rsidP="00323E7A">
            <w:pPr>
              <w:keepNext/>
              <w:widowControl/>
              <w:jc w:val="center"/>
              <w:rPr>
                <w:rFonts w:ascii="Arial Narrow" w:hAnsi="Arial Narrow"/>
                <w:color w:val="000000"/>
                <w:sz w:val="20"/>
                <w:szCs w:val="18"/>
              </w:rPr>
            </w:pPr>
            <w:r>
              <w:rPr>
                <w:rFonts w:ascii="Arial Narrow" w:hAnsi="Arial Narrow"/>
                <w:sz w:val="20"/>
              </w:rPr>
              <w:t>-</w:t>
            </w:r>
          </w:p>
        </w:tc>
        <w:tc>
          <w:tcPr>
            <w:tcW w:w="883" w:type="pct"/>
          </w:tcPr>
          <w:p w:rsidR="00673A97" w:rsidRPr="00E2771E" w:rsidRDefault="00673A97" w:rsidP="00323E7A">
            <w:pPr>
              <w:keepNext/>
              <w:widowControl/>
              <w:jc w:val="center"/>
              <w:rPr>
                <w:rFonts w:ascii="Arial Narrow" w:hAnsi="Arial Narrow"/>
                <w:sz w:val="20"/>
              </w:rPr>
            </w:pPr>
            <w:r>
              <w:rPr>
                <w:rFonts w:ascii="Arial Narrow" w:hAnsi="Arial Narrow"/>
                <w:sz w:val="20"/>
              </w:rPr>
              <w:t>0.42 (0.30, 0.60)</w:t>
            </w:r>
          </w:p>
        </w:tc>
      </w:tr>
      <w:tr w:rsidR="00DA1C86" w:rsidRPr="00E2771E" w:rsidTr="00D13B16">
        <w:tc>
          <w:tcPr>
            <w:tcW w:w="1122" w:type="pct"/>
            <w:gridSpan w:val="2"/>
            <w:shd w:val="clear" w:color="auto" w:fill="auto"/>
          </w:tcPr>
          <w:p w:rsidR="00673A97" w:rsidRPr="00E2771E" w:rsidRDefault="00673A97" w:rsidP="00323E7A">
            <w:pPr>
              <w:keepNext/>
              <w:widowControl/>
              <w:rPr>
                <w:rFonts w:ascii="Arial Narrow" w:hAnsi="Arial Narrow"/>
                <w:color w:val="000000"/>
                <w:sz w:val="20"/>
                <w:szCs w:val="18"/>
              </w:rPr>
            </w:pPr>
            <w:r>
              <w:rPr>
                <w:rFonts w:ascii="Arial Narrow" w:hAnsi="Arial Narrow"/>
                <w:sz w:val="20"/>
              </w:rPr>
              <w:t>OS median months</w:t>
            </w:r>
          </w:p>
        </w:tc>
        <w:tc>
          <w:tcPr>
            <w:tcW w:w="917" w:type="pct"/>
            <w:gridSpan w:val="3"/>
          </w:tcPr>
          <w:p w:rsidR="00673A97" w:rsidRPr="00E2771E" w:rsidRDefault="00673A97" w:rsidP="00323E7A">
            <w:pPr>
              <w:keepNext/>
              <w:widowControl/>
              <w:jc w:val="center"/>
              <w:rPr>
                <w:rFonts w:ascii="Arial Narrow" w:hAnsi="Arial Narrow"/>
                <w:sz w:val="20"/>
              </w:rPr>
            </w:pPr>
            <w:r>
              <w:rPr>
                <w:rFonts w:ascii="Arial Narrow" w:hAnsi="Arial Narrow"/>
                <w:sz w:val="20"/>
              </w:rPr>
              <w:t>NR</w:t>
            </w:r>
          </w:p>
        </w:tc>
        <w:tc>
          <w:tcPr>
            <w:tcW w:w="899" w:type="pct"/>
            <w:gridSpan w:val="2"/>
          </w:tcPr>
          <w:p w:rsidR="00673A97" w:rsidRPr="00E2771E" w:rsidRDefault="00673A97" w:rsidP="00323E7A">
            <w:pPr>
              <w:keepNext/>
              <w:widowControl/>
              <w:jc w:val="center"/>
              <w:rPr>
                <w:rFonts w:ascii="Arial Narrow" w:hAnsi="Arial Narrow"/>
                <w:sz w:val="20"/>
              </w:rPr>
            </w:pPr>
            <w:r>
              <w:rPr>
                <w:rFonts w:ascii="Arial Narrow" w:hAnsi="Arial Narrow"/>
                <w:sz w:val="20"/>
              </w:rPr>
              <w:t>10.84 (9.33, 12.09)</w:t>
            </w:r>
          </w:p>
        </w:tc>
        <w:tc>
          <w:tcPr>
            <w:tcW w:w="1179" w:type="pct"/>
            <w:gridSpan w:val="3"/>
          </w:tcPr>
          <w:p w:rsidR="00673A97" w:rsidRPr="00E2771E" w:rsidRDefault="00673A97" w:rsidP="00323E7A">
            <w:pPr>
              <w:keepNext/>
              <w:widowControl/>
              <w:jc w:val="center"/>
              <w:rPr>
                <w:rFonts w:ascii="Arial Narrow" w:hAnsi="Arial Narrow"/>
                <w:color w:val="000000"/>
                <w:sz w:val="20"/>
                <w:szCs w:val="18"/>
              </w:rPr>
            </w:pPr>
            <w:r>
              <w:rPr>
                <w:rFonts w:ascii="Arial Narrow" w:hAnsi="Arial Narrow"/>
                <w:sz w:val="20"/>
              </w:rPr>
              <w:t>-</w:t>
            </w:r>
          </w:p>
        </w:tc>
        <w:tc>
          <w:tcPr>
            <w:tcW w:w="883" w:type="pct"/>
          </w:tcPr>
          <w:p w:rsidR="00673A97" w:rsidRPr="00E2771E" w:rsidRDefault="00673A97" w:rsidP="00323E7A">
            <w:pPr>
              <w:keepNext/>
              <w:widowControl/>
              <w:jc w:val="center"/>
              <w:rPr>
                <w:rFonts w:ascii="Arial Narrow" w:hAnsi="Arial Narrow"/>
                <w:sz w:val="20"/>
              </w:rPr>
            </w:pPr>
            <w:r>
              <w:rPr>
                <w:rFonts w:ascii="Arial Narrow" w:hAnsi="Arial Narrow"/>
                <w:sz w:val="20"/>
              </w:rPr>
              <w:t>-</w:t>
            </w:r>
          </w:p>
        </w:tc>
      </w:tr>
      <w:tr w:rsidR="00673A97" w:rsidRPr="00E2771E" w:rsidTr="00FA6362">
        <w:tc>
          <w:tcPr>
            <w:tcW w:w="5000" w:type="pct"/>
            <w:gridSpan w:val="11"/>
            <w:shd w:val="clear" w:color="auto" w:fill="auto"/>
            <w:vAlign w:val="center"/>
          </w:tcPr>
          <w:p w:rsidR="00673A97" w:rsidRPr="00673A97" w:rsidRDefault="00673A97" w:rsidP="00323E7A">
            <w:pPr>
              <w:keepNext/>
              <w:widowControl/>
              <w:jc w:val="left"/>
              <w:rPr>
                <w:rFonts w:ascii="Arial Narrow" w:hAnsi="Arial Narrow"/>
                <w:b/>
                <w:sz w:val="20"/>
              </w:rPr>
            </w:pPr>
            <w:r>
              <w:rPr>
                <w:rFonts w:ascii="Arial Narrow" w:hAnsi="Arial Narrow"/>
                <w:b/>
                <w:sz w:val="20"/>
              </w:rPr>
              <w:t>OS - MDX010-20 - ipilimumab</w:t>
            </w:r>
          </w:p>
        </w:tc>
      </w:tr>
      <w:tr w:rsidR="00DA1C86" w:rsidRPr="00E2771E" w:rsidTr="00D13B16">
        <w:tc>
          <w:tcPr>
            <w:tcW w:w="1122" w:type="pct"/>
            <w:gridSpan w:val="2"/>
            <w:shd w:val="clear" w:color="auto" w:fill="auto"/>
            <w:vAlign w:val="center"/>
          </w:tcPr>
          <w:p w:rsidR="00673A97" w:rsidRPr="00E2771E" w:rsidRDefault="00673A97" w:rsidP="00323E7A">
            <w:pPr>
              <w:keepNext/>
              <w:widowControl/>
              <w:rPr>
                <w:rFonts w:ascii="Arial Narrow" w:hAnsi="Arial Narrow"/>
                <w:color w:val="000000"/>
                <w:sz w:val="20"/>
                <w:szCs w:val="18"/>
              </w:rPr>
            </w:pPr>
          </w:p>
        </w:tc>
        <w:tc>
          <w:tcPr>
            <w:tcW w:w="917" w:type="pct"/>
            <w:gridSpan w:val="3"/>
          </w:tcPr>
          <w:p w:rsidR="00673A97" w:rsidRPr="00E2771E" w:rsidRDefault="00673A97" w:rsidP="00323E7A">
            <w:pPr>
              <w:keepNext/>
              <w:widowControl/>
              <w:jc w:val="center"/>
              <w:rPr>
                <w:rFonts w:ascii="Arial Narrow" w:hAnsi="Arial Narrow"/>
                <w:sz w:val="20"/>
              </w:rPr>
            </w:pPr>
            <w:r w:rsidRPr="00CC3301">
              <w:rPr>
                <w:rFonts w:ascii="Arial Narrow" w:hAnsi="Arial Narrow"/>
                <w:b/>
                <w:sz w:val="20"/>
              </w:rPr>
              <w:t>Ipi n/N (%)</w:t>
            </w:r>
          </w:p>
        </w:tc>
        <w:tc>
          <w:tcPr>
            <w:tcW w:w="899" w:type="pct"/>
            <w:gridSpan w:val="2"/>
          </w:tcPr>
          <w:p w:rsidR="00673A97" w:rsidRPr="00E2771E" w:rsidRDefault="00673A97" w:rsidP="00323E7A">
            <w:pPr>
              <w:keepNext/>
              <w:widowControl/>
              <w:jc w:val="center"/>
              <w:rPr>
                <w:rFonts w:ascii="Arial Narrow" w:hAnsi="Arial Narrow"/>
                <w:sz w:val="20"/>
              </w:rPr>
            </w:pPr>
            <w:r w:rsidRPr="00CC3301">
              <w:rPr>
                <w:rFonts w:ascii="Arial Narrow" w:hAnsi="Arial Narrow"/>
                <w:b/>
                <w:sz w:val="20"/>
              </w:rPr>
              <w:t>gp100 n/N (%)</w:t>
            </w:r>
          </w:p>
        </w:tc>
        <w:tc>
          <w:tcPr>
            <w:tcW w:w="1179" w:type="pct"/>
            <w:gridSpan w:val="3"/>
            <w:vAlign w:val="center"/>
          </w:tcPr>
          <w:p w:rsidR="00673A97" w:rsidRPr="00E2771E" w:rsidRDefault="00673A97" w:rsidP="00323E7A">
            <w:pPr>
              <w:keepNext/>
              <w:widowControl/>
              <w:jc w:val="center"/>
              <w:rPr>
                <w:rFonts w:ascii="Arial Narrow" w:hAnsi="Arial Narrow"/>
                <w:color w:val="000000"/>
                <w:sz w:val="20"/>
                <w:szCs w:val="18"/>
              </w:rPr>
            </w:pPr>
          </w:p>
        </w:tc>
        <w:tc>
          <w:tcPr>
            <w:tcW w:w="883" w:type="pct"/>
            <w:vAlign w:val="center"/>
          </w:tcPr>
          <w:p w:rsidR="00673A97" w:rsidRPr="00E2771E" w:rsidRDefault="00673A97" w:rsidP="00323E7A">
            <w:pPr>
              <w:keepNext/>
              <w:widowControl/>
              <w:jc w:val="center"/>
              <w:rPr>
                <w:rFonts w:ascii="Arial Narrow" w:hAnsi="Arial Narrow"/>
                <w:sz w:val="20"/>
              </w:rPr>
            </w:pPr>
          </w:p>
        </w:tc>
      </w:tr>
      <w:tr w:rsidR="00DA1C86" w:rsidRPr="00E2771E" w:rsidTr="00D13B16">
        <w:tc>
          <w:tcPr>
            <w:tcW w:w="1122" w:type="pct"/>
            <w:gridSpan w:val="2"/>
            <w:shd w:val="clear" w:color="auto" w:fill="auto"/>
          </w:tcPr>
          <w:p w:rsidR="00673A97" w:rsidRPr="00E2771E" w:rsidRDefault="00673A97" w:rsidP="00323E7A">
            <w:pPr>
              <w:keepNext/>
              <w:widowControl/>
              <w:rPr>
                <w:rFonts w:ascii="Arial Narrow" w:hAnsi="Arial Narrow"/>
                <w:color w:val="000000"/>
                <w:sz w:val="20"/>
                <w:szCs w:val="18"/>
              </w:rPr>
            </w:pPr>
            <w:r>
              <w:rPr>
                <w:rFonts w:ascii="Arial Narrow" w:hAnsi="Arial Narrow"/>
                <w:sz w:val="20"/>
              </w:rPr>
              <w:t>Death</w:t>
            </w:r>
          </w:p>
        </w:tc>
        <w:tc>
          <w:tcPr>
            <w:tcW w:w="917" w:type="pct"/>
            <w:gridSpan w:val="3"/>
          </w:tcPr>
          <w:p w:rsidR="00673A97" w:rsidRPr="00E2771E" w:rsidRDefault="00673A97" w:rsidP="00323E7A">
            <w:pPr>
              <w:keepNext/>
              <w:widowControl/>
              <w:jc w:val="center"/>
              <w:rPr>
                <w:rFonts w:ascii="Arial Narrow" w:hAnsi="Arial Narrow"/>
                <w:sz w:val="20"/>
              </w:rPr>
            </w:pPr>
            <w:r>
              <w:rPr>
                <w:rFonts w:ascii="Arial Narrow" w:hAnsi="Arial Narrow"/>
                <w:sz w:val="20"/>
              </w:rPr>
              <w:t>100/137 (73.0%)</w:t>
            </w:r>
          </w:p>
        </w:tc>
        <w:tc>
          <w:tcPr>
            <w:tcW w:w="899" w:type="pct"/>
            <w:gridSpan w:val="2"/>
          </w:tcPr>
          <w:p w:rsidR="00673A97" w:rsidRPr="00E2771E" w:rsidRDefault="00673A97" w:rsidP="00323E7A">
            <w:pPr>
              <w:keepNext/>
              <w:widowControl/>
              <w:jc w:val="center"/>
              <w:rPr>
                <w:rFonts w:ascii="Arial Narrow" w:hAnsi="Arial Narrow"/>
                <w:sz w:val="20"/>
              </w:rPr>
            </w:pPr>
            <w:r>
              <w:rPr>
                <w:rFonts w:ascii="Arial Narrow" w:hAnsi="Arial Narrow"/>
                <w:sz w:val="20"/>
              </w:rPr>
              <w:t>119/136 (87.5%)</w:t>
            </w:r>
          </w:p>
        </w:tc>
        <w:tc>
          <w:tcPr>
            <w:tcW w:w="1179" w:type="pct"/>
            <w:gridSpan w:val="3"/>
          </w:tcPr>
          <w:p w:rsidR="00673A97" w:rsidRPr="00E2771E" w:rsidRDefault="00673A97" w:rsidP="00323E7A">
            <w:pPr>
              <w:keepNext/>
              <w:widowControl/>
              <w:jc w:val="center"/>
              <w:rPr>
                <w:rFonts w:ascii="Arial Narrow" w:hAnsi="Arial Narrow"/>
                <w:color w:val="000000"/>
                <w:sz w:val="20"/>
                <w:szCs w:val="18"/>
              </w:rPr>
            </w:pPr>
            <w:r>
              <w:rPr>
                <w:rFonts w:ascii="Arial Narrow" w:hAnsi="Arial Narrow"/>
                <w:sz w:val="20"/>
              </w:rPr>
              <w:t>-</w:t>
            </w:r>
          </w:p>
        </w:tc>
        <w:tc>
          <w:tcPr>
            <w:tcW w:w="883" w:type="pct"/>
          </w:tcPr>
          <w:p w:rsidR="00673A97" w:rsidRPr="00E2771E" w:rsidRDefault="00673A97" w:rsidP="00323E7A">
            <w:pPr>
              <w:keepNext/>
              <w:widowControl/>
              <w:jc w:val="center"/>
              <w:rPr>
                <w:rFonts w:ascii="Arial Narrow" w:hAnsi="Arial Narrow"/>
                <w:sz w:val="20"/>
              </w:rPr>
            </w:pPr>
            <w:r>
              <w:rPr>
                <w:rFonts w:ascii="Arial Narrow" w:hAnsi="Arial Narrow"/>
                <w:sz w:val="20"/>
              </w:rPr>
              <w:t>0.66 (0.51, 0.87)</w:t>
            </w:r>
          </w:p>
        </w:tc>
      </w:tr>
      <w:tr w:rsidR="00DA1C86" w:rsidRPr="00E2771E" w:rsidTr="00D13B16">
        <w:tc>
          <w:tcPr>
            <w:tcW w:w="1122" w:type="pct"/>
            <w:gridSpan w:val="2"/>
            <w:shd w:val="clear" w:color="auto" w:fill="auto"/>
          </w:tcPr>
          <w:p w:rsidR="00673A97" w:rsidRPr="00E2771E" w:rsidRDefault="00673A97" w:rsidP="00323E7A">
            <w:pPr>
              <w:keepNext/>
              <w:widowControl/>
              <w:rPr>
                <w:rFonts w:ascii="Arial Narrow" w:hAnsi="Arial Narrow"/>
                <w:color w:val="000000"/>
                <w:sz w:val="20"/>
                <w:szCs w:val="18"/>
              </w:rPr>
            </w:pPr>
            <w:r>
              <w:rPr>
                <w:rFonts w:ascii="Arial Narrow" w:hAnsi="Arial Narrow"/>
                <w:sz w:val="20"/>
              </w:rPr>
              <w:t>OS median months</w:t>
            </w:r>
          </w:p>
        </w:tc>
        <w:tc>
          <w:tcPr>
            <w:tcW w:w="917" w:type="pct"/>
            <w:gridSpan w:val="3"/>
          </w:tcPr>
          <w:p w:rsidR="00673A97" w:rsidRPr="00E2771E" w:rsidRDefault="00673A97" w:rsidP="00323E7A">
            <w:pPr>
              <w:keepNext/>
              <w:widowControl/>
              <w:jc w:val="center"/>
              <w:rPr>
                <w:rFonts w:ascii="Arial Narrow" w:hAnsi="Arial Narrow"/>
                <w:sz w:val="20"/>
              </w:rPr>
            </w:pPr>
            <w:r>
              <w:rPr>
                <w:rFonts w:ascii="Arial Narrow" w:hAnsi="Arial Narrow"/>
                <w:sz w:val="20"/>
              </w:rPr>
              <w:t>10.12 (8.02, 13.80)</w:t>
            </w:r>
          </w:p>
        </w:tc>
        <w:tc>
          <w:tcPr>
            <w:tcW w:w="899" w:type="pct"/>
            <w:gridSpan w:val="2"/>
          </w:tcPr>
          <w:p w:rsidR="00673A97" w:rsidRPr="00E2771E" w:rsidRDefault="00673A97" w:rsidP="00323E7A">
            <w:pPr>
              <w:keepNext/>
              <w:widowControl/>
              <w:jc w:val="center"/>
              <w:rPr>
                <w:rFonts w:ascii="Arial Narrow" w:hAnsi="Arial Narrow"/>
                <w:sz w:val="20"/>
              </w:rPr>
            </w:pPr>
            <w:r>
              <w:rPr>
                <w:rFonts w:ascii="Arial Narrow" w:hAnsi="Arial Narrow"/>
                <w:sz w:val="20"/>
              </w:rPr>
              <w:t>6.44 (5.49, 8.71)</w:t>
            </w:r>
          </w:p>
        </w:tc>
        <w:tc>
          <w:tcPr>
            <w:tcW w:w="1179" w:type="pct"/>
            <w:gridSpan w:val="3"/>
          </w:tcPr>
          <w:p w:rsidR="00673A97" w:rsidRPr="00E2771E" w:rsidRDefault="00673A97" w:rsidP="00323E7A">
            <w:pPr>
              <w:keepNext/>
              <w:widowControl/>
              <w:jc w:val="center"/>
              <w:rPr>
                <w:rFonts w:ascii="Arial Narrow" w:hAnsi="Arial Narrow"/>
                <w:color w:val="000000"/>
                <w:sz w:val="20"/>
                <w:szCs w:val="18"/>
              </w:rPr>
            </w:pPr>
            <w:r>
              <w:rPr>
                <w:rFonts w:ascii="Arial Narrow" w:hAnsi="Arial Narrow"/>
                <w:sz w:val="20"/>
              </w:rPr>
              <w:t>3.68</w:t>
            </w:r>
          </w:p>
        </w:tc>
        <w:tc>
          <w:tcPr>
            <w:tcW w:w="883" w:type="pct"/>
          </w:tcPr>
          <w:p w:rsidR="00673A97" w:rsidRPr="00E2771E" w:rsidRDefault="00673A97" w:rsidP="00323E7A">
            <w:pPr>
              <w:keepNext/>
              <w:widowControl/>
              <w:jc w:val="center"/>
              <w:rPr>
                <w:rFonts w:ascii="Arial Narrow" w:hAnsi="Arial Narrow"/>
                <w:sz w:val="20"/>
              </w:rPr>
            </w:pPr>
            <w:r>
              <w:rPr>
                <w:rFonts w:ascii="Arial Narrow" w:hAnsi="Arial Narrow"/>
                <w:sz w:val="20"/>
              </w:rPr>
              <w:t>-</w:t>
            </w:r>
          </w:p>
        </w:tc>
      </w:tr>
      <w:tr w:rsidR="00673A97" w:rsidRPr="00E2771E" w:rsidTr="00FA6362">
        <w:tc>
          <w:tcPr>
            <w:tcW w:w="4117" w:type="pct"/>
            <w:gridSpan w:val="10"/>
            <w:shd w:val="clear" w:color="auto" w:fill="auto"/>
            <w:vAlign w:val="center"/>
          </w:tcPr>
          <w:p w:rsidR="00673A97" w:rsidRPr="00673A97" w:rsidRDefault="00673A97" w:rsidP="00323E7A">
            <w:pPr>
              <w:keepNext/>
              <w:widowControl/>
              <w:jc w:val="left"/>
              <w:rPr>
                <w:rFonts w:ascii="Arial Narrow" w:hAnsi="Arial Narrow"/>
                <w:b/>
                <w:color w:val="000000"/>
                <w:sz w:val="20"/>
                <w:szCs w:val="18"/>
              </w:rPr>
            </w:pPr>
            <w:r>
              <w:rPr>
                <w:rFonts w:ascii="Arial Narrow" w:hAnsi="Arial Narrow"/>
                <w:b/>
                <w:sz w:val="20"/>
              </w:rPr>
              <w:t xml:space="preserve">Indirect comparison </w:t>
            </w:r>
            <w:r w:rsidR="00E25432">
              <w:rPr>
                <w:rFonts w:ascii="Arial Narrow" w:hAnsi="Arial Narrow"/>
                <w:b/>
                <w:sz w:val="20"/>
              </w:rPr>
              <w:t>OS</w:t>
            </w:r>
            <w:r>
              <w:rPr>
                <w:rFonts w:ascii="Arial Narrow" w:hAnsi="Arial Narrow"/>
                <w:b/>
                <w:sz w:val="20"/>
              </w:rPr>
              <w:t xml:space="preserve"> – nivo vs. ipi</w:t>
            </w:r>
          </w:p>
        </w:tc>
        <w:tc>
          <w:tcPr>
            <w:tcW w:w="883" w:type="pct"/>
            <w:vAlign w:val="center"/>
          </w:tcPr>
          <w:p w:rsidR="00673A97" w:rsidRPr="00E2771E" w:rsidRDefault="00673A97" w:rsidP="00323E7A">
            <w:pPr>
              <w:keepNext/>
              <w:widowControl/>
              <w:jc w:val="center"/>
              <w:rPr>
                <w:rFonts w:ascii="Arial Narrow" w:hAnsi="Arial Narrow"/>
                <w:sz w:val="20"/>
              </w:rPr>
            </w:pPr>
            <w:r w:rsidRPr="00DC2AA1">
              <w:rPr>
                <w:rFonts w:ascii="Arial Narrow" w:hAnsi="Arial Narrow"/>
                <w:b/>
                <w:sz w:val="20"/>
              </w:rPr>
              <w:t>0.64 (0.41, 0.99)</w:t>
            </w:r>
          </w:p>
        </w:tc>
      </w:tr>
      <w:tr w:rsidR="00673A97" w:rsidRPr="00E2771E" w:rsidTr="00FA6362">
        <w:tc>
          <w:tcPr>
            <w:tcW w:w="5000" w:type="pct"/>
            <w:gridSpan w:val="11"/>
            <w:shd w:val="clear" w:color="auto" w:fill="auto"/>
            <w:vAlign w:val="center"/>
          </w:tcPr>
          <w:p w:rsidR="00673A97" w:rsidRPr="00673A97" w:rsidRDefault="00E25432" w:rsidP="00323E7A">
            <w:pPr>
              <w:keepNext/>
              <w:widowControl/>
              <w:jc w:val="left"/>
              <w:rPr>
                <w:rFonts w:ascii="Arial Narrow" w:hAnsi="Arial Narrow"/>
                <w:b/>
                <w:sz w:val="20"/>
              </w:rPr>
            </w:pPr>
            <w:r>
              <w:rPr>
                <w:rFonts w:ascii="Arial Narrow" w:hAnsi="Arial Narrow"/>
                <w:b/>
                <w:sz w:val="20"/>
              </w:rPr>
              <w:t>PFS</w:t>
            </w:r>
            <w:r w:rsidR="00673A97">
              <w:rPr>
                <w:rFonts w:ascii="Arial Narrow" w:hAnsi="Arial Narrow"/>
                <w:b/>
                <w:sz w:val="20"/>
              </w:rPr>
              <w:t xml:space="preserve"> - </w:t>
            </w:r>
            <w:r w:rsidR="00673A97" w:rsidRPr="00D7126A">
              <w:rPr>
                <w:rFonts w:ascii="Arial Narrow" w:hAnsi="Arial Narrow"/>
                <w:b/>
                <w:sz w:val="20"/>
              </w:rPr>
              <w:t>CA209-066 nivo</w:t>
            </w:r>
            <w:r w:rsidR="00673A97">
              <w:rPr>
                <w:rFonts w:ascii="Arial Narrow" w:hAnsi="Arial Narrow"/>
                <w:b/>
                <w:sz w:val="20"/>
              </w:rPr>
              <w:t>lumab</w:t>
            </w:r>
          </w:p>
        </w:tc>
      </w:tr>
      <w:tr w:rsidR="00DA1C86" w:rsidRPr="00E2771E" w:rsidTr="00D13B16">
        <w:tc>
          <w:tcPr>
            <w:tcW w:w="1122" w:type="pct"/>
            <w:gridSpan w:val="2"/>
            <w:shd w:val="clear" w:color="auto" w:fill="auto"/>
            <w:vAlign w:val="center"/>
          </w:tcPr>
          <w:p w:rsidR="00673A97" w:rsidRPr="00E2771E" w:rsidRDefault="00673A97" w:rsidP="00323E7A">
            <w:pPr>
              <w:keepNext/>
              <w:widowControl/>
              <w:rPr>
                <w:rFonts w:ascii="Arial Narrow" w:hAnsi="Arial Narrow"/>
                <w:color w:val="000000"/>
                <w:sz w:val="20"/>
                <w:szCs w:val="18"/>
              </w:rPr>
            </w:pPr>
          </w:p>
        </w:tc>
        <w:tc>
          <w:tcPr>
            <w:tcW w:w="917" w:type="pct"/>
            <w:gridSpan w:val="3"/>
          </w:tcPr>
          <w:p w:rsidR="00673A97" w:rsidRPr="00E2771E" w:rsidRDefault="00673A97" w:rsidP="00323E7A">
            <w:pPr>
              <w:keepNext/>
              <w:widowControl/>
              <w:jc w:val="center"/>
              <w:rPr>
                <w:rFonts w:ascii="Arial Narrow" w:hAnsi="Arial Narrow"/>
                <w:sz w:val="20"/>
              </w:rPr>
            </w:pPr>
            <w:r>
              <w:rPr>
                <w:rFonts w:ascii="Arial Narrow" w:hAnsi="Arial Narrow"/>
                <w:b/>
                <w:sz w:val="20"/>
              </w:rPr>
              <w:t>Nivo n/N (%)</w:t>
            </w:r>
          </w:p>
        </w:tc>
        <w:tc>
          <w:tcPr>
            <w:tcW w:w="899" w:type="pct"/>
            <w:gridSpan w:val="2"/>
          </w:tcPr>
          <w:p w:rsidR="00673A97" w:rsidRPr="00E2771E" w:rsidRDefault="00673A97" w:rsidP="00323E7A">
            <w:pPr>
              <w:keepNext/>
              <w:widowControl/>
              <w:jc w:val="center"/>
              <w:rPr>
                <w:rFonts w:ascii="Arial Narrow" w:hAnsi="Arial Narrow"/>
                <w:sz w:val="20"/>
              </w:rPr>
            </w:pPr>
            <w:r>
              <w:rPr>
                <w:rFonts w:ascii="Arial Narrow" w:hAnsi="Arial Narrow"/>
                <w:b/>
                <w:sz w:val="20"/>
              </w:rPr>
              <w:t>DTIC n/N (%)</w:t>
            </w:r>
          </w:p>
        </w:tc>
        <w:tc>
          <w:tcPr>
            <w:tcW w:w="1179" w:type="pct"/>
            <w:gridSpan w:val="3"/>
            <w:vAlign w:val="center"/>
          </w:tcPr>
          <w:p w:rsidR="00673A97" w:rsidRPr="00E2771E" w:rsidRDefault="00673A97" w:rsidP="00323E7A">
            <w:pPr>
              <w:keepNext/>
              <w:widowControl/>
              <w:jc w:val="center"/>
              <w:rPr>
                <w:rFonts w:ascii="Arial Narrow" w:hAnsi="Arial Narrow"/>
                <w:color w:val="000000"/>
                <w:sz w:val="20"/>
                <w:szCs w:val="18"/>
              </w:rPr>
            </w:pPr>
          </w:p>
        </w:tc>
        <w:tc>
          <w:tcPr>
            <w:tcW w:w="883" w:type="pct"/>
            <w:vAlign w:val="center"/>
          </w:tcPr>
          <w:p w:rsidR="00673A97" w:rsidRPr="00E2771E" w:rsidRDefault="00673A97" w:rsidP="00323E7A">
            <w:pPr>
              <w:keepNext/>
              <w:widowControl/>
              <w:jc w:val="center"/>
              <w:rPr>
                <w:rFonts w:ascii="Arial Narrow" w:hAnsi="Arial Narrow"/>
                <w:sz w:val="20"/>
              </w:rPr>
            </w:pPr>
          </w:p>
        </w:tc>
      </w:tr>
      <w:tr w:rsidR="00DA1C86" w:rsidRPr="00E2771E" w:rsidTr="00D13B16">
        <w:tc>
          <w:tcPr>
            <w:tcW w:w="1122" w:type="pct"/>
            <w:gridSpan w:val="2"/>
            <w:shd w:val="clear" w:color="auto" w:fill="auto"/>
          </w:tcPr>
          <w:p w:rsidR="00673A97" w:rsidRPr="00E2771E" w:rsidRDefault="00673A97" w:rsidP="00323E7A">
            <w:pPr>
              <w:keepNext/>
              <w:widowControl/>
              <w:rPr>
                <w:rFonts w:ascii="Arial Narrow" w:hAnsi="Arial Narrow"/>
                <w:color w:val="000000"/>
                <w:sz w:val="20"/>
                <w:szCs w:val="18"/>
              </w:rPr>
            </w:pPr>
            <w:r>
              <w:rPr>
                <w:rFonts w:ascii="Arial Narrow" w:hAnsi="Arial Narrow"/>
                <w:sz w:val="20"/>
              </w:rPr>
              <w:t>Progressed</w:t>
            </w:r>
          </w:p>
        </w:tc>
        <w:tc>
          <w:tcPr>
            <w:tcW w:w="917" w:type="pct"/>
            <w:gridSpan w:val="3"/>
          </w:tcPr>
          <w:p w:rsidR="00673A97" w:rsidRPr="00E2771E" w:rsidRDefault="00673A97" w:rsidP="00323E7A">
            <w:pPr>
              <w:keepNext/>
              <w:widowControl/>
              <w:jc w:val="center"/>
              <w:rPr>
                <w:rFonts w:ascii="Arial Narrow" w:hAnsi="Arial Narrow"/>
                <w:sz w:val="20"/>
              </w:rPr>
            </w:pPr>
            <w:r>
              <w:rPr>
                <w:rFonts w:ascii="Arial Narrow" w:hAnsi="Arial Narrow"/>
                <w:sz w:val="20"/>
              </w:rPr>
              <w:t>108/210 (51.4%)</w:t>
            </w:r>
          </w:p>
        </w:tc>
        <w:tc>
          <w:tcPr>
            <w:tcW w:w="899" w:type="pct"/>
            <w:gridSpan w:val="2"/>
          </w:tcPr>
          <w:p w:rsidR="00673A97" w:rsidRPr="00E2771E" w:rsidRDefault="00673A97" w:rsidP="00323E7A">
            <w:pPr>
              <w:keepNext/>
              <w:widowControl/>
              <w:jc w:val="center"/>
              <w:rPr>
                <w:rFonts w:ascii="Arial Narrow" w:hAnsi="Arial Narrow"/>
                <w:sz w:val="20"/>
              </w:rPr>
            </w:pPr>
            <w:r>
              <w:rPr>
                <w:rFonts w:ascii="Arial Narrow" w:hAnsi="Arial Narrow"/>
                <w:sz w:val="20"/>
              </w:rPr>
              <w:t>163/208 (78.4%)</w:t>
            </w:r>
          </w:p>
        </w:tc>
        <w:tc>
          <w:tcPr>
            <w:tcW w:w="1179" w:type="pct"/>
            <w:gridSpan w:val="3"/>
          </w:tcPr>
          <w:p w:rsidR="00673A97" w:rsidRPr="00E2771E" w:rsidRDefault="00673A97" w:rsidP="00323E7A">
            <w:pPr>
              <w:keepNext/>
              <w:widowControl/>
              <w:jc w:val="center"/>
              <w:rPr>
                <w:rFonts w:ascii="Arial Narrow" w:hAnsi="Arial Narrow"/>
                <w:color w:val="000000"/>
                <w:sz w:val="20"/>
                <w:szCs w:val="18"/>
              </w:rPr>
            </w:pPr>
            <w:r>
              <w:rPr>
                <w:rFonts w:ascii="Arial Narrow" w:hAnsi="Arial Narrow"/>
                <w:sz w:val="20"/>
              </w:rPr>
              <w:t>-</w:t>
            </w:r>
          </w:p>
        </w:tc>
        <w:tc>
          <w:tcPr>
            <w:tcW w:w="883" w:type="pct"/>
          </w:tcPr>
          <w:p w:rsidR="00673A97" w:rsidRPr="00E2771E" w:rsidRDefault="00673A97" w:rsidP="00323E7A">
            <w:pPr>
              <w:keepNext/>
              <w:widowControl/>
              <w:jc w:val="center"/>
              <w:rPr>
                <w:rFonts w:ascii="Arial Narrow" w:hAnsi="Arial Narrow"/>
                <w:sz w:val="20"/>
              </w:rPr>
            </w:pPr>
            <w:r>
              <w:rPr>
                <w:rFonts w:ascii="Arial Narrow" w:hAnsi="Arial Narrow"/>
                <w:sz w:val="20"/>
              </w:rPr>
              <w:t>0.43 (0.34, 0.56)</w:t>
            </w:r>
          </w:p>
        </w:tc>
      </w:tr>
      <w:tr w:rsidR="00DA1C86" w:rsidRPr="00E2771E" w:rsidTr="00D13B16">
        <w:tc>
          <w:tcPr>
            <w:tcW w:w="1122" w:type="pct"/>
            <w:gridSpan w:val="2"/>
            <w:shd w:val="clear" w:color="auto" w:fill="auto"/>
          </w:tcPr>
          <w:p w:rsidR="00673A97" w:rsidRPr="00E2771E" w:rsidRDefault="00673A97" w:rsidP="00323E7A">
            <w:pPr>
              <w:keepNext/>
              <w:widowControl/>
              <w:rPr>
                <w:rFonts w:ascii="Arial Narrow" w:hAnsi="Arial Narrow"/>
                <w:color w:val="000000"/>
                <w:sz w:val="20"/>
                <w:szCs w:val="18"/>
              </w:rPr>
            </w:pPr>
            <w:r>
              <w:rPr>
                <w:rFonts w:ascii="Arial Narrow" w:hAnsi="Arial Narrow"/>
                <w:sz w:val="20"/>
              </w:rPr>
              <w:t>PFS median months</w:t>
            </w:r>
          </w:p>
        </w:tc>
        <w:tc>
          <w:tcPr>
            <w:tcW w:w="917" w:type="pct"/>
            <w:gridSpan w:val="3"/>
          </w:tcPr>
          <w:p w:rsidR="00673A97" w:rsidRPr="00E2771E" w:rsidRDefault="00673A97" w:rsidP="00323E7A">
            <w:pPr>
              <w:keepNext/>
              <w:widowControl/>
              <w:jc w:val="center"/>
              <w:rPr>
                <w:rFonts w:ascii="Arial Narrow" w:hAnsi="Arial Narrow"/>
                <w:sz w:val="20"/>
              </w:rPr>
            </w:pPr>
            <w:r>
              <w:rPr>
                <w:rFonts w:ascii="Arial Narrow" w:hAnsi="Arial Narrow"/>
                <w:sz w:val="20"/>
              </w:rPr>
              <w:t>5.06 (3.48, 10.81)</w:t>
            </w:r>
          </w:p>
        </w:tc>
        <w:tc>
          <w:tcPr>
            <w:tcW w:w="899" w:type="pct"/>
            <w:gridSpan w:val="2"/>
          </w:tcPr>
          <w:p w:rsidR="00673A97" w:rsidRPr="00E2771E" w:rsidRDefault="00673A97" w:rsidP="00323E7A">
            <w:pPr>
              <w:keepNext/>
              <w:widowControl/>
              <w:jc w:val="center"/>
              <w:rPr>
                <w:rFonts w:ascii="Arial Narrow" w:hAnsi="Arial Narrow"/>
                <w:sz w:val="20"/>
              </w:rPr>
            </w:pPr>
            <w:r>
              <w:rPr>
                <w:rFonts w:ascii="Arial Narrow" w:hAnsi="Arial Narrow"/>
                <w:sz w:val="20"/>
              </w:rPr>
              <w:t>2.17 (2.10, 2.40)</w:t>
            </w:r>
          </w:p>
        </w:tc>
        <w:tc>
          <w:tcPr>
            <w:tcW w:w="1179" w:type="pct"/>
            <w:gridSpan w:val="3"/>
          </w:tcPr>
          <w:p w:rsidR="00673A97" w:rsidRPr="00E2771E" w:rsidRDefault="00673A97" w:rsidP="00323E7A">
            <w:pPr>
              <w:keepNext/>
              <w:widowControl/>
              <w:jc w:val="center"/>
              <w:rPr>
                <w:rFonts w:ascii="Arial Narrow" w:hAnsi="Arial Narrow"/>
                <w:color w:val="000000"/>
                <w:sz w:val="20"/>
                <w:szCs w:val="18"/>
              </w:rPr>
            </w:pPr>
            <w:r>
              <w:rPr>
                <w:rFonts w:ascii="Arial Narrow" w:hAnsi="Arial Narrow"/>
                <w:sz w:val="20"/>
              </w:rPr>
              <w:t>2.89</w:t>
            </w:r>
          </w:p>
        </w:tc>
        <w:tc>
          <w:tcPr>
            <w:tcW w:w="883" w:type="pct"/>
          </w:tcPr>
          <w:p w:rsidR="00673A97" w:rsidRPr="00E2771E" w:rsidRDefault="00673A97" w:rsidP="00323E7A">
            <w:pPr>
              <w:keepNext/>
              <w:widowControl/>
              <w:jc w:val="center"/>
              <w:rPr>
                <w:rFonts w:ascii="Arial Narrow" w:hAnsi="Arial Narrow"/>
                <w:sz w:val="20"/>
              </w:rPr>
            </w:pPr>
            <w:r>
              <w:rPr>
                <w:rFonts w:ascii="Arial Narrow" w:hAnsi="Arial Narrow"/>
                <w:sz w:val="20"/>
              </w:rPr>
              <w:t>-</w:t>
            </w:r>
          </w:p>
        </w:tc>
      </w:tr>
      <w:tr w:rsidR="00673A97" w:rsidRPr="00E2771E" w:rsidTr="00FA6362">
        <w:tc>
          <w:tcPr>
            <w:tcW w:w="5000" w:type="pct"/>
            <w:gridSpan w:val="11"/>
            <w:shd w:val="clear" w:color="auto" w:fill="auto"/>
            <w:vAlign w:val="center"/>
          </w:tcPr>
          <w:p w:rsidR="00673A97" w:rsidRPr="00673A97" w:rsidRDefault="00E25432" w:rsidP="00323E7A">
            <w:pPr>
              <w:keepNext/>
              <w:widowControl/>
              <w:jc w:val="left"/>
              <w:rPr>
                <w:rFonts w:ascii="Arial Narrow" w:hAnsi="Arial Narrow"/>
                <w:b/>
                <w:sz w:val="20"/>
              </w:rPr>
            </w:pPr>
            <w:r>
              <w:rPr>
                <w:rFonts w:ascii="Arial Narrow" w:hAnsi="Arial Narrow"/>
                <w:b/>
                <w:sz w:val="20"/>
              </w:rPr>
              <w:t>PFS</w:t>
            </w:r>
            <w:r w:rsidR="00673A97">
              <w:rPr>
                <w:rFonts w:ascii="Arial Narrow" w:hAnsi="Arial Narrow"/>
                <w:b/>
                <w:sz w:val="20"/>
              </w:rPr>
              <w:t xml:space="preserve"> - MDX010-20 - ipilimumab</w:t>
            </w:r>
          </w:p>
        </w:tc>
      </w:tr>
      <w:tr w:rsidR="00DA1C86" w:rsidRPr="00E2771E" w:rsidTr="00D13B16">
        <w:tc>
          <w:tcPr>
            <w:tcW w:w="1122" w:type="pct"/>
            <w:gridSpan w:val="2"/>
            <w:shd w:val="clear" w:color="auto" w:fill="auto"/>
            <w:vAlign w:val="center"/>
          </w:tcPr>
          <w:p w:rsidR="00673A97" w:rsidRPr="00E2771E" w:rsidRDefault="00673A97" w:rsidP="00323E7A">
            <w:pPr>
              <w:keepNext/>
              <w:widowControl/>
              <w:rPr>
                <w:rFonts w:ascii="Arial Narrow" w:hAnsi="Arial Narrow"/>
                <w:color w:val="000000"/>
                <w:sz w:val="20"/>
                <w:szCs w:val="18"/>
              </w:rPr>
            </w:pPr>
          </w:p>
        </w:tc>
        <w:tc>
          <w:tcPr>
            <w:tcW w:w="917" w:type="pct"/>
            <w:gridSpan w:val="3"/>
          </w:tcPr>
          <w:p w:rsidR="00673A97" w:rsidRPr="00E2771E" w:rsidRDefault="00673A97" w:rsidP="00323E7A">
            <w:pPr>
              <w:keepNext/>
              <w:widowControl/>
              <w:jc w:val="center"/>
              <w:rPr>
                <w:rFonts w:ascii="Arial Narrow" w:hAnsi="Arial Narrow"/>
                <w:sz w:val="20"/>
              </w:rPr>
            </w:pPr>
            <w:r w:rsidRPr="00CC3301">
              <w:rPr>
                <w:rFonts w:ascii="Arial Narrow" w:hAnsi="Arial Narrow"/>
                <w:b/>
                <w:sz w:val="20"/>
              </w:rPr>
              <w:t>Ipi n/N (%)</w:t>
            </w:r>
          </w:p>
        </w:tc>
        <w:tc>
          <w:tcPr>
            <w:tcW w:w="899" w:type="pct"/>
            <w:gridSpan w:val="2"/>
          </w:tcPr>
          <w:p w:rsidR="00673A97" w:rsidRPr="00E2771E" w:rsidRDefault="00673A97" w:rsidP="00323E7A">
            <w:pPr>
              <w:keepNext/>
              <w:widowControl/>
              <w:jc w:val="center"/>
              <w:rPr>
                <w:rFonts w:ascii="Arial Narrow" w:hAnsi="Arial Narrow"/>
                <w:sz w:val="20"/>
              </w:rPr>
            </w:pPr>
            <w:r w:rsidRPr="00CC3301">
              <w:rPr>
                <w:rFonts w:ascii="Arial Narrow" w:hAnsi="Arial Narrow"/>
                <w:b/>
                <w:sz w:val="20"/>
              </w:rPr>
              <w:t>gp100 n/N (%)</w:t>
            </w:r>
          </w:p>
        </w:tc>
        <w:tc>
          <w:tcPr>
            <w:tcW w:w="1179" w:type="pct"/>
            <w:gridSpan w:val="3"/>
            <w:vAlign w:val="center"/>
          </w:tcPr>
          <w:p w:rsidR="00673A97" w:rsidRPr="00E2771E" w:rsidRDefault="00673A97" w:rsidP="00323E7A">
            <w:pPr>
              <w:keepNext/>
              <w:widowControl/>
              <w:jc w:val="center"/>
              <w:rPr>
                <w:rFonts w:ascii="Arial Narrow" w:hAnsi="Arial Narrow"/>
                <w:color w:val="000000"/>
                <w:sz w:val="20"/>
                <w:szCs w:val="18"/>
              </w:rPr>
            </w:pPr>
          </w:p>
        </w:tc>
        <w:tc>
          <w:tcPr>
            <w:tcW w:w="883" w:type="pct"/>
            <w:vAlign w:val="center"/>
          </w:tcPr>
          <w:p w:rsidR="00673A97" w:rsidRPr="00E2771E" w:rsidRDefault="00673A97" w:rsidP="00323E7A">
            <w:pPr>
              <w:keepNext/>
              <w:widowControl/>
              <w:jc w:val="center"/>
              <w:rPr>
                <w:rFonts w:ascii="Arial Narrow" w:hAnsi="Arial Narrow"/>
                <w:sz w:val="20"/>
              </w:rPr>
            </w:pPr>
          </w:p>
        </w:tc>
      </w:tr>
      <w:tr w:rsidR="00DA1C86" w:rsidRPr="00E2771E" w:rsidTr="00D13B16">
        <w:tc>
          <w:tcPr>
            <w:tcW w:w="1122" w:type="pct"/>
            <w:gridSpan w:val="2"/>
            <w:shd w:val="clear" w:color="auto" w:fill="auto"/>
          </w:tcPr>
          <w:p w:rsidR="00673A97" w:rsidRPr="00E2771E" w:rsidRDefault="00673A97" w:rsidP="00323E7A">
            <w:pPr>
              <w:keepNext/>
              <w:widowControl/>
              <w:rPr>
                <w:rFonts w:ascii="Arial Narrow" w:hAnsi="Arial Narrow"/>
                <w:color w:val="000000"/>
                <w:sz w:val="20"/>
                <w:szCs w:val="18"/>
              </w:rPr>
            </w:pPr>
            <w:r>
              <w:rPr>
                <w:rFonts w:ascii="Arial Narrow" w:hAnsi="Arial Narrow"/>
                <w:sz w:val="20"/>
              </w:rPr>
              <w:t>Progressed</w:t>
            </w:r>
          </w:p>
        </w:tc>
        <w:tc>
          <w:tcPr>
            <w:tcW w:w="917" w:type="pct"/>
            <w:gridSpan w:val="3"/>
          </w:tcPr>
          <w:p w:rsidR="00673A97" w:rsidRPr="00E2771E" w:rsidRDefault="00673A97" w:rsidP="00323E7A">
            <w:pPr>
              <w:keepNext/>
              <w:widowControl/>
              <w:jc w:val="center"/>
              <w:rPr>
                <w:rFonts w:ascii="Arial Narrow" w:hAnsi="Arial Narrow"/>
                <w:sz w:val="20"/>
              </w:rPr>
            </w:pPr>
            <w:r>
              <w:rPr>
                <w:rFonts w:ascii="Arial Narrow" w:hAnsi="Arial Narrow"/>
                <w:sz w:val="20"/>
              </w:rPr>
              <w:t>122/137 (89.1%)</w:t>
            </w:r>
          </w:p>
        </w:tc>
        <w:tc>
          <w:tcPr>
            <w:tcW w:w="899" w:type="pct"/>
            <w:gridSpan w:val="2"/>
          </w:tcPr>
          <w:p w:rsidR="00673A97" w:rsidRPr="00E2771E" w:rsidRDefault="00673A97" w:rsidP="00323E7A">
            <w:pPr>
              <w:keepNext/>
              <w:widowControl/>
              <w:jc w:val="center"/>
              <w:rPr>
                <w:rFonts w:ascii="Arial Narrow" w:hAnsi="Arial Narrow"/>
                <w:sz w:val="20"/>
              </w:rPr>
            </w:pPr>
            <w:r>
              <w:rPr>
                <w:rFonts w:ascii="Arial Narrow" w:hAnsi="Arial Narrow"/>
                <w:sz w:val="20"/>
              </w:rPr>
              <w:t>127/136 (93.4%)</w:t>
            </w:r>
          </w:p>
        </w:tc>
        <w:tc>
          <w:tcPr>
            <w:tcW w:w="1179" w:type="pct"/>
            <w:gridSpan w:val="3"/>
          </w:tcPr>
          <w:p w:rsidR="00673A97" w:rsidRPr="00E2771E" w:rsidRDefault="00673A97" w:rsidP="00323E7A">
            <w:pPr>
              <w:keepNext/>
              <w:widowControl/>
              <w:jc w:val="center"/>
              <w:rPr>
                <w:rFonts w:ascii="Arial Narrow" w:hAnsi="Arial Narrow"/>
                <w:color w:val="000000"/>
                <w:sz w:val="20"/>
                <w:szCs w:val="18"/>
              </w:rPr>
            </w:pPr>
            <w:r>
              <w:rPr>
                <w:rFonts w:ascii="Arial Narrow" w:hAnsi="Arial Narrow"/>
                <w:sz w:val="20"/>
              </w:rPr>
              <w:t>-</w:t>
            </w:r>
          </w:p>
        </w:tc>
        <w:tc>
          <w:tcPr>
            <w:tcW w:w="883" w:type="pct"/>
          </w:tcPr>
          <w:p w:rsidR="00673A97" w:rsidRPr="00E2771E" w:rsidRDefault="00673A97" w:rsidP="00323E7A">
            <w:pPr>
              <w:keepNext/>
              <w:widowControl/>
              <w:jc w:val="center"/>
              <w:rPr>
                <w:rFonts w:ascii="Arial Narrow" w:hAnsi="Arial Narrow"/>
                <w:sz w:val="20"/>
              </w:rPr>
            </w:pPr>
            <w:r>
              <w:rPr>
                <w:rFonts w:ascii="Arial Narrow" w:hAnsi="Arial Narrow"/>
                <w:sz w:val="20"/>
              </w:rPr>
              <w:t>0.64 (0.50, 0.83)</w:t>
            </w:r>
          </w:p>
        </w:tc>
      </w:tr>
      <w:tr w:rsidR="00DA1C86" w:rsidRPr="00E2771E" w:rsidTr="00D13B16">
        <w:tc>
          <w:tcPr>
            <w:tcW w:w="1122" w:type="pct"/>
            <w:gridSpan w:val="2"/>
            <w:shd w:val="clear" w:color="auto" w:fill="auto"/>
          </w:tcPr>
          <w:p w:rsidR="00673A97" w:rsidRPr="00E2771E" w:rsidRDefault="00673A97" w:rsidP="00323E7A">
            <w:pPr>
              <w:keepNext/>
              <w:widowControl/>
              <w:rPr>
                <w:rFonts w:ascii="Arial Narrow" w:hAnsi="Arial Narrow"/>
                <w:color w:val="000000"/>
                <w:sz w:val="20"/>
                <w:szCs w:val="18"/>
              </w:rPr>
            </w:pPr>
            <w:r>
              <w:rPr>
                <w:rFonts w:ascii="Arial Narrow" w:hAnsi="Arial Narrow"/>
                <w:sz w:val="20"/>
              </w:rPr>
              <w:t>PFS median months</w:t>
            </w:r>
          </w:p>
        </w:tc>
        <w:tc>
          <w:tcPr>
            <w:tcW w:w="917" w:type="pct"/>
            <w:gridSpan w:val="3"/>
          </w:tcPr>
          <w:p w:rsidR="00673A97" w:rsidRPr="00E2771E" w:rsidRDefault="00673A97" w:rsidP="00323E7A">
            <w:pPr>
              <w:keepNext/>
              <w:widowControl/>
              <w:jc w:val="center"/>
              <w:rPr>
                <w:rFonts w:ascii="Arial Narrow" w:hAnsi="Arial Narrow"/>
                <w:sz w:val="20"/>
              </w:rPr>
            </w:pPr>
            <w:r>
              <w:rPr>
                <w:rFonts w:ascii="Arial Narrow" w:hAnsi="Arial Narrow"/>
                <w:sz w:val="20"/>
              </w:rPr>
              <w:t>2.86 (2.76, 3.02)</w:t>
            </w:r>
          </w:p>
        </w:tc>
        <w:tc>
          <w:tcPr>
            <w:tcW w:w="899" w:type="pct"/>
            <w:gridSpan w:val="2"/>
          </w:tcPr>
          <w:p w:rsidR="00673A97" w:rsidRPr="00E2771E" w:rsidRDefault="00673A97" w:rsidP="00323E7A">
            <w:pPr>
              <w:keepNext/>
              <w:widowControl/>
              <w:jc w:val="center"/>
              <w:rPr>
                <w:rFonts w:ascii="Arial Narrow" w:hAnsi="Arial Narrow"/>
                <w:sz w:val="20"/>
              </w:rPr>
            </w:pPr>
            <w:r>
              <w:rPr>
                <w:rFonts w:ascii="Arial Narrow" w:hAnsi="Arial Narrow"/>
                <w:sz w:val="20"/>
              </w:rPr>
              <w:t>2.76 (2.73, 2.83)</w:t>
            </w:r>
          </w:p>
        </w:tc>
        <w:tc>
          <w:tcPr>
            <w:tcW w:w="1179" w:type="pct"/>
            <w:gridSpan w:val="3"/>
          </w:tcPr>
          <w:p w:rsidR="00673A97" w:rsidRPr="00E2771E" w:rsidRDefault="00673A97" w:rsidP="00323E7A">
            <w:pPr>
              <w:keepNext/>
              <w:widowControl/>
              <w:jc w:val="center"/>
              <w:rPr>
                <w:rFonts w:ascii="Arial Narrow" w:hAnsi="Arial Narrow"/>
                <w:color w:val="000000"/>
                <w:sz w:val="20"/>
                <w:szCs w:val="18"/>
              </w:rPr>
            </w:pPr>
            <w:r>
              <w:rPr>
                <w:rFonts w:ascii="Arial Narrow" w:hAnsi="Arial Narrow"/>
                <w:sz w:val="20"/>
              </w:rPr>
              <w:t>0.10</w:t>
            </w:r>
          </w:p>
        </w:tc>
        <w:tc>
          <w:tcPr>
            <w:tcW w:w="883" w:type="pct"/>
          </w:tcPr>
          <w:p w:rsidR="00673A97" w:rsidRPr="00E2771E" w:rsidRDefault="00673A97" w:rsidP="00323E7A">
            <w:pPr>
              <w:keepNext/>
              <w:widowControl/>
              <w:jc w:val="center"/>
              <w:rPr>
                <w:rFonts w:ascii="Arial Narrow" w:hAnsi="Arial Narrow"/>
                <w:sz w:val="20"/>
              </w:rPr>
            </w:pPr>
            <w:r>
              <w:rPr>
                <w:rFonts w:ascii="Arial Narrow" w:hAnsi="Arial Narrow"/>
                <w:sz w:val="20"/>
              </w:rPr>
              <w:t>-</w:t>
            </w:r>
          </w:p>
        </w:tc>
      </w:tr>
      <w:tr w:rsidR="00673A97" w:rsidRPr="00E2771E" w:rsidTr="00FA6362">
        <w:tc>
          <w:tcPr>
            <w:tcW w:w="4117" w:type="pct"/>
            <w:gridSpan w:val="10"/>
            <w:shd w:val="clear" w:color="auto" w:fill="auto"/>
            <w:vAlign w:val="center"/>
          </w:tcPr>
          <w:p w:rsidR="00673A97" w:rsidRPr="00673A97" w:rsidRDefault="00673A97" w:rsidP="00323E7A">
            <w:pPr>
              <w:keepNext/>
              <w:widowControl/>
              <w:jc w:val="left"/>
              <w:rPr>
                <w:rFonts w:ascii="Arial Narrow" w:hAnsi="Arial Narrow"/>
                <w:b/>
                <w:color w:val="000000"/>
                <w:sz w:val="20"/>
                <w:szCs w:val="18"/>
              </w:rPr>
            </w:pPr>
            <w:r>
              <w:rPr>
                <w:rFonts w:ascii="Arial Narrow" w:hAnsi="Arial Narrow"/>
                <w:b/>
                <w:sz w:val="20"/>
              </w:rPr>
              <w:t xml:space="preserve">Indirect comparison </w:t>
            </w:r>
            <w:r w:rsidR="00E25432">
              <w:rPr>
                <w:rFonts w:ascii="Arial Narrow" w:hAnsi="Arial Narrow"/>
                <w:b/>
                <w:sz w:val="20"/>
              </w:rPr>
              <w:t>PFS</w:t>
            </w:r>
            <w:r>
              <w:rPr>
                <w:rFonts w:ascii="Arial Narrow" w:hAnsi="Arial Narrow"/>
                <w:b/>
                <w:sz w:val="20"/>
              </w:rPr>
              <w:t xml:space="preserve"> – nivo vs. ipi</w:t>
            </w:r>
          </w:p>
        </w:tc>
        <w:tc>
          <w:tcPr>
            <w:tcW w:w="883" w:type="pct"/>
            <w:vAlign w:val="center"/>
          </w:tcPr>
          <w:p w:rsidR="00673A97" w:rsidRPr="00E2771E" w:rsidRDefault="00673A97" w:rsidP="00323E7A">
            <w:pPr>
              <w:keepNext/>
              <w:widowControl/>
              <w:jc w:val="center"/>
              <w:rPr>
                <w:rFonts w:ascii="Arial Narrow" w:hAnsi="Arial Narrow"/>
                <w:sz w:val="20"/>
              </w:rPr>
            </w:pPr>
            <w:r w:rsidRPr="00DC2AA1">
              <w:rPr>
                <w:rFonts w:ascii="Arial Narrow" w:hAnsi="Arial Narrow"/>
                <w:b/>
                <w:sz w:val="20"/>
              </w:rPr>
              <w:t>0.67 (0.47, 0.96)</w:t>
            </w:r>
          </w:p>
        </w:tc>
      </w:tr>
      <w:tr w:rsidR="00673A97" w:rsidRPr="00E2771E" w:rsidTr="00FA6362">
        <w:tc>
          <w:tcPr>
            <w:tcW w:w="5000" w:type="pct"/>
            <w:gridSpan w:val="11"/>
            <w:tcBorders>
              <w:top w:val="double" w:sz="4" w:space="0" w:color="auto"/>
            </w:tcBorders>
            <w:shd w:val="clear" w:color="auto" w:fill="auto"/>
            <w:vAlign w:val="center"/>
          </w:tcPr>
          <w:p w:rsidR="00673A97" w:rsidRPr="00E2771E" w:rsidRDefault="00673A97" w:rsidP="00323E7A">
            <w:pPr>
              <w:keepNext/>
              <w:widowControl/>
              <w:rPr>
                <w:rFonts w:ascii="Arial Narrow" w:hAnsi="Arial Narrow"/>
                <w:b/>
                <w:color w:val="000000"/>
                <w:sz w:val="20"/>
                <w:szCs w:val="18"/>
              </w:rPr>
            </w:pPr>
            <w:r w:rsidRPr="00E2771E">
              <w:rPr>
                <w:rFonts w:ascii="Arial Narrow" w:hAnsi="Arial Narrow"/>
                <w:b/>
                <w:color w:val="000000"/>
                <w:sz w:val="20"/>
                <w:szCs w:val="18"/>
              </w:rPr>
              <w:t>Harms</w:t>
            </w:r>
            <w:r w:rsidR="00367753" w:rsidRPr="00367753">
              <w:rPr>
                <w:rFonts w:ascii="Arial Narrow" w:hAnsi="Arial Narrow"/>
                <w:b/>
                <w:color w:val="000000"/>
                <w:sz w:val="20"/>
                <w:szCs w:val="18"/>
                <w:vertAlign w:val="superscript"/>
              </w:rPr>
              <w:t>a</w:t>
            </w:r>
          </w:p>
        </w:tc>
      </w:tr>
      <w:tr w:rsidR="00D13B16" w:rsidRPr="00E2771E" w:rsidTr="00D13B16">
        <w:tc>
          <w:tcPr>
            <w:tcW w:w="780" w:type="pct"/>
            <w:vMerge w:val="restart"/>
            <w:shd w:val="clear" w:color="auto" w:fill="auto"/>
            <w:vAlign w:val="center"/>
          </w:tcPr>
          <w:p w:rsidR="00673A97" w:rsidRPr="00E2771E" w:rsidRDefault="00673A97" w:rsidP="00323E7A">
            <w:pPr>
              <w:keepNext/>
              <w:widowControl/>
              <w:rPr>
                <w:rFonts w:ascii="Arial Narrow" w:hAnsi="Arial Narrow"/>
                <w:b/>
                <w:color w:val="000000"/>
                <w:sz w:val="20"/>
                <w:szCs w:val="18"/>
              </w:rPr>
            </w:pPr>
          </w:p>
        </w:tc>
        <w:tc>
          <w:tcPr>
            <w:tcW w:w="506" w:type="pct"/>
            <w:gridSpan w:val="2"/>
            <w:vMerge w:val="restart"/>
            <w:vAlign w:val="center"/>
          </w:tcPr>
          <w:p w:rsidR="00673A97" w:rsidRPr="00E2771E" w:rsidRDefault="00DA1C86" w:rsidP="00323E7A">
            <w:pPr>
              <w:keepNext/>
              <w:widowControl/>
              <w:jc w:val="center"/>
              <w:rPr>
                <w:rFonts w:ascii="Arial Narrow" w:hAnsi="Arial Narrow"/>
                <w:b/>
                <w:color w:val="000000"/>
                <w:sz w:val="20"/>
                <w:szCs w:val="18"/>
              </w:rPr>
            </w:pPr>
            <w:r>
              <w:rPr>
                <w:rFonts w:ascii="Arial Narrow" w:hAnsi="Arial Narrow"/>
                <w:b/>
                <w:color w:val="000000"/>
                <w:sz w:val="20"/>
                <w:szCs w:val="18"/>
              </w:rPr>
              <w:t>Nivo</w:t>
            </w:r>
          </w:p>
        </w:tc>
        <w:tc>
          <w:tcPr>
            <w:tcW w:w="591" w:type="pct"/>
            <w:vMerge w:val="restart"/>
            <w:vAlign w:val="center"/>
          </w:tcPr>
          <w:p w:rsidR="00673A97" w:rsidRPr="00E2771E" w:rsidRDefault="00DA1C86" w:rsidP="00323E7A">
            <w:pPr>
              <w:keepNext/>
              <w:widowControl/>
              <w:jc w:val="center"/>
              <w:rPr>
                <w:rFonts w:ascii="Arial Narrow" w:hAnsi="Arial Narrow"/>
                <w:b/>
                <w:color w:val="000000"/>
                <w:sz w:val="20"/>
                <w:szCs w:val="18"/>
              </w:rPr>
            </w:pPr>
            <w:r>
              <w:rPr>
                <w:rFonts w:ascii="Arial Narrow" w:hAnsi="Arial Narrow"/>
                <w:b/>
                <w:color w:val="000000"/>
                <w:sz w:val="20"/>
                <w:szCs w:val="18"/>
              </w:rPr>
              <w:t>DTIC</w:t>
            </w:r>
          </w:p>
        </w:tc>
        <w:tc>
          <w:tcPr>
            <w:tcW w:w="929" w:type="pct"/>
            <w:gridSpan w:val="2"/>
            <w:vMerge w:val="restart"/>
            <w:vAlign w:val="center"/>
          </w:tcPr>
          <w:p w:rsidR="00673A97" w:rsidRPr="00367753" w:rsidRDefault="00673A97" w:rsidP="00323E7A">
            <w:pPr>
              <w:keepNext/>
              <w:widowControl/>
              <w:jc w:val="center"/>
              <w:rPr>
                <w:rFonts w:ascii="Arial Narrow" w:hAnsi="Arial Narrow"/>
                <w:b/>
                <w:i/>
                <w:color w:val="000000"/>
                <w:sz w:val="20"/>
                <w:szCs w:val="18"/>
              </w:rPr>
            </w:pPr>
            <w:r w:rsidRPr="00367753">
              <w:rPr>
                <w:rFonts w:ascii="Arial Narrow" w:hAnsi="Arial Narrow"/>
                <w:b/>
                <w:i/>
                <w:color w:val="000000"/>
                <w:sz w:val="20"/>
                <w:szCs w:val="18"/>
              </w:rPr>
              <w:t>RR</w:t>
            </w:r>
          </w:p>
          <w:p w:rsidR="00673A97" w:rsidRPr="00E2771E" w:rsidRDefault="00673A97" w:rsidP="00323E7A">
            <w:pPr>
              <w:keepNext/>
              <w:widowControl/>
              <w:jc w:val="center"/>
              <w:rPr>
                <w:rFonts w:ascii="Arial Narrow" w:hAnsi="Arial Narrow"/>
                <w:b/>
                <w:color w:val="000000"/>
                <w:sz w:val="20"/>
                <w:szCs w:val="18"/>
              </w:rPr>
            </w:pPr>
            <w:r w:rsidRPr="00367753">
              <w:rPr>
                <w:rFonts w:ascii="Arial Narrow" w:hAnsi="Arial Narrow"/>
                <w:b/>
                <w:i/>
                <w:color w:val="000000"/>
                <w:sz w:val="20"/>
                <w:szCs w:val="18"/>
              </w:rPr>
              <w:t>(95% CI)</w:t>
            </w:r>
          </w:p>
        </w:tc>
        <w:tc>
          <w:tcPr>
            <w:tcW w:w="1266" w:type="pct"/>
            <w:gridSpan w:val="3"/>
            <w:vAlign w:val="center"/>
          </w:tcPr>
          <w:p w:rsidR="00673A97" w:rsidRPr="00E2771E" w:rsidRDefault="00A27BF6" w:rsidP="00323E7A">
            <w:pPr>
              <w:keepNext/>
              <w:widowControl/>
              <w:jc w:val="center"/>
              <w:rPr>
                <w:rFonts w:ascii="Arial Narrow" w:hAnsi="Arial Narrow"/>
                <w:b/>
                <w:color w:val="000000"/>
                <w:sz w:val="20"/>
                <w:szCs w:val="18"/>
              </w:rPr>
            </w:pPr>
            <w:r>
              <w:rPr>
                <w:rFonts w:ascii="Arial Narrow" w:hAnsi="Arial Narrow"/>
                <w:b/>
                <w:color w:val="000000"/>
                <w:sz w:val="20"/>
                <w:szCs w:val="18"/>
              </w:rPr>
              <w:t>Event rate/100 patients</w:t>
            </w:r>
          </w:p>
        </w:tc>
        <w:tc>
          <w:tcPr>
            <w:tcW w:w="929" w:type="pct"/>
            <w:gridSpan w:val="2"/>
            <w:vMerge w:val="restart"/>
            <w:vAlign w:val="center"/>
          </w:tcPr>
          <w:p w:rsidR="00673A97" w:rsidRPr="00367753" w:rsidRDefault="00C3600D" w:rsidP="00323E7A">
            <w:pPr>
              <w:keepNext/>
              <w:widowControl/>
              <w:jc w:val="center"/>
              <w:rPr>
                <w:rFonts w:ascii="Arial Narrow" w:hAnsi="Arial Narrow"/>
                <w:b/>
                <w:i/>
                <w:color w:val="000000"/>
                <w:sz w:val="20"/>
                <w:szCs w:val="18"/>
              </w:rPr>
            </w:pPr>
            <w:r>
              <w:rPr>
                <w:rFonts w:ascii="Arial Narrow" w:hAnsi="Arial Narrow"/>
                <w:b/>
                <w:i/>
                <w:color w:val="000000"/>
                <w:sz w:val="20"/>
                <w:szCs w:val="18"/>
              </w:rPr>
              <w:t>RD</w:t>
            </w:r>
            <w:r w:rsidR="00033C0C">
              <w:rPr>
                <w:rFonts w:ascii="Arial Narrow" w:hAnsi="Arial Narrow"/>
                <w:b/>
                <w:i/>
                <w:color w:val="000000"/>
                <w:sz w:val="20"/>
                <w:szCs w:val="18"/>
              </w:rPr>
              <w:t>%</w:t>
            </w:r>
          </w:p>
          <w:p w:rsidR="00673A97" w:rsidRPr="00E2771E" w:rsidRDefault="00673A97" w:rsidP="00323E7A">
            <w:pPr>
              <w:keepNext/>
              <w:widowControl/>
              <w:jc w:val="center"/>
              <w:rPr>
                <w:rFonts w:ascii="Arial Narrow" w:hAnsi="Arial Narrow"/>
                <w:b/>
                <w:color w:val="000000"/>
                <w:sz w:val="20"/>
                <w:szCs w:val="18"/>
              </w:rPr>
            </w:pPr>
            <w:r w:rsidRPr="00367753">
              <w:rPr>
                <w:rFonts w:ascii="Arial Narrow" w:hAnsi="Arial Narrow"/>
                <w:b/>
                <w:i/>
                <w:color w:val="000000"/>
                <w:sz w:val="20"/>
                <w:szCs w:val="18"/>
              </w:rPr>
              <w:t>(95% CI)</w:t>
            </w:r>
          </w:p>
        </w:tc>
      </w:tr>
      <w:tr w:rsidR="00D13B16" w:rsidRPr="00E2771E" w:rsidTr="00D13B16">
        <w:tc>
          <w:tcPr>
            <w:tcW w:w="780" w:type="pct"/>
            <w:vMerge/>
            <w:shd w:val="clear" w:color="auto" w:fill="auto"/>
            <w:vAlign w:val="center"/>
          </w:tcPr>
          <w:p w:rsidR="00DA1C86" w:rsidRPr="00E2771E" w:rsidRDefault="00DA1C86" w:rsidP="00323E7A">
            <w:pPr>
              <w:keepNext/>
              <w:widowControl/>
              <w:rPr>
                <w:rFonts w:ascii="Arial Narrow" w:hAnsi="Arial Narrow"/>
                <w:b/>
                <w:color w:val="000000"/>
                <w:sz w:val="20"/>
                <w:szCs w:val="18"/>
              </w:rPr>
            </w:pPr>
          </w:p>
        </w:tc>
        <w:tc>
          <w:tcPr>
            <w:tcW w:w="506" w:type="pct"/>
            <w:gridSpan w:val="2"/>
            <w:vMerge/>
            <w:vAlign w:val="center"/>
          </w:tcPr>
          <w:p w:rsidR="00DA1C86" w:rsidRPr="00E2771E" w:rsidRDefault="00DA1C86" w:rsidP="00323E7A">
            <w:pPr>
              <w:keepNext/>
              <w:widowControl/>
              <w:jc w:val="center"/>
              <w:rPr>
                <w:rFonts w:ascii="Arial Narrow" w:hAnsi="Arial Narrow"/>
                <w:b/>
                <w:color w:val="000000"/>
                <w:sz w:val="20"/>
                <w:szCs w:val="18"/>
              </w:rPr>
            </w:pPr>
          </w:p>
        </w:tc>
        <w:tc>
          <w:tcPr>
            <w:tcW w:w="591" w:type="pct"/>
            <w:vMerge/>
            <w:vAlign w:val="center"/>
          </w:tcPr>
          <w:p w:rsidR="00DA1C86" w:rsidRPr="00E2771E" w:rsidRDefault="00DA1C86" w:rsidP="00323E7A">
            <w:pPr>
              <w:keepNext/>
              <w:widowControl/>
              <w:jc w:val="center"/>
              <w:rPr>
                <w:rFonts w:ascii="Arial Narrow" w:hAnsi="Arial Narrow"/>
                <w:b/>
                <w:color w:val="000000"/>
                <w:sz w:val="20"/>
                <w:szCs w:val="18"/>
              </w:rPr>
            </w:pPr>
          </w:p>
        </w:tc>
        <w:tc>
          <w:tcPr>
            <w:tcW w:w="929" w:type="pct"/>
            <w:gridSpan w:val="2"/>
            <w:vMerge/>
            <w:vAlign w:val="center"/>
          </w:tcPr>
          <w:p w:rsidR="00DA1C86" w:rsidRPr="00E2771E" w:rsidRDefault="00DA1C86" w:rsidP="00323E7A">
            <w:pPr>
              <w:keepNext/>
              <w:widowControl/>
              <w:jc w:val="center"/>
              <w:rPr>
                <w:rFonts w:ascii="Arial Narrow" w:hAnsi="Arial Narrow"/>
                <w:b/>
                <w:color w:val="000000"/>
                <w:sz w:val="20"/>
                <w:szCs w:val="18"/>
              </w:rPr>
            </w:pPr>
          </w:p>
        </w:tc>
        <w:tc>
          <w:tcPr>
            <w:tcW w:w="675" w:type="pct"/>
            <w:gridSpan w:val="2"/>
            <w:vAlign w:val="center"/>
          </w:tcPr>
          <w:p w:rsidR="00DA1C86" w:rsidRPr="00E2771E" w:rsidRDefault="00DA1C86" w:rsidP="00323E7A">
            <w:pPr>
              <w:keepNext/>
              <w:widowControl/>
              <w:jc w:val="center"/>
              <w:rPr>
                <w:rFonts w:ascii="Arial Narrow" w:hAnsi="Arial Narrow"/>
                <w:b/>
                <w:color w:val="000000"/>
                <w:sz w:val="20"/>
                <w:szCs w:val="18"/>
              </w:rPr>
            </w:pPr>
            <w:r>
              <w:rPr>
                <w:rFonts w:ascii="Arial Narrow" w:hAnsi="Arial Narrow"/>
                <w:b/>
                <w:color w:val="000000"/>
                <w:sz w:val="20"/>
                <w:szCs w:val="18"/>
              </w:rPr>
              <w:t>Nivo</w:t>
            </w:r>
          </w:p>
        </w:tc>
        <w:tc>
          <w:tcPr>
            <w:tcW w:w="591" w:type="pct"/>
            <w:vAlign w:val="center"/>
          </w:tcPr>
          <w:p w:rsidR="00DA1C86" w:rsidRPr="00E2771E" w:rsidRDefault="00DA1C86" w:rsidP="00323E7A">
            <w:pPr>
              <w:keepNext/>
              <w:widowControl/>
              <w:jc w:val="center"/>
              <w:rPr>
                <w:rFonts w:ascii="Arial Narrow" w:hAnsi="Arial Narrow"/>
                <w:b/>
                <w:color w:val="000000"/>
                <w:sz w:val="20"/>
                <w:szCs w:val="18"/>
              </w:rPr>
            </w:pPr>
            <w:r>
              <w:rPr>
                <w:rFonts w:ascii="Arial Narrow" w:hAnsi="Arial Narrow"/>
                <w:b/>
                <w:color w:val="000000"/>
                <w:sz w:val="20"/>
                <w:szCs w:val="18"/>
              </w:rPr>
              <w:t>DTIC</w:t>
            </w:r>
          </w:p>
        </w:tc>
        <w:tc>
          <w:tcPr>
            <w:tcW w:w="929" w:type="pct"/>
            <w:gridSpan w:val="2"/>
            <w:vMerge/>
            <w:vAlign w:val="center"/>
          </w:tcPr>
          <w:p w:rsidR="00DA1C86" w:rsidRPr="00E2771E" w:rsidRDefault="00DA1C86" w:rsidP="00323E7A">
            <w:pPr>
              <w:keepNext/>
              <w:widowControl/>
              <w:jc w:val="center"/>
              <w:rPr>
                <w:rFonts w:ascii="Arial Narrow" w:hAnsi="Arial Narrow"/>
                <w:b/>
                <w:color w:val="000000"/>
                <w:sz w:val="20"/>
                <w:szCs w:val="18"/>
              </w:rPr>
            </w:pPr>
          </w:p>
        </w:tc>
      </w:tr>
      <w:tr w:rsidR="00DA1C86" w:rsidRPr="00E2771E" w:rsidTr="00FA6362">
        <w:tc>
          <w:tcPr>
            <w:tcW w:w="5000" w:type="pct"/>
            <w:gridSpan w:val="11"/>
            <w:shd w:val="clear" w:color="auto" w:fill="auto"/>
            <w:vAlign w:val="center"/>
          </w:tcPr>
          <w:p w:rsidR="00673A97" w:rsidRPr="00E2771E" w:rsidRDefault="00480C55" w:rsidP="00323E7A">
            <w:pPr>
              <w:keepNext/>
              <w:widowControl/>
              <w:rPr>
                <w:rFonts w:ascii="Arial Narrow" w:hAnsi="Arial Narrow"/>
                <w:color w:val="000000"/>
                <w:sz w:val="20"/>
                <w:szCs w:val="18"/>
              </w:rPr>
            </w:pPr>
            <w:r>
              <w:rPr>
                <w:rFonts w:ascii="Arial Narrow" w:hAnsi="Arial Narrow"/>
                <w:b/>
                <w:color w:val="000000"/>
                <w:sz w:val="20"/>
                <w:szCs w:val="18"/>
              </w:rPr>
              <w:t xml:space="preserve">Any </w:t>
            </w:r>
            <w:r w:rsidR="004F7770">
              <w:rPr>
                <w:rFonts w:ascii="Arial Narrow" w:hAnsi="Arial Narrow"/>
                <w:b/>
                <w:color w:val="000000"/>
                <w:sz w:val="20"/>
                <w:szCs w:val="18"/>
              </w:rPr>
              <w:t xml:space="preserve">drug-related </w:t>
            </w:r>
            <w:r>
              <w:rPr>
                <w:rFonts w:ascii="Arial Narrow" w:hAnsi="Arial Narrow"/>
                <w:b/>
                <w:color w:val="000000"/>
                <w:sz w:val="20"/>
                <w:szCs w:val="18"/>
              </w:rPr>
              <w:t>severe AE (graded ≥3)</w:t>
            </w:r>
          </w:p>
        </w:tc>
      </w:tr>
      <w:tr w:rsidR="00D13B16" w:rsidRPr="00E2771E" w:rsidTr="00D13B16">
        <w:tc>
          <w:tcPr>
            <w:tcW w:w="780" w:type="pct"/>
            <w:shd w:val="clear" w:color="auto" w:fill="auto"/>
            <w:vAlign w:val="center"/>
          </w:tcPr>
          <w:p w:rsidR="00DA1C86" w:rsidRPr="00DA1C86" w:rsidRDefault="00DA1C86" w:rsidP="00323E7A">
            <w:pPr>
              <w:keepNext/>
              <w:widowControl/>
              <w:rPr>
                <w:rFonts w:ascii="Arial Narrow" w:hAnsi="Arial Narrow"/>
                <w:color w:val="000000"/>
                <w:sz w:val="20"/>
                <w:szCs w:val="18"/>
              </w:rPr>
            </w:pPr>
            <w:r w:rsidRPr="00DA1C86">
              <w:rPr>
                <w:rFonts w:ascii="Arial Narrow" w:hAnsi="Arial Narrow"/>
                <w:color w:val="000000"/>
                <w:sz w:val="20"/>
                <w:szCs w:val="18"/>
              </w:rPr>
              <w:t>CA209-066 nivo</w:t>
            </w:r>
          </w:p>
        </w:tc>
        <w:tc>
          <w:tcPr>
            <w:tcW w:w="506" w:type="pct"/>
            <w:gridSpan w:val="2"/>
            <w:vAlign w:val="center"/>
          </w:tcPr>
          <w:p w:rsidR="00DA1C86" w:rsidRPr="00E2771E" w:rsidRDefault="009C4D95" w:rsidP="00323E7A">
            <w:pPr>
              <w:keepNext/>
              <w:widowControl/>
              <w:jc w:val="center"/>
              <w:rPr>
                <w:rFonts w:ascii="Arial Narrow" w:hAnsi="Arial Narrow"/>
                <w:color w:val="000000"/>
                <w:sz w:val="20"/>
                <w:szCs w:val="18"/>
              </w:rPr>
            </w:pPr>
            <w:r>
              <w:rPr>
                <w:rFonts w:ascii="Arial Narrow" w:hAnsi="Arial Narrow"/>
                <w:color w:val="000000"/>
                <w:sz w:val="20"/>
                <w:szCs w:val="18"/>
              </w:rPr>
              <w:t>24/206</w:t>
            </w:r>
          </w:p>
        </w:tc>
        <w:tc>
          <w:tcPr>
            <w:tcW w:w="591" w:type="pct"/>
            <w:vAlign w:val="center"/>
          </w:tcPr>
          <w:p w:rsidR="00DA1C86" w:rsidRPr="00E2771E" w:rsidRDefault="009C4D95" w:rsidP="00323E7A">
            <w:pPr>
              <w:keepNext/>
              <w:widowControl/>
              <w:jc w:val="center"/>
              <w:rPr>
                <w:rFonts w:ascii="Arial Narrow" w:hAnsi="Arial Narrow"/>
                <w:color w:val="000000"/>
                <w:sz w:val="20"/>
                <w:szCs w:val="18"/>
              </w:rPr>
            </w:pPr>
            <w:r>
              <w:rPr>
                <w:rFonts w:ascii="Arial Narrow" w:hAnsi="Arial Narrow"/>
                <w:color w:val="000000"/>
                <w:sz w:val="20"/>
                <w:szCs w:val="18"/>
              </w:rPr>
              <w:t>36/205</w:t>
            </w:r>
          </w:p>
        </w:tc>
        <w:tc>
          <w:tcPr>
            <w:tcW w:w="929" w:type="pct"/>
            <w:gridSpan w:val="2"/>
            <w:vAlign w:val="center"/>
          </w:tcPr>
          <w:p w:rsidR="00DA1C86" w:rsidRPr="00323E7A" w:rsidRDefault="009C4D95" w:rsidP="00323E7A">
            <w:pPr>
              <w:keepNext/>
              <w:widowControl/>
              <w:jc w:val="center"/>
              <w:rPr>
                <w:rFonts w:ascii="Arial Narrow" w:hAnsi="Arial Narrow"/>
                <w:color w:val="000000"/>
                <w:sz w:val="20"/>
                <w:szCs w:val="18"/>
              </w:rPr>
            </w:pPr>
            <w:r w:rsidRPr="00323E7A">
              <w:rPr>
                <w:rFonts w:ascii="Arial Narrow" w:hAnsi="Arial Narrow"/>
                <w:sz w:val="20"/>
              </w:rPr>
              <w:t>0.66 (0.41, 1.07)</w:t>
            </w:r>
          </w:p>
        </w:tc>
        <w:tc>
          <w:tcPr>
            <w:tcW w:w="675" w:type="pct"/>
            <w:gridSpan w:val="2"/>
            <w:vAlign w:val="center"/>
          </w:tcPr>
          <w:p w:rsidR="00DA1C86" w:rsidRPr="00E2771E" w:rsidRDefault="009C4D95" w:rsidP="00323E7A">
            <w:pPr>
              <w:keepNext/>
              <w:widowControl/>
              <w:jc w:val="center"/>
              <w:rPr>
                <w:rFonts w:ascii="Arial Narrow" w:hAnsi="Arial Narrow"/>
                <w:color w:val="000000"/>
                <w:sz w:val="20"/>
                <w:szCs w:val="18"/>
              </w:rPr>
            </w:pPr>
            <w:r>
              <w:rPr>
                <w:rFonts w:ascii="Arial Narrow" w:hAnsi="Arial Narrow"/>
                <w:color w:val="000000"/>
                <w:sz w:val="20"/>
                <w:szCs w:val="18"/>
              </w:rPr>
              <w:t>11.7</w:t>
            </w:r>
          </w:p>
        </w:tc>
        <w:tc>
          <w:tcPr>
            <w:tcW w:w="591" w:type="pct"/>
            <w:vAlign w:val="center"/>
          </w:tcPr>
          <w:p w:rsidR="00DA1C86" w:rsidRPr="00E2771E" w:rsidRDefault="009C4D95" w:rsidP="00323E7A">
            <w:pPr>
              <w:keepNext/>
              <w:widowControl/>
              <w:jc w:val="center"/>
              <w:rPr>
                <w:rFonts w:ascii="Arial Narrow" w:hAnsi="Arial Narrow"/>
                <w:color w:val="000000"/>
                <w:sz w:val="20"/>
                <w:szCs w:val="18"/>
              </w:rPr>
            </w:pPr>
            <w:r>
              <w:rPr>
                <w:rFonts w:ascii="Arial Narrow" w:hAnsi="Arial Narrow"/>
                <w:color w:val="000000"/>
                <w:sz w:val="20"/>
                <w:szCs w:val="18"/>
              </w:rPr>
              <w:t>17.6</w:t>
            </w:r>
          </w:p>
        </w:tc>
        <w:tc>
          <w:tcPr>
            <w:tcW w:w="929" w:type="pct"/>
            <w:gridSpan w:val="2"/>
            <w:vAlign w:val="center"/>
          </w:tcPr>
          <w:p w:rsidR="00DA1C86" w:rsidRPr="00E2771E" w:rsidRDefault="009C4D95" w:rsidP="00323E7A">
            <w:pPr>
              <w:keepNext/>
              <w:widowControl/>
              <w:jc w:val="center"/>
              <w:rPr>
                <w:rFonts w:ascii="Arial Narrow" w:hAnsi="Arial Narrow"/>
                <w:color w:val="000000"/>
                <w:sz w:val="20"/>
                <w:szCs w:val="18"/>
              </w:rPr>
            </w:pPr>
            <w:r>
              <w:rPr>
                <w:rFonts w:ascii="Arial Narrow" w:hAnsi="Arial Narrow"/>
                <w:color w:val="000000"/>
                <w:sz w:val="20"/>
                <w:szCs w:val="18"/>
              </w:rPr>
              <w:t>-</w:t>
            </w:r>
          </w:p>
        </w:tc>
      </w:tr>
      <w:tr w:rsidR="00D13B16" w:rsidRPr="00E2771E" w:rsidTr="00D13B16">
        <w:tc>
          <w:tcPr>
            <w:tcW w:w="780" w:type="pct"/>
            <w:shd w:val="clear" w:color="auto" w:fill="auto"/>
            <w:vAlign w:val="center"/>
          </w:tcPr>
          <w:p w:rsidR="00DA1C86" w:rsidRPr="00DA1C86" w:rsidRDefault="00DA1C86" w:rsidP="00323E7A">
            <w:pPr>
              <w:keepNext/>
              <w:widowControl/>
              <w:rPr>
                <w:rFonts w:ascii="Arial Narrow" w:hAnsi="Arial Narrow"/>
                <w:sz w:val="20"/>
              </w:rPr>
            </w:pPr>
          </w:p>
        </w:tc>
        <w:tc>
          <w:tcPr>
            <w:tcW w:w="506" w:type="pct"/>
            <w:gridSpan w:val="2"/>
            <w:vAlign w:val="center"/>
          </w:tcPr>
          <w:p w:rsidR="00DA1C86" w:rsidRPr="00DA1C86" w:rsidRDefault="00DA1C86" w:rsidP="00323E7A">
            <w:pPr>
              <w:keepNext/>
              <w:widowControl/>
              <w:jc w:val="center"/>
              <w:rPr>
                <w:rFonts w:ascii="Arial Narrow" w:hAnsi="Arial Narrow"/>
                <w:b/>
                <w:color w:val="000000"/>
                <w:sz w:val="20"/>
                <w:szCs w:val="18"/>
              </w:rPr>
            </w:pPr>
            <w:r w:rsidRPr="00DA1C86">
              <w:rPr>
                <w:rFonts w:ascii="Arial Narrow" w:hAnsi="Arial Narrow"/>
                <w:b/>
                <w:color w:val="000000"/>
                <w:sz w:val="20"/>
                <w:szCs w:val="18"/>
              </w:rPr>
              <w:t>Ipi</w:t>
            </w:r>
          </w:p>
        </w:tc>
        <w:tc>
          <w:tcPr>
            <w:tcW w:w="591" w:type="pct"/>
            <w:vAlign w:val="center"/>
          </w:tcPr>
          <w:p w:rsidR="00DA1C86" w:rsidRPr="00DA1C86" w:rsidRDefault="00DA1C86" w:rsidP="00323E7A">
            <w:pPr>
              <w:keepNext/>
              <w:widowControl/>
              <w:jc w:val="center"/>
              <w:rPr>
                <w:rFonts w:ascii="Arial Narrow" w:hAnsi="Arial Narrow"/>
                <w:b/>
                <w:color w:val="000000"/>
                <w:sz w:val="20"/>
                <w:szCs w:val="18"/>
              </w:rPr>
            </w:pPr>
            <w:r w:rsidRPr="00DA1C86">
              <w:rPr>
                <w:rFonts w:ascii="Arial Narrow" w:hAnsi="Arial Narrow"/>
                <w:b/>
                <w:color w:val="000000"/>
                <w:sz w:val="20"/>
                <w:szCs w:val="18"/>
              </w:rPr>
              <w:t>gp100</w:t>
            </w:r>
          </w:p>
        </w:tc>
        <w:tc>
          <w:tcPr>
            <w:tcW w:w="929" w:type="pct"/>
            <w:gridSpan w:val="2"/>
            <w:vAlign w:val="center"/>
          </w:tcPr>
          <w:p w:rsidR="00DA1C86" w:rsidRPr="00323E7A" w:rsidRDefault="00DA1C86" w:rsidP="00323E7A">
            <w:pPr>
              <w:keepNext/>
              <w:widowControl/>
              <w:jc w:val="center"/>
              <w:rPr>
                <w:rFonts w:ascii="Arial Narrow" w:hAnsi="Arial Narrow"/>
                <w:color w:val="000000"/>
                <w:sz w:val="20"/>
                <w:szCs w:val="18"/>
              </w:rPr>
            </w:pPr>
          </w:p>
        </w:tc>
        <w:tc>
          <w:tcPr>
            <w:tcW w:w="675" w:type="pct"/>
            <w:gridSpan w:val="2"/>
            <w:vAlign w:val="center"/>
          </w:tcPr>
          <w:p w:rsidR="00DA1C86" w:rsidRPr="00E2771E" w:rsidRDefault="00DA1C86" w:rsidP="00323E7A">
            <w:pPr>
              <w:keepNext/>
              <w:widowControl/>
              <w:jc w:val="center"/>
              <w:rPr>
                <w:rFonts w:ascii="Arial Narrow" w:hAnsi="Arial Narrow"/>
                <w:color w:val="000000"/>
                <w:sz w:val="20"/>
                <w:szCs w:val="18"/>
              </w:rPr>
            </w:pPr>
            <w:r w:rsidRPr="00DA1C86">
              <w:rPr>
                <w:rFonts w:ascii="Arial Narrow" w:hAnsi="Arial Narrow"/>
                <w:b/>
                <w:color w:val="000000"/>
                <w:sz w:val="20"/>
                <w:szCs w:val="18"/>
              </w:rPr>
              <w:t>Ipi</w:t>
            </w:r>
          </w:p>
        </w:tc>
        <w:tc>
          <w:tcPr>
            <w:tcW w:w="591" w:type="pct"/>
            <w:vAlign w:val="center"/>
          </w:tcPr>
          <w:p w:rsidR="00DA1C86" w:rsidRPr="00E2771E" w:rsidRDefault="00DA1C86" w:rsidP="00323E7A">
            <w:pPr>
              <w:keepNext/>
              <w:widowControl/>
              <w:jc w:val="center"/>
              <w:rPr>
                <w:rFonts w:ascii="Arial Narrow" w:hAnsi="Arial Narrow"/>
                <w:color w:val="000000"/>
                <w:sz w:val="20"/>
                <w:szCs w:val="18"/>
              </w:rPr>
            </w:pPr>
            <w:r w:rsidRPr="00DA1C86">
              <w:rPr>
                <w:rFonts w:ascii="Arial Narrow" w:hAnsi="Arial Narrow"/>
                <w:b/>
                <w:color w:val="000000"/>
                <w:sz w:val="20"/>
                <w:szCs w:val="18"/>
              </w:rPr>
              <w:t>gp100</w:t>
            </w:r>
          </w:p>
        </w:tc>
        <w:tc>
          <w:tcPr>
            <w:tcW w:w="929" w:type="pct"/>
            <w:gridSpan w:val="2"/>
            <w:vAlign w:val="center"/>
          </w:tcPr>
          <w:p w:rsidR="00DA1C86" w:rsidRPr="00E2771E" w:rsidRDefault="00DA1C86" w:rsidP="00323E7A">
            <w:pPr>
              <w:keepNext/>
              <w:widowControl/>
              <w:jc w:val="center"/>
              <w:rPr>
                <w:rFonts w:ascii="Arial Narrow" w:hAnsi="Arial Narrow"/>
                <w:color w:val="000000"/>
                <w:sz w:val="20"/>
                <w:szCs w:val="18"/>
              </w:rPr>
            </w:pPr>
          </w:p>
        </w:tc>
      </w:tr>
      <w:tr w:rsidR="00D13B16" w:rsidRPr="00E2771E" w:rsidTr="00D13B16">
        <w:tc>
          <w:tcPr>
            <w:tcW w:w="780" w:type="pct"/>
            <w:shd w:val="clear" w:color="auto" w:fill="auto"/>
            <w:vAlign w:val="center"/>
          </w:tcPr>
          <w:p w:rsidR="00DA1C86" w:rsidRPr="00DA1C86" w:rsidRDefault="00DA1C86" w:rsidP="00323E7A">
            <w:pPr>
              <w:keepNext/>
              <w:widowControl/>
              <w:rPr>
                <w:rFonts w:ascii="Arial Narrow" w:hAnsi="Arial Narrow"/>
                <w:color w:val="000000"/>
                <w:sz w:val="20"/>
                <w:szCs w:val="18"/>
              </w:rPr>
            </w:pPr>
            <w:r w:rsidRPr="00DA1C86">
              <w:rPr>
                <w:rFonts w:ascii="Arial Narrow" w:hAnsi="Arial Narrow"/>
                <w:sz w:val="20"/>
              </w:rPr>
              <w:t>MDX010-20 - ipi</w:t>
            </w:r>
          </w:p>
        </w:tc>
        <w:tc>
          <w:tcPr>
            <w:tcW w:w="506" w:type="pct"/>
            <w:gridSpan w:val="2"/>
            <w:vAlign w:val="center"/>
          </w:tcPr>
          <w:p w:rsidR="00DA1C86" w:rsidRPr="00E2771E" w:rsidRDefault="009C4D95" w:rsidP="00323E7A">
            <w:pPr>
              <w:keepNext/>
              <w:widowControl/>
              <w:jc w:val="center"/>
              <w:rPr>
                <w:rFonts w:ascii="Arial Narrow" w:hAnsi="Arial Narrow"/>
                <w:color w:val="000000"/>
                <w:sz w:val="20"/>
                <w:szCs w:val="18"/>
              </w:rPr>
            </w:pPr>
            <w:r>
              <w:rPr>
                <w:rFonts w:ascii="Arial Narrow" w:hAnsi="Arial Narrow"/>
                <w:color w:val="000000"/>
                <w:sz w:val="20"/>
                <w:szCs w:val="18"/>
              </w:rPr>
              <w:t>34/131</w:t>
            </w:r>
          </w:p>
        </w:tc>
        <w:tc>
          <w:tcPr>
            <w:tcW w:w="591" w:type="pct"/>
            <w:vAlign w:val="center"/>
          </w:tcPr>
          <w:p w:rsidR="00DA1C86" w:rsidRPr="00E2771E" w:rsidRDefault="009C4D95" w:rsidP="00323E7A">
            <w:pPr>
              <w:keepNext/>
              <w:widowControl/>
              <w:jc w:val="center"/>
              <w:rPr>
                <w:rFonts w:ascii="Arial Narrow" w:hAnsi="Arial Narrow"/>
                <w:color w:val="000000"/>
                <w:sz w:val="20"/>
                <w:szCs w:val="18"/>
              </w:rPr>
            </w:pPr>
            <w:r>
              <w:rPr>
                <w:rFonts w:ascii="Arial Narrow" w:hAnsi="Arial Narrow"/>
                <w:color w:val="000000"/>
                <w:sz w:val="20"/>
                <w:szCs w:val="18"/>
              </w:rPr>
              <w:t>16/132</w:t>
            </w:r>
          </w:p>
        </w:tc>
        <w:tc>
          <w:tcPr>
            <w:tcW w:w="929" w:type="pct"/>
            <w:gridSpan w:val="2"/>
            <w:vAlign w:val="center"/>
          </w:tcPr>
          <w:p w:rsidR="00DA1C86" w:rsidRPr="00323E7A" w:rsidRDefault="009C4D95" w:rsidP="00323E7A">
            <w:pPr>
              <w:keepNext/>
              <w:widowControl/>
              <w:jc w:val="center"/>
              <w:rPr>
                <w:rFonts w:ascii="Arial Narrow" w:hAnsi="Arial Narrow"/>
                <w:color w:val="000000"/>
                <w:sz w:val="20"/>
                <w:szCs w:val="18"/>
              </w:rPr>
            </w:pPr>
            <w:r w:rsidRPr="00323E7A">
              <w:rPr>
                <w:rFonts w:ascii="Arial Narrow" w:hAnsi="Arial Narrow"/>
                <w:sz w:val="20"/>
              </w:rPr>
              <w:t>2.14 (1.24, 3.69)</w:t>
            </w:r>
          </w:p>
        </w:tc>
        <w:tc>
          <w:tcPr>
            <w:tcW w:w="675" w:type="pct"/>
            <w:gridSpan w:val="2"/>
            <w:vAlign w:val="center"/>
          </w:tcPr>
          <w:p w:rsidR="00DA1C86" w:rsidRPr="00E2771E" w:rsidRDefault="009C4D95" w:rsidP="00323E7A">
            <w:pPr>
              <w:keepNext/>
              <w:widowControl/>
              <w:jc w:val="center"/>
              <w:rPr>
                <w:rFonts w:ascii="Arial Narrow" w:hAnsi="Arial Narrow"/>
                <w:color w:val="000000"/>
                <w:sz w:val="20"/>
                <w:szCs w:val="18"/>
              </w:rPr>
            </w:pPr>
            <w:r>
              <w:rPr>
                <w:rFonts w:ascii="Arial Narrow" w:hAnsi="Arial Narrow"/>
                <w:color w:val="000000"/>
                <w:sz w:val="20"/>
                <w:szCs w:val="18"/>
              </w:rPr>
              <w:t>26.0</w:t>
            </w:r>
          </w:p>
        </w:tc>
        <w:tc>
          <w:tcPr>
            <w:tcW w:w="591" w:type="pct"/>
            <w:vAlign w:val="center"/>
          </w:tcPr>
          <w:p w:rsidR="00DA1C86" w:rsidRPr="00E2771E" w:rsidRDefault="009C4D95" w:rsidP="00323E7A">
            <w:pPr>
              <w:keepNext/>
              <w:widowControl/>
              <w:jc w:val="center"/>
              <w:rPr>
                <w:rFonts w:ascii="Arial Narrow" w:hAnsi="Arial Narrow"/>
                <w:color w:val="000000"/>
                <w:sz w:val="20"/>
                <w:szCs w:val="18"/>
              </w:rPr>
            </w:pPr>
            <w:r>
              <w:rPr>
                <w:rFonts w:ascii="Arial Narrow" w:hAnsi="Arial Narrow"/>
                <w:color w:val="000000"/>
                <w:sz w:val="20"/>
                <w:szCs w:val="18"/>
              </w:rPr>
              <w:t>12.1</w:t>
            </w:r>
          </w:p>
        </w:tc>
        <w:tc>
          <w:tcPr>
            <w:tcW w:w="929" w:type="pct"/>
            <w:gridSpan w:val="2"/>
            <w:vAlign w:val="center"/>
          </w:tcPr>
          <w:p w:rsidR="00DA1C86" w:rsidRPr="00E2771E" w:rsidRDefault="009C4D95" w:rsidP="00323E7A">
            <w:pPr>
              <w:keepNext/>
              <w:widowControl/>
              <w:jc w:val="center"/>
              <w:rPr>
                <w:rFonts w:ascii="Arial Narrow" w:hAnsi="Arial Narrow"/>
                <w:color w:val="000000"/>
                <w:sz w:val="20"/>
                <w:szCs w:val="18"/>
              </w:rPr>
            </w:pPr>
            <w:r>
              <w:rPr>
                <w:rFonts w:ascii="Arial Narrow" w:hAnsi="Arial Narrow"/>
                <w:color w:val="000000"/>
                <w:sz w:val="20"/>
                <w:szCs w:val="18"/>
              </w:rPr>
              <w:t>-</w:t>
            </w:r>
          </w:p>
        </w:tc>
      </w:tr>
      <w:tr w:rsidR="009C4D95" w:rsidRPr="00E2771E" w:rsidTr="00D13B16">
        <w:tc>
          <w:tcPr>
            <w:tcW w:w="4071" w:type="pct"/>
            <w:gridSpan w:val="9"/>
            <w:shd w:val="clear" w:color="auto" w:fill="auto"/>
            <w:vAlign w:val="center"/>
          </w:tcPr>
          <w:p w:rsidR="009C4D95" w:rsidRPr="00323E7A" w:rsidRDefault="009C4D95" w:rsidP="00323E7A">
            <w:pPr>
              <w:keepNext/>
              <w:widowControl/>
              <w:jc w:val="left"/>
              <w:rPr>
                <w:rFonts w:ascii="Arial Narrow" w:hAnsi="Arial Narrow"/>
                <w:b/>
                <w:color w:val="000000"/>
                <w:sz w:val="20"/>
                <w:szCs w:val="18"/>
              </w:rPr>
            </w:pPr>
            <w:r w:rsidRPr="00323E7A">
              <w:rPr>
                <w:rFonts w:ascii="Arial Narrow" w:hAnsi="Arial Narrow"/>
                <w:b/>
                <w:sz w:val="20"/>
              </w:rPr>
              <w:t xml:space="preserve">Indirect comparison any </w:t>
            </w:r>
            <w:r w:rsidR="004F7770" w:rsidRPr="00323E7A">
              <w:rPr>
                <w:rFonts w:ascii="Arial Narrow" w:hAnsi="Arial Narrow"/>
                <w:b/>
                <w:sz w:val="20"/>
              </w:rPr>
              <w:t xml:space="preserve">drug-related </w:t>
            </w:r>
            <w:r w:rsidRPr="00323E7A">
              <w:rPr>
                <w:rFonts w:ascii="Arial Narrow" w:hAnsi="Arial Narrow"/>
                <w:b/>
                <w:sz w:val="20"/>
              </w:rPr>
              <w:t>severe AE (graded ≥3) – nivo vs. ipi</w:t>
            </w:r>
          </w:p>
        </w:tc>
        <w:tc>
          <w:tcPr>
            <w:tcW w:w="929" w:type="pct"/>
            <w:gridSpan w:val="2"/>
            <w:vAlign w:val="center"/>
          </w:tcPr>
          <w:p w:rsidR="009C4D95" w:rsidRPr="00033C0C" w:rsidRDefault="00033C0C" w:rsidP="00323E7A">
            <w:pPr>
              <w:keepNext/>
              <w:widowControl/>
              <w:jc w:val="center"/>
              <w:rPr>
                <w:rFonts w:ascii="Arial Narrow" w:hAnsi="Arial Narrow"/>
                <w:b/>
                <w:i/>
                <w:color w:val="000000"/>
                <w:sz w:val="20"/>
                <w:szCs w:val="18"/>
              </w:rPr>
            </w:pPr>
            <w:r w:rsidRPr="00033C0C">
              <w:rPr>
                <w:rFonts w:ascii="Arial Narrow" w:hAnsi="Arial Narrow"/>
                <w:b/>
                <w:i/>
                <w:color w:val="000000"/>
                <w:sz w:val="20"/>
                <w:szCs w:val="18"/>
              </w:rPr>
              <w:t>-19.7 (-31.3,</w:t>
            </w:r>
            <w:r w:rsidR="002A1B9C">
              <w:rPr>
                <w:rFonts w:ascii="Arial Narrow" w:hAnsi="Arial Narrow"/>
                <w:b/>
                <w:i/>
                <w:color w:val="000000"/>
                <w:sz w:val="20"/>
                <w:szCs w:val="18"/>
              </w:rPr>
              <w:t xml:space="preserve"> </w:t>
            </w:r>
            <w:r w:rsidRPr="00033C0C">
              <w:rPr>
                <w:rFonts w:ascii="Arial Narrow" w:hAnsi="Arial Narrow"/>
                <w:b/>
                <w:i/>
                <w:color w:val="000000"/>
                <w:sz w:val="20"/>
                <w:szCs w:val="18"/>
              </w:rPr>
              <w:t>-8.2)</w:t>
            </w:r>
          </w:p>
        </w:tc>
      </w:tr>
      <w:tr w:rsidR="009C4D95" w:rsidRPr="00E2771E" w:rsidTr="00FA6362">
        <w:tc>
          <w:tcPr>
            <w:tcW w:w="5000" w:type="pct"/>
            <w:gridSpan w:val="11"/>
            <w:shd w:val="clear" w:color="auto" w:fill="auto"/>
            <w:vAlign w:val="center"/>
          </w:tcPr>
          <w:p w:rsidR="009C4D95" w:rsidRPr="00323E7A" w:rsidRDefault="009C4D95" w:rsidP="00323E7A">
            <w:pPr>
              <w:keepNext/>
              <w:widowControl/>
              <w:jc w:val="left"/>
              <w:rPr>
                <w:rFonts w:ascii="Arial Narrow" w:hAnsi="Arial Narrow"/>
                <w:b/>
                <w:color w:val="000000"/>
                <w:sz w:val="20"/>
                <w:szCs w:val="18"/>
              </w:rPr>
            </w:pPr>
            <w:r w:rsidRPr="00323E7A">
              <w:rPr>
                <w:rFonts w:ascii="Arial Narrow" w:hAnsi="Arial Narrow"/>
                <w:b/>
                <w:color w:val="000000"/>
                <w:sz w:val="20"/>
                <w:szCs w:val="18"/>
              </w:rPr>
              <w:t xml:space="preserve">Any </w:t>
            </w:r>
            <w:r w:rsidR="004F7770" w:rsidRPr="00323E7A">
              <w:rPr>
                <w:rFonts w:ascii="Arial Narrow" w:hAnsi="Arial Narrow"/>
                <w:b/>
                <w:color w:val="000000"/>
                <w:sz w:val="20"/>
                <w:szCs w:val="18"/>
              </w:rPr>
              <w:t xml:space="preserve">drug-related </w:t>
            </w:r>
            <w:r w:rsidRPr="00323E7A">
              <w:rPr>
                <w:rFonts w:ascii="Arial Narrow" w:hAnsi="Arial Narrow"/>
                <w:b/>
                <w:color w:val="000000"/>
                <w:sz w:val="20"/>
                <w:szCs w:val="18"/>
              </w:rPr>
              <w:t>serious AE</w:t>
            </w:r>
          </w:p>
        </w:tc>
      </w:tr>
      <w:tr w:rsidR="00D13B16" w:rsidRPr="00E2771E" w:rsidTr="00D13B16">
        <w:tc>
          <w:tcPr>
            <w:tcW w:w="780" w:type="pct"/>
            <w:shd w:val="clear" w:color="auto" w:fill="auto"/>
            <w:vAlign w:val="center"/>
          </w:tcPr>
          <w:p w:rsidR="007951A8" w:rsidRPr="00E2771E" w:rsidRDefault="007951A8" w:rsidP="00323E7A">
            <w:pPr>
              <w:keepNext/>
              <w:widowControl/>
              <w:rPr>
                <w:rFonts w:ascii="Arial Narrow" w:hAnsi="Arial Narrow"/>
                <w:color w:val="000000"/>
                <w:sz w:val="20"/>
                <w:szCs w:val="18"/>
              </w:rPr>
            </w:pPr>
          </w:p>
        </w:tc>
        <w:tc>
          <w:tcPr>
            <w:tcW w:w="506" w:type="pct"/>
            <w:gridSpan w:val="2"/>
            <w:vAlign w:val="center"/>
          </w:tcPr>
          <w:p w:rsidR="007951A8" w:rsidRPr="00E2771E" w:rsidRDefault="007951A8" w:rsidP="00323E7A">
            <w:pPr>
              <w:keepNext/>
              <w:widowControl/>
              <w:jc w:val="center"/>
              <w:rPr>
                <w:rFonts w:ascii="Arial Narrow" w:hAnsi="Arial Narrow"/>
                <w:color w:val="000000"/>
                <w:sz w:val="20"/>
                <w:szCs w:val="18"/>
              </w:rPr>
            </w:pPr>
            <w:r>
              <w:rPr>
                <w:rFonts w:ascii="Arial Narrow" w:hAnsi="Arial Narrow"/>
                <w:b/>
                <w:color w:val="000000"/>
                <w:sz w:val="20"/>
                <w:szCs w:val="18"/>
              </w:rPr>
              <w:t>Nivo</w:t>
            </w:r>
          </w:p>
        </w:tc>
        <w:tc>
          <w:tcPr>
            <w:tcW w:w="591" w:type="pct"/>
            <w:vAlign w:val="center"/>
          </w:tcPr>
          <w:p w:rsidR="007951A8" w:rsidRPr="00E2771E" w:rsidRDefault="007951A8" w:rsidP="00323E7A">
            <w:pPr>
              <w:keepNext/>
              <w:widowControl/>
              <w:jc w:val="center"/>
              <w:rPr>
                <w:rFonts w:ascii="Arial Narrow" w:hAnsi="Arial Narrow"/>
                <w:color w:val="000000"/>
                <w:sz w:val="20"/>
                <w:szCs w:val="18"/>
              </w:rPr>
            </w:pPr>
            <w:r>
              <w:rPr>
                <w:rFonts w:ascii="Arial Narrow" w:hAnsi="Arial Narrow"/>
                <w:b/>
                <w:color w:val="000000"/>
                <w:sz w:val="20"/>
                <w:szCs w:val="18"/>
              </w:rPr>
              <w:t>DTIC</w:t>
            </w:r>
          </w:p>
        </w:tc>
        <w:tc>
          <w:tcPr>
            <w:tcW w:w="929" w:type="pct"/>
            <w:gridSpan w:val="2"/>
            <w:vAlign w:val="center"/>
          </w:tcPr>
          <w:p w:rsidR="007951A8" w:rsidRPr="00323E7A" w:rsidRDefault="007951A8" w:rsidP="00323E7A">
            <w:pPr>
              <w:keepNext/>
              <w:widowControl/>
              <w:jc w:val="center"/>
              <w:rPr>
                <w:rFonts w:ascii="Arial Narrow" w:hAnsi="Arial Narrow"/>
                <w:color w:val="000000"/>
                <w:sz w:val="20"/>
                <w:szCs w:val="18"/>
              </w:rPr>
            </w:pPr>
          </w:p>
        </w:tc>
        <w:tc>
          <w:tcPr>
            <w:tcW w:w="675" w:type="pct"/>
            <w:gridSpan w:val="2"/>
            <w:vAlign w:val="center"/>
          </w:tcPr>
          <w:p w:rsidR="007951A8" w:rsidRPr="00E2771E" w:rsidRDefault="007951A8" w:rsidP="00323E7A">
            <w:pPr>
              <w:keepNext/>
              <w:widowControl/>
              <w:jc w:val="center"/>
              <w:rPr>
                <w:rFonts w:ascii="Arial Narrow" w:hAnsi="Arial Narrow"/>
                <w:color w:val="000000"/>
                <w:sz w:val="20"/>
                <w:szCs w:val="18"/>
              </w:rPr>
            </w:pPr>
            <w:r>
              <w:rPr>
                <w:rFonts w:ascii="Arial Narrow" w:hAnsi="Arial Narrow"/>
                <w:b/>
                <w:color w:val="000000"/>
                <w:sz w:val="20"/>
                <w:szCs w:val="18"/>
              </w:rPr>
              <w:t>Nivo</w:t>
            </w:r>
          </w:p>
        </w:tc>
        <w:tc>
          <w:tcPr>
            <w:tcW w:w="591" w:type="pct"/>
            <w:vAlign w:val="center"/>
          </w:tcPr>
          <w:p w:rsidR="007951A8" w:rsidRPr="00E2771E" w:rsidRDefault="007951A8" w:rsidP="00323E7A">
            <w:pPr>
              <w:keepNext/>
              <w:widowControl/>
              <w:jc w:val="center"/>
              <w:rPr>
                <w:rFonts w:ascii="Arial Narrow" w:hAnsi="Arial Narrow"/>
                <w:color w:val="000000"/>
                <w:sz w:val="20"/>
                <w:szCs w:val="18"/>
              </w:rPr>
            </w:pPr>
            <w:r>
              <w:rPr>
                <w:rFonts w:ascii="Arial Narrow" w:hAnsi="Arial Narrow"/>
                <w:b/>
                <w:color w:val="000000"/>
                <w:sz w:val="20"/>
                <w:szCs w:val="18"/>
              </w:rPr>
              <w:t>DTIC</w:t>
            </w:r>
          </w:p>
        </w:tc>
        <w:tc>
          <w:tcPr>
            <w:tcW w:w="929" w:type="pct"/>
            <w:gridSpan w:val="2"/>
            <w:vAlign w:val="center"/>
          </w:tcPr>
          <w:p w:rsidR="007951A8" w:rsidRPr="00E2771E" w:rsidRDefault="007951A8" w:rsidP="00323E7A">
            <w:pPr>
              <w:keepNext/>
              <w:widowControl/>
              <w:jc w:val="center"/>
              <w:rPr>
                <w:rFonts w:ascii="Arial Narrow" w:hAnsi="Arial Narrow"/>
                <w:color w:val="000000"/>
                <w:sz w:val="20"/>
                <w:szCs w:val="18"/>
              </w:rPr>
            </w:pPr>
          </w:p>
        </w:tc>
      </w:tr>
      <w:tr w:rsidR="00D13B16" w:rsidRPr="00E2771E" w:rsidTr="00D13B16">
        <w:tc>
          <w:tcPr>
            <w:tcW w:w="780" w:type="pct"/>
            <w:shd w:val="clear" w:color="auto" w:fill="auto"/>
            <w:vAlign w:val="center"/>
          </w:tcPr>
          <w:p w:rsidR="007951A8" w:rsidRPr="00DA1C86" w:rsidRDefault="007951A8" w:rsidP="00323E7A">
            <w:pPr>
              <w:keepNext/>
              <w:widowControl/>
              <w:rPr>
                <w:rFonts w:ascii="Arial Narrow" w:hAnsi="Arial Narrow"/>
                <w:color w:val="000000"/>
                <w:sz w:val="20"/>
                <w:szCs w:val="18"/>
              </w:rPr>
            </w:pPr>
            <w:r w:rsidRPr="00DA1C86">
              <w:rPr>
                <w:rFonts w:ascii="Arial Narrow" w:hAnsi="Arial Narrow"/>
                <w:color w:val="000000"/>
                <w:sz w:val="20"/>
                <w:szCs w:val="18"/>
              </w:rPr>
              <w:t>CA209-066</w:t>
            </w:r>
            <w:r>
              <w:rPr>
                <w:rFonts w:ascii="Arial Narrow" w:hAnsi="Arial Narrow"/>
                <w:color w:val="000000"/>
                <w:sz w:val="20"/>
                <w:szCs w:val="18"/>
              </w:rPr>
              <w:t>-</w:t>
            </w:r>
            <w:r w:rsidRPr="00DA1C86">
              <w:rPr>
                <w:rFonts w:ascii="Arial Narrow" w:hAnsi="Arial Narrow"/>
                <w:color w:val="000000"/>
                <w:sz w:val="20"/>
                <w:szCs w:val="18"/>
              </w:rPr>
              <w:t xml:space="preserve"> nivo</w:t>
            </w:r>
          </w:p>
        </w:tc>
        <w:tc>
          <w:tcPr>
            <w:tcW w:w="506" w:type="pct"/>
            <w:gridSpan w:val="2"/>
            <w:vAlign w:val="center"/>
          </w:tcPr>
          <w:p w:rsidR="007951A8" w:rsidRDefault="007951A8" w:rsidP="00323E7A">
            <w:pPr>
              <w:keepNext/>
              <w:widowControl/>
              <w:jc w:val="center"/>
              <w:rPr>
                <w:rFonts w:ascii="Arial Narrow" w:hAnsi="Arial Narrow"/>
                <w:color w:val="000000"/>
                <w:sz w:val="20"/>
                <w:szCs w:val="18"/>
              </w:rPr>
            </w:pPr>
            <w:r>
              <w:rPr>
                <w:rFonts w:ascii="Arial Narrow" w:hAnsi="Arial Narrow"/>
                <w:color w:val="000000"/>
                <w:sz w:val="20"/>
                <w:szCs w:val="18"/>
              </w:rPr>
              <w:t>19/206</w:t>
            </w:r>
          </w:p>
        </w:tc>
        <w:tc>
          <w:tcPr>
            <w:tcW w:w="591" w:type="pct"/>
            <w:vAlign w:val="center"/>
          </w:tcPr>
          <w:p w:rsidR="007951A8" w:rsidRDefault="007951A8" w:rsidP="00323E7A">
            <w:pPr>
              <w:keepNext/>
              <w:widowControl/>
              <w:jc w:val="center"/>
              <w:rPr>
                <w:rFonts w:ascii="Arial Narrow" w:hAnsi="Arial Narrow"/>
                <w:color w:val="000000"/>
                <w:sz w:val="20"/>
                <w:szCs w:val="18"/>
              </w:rPr>
            </w:pPr>
            <w:r>
              <w:rPr>
                <w:rFonts w:ascii="Arial Narrow" w:hAnsi="Arial Narrow"/>
                <w:color w:val="000000"/>
                <w:sz w:val="20"/>
                <w:szCs w:val="18"/>
              </w:rPr>
              <w:t>18/205</w:t>
            </w:r>
          </w:p>
        </w:tc>
        <w:tc>
          <w:tcPr>
            <w:tcW w:w="929" w:type="pct"/>
            <w:gridSpan w:val="2"/>
            <w:vAlign w:val="center"/>
          </w:tcPr>
          <w:p w:rsidR="007951A8" w:rsidRPr="00323E7A" w:rsidRDefault="007951A8" w:rsidP="00323E7A">
            <w:pPr>
              <w:keepNext/>
              <w:widowControl/>
              <w:jc w:val="center"/>
              <w:rPr>
                <w:rFonts w:ascii="Arial Narrow" w:hAnsi="Arial Narrow"/>
                <w:sz w:val="20"/>
              </w:rPr>
            </w:pPr>
            <w:r w:rsidRPr="00323E7A">
              <w:rPr>
                <w:rFonts w:ascii="Arial Narrow" w:hAnsi="Arial Narrow"/>
                <w:sz w:val="20"/>
              </w:rPr>
              <w:t>1.05 (0.57, 1.94)</w:t>
            </w:r>
          </w:p>
        </w:tc>
        <w:tc>
          <w:tcPr>
            <w:tcW w:w="675" w:type="pct"/>
            <w:gridSpan w:val="2"/>
            <w:vAlign w:val="center"/>
          </w:tcPr>
          <w:p w:rsidR="007951A8" w:rsidRDefault="007951A8" w:rsidP="00323E7A">
            <w:pPr>
              <w:keepNext/>
              <w:widowControl/>
              <w:jc w:val="center"/>
              <w:rPr>
                <w:rFonts w:ascii="Arial Narrow" w:hAnsi="Arial Narrow"/>
                <w:color w:val="000000"/>
                <w:sz w:val="20"/>
                <w:szCs w:val="18"/>
              </w:rPr>
            </w:pPr>
            <w:r>
              <w:rPr>
                <w:rFonts w:ascii="Arial Narrow" w:hAnsi="Arial Narrow"/>
                <w:color w:val="000000"/>
                <w:sz w:val="20"/>
                <w:szCs w:val="18"/>
              </w:rPr>
              <w:t>9.2</w:t>
            </w:r>
          </w:p>
        </w:tc>
        <w:tc>
          <w:tcPr>
            <w:tcW w:w="591" w:type="pct"/>
            <w:vAlign w:val="center"/>
          </w:tcPr>
          <w:p w:rsidR="007951A8" w:rsidRDefault="007951A8" w:rsidP="00323E7A">
            <w:pPr>
              <w:keepNext/>
              <w:widowControl/>
              <w:jc w:val="center"/>
              <w:rPr>
                <w:rFonts w:ascii="Arial Narrow" w:hAnsi="Arial Narrow"/>
                <w:color w:val="000000"/>
                <w:sz w:val="20"/>
                <w:szCs w:val="18"/>
              </w:rPr>
            </w:pPr>
            <w:r>
              <w:rPr>
                <w:rFonts w:ascii="Arial Narrow" w:hAnsi="Arial Narrow"/>
                <w:color w:val="000000"/>
                <w:sz w:val="20"/>
                <w:szCs w:val="18"/>
              </w:rPr>
              <w:t>8.8</w:t>
            </w:r>
          </w:p>
        </w:tc>
        <w:tc>
          <w:tcPr>
            <w:tcW w:w="929" w:type="pct"/>
            <w:gridSpan w:val="2"/>
            <w:vAlign w:val="center"/>
          </w:tcPr>
          <w:p w:rsidR="007951A8" w:rsidRDefault="007951A8" w:rsidP="00323E7A">
            <w:pPr>
              <w:keepNext/>
              <w:widowControl/>
              <w:jc w:val="center"/>
              <w:rPr>
                <w:rFonts w:ascii="Arial Narrow" w:hAnsi="Arial Narrow"/>
                <w:color w:val="000000"/>
                <w:sz w:val="20"/>
                <w:szCs w:val="18"/>
              </w:rPr>
            </w:pPr>
            <w:r>
              <w:rPr>
                <w:rFonts w:ascii="Arial Narrow" w:hAnsi="Arial Narrow"/>
                <w:color w:val="000000"/>
                <w:sz w:val="20"/>
                <w:szCs w:val="18"/>
              </w:rPr>
              <w:t>-</w:t>
            </w:r>
          </w:p>
        </w:tc>
      </w:tr>
      <w:tr w:rsidR="00D13B16" w:rsidRPr="00E2771E" w:rsidTr="00D13B16">
        <w:tc>
          <w:tcPr>
            <w:tcW w:w="780" w:type="pct"/>
            <w:shd w:val="clear" w:color="auto" w:fill="auto"/>
            <w:vAlign w:val="center"/>
          </w:tcPr>
          <w:p w:rsidR="007951A8" w:rsidRPr="00E2771E" w:rsidRDefault="007951A8" w:rsidP="00323E7A">
            <w:pPr>
              <w:keepNext/>
              <w:widowControl/>
              <w:rPr>
                <w:rFonts w:ascii="Arial Narrow" w:hAnsi="Arial Narrow"/>
                <w:color w:val="000000"/>
                <w:sz w:val="20"/>
                <w:szCs w:val="18"/>
              </w:rPr>
            </w:pPr>
          </w:p>
        </w:tc>
        <w:tc>
          <w:tcPr>
            <w:tcW w:w="506" w:type="pct"/>
            <w:gridSpan w:val="2"/>
            <w:vAlign w:val="center"/>
          </w:tcPr>
          <w:p w:rsidR="007951A8" w:rsidRPr="00E2771E" w:rsidRDefault="007951A8" w:rsidP="00323E7A">
            <w:pPr>
              <w:keepNext/>
              <w:widowControl/>
              <w:jc w:val="center"/>
              <w:rPr>
                <w:rFonts w:ascii="Arial Narrow" w:hAnsi="Arial Narrow"/>
                <w:color w:val="000000"/>
                <w:sz w:val="20"/>
                <w:szCs w:val="18"/>
              </w:rPr>
            </w:pPr>
            <w:r w:rsidRPr="00DA1C86">
              <w:rPr>
                <w:rFonts w:ascii="Arial Narrow" w:hAnsi="Arial Narrow"/>
                <w:b/>
                <w:color w:val="000000"/>
                <w:sz w:val="20"/>
                <w:szCs w:val="18"/>
              </w:rPr>
              <w:t>Ipi</w:t>
            </w:r>
          </w:p>
        </w:tc>
        <w:tc>
          <w:tcPr>
            <w:tcW w:w="591" w:type="pct"/>
            <w:vAlign w:val="center"/>
          </w:tcPr>
          <w:p w:rsidR="007951A8" w:rsidRPr="00E2771E" w:rsidRDefault="007951A8" w:rsidP="00323E7A">
            <w:pPr>
              <w:keepNext/>
              <w:widowControl/>
              <w:jc w:val="center"/>
              <w:rPr>
                <w:rFonts w:ascii="Arial Narrow" w:hAnsi="Arial Narrow"/>
                <w:color w:val="000000"/>
                <w:sz w:val="20"/>
                <w:szCs w:val="18"/>
              </w:rPr>
            </w:pPr>
            <w:r w:rsidRPr="00DA1C86">
              <w:rPr>
                <w:rFonts w:ascii="Arial Narrow" w:hAnsi="Arial Narrow"/>
                <w:b/>
                <w:color w:val="000000"/>
                <w:sz w:val="20"/>
                <w:szCs w:val="18"/>
              </w:rPr>
              <w:t>gp100</w:t>
            </w:r>
          </w:p>
        </w:tc>
        <w:tc>
          <w:tcPr>
            <w:tcW w:w="929" w:type="pct"/>
            <w:gridSpan w:val="2"/>
            <w:vAlign w:val="center"/>
          </w:tcPr>
          <w:p w:rsidR="007951A8" w:rsidRPr="00323E7A" w:rsidRDefault="007951A8" w:rsidP="00323E7A">
            <w:pPr>
              <w:keepNext/>
              <w:widowControl/>
              <w:jc w:val="center"/>
              <w:rPr>
                <w:rFonts w:ascii="Arial Narrow" w:hAnsi="Arial Narrow"/>
                <w:color w:val="000000"/>
                <w:sz w:val="20"/>
                <w:szCs w:val="18"/>
              </w:rPr>
            </w:pPr>
          </w:p>
        </w:tc>
        <w:tc>
          <w:tcPr>
            <w:tcW w:w="675" w:type="pct"/>
            <w:gridSpan w:val="2"/>
            <w:vAlign w:val="center"/>
          </w:tcPr>
          <w:p w:rsidR="007951A8" w:rsidRPr="00E2771E" w:rsidRDefault="007951A8" w:rsidP="00323E7A">
            <w:pPr>
              <w:keepNext/>
              <w:widowControl/>
              <w:jc w:val="center"/>
              <w:rPr>
                <w:rFonts w:ascii="Arial Narrow" w:hAnsi="Arial Narrow"/>
                <w:color w:val="000000"/>
                <w:sz w:val="20"/>
                <w:szCs w:val="18"/>
              </w:rPr>
            </w:pPr>
            <w:r w:rsidRPr="00DA1C86">
              <w:rPr>
                <w:rFonts w:ascii="Arial Narrow" w:hAnsi="Arial Narrow"/>
                <w:b/>
                <w:color w:val="000000"/>
                <w:sz w:val="20"/>
                <w:szCs w:val="18"/>
              </w:rPr>
              <w:t>Ipi</w:t>
            </w:r>
          </w:p>
        </w:tc>
        <w:tc>
          <w:tcPr>
            <w:tcW w:w="591" w:type="pct"/>
            <w:vAlign w:val="center"/>
          </w:tcPr>
          <w:p w:rsidR="007951A8" w:rsidRPr="00E2771E" w:rsidRDefault="007951A8" w:rsidP="00323E7A">
            <w:pPr>
              <w:keepNext/>
              <w:widowControl/>
              <w:jc w:val="center"/>
              <w:rPr>
                <w:rFonts w:ascii="Arial Narrow" w:hAnsi="Arial Narrow"/>
                <w:color w:val="000000"/>
                <w:sz w:val="20"/>
                <w:szCs w:val="18"/>
              </w:rPr>
            </w:pPr>
            <w:r w:rsidRPr="00DA1C86">
              <w:rPr>
                <w:rFonts w:ascii="Arial Narrow" w:hAnsi="Arial Narrow"/>
                <w:b/>
                <w:color w:val="000000"/>
                <w:sz w:val="20"/>
                <w:szCs w:val="18"/>
              </w:rPr>
              <w:t>gp100</w:t>
            </w:r>
          </w:p>
        </w:tc>
        <w:tc>
          <w:tcPr>
            <w:tcW w:w="929" w:type="pct"/>
            <w:gridSpan w:val="2"/>
            <w:vAlign w:val="center"/>
          </w:tcPr>
          <w:p w:rsidR="007951A8" w:rsidRPr="00E2771E" w:rsidRDefault="007951A8" w:rsidP="00323E7A">
            <w:pPr>
              <w:keepNext/>
              <w:widowControl/>
              <w:jc w:val="center"/>
              <w:rPr>
                <w:rFonts w:ascii="Arial Narrow" w:hAnsi="Arial Narrow"/>
                <w:color w:val="000000"/>
                <w:sz w:val="20"/>
                <w:szCs w:val="18"/>
              </w:rPr>
            </w:pPr>
          </w:p>
        </w:tc>
      </w:tr>
      <w:tr w:rsidR="00D13B16" w:rsidRPr="00E2771E" w:rsidTr="00D13B16">
        <w:tc>
          <w:tcPr>
            <w:tcW w:w="780" w:type="pct"/>
            <w:shd w:val="clear" w:color="auto" w:fill="auto"/>
            <w:vAlign w:val="center"/>
          </w:tcPr>
          <w:p w:rsidR="007951A8" w:rsidRPr="00E2771E" w:rsidRDefault="007951A8" w:rsidP="00323E7A">
            <w:pPr>
              <w:keepNext/>
              <w:widowControl/>
              <w:rPr>
                <w:rFonts w:ascii="Arial Narrow" w:hAnsi="Arial Narrow"/>
                <w:color w:val="000000"/>
                <w:sz w:val="20"/>
                <w:szCs w:val="18"/>
              </w:rPr>
            </w:pPr>
            <w:r w:rsidRPr="00DA1C86">
              <w:rPr>
                <w:rFonts w:ascii="Arial Narrow" w:hAnsi="Arial Narrow"/>
                <w:sz w:val="20"/>
              </w:rPr>
              <w:t>MDX010-20 - ipi</w:t>
            </w:r>
          </w:p>
        </w:tc>
        <w:tc>
          <w:tcPr>
            <w:tcW w:w="506" w:type="pct"/>
            <w:gridSpan w:val="2"/>
            <w:vAlign w:val="center"/>
          </w:tcPr>
          <w:p w:rsidR="007951A8" w:rsidRPr="00E2771E" w:rsidRDefault="007951A8" w:rsidP="00323E7A">
            <w:pPr>
              <w:keepNext/>
              <w:widowControl/>
              <w:jc w:val="center"/>
              <w:rPr>
                <w:rFonts w:ascii="Arial Narrow" w:hAnsi="Arial Narrow"/>
                <w:color w:val="000000"/>
                <w:sz w:val="20"/>
                <w:szCs w:val="18"/>
              </w:rPr>
            </w:pPr>
            <w:r>
              <w:rPr>
                <w:rFonts w:ascii="Arial Narrow" w:hAnsi="Arial Narrow"/>
                <w:color w:val="000000"/>
                <w:sz w:val="20"/>
                <w:szCs w:val="18"/>
              </w:rPr>
              <w:t>24/131</w:t>
            </w:r>
          </w:p>
        </w:tc>
        <w:tc>
          <w:tcPr>
            <w:tcW w:w="591" w:type="pct"/>
            <w:vAlign w:val="center"/>
          </w:tcPr>
          <w:p w:rsidR="007951A8" w:rsidRPr="00E2771E" w:rsidRDefault="007951A8" w:rsidP="00323E7A">
            <w:pPr>
              <w:keepNext/>
              <w:widowControl/>
              <w:jc w:val="center"/>
              <w:rPr>
                <w:rFonts w:ascii="Arial Narrow" w:hAnsi="Arial Narrow"/>
                <w:color w:val="000000"/>
                <w:sz w:val="20"/>
                <w:szCs w:val="18"/>
              </w:rPr>
            </w:pPr>
            <w:r>
              <w:rPr>
                <w:rFonts w:ascii="Arial Narrow" w:hAnsi="Arial Narrow"/>
                <w:color w:val="000000"/>
                <w:sz w:val="20"/>
                <w:szCs w:val="18"/>
              </w:rPr>
              <w:t>5/132</w:t>
            </w:r>
          </w:p>
        </w:tc>
        <w:tc>
          <w:tcPr>
            <w:tcW w:w="929" w:type="pct"/>
            <w:gridSpan w:val="2"/>
            <w:vAlign w:val="center"/>
          </w:tcPr>
          <w:p w:rsidR="007951A8" w:rsidRPr="00323E7A" w:rsidRDefault="007951A8" w:rsidP="00323E7A">
            <w:pPr>
              <w:keepNext/>
              <w:widowControl/>
              <w:jc w:val="center"/>
              <w:rPr>
                <w:rFonts w:ascii="Arial Narrow" w:hAnsi="Arial Narrow"/>
                <w:color w:val="000000"/>
                <w:sz w:val="20"/>
                <w:szCs w:val="18"/>
              </w:rPr>
            </w:pPr>
            <w:r w:rsidRPr="00323E7A">
              <w:rPr>
                <w:rFonts w:ascii="Arial Narrow" w:hAnsi="Arial Narrow"/>
                <w:sz w:val="20"/>
              </w:rPr>
              <w:t>4.84 (1.89,12.31</w:t>
            </w:r>
            <w:r w:rsidR="00323E7A" w:rsidRPr="00323E7A">
              <w:rPr>
                <w:rFonts w:ascii="Arial Narrow" w:hAnsi="Arial Narrow"/>
                <w:sz w:val="20"/>
              </w:rPr>
              <w:t>)</w:t>
            </w:r>
          </w:p>
        </w:tc>
        <w:tc>
          <w:tcPr>
            <w:tcW w:w="675" w:type="pct"/>
            <w:gridSpan w:val="2"/>
            <w:vAlign w:val="center"/>
          </w:tcPr>
          <w:p w:rsidR="007951A8" w:rsidRPr="00E2771E" w:rsidRDefault="007951A8" w:rsidP="00323E7A">
            <w:pPr>
              <w:keepNext/>
              <w:widowControl/>
              <w:jc w:val="center"/>
              <w:rPr>
                <w:rFonts w:ascii="Arial Narrow" w:hAnsi="Arial Narrow"/>
                <w:color w:val="000000"/>
                <w:sz w:val="20"/>
                <w:szCs w:val="18"/>
              </w:rPr>
            </w:pPr>
            <w:r>
              <w:rPr>
                <w:rFonts w:ascii="Arial Narrow" w:hAnsi="Arial Narrow"/>
                <w:color w:val="000000"/>
                <w:sz w:val="20"/>
                <w:szCs w:val="18"/>
              </w:rPr>
              <w:t>18.3</w:t>
            </w:r>
          </w:p>
        </w:tc>
        <w:tc>
          <w:tcPr>
            <w:tcW w:w="591" w:type="pct"/>
            <w:vAlign w:val="center"/>
          </w:tcPr>
          <w:p w:rsidR="007951A8" w:rsidRPr="00E2771E" w:rsidRDefault="007951A8" w:rsidP="00323E7A">
            <w:pPr>
              <w:keepNext/>
              <w:widowControl/>
              <w:jc w:val="center"/>
              <w:rPr>
                <w:rFonts w:ascii="Arial Narrow" w:hAnsi="Arial Narrow"/>
                <w:color w:val="000000"/>
                <w:sz w:val="20"/>
                <w:szCs w:val="18"/>
              </w:rPr>
            </w:pPr>
            <w:r>
              <w:rPr>
                <w:rFonts w:ascii="Arial Narrow" w:hAnsi="Arial Narrow"/>
                <w:color w:val="000000"/>
                <w:sz w:val="20"/>
                <w:szCs w:val="18"/>
              </w:rPr>
              <w:t>3.8</w:t>
            </w:r>
          </w:p>
        </w:tc>
        <w:tc>
          <w:tcPr>
            <w:tcW w:w="929" w:type="pct"/>
            <w:gridSpan w:val="2"/>
            <w:vAlign w:val="center"/>
          </w:tcPr>
          <w:p w:rsidR="007951A8" w:rsidRPr="00E2771E" w:rsidRDefault="007951A8" w:rsidP="00323E7A">
            <w:pPr>
              <w:keepNext/>
              <w:widowControl/>
              <w:jc w:val="center"/>
              <w:rPr>
                <w:rFonts w:ascii="Arial Narrow" w:hAnsi="Arial Narrow"/>
                <w:color w:val="000000"/>
                <w:sz w:val="20"/>
                <w:szCs w:val="18"/>
              </w:rPr>
            </w:pPr>
            <w:r>
              <w:rPr>
                <w:rFonts w:ascii="Arial Narrow" w:hAnsi="Arial Narrow"/>
                <w:color w:val="000000"/>
                <w:sz w:val="20"/>
                <w:szCs w:val="18"/>
              </w:rPr>
              <w:t>-</w:t>
            </w:r>
          </w:p>
        </w:tc>
      </w:tr>
      <w:tr w:rsidR="007951A8" w:rsidRPr="00E2771E" w:rsidTr="00D13B16">
        <w:tc>
          <w:tcPr>
            <w:tcW w:w="4071" w:type="pct"/>
            <w:gridSpan w:val="9"/>
            <w:shd w:val="clear" w:color="auto" w:fill="auto"/>
            <w:vAlign w:val="center"/>
          </w:tcPr>
          <w:p w:rsidR="007951A8" w:rsidRPr="00E2771E" w:rsidRDefault="007951A8" w:rsidP="00323E7A">
            <w:pPr>
              <w:keepNext/>
              <w:widowControl/>
              <w:jc w:val="left"/>
              <w:rPr>
                <w:rFonts w:ascii="Arial Narrow" w:hAnsi="Arial Narrow"/>
                <w:color w:val="000000"/>
                <w:sz w:val="20"/>
                <w:szCs w:val="18"/>
              </w:rPr>
            </w:pPr>
            <w:r>
              <w:rPr>
                <w:rFonts w:ascii="Arial Narrow" w:hAnsi="Arial Narrow"/>
                <w:b/>
                <w:sz w:val="20"/>
              </w:rPr>
              <w:t>Indirect comparison any drug-related serious AE – nivo vs. ipi</w:t>
            </w:r>
          </w:p>
        </w:tc>
        <w:tc>
          <w:tcPr>
            <w:tcW w:w="929" w:type="pct"/>
            <w:gridSpan w:val="2"/>
            <w:vAlign w:val="center"/>
          </w:tcPr>
          <w:p w:rsidR="007951A8" w:rsidRPr="00033C0C" w:rsidRDefault="007951A8" w:rsidP="00323E7A">
            <w:pPr>
              <w:keepNext/>
              <w:widowControl/>
              <w:jc w:val="center"/>
              <w:rPr>
                <w:rFonts w:ascii="Arial Narrow" w:hAnsi="Arial Narrow"/>
                <w:b/>
                <w:i/>
                <w:color w:val="000000"/>
                <w:sz w:val="20"/>
                <w:szCs w:val="18"/>
              </w:rPr>
            </w:pPr>
            <w:r w:rsidRPr="00033C0C">
              <w:rPr>
                <w:rFonts w:ascii="Arial Narrow" w:hAnsi="Arial Narrow"/>
                <w:b/>
                <w:i/>
                <w:color w:val="000000"/>
                <w:sz w:val="20"/>
                <w:szCs w:val="18"/>
              </w:rPr>
              <w:t>-14.1 (-23.3, -4.9)</w:t>
            </w:r>
          </w:p>
        </w:tc>
      </w:tr>
    </w:tbl>
    <w:p w:rsidR="00B62715" w:rsidRPr="00323E7A" w:rsidRDefault="00367753" w:rsidP="00323E7A">
      <w:pPr>
        <w:pStyle w:val="TableFooter"/>
        <w:keepNext/>
        <w:widowControl/>
        <w:tabs>
          <w:tab w:val="left" w:pos="851"/>
        </w:tabs>
        <w:ind w:left="709"/>
      </w:pPr>
      <w:r w:rsidRPr="00323E7A">
        <w:rPr>
          <w:vertAlign w:val="superscript"/>
        </w:rPr>
        <w:t>a</w:t>
      </w:r>
      <w:r w:rsidRPr="00323E7A">
        <w:tab/>
        <w:t>Statistical analyses conducted during the evaluation.</w:t>
      </w:r>
    </w:p>
    <w:p w:rsidR="00B62715" w:rsidRPr="0072416F" w:rsidRDefault="00B62715" w:rsidP="00323E7A">
      <w:pPr>
        <w:pStyle w:val="TableFooter"/>
        <w:widowControl/>
        <w:ind w:firstLine="720"/>
      </w:pPr>
      <w:r w:rsidRPr="0072416F">
        <w:t>Source: Compiled during the evaluation</w:t>
      </w:r>
    </w:p>
    <w:p w:rsidR="00B60939" w:rsidRPr="00882085" w:rsidRDefault="00B60939" w:rsidP="00323E7A">
      <w:pPr>
        <w:widowControl/>
      </w:pPr>
    </w:p>
    <w:p w:rsidR="00496BBE" w:rsidRPr="003A3593" w:rsidRDefault="00496BBE" w:rsidP="00323E7A">
      <w:pPr>
        <w:pStyle w:val="ListParagraph"/>
        <w:widowControl/>
        <w:numPr>
          <w:ilvl w:val="1"/>
          <w:numId w:val="23"/>
        </w:numPr>
        <w:ind w:left="709" w:hanging="709"/>
      </w:pPr>
      <w:r w:rsidRPr="00CF6EE4">
        <w:t xml:space="preserve">On the basis of </w:t>
      </w:r>
      <w:r>
        <w:t xml:space="preserve">the </w:t>
      </w:r>
      <w:r w:rsidRPr="00CF6EE4">
        <w:t>indirect</w:t>
      </w:r>
      <w:r>
        <w:t xml:space="preserve"> </w:t>
      </w:r>
      <w:r w:rsidRPr="00CF6EE4">
        <w:t xml:space="preserve">evidence presented by the submission, the comparison of </w:t>
      </w:r>
      <w:r>
        <w:t>nivolumab</w:t>
      </w:r>
      <w:r w:rsidRPr="00CF6EE4">
        <w:t xml:space="preserve"> and </w:t>
      </w:r>
      <w:r>
        <w:t>ipilimumab</w:t>
      </w:r>
      <w:r w:rsidRPr="00CF6EE4">
        <w:t xml:space="preserve"> resulted in:</w:t>
      </w:r>
    </w:p>
    <w:p w:rsidR="00496BBE" w:rsidRPr="006C03DC" w:rsidRDefault="00496BBE" w:rsidP="00323E7A">
      <w:pPr>
        <w:pStyle w:val="ListParagraph"/>
        <w:widowControl/>
        <w:numPr>
          <w:ilvl w:val="0"/>
          <w:numId w:val="4"/>
        </w:numPr>
        <w:ind w:left="993" w:hanging="284"/>
        <w:rPr>
          <w:szCs w:val="22"/>
        </w:rPr>
      </w:pPr>
      <w:r w:rsidRPr="006C03DC">
        <w:t>Statistically significant differences in OS and PFS that have borderline significance (upper 95% C</w:t>
      </w:r>
      <w:r w:rsidR="007951A8" w:rsidRPr="006C03DC">
        <w:t>L</w:t>
      </w:r>
      <w:r w:rsidRPr="006C03DC">
        <w:t xml:space="preserve">s of 0.99 and 0.96, respectively).  Differences in months of median OS and PFS </w:t>
      </w:r>
      <w:r w:rsidR="00E56ED2">
        <w:t xml:space="preserve">could </w:t>
      </w:r>
      <w:r w:rsidRPr="006C03DC">
        <w:t>not be ascertained.</w:t>
      </w:r>
    </w:p>
    <w:p w:rsidR="00496BBE" w:rsidRPr="00496BBE" w:rsidRDefault="00496BBE" w:rsidP="00323E7A">
      <w:pPr>
        <w:widowControl/>
      </w:pPr>
    </w:p>
    <w:p w:rsidR="00FC1884" w:rsidRPr="003A3593" w:rsidRDefault="006C1609" w:rsidP="00323E7A">
      <w:pPr>
        <w:pStyle w:val="ListParagraph"/>
        <w:widowControl/>
        <w:numPr>
          <w:ilvl w:val="1"/>
          <w:numId w:val="23"/>
        </w:numPr>
        <w:ind w:left="709" w:hanging="709"/>
      </w:pPr>
      <w:r w:rsidRPr="00CF6EE4">
        <w:t xml:space="preserve">On the basis of </w:t>
      </w:r>
      <w:r w:rsidR="005A4BAF">
        <w:t xml:space="preserve">the </w:t>
      </w:r>
      <w:r w:rsidRPr="00CF6EE4">
        <w:t>indirect</w:t>
      </w:r>
      <w:r w:rsidR="005A4BAF">
        <w:t xml:space="preserve"> comparison</w:t>
      </w:r>
      <w:r w:rsidRPr="00CF6EE4">
        <w:t xml:space="preserve"> presented by the su</w:t>
      </w:r>
      <w:r w:rsidR="00323E7A">
        <w:t>bmission, every 100 </w:t>
      </w:r>
      <w:r w:rsidRPr="00CF6EE4">
        <w:t xml:space="preserve">patients treated with </w:t>
      </w:r>
      <w:r w:rsidR="005A4BAF">
        <w:t>nivolumab</w:t>
      </w:r>
      <w:r w:rsidRPr="00CF6EE4">
        <w:t xml:space="preserve"> in comparison to </w:t>
      </w:r>
      <w:r w:rsidR="005A4BAF">
        <w:t xml:space="preserve">ipilimumab </w:t>
      </w:r>
      <w:r w:rsidR="00AA0E1C">
        <w:t>resulted in</w:t>
      </w:r>
      <w:r w:rsidR="009C1D57" w:rsidRPr="00CF6EE4">
        <w:t>:</w:t>
      </w:r>
    </w:p>
    <w:p w:rsidR="009C1D57" w:rsidRPr="00EE1EFA" w:rsidRDefault="005A4BAF" w:rsidP="00323E7A">
      <w:pPr>
        <w:pStyle w:val="ListParagraph"/>
        <w:widowControl/>
        <w:numPr>
          <w:ilvl w:val="0"/>
          <w:numId w:val="4"/>
        </w:numPr>
        <w:ind w:left="993" w:hanging="284"/>
        <w:rPr>
          <w:i/>
        </w:rPr>
      </w:pPr>
      <w:r w:rsidRPr="00CF6EE4">
        <w:t xml:space="preserve">Approximately </w:t>
      </w:r>
      <w:r>
        <w:t>20</w:t>
      </w:r>
      <w:r w:rsidRPr="00CF6EE4">
        <w:t xml:space="preserve"> </w:t>
      </w:r>
      <w:r>
        <w:t xml:space="preserve">fewer </w:t>
      </w:r>
      <w:r w:rsidR="00AA0E1C">
        <w:t>patients with treatment-</w:t>
      </w:r>
      <w:r w:rsidRPr="00CF6EE4">
        <w:t xml:space="preserve">related </w:t>
      </w:r>
      <w:r>
        <w:t>severe adverse events (grade ≥3);</w:t>
      </w:r>
    </w:p>
    <w:p w:rsidR="00F00C4E" w:rsidRPr="00D04D17" w:rsidRDefault="005A4BAF" w:rsidP="00323E7A">
      <w:pPr>
        <w:pStyle w:val="ListParagraph"/>
        <w:widowControl/>
        <w:numPr>
          <w:ilvl w:val="0"/>
          <w:numId w:val="1"/>
        </w:numPr>
        <w:ind w:left="993" w:hanging="284"/>
      </w:pPr>
      <w:r w:rsidRPr="00CF6EE4">
        <w:t xml:space="preserve">Approximately </w:t>
      </w:r>
      <w:r w:rsidR="00AA0E1C">
        <w:t>14</w:t>
      </w:r>
      <w:r w:rsidRPr="00CF6EE4">
        <w:t xml:space="preserve"> </w:t>
      </w:r>
      <w:r>
        <w:t xml:space="preserve">fewer </w:t>
      </w:r>
      <w:r w:rsidR="00AA0E1C">
        <w:t>patients with treatment-</w:t>
      </w:r>
      <w:r w:rsidRPr="00CF6EE4">
        <w:t xml:space="preserve">related </w:t>
      </w:r>
      <w:r w:rsidR="00AA0E1C">
        <w:t>serious adverse events.</w:t>
      </w:r>
    </w:p>
    <w:p w:rsidR="00F00C4E" w:rsidRDefault="00F00C4E" w:rsidP="00323E7A">
      <w:pPr>
        <w:widowControl/>
        <w:rPr>
          <w:i/>
          <w:u w:val="single"/>
        </w:rPr>
      </w:pPr>
    </w:p>
    <w:p w:rsidR="00E56ED2" w:rsidRPr="00E56ED2" w:rsidRDefault="00E56ED2" w:rsidP="00323E7A">
      <w:pPr>
        <w:widowControl/>
        <w:rPr>
          <w:i/>
          <w:u w:val="single"/>
        </w:rPr>
      </w:pPr>
      <w:r>
        <w:rPr>
          <w:i/>
          <w:u w:val="single"/>
        </w:rPr>
        <w:t>Pre-Sub-Committee Response</w:t>
      </w:r>
      <w:r w:rsidRPr="00E56ED2">
        <w:rPr>
          <w:i/>
          <w:u w:val="single"/>
        </w:rPr>
        <w:t xml:space="preserve"> (</w:t>
      </w:r>
      <w:r w:rsidR="00C9152E">
        <w:rPr>
          <w:i/>
          <w:u w:val="single"/>
        </w:rPr>
        <w:t>27</w:t>
      </w:r>
      <w:r w:rsidRPr="00E56ED2">
        <w:rPr>
          <w:i/>
          <w:u w:val="single"/>
        </w:rPr>
        <w:t xml:space="preserve"> Ma</w:t>
      </w:r>
      <w:r w:rsidR="00C9152E">
        <w:rPr>
          <w:i/>
          <w:u w:val="single"/>
        </w:rPr>
        <w:t>y</w:t>
      </w:r>
      <w:r w:rsidRPr="00E56ED2">
        <w:rPr>
          <w:i/>
          <w:u w:val="single"/>
        </w:rPr>
        <w:t xml:space="preserve"> 2015)</w:t>
      </w:r>
    </w:p>
    <w:p w:rsidR="00995681" w:rsidRPr="004A053A" w:rsidRDefault="00995681" w:rsidP="00323E7A">
      <w:pPr>
        <w:widowControl/>
      </w:pPr>
    </w:p>
    <w:p w:rsidR="00995681" w:rsidRPr="004A053A" w:rsidRDefault="00995681" w:rsidP="00323E7A">
      <w:pPr>
        <w:pStyle w:val="ListParagraph"/>
        <w:widowControl/>
        <w:numPr>
          <w:ilvl w:val="1"/>
          <w:numId w:val="23"/>
        </w:numPr>
        <w:ind w:left="709" w:hanging="709"/>
      </w:pPr>
      <w:r w:rsidRPr="004A053A">
        <w:t>The PSCR</w:t>
      </w:r>
      <w:r w:rsidR="0060288F" w:rsidRPr="004A053A">
        <w:t xml:space="preserve"> (Table 1, p2)</w:t>
      </w:r>
      <w:r w:rsidRPr="004A053A">
        <w:t xml:space="preserve"> provided </w:t>
      </w:r>
      <w:r w:rsidR="00C9152E" w:rsidRPr="004A053A">
        <w:t>early results from CA209-067</w:t>
      </w:r>
      <w:r w:rsidR="00A6367F" w:rsidRPr="004A053A">
        <w:t xml:space="preserve"> (</w:t>
      </w:r>
      <w:r w:rsidR="007B33DC" w:rsidRPr="004A053A">
        <w:t xml:space="preserve">further information about this trial was </w:t>
      </w:r>
      <w:r w:rsidR="00A6367F" w:rsidRPr="004A053A">
        <w:t>published by Larkin et al, NEJM, 31 May 2015)</w:t>
      </w:r>
      <w:r w:rsidR="00C9152E" w:rsidRPr="004A053A">
        <w:t xml:space="preserve">, </w:t>
      </w:r>
      <w:r w:rsidR="00773C13" w:rsidRPr="004A053A">
        <w:t xml:space="preserve">a phase III, </w:t>
      </w:r>
      <w:r w:rsidR="00773C13" w:rsidRPr="004A053A">
        <w:lastRenderedPageBreak/>
        <w:t>randomised, double-blind trial which included a</w:t>
      </w:r>
      <w:r w:rsidRPr="004A053A">
        <w:t xml:space="preserve"> direct comparison of nivolumab </w:t>
      </w:r>
      <w:r w:rsidR="00773C13" w:rsidRPr="004A053A">
        <w:t xml:space="preserve">monotherapy </w:t>
      </w:r>
      <w:r w:rsidRPr="004A053A">
        <w:t xml:space="preserve">and ipilimumab </w:t>
      </w:r>
      <w:r w:rsidR="00773C13" w:rsidRPr="004A053A">
        <w:t>monotherapy in patients with previously untreated unresectable or metastatic melanoma</w:t>
      </w:r>
      <w:r w:rsidRPr="004A053A">
        <w:t>.</w:t>
      </w:r>
      <w:r w:rsidR="002D78A1" w:rsidRPr="004A053A">
        <w:t xml:space="preserve"> </w:t>
      </w:r>
      <w:r w:rsidRPr="004A053A">
        <w:t xml:space="preserve"> The ESC considered that this </w:t>
      </w:r>
      <w:r w:rsidR="00773C13" w:rsidRPr="004A053A">
        <w:t xml:space="preserve">trial would likely </w:t>
      </w:r>
      <w:r w:rsidRPr="004A053A">
        <w:t xml:space="preserve">provide a more robust comparison </w:t>
      </w:r>
      <w:r w:rsidR="00A07A17" w:rsidRPr="004A053A">
        <w:t>because</w:t>
      </w:r>
      <w:r w:rsidRPr="004A053A">
        <w:t xml:space="preserve"> it did not </w:t>
      </w:r>
      <w:r w:rsidR="007B33DC" w:rsidRPr="004A053A">
        <w:t xml:space="preserve">obviously </w:t>
      </w:r>
      <w:r w:rsidRPr="004A053A">
        <w:t>suffer from the exchangeability issues that exist</w:t>
      </w:r>
      <w:r w:rsidR="007B33DC" w:rsidRPr="004A053A">
        <w:t>ed</w:t>
      </w:r>
      <w:r w:rsidRPr="004A053A">
        <w:t xml:space="preserve"> with </w:t>
      </w:r>
      <w:r w:rsidR="00773C13" w:rsidRPr="004A053A">
        <w:t xml:space="preserve">the indirect comparison across </w:t>
      </w:r>
      <w:r w:rsidRPr="004A053A">
        <w:t>CA209-066 and MDX010-20</w:t>
      </w:r>
      <w:r w:rsidR="004A73BF" w:rsidRPr="004A053A">
        <w:t xml:space="preserve"> and it also stratified patients as having BRAF mutations (31.5%) or not (68.5%)</w:t>
      </w:r>
      <w:r w:rsidR="003B088C" w:rsidRPr="004A053A">
        <w:t xml:space="preserve">, </w:t>
      </w:r>
      <w:r w:rsidR="00A07A17" w:rsidRPr="004A053A">
        <w:t xml:space="preserve">but also </w:t>
      </w:r>
      <w:r w:rsidR="00F267D4" w:rsidRPr="004A053A">
        <w:t>not</w:t>
      </w:r>
      <w:r w:rsidR="00A07A17" w:rsidRPr="004A053A">
        <w:t>ed</w:t>
      </w:r>
      <w:r w:rsidR="00F267D4" w:rsidRPr="004A053A">
        <w:t xml:space="preserve"> that the </w:t>
      </w:r>
      <w:r w:rsidR="00773C13" w:rsidRPr="004A053A">
        <w:t xml:space="preserve">information </w:t>
      </w:r>
      <w:r w:rsidR="00F267D4" w:rsidRPr="004A053A">
        <w:t xml:space="preserve">presented </w:t>
      </w:r>
      <w:r w:rsidR="00773C13" w:rsidRPr="004A053A">
        <w:t xml:space="preserve">about this trial </w:t>
      </w:r>
      <w:r w:rsidR="00F267D4" w:rsidRPr="004A053A">
        <w:t>was limited.</w:t>
      </w:r>
    </w:p>
    <w:p w:rsidR="00995681" w:rsidRDefault="00995681" w:rsidP="00323E7A">
      <w:pPr>
        <w:widowControl/>
      </w:pPr>
    </w:p>
    <w:p w:rsidR="008B41C6" w:rsidRPr="004A053A" w:rsidRDefault="003B088C" w:rsidP="00323E7A">
      <w:pPr>
        <w:pStyle w:val="Subtitle"/>
        <w:ind w:left="709"/>
        <w:rPr>
          <w:rFonts w:ascii="Arial Narrow" w:hAnsi="Arial Narrow" w:cs="Arial"/>
          <w:b/>
        </w:rPr>
      </w:pPr>
      <w:r w:rsidRPr="004A053A">
        <w:rPr>
          <w:rStyle w:val="CommentReference"/>
        </w:rPr>
        <w:t xml:space="preserve">Table </w:t>
      </w:r>
      <w:r w:rsidR="00A07A17" w:rsidRPr="004A053A">
        <w:rPr>
          <w:rStyle w:val="CommentReference"/>
        </w:rPr>
        <w:t>6</w:t>
      </w:r>
      <w:r w:rsidRPr="004A053A">
        <w:rPr>
          <w:rStyle w:val="CommentReference"/>
        </w:rPr>
        <w:t>:</w:t>
      </w:r>
      <w:r w:rsidRPr="004A053A">
        <w:rPr>
          <w:rStyle w:val="CommentReference"/>
          <w:b w:val="0"/>
        </w:rPr>
        <w:t xml:space="preserve"> </w:t>
      </w:r>
      <w:r w:rsidR="008B41C6" w:rsidRPr="004A053A">
        <w:rPr>
          <w:rFonts w:ascii="Arial Narrow" w:hAnsi="Arial Narrow" w:cs="Arial"/>
          <w:b/>
        </w:rPr>
        <w:t>Results of the nivolumab and ipilimumab monotherapy arms in CA209-067</w:t>
      </w:r>
    </w:p>
    <w:tbl>
      <w:tblPr>
        <w:tblStyle w:val="TableGrid"/>
        <w:tblW w:w="8413" w:type="dxa"/>
        <w:tblInd w:w="817" w:type="dxa"/>
        <w:tblLook w:val="04A0" w:firstRow="1" w:lastRow="0" w:firstColumn="1" w:lastColumn="0" w:noHBand="0" w:noVBand="1"/>
        <w:tblCaption w:val="Results of the nivolumab and ipilimumab monotherapy arms in CA209-067"/>
      </w:tblPr>
      <w:tblGrid>
        <w:gridCol w:w="2268"/>
        <w:gridCol w:w="1985"/>
        <w:gridCol w:w="2126"/>
        <w:gridCol w:w="2034"/>
      </w:tblGrid>
      <w:tr w:rsidR="00242830" w:rsidRPr="004A053A" w:rsidTr="00242830">
        <w:trPr>
          <w:tblHeader/>
        </w:trPr>
        <w:tc>
          <w:tcPr>
            <w:tcW w:w="2268" w:type="dxa"/>
          </w:tcPr>
          <w:p w:rsidR="008B41C6" w:rsidRPr="004A053A" w:rsidRDefault="008B41C6" w:rsidP="00323E7A">
            <w:pPr>
              <w:pStyle w:val="Subtitle"/>
              <w:tabs>
                <w:tab w:val="left" w:pos="142"/>
              </w:tabs>
              <w:jc w:val="left"/>
              <w:rPr>
                <w:rFonts w:ascii="Arial Narrow" w:hAnsi="Arial Narrow" w:cs="Arial"/>
              </w:rPr>
            </w:pPr>
          </w:p>
        </w:tc>
        <w:tc>
          <w:tcPr>
            <w:tcW w:w="1985" w:type="dxa"/>
          </w:tcPr>
          <w:p w:rsidR="008B41C6" w:rsidRPr="004A053A" w:rsidRDefault="008B41C6" w:rsidP="00323E7A">
            <w:pPr>
              <w:pStyle w:val="Subtitle"/>
              <w:jc w:val="center"/>
              <w:rPr>
                <w:rFonts w:ascii="Arial Narrow" w:hAnsi="Arial Narrow" w:cs="Arial"/>
                <w:b/>
              </w:rPr>
            </w:pPr>
            <w:r w:rsidRPr="004A053A">
              <w:rPr>
                <w:rFonts w:ascii="Arial Narrow" w:hAnsi="Arial Narrow" w:cs="Arial"/>
                <w:b/>
              </w:rPr>
              <w:t>Nivolumab</w:t>
            </w:r>
            <w:r w:rsidR="00242830" w:rsidRPr="004A053A">
              <w:rPr>
                <w:rFonts w:ascii="Arial Narrow" w:hAnsi="Arial Narrow" w:cs="Arial"/>
                <w:b/>
              </w:rPr>
              <w:t>,</w:t>
            </w:r>
            <w:r w:rsidRPr="004A053A">
              <w:rPr>
                <w:rFonts w:ascii="Arial Narrow" w:hAnsi="Arial Narrow" w:cs="Arial"/>
                <w:b/>
              </w:rPr>
              <w:t xml:space="preserve"> N=316</w:t>
            </w:r>
          </w:p>
        </w:tc>
        <w:tc>
          <w:tcPr>
            <w:tcW w:w="2126" w:type="dxa"/>
          </w:tcPr>
          <w:p w:rsidR="008B41C6" w:rsidRPr="004A053A" w:rsidRDefault="008B41C6" w:rsidP="00323E7A">
            <w:pPr>
              <w:pStyle w:val="Subtitle"/>
              <w:jc w:val="center"/>
              <w:rPr>
                <w:rFonts w:ascii="Arial Narrow" w:hAnsi="Arial Narrow" w:cs="Arial"/>
                <w:b/>
              </w:rPr>
            </w:pPr>
            <w:r w:rsidRPr="004A053A">
              <w:rPr>
                <w:rFonts w:ascii="Arial Narrow" w:hAnsi="Arial Narrow" w:cs="Arial"/>
                <w:b/>
              </w:rPr>
              <w:t>Ipilimumab</w:t>
            </w:r>
            <w:r w:rsidR="00242830" w:rsidRPr="004A053A">
              <w:rPr>
                <w:rFonts w:ascii="Arial Narrow" w:hAnsi="Arial Narrow" w:cs="Arial"/>
                <w:b/>
              </w:rPr>
              <w:t>,</w:t>
            </w:r>
            <w:r w:rsidRPr="004A053A">
              <w:rPr>
                <w:rFonts w:ascii="Arial Narrow" w:hAnsi="Arial Narrow" w:cs="Arial"/>
                <w:b/>
              </w:rPr>
              <w:t xml:space="preserve"> N=315</w:t>
            </w:r>
          </w:p>
        </w:tc>
        <w:tc>
          <w:tcPr>
            <w:tcW w:w="2034" w:type="dxa"/>
            <w:vAlign w:val="center"/>
          </w:tcPr>
          <w:p w:rsidR="008B41C6" w:rsidRPr="004A053A" w:rsidRDefault="008B41C6" w:rsidP="00323E7A">
            <w:pPr>
              <w:pStyle w:val="Subtitle"/>
              <w:jc w:val="center"/>
              <w:rPr>
                <w:rFonts w:ascii="Arial Narrow" w:hAnsi="Arial Narrow" w:cs="Arial"/>
                <w:b/>
              </w:rPr>
            </w:pPr>
            <w:r w:rsidRPr="004A053A">
              <w:rPr>
                <w:rFonts w:ascii="Arial Narrow" w:hAnsi="Arial Narrow" w:cs="Arial"/>
                <w:b/>
              </w:rPr>
              <w:t>HR (95% CI)</w:t>
            </w:r>
          </w:p>
        </w:tc>
      </w:tr>
      <w:tr w:rsidR="00242830" w:rsidRPr="004A053A" w:rsidTr="00242830">
        <w:tc>
          <w:tcPr>
            <w:tcW w:w="2268" w:type="dxa"/>
          </w:tcPr>
          <w:p w:rsidR="008B41C6" w:rsidRPr="004A053A" w:rsidRDefault="008B41C6" w:rsidP="00323E7A">
            <w:pPr>
              <w:pStyle w:val="Subtitle"/>
              <w:tabs>
                <w:tab w:val="left" w:pos="142"/>
              </w:tabs>
              <w:jc w:val="left"/>
              <w:rPr>
                <w:rFonts w:ascii="Arial Narrow" w:hAnsi="Arial Narrow" w:cs="Arial"/>
                <w:b/>
              </w:rPr>
            </w:pPr>
            <w:r w:rsidRPr="004A053A">
              <w:rPr>
                <w:rFonts w:ascii="Arial Narrow" w:hAnsi="Arial Narrow" w:cs="Arial"/>
              </w:rPr>
              <w:t>Overall survival</w:t>
            </w:r>
          </w:p>
          <w:p w:rsidR="008B41C6" w:rsidRPr="004A053A" w:rsidRDefault="008B41C6" w:rsidP="00323E7A">
            <w:pPr>
              <w:pStyle w:val="Subtitle"/>
              <w:tabs>
                <w:tab w:val="left" w:pos="142"/>
              </w:tabs>
              <w:jc w:val="left"/>
              <w:rPr>
                <w:rFonts w:ascii="Arial Narrow" w:hAnsi="Arial Narrow" w:cs="Arial"/>
                <w:b/>
              </w:rPr>
            </w:pPr>
            <w:r w:rsidRPr="004A053A">
              <w:rPr>
                <w:rFonts w:ascii="Arial Narrow" w:hAnsi="Arial Narrow" w:cs="Arial"/>
              </w:rPr>
              <w:tab/>
              <w:t>Death</w:t>
            </w:r>
          </w:p>
          <w:p w:rsidR="008B41C6" w:rsidRPr="004A053A" w:rsidRDefault="008B41C6" w:rsidP="00323E7A">
            <w:pPr>
              <w:pStyle w:val="Subtitle"/>
              <w:tabs>
                <w:tab w:val="left" w:pos="142"/>
              </w:tabs>
              <w:jc w:val="left"/>
              <w:rPr>
                <w:rFonts w:ascii="Arial Narrow" w:hAnsi="Arial Narrow" w:cs="Arial"/>
                <w:b/>
              </w:rPr>
            </w:pPr>
            <w:r w:rsidRPr="004A053A">
              <w:rPr>
                <w:rFonts w:ascii="Arial Narrow" w:hAnsi="Arial Narrow" w:cs="Arial"/>
              </w:rPr>
              <w:tab/>
              <w:t>OS median months</w:t>
            </w:r>
          </w:p>
        </w:tc>
        <w:tc>
          <w:tcPr>
            <w:tcW w:w="1985" w:type="dxa"/>
          </w:tcPr>
          <w:p w:rsidR="008B41C6" w:rsidRPr="004A053A" w:rsidRDefault="008B41C6" w:rsidP="00323E7A">
            <w:pPr>
              <w:pStyle w:val="Subtitle"/>
              <w:jc w:val="center"/>
              <w:rPr>
                <w:rFonts w:ascii="Arial Narrow" w:hAnsi="Arial Narrow" w:cs="Arial"/>
                <w:b/>
              </w:rPr>
            </w:pPr>
          </w:p>
          <w:p w:rsidR="008B41C6" w:rsidRPr="004A053A" w:rsidRDefault="008B41C6" w:rsidP="00323E7A">
            <w:pPr>
              <w:pStyle w:val="Subtitle"/>
              <w:jc w:val="center"/>
              <w:rPr>
                <w:rFonts w:ascii="Arial Narrow" w:hAnsi="Arial Narrow" w:cs="Arial"/>
                <w:b/>
              </w:rPr>
            </w:pPr>
            <w:r w:rsidRPr="004A053A">
              <w:rPr>
                <w:rFonts w:ascii="Arial Narrow" w:hAnsi="Arial Narrow" w:cs="Arial"/>
              </w:rPr>
              <w:t>NR</w:t>
            </w:r>
          </w:p>
          <w:p w:rsidR="008B41C6" w:rsidRPr="004A053A" w:rsidRDefault="008B41C6" w:rsidP="00323E7A">
            <w:pPr>
              <w:pStyle w:val="Subtitle"/>
              <w:jc w:val="center"/>
              <w:rPr>
                <w:rFonts w:ascii="Arial Narrow" w:hAnsi="Arial Narrow" w:cs="Arial"/>
                <w:b/>
              </w:rPr>
            </w:pPr>
            <w:r w:rsidRPr="004A053A">
              <w:rPr>
                <w:rFonts w:ascii="Arial Narrow" w:hAnsi="Arial Narrow" w:cs="Arial"/>
              </w:rPr>
              <w:t>NR</w:t>
            </w:r>
          </w:p>
        </w:tc>
        <w:tc>
          <w:tcPr>
            <w:tcW w:w="2126" w:type="dxa"/>
          </w:tcPr>
          <w:p w:rsidR="008B41C6" w:rsidRPr="004A053A" w:rsidRDefault="008B41C6" w:rsidP="00323E7A">
            <w:pPr>
              <w:pStyle w:val="Subtitle"/>
              <w:jc w:val="center"/>
              <w:rPr>
                <w:rFonts w:ascii="Arial Narrow" w:hAnsi="Arial Narrow" w:cs="Arial"/>
                <w:b/>
              </w:rPr>
            </w:pPr>
          </w:p>
          <w:p w:rsidR="008B41C6" w:rsidRPr="004A053A" w:rsidRDefault="008B41C6" w:rsidP="00323E7A">
            <w:pPr>
              <w:pStyle w:val="Subtitle"/>
              <w:jc w:val="center"/>
              <w:rPr>
                <w:rFonts w:ascii="Arial Narrow" w:hAnsi="Arial Narrow" w:cs="Arial"/>
                <w:b/>
              </w:rPr>
            </w:pPr>
            <w:r w:rsidRPr="004A053A">
              <w:rPr>
                <w:rFonts w:ascii="Arial Narrow" w:hAnsi="Arial Narrow" w:cs="Arial"/>
              </w:rPr>
              <w:t>NR</w:t>
            </w:r>
          </w:p>
          <w:p w:rsidR="008B41C6" w:rsidRPr="004A053A" w:rsidRDefault="008B41C6" w:rsidP="00323E7A">
            <w:pPr>
              <w:pStyle w:val="Subtitle"/>
              <w:jc w:val="center"/>
              <w:rPr>
                <w:rFonts w:ascii="Arial Narrow" w:hAnsi="Arial Narrow" w:cs="Arial"/>
                <w:b/>
              </w:rPr>
            </w:pPr>
            <w:r w:rsidRPr="004A053A">
              <w:rPr>
                <w:rFonts w:ascii="Arial Narrow" w:hAnsi="Arial Narrow" w:cs="Arial"/>
              </w:rPr>
              <w:t>NR</w:t>
            </w:r>
          </w:p>
        </w:tc>
        <w:tc>
          <w:tcPr>
            <w:tcW w:w="2034" w:type="dxa"/>
            <w:vAlign w:val="center"/>
          </w:tcPr>
          <w:p w:rsidR="008B41C6" w:rsidRPr="005E36D7" w:rsidRDefault="005E36D7" w:rsidP="00323E7A">
            <w:pPr>
              <w:pStyle w:val="Subtitle"/>
              <w:jc w:val="center"/>
              <w:rPr>
                <w:rFonts w:ascii="Arial Narrow" w:hAnsi="Arial Narrow" w:cs="Arial"/>
                <w:b/>
                <w:highlight w:val="black"/>
              </w:rPr>
            </w:pPr>
            <w:r>
              <w:rPr>
                <w:rFonts w:ascii="Arial Narrow" w:hAnsi="Arial Narrow" w:cs="Arial"/>
                <w:b/>
                <w:noProof/>
                <w:color w:val="000000"/>
                <w:highlight w:val="black"/>
              </w:rPr>
              <w:t>'''''''''' ''''''''''' ''''''''''</w:t>
            </w:r>
          </w:p>
        </w:tc>
      </w:tr>
      <w:tr w:rsidR="00242830" w:rsidRPr="004A053A" w:rsidTr="00242830">
        <w:tc>
          <w:tcPr>
            <w:tcW w:w="2268" w:type="dxa"/>
            <w:tcBorders>
              <w:bottom w:val="single" w:sz="4" w:space="0" w:color="auto"/>
            </w:tcBorders>
          </w:tcPr>
          <w:p w:rsidR="008B41C6" w:rsidRPr="004A053A" w:rsidRDefault="008B41C6" w:rsidP="00323E7A">
            <w:pPr>
              <w:pStyle w:val="Subtitle"/>
              <w:tabs>
                <w:tab w:val="left" w:pos="142"/>
              </w:tabs>
              <w:jc w:val="left"/>
              <w:rPr>
                <w:rFonts w:ascii="Arial Narrow" w:hAnsi="Arial Narrow" w:cs="Arial"/>
                <w:b/>
              </w:rPr>
            </w:pPr>
            <w:r w:rsidRPr="004A053A">
              <w:rPr>
                <w:rFonts w:ascii="Arial Narrow" w:hAnsi="Arial Narrow" w:cs="Arial"/>
              </w:rPr>
              <w:t>Progression-free survival</w:t>
            </w:r>
          </w:p>
          <w:p w:rsidR="008B41C6" w:rsidRPr="004A053A" w:rsidRDefault="008B41C6" w:rsidP="00323E7A">
            <w:pPr>
              <w:pStyle w:val="Subtitle"/>
              <w:tabs>
                <w:tab w:val="left" w:pos="142"/>
              </w:tabs>
              <w:jc w:val="left"/>
              <w:rPr>
                <w:rFonts w:ascii="Arial Narrow" w:hAnsi="Arial Narrow" w:cs="Arial"/>
                <w:b/>
              </w:rPr>
            </w:pPr>
            <w:r w:rsidRPr="004A053A">
              <w:rPr>
                <w:rFonts w:ascii="Arial Narrow" w:hAnsi="Arial Narrow" w:cs="Arial"/>
              </w:rPr>
              <w:tab/>
              <w:t>Progressed</w:t>
            </w:r>
          </w:p>
          <w:p w:rsidR="008B41C6" w:rsidRPr="004A053A" w:rsidRDefault="008B41C6" w:rsidP="00323E7A">
            <w:pPr>
              <w:pStyle w:val="Subtitle"/>
              <w:tabs>
                <w:tab w:val="left" w:pos="142"/>
              </w:tabs>
              <w:jc w:val="left"/>
              <w:rPr>
                <w:rFonts w:ascii="Arial Narrow" w:hAnsi="Arial Narrow" w:cs="Arial"/>
                <w:b/>
              </w:rPr>
            </w:pPr>
            <w:r w:rsidRPr="004A053A">
              <w:rPr>
                <w:rFonts w:ascii="Arial Narrow" w:hAnsi="Arial Narrow" w:cs="Arial"/>
              </w:rPr>
              <w:tab/>
              <w:t>PFS median months</w:t>
            </w:r>
          </w:p>
        </w:tc>
        <w:tc>
          <w:tcPr>
            <w:tcW w:w="1985" w:type="dxa"/>
            <w:tcBorders>
              <w:bottom w:val="single" w:sz="4" w:space="0" w:color="auto"/>
            </w:tcBorders>
          </w:tcPr>
          <w:p w:rsidR="008B41C6" w:rsidRPr="004A053A" w:rsidRDefault="008B41C6" w:rsidP="00323E7A">
            <w:pPr>
              <w:pStyle w:val="Subtitle"/>
              <w:jc w:val="center"/>
              <w:rPr>
                <w:rFonts w:ascii="Arial Narrow" w:hAnsi="Arial Narrow" w:cs="Arial"/>
                <w:b/>
              </w:rPr>
            </w:pPr>
          </w:p>
          <w:p w:rsidR="008B41C6" w:rsidRPr="004A053A" w:rsidRDefault="008B41C6" w:rsidP="00323E7A">
            <w:pPr>
              <w:pStyle w:val="Subtitle"/>
              <w:jc w:val="center"/>
              <w:rPr>
                <w:rFonts w:ascii="Arial Narrow" w:hAnsi="Arial Narrow" w:cs="Arial"/>
                <w:b/>
              </w:rPr>
            </w:pPr>
            <w:r w:rsidRPr="004A053A">
              <w:rPr>
                <w:rFonts w:ascii="Arial Narrow" w:hAnsi="Arial Narrow" w:cs="Arial"/>
              </w:rPr>
              <w:t>NR</w:t>
            </w:r>
          </w:p>
          <w:p w:rsidR="008B41C6" w:rsidRPr="004A053A" w:rsidRDefault="008B41C6" w:rsidP="00323E7A">
            <w:pPr>
              <w:pStyle w:val="Subtitle"/>
              <w:jc w:val="center"/>
              <w:rPr>
                <w:rFonts w:ascii="Arial Narrow" w:hAnsi="Arial Narrow" w:cs="Arial"/>
                <w:b/>
              </w:rPr>
            </w:pPr>
            <w:r w:rsidRPr="004A053A">
              <w:rPr>
                <w:rFonts w:ascii="Arial Narrow" w:hAnsi="Arial Narrow" w:cs="Arial"/>
              </w:rPr>
              <w:t>NR</w:t>
            </w:r>
          </w:p>
        </w:tc>
        <w:tc>
          <w:tcPr>
            <w:tcW w:w="2126" w:type="dxa"/>
            <w:tcBorders>
              <w:bottom w:val="single" w:sz="4" w:space="0" w:color="auto"/>
            </w:tcBorders>
          </w:tcPr>
          <w:p w:rsidR="008B41C6" w:rsidRPr="004A053A" w:rsidRDefault="008B41C6" w:rsidP="00323E7A">
            <w:pPr>
              <w:pStyle w:val="Subtitle"/>
              <w:jc w:val="center"/>
              <w:rPr>
                <w:rFonts w:ascii="Arial Narrow" w:hAnsi="Arial Narrow" w:cs="Arial"/>
                <w:b/>
              </w:rPr>
            </w:pPr>
          </w:p>
          <w:p w:rsidR="008B41C6" w:rsidRPr="004A053A" w:rsidRDefault="008B41C6" w:rsidP="00323E7A">
            <w:pPr>
              <w:pStyle w:val="Subtitle"/>
              <w:jc w:val="center"/>
              <w:rPr>
                <w:rFonts w:ascii="Arial Narrow" w:hAnsi="Arial Narrow" w:cs="Arial"/>
                <w:b/>
              </w:rPr>
            </w:pPr>
            <w:r w:rsidRPr="004A053A">
              <w:rPr>
                <w:rFonts w:ascii="Arial Narrow" w:hAnsi="Arial Narrow" w:cs="Arial"/>
              </w:rPr>
              <w:t>NR</w:t>
            </w:r>
          </w:p>
          <w:p w:rsidR="008B41C6" w:rsidRPr="004A053A" w:rsidRDefault="008B41C6" w:rsidP="00323E7A">
            <w:pPr>
              <w:pStyle w:val="Subtitle"/>
              <w:jc w:val="center"/>
              <w:rPr>
                <w:rFonts w:ascii="Arial Narrow" w:hAnsi="Arial Narrow" w:cs="Arial"/>
                <w:b/>
              </w:rPr>
            </w:pPr>
            <w:r w:rsidRPr="004A053A">
              <w:rPr>
                <w:rFonts w:ascii="Arial Narrow" w:hAnsi="Arial Narrow" w:cs="Arial"/>
              </w:rPr>
              <w:t>NR</w:t>
            </w:r>
          </w:p>
        </w:tc>
        <w:tc>
          <w:tcPr>
            <w:tcW w:w="2034" w:type="dxa"/>
            <w:tcBorders>
              <w:bottom w:val="single" w:sz="4" w:space="0" w:color="auto"/>
            </w:tcBorders>
            <w:vAlign w:val="center"/>
          </w:tcPr>
          <w:p w:rsidR="008B41C6" w:rsidRPr="004A053A" w:rsidRDefault="008B41C6" w:rsidP="00323E7A">
            <w:pPr>
              <w:pStyle w:val="Subtitle"/>
              <w:jc w:val="center"/>
              <w:rPr>
                <w:rFonts w:ascii="Arial Narrow" w:hAnsi="Arial Narrow" w:cs="Arial"/>
                <w:b/>
              </w:rPr>
            </w:pPr>
            <w:r w:rsidRPr="004A053A">
              <w:rPr>
                <w:rFonts w:ascii="Arial Narrow" w:hAnsi="Arial Narrow" w:cs="Arial"/>
                <w:b/>
              </w:rPr>
              <w:t>0.57 (0.47, 0.70)</w:t>
            </w:r>
          </w:p>
        </w:tc>
      </w:tr>
      <w:tr w:rsidR="008B41C6" w:rsidRPr="004A053A" w:rsidTr="00242830">
        <w:tc>
          <w:tcPr>
            <w:tcW w:w="6379" w:type="dxa"/>
            <w:gridSpan w:val="3"/>
            <w:tcBorders>
              <w:bottom w:val="single" w:sz="4" w:space="0" w:color="auto"/>
            </w:tcBorders>
          </w:tcPr>
          <w:p w:rsidR="008B41C6" w:rsidRPr="004A053A" w:rsidRDefault="008B41C6" w:rsidP="00323E7A">
            <w:pPr>
              <w:pStyle w:val="Subtitle"/>
              <w:jc w:val="left"/>
              <w:rPr>
                <w:rFonts w:ascii="Arial Narrow" w:hAnsi="Arial Narrow" w:cs="Arial"/>
                <w:b/>
              </w:rPr>
            </w:pPr>
            <w:r w:rsidRPr="004A053A">
              <w:rPr>
                <w:rFonts w:ascii="Arial Narrow" w:hAnsi="Arial Narrow" w:cs="Arial"/>
              </w:rPr>
              <w:t>Overall response</w:t>
            </w:r>
          </w:p>
        </w:tc>
        <w:tc>
          <w:tcPr>
            <w:tcW w:w="2034" w:type="dxa"/>
            <w:tcBorders>
              <w:bottom w:val="single" w:sz="4" w:space="0" w:color="auto"/>
            </w:tcBorders>
          </w:tcPr>
          <w:p w:rsidR="008B41C6" w:rsidRPr="004A053A" w:rsidRDefault="008B41C6" w:rsidP="00323E7A">
            <w:pPr>
              <w:pStyle w:val="Subtitle"/>
              <w:jc w:val="center"/>
              <w:rPr>
                <w:rFonts w:ascii="Arial Narrow" w:hAnsi="Arial Narrow" w:cs="Arial"/>
                <w:b/>
              </w:rPr>
            </w:pPr>
            <w:r w:rsidRPr="004A053A">
              <w:rPr>
                <w:rFonts w:ascii="Arial Narrow" w:hAnsi="Arial Narrow" w:cs="Arial"/>
                <w:b/>
              </w:rPr>
              <w:t>RR (95% CI)</w:t>
            </w:r>
          </w:p>
        </w:tc>
      </w:tr>
      <w:tr w:rsidR="00242830" w:rsidRPr="004A053A" w:rsidTr="00242830">
        <w:tc>
          <w:tcPr>
            <w:tcW w:w="2268" w:type="dxa"/>
            <w:tcBorders>
              <w:top w:val="single" w:sz="4" w:space="0" w:color="auto"/>
              <w:bottom w:val="nil"/>
            </w:tcBorders>
          </w:tcPr>
          <w:p w:rsidR="008B41C6" w:rsidRPr="004A053A" w:rsidRDefault="008B41C6" w:rsidP="00323E7A">
            <w:pPr>
              <w:pStyle w:val="Subtitle"/>
              <w:tabs>
                <w:tab w:val="left" w:pos="142"/>
              </w:tabs>
              <w:jc w:val="left"/>
              <w:rPr>
                <w:rFonts w:ascii="Arial Narrow" w:hAnsi="Arial Narrow" w:cs="Arial"/>
                <w:b/>
              </w:rPr>
            </w:pPr>
            <w:r w:rsidRPr="004A053A">
              <w:rPr>
                <w:rFonts w:ascii="Arial Narrow" w:hAnsi="Arial Narrow" w:cs="Arial"/>
              </w:rPr>
              <w:tab/>
              <w:t>Complete response</w:t>
            </w:r>
          </w:p>
        </w:tc>
        <w:tc>
          <w:tcPr>
            <w:tcW w:w="1985" w:type="dxa"/>
            <w:tcBorders>
              <w:top w:val="single" w:sz="4" w:space="0" w:color="auto"/>
              <w:bottom w:val="nil"/>
            </w:tcBorders>
          </w:tcPr>
          <w:p w:rsidR="008B41C6" w:rsidRPr="004A053A" w:rsidRDefault="008B41C6" w:rsidP="00323E7A">
            <w:pPr>
              <w:pStyle w:val="Subtitle"/>
              <w:jc w:val="center"/>
              <w:rPr>
                <w:rFonts w:ascii="Arial Narrow" w:hAnsi="Arial Narrow" w:cs="Arial"/>
                <w:b/>
              </w:rPr>
            </w:pPr>
            <w:r w:rsidRPr="004A053A">
              <w:rPr>
                <w:rFonts w:ascii="Arial Narrow" w:hAnsi="Arial Narrow" w:cs="Arial"/>
              </w:rPr>
              <w:t>28/316 (8.9%)</w:t>
            </w:r>
          </w:p>
        </w:tc>
        <w:tc>
          <w:tcPr>
            <w:tcW w:w="2126" w:type="dxa"/>
            <w:tcBorders>
              <w:top w:val="single" w:sz="4" w:space="0" w:color="auto"/>
              <w:bottom w:val="nil"/>
            </w:tcBorders>
          </w:tcPr>
          <w:p w:rsidR="008B41C6" w:rsidRPr="004A053A" w:rsidRDefault="008B41C6" w:rsidP="00323E7A">
            <w:pPr>
              <w:pStyle w:val="Subtitle"/>
              <w:jc w:val="center"/>
              <w:rPr>
                <w:rFonts w:ascii="Arial Narrow" w:hAnsi="Arial Narrow" w:cs="Arial"/>
                <w:b/>
              </w:rPr>
            </w:pPr>
            <w:r w:rsidRPr="004A053A">
              <w:rPr>
                <w:rFonts w:ascii="Arial Narrow" w:hAnsi="Arial Narrow" w:cs="Arial"/>
              </w:rPr>
              <w:t>7/315 (2.2%)</w:t>
            </w:r>
          </w:p>
        </w:tc>
        <w:tc>
          <w:tcPr>
            <w:tcW w:w="2034" w:type="dxa"/>
            <w:tcBorders>
              <w:top w:val="single" w:sz="4" w:space="0" w:color="auto"/>
              <w:bottom w:val="nil"/>
            </w:tcBorders>
          </w:tcPr>
          <w:p w:rsidR="008B41C6" w:rsidRPr="004A053A" w:rsidRDefault="008B41C6" w:rsidP="00323E7A">
            <w:pPr>
              <w:pStyle w:val="Subtitle"/>
              <w:jc w:val="center"/>
              <w:rPr>
                <w:rFonts w:ascii="Arial Narrow" w:hAnsi="Arial Narrow" w:cs="Arial"/>
                <w:b/>
              </w:rPr>
            </w:pPr>
            <w:r w:rsidRPr="004A053A">
              <w:rPr>
                <w:rFonts w:ascii="Arial Narrow" w:hAnsi="Arial Narrow"/>
                <w:b/>
                <w:bCs/>
                <w:lang w:val="en-US"/>
              </w:rPr>
              <w:t>3.99 (1.77, 8.99)</w:t>
            </w:r>
          </w:p>
        </w:tc>
      </w:tr>
      <w:tr w:rsidR="00242830" w:rsidRPr="004A053A" w:rsidTr="00242830">
        <w:tc>
          <w:tcPr>
            <w:tcW w:w="2268" w:type="dxa"/>
            <w:tcBorders>
              <w:top w:val="nil"/>
              <w:bottom w:val="nil"/>
            </w:tcBorders>
          </w:tcPr>
          <w:p w:rsidR="008B41C6" w:rsidRPr="004A053A" w:rsidRDefault="008B41C6" w:rsidP="00323E7A">
            <w:pPr>
              <w:pStyle w:val="Subtitle"/>
              <w:tabs>
                <w:tab w:val="left" w:pos="142"/>
              </w:tabs>
              <w:jc w:val="left"/>
              <w:rPr>
                <w:rFonts w:ascii="Arial Narrow" w:hAnsi="Arial Narrow" w:cs="Arial"/>
                <w:b/>
              </w:rPr>
            </w:pPr>
            <w:r w:rsidRPr="004A053A">
              <w:rPr>
                <w:rFonts w:ascii="Arial Narrow" w:hAnsi="Arial Narrow" w:cs="Arial"/>
              </w:rPr>
              <w:tab/>
              <w:t>Partial response</w:t>
            </w:r>
          </w:p>
        </w:tc>
        <w:tc>
          <w:tcPr>
            <w:tcW w:w="1985" w:type="dxa"/>
            <w:tcBorders>
              <w:top w:val="nil"/>
              <w:bottom w:val="nil"/>
            </w:tcBorders>
          </w:tcPr>
          <w:p w:rsidR="008B41C6" w:rsidRPr="004A053A" w:rsidRDefault="008B41C6" w:rsidP="00323E7A">
            <w:pPr>
              <w:pStyle w:val="Subtitle"/>
              <w:jc w:val="center"/>
              <w:rPr>
                <w:rFonts w:ascii="Arial Narrow" w:hAnsi="Arial Narrow" w:cs="Arial"/>
                <w:b/>
              </w:rPr>
            </w:pPr>
            <w:r w:rsidRPr="004A053A">
              <w:rPr>
                <w:rFonts w:ascii="Arial Narrow" w:hAnsi="Arial Narrow" w:cs="Arial"/>
              </w:rPr>
              <w:t>110/316 (43.8%)</w:t>
            </w:r>
          </w:p>
        </w:tc>
        <w:tc>
          <w:tcPr>
            <w:tcW w:w="2126" w:type="dxa"/>
            <w:tcBorders>
              <w:top w:val="nil"/>
              <w:bottom w:val="nil"/>
            </w:tcBorders>
          </w:tcPr>
          <w:p w:rsidR="008B41C6" w:rsidRPr="004A053A" w:rsidRDefault="008B41C6" w:rsidP="00323E7A">
            <w:pPr>
              <w:pStyle w:val="Subtitle"/>
              <w:jc w:val="center"/>
              <w:rPr>
                <w:rFonts w:ascii="Arial Narrow" w:hAnsi="Arial Narrow" w:cs="Arial"/>
                <w:b/>
              </w:rPr>
            </w:pPr>
            <w:r w:rsidRPr="004A053A">
              <w:rPr>
                <w:rFonts w:ascii="Arial Narrow" w:hAnsi="Arial Narrow" w:cs="Arial"/>
              </w:rPr>
              <w:t>53/315 (16.8%)</w:t>
            </w:r>
          </w:p>
        </w:tc>
        <w:tc>
          <w:tcPr>
            <w:tcW w:w="2034" w:type="dxa"/>
            <w:tcBorders>
              <w:top w:val="nil"/>
              <w:bottom w:val="nil"/>
            </w:tcBorders>
          </w:tcPr>
          <w:p w:rsidR="008B41C6" w:rsidRPr="004A053A" w:rsidRDefault="008B41C6" w:rsidP="00323E7A">
            <w:pPr>
              <w:pStyle w:val="Subtitle"/>
              <w:jc w:val="center"/>
              <w:rPr>
                <w:rFonts w:ascii="Arial Narrow" w:hAnsi="Arial Narrow" w:cs="Arial"/>
                <w:b/>
              </w:rPr>
            </w:pPr>
            <w:r w:rsidRPr="004A053A">
              <w:rPr>
                <w:rFonts w:ascii="Arial Narrow" w:hAnsi="Arial Narrow"/>
                <w:b/>
                <w:bCs/>
                <w:lang w:val="en-US"/>
              </w:rPr>
              <w:t>2.07 (1.55, 2.76)</w:t>
            </w:r>
          </w:p>
        </w:tc>
      </w:tr>
      <w:tr w:rsidR="00242830" w:rsidRPr="004A053A" w:rsidTr="00242830">
        <w:tc>
          <w:tcPr>
            <w:tcW w:w="2268" w:type="dxa"/>
            <w:tcBorders>
              <w:top w:val="nil"/>
              <w:bottom w:val="nil"/>
            </w:tcBorders>
          </w:tcPr>
          <w:p w:rsidR="008B41C6" w:rsidRPr="004A053A" w:rsidRDefault="008B41C6" w:rsidP="00323E7A">
            <w:pPr>
              <w:pStyle w:val="Subtitle"/>
              <w:tabs>
                <w:tab w:val="left" w:pos="142"/>
              </w:tabs>
              <w:jc w:val="left"/>
              <w:rPr>
                <w:rFonts w:ascii="Arial Narrow" w:hAnsi="Arial Narrow" w:cs="Arial"/>
                <w:b/>
              </w:rPr>
            </w:pPr>
            <w:r w:rsidRPr="004A053A">
              <w:rPr>
                <w:rFonts w:ascii="Arial Narrow" w:hAnsi="Arial Narrow" w:cs="Arial"/>
              </w:rPr>
              <w:tab/>
              <w:t>Stable disease</w:t>
            </w:r>
          </w:p>
        </w:tc>
        <w:tc>
          <w:tcPr>
            <w:tcW w:w="1985" w:type="dxa"/>
            <w:tcBorders>
              <w:top w:val="nil"/>
              <w:bottom w:val="nil"/>
            </w:tcBorders>
          </w:tcPr>
          <w:p w:rsidR="008B41C6" w:rsidRPr="004A053A" w:rsidRDefault="008B41C6" w:rsidP="00323E7A">
            <w:pPr>
              <w:pStyle w:val="Subtitle"/>
              <w:jc w:val="center"/>
              <w:rPr>
                <w:rFonts w:ascii="Arial Narrow" w:hAnsi="Arial Narrow" w:cs="Arial"/>
                <w:b/>
              </w:rPr>
            </w:pPr>
            <w:r w:rsidRPr="004A053A">
              <w:rPr>
                <w:rFonts w:ascii="Arial Narrow" w:hAnsi="Arial Narrow" w:cs="Arial"/>
              </w:rPr>
              <w:t>34/316 (10.8%)</w:t>
            </w:r>
          </w:p>
        </w:tc>
        <w:tc>
          <w:tcPr>
            <w:tcW w:w="2126" w:type="dxa"/>
            <w:tcBorders>
              <w:top w:val="nil"/>
              <w:bottom w:val="nil"/>
            </w:tcBorders>
          </w:tcPr>
          <w:p w:rsidR="008B41C6" w:rsidRPr="004A053A" w:rsidRDefault="008B41C6" w:rsidP="00323E7A">
            <w:pPr>
              <w:pStyle w:val="Subtitle"/>
              <w:jc w:val="center"/>
              <w:rPr>
                <w:rFonts w:ascii="Arial Narrow" w:hAnsi="Arial Narrow" w:cs="Arial"/>
                <w:b/>
              </w:rPr>
            </w:pPr>
            <w:r w:rsidRPr="004A053A">
              <w:rPr>
                <w:rFonts w:ascii="Arial Narrow" w:hAnsi="Arial Narrow" w:cs="Arial"/>
              </w:rPr>
              <w:t>69/315 (21.9%)</w:t>
            </w:r>
          </w:p>
        </w:tc>
        <w:tc>
          <w:tcPr>
            <w:tcW w:w="2034" w:type="dxa"/>
            <w:tcBorders>
              <w:top w:val="nil"/>
              <w:bottom w:val="nil"/>
            </w:tcBorders>
          </w:tcPr>
          <w:p w:rsidR="008B41C6" w:rsidRPr="004A053A" w:rsidRDefault="008B41C6" w:rsidP="00323E7A">
            <w:pPr>
              <w:pStyle w:val="Subtitle"/>
              <w:jc w:val="center"/>
              <w:rPr>
                <w:rFonts w:ascii="Arial Narrow" w:hAnsi="Arial Narrow" w:cs="Arial"/>
                <w:b/>
              </w:rPr>
            </w:pPr>
            <w:r w:rsidRPr="004A053A">
              <w:rPr>
                <w:rFonts w:ascii="Arial Narrow" w:hAnsi="Arial Narrow"/>
                <w:b/>
                <w:bCs/>
                <w:lang w:val="en-US"/>
              </w:rPr>
              <w:t>0.49 (0.34, 0.72)</w:t>
            </w:r>
          </w:p>
        </w:tc>
      </w:tr>
      <w:tr w:rsidR="00242830" w:rsidRPr="004A053A" w:rsidTr="00242830">
        <w:tc>
          <w:tcPr>
            <w:tcW w:w="2268" w:type="dxa"/>
            <w:tcBorders>
              <w:top w:val="nil"/>
              <w:bottom w:val="nil"/>
            </w:tcBorders>
          </w:tcPr>
          <w:p w:rsidR="008B41C6" w:rsidRPr="004A053A" w:rsidRDefault="008B41C6" w:rsidP="00323E7A">
            <w:pPr>
              <w:pStyle w:val="Subtitle"/>
              <w:tabs>
                <w:tab w:val="left" w:pos="142"/>
              </w:tabs>
              <w:jc w:val="left"/>
              <w:rPr>
                <w:rFonts w:ascii="Arial Narrow" w:hAnsi="Arial Narrow" w:cs="Arial"/>
                <w:b/>
              </w:rPr>
            </w:pPr>
            <w:r w:rsidRPr="004A053A">
              <w:rPr>
                <w:rFonts w:ascii="Arial Narrow" w:hAnsi="Arial Narrow" w:cs="Arial"/>
              </w:rPr>
              <w:tab/>
              <w:t>Progressive disease</w:t>
            </w:r>
          </w:p>
        </w:tc>
        <w:tc>
          <w:tcPr>
            <w:tcW w:w="1985" w:type="dxa"/>
            <w:tcBorders>
              <w:top w:val="nil"/>
              <w:bottom w:val="nil"/>
            </w:tcBorders>
          </w:tcPr>
          <w:p w:rsidR="008B41C6" w:rsidRPr="004A053A" w:rsidRDefault="008B41C6" w:rsidP="00323E7A">
            <w:pPr>
              <w:pStyle w:val="Subtitle"/>
              <w:jc w:val="center"/>
              <w:rPr>
                <w:rFonts w:ascii="Arial Narrow" w:hAnsi="Arial Narrow" w:cs="Arial"/>
                <w:b/>
              </w:rPr>
            </w:pPr>
            <w:r w:rsidRPr="004A053A">
              <w:rPr>
                <w:rFonts w:ascii="Arial Narrow" w:hAnsi="Arial Narrow" w:cs="Arial"/>
              </w:rPr>
              <w:t>119/316 (37.7%)</w:t>
            </w:r>
          </w:p>
        </w:tc>
        <w:tc>
          <w:tcPr>
            <w:tcW w:w="2126" w:type="dxa"/>
            <w:tcBorders>
              <w:top w:val="nil"/>
              <w:bottom w:val="nil"/>
            </w:tcBorders>
          </w:tcPr>
          <w:p w:rsidR="008B41C6" w:rsidRPr="004A053A" w:rsidRDefault="008B41C6" w:rsidP="00323E7A">
            <w:pPr>
              <w:pStyle w:val="Subtitle"/>
              <w:jc w:val="center"/>
              <w:rPr>
                <w:rFonts w:ascii="Arial Narrow" w:hAnsi="Arial Narrow" w:cs="Arial"/>
                <w:b/>
              </w:rPr>
            </w:pPr>
            <w:r w:rsidRPr="004A053A">
              <w:rPr>
                <w:rFonts w:ascii="Arial Narrow" w:hAnsi="Arial Narrow" w:cs="Arial"/>
              </w:rPr>
              <w:t>154/315 (48.9%)</w:t>
            </w:r>
          </w:p>
        </w:tc>
        <w:tc>
          <w:tcPr>
            <w:tcW w:w="2034" w:type="dxa"/>
            <w:tcBorders>
              <w:top w:val="nil"/>
              <w:bottom w:val="nil"/>
            </w:tcBorders>
          </w:tcPr>
          <w:p w:rsidR="008B41C6" w:rsidRPr="004A053A" w:rsidRDefault="008B41C6" w:rsidP="00323E7A">
            <w:pPr>
              <w:pStyle w:val="Subtitle"/>
              <w:jc w:val="center"/>
              <w:rPr>
                <w:rFonts w:ascii="Arial Narrow" w:hAnsi="Arial Narrow" w:cs="Arial"/>
                <w:b/>
              </w:rPr>
            </w:pPr>
            <w:r w:rsidRPr="004A053A">
              <w:rPr>
                <w:rFonts w:ascii="Arial Narrow" w:hAnsi="Arial Narrow"/>
                <w:b/>
                <w:bCs/>
                <w:lang w:val="en-US"/>
              </w:rPr>
              <w:t>0.77 (0.64, 0.92)</w:t>
            </w:r>
          </w:p>
        </w:tc>
      </w:tr>
      <w:tr w:rsidR="00242830" w:rsidRPr="004A053A" w:rsidTr="00242830">
        <w:tc>
          <w:tcPr>
            <w:tcW w:w="2268" w:type="dxa"/>
            <w:tcBorders>
              <w:top w:val="nil"/>
            </w:tcBorders>
          </w:tcPr>
          <w:p w:rsidR="008B41C6" w:rsidRPr="004A053A" w:rsidRDefault="008B41C6" w:rsidP="00323E7A">
            <w:pPr>
              <w:pStyle w:val="Subtitle"/>
              <w:tabs>
                <w:tab w:val="left" w:pos="142"/>
              </w:tabs>
              <w:jc w:val="left"/>
              <w:rPr>
                <w:rFonts w:ascii="Arial Narrow" w:hAnsi="Arial Narrow" w:cs="Arial"/>
                <w:b/>
              </w:rPr>
            </w:pPr>
            <w:r w:rsidRPr="004A053A">
              <w:rPr>
                <w:rFonts w:ascii="Arial Narrow" w:hAnsi="Arial Narrow" w:cs="Arial"/>
              </w:rPr>
              <w:tab/>
              <w:t>Unable to determine</w:t>
            </w:r>
          </w:p>
        </w:tc>
        <w:tc>
          <w:tcPr>
            <w:tcW w:w="1985" w:type="dxa"/>
            <w:tcBorders>
              <w:top w:val="nil"/>
            </w:tcBorders>
          </w:tcPr>
          <w:p w:rsidR="008B41C6" w:rsidRPr="004A053A" w:rsidRDefault="008B41C6" w:rsidP="00323E7A">
            <w:pPr>
              <w:pStyle w:val="Subtitle"/>
              <w:jc w:val="center"/>
              <w:rPr>
                <w:rFonts w:ascii="Arial Narrow" w:hAnsi="Arial Narrow" w:cs="Arial"/>
                <w:b/>
              </w:rPr>
            </w:pPr>
            <w:r w:rsidRPr="004A053A">
              <w:rPr>
                <w:rFonts w:ascii="Arial Narrow" w:hAnsi="Arial Narrow" w:cs="Arial"/>
              </w:rPr>
              <w:t>25/316 (7.9%)</w:t>
            </w:r>
          </w:p>
        </w:tc>
        <w:tc>
          <w:tcPr>
            <w:tcW w:w="2126" w:type="dxa"/>
            <w:tcBorders>
              <w:top w:val="nil"/>
            </w:tcBorders>
          </w:tcPr>
          <w:p w:rsidR="008B41C6" w:rsidRPr="004A053A" w:rsidRDefault="008B41C6" w:rsidP="00323E7A">
            <w:pPr>
              <w:pStyle w:val="Subtitle"/>
              <w:jc w:val="center"/>
              <w:rPr>
                <w:rFonts w:ascii="Arial Narrow" w:hAnsi="Arial Narrow" w:cs="Arial"/>
                <w:b/>
              </w:rPr>
            </w:pPr>
            <w:r w:rsidRPr="004A053A">
              <w:rPr>
                <w:rFonts w:ascii="Arial Narrow" w:hAnsi="Arial Narrow" w:cs="Arial"/>
              </w:rPr>
              <w:t>32/315 (10.2%)</w:t>
            </w:r>
          </w:p>
        </w:tc>
        <w:tc>
          <w:tcPr>
            <w:tcW w:w="2034" w:type="dxa"/>
            <w:tcBorders>
              <w:top w:val="nil"/>
            </w:tcBorders>
          </w:tcPr>
          <w:p w:rsidR="008B41C6" w:rsidRPr="004A053A" w:rsidRDefault="008B41C6" w:rsidP="00323E7A">
            <w:pPr>
              <w:pStyle w:val="Subtitle"/>
              <w:jc w:val="center"/>
              <w:rPr>
                <w:rFonts w:ascii="Arial Narrow" w:hAnsi="Arial Narrow" w:cs="Arial"/>
                <w:b/>
              </w:rPr>
            </w:pPr>
            <w:r w:rsidRPr="004A053A">
              <w:rPr>
                <w:rFonts w:ascii="Arial Narrow" w:hAnsi="Arial Narrow"/>
                <w:lang w:val="en-US"/>
              </w:rPr>
              <w:t>0.78 (0.47, 1.28)</w:t>
            </w:r>
          </w:p>
        </w:tc>
      </w:tr>
      <w:tr w:rsidR="00242830" w:rsidRPr="004A053A" w:rsidTr="00242830">
        <w:tc>
          <w:tcPr>
            <w:tcW w:w="2268" w:type="dxa"/>
          </w:tcPr>
          <w:p w:rsidR="008B41C6" w:rsidRPr="004A053A" w:rsidRDefault="008B41C6" w:rsidP="00323E7A">
            <w:pPr>
              <w:pStyle w:val="Subtitle"/>
              <w:tabs>
                <w:tab w:val="left" w:pos="142"/>
              </w:tabs>
              <w:jc w:val="left"/>
              <w:rPr>
                <w:rFonts w:ascii="Arial Narrow" w:hAnsi="Arial Narrow" w:cs="Arial"/>
                <w:b/>
              </w:rPr>
            </w:pPr>
            <w:r w:rsidRPr="004A053A">
              <w:rPr>
                <w:rFonts w:ascii="Arial Narrow" w:hAnsi="Arial Narrow" w:cs="Arial"/>
              </w:rPr>
              <w:t>Objective response rate</w:t>
            </w:r>
          </w:p>
        </w:tc>
        <w:tc>
          <w:tcPr>
            <w:tcW w:w="1985" w:type="dxa"/>
          </w:tcPr>
          <w:p w:rsidR="008B41C6" w:rsidRPr="004A053A" w:rsidRDefault="008B41C6" w:rsidP="00323E7A">
            <w:pPr>
              <w:pStyle w:val="Subtitle"/>
              <w:jc w:val="center"/>
              <w:rPr>
                <w:rFonts w:ascii="Arial Narrow" w:hAnsi="Arial Narrow" w:cs="Arial"/>
                <w:b/>
              </w:rPr>
            </w:pPr>
            <w:r w:rsidRPr="004A053A">
              <w:rPr>
                <w:rFonts w:ascii="Arial Narrow" w:hAnsi="Arial Narrow" w:cs="Arial"/>
              </w:rPr>
              <w:t>138/316 (43.7%)</w:t>
            </w:r>
          </w:p>
        </w:tc>
        <w:tc>
          <w:tcPr>
            <w:tcW w:w="2126" w:type="dxa"/>
          </w:tcPr>
          <w:p w:rsidR="008B41C6" w:rsidRPr="004A053A" w:rsidRDefault="008B41C6" w:rsidP="00323E7A">
            <w:pPr>
              <w:pStyle w:val="Subtitle"/>
              <w:jc w:val="center"/>
              <w:rPr>
                <w:rFonts w:ascii="Arial Narrow" w:hAnsi="Arial Narrow" w:cs="Arial"/>
                <w:b/>
              </w:rPr>
            </w:pPr>
            <w:r w:rsidRPr="004A053A">
              <w:rPr>
                <w:rFonts w:ascii="Arial Narrow" w:hAnsi="Arial Narrow" w:cs="Arial"/>
              </w:rPr>
              <w:t>60/315 (19.0%)</w:t>
            </w:r>
          </w:p>
        </w:tc>
        <w:tc>
          <w:tcPr>
            <w:tcW w:w="2034" w:type="dxa"/>
            <w:vAlign w:val="center"/>
          </w:tcPr>
          <w:p w:rsidR="008B41C6" w:rsidRPr="004A053A" w:rsidRDefault="008B41C6" w:rsidP="00323E7A">
            <w:pPr>
              <w:pStyle w:val="Subtitle"/>
              <w:jc w:val="center"/>
              <w:rPr>
                <w:rFonts w:ascii="Arial Narrow" w:hAnsi="Arial Narrow" w:cs="Arial"/>
                <w:b/>
              </w:rPr>
            </w:pPr>
            <w:r w:rsidRPr="004A053A">
              <w:rPr>
                <w:rFonts w:ascii="Arial Narrow" w:hAnsi="Arial Narrow"/>
                <w:b/>
                <w:bCs/>
                <w:lang w:val="en-US"/>
              </w:rPr>
              <w:t>2.29 (1.77, 2.97)</w:t>
            </w:r>
          </w:p>
        </w:tc>
      </w:tr>
      <w:tr w:rsidR="00242830" w:rsidRPr="004A053A" w:rsidTr="00242830">
        <w:tc>
          <w:tcPr>
            <w:tcW w:w="2268" w:type="dxa"/>
          </w:tcPr>
          <w:p w:rsidR="008B41C6" w:rsidRPr="004A053A" w:rsidRDefault="008B41C6" w:rsidP="00323E7A">
            <w:pPr>
              <w:pStyle w:val="Subtitle"/>
              <w:tabs>
                <w:tab w:val="left" w:pos="142"/>
              </w:tabs>
              <w:jc w:val="left"/>
              <w:rPr>
                <w:rFonts w:ascii="Arial Narrow" w:hAnsi="Arial Narrow" w:cs="Arial"/>
                <w:b/>
              </w:rPr>
            </w:pPr>
            <w:r w:rsidRPr="004A053A">
              <w:rPr>
                <w:rFonts w:ascii="Arial Narrow" w:hAnsi="Arial Narrow" w:cs="Arial"/>
              </w:rPr>
              <w:t>Total deaths</w:t>
            </w:r>
          </w:p>
        </w:tc>
        <w:tc>
          <w:tcPr>
            <w:tcW w:w="1985" w:type="dxa"/>
          </w:tcPr>
          <w:p w:rsidR="008B41C6" w:rsidRPr="004A053A" w:rsidRDefault="008B41C6" w:rsidP="00323E7A">
            <w:pPr>
              <w:pStyle w:val="Subtitle"/>
              <w:jc w:val="center"/>
              <w:rPr>
                <w:rFonts w:ascii="Arial Narrow" w:hAnsi="Arial Narrow" w:cs="Arial"/>
                <w:b/>
              </w:rPr>
            </w:pPr>
            <w:r w:rsidRPr="004A053A">
              <w:rPr>
                <w:rFonts w:ascii="Arial Narrow" w:hAnsi="Arial Narrow" w:cs="Arial"/>
              </w:rPr>
              <w:t>85</w:t>
            </w:r>
            <w:r w:rsidRPr="004A053A">
              <w:rPr>
                <w:rFonts w:ascii="Arial Narrow" w:hAnsi="Arial Narrow" w:cs="Arial"/>
                <w:vertAlign w:val="superscript"/>
              </w:rPr>
              <w:t>a</w:t>
            </w:r>
            <w:r w:rsidRPr="004A053A">
              <w:rPr>
                <w:rFonts w:ascii="Arial Narrow" w:hAnsi="Arial Narrow" w:cs="Arial"/>
              </w:rPr>
              <w:t xml:space="preserve"> (27.2%)</w:t>
            </w:r>
          </w:p>
        </w:tc>
        <w:tc>
          <w:tcPr>
            <w:tcW w:w="2126" w:type="dxa"/>
          </w:tcPr>
          <w:p w:rsidR="008B41C6" w:rsidRPr="004A053A" w:rsidRDefault="008B41C6" w:rsidP="00323E7A">
            <w:pPr>
              <w:pStyle w:val="Subtitle"/>
              <w:jc w:val="center"/>
              <w:rPr>
                <w:rFonts w:ascii="Arial Narrow" w:hAnsi="Arial Narrow" w:cs="Arial"/>
                <w:b/>
              </w:rPr>
            </w:pPr>
            <w:r w:rsidRPr="004A053A">
              <w:rPr>
                <w:rFonts w:ascii="Arial Narrow" w:hAnsi="Arial Narrow" w:cs="Arial"/>
              </w:rPr>
              <w:t>114</w:t>
            </w:r>
            <w:r w:rsidRPr="004A053A">
              <w:rPr>
                <w:rFonts w:ascii="Arial Narrow" w:hAnsi="Arial Narrow" w:cs="Arial"/>
                <w:vertAlign w:val="superscript"/>
              </w:rPr>
              <w:t>a</w:t>
            </w:r>
            <w:r w:rsidRPr="004A053A">
              <w:rPr>
                <w:rFonts w:ascii="Arial Narrow" w:hAnsi="Arial Narrow" w:cs="Arial"/>
              </w:rPr>
              <w:t xml:space="preserve"> (36.7%)</w:t>
            </w:r>
          </w:p>
        </w:tc>
        <w:tc>
          <w:tcPr>
            <w:tcW w:w="2034" w:type="dxa"/>
            <w:vAlign w:val="center"/>
          </w:tcPr>
          <w:p w:rsidR="008B41C6" w:rsidRPr="004A053A" w:rsidRDefault="008B41C6" w:rsidP="00323E7A">
            <w:pPr>
              <w:pStyle w:val="Subtitle"/>
              <w:jc w:val="center"/>
              <w:rPr>
                <w:rFonts w:ascii="Arial Narrow" w:hAnsi="Arial Narrow" w:cs="Arial"/>
                <w:b/>
              </w:rPr>
            </w:pPr>
            <w:r w:rsidRPr="004A053A">
              <w:rPr>
                <w:rFonts w:ascii="Arial Narrow" w:hAnsi="Arial Narrow"/>
                <w:b/>
                <w:bCs/>
                <w:lang w:val="en-US"/>
              </w:rPr>
              <w:t>0.74 (0.59, 0.94)</w:t>
            </w:r>
          </w:p>
        </w:tc>
      </w:tr>
      <w:tr w:rsidR="008B41C6" w:rsidRPr="004A053A" w:rsidTr="00E35544">
        <w:tc>
          <w:tcPr>
            <w:tcW w:w="8413" w:type="dxa"/>
            <w:gridSpan w:val="4"/>
          </w:tcPr>
          <w:p w:rsidR="008B41C6" w:rsidRPr="004A053A" w:rsidRDefault="008B41C6" w:rsidP="00323E7A">
            <w:pPr>
              <w:pStyle w:val="Subtitle"/>
              <w:jc w:val="left"/>
              <w:rPr>
                <w:rFonts w:ascii="Arial Narrow" w:hAnsi="Arial Narrow" w:cs="Arial"/>
                <w:b/>
              </w:rPr>
            </w:pPr>
            <w:r w:rsidRPr="004A053A">
              <w:rPr>
                <w:rFonts w:ascii="Arial Narrow" w:hAnsi="Arial Narrow" w:cs="Arial"/>
              </w:rPr>
              <w:t>Cause of death</w:t>
            </w:r>
          </w:p>
        </w:tc>
      </w:tr>
      <w:tr w:rsidR="00242830" w:rsidRPr="004A053A" w:rsidTr="00242830">
        <w:tc>
          <w:tcPr>
            <w:tcW w:w="2268" w:type="dxa"/>
          </w:tcPr>
          <w:p w:rsidR="008B41C6" w:rsidRPr="004A053A" w:rsidRDefault="008B41C6" w:rsidP="00323E7A">
            <w:pPr>
              <w:pStyle w:val="Subtitle"/>
              <w:tabs>
                <w:tab w:val="left" w:pos="142"/>
              </w:tabs>
              <w:jc w:val="left"/>
              <w:rPr>
                <w:rFonts w:ascii="Arial Narrow" w:hAnsi="Arial Narrow" w:cs="Arial"/>
                <w:b/>
              </w:rPr>
            </w:pPr>
            <w:r w:rsidRPr="004A053A">
              <w:rPr>
                <w:rFonts w:ascii="Arial Narrow" w:hAnsi="Arial Narrow" w:cs="Arial"/>
              </w:rPr>
              <w:tab/>
              <w:t>Disease</w:t>
            </w:r>
          </w:p>
        </w:tc>
        <w:tc>
          <w:tcPr>
            <w:tcW w:w="1985" w:type="dxa"/>
            <w:tcBorders>
              <w:bottom w:val="nil"/>
            </w:tcBorders>
          </w:tcPr>
          <w:p w:rsidR="008B41C6" w:rsidRPr="004A053A" w:rsidRDefault="008B41C6" w:rsidP="00323E7A">
            <w:pPr>
              <w:pStyle w:val="Subtitle"/>
              <w:jc w:val="center"/>
              <w:rPr>
                <w:rFonts w:ascii="Arial Narrow" w:hAnsi="Arial Narrow" w:cs="Arial"/>
                <w:b/>
              </w:rPr>
            </w:pPr>
            <w:r w:rsidRPr="004A053A">
              <w:rPr>
                <w:rFonts w:ascii="Arial Narrow" w:hAnsi="Arial Narrow" w:cs="Arial"/>
              </w:rPr>
              <w:t>72</w:t>
            </w:r>
            <w:r w:rsidRPr="004A053A">
              <w:rPr>
                <w:rFonts w:ascii="Arial Narrow" w:hAnsi="Arial Narrow" w:cs="Arial"/>
                <w:vertAlign w:val="superscript"/>
              </w:rPr>
              <w:t>a</w:t>
            </w:r>
            <w:r w:rsidRPr="004A053A">
              <w:rPr>
                <w:rFonts w:ascii="Arial Narrow" w:hAnsi="Arial Narrow" w:cs="Arial"/>
              </w:rPr>
              <w:t xml:space="preserve"> (23.0%)</w:t>
            </w:r>
          </w:p>
        </w:tc>
        <w:tc>
          <w:tcPr>
            <w:tcW w:w="2126" w:type="dxa"/>
            <w:tcBorders>
              <w:bottom w:val="nil"/>
            </w:tcBorders>
          </w:tcPr>
          <w:p w:rsidR="008B41C6" w:rsidRPr="004A053A" w:rsidRDefault="008B41C6" w:rsidP="00323E7A">
            <w:pPr>
              <w:pStyle w:val="Subtitle"/>
              <w:jc w:val="center"/>
              <w:rPr>
                <w:rFonts w:ascii="Arial Narrow" w:hAnsi="Arial Narrow" w:cs="Arial"/>
                <w:b/>
              </w:rPr>
            </w:pPr>
            <w:r w:rsidRPr="004A053A">
              <w:rPr>
                <w:rFonts w:ascii="Arial Narrow" w:hAnsi="Arial Narrow" w:cs="Arial"/>
              </w:rPr>
              <w:t>102</w:t>
            </w:r>
            <w:r w:rsidRPr="004A053A">
              <w:rPr>
                <w:rFonts w:ascii="Arial Narrow" w:hAnsi="Arial Narrow" w:cs="Arial"/>
                <w:vertAlign w:val="superscript"/>
              </w:rPr>
              <w:t>a</w:t>
            </w:r>
            <w:r w:rsidRPr="004A053A">
              <w:rPr>
                <w:rFonts w:ascii="Arial Narrow" w:hAnsi="Arial Narrow" w:cs="Arial"/>
              </w:rPr>
              <w:t xml:space="preserve"> (32.8%)</w:t>
            </w:r>
          </w:p>
        </w:tc>
        <w:tc>
          <w:tcPr>
            <w:tcW w:w="2034" w:type="dxa"/>
            <w:tcBorders>
              <w:bottom w:val="nil"/>
            </w:tcBorders>
          </w:tcPr>
          <w:p w:rsidR="008B41C6" w:rsidRPr="004A053A" w:rsidRDefault="008B41C6" w:rsidP="00323E7A">
            <w:pPr>
              <w:pStyle w:val="Subtitle"/>
              <w:jc w:val="center"/>
              <w:rPr>
                <w:rFonts w:ascii="Arial Narrow" w:hAnsi="Arial Narrow" w:cs="Arial"/>
                <w:b/>
              </w:rPr>
            </w:pPr>
            <w:r w:rsidRPr="004A053A">
              <w:rPr>
                <w:rFonts w:ascii="Arial Narrow" w:hAnsi="Arial Narrow"/>
                <w:b/>
                <w:bCs/>
                <w:lang w:val="en-US"/>
              </w:rPr>
              <w:t>0.70 (0.54, 0.91)</w:t>
            </w:r>
          </w:p>
        </w:tc>
      </w:tr>
      <w:tr w:rsidR="00242830" w:rsidRPr="004A053A" w:rsidTr="00242830">
        <w:tc>
          <w:tcPr>
            <w:tcW w:w="2268" w:type="dxa"/>
          </w:tcPr>
          <w:p w:rsidR="008B41C6" w:rsidRPr="004A053A" w:rsidRDefault="008B41C6" w:rsidP="00323E7A">
            <w:pPr>
              <w:pStyle w:val="Subtitle"/>
              <w:tabs>
                <w:tab w:val="left" w:pos="142"/>
              </w:tabs>
              <w:jc w:val="left"/>
              <w:rPr>
                <w:rFonts w:ascii="Arial Narrow" w:hAnsi="Arial Narrow" w:cs="Arial"/>
                <w:b/>
              </w:rPr>
            </w:pPr>
            <w:r w:rsidRPr="004A053A">
              <w:rPr>
                <w:rFonts w:ascii="Arial Narrow" w:hAnsi="Arial Narrow" w:cs="Arial"/>
              </w:rPr>
              <w:tab/>
              <w:t>Study drug toxicity</w:t>
            </w:r>
          </w:p>
        </w:tc>
        <w:tc>
          <w:tcPr>
            <w:tcW w:w="1985" w:type="dxa"/>
            <w:tcBorders>
              <w:top w:val="nil"/>
              <w:bottom w:val="nil"/>
            </w:tcBorders>
          </w:tcPr>
          <w:p w:rsidR="008B41C6" w:rsidRPr="004A053A" w:rsidRDefault="008B41C6" w:rsidP="00323E7A">
            <w:pPr>
              <w:pStyle w:val="Subtitle"/>
              <w:jc w:val="center"/>
              <w:rPr>
                <w:rFonts w:ascii="Arial Narrow" w:hAnsi="Arial Narrow" w:cs="Arial"/>
                <w:b/>
              </w:rPr>
            </w:pPr>
            <w:r w:rsidRPr="004A053A">
              <w:rPr>
                <w:rFonts w:ascii="Arial Narrow" w:hAnsi="Arial Narrow" w:cs="Arial"/>
              </w:rPr>
              <w:t>1 (0.3%)</w:t>
            </w:r>
          </w:p>
        </w:tc>
        <w:tc>
          <w:tcPr>
            <w:tcW w:w="2126" w:type="dxa"/>
            <w:tcBorders>
              <w:top w:val="nil"/>
              <w:bottom w:val="nil"/>
            </w:tcBorders>
          </w:tcPr>
          <w:p w:rsidR="008B41C6" w:rsidRPr="004A053A" w:rsidRDefault="008B41C6" w:rsidP="00323E7A">
            <w:pPr>
              <w:pStyle w:val="Subtitle"/>
              <w:jc w:val="center"/>
              <w:rPr>
                <w:rFonts w:ascii="Arial Narrow" w:hAnsi="Arial Narrow" w:cs="Arial"/>
                <w:b/>
              </w:rPr>
            </w:pPr>
            <w:r w:rsidRPr="004A053A">
              <w:rPr>
                <w:rFonts w:ascii="Arial Narrow" w:hAnsi="Arial Narrow" w:cs="Arial"/>
              </w:rPr>
              <w:t>1 (0.3%)</w:t>
            </w:r>
          </w:p>
        </w:tc>
        <w:tc>
          <w:tcPr>
            <w:tcW w:w="2034" w:type="dxa"/>
            <w:tcBorders>
              <w:top w:val="nil"/>
              <w:bottom w:val="nil"/>
            </w:tcBorders>
          </w:tcPr>
          <w:p w:rsidR="008B41C6" w:rsidRPr="004A053A" w:rsidRDefault="008B41C6" w:rsidP="00323E7A">
            <w:pPr>
              <w:pStyle w:val="Subtitle"/>
              <w:jc w:val="center"/>
              <w:rPr>
                <w:rFonts w:ascii="Arial Narrow" w:hAnsi="Arial Narrow" w:cs="Arial"/>
                <w:b/>
              </w:rPr>
            </w:pPr>
            <w:r w:rsidRPr="004A053A">
              <w:rPr>
                <w:rFonts w:ascii="Arial Narrow" w:hAnsi="Arial Narrow"/>
                <w:lang w:val="en-US"/>
              </w:rPr>
              <w:t>0.99 (0.06, 15.82)</w:t>
            </w:r>
          </w:p>
        </w:tc>
      </w:tr>
      <w:tr w:rsidR="00242830" w:rsidRPr="004A053A" w:rsidTr="00242830">
        <w:tc>
          <w:tcPr>
            <w:tcW w:w="2268" w:type="dxa"/>
          </w:tcPr>
          <w:p w:rsidR="008B41C6" w:rsidRPr="004A053A" w:rsidRDefault="008B41C6" w:rsidP="00323E7A">
            <w:pPr>
              <w:pStyle w:val="Subtitle"/>
              <w:tabs>
                <w:tab w:val="left" w:pos="142"/>
              </w:tabs>
              <w:jc w:val="left"/>
              <w:rPr>
                <w:rFonts w:ascii="Arial Narrow" w:hAnsi="Arial Narrow" w:cs="Arial"/>
                <w:b/>
              </w:rPr>
            </w:pPr>
            <w:r w:rsidRPr="004A053A">
              <w:rPr>
                <w:rFonts w:ascii="Arial Narrow" w:hAnsi="Arial Narrow" w:cs="Arial"/>
              </w:rPr>
              <w:tab/>
              <w:t>Other</w:t>
            </w:r>
          </w:p>
        </w:tc>
        <w:tc>
          <w:tcPr>
            <w:tcW w:w="1985" w:type="dxa"/>
            <w:tcBorders>
              <w:top w:val="nil"/>
            </w:tcBorders>
          </w:tcPr>
          <w:p w:rsidR="008B41C6" w:rsidRPr="004A053A" w:rsidRDefault="008B41C6" w:rsidP="00323E7A">
            <w:pPr>
              <w:pStyle w:val="Subtitle"/>
              <w:jc w:val="center"/>
              <w:rPr>
                <w:rFonts w:ascii="Arial Narrow" w:hAnsi="Arial Narrow" w:cs="Arial"/>
                <w:b/>
              </w:rPr>
            </w:pPr>
            <w:r w:rsidRPr="004A053A">
              <w:rPr>
                <w:rFonts w:ascii="Arial Narrow" w:hAnsi="Arial Narrow" w:cs="Arial"/>
              </w:rPr>
              <w:t>12 (3.8%)</w:t>
            </w:r>
          </w:p>
        </w:tc>
        <w:tc>
          <w:tcPr>
            <w:tcW w:w="2126" w:type="dxa"/>
            <w:tcBorders>
              <w:top w:val="nil"/>
            </w:tcBorders>
          </w:tcPr>
          <w:p w:rsidR="008B41C6" w:rsidRPr="004A053A" w:rsidRDefault="008B41C6" w:rsidP="00323E7A">
            <w:pPr>
              <w:pStyle w:val="Subtitle"/>
              <w:jc w:val="center"/>
              <w:rPr>
                <w:rFonts w:ascii="Arial Narrow" w:hAnsi="Arial Narrow" w:cs="Arial"/>
                <w:b/>
              </w:rPr>
            </w:pPr>
            <w:r w:rsidRPr="004A053A">
              <w:rPr>
                <w:rFonts w:ascii="Arial Narrow" w:hAnsi="Arial Narrow" w:cs="Arial"/>
              </w:rPr>
              <w:t>16 (4.2%)</w:t>
            </w:r>
          </w:p>
        </w:tc>
        <w:tc>
          <w:tcPr>
            <w:tcW w:w="2034" w:type="dxa"/>
            <w:tcBorders>
              <w:top w:val="nil"/>
            </w:tcBorders>
          </w:tcPr>
          <w:p w:rsidR="008B41C6" w:rsidRPr="004A053A" w:rsidRDefault="008B41C6" w:rsidP="00323E7A">
            <w:pPr>
              <w:pStyle w:val="Subtitle"/>
              <w:jc w:val="center"/>
              <w:rPr>
                <w:rFonts w:ascii="Arial Narrow" w:hAnsi="Arial Narrow" w:cs="Arial"/>
                <w:b/>
              </w:rPr>
            </w:pPr>
            <w:r w:rsidRPr="004A053A">
              <w:rPr>
                <w:rFonts w:ascii="Arial Narrow" w:hAnsi="Arial Narrow"/>
                <w:lang w:val="en-US"/>
              </w:rPr>
              <w:t>0.75 (0.62, 1.55)</w:t>
            </w:r>
          </w:p>
        </w:tc>
      </w:tr>
      <w:tr w:rsidR="008B41C6" w:rsidRPr="004A053A" w:rsidTr="00E35544">
        <w:tc>
          <w:tcPr>
            <w:tcW w:w="8413" w:type="dxa"/>
            <w:gridSpan w:val="4"/>
          </w:tcPr>
          <w:p w:rsidR="008B41C6" w:rsidRPr="004A053A" w:rsidRDefault="008B41C6" w:rsidP="00323E7A">
            <w:pPr>
              <w:pStyle w:val="Subtitle"/>
              <w:jc w:val="left"/>
              <w:rPr>
                <w:rFonts w:ascii="Arial Narrow" w:hAnsi="Arial Narrow" w:cs="Arial"/>
                <w:b/>
              </w:rPr>
            </w:pPr>
            <w:r w:rsidRPr="004A053A">
              <w:rPr>
                <w:rFonts w:ascii="Arial Narrow" w:hAnsi="Arial Narrow" w:cs="Arial"/>
              </w:rPr>
              <w:t xml:space="preserve">Drug-related </w:t>
            </w:r>
            <w:r w:rsidR="00242830" w:rsidRPr="004A053A">
              <w:rPr>
                <w:rFonts w:ascii="Arial Narrow" w:hAnsi="Arial Narrow" w:cs="Arial"/>
              </w:rPr>
              <w:t>adverse events</w:t>
            </w:r>
            <w:r w:rsidRPr="004A053A">
              <w:rPr>
                <w:rFonts w:ascii="Arial Narrow" w:hAnsi="Arial Narrow" w:cs="Arial"/>
                <w:vertAlign w:val="superscript"/>
              </w:rPr>
              <w:t>b</w:t>
            </w:r>
          </w:p>
        </w:tc>
      </w:tr>
      <w:tr w:rsidR="00242830" w:rsidRPr="004A053A" w:rsidTr="00242830">
        <w:tc>
          <w:tcPr>
            <w:tcW w:w="2268" w:type="dxa"/>
          </w:tcPr>
          <w:p w:rsidR="008B41C6" w:rsidRPr="004A053A" w:rsidRDefault="008B41C6" w:rsidP="00323E7A">
            <w:pPr>
              <w:pStyle w:val="Subtitle"/>
              <w:tabs>
                <w:tab w:val="left" w:pos="142"/>
              </w:tabs>
              <w:jc w:val="left"/>
              <w:rPr>
                <w:rFonts w:ascii="Arial Narrow" w:hAnsi="Arial Narrow" w:cs="Arial"/>
                <w:b/>
              </w:rPr>
            </w:pPr>
            <w:r w:rsidRPr="004A053A">
              <w:rPr>
                <w:rFonts w:ascii="Arial Narrow" w:hAnsi="Arial Narrow" w:cs="Arial"/>
              </w:rPr>
              <w:tab/>
              <w:t>Total events</w:t>
            </w:r>
          </w:p>
        </w:tc>
        <w:tc>
          <w:tcPr>
            <w:tcW w:w="1985" w:type="dxa"/>
            <w:tcBorders>
              <w:bottom w:val="nil"/>
            </w:tcBorders>
          </w:tcPr>
          <w:p w:rsidR="008B41C6" w:rsidRPr="004A053A" w:rsidRDefault="008B41C6" w:rsidP="00323E7A">
            <w:pPr>
              <w:pStyle w:val="Subtitle"/>
              <w:jc w:val="center"/>
              <w:rPr>
                <w:rFonts w:ascii="Arial Narrow" w:hAnsi="Arial Narrow" w:cs="Arial"/>
                <w:b/>
              </w:rPr>
            </w:pPr>
            <w:r w:rsidRPr="004A053A">
              <w:rPr>
                <w:rFonts w:ascii="Arial Narrow" w:hAnsi="Arial Narrow" w:cs="Arial"/>
              </w:rPr>
              <w:t>257/313 (82.1%)</w:t>
            </w:r>
          </w:p>
        </w:tc>
        <w:tc>
          <w:tcPr>
            <w:tcW w:w="2126" w:type="dxa"/>
            <w:tcBorders>
              <w:bottom w:val="nil"/>
            </w:tcBorders>
          </w:tcPr>
          <w:p w:rsidR="008B41C6" w:rsidRPr="004A053A" w:rsidRDefault="008B41C6" w:rsidP="00323E7A">
            <w:pPr>
              <w:pStyle w:val="Subtitle"/>
              <w:jc w:val="center"/>
              <w:rPr>
                <w:rFonts w:ascii="Arial Narrow" w:hAnsi="Arial Narrow" w:cs="Arial"/>
                <w:b/>
              </w:rPr>
            </w:pPr>
            <w:r w:rsidRPr="004A053A">
              <w:rPr>
                <w:rFonts w:ascii="Arial Narrow" w:hAnsi="Arial Narrow" w:cs="Arial"/>
              </w:rPr>
              <w:t>268/311 (86.2%)</w:t>
            </w:r>
          </w:p>
        </w:tc>
        <w:tc>
          <w:tcPr>
            <w:tcW w:w="2034" w:type="dxa"/>
            <w:tcBorders>
              <w:bottom w:val="nil"/>
            </w:tcBorders>
            <w:vAlign w:val="center"/>
          </w:tcPr>
          <w:p w:rsidR="008B41C6" w:rsidRPr="004A053A" w:rsidRDefault="008B41C6" w:rsidP="00323E7A">
            <w:pPr>
              <w:pStyle w:val="Subtitle"/>
              <w:jc w:val="center"/>
              <w:rPr>
                <w:rFonts w:ascii="Arial Narrow" w:hAnsi="Arial Narrow" w:cs="Arial"/>
                <w:b/>
              </w:rPr>
            </w:pPr>
            <w:r w:rsidRPr="004A053A">
              <w:rPr>
                <w:rFonts w:ascii="Arial Narrow" w:hAnsi="Arial Narrow" w:cs="Arial"/>
              </w:rPr>
              <w:t>0.95 (0.89, 1.02)</w:t>
            </w:r>
          </w:p>
        </w:tc>
      </w:tr>
      <w:tr w:rsidR="00242830" w:rsidRPr="004A053A" w:rsidTr="00242830">
        <w:tc>
          <w:tcPr>
            <w:tcW w:w="2268" w:type="dxa"/>
          </w:tcPr>
          <w:p w:rsidR="008B41C6" w:rsidRPr="004A053A" w:rsidRDefault="008B41C6" w:rsidP="00323E7A">
            <w:pPr>
              <w:pStyle w:val="Subtitle"/>
              <w:tabs>
                <w:tab w:val="left" w:pos="142"/>
              </w:tabs>
              <w:jc w:val="left"/>
              <w:rPr>
                <w:rFonts w:ascii="Arial Narrow" w:hAnsi="Arial Narrow" w:cs="Arial"/>
                <w:b/>
              </w:rPr>
            </w:pPr>
            <w:r w:rsidRPr="004A053A">
              <w:rPr>
                <w:rFonts w:ascii="Arial Narrow" w:hAnsi="Arial Narrow" w:cs="Arial"/>
              </w:rPr>
              <w:tab/>
              <w:t>Grade 3-4 total events</w:t>
            </w:r>
          </w:p>
        </w:tc>
        <w:tc>
          <w:tcPr>
            <w:tcW w:w="1985" w:type="dxa"/>
            <w:tcBorders>
              <w:top w:val="nil"/>
              <w:bottom w:val="nil"/>
            </w:tcBorders>
          </w:tcPr>
          <w:p w:rsidR="008B41C6" w:rsidRPr="004A053A" w:rsidRDefault="008B41C6" w:rsidP="00323E7A">
            <w:pPr>
              <w:pStyle w:val="Subtitle"/>
              <w:jc w:val="center"/>
              <w:rPr>
                <w:rFonts w:ascii="Arial Narrow" w:hAnsi="Arial Narrow" w:cs="Arial"/>
                <w:b/>
              </w:rPr>
            </w:pPr>
            <w:r w:rsidRPr="004A053A">
              <w:rPr>
                <w:rFonts w:ascii="Arial Narrow" w:hAnsi="Arial Narrow" w:cs="Arial"/>
              </w:rPr>
              <w:t>51/313 (16.3%)</w:t>
            </w:r>
          </w:p>
        </w:tc>
        <w:tc>
          <w:tcPr>
            <w:tcW w:w="2126" w:type="dxa"/>
            <w:tcBorders>
              <w:top w:val="nil"/>
              <w:bottom w:val="nil"/>
            </w:tcBorders>
          </w:tcPr>
          <w:p w:rsidR="008B41C6" w:rsidRPr="004A053A" w:rsidRDefault="008B41C6" w:rsidP="00323E7A">
            <w:pPr>
              <w:pStyle w:val="Subtitle"/>
              <w:jc w:val="center"/>
              <w:rPr>
                <w:rFonts w:ascii="Arial Narrow" w:hAnsi="Arial Narrow" w:cs="Arial"/>
                <w:b/>
              </w:rPr>
            </w:pPr>
            <w:r w:rsidRPr="004A053A">
              <w:rPr>
                <w:rFonts w:ascii="Arial Narrow" w:hAnsi="Arial Narrow" w:cs="Arial"/>
              </w:rPr>
              <w:t>85/311 (27.3%)</w:t>
            </w:r>
          </w:p>
        </w:tc>
        <w:tc>
          <w:tcPr>
            <w:tcW w:w="2034" w:type="dxa"/>
            <w:tcBorders>
              <w:top w:val="nil"/>
              <w:bottom w:val="nil"/>
            </w:tcBorders>
            <w:vAlign w:val="center"/>
          </w:tcPr>
          <w:p w:rsidR="008B41C6" w:rsidRPr="004A053A" w:rsidRDefault="008B41C6" w:rsidP="00323E7A">
            <w:pPr>
              <w:pStyle w:val="Subtitle"/>
              <w:jc w:val="center"/>
              <w:rPr>
                <w:rFonts w:ascii="Arial Narrow" w:hAnsi="Arial Narrow" w:cs="Arial"/>
                <w:b/>
              </w:rPr>
            </w:pPr>
            <w:r w:rsidRPr="004A053A">
              <w:rPr>
                <w:rFonts w:ascii="Arial Narrow" w:hAnsi="Arial Narrow" w:cs="Arial"/>
                <w:b/>
              </w:rPr>
              <w:t>0.60 (0.44, 0.81)</w:t>
            </w:r>
          </w:p>
        </w:tc>
      </w:tr>
      <w:tr w:rsidR="00242830" w:rsidRPr="004A053A" w:rsidTr="00242830">
        <w:tc>
          <w:tcPr>
            <w:tcW w:w="2268" w:type="dxa"/>
          </w:tcPr>
          <w:p w:rsidR="008B41C6" w:rsidRPr="004A053A" w:rsidRDefault="008B41C6" w:rsidP="00323E7A">
            <w:pPr>
              <w:pStyle w:val="Subtitle"/>
              <w:tabs>
                <w:tab w:val="left" w:pos="142"/>
              </w:tabs>
              <w:jc w:val="left"/>
              <w:rPr>
                <w:rFonts w:ascii="Arial Narrow" w:hAnsi="Arial Narrow" w:cs="Arial"/>
                <w:b/>
              </w:rPr>
            </w:pPr>
            <w:r w:rsidRPr="004A053A">
              <w:rPr>
                <w:rFonts w:ascii="Arial Narrow" w:hAnsi="Arial Narrow" w:cs="Arial"/>
              </w:rPr>
              <w:tab/>
              <w:t>Diarrhoea</w:t>
            </w:r>
          </w:p>
        </w:tc>
        <w:tc>
          <w:tcPr>
            <w:tcW w:w="1985" w:type="dxa"/>
            <w:tcBorders>
              <w:top w:val="nil"/>
              <w:bottom w:val="nil"/>
            </w:tcBorders>
          </w:tcPr>
          <w:p w:rsidR="008B41C6" w:rsidRPr="004A053A" w:rsidRDefault="008B41C6" w:rsidP="00323E7A">
            <w:pPr>
              <w:pStyle w:val="Subtitle"/>
              <w:jc w:val="center"/>
              <w:rPr>
                <w:rFonts w:ascii="Arial Narrow" w:hAnsi="Arial Narrow" w:cs="Arial"/>
                <w:b/>
              </w:rPr>
            </w:pPr>
            <w:r w:rsidRPr="004A053A">
              <w:rPr>
                <w:rFonts w:ascii="Arial Narrow" w:hAnsi="Arial Narrow"/>
                <w:lang w:val="en-US"/>
              </w:rPr>
              <w:t>60/313 (19.2%)</w:t>
            </w:r>
          </w:p>
        </w:tc>
        <w:tc>
          <w:tcPr>
            <w:tcW w:w="2126" w:type="dxa"/>
            <w:tcBorders>
              <w:top w:val="nil"/>
              <w:bottom w:val="nil"/>
            </w:tcBorders>
          </w:tcPr>
          <w:p w:rsidR="008B41C6" w:rsidRPr="004A053A" w:rsidRDefault="008B41C6" w:rsidP="00323E7A">
            <w:pPr>
              <w:pStyle w:val="Subtitle"/>
              <w:jc w:val="center"/>
              <w:rPr>
                <w:rFonts w:ascii="Arial Narrow" w:hAnsi="Arial Narrow" w:cs="Arial"/>
                <w:b/>
              </w:rPr>
            </w:pPr>
            <w:r w:rsidRPr="004A053A">
              <w:rPr>
                <w:rFonts w:ascii="Arial Narrow" w:hAnsi="Arial Narrow"/>
                <w:lang w:val="en-US"/>
              </w:rPr>
              <w:t>103/311 (33.1%)</w:t>
            </w:r>
          </w:p>
        </w:tc>
        <w:tc>
          <w:tcPr>
            <w:tcW w:w="2034" w:type="dxa"/>
            <w:tcBorders>
              <w:top w:val="nil"/>
              <w:bottom w:val="nil"/>
            </w:tcBorders>
          </w:tcPr>
          <w:p w:rsidR="008B41C6" w:rsidRPr="004A053A" w:rsidRDefault="008B41C6" w:rsidP="00323E7A">
            <w:pPr>
              <w:pStyle w:val="Subtitle"/>
              <w:jc w:val="center"/>
              <w:rPr>
                <w:rFonts w:ascii="Arial Narrow" w:hAnsi="Arial Narrow" w:cs="Arial"/>
                <w:b/>
              </w:rPr>
            </w:pPr>
            <w:r w:rsidRPr="004A053A">
              <w:rPr>
                <w:rFonts w:ascii="Arial Narrow" w:hAnsi="Arial Narrow"/>
                <w:b/>
                <w:bCs/>
                <w:lang w:val="en-US"/>
              </w:rPr>
              <w:t>0.58 (0.44, 0.76)</w:t>
            </w:r>
          </w:p>
        </w:tc>
      </w:tr>
      <w:tr w:rsidR="00242830" w:rsidRPr="004A053A" w:rsidTr="00242830">
        <w:tc>
          <w:tcPr>
            <w:tcW w:w="2268" w:type="dxa"/>
          </w:tcPr>
          <w:p w:rsidR="008B41C6" w:rsidRPr="004A053A" w:rsidRDefault="008B41C6" w:rsidP="00323E7A">
            <w:pPr>
              <w:pStyle w:val="Subtitle"/>
              <w:tabs>
                <w:tab w:val="left" w:pos="142"/>
              </w:tabs>
              <w:jc w:val="left"/>
              <w:rPr>
                <w:rFonts w:ascii="Arial Narrow" w:hAnsi="Arial Narrow" w:cs="Arial"/>
                <w:b/>
              </w:rPr>
            </w:pPr>
            <w:r w:rsidRPr="004A053A">
              <w:rPr>
                <w:rFonts w:ascii="Arial Narrow" w:hAnsi="Arial Narrow" w:cs="Arial"/>
              </w:rPr>
              <w:tab/>
              <w:t>Grade 3-4 diarrhoea</w:t>
            </w:r>
          </w:p>
        </w:tc>
        <w:tc>
          <w:tcPr>
            <w:tcW w:w="1985" w:type="dxa"/>
            <w:tcBorders>
              <w:top w:val="nil"/>
              <w:bottom w:val="nil"/>
            </w:tcBorders>
          </w:tcPr>
          <w:p w:rsidR="008B41C6" w:rsidRPr="004A053A" w:rsidRDefault="008B41C6" w:rsidP="00323E7A">
            <w:pPr>
              <w:pStyle w:val="Subtitle"/>
              <w:jc w:val="center"/>
              <w:rPr>
                <w:rFonts w:ascii="Arial Narrow" w:hAnsi="Arial Narrow" w:cs="Arial"/>
                <w:b/>
              </w:rPr>
            </w:pPr>
            <w:r w:rsidRPr="004A053A">
              <w:rPr>
                <w:rFonts w:ascii="Arial Narrow" w:hAnsi="Arial Narrow"/>
                <w:lang w:val="en-US"/>
              </w:rPr>
              <w:t>7/313 (2.2%)</w:t>
            </w:r>
          </w:p>
        </w:tc>
        <w:tc>
          <w:tcPr>
            <w:tcW w:w="2126" w:type="dxa"/>
            <w:tcBorders>
              <w:top w:val="nil"/>
              <w:bottom w:val="nil"/>
            </w:tcBorders>
          </w:tcPr>
          <w:p w:rsidR="008B41C6" w:rsidRPr="004A053A" w:rsidRDefault="008B41C6" w:rsidP="00323E7A">
            <w:pPr>
              <w:pStyle w:val="Subtitle"/>
              <w:jc w:val="center"/>
              <w:rPr>
                <w:rFonts w:ascii="Arial Narrow" w:hAnsi="Arial Narrow" w:cs="Arial"/>
                <w:b/>
              </w:rPr>
            </w:pPr>
            <w:r w:rsidRPr="004A053A">
              <w:rPr>
                <w:rFonts w:ascii="Arial Narrow" w:hAnsi="Arial Narrow"/>
                <w:lang w:val="en-US"/>
              </w:rPr>
              <w:t>19/311 (6.1%)</w:t>
            </w:r>
          </w:p>
        </w:tc>
        <w:tc>
          <w:tcPr>
            <w:tcW w:w="2034" w:type="dxa"/>
            <w:tcBorders>
              <w:top w:val="nil"/>
              <w:bottom w:val="nil"/>
            </w:tcBorders>
          </w:tcPr>
          <w:p w:rsidR="008B41C6" w:rsidRPr="004A053A" w:rsidRDefault="008B41C6" w:rsidP="00323E7A">
            <w:pPr>
              <w:pStyle w:val="Subtitle"/>
              <w:jc w:val="center"/>
              <w:rPr>
                <w:rFonts w:ascii="Arial Narrow" w:hAnsi="Arial Narrow" w:cs="Arial"/>
                <w:b/>
              </w:rPr>
            </w:pPr>
            <w:r w:rsidRPr="004A053A">
              <w:rPr>
                <w:rFonts w:ascii="Arial Narrow" w:hAnsi="Arial Narrow"/>
                <w:b/>
                <w:bCs/>
                <w:lang w:val="en-US"/>
              </w:rPr>
              <w:t>0.37 (0.16, 0.86)</w:t>
            </w:r>
          </w:p>
        </w:tc>
      </w:tr>
      <w:tr w:rsidR="00242830" w:rsidRPr="004A053A" w:rsidTr="00242830">
        <w:tc>
          <w:tcPr>
            <w:tcW w:w="2268" w:type="dxa"/>
          </w:tcPr>
          <w:p w:rsidR="008B41C6" w:rsidRPr="004A053A" w:rsidRDefault="008B41C6" w:rsidP="00323E7A">
            <w:pPr>
              <w:pStyle w:val="Subtitle"/>
              <w:tabs>
                <w:tab w:val="left" w:pos="142"/>
              </w:tabs>
              <w:jc w:val="left"/>
              <w:rPr>
                <w:rFonts w:ascii="Arial Narrow" w:hAnsi="Arial Narrow" w:cs="Arial"/>
                <w:b/>
              </w:rPr>
            </w:pPr>
            <w:r w:rsidRPr="004A053A">
              <w:rPr>
                <w:rFonts w:ascii="Arial Narrow" w:hAnsi="Arial Narrow" w:cs="Arial"/>
              </w:rPr>
              <w:tab/>
              <w:t>Colitis</w:t>
            </w:r>
          </w:p>
        </w:tc>
        <w:tc>
          <w:tcPr>
            <w:tcW w:w="1985" w:type="dxa"/>
            <w:tcBorders>
              <w:top w:val="nil"/>
              <w:bottom w:val="nil"/>
            </w:tcBorders>
          </w:tcPr>
          <w:p w:rsidR="008B41C6" w:rsidRPr="004A053A" w:rsidRDefault="008B41C6" w:rsidP="00323E7A">
            <w:pPr>
              <w:pStyle w:val="Subtitle"/>
              <w:jc w:val="center"/>
              <w:rPr>
                <w:rFonts w:ascii="Arial Narrow" w:hAnsi="Arial Narrow" w:cs="Arial"/>
                <w:b/>
              </w:rPr>
            </w:pPr>
            <w:r w:rsidRPr="004A053A">
              <w:rPr>
                <w:rFonts w:ascii="Arial Narrow" w:hAnsi="Arial Narrow"/>
                <w:lang w:val="en-US"/>
              </w:rPr>
              <w:t>4/313 (1.3%)</w:t>
            </w:r>
          </w:p>
        </w:tc>
        <w:tc>
          <w:tcPr>
            <w:tcW w:w="2126" w:type="dxa"/>
            <w:tcBorders>
              <w:top w:val="nil"/>
              <w:bottom w:val="nil"/>
            </w:tcBorders>
          </w:tcPr>
          <w:p w:rsidR="008B41C6" w:rsidRPr="004A053A" w:rsidRDefault="008B41C6" w:rsidP="00323E7A">
            <w:pPr>
              <w:pStyle w:val="Subtitle"/>
              <w:jc w:val="center"/>
              <w:rPr>
                <w:rFonts w:ascii="Arial Narrow" w:hAnsi="Arial Narrow" w:cs="Arial"/>
                <w:b/>
              </w:rPr>
            </w:pPr>
            <w:r w:rsidRPr="004A053A">
              <w:rPr>
                <w:rFonts w:ascii="Arial Narrow" w:hAnsi="Arial Narrow"/>
                <w:lang w:val="en-US"/>
              </w:rPr>
              <w:t>36/311 (11.6%)</w:t>
            </w:r>
          </w:p>
        </w:tc>
        <w:tc>
          <w:tcPr>
            <w:tcW w:w="2034" w:type="dxa"/>
            <w:tcBorders>
              <w:top w:val="nil"/>
              <w:bottom w:val="nil"/>
            </w:tcBorders>
          </w:tcPr>
          <w:p w:rsidR="008B41C6" w:rsidRPr="004A053A" w:rsidRDefault="008B41C6" w:rsidP="00323E7A">
            <w:pPr>
              <w:pStyle w:val="Subtitle"/>
              <w:jc w:val="center"/>
              <w:rPr>
                <w:rFonts w:ascii="Arial Narrow" w:hAnsi="Arial Narrow" w:cs="Arial"/>
                <w:b/>
              </w:rPr>
            </w:pPr>
            <w:r w:rsidRPr="004A053A">
              <w:rPr>
                <w:rFonts w:ascii="Arial Narrow" w:hAnsi="Arial Narrow"/>
                <w:b/>
                <w:bCs/>
                <w:lang w:val="en-US"/>
              </w:rPr>
              <w:t>0.11 (0.04, 0.31)</w:t>
            </w:r>
          </w:p>
        </w:tc>
      </w:tr>
      <w:tr w:rsidR="00242830" w:rsidRPr="004A053A" w:rsidTr="00242830">
        <w:tc>
          <w:tcPr>
            <w:tcW w:w="2268" w:type="dxa"/>
          </w:tcPr>
          <w:p w:rsidR="008B41C6" w:rsidRPr="004A053A" w:rsidRDefault="008B41C6" w:rsidP="00323E7A">
            <w:pPr>
              <w:pStyle w:val="Subtitle"/>
              <w:tabs>
                <w:tab w:val="left" w:pos="142"/>
              </w:tabs>
              <w:jc w:val="left"/>
              <w:rPr>
                <w:rFonts w:ascii="Arial Narrow" w:hAnsi="Arial Narrow" w:cs="Arial"/>
                <w:b/>
              </w:rPr>
            </w:pPr>
            <w:r w:rsidRPr="004A053A">
              <w:rPr>
                <w:rFonts w:ascii="Arial Narrow" w:hAnsi="Arial Narrow" w:cs="Arial"/>
              </w:rPr>
              <w:tab/>
              <w:t>Grade 3-4 colitis</w:t>
            </w:r>
          </w:p>
        </w:tc>
        <w:tc>
          <w:tcPr>
            <w:tcW w:w="1985" w:type="dxa"/>
            <w:tcBorders>
              <w:top w:val="nil"/>
            </w:tcBorders>
          </w:tcPr>
          <w:p w:rsidR="008B41C6" w:rsidRPr="004A053A" w:rsidRDefault="008B41C6" w:rsidP="00323E7A">
            <w:pPr>
              <w:pStyle w:val="Subtitle"/>
              <w:jc w:val="center"/>
              <w:rPr>
                <w:rFonts w:ascii="Arial Narrow" w:hAnsi="Arial Narrow" w:cs="Arial"/>
                <w:b/>
              </w:rPr>
            </w:pPr>
            <w:r w:rsidRPr="004A053A">
              <w:rPr>
                <w:rFonts w:ascii="Arial Narrow" w:hAnsi="Arial Narrow"/>
                <w:lang w:val="en-US"/>
              </w:rPr>
              <w:t>2/313 (0.6%)</w:t>
            </w:r>
          </w:p>
        </w:tc>
        <w:tc>
          <w:tcPr>
            <w:tcW w:w="2126" w:type="dxa"/>
            <w:tcBorders>
              <w:top w:val="nil"/>
            </w:tcBorders>
          </w:tcPr>
          <w:p w:rsidR="008B41C6" w:rsidRPr="004A053A" w:rsidRDefault="008B41C6" w:rsidP="00323E7A">
            <w:pPr>
              <w:pStyle w:val="Subtitle"/>
              <w:jc w:val="center"/>
              <w:rPr>
                <w:rFonts w:ascii="Arial Narrow" w:hAnsi="Arial Narrow" w:cs="Arial"/>
                <w:b/>
              </w:rPr>
            </w:pPr>
            <w:r w:rsidRPr="004A053A">
              <w:rPr>
                <w:rFonts w:ascii="Arial Narrow" w:hAnsi="Arial Narrow"/>
                <w:lang w:val="en-US"/>
              </w:rPr>
              <w:t>27/311 (8.7%)</w:t>
            </w:r>
          </w:p>
        </w:tc>
        <w:tc>
          <w:tcPr>
            <w:tcW w:w="2034" w:type="dxa"/>
            <w:tcBorders>
              <w:top w:val="nil"/>
            </w:tcBorders>
          </w:tcPr>
          <w:p w:rsidR="008B41C6" w:rsidRPr="004A053A" w:rsidRDefault="008B41C6" w:rsidP="00323E7A">
            <w:pPr>
              <w:pStyle w:val="Subtitle"/>
              <w:jc w:val="center"/>
              <w:rPr>
                <w:rFonts w:ascii="Arial Narrow" w:hAnsi="Arial Narrow" w:cs="Arial"/>
                <w:b/>
              </w:rPr>
            </w:pPr>
            <w:r w:rsidRPr="004A053A">
              <w:rPr>
                <w:rFonts w:ascii="Arial Narrow" w:hAnsi="Arial Narrow"/>
                <w:b/>
                <w:bCs/>
                <w:lang w:val="en-US"/>
              </w:rPr>
              <w:t>0.07 (0.02, 0.31)</w:t>
            </w:r>
          </w:p>
        </w:tc>
      </w:tr>
    </w:tbl>
    <w:p w:rsidR="008B41C6" w:rsidRPr="004A053A" w:rsidRDefault="008B41C6" w:rsidP="00323E7A">
      <w:pPr>
        <w:pStyle w:val="Subtitle"/>
        <w:tabs>
          <w:tab w:val="left" w:pos="851"/>
        </w:tabs>
        <w:ind w:left="851" w:hanging="142"/>
        <w:rPr>
          <w:rFonts w:ascii="Arial Narrow" w:hAnsi="Arial Narrow" w:cs="Arial"/>
          <w:b/>
          <w:sz w:val="18"/>
          <w:szCs w:val="18"/>
        </w:rPr>
      </w:pPr>
      <w:r w:rsidRPr="004A053A">
        <w:rPr>
          <w:rFonts w:ascii="Arial Narrow" w:hAnsi="Arial Narrow" w:cs="Arial"/>
          <w:sz w:val="18"/>
          <w:szCs w:val="18"/>
          <w:vertAlign w:val="superscript"/>
        </w:rPr>
        <w:t>a</w:t>
      </w:r>
      <w:r w:rsidRPr="004A053A">
        <w:rPr>
          <w:rFonts w:ascii="Arial Narrow" w:hAnsi="Arial Narrow" w:cs="Arial"/>
          <w:sz w:val="18"/>
          <w:szCs w:val="18"/>
        </w:rPr>
        <w:tab/>
        <w:t>It is not clear what N is used as 85/316 provides a percentage of 26.9% and 114/315 results in a percentage of 36.2%.  Similar discordance with the percentages occurs with cause of death due to disease.</w:t>
      </w:r>
    </w:p>
    <w:p w:rsidR="008B41C6" w:rsidRPr="004A053A" w:rsidRDefault="008B41C6" w:rsidP="00323E7A">
      <w:pPr>
        <w:pStyle w:val="Subtitle"/>
        <w:tabs>
          <w:tab w:val="left" w:pos="851"/>
        </w:tabs>
        <w:ind w:left="851" w:hanging="142"/>
        <w:rPr>
          <w:rFonts w:ascii="Arial Narrow" w:hAnsi="Arial Narrow" w:cs="Arial"/>
          <w:sz w:val="18"/>
          <w:szCs w:val="18"/>
        </w:rPr>
      </w:pPr>
      <w:r w:rsidRPr="004A053A">
        <w:rPr>
          <w:rFonts w:ascii="Arial Narrow" w:hAnsi="Arial Narrow" w:cs="Arial"/>
          <w:sz w:val="18"/>
          <w:szCs w:val="18"/>
          <w:vertAlign w:val="superscript"/>
        </w:rPr>
        <w:t>b</w:t>
      </w:r>
      <w:r w:rsidRPr="004A053A">
        <w:rPr>
          <w:rFonts w:ascii="Arial Narrow" w:hAnsi="Arial Narrow" w:cs="Arial"/>
          <w:sz w:val="18"/>
          <w:szCs w:val="18"/>
        </w:rPr>
        <w:tab/>
        <w:t>the Ns for adverse events were not provided in the PSCR, but were obtained from the Larkin 2015 NEJM paper.</w:t>
      </w:r>
    </w:p>
    <w:p w:rsidR="008B41C6" w:rsidRPr="004A053A" w:rsidRDefault="008B41C6" w:rsidP="00323E7A">
      <w:pPr>
        <w:pStyle w:val="Subtitle"/>
        <w:tabs>
          <w:tab w:val="left" w:pos="851"/>
        </w:tabs>
        <w:ind w:left="851" w:hanging="142"/>
        <w:rPr>
          <w:rFonts w:ascii="Arial Narrow" w:hAnsi="Arial Narrow" w:cs="Arial"/>
          <w:b/>
          <w:sz w:val="18"/>
          <w:szCs w:val="18"/>
        </w:rPr>
      </w:pPr>
      <w:r w:rsidRPr="004A053A">
        <w:rPr>
          <w:rFonts w:ascii="Arial Narrow" w:hAnsi="Arial Narrow" w:cs="Arial"/>
          <w:sz w:val="18"/>
          <w:szCs w:val="18"/>
        </w:rPr>
        <w:t>HR=hazard ratio; NR=not reported; RR=relative risk</w:t>
      </w:r>
    </w:p>
    <w:p w:rsidR="008B41C6" w:rsidRPr="004A053A" w:rsidRDefault="008B41C6" w:rsidP="00323E7A">
      <w:pPr>
        <w:pStyle w:val="Subtitle"/>
        <w:ind w:left="709"/>
        <w:rPr>
          <w:rFonts w:ascii="Arial Narrow" w:hAnsi="Arial Narrow"/>
          <w:sz w:val="18"/>
          <w:szCs w:val="18"/>
        </w:rPr>
      </w:pPr>
      <w:r w:rsidRPr="004A053A">
        <w:rPr>
          <w:rFonts w:ascii="Arial Narrow" w:hAnsi="Arial Narrow"/>
          <w:sz w:val="18"/>
          <w:szCs w:val="18"/>
        </w:rPr>
        <w:t>Source: Table 1, p2 of the PSCR</w:t>
      </w:r>
      <w:r w:rsidR="00242830" w:rsidRPr="004A053A">
        <w:rPr>
          <w:rFonts w:ascii="Arial Narrow" w:hAnsi="Arial Narrow"/>
          <w:sz w:val="18"/>
          <w:szCs w:val="18"/>
        </w:rPr>
        <w:t>, as “Analysis using IPD, database lock: 17-Feb-2015, CSR expected mid-June 2015”</w:t>
      </w:r>
    </w:p>
    <w:p w:rsidR="000C6E04" w:rsidRDefault="000C6E04" w:rsidP="00323E7A">
      <w:pPr>
        <w:widowControl/>
      </w:pPr>
    </w:p>
    <w:p w:rsidR="000C6E04" w:rsidRPr="004A053A" w:rsidRDefault="000C6E04" w:rsidP="00323E7A">
      <w:pPr>
        <w:pStyle w:val="ListParagraph"/>
        <w:widowControl/>
        <w:numPr>
          <w:ilvl w:val="1"/>
          <w:numId w:val="23"/>
        </w:numPr>
        <w:ind w:left="709" w:hanging="709"/>
      </w:pPr>
      <w:r w:rsidRPr="004A053A">
        <w:t xml:space="preserve">The PSCR </w:t>
      </w:r>
      <w:r w:rsidR="00A07A17" w:rsidRPr="004A053A">
        <w:t xml:space="preserve">also </w:t>
      </w:r>
      <w:r w:rsidRPr="004A053A">
        <w:t xml:space="preserve">provided an indirect comparison of efficacy and safety based on CA209-067 </w:t>
      </w:r>
      <w:r w:rsidR="00A07A17" w:rsidRPr="004A053A">
        <w:t xml:space="preserve">for nivolumab </w:t>
      </w:r>
      <w:r w:rsidRPr="004A053A">
        <w:t>and K</w:t>
      </w:r>
      <w:r w:rsidR="00E35544" w:rsidRPr="004A053A">
        <w:t>N-</w:t>
      </w:r>
      <w:r w:rsidRPr="004A053A">
        <w:t xml:space="preserve">006 </w:t>
      </w:r>
      <w:r w:rsidR="00A07A17" w:rsidRPr="004A053A">
        <w:t>for pembrolizumab using ipilimumab as the common reference</w:t>
      </w:r>
      <w:r w:rsidRPr="004A053A">
        <w:t xml:space="preserve">. </w:t>
      </w:r>
      <w:r w:rsidR="002D78A1" w:rsidRPr="004A053A">
        <w:t xml:space="preserve"> </w:t>
      </w:r>
      <w:r w:rsidRPr="004A053A">
        <w:t>The ESC noted that</w:t>
      </w:r>
      <w:r w:rsidR="00A07A17" w:rsidRPr="004A053A">
        <w:t>,</w:t>
      </w:r>
      <w:r w:rsidRPr="004A053A">
        <w:t xml:space="preserve"> for the outcomes presented, there were no statistically significant differences between nivolumab and pembrolizumab, with the exception of colitis, with the difference favouring nivolumab.</w:t>
      </w:r>
      <w:r w:rsidR="002D78A1" w:rsidRPr="004A053A">
        <w:t xml:space="preserve">  However, given the limited information available to assess the exchangeability of these two trials, including whether the duration of follow-up was similar across the data analysed from the two trials, the ESC advised that the indirect comparison did not provide a strong basis to reach conclusions.</w:t>
      </w:r>
    </w:p>
    <w:p w:rsidR="000C6E04" w:rsidRPr="004A053A" w:rsidRDefault="000C6E04" w:rsidP="00323E7A">
      <w:pPr>
        <w:widowControl/>
      </w:pPr>
    </w:p>
    <w:p w:rsidR="00F73D49" w:rsidRPr="004A053A" w:rsidRDefault="00F73D49" w:rsidP="00323E7A">
      <w:pPr>
        <w:keepNext/>
        <w:widowControl/>
        <w:ind w:left="709"/>
        <w:rPr>
          <w:rFonts w:ascii="Arial Narrow" w:hAnsi="Arial Narrow" w:cs="Times New Roman"/>
          <w:b/>
          <w:sz w:val="20"/>
        </w:rPr>
      </w:pPr>
      <w:r w:rsidRPr="004A053A">
        <w:rPr>
          <w:rFonts w:ascii="Arial Narrow" w:hAnsi="Arial Narrow" w:cs="Times New Roman"/>
          <w:b/>
          <w:sz w:val="20"/>
        </w:rPr>
        <w:lastRenderedPageBreak/>
        <w:t>Table 7: Indirect comparison of nivolumab and pembrolizumab based on CA209-067 and K</w:t>
      </w:r>
      <w:r w:rsidR="00E35544" w:rsidRPr="004A053A">
        <w:rPr>
          <w:rFonts w:ascii="Arial Narrow" w:hAnsi="Arial Narrow" w:cs="Times New Roman"/>
          <w:b/>
          <w:sz w:val="20"/>
        </w:rPr>
        <w:t>N-</w:t>
      </w:r>
      <w:r w:rsidRPr="004A053A">
        <w:rPr>
          <w:rFonts w:ascii="Arial Narrow" w:hAnsi="Arial Narrow" w:cs="Times New Roman"/>
          <w:b/>
          <w:sz w:val="20"/>
        </w:rPr>
        <w:t>006</w:t>
      </w:r>
    </w:p>
    <w:tbl>
      <w:tblPr>
        <w:tblStyle w:val="TableGrid"/>
        <w:tblW w:w="8363" w:type="dxa"/>
        <w:tblInd w:w="817" w:type="dxa"/>
        <w:tblLook w:val="04A0" w:firstRow="1" w:lastRow="0" w:firstColumn="1" w:lastColumn="0" w:noHBand="0" w:noVBand="1"/>
        <w:tblCaption w:val="Indirect comparison of nivolumab and pembrolizumab based on CA209-067 and KN-006"/>
      </w:tblPr>
      <w:tblGrid>
        <w:gridCol w:w="1985"/>
        <w:gridCol w:w="2301"/>
        <w:gridCol w:w="2660"/>
        <w:gridCol w:w="1417"/>
      </w:tblGrid>
      <w:tr w:rsidR="00F73D49" w:rsidRPr="004A053A" w:rsidTr="00B54C91">
        <w:trPr>
          <w:tblHeader/>
        </w:trPr>
        <w:tc>
          <w:tcPr>
            <w:tcW w:w="1985" w:type="dxa"/>
          </w:tcPr>
          <w:p w:rsidR="00F73D49" w:rsidRPr="004A053A" w:rsidRDefault="00F73D49" w:rsidP="00323E7A">
            <w:pPr>
              <w:pStyle w:val="Subtitle"/>
              <w:keepNext/>
              <w:tabs>
                <w:tab w:val="left" w:pos="142"/>
              </w:tabs>
              <w:ind w:right="-141"/>
              <w:jc w:val="left"/>
              <w:rPr>
                <w:rFonts w:ascii="Arial Narrow" w:hAnsi="Arial Narrow" w:cs="Arial"/>
              </w:rPr>
            </w:pPr>
          </w:p>
        </w:tc>
        <w:tc>
          <w:tcPr>
            <w:tcW w:w="2301" w:type="dxa"/>
          </w:tcPr>
          <w:p w:rsidR="00F73D49" w:rsidRPr="004A053A" w:rsidRDefault="00F73D49" w:rsidP="00323E7A">
            <w:pPr>
              <w:pStyle w:val="Subtitle"/>
              <w:keepNext/>
              <w:tabs>
                <w:tab w:val="left" w:pos="142"/>
              </w:tabs>
              <w:ind w:left="-108" w:firstLine="108"/>
              <w:jc w:val="center"/>
              <w:rPr>
                <w:rFonts w:ascii="Arial Narrow" w:hAnsi="Arial Narrow" w:cs="Arial"/>
                <w:b/>
              </w:rPr>
            </w:pPr>
            <w:r w:rsidRPr="004A053A">
              <w:rPr>
                <w:rFonts w:ascii="Arial Narrow" w:hAnsi="Arial Narrow" w:cs="Arial"/>
                <w:b/>
              </w:rPr>
              <w:t>CA209-067</w:t>
            </w:r>
          </w:p>
          <w:p w:rsidR="00F73D49" w:rsidRPr="004A053A" w:rsidRDefault="00F73D49" w:rsidP="00323E7A">
            <w:pPr>
              <w:pStyle w:val="Subtitle"/>
              <w:keepNext/>
              <w:tabs>
                <w:tab w:val="left" w:pos="142"/>
              </w:tabs>
              <w:ind w:left="-108" w:firstLine="108"/>
              <w:jc w:val="center"/>
              <w:rPr>
                <w:rFonts w:ascii="Arial Narrow" w:hAnsi="Arial Narrow" w:cs="Arial"/>
                <w:b/>
              </w:rPr>
            </w:pPr>
            <w:r w:rsidRPr="004A053A">
              <w:rPr>
                <w:rFonts w:ascii="Arial Narrow" w:hAnsi="Arial Narrow" w:cs="Arial"/>
                <w:b/>
              </w:rPr>
              <w:t>nivolumab vs. ipilimumab</w:t>
            </w:r>
          </w:p>
        </w:tc>
        <w:tc>
          <w:tcPr>
            <w:tcW w:w="2660" w:type="dxa"/>
          </w:tcPr>
          <w:p w:rsidR="00F73D49" w:rsidRPr="004A053A" w:rsidRDefault="00F73D49" w:rsidP="00323E7A">
            <w:pPr>
              <w:pStyle w:val="Subtitle"/>
              <w:keepNext/>
              <w:tabs>
                <w:tab w:val="left" w:pos="142"/>
              </w:tabs>
              <w:ind w:left="-108" w:right="-74" w:firstLine="108"/>
              <w:jc w:val="center"/>
              <w:rPr>
                <w:rFonts w:ascii="Arial Narrow" w:hAnsi="Arial Narrow" w:cs="Arial"/>
                <w:b/>
              </w:rPr>
            </w:pPr>
            <w:r w:rsidRPr="004A053A">
              <w:rPr>
                <w:rFonts w:ascii="Arial Narrow" w:hAnsi="Arial Narrow" w:cs="Arial"/>
                <w:b/>
              </w:rPr>
              <w:t>K</w:t>
            </w:r>
            <w:r w:rsidR="00E35544" w:rsidRPr="004A053A">
              <w:rPr>
                <w:rFonts w:ascii="Arial Narrow" w:hAnsi="Arial Narrow" w:cs="Arial"/>
                <w:b/>
              </w:rPr>
              <w:t>N-</w:t>
            </w:r>
            <w:r w:rsidRPr="004A053A">
              <w:rPr>
                <w:rFonts w:ascii="Arial Narrow" w:hAnsi="Arial Narrow" w:cs="Arial"/>
                <w:b/>
              </w:rPr>
              <w:t>006</w:t>
            </w:r>
          </w:p>
          <w:p w:rsidR="00F73D49" w:rsidRPr="004A053A" w:rsidRDefault="00F73D49" w:rsidP="00323E7A">
            <w:pPr>
              <w:pStyle w:val="Subtitle"/>
              <w:keepNext/>
              <w:tabs>
                <w:tab w:val="left" w:pos="142"/>
              </w:tabs>
              <w:ind w:left="-108" w:right="-74" w:firstLine="108"/>
              <w:jc w:val="center"/>
              <w:rPr>
                <w:rFonts w:ascii="Arial Narrow" w:hAnsi="Arial Narrow" w:cs="Arial"/>
                <w:b/>
              </w:rPr>
            </w:pPr>
            <w:r w:rsidRPr="004A053A">
              <w:rPr>
                <w:rFonts w:ascii="Arial Narrow" w:hAnsi="Arial Narrow" w:cs="Arial"/>
                <w:b/>
              </w:rPr>
              <w:t>pembrolizumab vs. ipilimumab</w:t>
            </w:r>
          </w:p>
        </w:tc>
        <w:tc>
          <w:tcPr>
            <w:tcW w:w="1417" w:type="dxa"/>
            <w:vAlign w:val="center"/>
          </w:tcPr>
          <w:p w:rsidR="00F73D49" w:rsidRPr="004A053A" w:rsidRDefault="00F73D49" w:rsidP="00323E7A">
            <w:pPr>
              <w:pStyle w:val="Subtitle"/>
              <w:keepNext/>
              <w:tabs>
                <w:tab w:val="left" w:pos="142"/>
              </w:tabs>
              <w:ind w:left="-108" w:right="-107" w:firstLine="108"/>
              <w:jc w:val="center"/>
              <w:rPr>
                <w:rFonts w:ascii="Arial Narrow" w:hAnsi="Arial Narrow" w:cs="Arial"/>
                <w:b/>
              </w:rPr>
            </w:pPr>
            <w:r w:rsidRPr="004A053A">
              <w:rPr>
                <w:rFonts w:ascii="Arial Narrow" w:hAnsi="Arial Narrow" w:cs="Arial"/>
                <w:b/>
              </w:rPr>
              <w:t>Indirect</w:t>
            </w:r>
          </w:p>
          <w:p w:rsidR="00F73D49" w:rsidRPr="004A053A" w:rsidRDefault="00FB78A6" w:rsidP="00323E7A">
            <w:pPr>
              <w:pStyle w:val="Subtitle"/>
              <w:keepNext/>
              <w:tabs>
                <w:tab w:val="left" w:pos="142"/>
              </w:tabs>
              <w:ind w:left="-108" w:right="-107" w:firstLine="108"/>
              <w:jc w:val="center"/>
              <w:rPr>
                <w:rFonts w:ascii="Arial Narrow" w:hAnsi="Arial Narrow" w:cs="Arial"/>
                <w:b/>
              </w:rPr>
            </w:pPr>
            <w:r w:rsidRPr="004A053A">
              <w:rPr>
                <w:rFonts w:ascii="Arial Narrow" w:hAnsi="Arial Narrow" w:cs="Arial"/>
                <w:b/>
              </w:rPr>
              <w:t>n</w:t>
            </w:r>
            <w:r w:rsidR="00F73D49" w:rsidRPr="004A053A">
              <w:rPr>
                <w:rFonts w:ascii="Arial Narrow" w:hAnsi="Arial Narrow" w:cs="Arial"/>
                <w:b/>
              </w:rPr>
              <w:t>ivo vs. pembro</w:t>
            </w:r>
          </w:p>
        </w:tc>
      </w:tr>
      <w:tr w:rsidR="00F73D49" w:rsidRPr="004A053A" w:rsidTr="00B54C91">
        <w:tc>
          <w:tcPr>
            <w:tcW w:w="1985" w:type="dxa"/>
          </w:tcPr>
          <w:p w:rsidR="00F73D49" w:rsidRPr="004A053A" w:rsidRDefault="00F73D49" w:rsidP="00323E7A">
            <w:pPr>
              <w:pStyle w:val="Subtitle"/>
              <w:tabs>
                <w:tab w:val="left" w:pos="142"/>
              </w:tabs>
              <w:ind w:right="-141"/>
              <w:jc w:val="left"/>
              <w:rPr>
                <w:rFonts w:ascii="Arial Narrow" w:hAnsi="Arial Narrow" w:cs="Arial"/>
                <w:b/>
              </w:rPr>
            </w:pPr>
            <w:r w:rsidRPr="004A053A">
              <w:rPr>
                <w:rFonts w:ascii="Arial Narrow" w:hAnsi="Arial Narrow" w:cs="Arial"/>
                <w:b/>
              </w:rPr>
              <w:t>Benefits</w:t>
            </w:r>
          </w:p>
        </w:tc>
        <w:tc>
          <w:tcPr>
            <w:tcW w:w="6378" w:type="dxa"/>
            <w:gridSpan w:val="3"/>
          </w:tcPr>
          <w:p w:rsidR="00F73D49" w:rsidRPr="004A053A" w:rsidRDefault="00F73D49" w:rsidP="00323E7A">
            <w:pPr>
              <w:pStyle w:val="Subtitle"/>
              <w:tabs>
                <w:tab w:val="left" w:pos="142"/>
              </w:tabs>
              <w:ind w:left="-108" w:right="-107" w:firstLine="108"/>
              <w:jc w:val="center"/>
              <w:rPr>
                <w:rFonts w:ascii="Arial Narrow" w:hAnsi="Arial Narrow" w:cs="Arial"/>
                <w:b/>
              </w:rPr>
            </w:pPr>
            <w:r w:rsidRPr="004A053A">
              <w:rPr>
                <w:rFonts w:ascii="Arial Narrow" w:hAnsi="Arial Narrow" w:cs="Arial"/>
                <w:b/>
              </w:rPr>
              <w:t>HR (95% CI)</w:t>
            </w:r>
          </w:p>
        </w:tc>
      </w:tr>
      <w:tr w:rsidR="00F73D49" w:rsidRPr="004A053A" w:rsidTr="00B54C91">
        <w:tc>
          <w:tcPr>
            <w:tcW w:w="1985" w:type="dxa"/>
          </w:tcPr>
          <w:p w:rsidR="00F73D49" w:rsidRPr="004A053A" w:rsidRDefault="00F73D49" w:rsidP="00323E7A">
            <w:pPr>
              <w:pStyle w:val="Subtitle"/>
              <w:tabs>
                <w:tab w:val="left" w:pos="142"/>
              </w:tabs>
              <w:ind w:right="-141"/>
              <w:jc w:val="left"/>
              <w:rPr>
                <w:rFonts w:ascii="Arial Narrow" w:hAnsi="Arial Narrow" w:cs="Arial"/>
                <w:b/>
              </w:rPr>
            </w:pPr>
            <w:r w:rsidRPr="004A053A">
              <w:rPr>
                <w:rFonts w:ascii="Arial Narrow" w:hAnsi="Arial Narrow" w:cs="Arial"/>
              </w:rPr>
              <w:t>Overall survival</w:t>
            </w:r>
          </w:p>
        </w:tc>
        <w:tc>
          <w:tcPr>
            <w:tcW w:w="2301" w:type="dxa"/>
          </w:tcPr>
          <w:p w:rsidR="00F73D49" w:rsidRPr="002E345B" w:rsidRDefault="002E345B" w:rsidP="00323E7A">
            <w:pPr>
              <w:pStyle w:val="Subtitle"/>
              <w:tabs>
                <w:tab w:val="left" w:pos="142"/>
              </w:tabs>
              <w:ind w:left="-108" w:firstLine="108"/>
              <w:jc w:val="center"/>
              <w:rPr>
                <w:rFonts w:ascii="Arial Narrow" w:hAnsi="Arial Narrow" w:cs="Arial"/>
                <w:b/>
                <w:highlight w:val="black"/>
              </w:rPr>
            </w:pPr>
            <w:r>
              <w:rPr>
                <w:rFonts w:ascii="Arial Narrow" w:hAnsi="Arial Narrow" w:cs="Arial"/>
                <w:noProof/>
                <w:color w:val="000000"/>
                <w:highlight w:val="black"/>
              </w:rPr>
              <w:t>''''''''''' ''''''''''''''' ''''''''''''''</w:t>
            </w:r>
          </w:p>
        </w:tc>
        <w:tc>
          <w:tcPr>
            <w:tcW w:w="2660" w:type="dxa"/>
          </w:tcPr>
          <w:p w:rsidR="00F73D49" w:rsidRPr="004A053A" w:rsidRDefault="00F73D49" w:rsidP="00323E7A">
            <w:pPr>
              <w:pStyle w:val="Subtitle"/>
              <w:tabs>
                <w:tab w:val="left" w:pos="142"/>
              </w:tabs>
              <w:ind w:left="-108" w:right="-74" w:firstLine="108"/>
              <w:jc w:val="center"/>
              <w:rPr>
                <w:rFonts w:ascii="Arial Narrow" w:hAnsi="Arial Narrow" w:cs="Arial"/>
                <w:b/>
              </w:rPr>
            </w:pPr>
            <w:r w:rsidRPr="004A053A">
              <w:rPr>
                <w:rFonts w:ascii="Arial Narrow" w:hAnsi="Arial Narrow" w:cs="Arial"/>
              </w:rPr>
              <w:t>0.69 (0.52, 0.90)</w:t>
            </w:r>
          </w:p>
        </w:tc>
        <w:tc>
          <w:tcPr>
            <w:tcW w:w="1417" w:type="dxa"/>
            <w:vAlign w:val="center"/>
          </w:tcPr>
          <w:p w:rsidR="00F73D49" w:rsidRPr="002E345B" w:rsidRDefault="002E345B" w:rsidP="00323E7A">
            <w:pPr>
              <w:pStyle w:val="Subtitle"/>
              <w:tabs>
                <w:tab w:val="left" w:pos="142"/>
              </w:tabs>
              <w:ind w:left="-108" w:right="-107" w:firstLine="108"/>
              <w:jc w:val="center"/>
              <w:rPr>
                <w:rFonts w:ascii="Arial Narrow" w:hAnsi="Arial Narrow" w:cs="Arial"/>
                <w:b/>
                <w:highlight w:val="black"/>
              </w:rPr>
            </w:pPr>
            <w:r>
              <w:rPr>
                <w:rFonts w:ascii="Arial Narrow" w:hAnsi="Arial Narrow" w:cs="Arial"/>
                <w:noProof/>
                <w:color w:val="000000"/>
                <w:highlight w:val="black"/>
              </w:rPr>
              <w:t>'''''''''''' ''''''''''''' '''''''''''''</w:t>
            </w:r>
          </w:p>
        </w:tc>
      </w:tr>
      <w:tr w:rsidR="00F73D49" w:rsidRPr="004A053A" w:rsidTr="00B54C91">
        <w:tc>
          <w:tcPr>
            <w:tcW w:w="1985" w:type="dxa"/>
            <w:tcBorders>
              <w:bottom w:val="single" w:sz="4" w:space="0" w:color="auto"/>
            </w:tcBorders>
          </w:tcPr>
          <w:p w:rsidR="00F73D49" w:rsidRPr="004A053A" w:rsidRDefault="00F73D49" w:rsidP="00323E7A">
            <w:pPr>
              <w:pStyle w:val="Subtitle"/>
              <w:tabs>
                <w:tab w:val="left" w:pos="142"/>
              </w:tabs>
              <w:ind w:right="-141"/>
              <w:jc w:val="left"/>
              <w:rPr>
                <w:rFonts w:ascii="Arial Narrow" w:hAnsi="Arial Narrow" w:cs="Arial"/>
                <w:b/>
              </w:rPr>
            </w:pPr>
            <w:r w:rsidRPr="004A053A">
              <w:rPr>
                <w:rFonts w:ascii="Arial Narrow" w:hAnsi="Arial Narrow" w:cs="Arial"/>
              </w:rPr>
              <w:t>Progression-free survival</w:t>
            </w:r>
          </w:p>
        </w:tc>
        <w:tc>
          <w:tcPr>
            <w:tcW w:w="2301" w:type="dxa"/>
            <w:tcBorders>
              <w:bottom w:val="single" w:sz="4" w:space="0" w:color="auto"/>
            </w:tcBorders>
          </w:tcPr>
          <w:p w:rsidR="00F73D49" w:rsidRPr="004A053A" w:rsidRDefault="00F73D49" w:rsidP="00323E7A">
            <w:pPr>
              <w:pStyle w:val="Subtitle"/>
              <w:tabs>
                <w:tab w:val="left" w:pos="142"/>
              </w:tabs>
              <w:ind w:left="-108" w:firstLine="108"/>
              <w:jc w:val="center"/>
              <w:rPr>
                <w:rFonts w:ascii="Arial Narrow" w:hAnsi="Arial Narrow" w:cs="Arial"/>
                <w:b/>
              </w:rPr>
            </w:pPr>
            <w:r w:rsidRPr="004A053A">
              <w:rPr>
                <w:rFonts w:ascii="Arial Narrow" w:hAnsi="Arial Narrow" w:cs="Arial"/>
              </w:rPr>
              <w:t>0.57 (0.47, 0.70)</w:t>
            </w:r>
          </w:p>
        </w:tc>
        <w:tc>
          <w:tcPr>
            <w:tcW w:w="2660" w:type="dxa"/>
            <w:tcBorders>
              <w:bottom w:val="single" w:sz="4" w:space="0" w:color="auto"/>
            </w:tcBorders>
          </w:tcPr>
          <w:p w:rsidR="00F73D49" w:rsidRPr="004A053A" w:rsidRDefault="00F73D49" w:rsidP="00323E7A">
            <w:pPr>
              <w:pStyle w:val="Subtitle"/>
              <w:tabs>
                <w:tab w:val="left" w:pos="142"/>
              </w:tabs>
              <w:ind w:left="-108" w:right="-74" w:firstLine="108"/>
              <w:jc w:val="center"/>
              <w:rPr>
                <w:rFonts w:ascii="Arial Narrow" w:hAnsi="Arial Narrow" w:cs="Arial"/>
                <w:b/>
              </w:rPr>
            </w:pPr>
            <w:r w:rsidRPr="004A053A">
              <w:rPr>
                <w:rFonts w:ascii="Arial Narrow" w:hAnsi="Arial Narrow" w:cs="Arial"/>
              </w:rPr>
              <w:t>0.58 (0.47, 0.72)</w:t>
            </w:r>
          </w:p>
        </w:tc>
        <w:tc>
          <w:tcPr>
            <w:tcW w:w="1417" w:type="dxa"/>
            <w:tcBorders>
              <w:bottom w:val="single" w:sz="4" w:space="0" w:color="auto"/>
            </w:tcBorders>
            <w:vAlign w:val="center"/>
          </w:tcPr>
          <w:p w:rsidR="00F73D49" w:rsidRPr="004A053A" w:rsidRDefault="00F73D49" w:rsidP="00323E7A">
            <w:pPr>
              <w:pStyle w:val="Subtitle"/>
              <w:tabs>
                <w:tab w:val="left" w:pos="142"/>
              </w:tabs>
              <w:ind w:left="-108" w:right="-107" w:firstLine="108"/>
              <w:jc w:val="center"/>
              <w:rPr>
                <w:rFonts w:ascii="Arial Narrow" w:hAnsi="Arial Narrow" w:cs="Arial"/>
                <w:b/>
              </w:rPr>
            </w:pPr>
            <w:r w:rsidRPr="004A053A">
              <w:rPr>
                <w:rFonts w:ascii="Arial Narrow" w:hAnsi="Arial Narrow" w:cs="Arial"/>
              </w:rPr>
              <w:t>0.99 (0.74, 1.32)</w:t>
            </w:r>
          </w:p>
        </w:tc>
      </w:tr>
      <w:tr w:rsidR="00F73D49" w:rsidRPr="004A053A" w:rsidTr="00B54C91">
        <w:tc>
          <w:tcPr>
            <w:tcW w:w="1985" w:type="dxa"/>
            <w:tcBorders>
              <w:bottom w:val="single" w:sz="4" w:space="0" w:color="auto"/>
            </w:tcBorders>
          </w:tcPr>
          <w:p w:rsidR="00F73D49" w:rsidRPr="004A053A" w:rsidRDefault="00F73D49" w:rsidP="00323E7A">
            <w:pPr>
              <w:pStyle w:val="Subtitle"/>
              <w:tabs>
                <w:tab w:val="left" w:pos="142"/>
              </w:tabs>
              <w:ind w:right="-141"/>
              <w:jc w:val="left"/>
              <w:rPr>
                <w:rFonts w:ascii="Arial Narrow" w:hAnsi="Arial Narrow" w:cs="Arial"/>
                <w:b/>
              </w:rPr>
            </w:pPr>
            <w:r w:rsidRPr="004A053A">
              <w:rPr>
                <w:rFonts w:ascii="Arial Narrow" w:hAnsi="Arial Narrow" w:cs="Arial"/>
                <w:b/>
              </w:rPr>
              <w:t>Harms</w:t>
            </w:r>
          </w:p>
        </w:tc>
        <w:tc>
          <w:tcPr>
            <w:tcW w:w="6378" w:type="dxa"/>
            <w:gridSpan w:val="3"/>
            <w:tcBorders>
              <w:bottom w:val="single" w:sz="4" w:space="0" w:color="auto"/>
            </w:tcBorders>
          </w:tcPr>
          <w:p w:rsidR="00F73D49" w:rsidRPr="004A053A" w:rsidRDefault="00F73D49" w:rsidP="00323E7A">
            <w:pPr>
              <w:pStyle w:val="Subtitle"/>
              <w:tabs>
                <w:tab w:val="left" w:pos="142"/>
              </w:tabs>
              <w:ind w:left="-108" w:right="-107" w:firstLine="108"/>
              <w:jc w:val="center"/>
              <w:rPr>
                <w:rFonts w:ascii="Arial Narrow" w:hAnsi="Arial Narrow" w:cs="Arial"/>
                <w:b/>
              </w:rPr>
            </w:pPr>
            <w:r w:rsidRPr="004A053A">
              <w:rPr>
                <w:rFonts w:ascii="Arial Narrow" w:hAnsi="Arial Narrow" w:cs="Arial"/>
                <w:b/>
              </w:rPr>
              <w:t>RR (95% CI)</w:t>
            </w:r>
          </w:p>
        </w:tc>
      </w:tr>
      <w:tr w:rsidR="00F73D49" w:rsidRPr="004A053A" w:rsidTr="00B54C91">
        <w:tc>
          <w:tcPr>
            <w:tcW w:w="1985" w:type="dxa"/>
            <w:tcBorders>
              <w:bottom w:val="single" w:sz="4" w:space="0" w:color="auto"/>
            </w:tcBorders>
          </w:tcPr>
          <w:p w:rsidR="00F73D49" w:rsidRPr="004A053A" w:rsidRDefault="00F73D49" w:rsidP="00323E7A">
            <w:pPr>
              <w:pStyle w:val="Subtitle"/>
              <w:tabs>
                <w:tab w:val="left" w:pos="142"/>
              </w:tabs>
              <w:ind w:right="-141"/>
              <w:jc w:val="left"/>
              <w:rPr>
                <w:rFonts w:ascii="Arial Narrow" w:hAnsi="Arial Narrow" w:cs="Arial"/>
                <w:b/>
              </w:rPr>
            </w:pPr>
            <w:r w:rsidRPr="004A053A">
              <w:rPr>
                <w:rFonts w:ascii="Arial Narrow" w:hAnsi="Arial Narrow" w:cs="Arial"/>
              </w:rPr>
              <w:t xml:space="preserve">Total drug-related AEs </w:t>
            </w:r>
          </w:p>
        </w:tc>
        <w:tc>
          <w:tcPr>
            <w:tcW w:w="2301" w:type="dxa"/>
            <w:tcBorders>
              <w:bottom w:val="single" w:sz="4" w:space="0" w:color="auto"/>
            </w:tcBorders>
          </w:tcPr>
          <w:p w:rsidR="00F73D49" w:rsidRPr="004A053A" w:rsidRDefault="00F73D49" w:rsidP="00323E7A">
            <w:pPr>
              <w:pStyle w:val="Subtitle"/>
              <w:tabs>
                <w:tab w:val="left" w:pos="142"/>
              </w:tabs>
              <w:ind w:left="-108" w:firstLine="108"/>
              <w:jc w:val="center"/>
              <w:rPr>
                <w:rFonts w:ascii="Arial Narrow" w:hAnsi="Arial Narrow" w:cs="Arial"/>
                <w:b/>
              </w:rPr>
            </w:pPr>
            <w:r w:rsidRPr="004A053A">
              <w:rPr>
                <w:rFonts w:ascii="Arial Narrow" w:hAnsi="Arial Narrow" w:cs="Arial"/>
              </w:rPr>
              <w:t>0.95 (0.89, 1.02)</w:t>
            </w:r>
          </w:p>
        </w:tc>
        <w:tc>
          <w:tcPr>
            <w:tcW w:w="2660" w:type="dxa"/>
            <w:tcBorders>
              <w:bottom w:val="single" w:sz="4" w:space="0" w:color="auto"/>
            </w:tcBorders>
          </w:tcPr>
          <w:p w:rsidR="00F73D49" w:rsidRPr="004A053A" w:rsidRDefault="00F73D49" w:rsidP="00323E7A">
            <w:pPr>
              <w:pStyle w:val="Subtitle"/>
              <w:tabs>
                <w:tab w:val="left" w:pos="142"/>
              </w:tabs>
              <w:ind w:left="-108" w:right="-74" w:firstLine="108"/>
              <w:jc w:val="center"/>
              <w:rPr>
                <w:rFonts w:ascii="Arial Narrow" w:hAnsi="Arial Narrow" w:cs="Arial"/>
                <w:b/>
              </w:rPr>
            </w:pPr>
            <w:r w:rsidRPr="004A053A">
              <w:rPr>
                <w:rFonts w:ascii="Arial Narrow" w:hAnsi="Arial Narrow" w:cs="Arial"/>
              </w:rPr>
              <w:t>1.00 (0.90, 1.11)</w:t>
            </w:r>
          </w:p>
        </w:tc>
        <w:tc>
          <w:tcPr>
            <w:tcW w:w="1417" w:type="dxa"/>
            <w:tcBorders>
              <w:bottom w:val="single" w:sz="4" w:space="0" w:color="auto"/>
            </w:tcBorders>
            <w:vAlign w:val="center"/>
          </w:tcPr>
          <w:p w:rsidR="00F73D49" w:rsidRPr="004A053A" w:rsidRDefault="00F73D49" w:rsidP="00323E7A">
            <w:pPr>
              <w:pStyle w:val="Subtitle"/>
              <w:tabs>
                <w:tab w:val="left" w:pos="142"/>
              </w:tabs>
              <w:ind w:left="-108" w:right="-107" w:firstLine="108"/>
              <w:jc w:val="center"/>
              <w:rPr>
                <w:rFonts w:ascii="Arial Narrow" w:hAnsi="Arial Narrow" w:cs="Arial"/>
                <w:b/>
              </w:rPr>
            </w:pPr>
            <w:r w:rsidRPr="004A053A">
              <w:rPr>
                <w:rFonts w:ascii="Arial Narrow" w:hAnsi="Arial Narrow" w:cs="Arial"/>
              </w:rPr>
              <w:t>0.95 (0.84, 1.08)</w:t>
            </w:r>
          </w:p>
        </w:tc>
      </w:tr>
      <w:tr w:rsidR="00F73D49" w:rsidRPr="004A053A" w:rsidTr="00B54C91">
        <w:tc>
          <w:tcPr>
            <w:tcW w:w="1985" w:type="dxa"/>
            <w:tcBorders>
              <w:bottom w:val="single" w:sz="4" w:space="0" w:color="auto"/>
            </w:tcBorders>
          </w:tcPr>
          <w:p w:rsidR="00F73D49" w:rsidRPr="004A053A" w:rsidRDefault="00F73D49" w:rsidP="00323E7A">
            <w:pPr>
              <w:pStyle w:val="Subtitle"/>
              <w:tabs>
                <w:tab w:val="left" w:pos="142"/>
              </w:tabs>
              <w:ind w:right="-141"/>
              <w:jc w:val="left"/>
              <w:rPr>
                <w:rFonts w:ascii="Arial Narrow" w:hAnsi="Arial Narrow" w:cs="Arial"/>
                <w:b/>
              </w:rPr>
            </w:pPr>
            <w:r w:rsidRPr="004A053A">
              <w:rPr>
                <w:rFonts w:ascii="Arial Narrow" w:hAnsi="Arial Narrow" w:cs="Arial"/>
              </w:rPr>
              <w:tab/>
              <w:t>Diarrhoea</w:t>
            </w:r>
          </w:p>
        </w:tc>
        <w:tc>
          <w:tcPr>
            <w:tcW w:w="2301" w:type="dxa"/>
            <w:tcBorders>
              <w:bottom w:val="single" w:sz="4" w:space="0" w:color="auto"/>
            </w:tcBorders>
          </w:tcPr>
          <w:p w:rsidR="00F73D49" w:rsidRPr="004A053A" w:rsidRDefault="00F73D49" w:rsidP="00323E7A">
            <w:pPr>
              <w:pStyle w:val="Subtitle"/>
              <w:tabs>
                <w:tab w:val="left" w:pos="142"/>
              </w:tabs>
              <w:ind w:left="-108" w:firstLine="108"/>
              <w:jc w:val="center"/>
              <w:rPr>
                <w:rFonts w:ascii="Arial Narrow" w:hAnsi="Arial Narrow" w:cs="Arial"/>
                <w:b/>
              </w:rPr>
            </w:pPr>
            <w:r w:rsidRPr="004A053A">
              <w:rPr>
                <w:rFonts w:ascii="Arial Narrow" w:hAnsi="Arial Narrow" w:cs="Arial"/>
              </w:rPr>
              <w:t>0.58 (0.44, 0.76)</w:t>
            </w:r>
          </w:p>
        </w:tc>
        <w:tc>
          <w:tcPr>
            <w:tcW w:w="2660" w:type="dxa"/>
            <w:tcBorders>
              <w:bottom w:val="single" w:sz="4" w:space="0" w:color="auto"/>
            </w:tcBorders>
          </w:tcPr>
          <w:p w:rsidR="00F73D49" w:rsidRPr="004A053A" w:rsidRDefault="00F73D49" w:rsidP="00323E7A">
            <w:pPr>
              <w:pStyle w:val="Subtitle"/>
              <w:tabs>
                <w:tab w:val="left" w:pos="142"/>
              </w:tabs>
              <w:ind w:left="-108" w:right="-74" w:firstLine="108"/>
              <w:jc w:val="center"/>
              <w:rPr>
                <w:rFonts w:ascii="Arial Narrow" w:hAnsi="Arial Narrow" w:cs="Arial"/>
                <w:b/>
              </w:rPr>
            </w:pPr>
            <w:r w:rsidRPr="004A053A">
              <w:rPr>
                <w:rFonts w:ascii="Arial Narrow" w:hAnsi="Arial Narrow" w:cs="Arial"/>
              </w:rPr>
              <w:t>0.64 (0.44, 0.92)</w:t>
            </w:r>
          </w:p>
        </w:tc>
        <w:tc>
          <w:tcPr>
            <w:tcW w:w="1417" w:type="dxa"/>
            <w:tcBorders>
              <w:bottom w:val="single" w:sz="4" w:space="0" w:color="auto"/>
            </w:tcBorders>
            <w:vAlign w:val="center"/>
          </w:tcPr>
          <w:p w:rsidR="00F73D49" w:rsidRPr="004A053A" w:rsidRDefault="00F73D49" w:rsidP="00323E7A">
            <w:pPr>
              <w:pStyle w:val="Subtitle"/>
              <w:tabs>
                <w:tab w:val="left" w:pos="142"/>
              </w:tabs>
              <w:ind w:left="-108" w:right="-107" w:firstLine="108"/>
              <w:jc w:val="center"/>
              <w:rPr>
                <w:rFonts w:ascii="Arial Narrow" w:hAnsi="Arial Narrow" w:cs="Arial"/>
                <w:b/>
              </w:rPr>
            </w:pPr>
            <w:r w:rsidRPr="004A053A">
              <w:rPr>
                <w:rFonts w:ascii="Arial Narrow" w:hAnsi="Arial Narrow" w:cs="Arial"/>
              </w:rPr>
              <w:t>0.91 (0.57, 1.44)</w:t>
            </w:r>
          </w:p>
        </w:tc>
      </w:tr>
      <w:tr w:rsidR="00F73D49" w:rsidRPr="004A053A" w:rsidTr="00B54C91">
        <w:tc>
          <w:tcPr>
            <w:tcW w:w="1985" w:type="dxa"/>
            <w:tcBorders>
              <w:bottom w:val="single" w:sz="4" w:space="0" w:color="auto"/>
            </w:tcBorders>
          </w:tcPr>
          <w:p w:rsidR="00F73D49" w:rsidRPr="004A053A" w:rsidRDefault="00F73D49" w:rsidP="00323E7A">
            <w:pPr>
              <w:pStyle w:val="Subtitle"/>
              <w:tabs>
                <w:tab w:val="left" w:pos="142"/>
              </w:tabs>
              <w:ind w:right="-141"/>
              <w:jc w:val="left"/>
              <w:rPr>
                <w:rFonts w:ascii="Arial Narrow" w:hAnsi="Arial Narrow" w:cs="Arial"/>
                <w:b/>
              </w:rPr>
            </w:pPr>
            <w:r w:rsidRPr="004A053A">
              <w:rPr>
                <w:rFonts w:ascii="Arial Narrow" w:hAnsi="Arial Narrow" w:cs="Arial"/>
              </w:rPr>
              <w:tab/>
              <w:t>Colitis</w:t>
            </w:r>
          </w:p>
        </w:tc>
        <w:tc>
          <w:tcPr>
            <w:tcW w:w="2301" w:type="dxa"/>
            <w:tcBorders>
              <w:bottom w:val="single" w:sz="4" w:space="0" w:color="auto"/>
            </w:tcBorders>
          </w:tcPr>
          <w:p w:rsidR="00F73D49" w:rsidRPr="004A053A" w:rsidRDefault="00F73D49" w:rsidP="00323E7A">
            <w:pPr>
              <w:pStyle w:val="Subtitle"/>
              <w:tabs>
                <w:tab w:val="left" w:pos="142"/>
              </w:tabs>
              <w:ind w:left="-108" w:firstLine="108"/>
              <w:jc w:val="center"/>
              <w:rPr>
                <w:rFonts w:ascii="Arial Narrow" w:hAnsi="Arial Narrow" w:cs="Arial"/>
                <w:b/>
              </w:rPr>
            </w:pPr>
            <w:r w:rsidRPr="004A053A">
              <w:rPr>
                <w:rFonts w:ascii="Arial Narrow" w:hAnsi="Arial Narrow" w:cs="Arial"/>
              </w:rPr>
              <w:t>0.11 (0.04, 0.31)</w:t>
            </w:r>
          </w:p>
        </w:tc>
        <w:tc>
          <w:tcPr>
            <w:tcW w:w="2660" w:type="dxa"/>
            <w:tcBorders>
              <w:bottom w:val="single" w:sz="4" w:space="0" w:color="auto"/>
            </w:tcBorders>
          </w:tcPr>
          <w:p w:rsidR="00F73D49" w:rsidRPr="004A053A" w:rsidRDefault="00F73D49" w:rsidP="00323E7A">
            <w:pPr>
              <w:pStyle w:val="Subtitle"/>
              <w:tabs>
                <w:tab w:val="left" w:pos="142"/>
              </w:tabs>
              <w:ind w:left="-108" w:right="-74" w:firstLine="108"/>
              <w:jc w:val="center"/>
              <w:rPr>
                <w:rFonts w:ascii="Arial Narrow" w:hAnsi="Arial Narrow" w:cs="Arial"/>
                <w:b/>
              </w:rPr>
            </w:pPr>
            <w:r w:rsidRPr="004A053A">
              <w:rPr>
                <w:rFonts w:ascii="Arial Narrow" w:hAnsi="Arial Narrow" w:cs="Arial"/>
              </w:rPr>
              <w:t>0.44 (0.21, 0.92)</w:t>
            </w:r>
          </w:p>
        </w:tc>
        <w:tc>
          <w:tcPr>
            <w:tcW w:w="1417" w:type="dxa"/>
            <w:tcBorders>
              <w:bottom w:val="single" w:sz="4" w:space="0" w:color="auto"/>
            </w:tcBorders>
            <w:vAlign w:val="center"/>
          </w:tcPr>
          <w:p w:rsidR="00F73D49" w:rsidRPr="004A053A" w:rsidRDefault="00F73D49" w:rsidP="00323E7A">
            <w:pPr>
              <w:pStyle w:val="Subtitle"/>
              <w:tabs>
                <w:tab w:val="left" w:pos="142"/>
              </w:tabs>
              <w:ind w:left="-108" w:right="-107" w:firstLine="108"/>
              <w:jc w:val="center"/>
              <w:rPr>
                <w:rFonts w:ascii="Arial Narrow" w:hAnsi="Arial Narrow" w:cs="Arial"/>
              </w:rPr>
            </w:pPr>
            <w:r w:rsidRPr="004A053A">
              <w:rPr>
                <w:rFonts w:ascii="Arial Narrow" w:hAnsi="Arial Narrow" w:cs="Arial"/>
              </w:rPr>
              <w:t>0.25 (0.07, 0.88)</w:t>
            </w:r>
          </w:p>
        </w:tc>
      </w:tr>
    </w:tbl>
    <w:p w:rsidR="00F73D49" w:rsidRPr="004A053A" w:rsidRDefault="00F73D49" w:rsidP="00323E7A">
      <w:pPr>
        <w:pStyle w:val="Subtitle"/>
        <w:ind w:left="709"/>
        <w:rPr>
          <w:rFonts w:ascii="Arial Narrow" w:hAnsi="Arial Narrow" w:cs="Arial"/>
          <w:sz w:val="18"/>
          <w:szCs w:val="18"/>
        </w:rPr>
      </w:pPr>
      <w:r w:rsidRPr="004A053A">
        <w:rPr>
          <w:rFonts w:ascii="Arial Narrow" w:hAnsi="Arial Narrow" w:cs="Arial"/>
          <w:sz w:val="18"/>
          <w:szCs w:val="18"/>
        </w:rPr>
        <w:t>AE=adverse event</w:t>
      </w:r>
      <w:r w:rsidR="00FB78A6" w:rsidRPr="004A053A">
        <w:rPr>
          <w:rFonts w:ascii="Arial Narrow" w:hAnsi="Arial Narrow" w:cs="Arial"/>
          <w:sz w:val="18"/>
          <w:szCs w:val="18"/>
        </w:rPr>
        <w:t>; HR=hazard ratio; RR=relative risk</w:t>
      </w:r>
    </w:p>
    <w:p w:rsidR="00995681" w:rsidRPr="004A053A" w:rsidRDefault="00F73D49" w:rsidP="00323E7A">
      <w:pPr>
        <w:pStyle w:val="Subtitle"/>
        <w:ind w:left="709"/>
        <w:rPr>
          <w:rFonts w:ascii="Arial Narrow" w:hAnsi="Arial Narrow" w:cs="Arial"/>
          <w:b/>
          <w:sz w:val="18"/>
          <w:szCs w:val="18"/>
        </w:rPr>
      </w:pPr>
      <w:r w:rsidRPr="004A053A">
        <w:rPr>
          <w:rFonts w:ascii="Arial Narrow" w:hAnsi="Arial Narrow"/>
          <w:szCs w:val="18"/>
        </w:rPr>
        <w:t>Source: Table 2, p3 of the PSCR</w:t>
      </w:r>
    </w:p>
    <w:p w:rsidR="00F73D49" w:rsidRPr="00F73D49" w:rsidRDefault="00F73D49" w:rsidP="00323E7A">
      <w:pPr>
        <w:pStyle w:val="Heading2"/>
        <w:widowControl/>
        <w:rPr>
          <w:b w:val="0"/>
        </w:rPr>
      </w:pPr>
      <w:bookmarkStart w:id="13" w:name="_Toc419885974"/>
    </w:p>
    <w:p w:rsidR="00B60939" w:rsidRPr="002C2775" w:rsidRDefault="00B60939" w:rsidP="00323E7A">
      <w:pPr>
        <w:pStyle w:val="Heading2"/>
        <w:widowControl/>
        <w:rPr>
          <w:i/>
        </w:rPr>
      </w:pPr>
      <w:r w:rsidRPr="002C2775">
        <w:rPr>
          <w:i/>
        </w:rPr>
        <w:t>Clinical claim</w:t>
      </w:r>
      <w:bookmarkEnd w:id="13"/>
    </w:p>
    <w:p w:rsidR="00B60939" w:rsidRPr="004A053A" w:rsidRDefault="00B60939" w:rsidP="00323E7A">
      <w:pPr>
        <w:widowControl/>
        <w:ind w:left="720" w:hanging="720"/>
        <w:rPr>
          <w:szCs w:val="22"/>
        </w:rPr>
      </w:pPr>
    </w:p>
    <w:p w:rsidR="00B60939" w:rsidRPr="004A053A" w:rsidRDefault="00660E7A" w:rsidP="00323E7A">
      <w:pPr>
        <w:pStyle w:val="ListParagraph"/>
        <w:widowControl/>
        <w:numPr>
          <w:ilvl w:val="1"/>
          <w:numId w:val="23"/>
        </w:numPr>
        <w:ind w:left="709" w:hanging="709"/>
      </w:pPr>
      <w:r w:rsidRPr="004A053A">
        <w:t xml:space="preserve">The submission describes nivolumab as superior in terms of comparative efficacy and superior in terms of comparative safety </w:t>
      </w:r>
      <w:r w:rsidR="00E76D97" w:rsidRPr="004A053A">
        <w:t>over</w:t>
      </w:r>
      <w:r w:rsidRPr="004A053A">
        <w:t xml:space="preserve"> ipilimumab.  </w:t>
      </w:r>
      <w:r w:rsidR="001B5C1D" w:rsidRPr="004A053A">
        <w:t xml:space="preserve">The ESC considered that </w:t>
      </w:r>
      <w:r w:rsidR="004A6372" w:rsidRPr="004A053A">
        <w:t>t</w:t>
      </w:r>
      <w:r w:rsidRPr="004A053A">
        <w:t xml:space="preserve">his claim </w:t>
      </w:r>
      <w:r w:rsidR="002A6DB6" w:rsidRPr="004A053A">
        <w:t>wa</w:t>
      </w:r>
      <w:r w:rsidRPr="004A053A">
        <w:t>s not adequately supported</w:t>
      </w:r>
      <w:r w:rsidR="001B5C1D" w:rsidRPr="004A053A">
        <w:t xml:space="preserve"> by the indirect comparison presented by the submission</w:t>
      </w:r>
      <w:r w:rsidRPr="004A053A">
        <w:t>, for the following reasons:</w:t>
      </w:r>
    </w:p>
    <w:p w:rsidR="00E05FAA" w:rsidRPr="004A053A" w:rsidRDefault="0066298B" w:rsidP="00323E7A">
      <w:pPr>
        <w:pStyle w:val="ListParagraph"/>
        <w:widowControl/>
        <w:numPr>
          <w:ilvl w:val="0"/>
          <w:numId w:val="4"/>
        </w:numPr>
        <w:ind w:left="993" w:hanging="284"/>
        <w:rPr>
          <w:szCs w:val="22"/>
        </w:rPr>
      </w:pPr>
      <w:r w:rsidRPr="004A053A">
        <w:t>The trials used in the indirect comparison, CA209-066 for nivolumab and MDX010-20 for</w:t>
      </w:r>
      <w:r w:rsidR="00E05FAA" w:rsidRPr="004A053A">
        <w:t xml:space="preserve"> ipilimumab, </w:t>
      </w:r>
      <w:r w:rsidR="009738C5" w:rsidRPr="004A053A">
        <w:t>we</w:t>
      </w:r>
      <w:r w:rsidR="00E05FAA" w:rsidRPr="004A053A">
        <w:t xml:space="preserve">re </w:t>
      </w:r>
      <w:r w:rsidR="00EF01ED" w:rsidRPr="004A053A">
        <w:t>poorly exchangeabl</w:t>
      </w:r>
      <w:r w:rsidR="00794619" w:rsidRPr="004A053A">
        <w:t>e (see</w:t>
      </w:r>
      <w:r w:rsidR="00860340" w:rsidRPr="004A053A">
        <w:t xml:space="preserve"> </w:t>
      </w:r>
      <w:r w:rsidR="00860340" w:rsidRPr="00BB35C8">
        <w:t>paragraph</w:t>
      </w:r>
      <w:r w:rsidR="00794619" w:rsidRPr="00BB35C8">
        <w:t xml:space="preserve"> </w:t>
      </w:r>
      <w:r w:rsidR="009B6D28" w:rsidRPr="00BB35C8">
        <w:t>6.8</w:t>
      </w:r>
      <w:r w:rsidR="00794619" w:rsidRPr="004A053A">
        <w:t>, above)</w:t>
      </w:r>
      <w:r w:rsidR="00B02F92" w:rsidRPr="004A053A">
        <w:t>.</w:t>
      </w:r>
    </w:p>
    <w:p w:rsidR="00812ED7" w:rsidRPr="004A053A" w:rsidRDefault="00812ED7" w:rsidP="00323E7A">
      <w:pPr>
        <w:pStyle w:val="ListParagraph"/>
        <w:widowControl/>
        <w:numPr>
          <w:ilvl w:val="0"/>
          <w:numId w:val="5"/>
        </w:numPr>
        <w:ind w:left="993" w:hanging="284"/>
        <w:rPr>
          <w:szCs w:val="22"/>
        </w:rPr>
      </w:pPr>
      <w:r w:rsidRPr="004A053A">
        <w:t xml:space="preserve">The observed differences in OS and PFS had borderline statistical significance, with upper 95% confidence </w:t>
      </w:r>
      <w:r w:rsidR="00B02F92" w:rsidRPr="004A053A">
        <w:t>limits</w:t>
      </w:r>
      <w:r w:rsidRPr="004A053A">
        <w:t xml:space="preserve"> of 0.99 and 0.96, respectively.</w:t>
      </w:r>
    </w:p>
    <w:p w:rsidR="00812ED7" w:rsidRPr="004A053A" w:rsidRDefault="00812ED7" w:rsidP="00323E7A">
      <w:pPr>
        <w:pStyle w:val="ListParagraph"/>
        <w:widowControl/>
        <w:numPr>
          <w:ilvl w:val="0"/>
          <w:numId w:val="5"/>
        </w:numPr>
        <w:ind w:left="993" w:hanging="284"/>
        <w:rPr>
          <w:szCs w:val="22"/>
        </w:rPr>
      </w:pPr>
      <w:r w:rsidRPr="004A053A">
        <w:t>Stati</w:t>
      </w:r>
      <w:r w:rsidR="00B37794" w:rsidRPr="004A053A">
        <w:t>s</w:t>
      </w:r>
      <w:r w:rsidRPr="004A053A">
        <w:t>tically significant differences were observed for two safety outcomes, any severe drug-related AE (grade ≥3) and any serious AE</w:t>
      </w:r>
      <w:r w:rsidR="00B37794" w:rsidRPr="004A053A">
        <w:t>.  No statistically significant differences were observed for individual adverse events.</w:t>
      </w:r>
    </w:p>
    <w:p w:rsidR="004A6A8F" w:rsidRPr="004A053A" w:rsidRDefault="004A6A8F" w:rsidP="00323E7A">
      <w:pPr>
        <w:widowControl/>
        <w:ind w:left="709"/>
        <w:rPr>
          <w:szCs w:val="22"/>
        </w:rPr>
      </w:pPr>
      <w:r w:rsidRPr="004A053A">
        <w:rPr>
          <w:szCs w:val="22"/>
        </w:rPr>
        <w:t xml:space="preserve">Overall, there was not strong support for the claimed superiority of nivolumab over ipilimumab on the basis of the </w:t>
      </w:r>
      <w:r w:rsidR="00B02F92" w:rsidRPr="004A053A">
        <w:rPr>
          <w:szCs w:val="22"/>
        </w:rPr>
        <w:t>clinical evidence</w:t>
      </w:r>
      <w:r w:rsidRPr="004A053A">
        <w:rPr>
          <w:szCs w:val="22"/>
        </w:rPr>
        <w:t xml:space="preserve"> presented.  The submission also assumed that the observed results, based on BRAF wild</w:t>
      </w:r>
      <w:r w:rsidR="00B02F92" w:rsidRPr="004A053A">
        <w:rPr>
          <w:szCs w:val="22"/>
        </w:rPr>
        <w:t>-</w:t>
      </w:r>
      <w:r w:rsidRPr="004A053A">
        <w:rPr>
          <w:szCs w:val="22"/>
        </w:rPr>
        <w:t xml:space="preserve">type patients in CA209-066 and MDX010-20, where BRAF status was unknown, would apply to BRAF mutant patients.  </w:t>
      </w:r>
      <w:r w:rsidR="0005411F" w:rsidRPr="004A053A">
        <w:rPr>
          <w:szCs w:val="22"/>
        </w:rPr>
        <w:t>The ESC considered that there was no strong support for this assumption, given the lack of conclusive evidence that BRAF status does or does not have consequences for outcomes in this setting.</w:t>
      </w:r>
    </w:p>
    <w:p w:rsidR="001B5C1D" w:rsidRPr="004A053A" w:rsidRDefault="001B5C1D" w:rsidP="00323E7A">
      <w:pPr>
        <w:widowControl/>
        <w:rPr>
          <w:szCs w:val="22"/>
        </w:rPr>
      </w:pPr>
    </w:p>
    <w:p w:rsidR="001B5C1D" w:rsidRPr="004A053A" w:rsidRDefault="001B5C1D" w:rsidP="00323E7A">
      <w:pPr>
        <w:pStyle w:val="ListParagraph"/>
        <w:widowControl/>
        <w:numPr>
          <w:ilvl w:val="1"/>
          <w:numId w:val="23"/>
        </w:numPr>
        <w:ind w:left="709" w:hanging="709"/>
        <w:rPr>
          <w:szCs w:val="22"/>
        </w:rPr>
      </w:pPr>
      <w:r w:rsidRPr="004A053A">
        <w:rPr>
          <w:szCs w:val="22"/>
        </w:rPr>
        <w:t xml:space="preserve">The ESC considered that data from trial CA209-067 </w:t>
      </w:r>
      <w:r w:rsidR="00E76D97" w:rsidRPr="004A053A">
        <w:rPr>
          <w:szCs w:val="22"/>
        </w:rPr>
        <w:t xml:space="preserve">would likely provide stronger </w:t>
      </w:r>
      <w:r w:rsidRPr="004A053A">
        <w:rPr>
          <w:szCs w:val="22"/>
        </w:rPr>
        <w:t xml:space="preserve">support </w:t>
      </w:r>
      <w:r w:rsidR="00E76D97" w:rsidRPr="004A053A">
        <w:rPr>
          <w:szCs w:val="22"/>
        </w:rPr>
        <w:t xml:space="preserve">for </w:t>
      </w:r>
      <w:r w:rsidRPr="004A053A">
        <w:rPr>
          <w:szCs w:val="22"/>
        </w:rPr>
        <w:t xml:space="preserve">the submission’s clinical claim of superior comparative efficacy and safety </w:t>
      </w:r>
      <w:r w:rsidR="00E76D97" w:rsidRPr="004A053A">
        <w:rPr>
          <w:szCs w:val="22"/>
        </w:rPr>
        <w:t>over</w:t>
      </w:r>
      <w:r w:rsidRPr="004A053A">
        <w:rPr>
          <w:szCs w:val="22"/>
        </w:rPr>
        <w:t xml:space="preserve"> ipilimumab, </w:t>
      </w:r>
      <w:r w:rsidR="00433516" w:rsidRPr="004A053A">
        <w:rPr>
          <w:szCs w:val="22"/>
        </w:rPr>
        <w:t>but noted</w:t>
      </w:r>
      <w:r w:rsidRPr="004A053A">
        <w:rPr>
          <w:szCs w:val="22"/>
        </w:rPr>
        <w:t xml:space="preserve"> that the </w:t>
      </w:r>
      <w:r w:rsidR="00E76D97" w:rsidRPr="004A053A">
        <w:rPr>
          <w:szCs w:val="22"/>
        </w:rPr>
        <w:t xml:space="preserve">information about this trial and its results </w:t>
      </w:r>
      <w:r w:rsidR="00433516" w:rsidRPr="004A053A">
        <w:rPr>
          <w:szCs w:val="22"/>
        </w:rPr>
        <w:t>we</w:t>
      </w:r>
      <w:r w:rsidR="00E76D97" w:rsidRPr="004A053A">
        <w:rPr>
          <w:szCs w:val="22"/>
        </w:rPr>
        <w:t xml:space="preserve">re </w:t>
      </w:r>
      <w:r w:rsidRPr="004A053A">
        <w:rPr>
          <w:szCs w:val="22"/>
        </w:rPr>
        <w:t>limited and still emerging.</w:t>
      </w:r>
    </w:p>
    <w:p w:rsidR="00961381" w:rsidRPr="004A053A" w:rsidRDefault="00961381" w:rsidP="00323E7A">
      <w:pPr>
        <w:widowControl/>
        <w:rPr>
          <w:szCs w:val="22"/>
        </w:rPr>
      </w:pPr>
    </w:p>
    <w:p w:rsidR="00961381" w:rsidRPr="004A053A" w:rsidRDefault="00961381" w:rsidP="00323E7A">
      <w:pPr>
        <w:pStyle w:val="ListParagraph"/>
        <w:widowControl/>
        <w:numPr>
          <w:ilvl w:val="1"/>
          <w:numId w:val="23"/>
        </w:numPr>
        <w:ind w:left="709" w:hanging="709"/>
      </w:pPr>
      <w:r w:rsidRPr="004A053A">
        <w:t>The submission provided no substantive basis upon which to judge the comparative effectiveness and safety of nivolumab and pembrolizumab.</w:t>
      </w:r>
      <w:r w:rsidR="00E76D97" w:rsidRPr="004A053A">
        <w:t xml:space="preserve">  </w:t>
      </w:r>
      <w:r w:rsidR="00E76D97" w:rsidRPr="004A053A">
        <w:rPr>
          <w:szCs w:val="22"/>
        </w:rPr>
        <w:t>The ESC considered that the indirect comparison across trials CA209-067 and K</w:t>
      </w:r>
      <w:r w:rsidR="00E35544" w:rsidRPr="004A053A">
        <w:rPr>
          <w:szCs w:val="22"/>
        </w:rPr>
        <w:t>N-</w:t>
      </w:r>
      <w:r w:rsidR="00E76D97" w:rsidRPr="004A053A">
        <w:rPr>
          <w:szCs w:val="22"/>
        </w:rPr>
        <w:t>006 provide</w:t>
      </w:r>
      <w:r w:rsidR="00433516" w:rsidRPr="004A053A">
        <w:rPr>
          <w:szCs w:val="22"/>
        </w:rPr>
        <w:t>d</w:t>
      </w:r>
      <w:r w:rsidR="00E76D97" w:rsidRPr="004A053A">
        <w:rPr>
          <w:szCs w:val="22"/>
        </w:rPr>
        <w:t xml:space="preserve"> support for a conclusion of similar effectiveness and safety between nivolumab and pembrolizumab, </w:t>
      </w:r>
      <w:r w:rsidR="00433516" w:rsidRPr="004A053A">
        <w:rPr>
          <w:szCs w:val="22"/>
        </w:rPr>
        <w:t xml:space="preserve">but </w:t>
      </w:r>
      <w:r w:rsidR="00E76D97" w:rsidRPr="004A053A">
        <w:rPr>
          <w:szCs w:val="22"/>
        </w:rPr>
        <w:t>not</w:t>
      </w:r>
      <w:r w:rsidR="00433516" w:rsidRPr="004A053A">
        <w:rPr>
          <w:szCs w:val="22"/>
        </w:rPr>
        <w:t>ed</w:t>
      </w:r>
      <w:r w:rsidR="00E76D97" w:rsidRPr="004A053A">
        <w:rPr>
          <w:szCs w:val="22"/>
        </w:rPr>
        <w:t xml:space="preserve"> that the information about this comparison and its results </w:t>
      </w:r>
      <w:r w:rsidR="00433516" w:rsidRPr="004A053A">
        <w:rPr>
          <w:szCs w:val="22"/>
        </w:rPr>
        <w:t>we</w:t>
      </w:r>
      <w:r w:rsidR="00E76D97" w:rsidRPr="004A053A">
        <w:rPr>
          <w:szCs w:val="22"/>
        </w:rPr>
        <w:t>re limited and still emerging.</w:t>
      </w:r>
    </w:p>
    <w:p w:rsidR="00660E7A" w:rsidRPr="00882085" w:rsidRDefault="00660E7A" w:rsidP="00323E7A">
      <w:pPr>
        <w:widowControl/>
        <w:rPr>
          <w:szCs w:val="22"/>
        </w:rPr>
      </w:pPr>
    </w:p>
    <w:p w:rsidR="00B60939" w:rsidRPr="002C2775" w:rsidRDefault="00B60939" w:rsidP="00323E7A">
      <w:pPr>
        <w:pStyle w:val="Heading2"/>
        <w:widowControl/>
        <w:rPr>
          <w:i/>
        </w:rPr>
      </w:pPr>
      <w:bookmarkStart w:id="14" w:name="_Toc419885975"/>
      <w:r w:rsidRPr="002C2775">
        <w:rPr>
          <w:i/>
        </w:rPr>
        <w:t>Economic analysis</w:t>
      </w:r>
      <w:bookmarkEnd w:id="14"/>
    </w:p>
    <w:p w:rsidR="00B60939" w:rsidRPr="00882085" w:rsidRDefault="00B60939" w:rsidP="00323E7A">
      <w:pPr>
        <w:widowControl/>
        <w:ind w:left="720" w:hanging="720"/>
        <w:rPr>
          <w:szCs w:val="22"/>
        </w:rPr>
      </w:pPr>
    </w:p>
    <w:p w:rsidR="00B60939" w:rsidRPr="006C03DC" w:rsidRDefault="00863120" w:rsidP="00323E7A">
      <w:pPr>
        <w:pStyle w:val="ListParagraph"/>
        <w:widowControl/>
        <w:numPr>
          <w:ilvl w:val="1"/>
          <w:numId w:val="23"/>
        </w:numPr>
        <w:ind w:left="709" w:hanging="709"/>
      </w:pPr>
      <w:r w:rsidRPr="006C03DC">
        <w:t>The submission presented a cost-utility analysis of nivolumab versus ipilimumab.</w:t>
      </w:r>
      <w:r w:rsidR="005E347C" w:rsidRPr="006C03DC">
        <w:t xml:space="preserve">  The analysis </w:t>
      </w:r>
      <w:r w:rsidR="00F55FEC" w:rsidRPr="006C03DC">
        <w:t>wa</w:t>
      </w:r>
      <w:r w:rsidR="005E347C" w:rsidRPr="006C03DC">
        <w:t>s based on</w:t>
      </w:r>
      <w:r w:rsidR="00F55FEC" w:rsidRPr="006C03DC">
        <w:t xml:space="preserve"> a claim of superior efficacy and safety for nivolumab which is limited by the </w:t>
      </w:r>
      <w:r w:rsidR="00B02F92" w:rsidRPr="006C03DC">
        <w:t>poor exchangeability</w:t>
      </w:r>
      <w:r w:rsidR="00F55FEC" w:rsidRPr="006C03DC">
        <w:t xml:space="preserve"> of the trials included in the indirect </w:t>
      </w:r>
      <w:r w:rsidR="00F55FEC" w:rsidRPr="006C03DC">
        <w:lastRenderedPageBreak/>
        <w:t>comparison.</w:t>
      </w:r>
      <w:r w:rsidR="005E347C" w:rsidRPr="006C03DC">
        <w:t xml:space="preserve"> </w:t>
      </w:r>
      <w:r w:rsidR="00F55FEC" w:rsidRPr="006C03DC">
        <w:t xml:space="preserve"> </w:t>
      </w:r>
      <w:r w:rsidRPr="006C03DC">
        <w:t>The following table provides a summary of the structure and rationale of the model.</w:t>
      </w:r>
    </w:p>
    <w:p w:rsidR="00275C5A" w:rsidRDefault="00275C5A" w:rsidP="00323E7A">
      <w:pPr>
        <w:widowControl/>
        <w:rPr>
          <w:szCs w:val="22"/>
        </w:rPr>
      </w:pPr>
    </w:p>
    <w:p w:rsidR="00A144E7" w:rsidRDefault="00A144E7" w:rsidP="00323E7A">
      <w:pPr>
        <w:widowControl/>
        <w:ind w:firstLine="720"/>
        <w:rPr>
          <w:rStyle w:val="CommentReference"/>
        </w:rPr>
      </w:pPr>
      <w:r w:rsidRPr="00A56B6A">
        <w:rPr>
          <w:rStyle w:val="CommentReference"/>
        </w:rPr>
        <w:t xml:space="preserve">Table </w:t>
      </w:r>
      <w:r w:rsidR="003B088C">
        <w:rPr>
          <w:rStyle w:val="CommentReference"/>
        </w:rPr>
        <w:t>8</w:t>
      </w:r>
      <w:r w:rsidRPr="00A56B6A">
        <w:rPr>
          <w:rStyle w:val="CommentReference"/>
        </w:rPr>
        <w:t>: Summary of model structure and rationale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2"/>
        <w:gridCol w:w="5793"/>
      </w:tblGrid>
      <w:tr w:rsidR="00A144E7" w:rsidRPr="00E2771E" w:rsidTr="005E347C">
        <w:trPr>
          <w:tblHeader/>
        </w:trPr>
        <w:tc>
          <w:tcPr>
            <w:tcW w:w="1529" w:type="pct"/>
            <w:shd w:val="clear" w:color="auto" w:fill="auto"/>
            <w:vAlign w:val="center"/>
          </w:tcPr>
          <w:p w:rsidR="00A144E7" w:rsidRPr="00E2771E" w:rsidRDefault="00A144E7" w:rsidP="00323E7A">
            <w:pPr>
              <w:widowControl/>
              <w:jc w:val="left"/>
              <w:rPr>
                <w:rFonts w:ascii="Arial Narrow" w:hAnsi="Arial Narrow"/>
                <w:b/>
                <w:sz w:val="20"/>
              </w:rPr>
            </w:pPr>
            <w:r w:rsidRPr="00E2771E">
              <w:rPr>
                <w:rFonts w:ascii="Arial Narrow" w:hAnsi="Arial Narrow"/>
                <w:b/>
                <w:sz w:val="20"/>
              </w:rPr>
              <w:t>Component</w:t>
            </w:r>
          </w:p>
        </w:tc>
        <w:tc>
          <w:tcPr>
            <w:tcW w:w="3471" w:type="pct"/>
            <w:shd w:val="clear" w:color="auto" w:fill="auto"/>
            <w:vAlign w:val="center"/>
          </w:tcPr>
          <w:p w:rsidR="00A144E7" w:rsidRPr="00E2771E" w:rsidRDefault="00A144E7" w:rsidP="00323E7A">
            <w:pPr>
              <w:widowControl/>
              <w:jc w:val="center"/>
              <w:rPr>
                <w:rFonts w:ascii="Arial Narrow" w:hAnsi="Arial Narrow"/>
                <w:b/>
                <w:sz w:val="20"/>
              </w:rPr>
            </w:pPr>
            <w:r w:rsidRPr="00E2771E">
              <w:rPr>
                <w:rFonts w:ascii="Arial Narrow" w:hAnsi="Arial Narrow"/>
                <w:b/>
                <w:sz w:val="20"/>
              </w:rPr>
              <w:t>Summary</w:t>
            </w:r>
          </w:p>
        </w:tc>
      </w:tr>
      <w:tr w:rsidR="00A144E7" w:rsidRPr="00E2771E" w:rsidTr="005E347C">
        <w:tc>
          <w:tcPr>
            <w:tcW w:w="1529" w:type="pct"/>
            <w:shd w:val="clear" w:color="auto" w:fill="auto"/>
            <w:vAlign w:val="center"/>
          </w:tcPr>
          <w:p w:rsidR="00A144E7" w:rsidRPr="00E2771E" w:rsidRDefault="00A144E7" w:rsidP="00323E7A">
            <w:pPr>
              <w:widowControl/>
              <w:jc w:val="left"/>
              <w:rPr>
                <w:rFonts w:ascii="Arial Narrow" w:hAnsi="Arial Narrow"/>
                <w:sz w:val="20"/>
              </w:rPr>
            </w:pPr>
            <w:r w:rsidRPr="00E2771E">
              <w:rPr>
                <w:rFonts w:ascii="Arial Narrow" w:hAnsi="Arial Narrow"/>
                <w:sz w:val="20"/>
              </w:rPr>
              <w:t>Time horizon</w:t>
            </w:r>
          </w:p>
        </w:tc>
        <w:tc>
          <w:tcPr>
            <w:tcW w:w="3471" w:type="pct"/>
            <w:shd w:val="clear" w:color="auto" w:fill="auto"/>
          </w:tcPr>
          <w:p w:rsidR="00A144E7" w:rsidRPr="00E2771E" w:rsidRDefault="00A144E7" w:rsidP="00323E7A">
            <w:pPr>
              <w:widowControl/>
              <w:jc w:val="left"/>
              <w:rPr>
                <w:rFonts w:ascii="Arial Narrow" w:hAnsi="Arial Narrow"/>
                <w:sz w:val="20"/>
              </w:rPr>
            </w:pPr>
            <w:r w:rsidRPr="00653D30">
              <w:rPr>
                <w:rFonts w:ascii="Arial Narrow" w:hAnsi="Arial Narrow"/>
                <w:sz w:val="20"/>
              </w:rPr>
              <w:t>10 years in the model base case versus</w:t>
            </w:r>
            <w:r>
              <w:rPr>
                <w:rFonts w:ascii="Arial Narrow" w:hAnsi="Arial Narrow"/>
                <w:sz w:val="20"/>
              </w:rPr>
              <w:t xml:space="preserve"> 16 months in CA209-066</w:t>
            </w:r>
          </w:p>
        </w:tc>
      </w:tr>
      <w:tr w:rsidR="00A144E7" w:rsidRPr="00E2771E" w:rsidTr="005E347C">
        <w:tc>
          <w:tcPr>
            <w:tcW w:w="1529" w:type="pct"/>
            <w:shd w:val="clear" w:color="auto" w:fill="auto"/>
            <w:vAlign w:val="center"/>
          </w:tcPr>
          <w:p w:rsidR="00A144E7" w:rsidRPr="00E2771E" w:rsidRDefault="00A144E7" w:rsidP="00323E7A">
            <w:pPr>
              <w:widowControl/>
              <w:jc w:val="left"/>
              <w:rPr>
                <w:rFonts w:ascii="Arial Narrow" w:hAnsi="Arial Narrow"/>
                <w:sz w:val="20"/>
              </w:rPr>
            </w:pPr>
            <w:r w:rsidRPr="00E2771E">
              <w:rPr>
                <w:rFonts w:ascii="Arial Narrow" w:hAnsi="Arial Narrow"/>
                <w:sz w:val="20"/>
              </w:rPr>
              <w:t>Outcomes</w:t>
            </w:r>
          </w:p>
        </w:tc>
        <w:tc>
          <w:tcPr>
            <w:tcW w:w="3471" w:type="pct"/>
            <w:shd w:val="clear" w:color="auto" w:fill="auto"/>
          </w:tcPr>
          <w:p w:rsidR="00A144E7" w:rsidRPr="00E2771E" w:rsidRDefault="00A144E7" w:rsidP="00323E7A">
            <w:pPr>
              <w:widowControl/>
              <w:jc w:val="left"/>
              <w:rPr>
                <w:rFonts w:ascii="Arial Narrow" w:hAnsi="Arial Narrow"/>
                <w:sz w:val="20"/>
              </w:rPr>
            </w:pPr>
            <w:r>
              <w:rPr>
                <w:rFonts w:ascii="Arial Narrow" w:hAnsi="Arial Narrow"/>
                <w:sz w:val="20"/>
              </w:rPr>
              <w:t>LY</w:t>
            </w:r>
            <w:r w:rsidR="00B02F92">
              <w:rPr>
                <w:rFonts w:ascii="Arial Narrow" w:hAnsi="Arial Narrow"/>
                <w:sz w:val="20"/>
              </w:rPr>
              <w:t>s</w:t>
            </w:r>
            <w:r>
              <w:rPr>
                <w:rFonts w:ascii="Arial Narrow" w:hAnsi="Arial Narrow"/>
                <w:sz w:val="20"/>
              </w:rPr>
              <w:t xml:space="preserve"> and QALYs</w:t>
            </w:r>
          </w:p>
        </w:tc>
      </w:tr>
      <w:tr w:rsidR="00A144E7" w:rsidRPr="00E2771E" w:rsidTr="005E347C">
        <w:tc>
          <w:tcPr>
            <w:tcW w:w="1529" w:type="pct"/>
            <w:shd w:val="clear" w:color="auto" w:fill="auto"/>
            <w:vAlign w:val="center"/>
          </w:tcPr>
          <w:p w:rsidR="00A144E7" w:rsidRPr="00E2771E" w:rsidRDefault="00A144E7" w:rsidP="00323E7A">
            <w:pPr>
              <w:widowControl/>
              <w:jc w:val="left"/>
              <w:rPr>
                <w:rFonts w:ascii="Arial Narrow" w:hAnsi="Arial Narrow"/>
                <w:sz w:val="20"/>
              </w:rPr>
            </w:pPr>
            <w:r w:rsidRPr="00E2771E">
              <w:rPr>
                <w:rFonts w:ascii="Arial Narrow" w:hAnsi="Arial Narrow"/>
                <w:sz w:val="20"/>
              </w:rPr>
              <w:t>Methods used to generate results</w:t>
            </w:r>
          </w:p>
        </w:tc>
        <w:tc>
          <w:tcPr>
            <w:tcW w:w="3471" w:type="pct"/>
            <w:shd w:val="clear" w:color="auto" w:fill="auto"/>
          </w:tcPr>
          <w:p w:rsidR="00A144E7" w:rsidRPr="00E2771E" w:rsidRDefault="00A144E7" w:rsidP="00323E7A">
            <w:pPr>
              <w:widowControl/>
              <w:jc w:val="left"/>
              <w:rPr>
                <w:rFonts w:ascii="Arial Narrow" w:hAnsi="Arial Narrow"/>
                <w:sz w:val="20"/>
              </w:rPr>
            </w:pPr>
            <w:r>
              <w:rPr>
                <w:rFonts w:ascii="Arial Narrow" w:hAnsi="Arial Narrow"/>
                <w:sz w:val="20"/>
              </w:rPr>
              <w:t>C</w:t>
            </w:r>
            <w:r w:rsidRPr="00653D30">
              <w:rPr>
                <w:rFonts w:ascii="Arial Narrow" w:hAnsi="Arial Narrow"/>
                <w:sz w:val="20"/>
              </w:rPr>
              <w:t>ohort expected value analysis</w:t>
            </w:r>
            <w:r>
              <w:rPr>
                <w:rFonts w:ascii="Arial Narrow" w:hAnsi="Arial Narrow"/>
                <w:sz w:val="20"/>
              </w:rPr>
              <w:t xml:space="preserve"> based on log-logistic survival curves extrapolated from CA209-066 data, and the hazard ratio calculated from the indirect comparison of nivolumab and ipilimumab.</w:t>
            </w:r>
          </w:p>
        </w:tc>
      </w:tr>
      <w:tr w:rsidR="00A144E7" w:rsidRPr="00E2771E" w:rsidTr="005E347C">
        <w:trPr>
          <w:trHeight w:val="233"/>
        </w:trPr>
        <w:tc>
          <w:tcPr>
            <w:tcW w:w="1529" w:type="pct"/>
            <w:shd w:val="clear" w:color="auto" w:fill="auto"/>
            <w:vAlign w:val="center"/>
          </w:tcPr>
          <w:p w:rsidR="00A144E7" w:rsidRPr="00E2771E" w:rsidRDefault="00A144E7" w:rsidP="00323E7A">
            <w:pPr>
              <w:widowControl/>
              <w:jc w:val="left"/>
              <w:rPr>
                <w:rFonts w:ascii="Arial Narrow" w:hAnsi="Arial Narrow"/>
                <w:sz w:val="20"/>
              </w:rPr>
            </w:pPr>
            <w:r w:rsidRPr="00E2771E">
              <w:rPr>
                <w:rFonts w:ascii="Arial Narrow" w:hAnsi="Arial Narrow"/>
                <w:sz w:val="20"/>
              </w:rPr>
              <w:t>Health states</w:t>
            </w:r>
          </w:p>
        </w:tc>
        <w:tc>
          <w:tcPr>
            <w:tcW w:w="3471" w:type="pct"/>
            <w:shd w:val="clear" w:color="auto" w:fill="auto"/>
            <w:vAlign w:val="center"/>
          </w:tcPr>
          <w:p w:rsidR="00A144E7" w:rsidRPr="00E2771E" w:rsidRDefault="00433516" w:rsidP="00323E7A">
            <w:pPr>
              <w:widowControl/>
              <w:jc w:val="left"/>
              <w:rPr>
                <w:rFonts w:ascii="Arial Narrow" w:hAnsi="Arial Narrow"/>
                <w:sz w:val="20"/>
              </w:rPr>
            </w:pPr>
            <w:r>
              <w:rPr>
                <w:rFonts w:ascii="Arial Narrow" w:hAnsi="Arial Narrow"/>
                <w:sz w:val="20"/>
              </w:rPr>
              <w:t>Non-p</w:t>
            </w:r>
            <w:r w:rsidR="00A144E7">
              <w:rPr>
                <w:rFonts w:ascii="Arial Narrow" w:hAnsi="Arial Narrow"/>
                <w:sz w:val="20"/>
              </w:rPr>
              <w:t>rogressi</w:t>
            </w:r>
            <w:r>
              <w:rPr>
                <w:rFonts w:ascii="Arial Narrow" w:hAnsi="Arial Narrow"/>
                <w:sz w:val="20"/>
              </w:rPr>
              <w:t>ve disease</w:t>
            </w:r>
            <w:r w:rsidR="00A144E7">
              <w:rPr>
                <w:rFonts w:ascii="Arial Narrow" w:hAnsi="Arial Narrow"/>
                <w:sz w:val="20"/>
              </w:rPr>
              <w:t xml:space="preserve">, </w:t>
            </w:r>
            <w:r>
              <w:rPr>
                <w:rFonts w:ascii="Arial Narrow" w:hAnsi="Arial Narrow"/>
                <w:sz w:val="20"/>
              </w:rPr>
              <w:t>progressive disease</w:t>
            </w:r>
            <w:r w:rsidR="00A144E7">
              <w:rPr>
                <w:rFonts w:ascii="Arial Narrow" w:hAnsi="Arial Narrow"/>
                <w:sz w:val="20"/>
              </w:rPr>
              <w:t xml:space="preserve"> and death.</w:t>
            </w:r>
          </w:p>
        </w:tc>
      </w:tr>
      <w:tr w:rsidR="00A144E7" w:rsidRPr="00E2771E" w:rsidTr="005E347C">
        <w:trPr>
          <w:trHeight w:val="440"/>
        </w:trPr>
        <w:tc>
          <w:tcPr>
            <w:tcW w:w="1529" w:type="pct"/>
            <w:shd w:val="clear" w:color="auto" w:fill="auto"/>
            <w:vAlign w:val="center"/>
          </w:tcPr>
          <w:p w:rsidR="00A144E7" w:rsidRPr="00E2771E" w:rsidRDefault="00A144E7" w:rsidP="00323E7A">
            <w:pPr>
              <w:widowControl/>
              <w:jc w:val="left"/>
              <w:rPr>
                <w:rFonts w:ascii="Arial Narrow" w:hAnsi="Arial Narrow"/>
                <w:sz w:val="20"/>
              </w:rPr>
            </w:pPr>
            <w:r w:rsidRPr="00E2771E">
              <w:rPr>
                <w:rFonts w:ascii="Arial Narrow" w:hAnsi="Arial Narrow"/>
                <w:sz w:val="20"/>
              </w:rPr>
              <w:t>Cycle length</w:t>
            </w:r>
          </w:p>
        </w:tc>
        <w:tc>
          <w:tcPr>
            <w:tcW w:w="3471" w:type="pct"/>
            <w:shd w:val="clear" w:color="auto" w:fill="auto"/>
          </w:tcPr>
          <w:p w:rsidR="00A144E7" w:rsidRPr="00E2771E" w:rsidRDefault="00A144E7" w:rsidP="00323E7A">
            <w:pPr>
              <w:widowControl/>
              <w:jc w:val="left"/>
              <w:rPr>
                <w:rFonts w:ascii="Arial Narrow" w:hAnsi="Arial Narrow"/>
                <w:sz w:val="20"/>
              </w:rPr>
            </w:pPr>
            <w:r>
              <w:rPr>
                <w:rFonts w:ascii="Arial Narrow" w:hAnsi="Arial Narrow"/>
                <w:sz w:val="20"/>
              </w:rPr>
              <w:t>9 weeks for the first cycle, and 12 weeks for subsequent weeks. Half cycle correction applied</w:t>
            </w:r>
            <w:r w:rsidR="00B02F92">
              <w:rPr>
                <w:rFonts w:ascii="Arial Narrow" w:hAnsi="Arial Narrow"/>
                <w:sz w:val="20"/>
              </w:rPr>
              <w:t>.</w:t>
            </w:r>
          </w:p>
        </w:tc>
      </w:tr>
      <w:tr w:rsidR="00A144E7" w:rsidRPr="00E2771E" w:rsidTr="005E347C">
        <w:tc>
          <w:tcPr>
            <w:tcW w:w="1529" w:type="pct"/>
            <w:shd w:val="clear" w:color="auto" w:fill="auto"/>
            <w:vAlign w:val="center"/>
          </w:tcPr>
          <w:p w:rsidR="00A144E7" w:rsidRPr="00E2771E" w:rsidRDefault="00A144E7" w:rsidP="00323E7A">
            <w:pPr>
              <w:widowControl/>
              <w:jc w:val="left"/>
              <w:rPr>
                <w:rFonts w:ascii="Arial Narrow" w:hAnsi="Arial Narrow"/>
                <w:sz w:val="20"/>
              </w:rPr>
            </w:pPr>
            <w:r w:rsidRPr="00E2771E">
              <w:rPr>
                <w:rFonts w:ascii="Arial Narrow" w:hAnsi="Arial Narrow"/>
                <w:sz w:val="20"/>
              </w:rPr>
              <w:t>Transition probabilities</w:t>
            </w:r>
          </w:p>
        </w:tc>
        <w:tc>
          <w:tcPr>
            <w:tcW w:w="3471" w:type="pct"/>
            <w:shd w:val="clear" w:color="auto" w:fill="auto"/>
          </w:tcPr>
          <w:p w:rsidR="00A144E7" w:rsidRPr="00E2771E" w:rsidRDefault="00A144E7" w:rsidP="00323E7A">
            <w:pPr>
              <w:widowControl/>
              <w:jc w:val="left"/>
              <w:rPr>
                <w:rFonts w:ascii="Arial Narrow" w:hAnsi="Arial Narrow"/>
                <w:sz w:val="20"/>
              </w:rPr>
            </w:pPr>
            <w:r>
              <w:rPr>
                <w:rFonts w:ascii="Arial Narrow" w:hAnsi="Arial Narrow"/>
                <w:sz w:val="20"/>
              </w:rPr>
              <w:t>Nivolumab transition</w:t>
            </w:r>
            <w:r w:rsidR="004F042E">
              <w:rPr>
                <w:rFonts w:ascii="Arial Narrow" w:hAnsi="Arial Narrow"/>
                <w:sz w:val="20"/>
              </w:rPr>
              <w:t xml:space="preserve"> probabilities derived from log-</w:t>
            </w:r>
            <w:r>
              <w:rPr>
                <w:rFonts w:ascii="Arial Narrow" w:hAnsi="Arial Narrow"/>
                <w:sz w:val="20"/>
              </w:rPr>
              <w:t xml:space="preserve">logistic extrapolation of CA209-066 data. Ipilimumab transition probabilities were calculated by applying </w:t>
            </w:r>
            <w:r w:rsidR="00FB78A6">
              <w:rPr>
                <w:rFonts w:ascii="Arial Narrow" w:hAnsi="Arial Narrow"/>
                <w:sz w:val="20"/>
              </w:rPr>
              <w:t>hazard ratio</w:t>
            </w:r>
            <w:r>
              <w:rPr>
                <w:rFonts w:ascii="Arial Narrow" w:hAnsi="Arial Narrow"/>
                <w:sz w:val="20"/>
              </w:rPr>
              <w:t>s from the indirect nivolumab-ipilimumab comparison to nivolumab transition probabilities</w:t>
            </w:r>
            <w:r w:rsidR="00B02F92">
              <w:rPr>
                <w:rFonts w:ascii="Arial Narrow" w:hAnsi="Arial Narrow"/>
                <w:sz w:val="20"/>
              </w:rPr>
              <w:t>.</w:t>
            </w:r>
          </w:p>
        </w:tc>
      </w:tr>
    </w:tbl>
    <w:p w:rsidR="00A144E7" w:rsidRPr="00275C5A" w:rsidRDefault="00A144E7" w:rsidP="00323E7A">
      <w:pPr>
        <w:pStyle w:val="TableFooter"/>
        <w:widowControl/>
        <w:ind w:firstLine="720"/>
      </w:pPr>
      <w:r w:rsidRPr="00275C5A">
        <w:t>Source: compiled during the evaluation</w:t>
      </w:r>
      <w:r w:rsidR="00F55FEC">
        <w:t>. LY</w:t>
      </w:r>
      <w:r w:rsidR="00B02F92">
        <w:t>s</w:t>
      </w:r>
      <w:r w:rsidR="00F55FEC">
        <w:t>=life</w:t>
      </w:r>
      <w:r w:rsidR="00FB78A6">
        <w:t>-</w:t>
      </w:r>
      <w:r w:rsidR="00F55FEC">
        <w:t>years; QALYs=</w:t>
      </w:r>
      <w:r w:rsidR="00FB78A6">
        <w:t>quality-adjusted life-</w:t>
      </w:r>
      <w:r>
        <w:t>years.</w:t>
      </w:r>
    </w:p>
    <w:p w:rsidR="00275C5A" w:rsidRPr="004A053A" w:rsidRDefault="00275C5A" w:rsidP="00323E7A">
      <w:pPr>
        <w:widowControl/>
        <w:rPr>
          <w:szCs w:val="22"/>
        </w:rPr>
      </w:pPr>
    </w:p>
    <w:p w:rsidR="00E9215F" w:rsidRPr="004A053A" w:rsidRDefault="00E76D97" w:rsidP="00323E7A">
      <w:pPr>
        <w:pStyle w:val="ListParagraph"/>
        <w:widowControl/>
        <w:numPr>
          <w:ilvl w:val="1"/>
          <w:numId w:val="23"/>
        </w:numPr>
        <w:ind w:left="709" w:hanging="709"/>
      </w:pPr>
      <w:r w:rsidRPr="004A053A">
        <w:t>T</w:t>
      </w:r>
      <w:r w:rsidR="00793B44" w:rsidRPr="004A053A">
        <w:t xml:space="preserve">he difference between the utilities in the </w:t>
      </w:r>
      <w:r w:rsidR="00433516" w:rsidRPr="004A053A">
        <w:t>non-progressive</w:t>
      </w:r>
      <w:r w:rsidR="00793B44" w:rsidRPr="004A053A">
        <w:t xml:space="preserve"> </w:t>
      </w:r>
      <w:r w:rsidR="00433516" w:rsidRPr="004A053A">
        <w:t xml:space="preserve">disease </w:t>
      </w:r>
      <w:r w:rsidR="00793B44" w:rsidRPr="004A053A">
        <w:t>and progressi</w:t>
      </w:r>
      <w:r w:rsidR="00433516" w:rsidRPr="004A053A">
        <w:t>ve disease</w:t>
      </w:r>
      <w:r w:rsidR="00793B44" w:rsidRPr="004A053A">
        <w:t xml:space="preserve"> health states i</w:t>
      </w:r>
      <w:r w:rsidRPr="004A053A">
        <w:t>n the model wa</w:t>
      </w:r>
      <w:r w:rsidR="00793B44" w:rsidRPr="004A053A">
        <w:t xml:space="preserve">s small, however the difference </w:t>
      </w:r>
      <w:r w:rsidR="0063523C" w:rsidRPr="004A053A">
        <w:t xml:space="preserve">in disease costs between the two health states </w:t>
      </w:r>
      <w:r w:rsidRPr="004A053A">
        <w:t>wa</w:t>
      </w:r>
      <w:r w:rsidR="0063523C" w:rsidRPr="004A053A">
        <w:t>s large</w:t>
      </w:r>
      <w:r w:rsidR="00F50E86" w:rsidRPr="004A053A">
        <w:t xml:space="preserve">, </w:t>
      </w:r>
      <w:r w:rsidR="004358EC" w:rsidRPr="004A053A">
        <w:t>therefore</w:t>
      </w:r>
      <w:r w:rsidR="00F50E86" w:rsidRPr="004A053A">
        <w:t xml:space="preserve"> the ICER </w:t>
      </w:r>
      <w:r w:rsidRPr="004A053A">
        <w:t>wa</w:t>
      </w:r>
      <w:r w:rsidR="00F50E86" w:rsidRPr="004A053A">
        <w:t>s driven by survival differences.</w:t>
      </w:r>
      <w:r w:rsidR="00F22690" w:rsidRPr="004A053A">
        <w:t xml:space="preserve"> </w:t>
      </w:r>
      <w:r w:rsidR="00B54C91" w:rsidRPr="004A053A">
        <w:t xml:space="preserve"> </w:t>
      </w:r>
      <w:r w:rsidR="001D5B58" w:rsidRPr="004A053A">
        <w:t>T</w:t>
      </w:r>
      <w:r w:rsidR="00B54C91" w:rsidRPr="004A053A">
        <w:t xml:space="preserve">o examine how </w:t>
      </w:r>
      <w:r w:rsidR="00E9215F" w:rsidRPr="004A053A">
        <w:t xml:space="preserve">the survival differences drive the model, </w:t>
      </w:r>
      <w:r w:rsidR="001D5B58" w:rsidRPr="004A053A">
        <w:t xml:space="preserve">the model was tested by </w:t>
      </w:r>
      <w:r w:rsidR="00883C01" w:rsidRPr="004A053A">
        <w:t xml:space="preserve">increasing </w:t>
      </w:r>
      <w:r w:rsidR="00E9215F" w:rsidRPr="004A053A">
        <w:t xml:space="preserve">the OS hazard ratio </w:t>
      </w:r>
      <w:r w:rsidR="007B33DC" w:rsidRPr="004A053A">
        <w:t xml:space="preserve">of </w:t>
      </w:r>
      <w:r w:rsidR="00E9215F" w:rsidRPr="004A053A">
        <w:t xml:space="preserve">0.636 </w:t>
      </w:r>
      <w:r w:rsidR="00883C01" w:rsidRPr="004A053A">
        <w:t xml:space="preserve">in the base case </w:t>
      </w:r>
      <w:r w:rsidR="00E9215F" w:rsidRPr="004A053A">
        <w:t>to 0.986</w:t>
      </w:r>
      <w:r w:rsidR="00883C01" w:rsidRPr="004A053A">
        <w:t xml:space="preserve"> (the upper 95% confidence limit which corresponds to almost no OS effect)</w:t>
      </w:r>
      <w:r w:rsidR="001D5B58" w:rsidRPr="004A053A">
        <w:t>;</w:t>
      </w:r>
      <w:r w:rsidR="00E9215F" w:rsidRPr="004A053A">
        <w:t xml:space="preserve"> </w:t>
      </w:r>
      <w:r w:rsidR="001D5B58" w:rsidRPr="004A053A">
        <w:t xml:space="preserve">this </w:t>
      </w:r>
      <w:r w:rsidR="00E9215F" w:rsidRPr="004A053A">
        <w:t>counter-intuitively only increased t</w:t>
      </w:r>
      <w:r w:rsidR="00F50E86" w:rsidRPr="004A053A">
        <w:t>he ICER</w:t>
      </w:r>
      <w:r w:rsidR="00E9215F" w:rsidRPr="004A053A">
        <w:t>/QALY</w:t>
      </w:r>
      <w:r w:rsidR="00F50E86" w:rsidRPr="004A053A">
        <w:t xml:space="preserve"> from $</w:t>
      </w:r>
      <w:r w:rsidR="00323E7A">
        <w:t>45,000 - 75,000</w:t>
      </w:r>
      <w:r w:rsidR="00F50E86" w:rsidRPr="004A053A">
        <w:t xml:space="preserve"> to $</w:t>
      </w:r>
      <w:r w:rsidR="00323E7A">
        <w:t>45,000 - 75,000</w:t>
      </w:r>
      <w:r w:rsidR="00F50E86" w:rsidRPr="004A053A">
        <w:t xml:space="preserve">. </w:t>
      </w:r>
      <w:r w:rsidR="00B54C91" w:rsidRPr="004A053A">
        <w:t xml:space="preserve"> </w:t>
      </w:r>
      <w:r w:rsidR="003D4255" w:rsidRPr="004A053A">
        <w:t>Th</w:t>
      </w:r>
      <w:r w:rsidR="00E9215F" w:rsidRPr="004A053A">
        <w:t>e reason for th</w:t>
      </w:r>
      <w:r w:rsidR="003D4255" w:rsidRPr="004A053A">
        <w:t xml:space="preserve">is </w:t>
      </w:r>
      <w:r w:rsidR="00E9215F" w:rsidRPr="004A053A">
        <w:t>wa</w:t>
      </w:r>
      <w:r w:rsidR="003D4255" w:rsidRPr="004A053A">
        <w:t xml:space="preserve">s </w:t>
      </w:r>
      <w:r w:rsidR="00E9215F" w:rsidRPr="004A053A">
        <w:t>not clear</w:t>
      </w:r>
      <w:r w:rsidR="00883C01" w:rsidRPr="004A053A">
        <w:t>, and likely relate</w:t>
      </w:r>
      <w:r w:rsidR="007B33DC" w:rsidRPr="004A053A">
        <w:t>d</w:t>
      </w:r>
      <w:r w:rsidR="00883C01" w:rsidRPr="004A053A">
        <w:t xml:space="preserve"> to structural issues with the model</w:t>
      </w:r>
      <w:r w:rsidR="00E9215F" w:rsidRPr="004A053A">
        <w:t>, but it appear</w:t>
      </w:r>
      <w:r w:rsidR="001D5B58" w:rsidRPr="004A053A">
        <w:t xml:space="preserve">ed that there may be </w:t>
      </w:r>
      <w:r w:rsidR="00E9215F" w:rsidRPr="004A053A">
        <w:t xml:space="preserve">double-counting </w:t>
      </w:r>
      <w:r w:rsidR="001D5B58" w:rsidRPr="004A053A">
        <w:t xml:space="preserve">of </w:t>
      </w:r>
      <w:r w:rsidR="003D4255" w:rsidRPr="004A053A">
        <w:t>the treatment effect</w:t>
      </w:r>
      <w:r w:rsidR="001D5B58" w:rsidRPr="004A053A">
        <w:t xml:space="preserve"> built into the way the transition probabilities in the model were constructed</w:t>
      </w:r>
      <w:r w:rsidR="003D4255" w:rsidRPr="004A053A">
        <w:t xml:space="preserve">. </w:t>
      </w:r>
      <w:r w:rsidR="00D13B16" w:rsidRPr="004A053A">
        <w:t xml:space="preserve"> Even i</w:t>
      </w:r>
      <w:r w:rsidR="00E9215F" w:rsidRPr="004A053A">
        <w:t xml:space="preserve">f double-counting </w:t>
      </w:r>
      <w:r w:rsidR="007B33DC" w:rsidRPr="004A053A">
        <w:t>did not occur</w:t>
      </w:r>
      <w:r w:rsidR="00E9215F" w:rsidRPr="004A053A">
        <w:t>, th</w:t>
      </w:r>
      <w:r w:rsidR="00883C01" w:rsidRPr="004A053A">
        <w:t>is counter-intuitive</w:t>
      </w:r>
      <w:r w:rsidR="00E9215F" w:rsidRPr="004A053A">
        <w:t xml:space="preserve"> anomaly would still be of concern because the </w:t>
      </w:r>
      <w:r w:rsidR="00E9215F" w:rsidRPr="004A053A">
        <w:rPr>
          <w:szCs w:val="22"/>
        </w:rPr>
        <w:t>unnecessarily complex approach taken to modelling the transitions across the usual three health state structure of a model in metastatic cancer</w:t>
      </w:r>
      <w:r w:rsidR="00E9215F" w:rsidRPr="004A053A">
        <w:t xml:space="preserve"> prevented the generation of a satisfactory alternative explanation.</w:t>
      </w:r>
    </w:p>
    <w:p w:rsidR="00711630" w:rsidRPr="004A053A" w:rsidRDefault="00711630" w:rsidP="00323E7A">
      <w:pPr>
        <w:widowControl/>
      </w:pPr>
    </w:p>
    <w:p w:rsidR="00711630" w:rsidRPr="004A053A" w:rsidRDefault="00711630" w:rsidP="00323E7A">
      <w:pPr>
        <w:pStyle w:val="ListParagraph"/>
        <w:widowControl/>
        <w:numPr>
          <w:ilvl w:val="1"/>
          <w:numId w:val="23"/>
        </w:numPr>
        <w:ind w:left="709" w:hanging="709"/>
      </w:pPr>
      <w:r w:rsidRPr="004A053A">
        <w:t xml:space="preserve">The model split OS into “pre-progression OS” and “post-progression OS”.  No explanation or justification was provided for this split.  The model combined these two facets of OS although there appeared to be resultant inconsistencies within the model.  For example, the probabilities of death and PFS exceed 1.0.  This was corrected in the submission by down-adjusting the probability of death.  However, even though this down-adjustment was made, the model produced more deaths </w:t>
      </w:r>
      <w:r w:rsidR="00433516" w:rsidRPr="004A053A">
        <w:t xml:space="preserve">for </w:t>
      </w:r>
      <w:r w:rsidRPr="004A053A">
        <w:t>ipilimumab</w:t>
      </w:r>
      <w:r w:rsidR="00433516" w:rsidRPr="004A053A">
        <w:t>-treated patients</w:t>
      </w:r>
      <w:r w:rsidRPr="004A053A">
        <w:t xml:space="preserve"> when the hazard ratio for OS was set to 1.0 (and thus there should be no incremental life-years gained, and the number of deaths should be equal between nivolumab and ipilimumab).  It appeared that the combination of the extrapolations for pre- and post-progression</w:t>
      </w:r>
      <w:r w:rsidR="00323E7A">
        <w:t xml:space="preserve"> of OS resulted in this counter</w:t>
      </w:r>
      <w:r w:rsidR="00323E7A">
        <w:noBreakHyphen/>
      </w:r>
      <w:r w:rsidRPr="004A053A">
        <w:t>intuitive outcome.  It thus appeared that the splitting of the area under the OS curves biased the model in favour of nivolumab.</w:t>
      </w:r>
    </w:p>
    <w:p w:rsidR="00E9215F" w:rsidRPr="004A053A" w:rsidRDefault="00E9215F" w:rsidP="00323E7A">
      <w:pPr>
        <w:widowControl/>
      </w:pPr>
    </w:p>
    <w:p w:rsidR="00F50E86" w:rsidRPr="004A053A" w:rsidRDefault="003D4255" w:rsidP="00323E7A">
      <w:pPr>
        <w:pStyle w:val="ListParagraph"/>
        <w:widowControl/>
        <w:numPr>
          <w:ilvl w:val="1"/>
          <w:numId w:val="23"/>
        </w:numPr>
        <w:ind w:left="709" w:hanging="709"/>
      </w:pPr>
      <w:r w:rsidRPr="004A053A">
        <w:t>The curves in the figure below inform</w:t>
      </w:r>
      <w:r w:rsidR="00E9215F" w:rsidRPr="004A053A">
        <w:t>ed</w:t>
      </w:r>
      <w:r w:rsidRPr="004A053A">
        <w:t xml:space="preserve"> the baseline transition probabilities, to which the OS hazard ratio </w:t>
      </w:r>
      <w:r w:rsidR="00E9215F" w:rsidRPr="004A053A">
        <w:t>wa</w:t>
      </w:r>
      <w:r w:rsidRPr="004A053A">
        <w:t xml:space="preserve">s applied to transition probabilities extracted from </w:t>
      </w:r>
      <w:r w:rsidR="00427F0E" w:rsidRPr="004A053A">
        <w:t>b</w:t>
      </w:r>
      <w:r w:rsidRPr="004A053A">
        <w:t>ot</w:t>
      </w:r>
      <w:r w:rsidR="00EC07B7" w:rsidRPr="004A053A">
        <w:t>h of the OS curves -</w:t>
      </w:r>
      <w:r w:rsidRPr="004A053A">
        <w:t xml:space="preserve"> </w:t>
      </w:r>
      <w:r w:rsidR="00EC07B7" w:rsidRPr="004A053A">
        <w:t xml:space="preserve">the </w:t>
      </w:r>
      <w:r w:rsidR="00E9215F" w:rsidRPr="004A053A">
        <w:t>“</w:t>
      </w:r>
      <w:r w:rsidR="00EC07B7" w:rsidRPr="004A053A">
        <w:t>pre-progression</w:t>
      </w:r>
      <w:r w:rsidR="00E9215F" w:rsidRPr="004A053A">
        <w:t>”</w:t>
      </w:r>
      <w:r w:rsidR="00EC07B7" w:rsidRPr="004A053A">
        <w:t xml:space="preserve"> and </w:t>
      </w:r>
      <w:r w:rsidR="00E9215F" w:rsidRPr="004A053A">
        <w:t>“</w:t>
      </w:r>
      <w:r w:rsidR="00EC07B7" w:rsidRPr="004A053A">
        <w:t>post-progression</w:t>
      </w:r>
      <w:r w:rsidR="00E9215F" w:rsidRPr="004A053A">
        <w:t>”</w:t>
      </w:r>
      <w:r w:rsidRPr="004A053A">
        <w:t xml:space="preserve"> transition probabilities to </w:t>
      </w:r>
      <w:r w:rsidR="00E9215F" w:rsidRPr="004A053A">
        <w:t>“</w:t>
      </w:r>
      <w:r w:rsidRPr="004A053A">
        <w:t>dead</w:t>
      </w:r>
      <w:r w:rsidR="00E9215F" w:rsidRPr="004A053A">
        <w:t>”</w:t>
      </w:r>
      <w:r w:rsidRPr="004A053A">
        <w:t xml:space="preserve"> – and a PFS hazard ratio </w:t>
      </w:r>
      <w:r w:rsidR="00E9215F" w:rsidRPr="004A053A">
        <w:t>wa</w:t>
      </w:r>
      <w:r w:rsidRPr="004A053A">
        <w:t xml:space="preserve">s applied to the PFS transition probabilities from </w:t>
      </w:r>
      <w:r w:rsidR="00E9215F" w:rsidRPr="004A053A">
        <w:lastRenderedPageBreak/>
        <w:t>“</w:t>
      </w:r>
      <w:r w:rsidRPr="004A053A">
        <w:t>progression-free</w:t>
      </w:r>
      <w:r w:rsidR="00E9215F" w:rsidRPr="004A053A">
        <w:t>”</w:t>
      </w:r>
      <w:r w:rsidRPr="004A053A">
        <w:t xml:space="preserve"> to </w:t>
      </w:r>
      <w:r w:rsidR="00E9215F" w:rsidRPr="004A053A">
        <w:t>“</w:t>
      </w:r>
      <w:r w:rsidRPr="004A053A">
        <w:t>progression</w:t>
      </w:r>
      <w:r w:rsidR="00E9215F" w:rsidRPr="004A053A">
        <w:t>”</w:t>
      </w:r>
      <w:r w:rsidRPr="004A053A">
        <w:t xml:space="preserve">. </w:t>
      </w:r>
      <w:r w:rsidR="00E9215F" w:rsidRPr="004A053A">
        <w:t xml:space="preserve"> </w:t>
      </w:r>
      <w:r w:rsidR="009A05EA" w:rsidRPr="004A053A">
        <w:t xml:space="preserve">This </w:t>
      </w:r>
      <w:r w:rsidR="00E9215F" w:rsidRPr="004A053A">
        <w:t xml:space="preserve">suggested </w:t>
      </w:r>
      <w:r w:rsidR="009A05EA" w:rsidRPr="004A053A">
        <w:t>that</w:t>
      </w:r>
      <w:r w:rsidRPr="004A053A">
        <w:t xml:space="preserve"> survival gains </w:t>
      </w:r>
      <w:r w:rsidR="00E9215F" w:rsidRPr="004A053A">
        <w:t>we</w:t>
      </w:r>
      <w:r w:rsidRPr="004A053A">
        <w:t xml:space="preserve">re driven by </w:t>
      </w:r>
      <w:r w:rsidR="00E9215F" w:rsidRPr="004A053A">
        <w:t xml:space="preserve">both </w:t>
      </w:r>
      <w:r w:rsidRPr="004A053A">
        <w:t>increased PFS and OS.</w:t>
      </w:r>
    </w:p>
    <w:p w:rsidR="003D4255" w:rsidRPr="00283A78" w:rsidRDefault="003D4255" w:rsidP="00323E7A">
      <w:pPr>
        <w:widowControl/>
      </w:pPr>
    </w:p>
    <w:p w:rsidR="001E5966" w:rsidRPr="002E345B" w:rsidRDefault="003B088C" w:rsidP="00323E7A">
      <w:pPr>
        <w:pStyle w:val="ListParagraph"/>
        <w:keepNext/>
        <w:widowControl/>
        <w:ind w:left="709"/>
        <w:jc w:val="left"/>
        <w:rPr>
          <w:rFonts w:ascii="Arial Narrow" w:hAnsi="Arial Narrow"/>
          <w:b/>
          <w:sz w:val="20"/>
        </w:rPr>
      </w:pPr>
      <w:r w:rsidRPr="002E345B">
        <w:rPr>
          <w:rFonts w:ascii="Arial Narrow" w:hAnsi="Arial Narrow"/>
          <w:b/>
          <w:sz w:val="20"/>
        </w:rPr>
        <w:t xml:space="preserve">Figure 3: </w:t>
      </w:r>
      <w:r w:rsidR="001E5966" w:rsidRPr="002E345B">
        <w:rPr>
          <w:rFonts w:ascii="Arial Narrow" w:hAnsi="Arial Narrow"/>
          <w:b/>
          <w:sz w:val="20"/>
        </w:rPr>
        <w:t>Nivolumab transition probabilities derived from log-logistic extrapolation of CA209-066 data</w:t>
      </w:r>
    </w:p>
    <w:p w:rsidR="003D4255" w:rsidRPr="000276FD" w:rsidRDefault="002E345B" w:rsidP="00323E7A">
      <w:pPr>
        <w:pStyle w:val="ListParagraph"/>
        <w:widowControl/>
        <w:ind w:left="709"/>
        <w:rPr>
          <w:highlight w:val="darkGray"/>
        </w:rPr>
      </w:pPr>
      <w:r>
        <w:rPr>
          <w:noProof/>
          <w:snapToGrid/>
          <w:lang w:eastAsia="en-AU"/>
        </w:rPr>
        <w:drawing>
          <wp:inline distT="0" distB="0" distL="0" distR="0">
            <wp:extent cx="5339715" cy="2967355"/>
            <wp:effectExtent l="0" t="0" r="0" b="4445"/>
            <wp:docPr id="2" name="Picture 2" title="Nivolumab transition probabilities derived from log-logistic extrapolation of CA209-066 dat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339715" cy="2967355"/>
                    </a:xfrm>
                    <a:prstGeom prst="rect">
                      <a:avLst/>
                    </a:prstGeom>
                  </pic:spPr>
                </pic:pic>
              </a:graphicData>
            </a:graphic>
          </wp:inline>
        </w:drawing>
      </w:r>
    </w:p>
    <w:p w:rsidR="002E345B" w:rsidRPr="002E345B" w:rsidRDefault="0063523C" w:rsidP="002E345B">
      <w:pPr>
        <w:pStyle w:val="ListParagraph"/>
        <w:widowControl/>
        <w:rPr>
          <w:rFonts w:ascii="Arial Narrow" w:hAnsi="Arial Narrow"/>
          <w:sz w:val="20"/>
        </w:rPr>
      </w:pPr>
      <w:r w:rsidRPr="002E345B">
        <w:rPr>
          <w:rFonts w:ascii="Arial Narrow" w:hAnsi="Arial Narrow"/>
          <w:sz w:val="20"/>
        </w:rPr>
        <w:t>Source: Appendix B, Section D of the submission</w:t>
      </w:r>
    </w:p>
    <w:p w:rsidR="0063523C" w:rsidRPr="004A053A" w:rsidRDefault="0063523C" w:rsidP="00323E7A">
      <w:pPr>
        <w:widowControl/>
      </w:pPr>
    </w:p>
    <w:p w:rsidR="00C12FA8" w:rsidRPr="004A053A" w:rsidRDefault="00C12FA8" w:rsidP="00323E7A">
      <w:pPr>
        <w:pStyle w:val="ListParagraph"/>
        <w:widowControl/>
        <w:numPr>
          <w:ilvl w:val="1"/>
          <w:numId w:val="23"/>
        </w:numPr>
        <w:ind w:left="709" w:hanging="709"/>
      </w:pPr>
      <w:r w:rsidRPr="004A053A">
        <w:t xml:space="preserve">Mortality from the </w:t>
      </w:r>
      <w:r w:rsidR="00E9215F" w:rsidRPr="004A053A">
        <w:t>“</w:t>
      </w:r>
      <w:r w:rsidR="00860340" w:rsidRPr="004A053A">
        <w:t>non-progressive disease</w:t>
      </w:r>
      <w:r w:rsidR="00E9215F" w:rsidRPr="004A053A">
        <w:t>”</w:t>
      </w:r>
      <w:r w:rsidRPr="004A053A">
        <w:t xml:space="preserve"> state also </w:t>
      </w:r>
      <w:r w:rsidR="00E9215F" w:rsidRPr="004A053A">
        <w:t xml:space="preserve">appeared to be </w:t>
      </w:r>
      <w:r w:rsidRPr="004A053A">
        <w:t xml:space="preserve">double counted: separate transition probabilities to the </w:t>
      </w:r>
      <w:r w:rsidR="00E9215F" w:rsidRPr="004A053A">
        <w:t>“</w:t>
      </w:r>
      <w:r w:rsidR="00860340" w:rsidRPr="004A053A">
        <w:t>progressive disease</w:t>
      </w:r>
      <w:r w:rsidR="00E9215F" w:rsidRPr="004A053A">
        <w:t>”</w:t>
      </w:r>
      <w:r w:rsidRPr="004A053A">
        <w:t xml:space="preserve"> and </w:t>
      </w:r>
      <w:r w:rsidR="00E9215F" w:rsidRPr="004A053A">
        <w:t>“</w:t>
      </w:r>
      <w:r w:rsidRPr="004A053A">
        <w:t>dead</w:t>
      </w:r>
      <w:r w:rsidR="00E9215F" w:rsidRPr="004A053A">
        <w:t>”</w:t>
      </w:r>
      <w:r w:rsidRPr="004A053A">
        <w:t xml:space="preserve"> states </w:t>
      </w:r>
      <w:r w:rsidR="00E9215F" w:rsidRPr="004A053A">
        <w:t>we</w:t>
      </w:r>
      <w:r w:rsidRPr="004A053A">
        <w:t>re extracted from the fitted PFS and OS curves, respectively.</w:t>
      </w:r>
    </w:p>
    <w:p w:rsidR="000C1401" w:rsidRPr="004A053A" w:rsidRDefault="000C1401" w:rsidP="00323E7A">
      <w:pPr>
        <w:widowControl/>
      </w:pPr>
    </w:p>
    <w:p w:rsidR="000C1401" w:rsidRPr="004A053A" w:rsidRDefault="000C1401" w:rsidP="00323E7A">
      <w:pPr>
        <w:pStyle w:val="ListParagraph"/>
        <w:widowControl/>
        <w:numPr>
          <w:ilvl w:val="1"/>
          <w:numId w:val="23"/>
        </w:numPr>
        <w:ind w:left="709" w:hanging="709"/>
      </w:pPr>
      <w:r w:rsidRPr="004A053A">
        <w:t>The ESC concern was due to the fact that, in the same model:</w:t>
      </w:r>
    </w:p>
    <w:p w:rsidR="000C1401" w:rsidRPr="004A053A" w:rsidRDefault="000C1401" w:rsidP="00323E7A">
      <w:pPr>
        <w:pStyle w:val="ListParagraph"/>
        <w:widowControl/>
        <w:numPr>
          <w:ilvl w:val="0"/>
          <w:numId w:val="4"/>
        </w:numPr>
        <w:ind w:left="993" w:hanging="284"/>
      </w:pPr>
      <w:r w:rsidRPr="004A053A">
        <w:t>a progression-free survival hazard ratio was applied to PFS;</w:t>
      </w:r>
    </w:p>
    <w:p w:rsidR="000C1401" w:rsidRPr="004A053A" w:rsidRDefault="000C1401" w:rsidP="00323E7A">
      <w:pPr>
        <w:pStyle w:val="ListParagraph"/>
        <w:widowControl/>
        <w:numPr>
          <w:ilvl w:val="0"/>
          <w:numId w:val="4"/>
        </w:numPr>
        <w:ind w:left="993" w:hanging="284"/>
      </w:pPr>
      <w:r w:rsidRPr="004A053A">
        <w:rPr>
          <w:szCs w:val="22"/>
        </w:rPr>
        <w:t>a hazard ratio</w:t>
      </w:r>
      <w:r w:rsidRPr="004A053A">
        <w:t xml:space="preserve"> for aggregate OS was applied to pre-progression OS; and</w:t>
      </w:r>
    </w:p>
    <w:p w:rsidR="000C1401" w:rsidRPr="004A053A" w:rsidRDefault="000C1401" w:rsidP="00323E7A">
      <w:pPr>
        <w:pStyle w:val="ListParagraph"/>
        <w:widowControl/>
        <w:numPr>
          <w:ilvl w:val="0"/>
          <w:numId w:val="4"/>
        </w:numPr>
        <w:ind w:left="993" w:hanging="284"/>
      </w:pPr>
      <w:r w:rsidRPr="004A053A">
        <w:rPr>
          <w:szCs w:val="22"/>
        </w:rPr>
        <w:t xml:space="preserve">a hazard ratio </w:t>
      </w:r>
      <w:r w:rsidRPr="004A053A">
        <w:t>for aggregate OS was applied to post-progression OS.</w:t>
      </w:r>
    </w:p>
    <w:p w:rsidR="000C1401" w:rsidRPr="004A053A" w:rsidRDefault="000C1401" w:rsidP="00323E7A">
      <w:pPr>
        <w:widowControl/>
      </w:pPr>
    </w:p>
    <w:p w:rsidR="00C12FA8" w:rsidRPr="004A053A" w:rsidRDefault="000C1401" w:rsidP="00323E7A">
      <w:pPr>
        <w:pStyle w:val="ListParagraph"/>
        <w:widowControl/>
        <w:numPr>
          <w:ilvl w:val="1"/>
          <w:numId w:val="23"/>
        </w:numPr>
        <w:ind w:left="709" w:hanging="709"/>
      </w:pPr>
      <w:r w:rsidRPr="004A053A">
        <w:t xml:space="preserve">Applying a </w:t>
      </w:r>
      <w:r w:rsidR="00FB78A6" w:rsidRPr="004A053A">
        <w:t>hazard ratio</w:t>
      </w:r>
      <w:r w:rsidRPr="004A053A">
        <w:t xml:space="preserve"> to PFS reduced the likelihood of progression, whilst applying the </w:t>
      </w:r>
      <w:r w:rsidR="00FB78A6" w:rsidRPr="004A053A">
        <w:t>hazard ratio</w:t>
      </w:r>
      <w:r w:rsidRPr="004A053A">
        <w:t xml:space="preserve"> for aggregate OS to post-progression OS (there was no </w:t>
      </w:r>
      <w:r w:rsidR="00FB78A6" w:rsidRPr="004A053A">
        <w:t>hazard ratio</w:t>
      </w:r>
      <w:r w:rsidRPr="004A053A">
        <w:t xml:space="preserve"> for post-progression OS) increased the effect of progression.  The aggregate OS was a function of PFS, pre-progression OS, and post-progression OS.  The </w:t>
      </w:r>
      <w:r w:rsidR="00FB78A6" w:rsidRPr="004A053A">
        <w:t>hazard ratio</w:t>
      </w:r>
      <w:r w:rsidRPr="004A053A">
        <w:t xml:space="preserve"> for PFS should be applied independently of the </w:t>
      </w:r>
      <w:r w:rsidR="00FB78A6" w:rsidRPr="004A053A">
        <w:t>hazard ratio</w:t>
      </w:r>
      <w:r w:rsidRPr="004A053A">
        <w:t xml:space="preserve"> for aggregate OS.</w:t>
      </w:r>
    </w:p>
    <w:p w:rsidR="000C1401" w:rsidRPr="004A053A" w:rsidRDefault="000C1401" w:rsidP="00323E7A">
      <w:pPr>
        <w:widowControl/>
      </w:pPr>
    </w:p>
    <w:p w:rsidR="00C12FA8" w:rsidRPr="004A053A" w:rsidRDefault="00C12FA8" w:rsidP="00323E7A">
      <w:pPr>
        <w:pStyle w:val="ListParagraph"/>
        <w:widowControl/>
        <w:numPr>
          <w:ilvl w:val="1"/>
          <w:numId w:val="23"/>
        </w:numPr>
        <w:ind w:left="709" w:hanging="709"/>
      </w:pPr>
      <w:r w:rsidRPr="004A053A">
        <w:t xml:space="preserve">The ESC </w:t>
      </w:r>
      <w:r w:rsidR="000C1401" w:rsidRPr="004A053A">
        <w:t xml:space="preserve">therefore </w:t>
      </w:r>
      <w:r w:rsidRPr="004A053A">
        <w:t xml:space="preserve">considered that it was difficult to adapt the model to provide a robust estimate of the ICER. </w:t>
      </w:r>
      <w:r w:rsidR="00E9215F" w:rsidRPr="004A053A">
        <w:t xml:space="preserve"> </w:t>
      </w:r>
      <w:r w:rsidRPr="004A053A">
        <w:t>A</w:t>
      </w:r>
      <w:r w:rsidR="00F840FD" w:rsidRPr="004A053A">
        <w:t>n alternative</w:t>
      </w:r>
      <w:r w:rsidRPr="004A053A">
        <w:t xml:space="preserve"> approach </w:t>
      </w:r>
      <w:r w:rsidR="00883C01" w:rsidRPr="004A053A">
        <w:t xml:space="preserve">with the same original data </w:t>
      </w:r>
      <w:r w:rsidR="00A1290B" w:rsidRPr="004A053A">
        <w:t>might</w:t>
      </w:r>
      <w:r w:rsidRPr="004A053A">
        <w:t xml:space="preserve"> </w:t>
      </w:r>
      <w:r w:rsidR="00FA243D" w:rsidRPr="004A053A">
        <w:t xml:space="preserve">be to </w:t>
      </w:r>
      <w:r w:rsidRPr="004A053A">
        <w:t xml:space="preserve">generate separate </w:t>
      </w:r>
      <w:r w:rsidR="00F840FD" w:rsidRPr="004A053A">
        <w:t xml:space="preserve">time-to-event </w:t>
      </w:r>
      <w:r w:rsidRPr="004A053A">
        <w:t xml:space="preserve">curves for time to progression (censoring for mortality) and </w:t>
      </w:r>
      <w:r w:rsidR="00F840FD" w:rsidRPr="004A053A">
        <w:t>time to death</w:t>
      </w:r>
      <w:r w:rsidR="00FA243D" w:rsidRPr="004A053A">
        <w:t>,</w:t>
      </w:r>
      <w:r w:rsidRPr="004A053A">
        <w:t xml:space="preserve"> from which time in the </w:t>
      </w:r>
      <w:r w:rsidR="00F21FD7" w:rsidRPr="004A053A">
        <w:t xml:space="preserve">non-progressive </w:t>
      </w:r>
      <w:r w:rsidRPr="004A053A">
        <w:t>and progressi</w:t>
      </w:r>
      <w:r w:rsidR="00F21FD7" w:rsidRPr="004A053A">
        <w:t>ve</w:t>
      </w:r>
      <w:r w:rsidRPr="004A053A">
        <w:t xml:space="preserve"> states c</w:t>
      </w:r>
      <w:r w:rsidR="00F840FD" w:rsidRPr="004A053A">
        <w:t>ould</w:t>
      </w:r>
      <w:r w:rsidRPr="004A053A">
        <w:t xml:space="preserve"> be estimated.</w:t>
      </w:r>
    </w:p>
    <w:p w:rsidR="00427F0E" w:rsidRPr="004A053A" w:rsidRDefault="00427F0E" w:rsidP="00323E7A">
      <w:pPr>
        <w:widowControl/>
      </w:pPr>
    </w:p>
    <w:p w:rsidR="00427F0E" w:rsidRPr="004A053A" w:rsidRDefault="00FA243D" w:rsidP="00323E7A">
      <w:pPr>
        <w:pStyle w:val="ListParagraph"/>
        <w:widowControl/>
        <w:numPr>
          <w:ilvl w:val="1"/>
          <w:numId w:val="23"/>
        </w:numPr>
        <w:ind w:left="709" w:hanging="709"/>
      </w:pPr>
      <w:r w:rsidRPr="004A053A">
        <w:t xml:space="preserve">The </w:t>
      </w:r>
      <w:r w:rsidR="004358EC" w:rsidRPr="004A053A">
        <w:t>ESC</w:t>
      </w:r>
      <w:r w:rsidRPr="004A053A">
        <w:t xml:space="preserve"> noted that t</w:t>
      </w:r>
      <w:r w:rsidR="00427F0E" w:rsidRPr="004A053A">
        <w:t>he model applie</w:t>
      </w:r>
      <w:r w:rsidR="00A1290B" w:rsidRPr="004A053A">
        <w:t>d</w:t>
      </w:r>
      <w:r w:rsidR="00427F0E" w:rsidRPr="004A053A">
        <w:t xml:space="preserve"> the inverse of the </w:t>
      </w:r>
      <w:r w:rsidR="00FB78A6" w:rsidRPr="004A053A">
        <w:t>hazard ratio</w:t>
      </w:r>
      <w:r w:rsidR="0001036A" w:rsidRPr="004A053A">
        <w:t xml:space="preserve"> to the </w:t>
      </w:r>
      <w:r w:rsidR="00427F0E" w:rsidRPr="004A053A">
        <w:t>nivolumab tr</w:t>
      </w:r>
      <w:r w:rsidR="0001036A" w:rsidRPr="004A053A">
        <w:t xml:space="preserve">ansition probabilities for death </w:t>
      </w:r>
      <w:r w:rsidR="00427F0E" w:rsidRPr="004A053A">
        <w:t>to generate</w:t>
      </w:r>
      <w:r w:rsidR="0001036A" w:rsidRPr="004A053A">
        <w:t xml:space="preserve"> the ipilimumab transition probabilities for death</w:t>
      </w:r>
      <w:r w:rsidR="00427F0E" w:rsidRPr="004A053A">
        <w:t xml:space="preserve">. </w:t>
      </w:r>
      <w:r w:rsidR="00A1290B" w:rsidRPr="004A053A">
        <w:t xml:space="preserve"> </w:t>
      </w:r>
      <w:r w:rsidR="00427F0E" w:rsidRPr="004A053A">
        <w:t xml:space="preserve">The treatment effects </w:t>
      </w:r>
      <w:r w:rsidR="00A1290B" w:rsidRPr="004A053A">
        <w:t>we</w:t>
      </w:r>
      <w:r w:rsidR="00427F0E" w:rsidRPr="004A053A">
        <w:t xml:space="preserve">re assumed to be maintained for the duration of the model time horizon (10 years), which </w:t>
      </w:r>
      <w:r w:rsidR="006F6B38" w:rsidRPr="004A053A">
        <w:t>was</w:t>
      </w:r>
      <w:r w:rsidR="004358EC" w:rsidRPr="004A053A">
        <w:t xml:space="preserve"> considered</w:t>
      </w:r>
      <w:r w:rsidR="00427F0E" w:rsidRPr="004A053A">
        <w:t xml:space="preserve"> unlikely, and favour</w:t>
      </w:r>
      <w:r w:rsidR="00A1290B" w:rsidRPr="004A053A">
        <w:t>ed</w:t>
      </w:r>
      <w:r w:rsidR="00427F0E" w:rsidRPr="004A053A">
        <w:t xml:space="preserve"> nivolumab</w:t>
      </w:r>
      <w:r w:rsidR="004358EC" w:rsidRPr="004A053A">
        <w:t xml:space="preserve">. </w:t>
      </w:r>
      <w:r w:rsidR="00A1290B" w:rsidRPr="004A053A">
        <w:t xml:space="preserve"> </w:t>
      </w:r>
      <w:r w:rsidR="004358EC" w:rsidRPr="004A053A">
        <w:t>The ESC considered that a</w:t>
      </w:r>
      <w:r w:rsidR="00A1290B" w:rsidRPr="004A053A">
        <w:t>n alternative</w:t>
      </w:r>
      <w:r w:rsidR="00427F0E" w:rsidRPr="004A053A">
        <w:t xml:space="preserve"> approach </w:t>
      </w:r>
      <w:r w:rsidR="00883C01" w:rsidRPr="004A053A">
        <w:t xml:space="preserve">with the </w:t>
      </w:r>
      <w:r w:rsidR="00883C01" w:rsidRPr="004A053A">
        <w:lastRenderedPageBreak/>
        <w:t xml:space="preserve">same original data </w:t>
      </w:r>
      <w:r w:rsidR="00A1290B" w:rsidRPr="004A053A">
        <w:t>might</w:t>
      </w:r>
      <w:r w:rsidR="00427F0E" w:rsidRPr="004A053A">
        <w:t xml:space="preserve"> be to estimate separate hazard ratios for time to progression and </w:t>
      </w:r>
      <w:r w:rsidR="00A1290B" w:rsidRPr="004A053A">
        <w:t xml:space="preserve">for </w:t>
      </w:r>
      <w:r w:rsidR="00427F0E" w:rsidRPr="004A053A">
        <w:t xml:space="preserve">overall survival, and </w:t>
      </w:r>
      <w:r w:rsidR="00A1290B" w:rsidRPr="004A053A">
        <w:t xml:space="preserve">then </w:t>
      </w:r>
      <w:r w:rsidR="00427F0E" w:rsidRPr="004A053A">
        <w:t>apply the estimated hazard ratios to the respective curves for the time period over which the</w:t>
      </w:r>
      <w:r w:rsidR="007C0924">
        <w:t xml:space="preserve"> ratios were estimated (e.g. </w:t>
      </w:r>
      <w:r w:rsidR="00323E7A">
        <w:t>16 </w:t>
      </w:r>
      <w:r w:rsidR="00427F0E" w:rsidRPr="004A053A">
        <w:t xml:space="preserve">months in the CA209-066 study). </w:t>
      </w:r>
      <w:r w:rsidR="00A1290B" w:rsidRPr="004A053A">
        <w:t xml:space="preserve"> </w:t>
      </w:r>
      <w:r w:rsidR="00427F0E" w:rsidRPr="004A053A">
        <w:t>Beyond</w:t>
      </w:r>
      <w:r w:rsidR="00A1290B" w:rsidRPr="004A053A">
        <w:t xml:space="preserve"> </w:t>
      </w:r>
      <w:r w:rsidR="00427F0E" w:rsidRPr="004A053A">
        <w:t>16 months, the time to progression, and overall survival curves could be set to converge over the remainder of the model‘s time horizon.</w:t>
      </w:r>
      <w:r w:rsidR="006F6B38" w:rsidRPr="004A053A">
        <w:t xml:space="preserve"> </w:t>
      </w:r>
      <w:r w:rsidR="00A1290B" w:rsidRPr="004A053A">
        <w:t xml:space="preserve"> </w:t>
      </w:r>
      <w:r w:rsidR="00427F0E" w:rsidRPr="004A053A">
        <w:t>Alternative model time horizons should be specified to test the effects of alternative times to convergence (e.g. 5, 7, and 10 years).</w:t>
      </w:r>
    </w:p>
    <w:p w:rsidR="00C12FA8" w:rsidRDefault="00C12FA8" w:rsidP="00323E7A">
      <w:pPr>
        <w:widowControl/>
      </w:pPr>
    </w:p>
    <w:p w:rsidR="00871961" w:rsidRPr="004A053A" w:rsidRDefault="003D7D11" w:rsidP="00323E7A">
      <w:pPr>
        <w:pStyle w:val="ListParagraph"/>
        <w:widowControl/>
        <w:numPr>
          <w:ilvl w:val="1"/>
          <w:numId w:val="23"/>
        </w:numPr>
        <w:ind w:left="709" w:hanging="709"/>
      </w:pPr>
      <w:r w:rsidRPr="006C03DC">
        <w:t>The economic evaluation was limited to the population in CA209-066, the BRAF wild</w:t>
      </w:r>
      <w:r w:rsidR="00323E7A">
        <w:noBreakHyphen/>
      </w:r>
      <w:r w:rsidRPr="006C03DC">
        <w:t xml:space="preserve">type population.  As discussed above, there </w:t>
      </w:r>
      <w:r w:rsidR="00AD54DA" w:rsidRPr="006C03DC">
        <w:t>wa</w:t>
      </w:r>
      <w:r w:rsidRPr="006C03DC">
        <w:t>s limited evid</w:t>
      </w:r>
      <w:r w:rsidR="00AD54DA" w:rsidRPr="006C03DC">
        <w:t>e</w:t>
      </w:r>
      <w:r w:rsidRPr="006C03DC">
        <w:t>nce demonstrating there are no differences in efficacy and safety of nivolumab for BRAF wild</w:t>
      </w:r>
      <w:r w:rsidR="00B02F92" w:rsidRPr="006C03DC">
        <w:t>-</w:t>
      </w:r>
      <w:r w:rsidRPr="006C03DC">
        <w:t>type and BRAF mutant patients.  Since the requested restriction includes use in BRAF mutant patients, there is not a strong basis on which to extend the model results to that population.</w:t>
      </w:r>
    </w:p>
    <w:p w:rsidR="00886ECF" w:rsidRPr="004A053A" w:rsidRDefault="00886ECF" w:rsidP="00323E7A">
      <w:pPr>
        <w:widowControl/>
      </w:pPr>
    </w:p>
    <w:p w:rsidR="00886ECF" w:rsidRPr="004A053A" w:rsidRDefault="00886ECF" w:rsidP="00323E7A">
      <w:pPr>
        <w:pStyle w:val="ListParagraph"/>
        <w:widowControl/>
        <w:numPr>
          <w:ilvl w:val="1"/>
          <w:numId w:val="23"/>
        </w:numPr>
        <w:ind w:left="709" w:hanging="709"/>
      </w:pPr>
      <w:r w:rsidRPr="004A053A">
        <w:t xml:space="preserve">The difference in utilities between the </w:t>
      </w:r>
      <w:r w:rsidR="00F21FD7" w:rsidRPr="004A053A">
        <w:t xml:space="preserve">non-progressive </w:t>
      </w:r>
      <w:r w:rsidRPr="004A053A">
        <w:t>and progressi</w:t>
      </w:r>
      <w:r w:rsidR="00F21FD7" w:rsidRPr="004A053A">
        <w:t>ve</w:t>
      </w:r>
      <w:r w:rsidRPr="004A053A">
        <w:t xml:space="preserve"> states </w:t>
      </w:r>
      <w:r w:rsidR="00725599" w:rsidRPr="004A053A">
        <w:t>wa</w:t>
      </w:r>
      <w:r w:rsidRPr="004A053A">
        <w:t>s small, but</w:t>
      </w:r>
      <w:r w:rsidR="004358EC" w:rsidRPr="004A053A">
        <w:t xml:space="preserve"> the ESC noted that</w:t>
      </w:r>
      <w:r w:rsidRPr="004A053A">
        <w:t xml:space="preserve"> the absolute utility values – around 0.8 – appear</w:t>
      </w:r>
      <w:r w:rsidR="00725599" w:rsidRPr="004A053A">
        <w:t>ed</w:t>
      </w:r>
      <w:r w:rsidRPr="004A053A">
        <w:t xml:space="preserve"> to be high for a population with advanced cancer. </w:t>
      </w:r>
      <w:r w:rsidR="00725599" w:rsidRPr="004A053A">
        <w:t xml:space="preserve"> </w:t>
      </w:r>
      <w:r w:rsidRPr="004A053A">
        <w:t>The</w:t>
      </w:r>
      <w:r w:rsidR="00725599" w:rsidRPr="004A053A">
        <w:t>se</w:t>
      </w:r>
      <w:r w:rsidRPr="004A053A">
        <w:t xml:space="preserve"> absolute utility value</w:t>
      </w:r>
      <w:r w:rsidR="00725599" w:rsidRPr="004A053A">
        <w:t>s</w:t>
      </w:r>
      <w:r w:rsidRPr="004A053A">
        <w:t xml:space="preserve"> ha</w:t>
      </w:r>
      <w:r w:rsidR="00725599" w:rsidRPr="004A053A">
        <w:t>d</w:t>
      </w:r>
      <w:r w:rsidRPr="004A053A">
        <w:t xml:space="preserve"> a significant effect on the ICER, </w:t>
      </w:r>
      <w:r w:rsidR="00725599" w:rsidRPr="004A053A">
        <w:t xml:space="preserve">because they </w:t>
      </w:r>
      <w:r w:rsidRPr="004A053A">
        <w:t>drive the QALY gains associated with the estimated survival gain.</w:t>
      </w:r>
    </w:p>
    <w:p w:rsidR="00871961" w:rsidRPr="006C03DC" w:rsidRDefault="00871961" w:rsidP="00323E7A">
      <w:pPr>
        <w:widowControl/>
      </w:pPr>
    </w:p>
    <w:p w:rsidR="00275C5A" w:rsidRPr="00B841D9" w:rsidRDefault="00F55FEC" w:rsidP="00323E7A">
      <w:pPr>
        <w:pStyle w:val="ListParagraph"/>
        <w:widowControl/>
        <w:numPr>
          <w:ilvl w:val="1"/>
          <w:numId w:val="23"/>
        </w:numPr>
        <w:ind w:left="709" w:hanging="709"/>
      </w:pPr>
      <w:r w:rsidRPr="001946EB">
        <w:t xml:space="preserve">Key drivers of the model are identified in </w:t>
      </w:r>
      <w:r>
        <w:t>the table below.</w:t>
      </w:r>
    </w:p>
    <w:p w:rsidR="00275C5A" w:rsidRDefault="00275C5A" w:rsidP="00323E7A">
      <w:pPr>
        <w:widowControl/>
        <w:rPr>
          <w:szCs w:val="22"/>
        </w:rPr>
      </w:pPr>
    </w:p>
    <w:p w:rsidR="005E347C" w:rsidRDefault="005E347C" w:rsidP="00323E7A">
      <w:pPr>
        <w:widowControl/>
        <w:ind w:firstLine="720"/>
        <w:rPr>
          <w:rStyle w:val="CommentReference"/>
        </w:rPr>
      </w:pPr>
      <w:r w:rsidRPr="00A56B6A">
        <w:rPr>
          <w:rStyle w:val="CommentReference"/>
        </w:rPr>
        <w:t xml:space="preserve">Table </w:t>
      </w:r>
      <w:r w:rsidR="003B088C">
        <w:rPr>
          <w:rStyle w:val="CommentReference"/>
        </w:rPr>
        <w:t>9</w:t>
      </w:r>
      <w:r w:rsidRPr="00A56B6A">
        <w:rPr>
          <w:rStyle w:val="CommentReference"/>
        </w:rPr>
        <w:t>: 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78"/>
        <w:gridCol w:w="3401"/>
        <w:gridCol w:w="1966"/>
      </w:tblGrid>
      <w:tr w:rsidR="005E347C" w:rsidRPr="00E2771E" w:rsidTr="00860340">
        <w:trPr>
          <w:tblHeader/>
        </w:trPr>
        <w:tc>
          <w:tcPr>
            <w:tcW w:w="1784" w:type="pct"/>
            <w:shd w:val="clear" w:color="auto" w:fill="auto"/>
            <w:vAlign w:val="center"/>
          </w:tcPr>
          <w:p w:rsidR="005E347C" w:rsidRPr="00E2771E" w:rsidRDefault="005E347C" w:rsidP="00323E7A">
            <w:pPr>
              <w:widowControl/>
              <w:jc w:val="left"/>
              <w:rPr>
                <w:rFonts w:ascii="Arial Narrow" w:hAnsi="Arial Narrow"/>
                <w:b/>
                <w:sz w:val="20"/>
                <w:lang w:val="en-US"/>
              </w:rPr>
            </w:pPr>
            <w:r w:rsidRPr="00E2771E">
              <w:rPr>
                <w:rFonts w:ascii="Arial Narrow" w:hAnsi="Arial Narrow"/>
                <w:b/>
                <w:sz w:val="20"/>
                <w:lang w:val="en-US"/>
              </w:rPr>
              <w:t>Description</w:t>
            </w:r>
          </w:p>
        </w:tc>
        <w:tc>
          <w:tcPr>
            <w:tcW w:w="2038" w:type="pct"/>
            <w:shd w:val="clear" w:color="auto" w:fill="auto"/>
            <w:vAlign w:val="center"/>
          </w:tcPr>
          <w:p w:rsidR="005E347C" w:rsidRPr="00E2771E" w:rsidRDefault="005E347C" w:rsidP="00323E7A">
            <w:pPr>
              <w:widowControl/>
              <w:jc w:val="center"/>
              <w:rPr>
                <w:rFonts w:ascii="Arial Narrow" w:hAnsi="Arial Narrow"/>
                <w:b/>
                <w:sz w:val="20"/>
                <w:lang w:val="en-US"/>
              </w:rPr>
            </w:pPr>
            <w:r w:rsidRPr="00E2771E">
              <w:rPr>
                <w:rFonts w:ascii="Arial Narrow" w:hAnsi="Arial Narrow"/>
                <w:b/>
                <w:sz w:val="20"/>
                <w:lang w:val="en-US"/>
              </w:rPr>
              <w:t>Method/Value</w:t>
            </w:r>
          </w:p>
        </w:tc>
        <w:tc>
          <w:tcPr>
            <w:tcW w:w="1178" w:type="pct"/>
            <w:shd w:val="clear" w:color="auto" w:fill="auto"/>
            <w:vAlign w:val="center"/>
          </w:tcPr>
          <w:p w:rsidR="005E347C" w:rsidRPr="00E2771E" w:rsidRDefault="005E347C" w:rsidP="00323E7A">
            <w:pPr>
              <w:widowControl/>
              <w:jc w:val="center"/>
              <w:rPr>
                <w:rFonts w:ascii="Arial Narrow" w:hAnsi="Arial Narrow"/>
                <w:b/>
                <w:sz w:val="20"/>
                <w:lang w:val="en-US"/>
              </w:rPr>
            </w:pPr>
            <w:r w:rsidRPr="00E2771E">
              <w:rPr>
                <w:rFonts w:ascii="Arial Narrow" w:hAnsi="Arial Narrow"/>
                <w:b/>
                <w:sz w:val="20"/>
                <w:lang w:val="en-US"/>
              </w:rPr>
              <w:t>Impact</w:t>
            </w:r>
          </w:p>
        </w:tc>
      </w:tr>
      <w:tr w:rsidR="005E347C" w:rsidRPr="00E2771E" w:rsidTr="00860340">
        <w:tc>
          <w:tcPr>
            <w:tcW w:w="1784" w:type="pct"/>
            <w:shd w:val="clear" w:color="auto" w:fill="auto"/>
            <w:vAlign w:val="center"/>
          </w:tcPr>
          <w:p w:rsidR="005E347C" w:rsidRPr="00E2771E" w:rsidRDefault="005E347C" w:rsidP="00323E7A">
            <w:pPr>
              <w:widowControl/>
              <w:jc w:val="left"/>
              <w:rPr>
                <w:rFonts w:ascii="Arial Narrow" w:hAnsi="Arial Narrow"/>
                <w:sz w:val="20"/>
                <w:lang w:val="en-US"/>
              </w:rPr>
            </w:pPr>
            <w:r w:rsidRPr="00E2771E">
              <w:rPr>
                <w:rFonts w:ascii="Arial Narrow" w:hAnsi="Arial Narrow"/>
                <w:sz w:val="20"/>
                <w:lang w:val="en-US"/>
              </w:rPr>
              <w:t>Time horizon</w:t>
            </w:r>
          </w:p>
        </w:tc>
        <w:tc>
          <w:tcPr>
            <w:tcW w:w="2038" w:type="pct"/>
            <w:shd w:val="clear" w:color="auto" w:fill="auto"/>
            <w:vAlign w:val="center"/>
          </w:tcPr>
          <w:p w:rsidR="005E347C" w:rsidRPr="00E2771E" w:rsidRDefault="005E347C" w:rsidP="00323E7A">
            <w:pPr>
              <w:widowControl/>
              <w:jc w:val="center"/>
              <w:rPr>
                <w:rFonts w:ascii="Arial Narrow" w:hAnsi="Arial Narrow"/>
                <w:sz w:val="20"/>
                <w:lang w:val="en-US"/>
              </w:rPr>
            </w:pPr>
            <w:r>
              <w:rPr>
                <w:rFonts w:ascii="Arial Narrow" w:hAnsi="Arial Narrow"/>
                <w:sz w:val="20"/>
                <w:lang w:val="en-US"/>
              </w:rPr>
              <w:t>10 years</w:t>
            </w:r>
            <w:r w:rsidRPr="00E2771E">
              <w:rPr>
                <w:rFonts w:ascii="Arial Narrow" w:hAnsi="Arial Narrow"/>
                <w:sz w:val="20"/>
                <w:lang w:val="en-US"/>
              </w:rPr>
              <w:t xml:space="preserve">; assumed from </w:t>
            </w:r>
            <w:r>
              <w:rPr>
                <w:rFonts w:ascii="Arial Narrow" w:hAnsi="Arial Narrow"/>
                <w:sz w:val="20"/>
                <w:lang w:val="en-US"/>
              </w:rPr>
              <w:t>1</w:t>
            </w:r>
            <w:r w:rsidR="00860340">
              <w:rPr>
                <w:rFonts w:ascii="Arial Narrow" w:hAnsi="Arial Narrow"/>
                <w:sz w:val="20"/>
                <w:lang w:val="en-US"/>
              </w:rPr>
              <w:t>6-</w:t>
            </w:r>
            <w:r w:rsidRPr="00E2771E">
              <w:rPr>
                <w:rFonts w:ascii="Arial Narrow" w:hAnsi="Arial Narrow"/>
                <w:sz w:val="20"/>
                <w:lang w:val="en-US"/>
              </w:rPr>
              <w:t xml:space="preserve">month </w:t>
            </w:r>
            <w:r>
              <w:rPr>
                <w:rFonts w:ascii="Arial Narrow" w:hAnsi="Arial Narrow"/>
                <w:sz w:val="20"/>
                <w:lang w:val="en-US"/>
              </w:rPr>
              <w:t>CA209-066 trial</w:t>
            </w:r>
            <w:r w:rsidRPr="00E2771E">
              <w:rPr>
                <w:rFonts w:ascii="Arial Narrow" w:hAnsi="Arial Narrow"/>
                <w:sz w:val="20"/>
                <w:lang w:val="en-US"/>
              </w:rPr>
              <w:t xml:space="preserve"> duration</w:t>
            </w:r>
          </w:p>
        </w:tc>
        <w:tc>
          <w:tcPr>
            <w:tcW w:w="1178" w:type="pct"/>
            <w:shd w:val="clear" w:color="auto" w:fill="auto"/>
            <w:vAlign w:val="center"/>
          </w:tcPr>
          <w:p w:rsidR="005E347C" w:rsidRPr="00E2771E" w:rsidRDefault="005E347C" w:rsidP="00323E7A">
            <w:pPr>
              <w:widowControl/>
              <w:jc w:val="center"/>
              <w:rPr>
                <w:rFonts w:ascii="Arial Narrow" w:hAnsi="Arial Narrow"/>
                <w:sz w:val="20"/>
                <w:lang w:val="en-US"/>
              </w:rPr>
            </w:pPr>
            <w:r w:rsidRPr="00E2771E">
              <w:rPr>
                <w:rFonts w:ascii="Arial Narrow" w:hAnsi="Arial Narrow"/>
                <w:sz w:val="20"/>
                <w:lang w:val="en-US"/>
              </w:rPr>
              <w:t xml:space="preserve">High, favours </w:t>
            </w:r>
            <w:r>
              <w:rPr>
                <w:rFonts w:ascii="Arial Narrow" w:hAnsi="Arial Narrow"/>
                <w:sz w:val="20"/>
                <w:lang w:val="en-US"/>
              </w:rPr>
              <w:t>nivolumab</w:t>
            </w:r>
          </w:p>
        </w:tc>
      </w:tr>
      <w:tr w:rsidR="005E347C" w:rsidRPr="00E2771E" w:rsidTr="00860340">
        <w:tc>
          <w:tcPr>
            <w:tcW w:w="1784" w:type="pct"/>
            <w:shd w:val="clear" w:color="auto" w:fill="auto"/>
            <w:vAlign w:val="center"/>
          </w:tcPr>
          <w:p w:rsidR="005E347C" w:rsidRPr="00E2771E" w:rsidRDefault="005E347C" w:rsidP="00323E7A">
            <w:pPr>
              <w:widowControl/>
              <w:jc w:val="left"/>
              <w:rPr>
                <w:rFonts w:ascii="Arial Narrow" w:hAnsi="Arial Narrow"/>
                <w:sz w:val="20"/>
                <w:lang w:val="en-US"/>
              </w:rPr>
            </w:pPr>
            <w:r>
              <w:rPr>
                <w:rFonts w:ascii="Arial Narrow" w:hAnsi="Arial Narrow"/>
                <w:sz w:val="20"/>
                <w:lang w:val="en-US"/>
              </w:rPr>
              <w:t>Indirect comparison hazard ratio for OS</w:t>
            </w:r>
          </w:p>
        </w:tc>
        <w:tc>
          <w:tcPr>
            <w:tcW w:w="2038" w:type="pct"/>
            <w:shd w:val="clear" w:color="auto" w:fill="auto"/>
            <w:vAlign w:val="center"/>
          </w:tcPr>
          <w:p w:rsidR="005E347C" w:rsidRPr="00E2771E" w:rsidRDefault="005E347C" w:rsidP="00323E7A">
            <w:pPr>
              <w:widowControl/>
              <w:jc w:val="center"/>
              <w:rPr>
                <w:rFonts w:ascii="Arial Narrow" w:hAnsi="Arial Narrow"/>
                <w:sz w:val="20"/>
                <w:lang w:val="en-US"/>
              </w:rPr>
            </w:pPr>
            <w:r>
              <w:rPr>
                <w:rFonts w:ascii="Arial Narrow" w:hAnsi="Arial Narrow"/>
                <w:sz w:val="20"/>
                <w:lang w:val="en-US"/>
              </w:rPr>
              <w:t>0.636</w:t>
            </w:r>
          </w:p>
        </w:tc>
        <w:tc>
          <w:tcPr>
            <w:tcW w:w="1178" w:type="pct"/>
            <w:shd w:val="clear" w:color="auto" w:fill="auto"/>
            <w:vAlign w:val="center"/>
          </w:tcPr>
          <w:p w:rsidR="005E347C" w:rsidRPr="00E2771E" w:rsidRDefault="005E347C" w:rsidP="00323E7A">
            <w:pPr>
              <w:widowControl/>
              <w:jc w:val="center"/>
              <w:rPr>
                <w:rFonts w:ascii="Arial Narrow" w:hAnsi="Arial Narrow"/>
                <w:sz w:val="20"/>
                <w:lang w:val="en-US"/>
              </w:rPr>
            </w:pPr>
            <w:r>
              <w:rPr>
                <w:rFonts w:ascii="Arial Narrow" w:hAnsi="Arial Narrow"/>
                <w:sz w:val="20"/>
                <w:lang w:val="en-US"/>
              </w:rPr>
              <w:t>High, favours nivolumab</w:t>
            </w:r>
          </w:p>
        </w:tc>
      </w:tr>
      <w:tr w:rsidR="005E347C" w:rsidRPr="00E2771E" w:rsidTr="00860340">
        <w:tc>
          <w:tcPr>
            <w:tcW w:w="1784" w:type="pct"/>
            <w:shd w:val="clear" w:color="auto" w:fill="auto"/>
            <w:vAlign w:val="center"/>
          </w:tcPr>
          <w:p w:rsidR="005E347C" w:rsidRPr="00E2771E" w:rsidRDefault="005E347C" w:rsidP="00323E7A">
            <w:pPr>
              <w:widowControl/>
              <w:jc w:val="left"/>
              <w:rPr>
                <w:rFonts w:ascii="Arial Narrow" w:hAnsi="Arial Narrow"/>
                <w:sz w:val="20"/>
                <w:lang w:val="en-US"/>
              </w:rPr>
            </w:pPr>
            <w:r>
              <w:rPr>
                <w:rFonts w:ascii="Arial Narrow" w:hAnsi="Arial Narrow"/>
                <w:sz w:val="20"/>
                <w:lang w:val="en-US"/>
              </w:rPr>
              <w:t>Extrapolation method</w:t>
            </w:r>
          </w:p>
        </w:tc>
        <w:tc>
          <w:tcPr>
            <w:tcW w:w="2038" w:type="pct"/>
            <w:shd w:val="clear" w:color="auto" w:fill="auto"/>
            <w:vAlign w:val="center"/>
          </w:tcPr>
          <w:p w:rsidR="005E347C" w:rsidRPr="004A053A" w:rsidRDefault="005E347C" w:rsidP="00323E7A">
            <w:pPr>
              <w:widowControl/>
              <w:jc w:val="center"/>
              <w:rPr>
                <w:rFonts w:ascii="Arial Narrow" w:hAnsi="Arial Narrow"/>
                <w:sz w:val="20"/>
                <w:lang w:val="en-US"/>
              </w:rPr>
            </w:pPr>
            <w:r w:rsidRPr="004A053A">
              <w:rPr>
                <w:rFonts w:ascii="Arial Narrow" w:hAnsi="Arial Narrow"/>
                <w:sz w:val="20"/>
                <w:lang w:val="en-US"/>
              </w:rPr>
              <w:t>Log-logistic survival curves</w:t>
            </w:r>
            <w:r w:rsidR="00860340" w:rsidRPr="004A053A">
              <w:rPr>
                <w:rFonts w:ascii="Arial Narrow" w:hAnsi="Arial Narrow"/>
                <w:sz w:val="20"/>
                <w:lang w:val="en-US"/>
              </w:rPr>
              <w:t>; splitting of OS</w:t>
            </w:r>
          </w:p>
        </w:tc>
        <w:tc>
          <w:tcPr>
            <w:tcW w:w="1178" w:type="pct"/>
            <w:shd w:val="clear" w:color="auto" w:fill="auto"/>
            <w:vAlign w:val="center"/>
          </w:tcPr>
          <w:p w:rsidR="005E347C" w:rsidRPr="004A053A" w:rsidRDefault="00860340" w:rsidP="00323E7A">
            <w:pPr>
              <w:widowControl/>
              <w:jc w:val="center"/>
              <w:rPr>
                <w:rFonts w:ascii="Arial Narrow" w:hAnsi="Arial Narrow"/>
                <w:sz w:val="20"/>
                <w:lang w:val="en-US"/>
              </w:rPr>
            </w:pPr>
            <w:r w:rsidRPr="004A053A">
              <w:rPr>
                <w:rFonts w:ascii="Arial Narrow" w:hAnsi="Arial Narrow"/>
                <w:sz w:val="20"/>
                <w:lang w:val="en-US"/>
              </w:rPr>
              <w:t>H</w:t>
            </w:r>
            <w:r w:rsidR="005E347C" w:rsidRPr="004A053A">
              <w:rPr>
                <w:rFonts w:ascii="Arial Narrow" w:hAnsi="Arial Narrow"/>
                <w:sz w:val="20"/>
                <w:lang w:val="en-US"/>
              </w:rPr>
              <w:t xml:space="preserve">igh, </w:t>
            </w:r>
            <w:r w:rsidRPr="004A053A">
              <w:rPr>
                <w:rFonts w:ascii="Arial Narrow" w:hAnsi="Arial Narrow"/>
                <w:sz w:val="20"/>
                <w:lang w:val="en-US"/>
              </w:rPr>
              <w:t>favours nivolumab</w:t>
            </w:r>
          </w:p>
        </w:tc>
      </w:tr>
    </w:tbl>
    <w:p w:rsidR="005E347C" w:rsidRPr="00D110BD" w:rsidRDefault="005E347C" w:rsidP="00323E7A">
      <w:pPr>
        <w:pStyle w:val="TableFooter"/>
        <w:widowControl/>
        <w:ind w:firstLine="720"/>
      </w:pPr>
      <w:r w:rsidRPr="00D110BD">
        <w:t>Source: compiled during the evaluation</w:t>
      </w:r>
      <w:r>
        <w:t>. OS=overall survival</w:t>
      </w:r>
    </w:p>
    <w:p w:rsidR="005E347C" w:rsidRPr="004A053A" w:rsidRDefault="005E347C" w:rsidP="00323E7A">
      <w:pPr>
        <w:widowControl/>
        <w:rPr>
          <w:szCs w:val="22"/>
        </w:rPr>
      </w:pPr>
    </w:p>
    <w:p w:rsidR="00275C5A" w:rsidRPr="004A053A" w:rsidRDefault="00F55FEC" w:rsidP="00323E7A">
      <w:pPr>
        <w:pStyle w:val="ListParagraph"/>
        <w:widowControl/>
        <w:numPr>
          <w:ilvl w:val="1"/>
          <w:numId w:val="23"/>
        </w:numPr>
        <w:ind w:left="709" w:hanging="709"/>
      </w:pPr>
      <w:r w:rsidRPr="004A053A">
        <w:t>The 10</w:t>
      </w:r>
      <w:r w:rsidR="00502D53" w:rsidRPr="004A053A">
        <w:t>-</w:t>
      </w:r>
      <w:r w:rsidRPr="004A053A">
        <w:t>year time horizon favoured nivolumab significantly in the economic model.  Given that the clinical information (</w:t>
      </w:r>
      <w:r w:rsidR="00502D53" w:rsidRPr="004A053A">
        <w:t>Schadendorf 2015) supporting 10-</w:t>
      </w:r>
      <w:r w:rsidRPr="004A053A">
        <w:t>year ipilimumab survival was limited; that the efficacy data of nivolumab beyond 4 years was limited; and that the model assumed significant survival benefit of nivolumab ov</w:t>
      </w:r>
      <w:r w:rsidR="00502D53" w:rsidRPr="004A053A">
        <w:t>er ipilimumab throughout the 10-year duration, the 10-</w:t>
      </w:r>
      <w:r w:rsidRPr="004A053A">
        <w:t xml:space="preserve">year time horizon is not strongly supported by the clinical evidence.  The model was sensitive to </w:t>
      </w:r>
      <w:r w:rsidR="00502D53" w:rsidRPr="004A053A">
        <w:t xml:space="preserve">the </w:t>
      </w:r>
      <w:r w:rsidRPr="004A053A">
        <w:t>time horizon (see below).</w:t>
      </w:r>
    </w:p>
    <w:p w:rsidR="00AC2513" w:rsidRPr="004A053A" w:rsidRDefault="00AC2513" w:rsidP="00323E7A">
      <w:pPr>
        <w:widowControl/>
      </w:pPr>
    </w:p>
    <w:p w:rsidR="00AC2513" w:rsidRPr="004A053A" w:rsidRDefault="001F5E15" w:rsidP="00323E7A">
      <w:pPr>
        <w:pStyle w:val="ListParagraph"/>
        <w:widowControl/>
        <w:numPr>
          <w:ilvl w:val="1"/>
          <w:numId w:val="23"/>
        </w:numPr>
        <w:ind w:left="709" w:hanging="709"/>
      </w:pPr>
      <w:r w:rsidRPr="004A053A">
        <w:t>The model extrapolated progression</w:t>
      </w:r>
      <w:r w:rsidR="009B2A22" w:rsidRPr="004A053A">
        <w:t>-</w:t>
      </w:r>
      <w:r w:rsidRPr="004A053A">
        <w:t xml:space="preserve">free survival and overall survival from </w:t>
      </w:r>
      <w:r w:rsidR="00323E7A">
        <w:t>log</w:t>
      </w:r>
      <w:r w:rsidR="00323E7A">
        <w:noBreakHyphen/>
      </w:r>
      <w:r w:rsidRPr="004A053A">
        <w:t>logistic curves for the entirety of the model and not a post-trial (16 month) extrapolation phase.</w:t>
      </w:r>
      <w:r w:rsidR="00BA6747" w:rsidRPr="004A053A">
        <w:t xml:space="preserve"> </w:t>
      </w:r>
      <w:r w:rsidRPr="004A053A">
        <w:t xml:space="preserve"> The submission did not present sensitivity analyses exploring alternative extrapolation curves or methods, nor did it present sensitivity analyses using Kaplan-Meier estimate</w:t>
      </w:r>
      <w:r w:rsidR="00BA6747" w:rsidRPr="004A053A">
        <w:t>s</w:t>
      </w:r>
      <w:r w:rsidRPr="004A053A">
        <w:t xml:space="preserve"> for the </w:t>
      </w:r>
      <w:r w:rsidR="00BA6747" w:rsidRPr="004A053A">
        <w:t>trial period, followed by curve-</w:t>
      </w:r>
      <w:r w:rsidRPr="004A053A">
        <w:t xml:space="preserve">generated transition probabilities in the post-trial extrapolation period. </w:t>
      </w:r>
      <w:r w:rsidR="00BA6747" w:rsidRPr="004A053A">
        <w:t xml:space="preserve"> Sensitivity analyses could not be run during the evaluation for alternate extrapolation methods, </w:t>
      </w:r>
      <w:r w:rsidRPr="004A053A">
        <w:t xml:space="preserve">but it </w:t>
      </w:r>
      <w:r w:rsidR="00502D53" w:rsidRPr="004A053A">
        <w:t>wa</w:t>
      </w:r>
      <w:r w:rsidRPr="004A053A">
        <w:t>s reasonable to assume that the model was highly sensitive to the extrapolation method.</w:t>
      </w:r>
      <w:r w:rsidR="00725599" w:rsidRPr="004A053A">
        <w:t xml:space="preserve"> </w:t>
      </w:r>
      <w:r w:rsidR="00AA7DE2" w:rsidRPr="004A053A">
        <w:t xml:space="preserve"> </w:t>
      </w:r>
      <w:r w:rsidR="003A2DC7" w:rsidRPr="004A053A">
        <w:t>The PSCR</w:t>
      </w:r>
      <w:r w:rsidR="0060288F" w:rsidRPr="004A053A">
        <w:t xml:space="preserve"> </w:t>
      </w:r>
      <w:r w:rsidR="003A2DC7" w:rsidRPr="004A053A">
        <w:t xml:space="preserve">claimed that the log-logistic parametric distribution was selected based on face validity and goodness of fit statistics. </w:t>
      </w:r>
      <w:r w:rsidR="00725599" w:rsidRPr="004A053A">
        <w:t xml:space="preserve"> </w:t>
      </w:r>
      <w:r w:rsidR="003A2DC7" w:rsidRPr="004A053A">
        <w:t>T</w:t>
      </w:r>
      <w:r w:rsidR="00AA7DE2" w:rsidRPr="004A053A">
        <w:t xml:space="preserve">he ESC </w:t>
      </w:r>
      <w:r w:rsidR="003A2DC7" w:rsidRPr="004A053A">
        <w:t xml:space="preserve">also </w:t>
      </w:r>
      <w:r w:rsidR="00AA7DE2" w:rsidRPr="004A053A">
        <w:t xml:space="preserve">considered that </w:t>
      </w:r>
      <w:r w:rsidR="00725599" w:rsidRPr="004A053A">
        <w:t xml:space="preserve">directly </w:t>
      </w:r>
      <w:r w:rsidR="00AA7DE2" w:rsidRPr="004A053A">
        <w:t>using the Kaplan-Meier trial based data followed by extrapolated curves in the model would be informative.</w:t>
      </w:r>
    </w:p>
    <w:p w:rsidR="000D6C68" w:rsidRPr="006C03DC" w:rsidRDefault="000D6C68" w:rsidP="00323E7A">
      <w:pPr>
        <w:widowControl/>
      </w:pPr>
    </w:p>
    <w:p w:rsidR="000D6C68" w:rsidRPr="00B841D9" w:rsidRDefault="000D6C68" w:rsidP="00323E7A">
      <w:pPr>
        <w:pStyle w:val="ListParagraph"/>
        <w:widowControl/>
        <w:numPr>
          <w:ilvl w:val="1"/>
          <w:numId w:val="23"/>
        </w:numPr>
        <w:ind w:left="709" w:hanging="709"/>
      </w:pPr>
      <w:r w:rsidRPr="00B841D9">
        <w:lastRenderedPageBreak/>
        <w:t xml:space="preserve">The </w:t>
      </w:r>
      <w:r w:rsidR="00D04D17">
        <w:t>following table</w:t>
      </w:r>
      <w:r w:rsidRPr="00B841D9">
        <w:t xml:space="preserve"> provides the results of the modelled evaluation.</w:t>
      </w:r>
    </w:p>
    <w:p w:rsidR="00D110BD" w:rsidRDefault="00D110BD" w:rsidP="00323E7A">
      <w:pPr>
        <w:widowControl/>
        <w:rPr>
          <w:szCs w:val="22"/>
        </w:rPr>
      </w:pPr>
    </w:p>
    <w:p w:rsidR="000D6C68" w:rsidRDefault="000D6C68" w:rsidP="00323E7A">
      <w:pPr>
        <w:widowControl/>
        <w:ind w:firstLine="720"/>
        <w:rPr>
          <w:rStyle w:val="CommentReference"/>
        </w:rPr>
      </w:pPr>
      <w:r>
        <w:rPr>
          <w:rStyle w:val="CommentReference"/>
        </w:rPr>
        <w:t xml:space="preserve">Table </w:t>
      </w:r>
      <w:r w:rsidR="003B088C">
        <w:rPr>
          <w:rStyle w:val="CommentReference"/>
        </w:rPr>
        <w:t>10</w:t>
      </w:r>
      <w:r w:rsidRPr="001222FC">
        <w:rPr>
          <w:rStyle w:val="CommentReference"/>
        </w:rPr>
        <w:t>: Results of the economic evaluation</w:t>
      </w:r>
    </w:p>
    <w:tbl>
      <w:tblPr>
        <w:tblW w:w="4588" w:type="pct"/>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21"/>
        <w:gridCol w:w="2377"/>
        <w:gridCol w:w="2222"/>
        <w:gridCol w:w="2214"/>
      </w:tblGrid>
      <w:tr w:rsidR="000D6C68" w:rsidRPr="004E2ADC" w:rsidTr="00DB5C4B">
        <w:tc>
          <w:tcPr>
            <w:tcW w:w="913" w:type="pct"/>
          </w:tcPr>
          <w:p w:rsidR="000D6C68" w:rsidRPr="004E2ADC" w:rsidRDefault="000D6C68" w:rsidP="00323E7A">
            <w:pPr>
              <w:widowControl/>
              <w:rPr>
                <w:rFonts w:ascii="Arial Narrow" w:hAnsi="Arial Narrow"/>
                <w:b/>
                <w:sz w:val="20"/>
              </w:rPr>
            </w:pPr>
            <w:r w:rsidRPr="004E2ADC">
              <w:rPr>
                <w:rFonts w:ascii="Arial Narrow" w:hAnsi="Arial Narrow"/>
                <w:b/>
                <w:sz w:val="20"/>
              </w:rPr>
              <w:t>Component</w:t>
            </w:r>
          </w:p>
        </w:tc>
        <w:tc>
          <w:tcPr>
            <w:tcW w:w="1426" w:type="pct"/>
          </w:tcPr>
          <w:p w:rsidR="000D6C68" w:rsidRPr="004E2ADC" w:rsidRDefault="000D6C68" w:rsidP="00323E7A">
            <w:pPr>
              <w:widowControl/>
              <w:jc w:val="center"/>
              <w:rPr>
                <w:rFonts w:ascii="Arial Narrow" w:hAnsi="Arial Narrow"/>
                <w:b/>
                <w:sz w:val="20"/>
              </w:rPr>
            </w:pPr>
            <w:r>
              <w:rPr>
                <w:rFonts w:ascii="Arial Narrow" w:hAnsi="Arial Narrow"/>
                <w:b/>
                <w:sz w:val="20"/>
              </w:rPr>
              <w:t>Nivolumab</w:t>
            </w:r>
          </w:p>
        </w:tc>
        <w:tc>
          <w:tcPr>
            <w:tcW w:w="1333" w:type="pct"/>
          </w:tcPr>
          <w:p w:rsidR="000D6C68" w:rsidRPr="004E2ADC" w:rsidRDefault="000D6C68" w:rsidP="00323E7A">
            <w:pPr>
              <w:widowControl/>
              <w:jc w:val="center"/>
              <w:rPr>
                <w:rFonts w:ascii="Arial Narrow" w:hAnsi="Arial Narrow"/>
                <w:b/>
                <w:sz w:val="20"/>
              </w:rPr>
            </w:pPr>
            <w:r>
              <w:rPr>
                <w:rFonts w:ascii="Arial Narrow" w:hAnsi="Arial Narrow"/>
                <w:b/>
                <w:sz w:val="20"/>
              </w:rPr>
              <w:t>Ipilimumab</w:t>
            </w:r>
          </w:p>
        </w:tc>
        <w:tc>
          <w:tcPr>
            <w:tcW w:w="1328" w:type="pct"/>
          </w:tcPr>
          <w:p w:rsidR="000D6C68" w:rsidRPr="004E2ADC" w:rsidRDefault="000D6C68" w:rsidP="00323E7A">
            <w:pPr>
              <w:widowControl/>
              <w:jc w:val="center"/>
              <w:rPr>
                <w:rFonts w:ascii="Arial Narrow" w:hAnsi="Arial Narrow"/>
                <w:b/>
                <w:sz w:val="20"/>
              </w:rPr>
            </w:pPr>
            <w:r w:rsidRPr="004E2ADC">
              <w:rPr>
                <w:rFonts w:ascii="Arial Narrow" w:hAnsi="Arial Narrow"/>
                <w:b/>
                <w:sz w:val="20"/>
              </w:rPr>
              <w:t>Increment</w:t>
            </w:r>
          </w:p>
        </w:tc>
      </w:tr>
      <w:tr w:rsidR="000D6C68" w:rsidRPr="004E2ADC" w:rsidTr="00DB5C4B">
        <w:tc>
          <w:tcPr>
            <w:tcW w:w="913" w:type="pct"/>
          </w:tcPr>
          <w:p w:rsidR="000D6C68" w:rsidRPr="004E2ADC" w:rsidRDefault="000D6C68" w:rsidP="00323E7A">
            <w:pPr>
              <w:widowControl/>
              <w:rPr>
                <w:rFonts w:ascii="Arial Narrow" w:hAnsi="Arial Narrow"/>
                <w:sz w:val="20"/>
              </w:rPr>
            </w:pPr>
            <w:r w:rsidRPr="004E2ADC">
              <w:rPr>
                <w:rFonts w:ascii="Arial Narrow" w:hAnsi="Arial Narrow"/>
                <w:sz w:val="20"/>
              </w:rPr>
              <w:t>Costs</w:t>
            </w:r>
          </w:p>
        </w:tc>
        <w:tc>
          <w:tcPr>
            <w:tcW w:w="1426" w:type="pct"/>
          </w:tcPr>
          <w:p w:rsidR="000D6C68" w:rsidRPr="004E2ADC" w:rsidRDefault="000D6C68" w:rsidP="00323E7A">
            <w:pPr>
              <w:widowControl/>
              <w:jc w:val="center"/>
              <w:rPr>
                <w:rFonts w:ascii="Arial Narrow" w:hAnsi="Arial Narrow"/>
                <w:sz w:val="20"/>
              </w:rPr>
            </w:pPr>
            <w:r w:rsidRPr="004E2ADC">
              <w:rPr>
                <w:rFonts w:ascii="Arial Narrow" w:hAnsi="Arial Narrow"/>
                <w:sz w:val="20"/>
              </w:rPr>
              <w:t>$</w:t>
            </w:r>
            <w:r w:rsidR="00930DE3">
              <w:rPr>
                <w:rFonts w:ascii="Arial Narrow" w:hAnsi="Arial Narrow"/>
                <w:noProof/>
                <w:color w:val="000000"/>
                <w:sz w:val="20"/>
                <w:highlight w:val="black"/>
              </w:rPr>
              <w:t>'''''''''''''''''''''</w:t>
            </w:r>
          </w:p>
        </w:tc>
        <w:tc>
          <w:tcPr>
            <w:tcW w:w="1333" w:type="pct"/>
          </w:tcPr>
          <w:p w:rsidR="000D6C68" w:rsidRPr="004E2ADC" w:rsidRDefault="000D6C68" w:rsidP="00323E7A">
            <w:pPr>
              <w:widowControl/>
              <w:jc w:val="center"/>
              <w:rPr>
                <w:rFonts w:ascii="Arial Narrow" w:hAnsi="Arial Narrow"/>
                <w:sz w:val="20"/>
              </w:rPr>
            </w:pPr>
            <w:r w:rsidRPr="004E2ADC">
              <w:rPr>
                <w:rFonts w:ascii="Arial Narrow" w:hAnsi="Arial Narrow"/>
                <w:sz w:val="20"/>
              </w:rPr>
              <w:t>$</w:t>
            </w:r>
            <w:r w:rsidR="00930DE3">
              <w:rPr>
                <w:rFonts w:ascii="Arial Narrow" w:hAnsi="Arial Narrow"/>
                <w:noProof/>
                <w:color w:val="000000"/>
                <w:sz w:val="20"/>
                <w:highlight w:val="black"/>
              </w:rPr>
              <w:t>'''''''''''''''''''</w:t>
            </w:r>
          </w:p>
        </w:tc>
        <w:tc>
          <w:tcPr>
            <w:tcW w:w="1328" w:type="pct"/>
          </w:tcPr>
          <w:p w:rsidR="000D6C68" w:rsidRPr="004E2ADC" w:rsidRDefault="000D6C68" w:rsidP="00323E7A">
            <w:pPr>
              <w:widowControl/>
              <w:jc w:val="center"/>
              <w:rPr>
                <w:rFonts w:ascii="Arial Narrow" w:hAnsi="Arial Narrow"/>
                <w:sz w:val="20"/>
              </w:rPr>
            </w:pPr>
            <w:r w:rsidRPr="004E2ADC">
              <w:rPr>
                <w:rFonts w:ascii="Arial Narrow" w:hAnsi="Arial Narrow"/>
                <w:sz w:val="20"/>
              </w:rPr>
              <w:t>$</w:t>
            </w:r>
            <w:r w:rsidR="00930DE3">
              <w:rPr>
                <w:rFonts w:ascii="Arial Narrow" w:hAnsi="Arial Narrow"/>
                <w:noProof/>
                <w:color w:val="000000"/>
                <w:sz w:val="20"/>
                <w:highlight w:val="black"/>
              </w:rPr>
              <w:t>''''''''''''''''''</w:t>
            </w:r>
          </w:p>
        </w:tc>
      </w:tr>
      <w:tr w:rsidR="000D6C68" w:rsidRPr="004E2ADC" w:rsidTr="00DB5C4B">
        <w:tc>
          <w:tcPr>
            <w:tcW w:w="913" w:type="pct"/>
          </w:tcPr>
          <w:p w:rsidR="000D6C68" w:rsidRPr="004E2ADC" w:rsidRDefault="000D6C68" w:rsidP="00323E7A">
            <w:pPr>
              <w:widowControl/>
              <w:rPr>
                <w:rFonts w:ascii="Arial Narrow" w:hAnsi="Arial Narrow"/>
                <w:sz w:val="20"/>
              </w:rPr>
            </w:pPr>
            <w:r>
              <w:rPr>
                <w:rFonts w:ascii="Arial Narrow" w:hAnsi="Arial Narrow"/>
                <w:sz w:val="20"/>
              </w:rPr>
              <w:t>QALYs</w:t>
            </w:r>
          </w:p>
        </w:tc>
        <w:tc>
          <w:tcPr>
            <w:tcW w:w="1426" w:type="pct"/>
          </w:tcPr>
          <w:p w:rsidR="000D6C68" w:rsidRPr="005E36D7" w:rsidRDefault="005E36D7" w:rsidP="00323E7A">
            <w:pPr>
              <w:widowControl/>
              <w:jc w:val="center"/>
              <w:rPr>
                <w:rFonts w:ascii="Arial Narrow" w:hAnsi="Arial Narrow"/>
                <w:sz w:val="20"/>
                <w:highlight w:val="black"/>
              </w:rPr>
            </w:pPr>
            <w:r>
              <w:rPr>
                <w:rFonts w:ascii="Arial Narrow" w:hAnsi="Arial Narrow"/>
                <w:noProof/>
                <w:color w:val="000000"/>
                <w:sz w:val="20"/>
                <w:highlight w:val="black"/>
              </w:rPr>
              <w:t>'''''''''''</w:t>
            </w:r>
          </w:p>
        </w:tc>
        <w:tc>
          <w:tcPr>
            <w:tcW w:w="1333" w:type="pct"/>
          </w:tcPr>
          <w:p w:rsidR="000D6C68" w:rsidRPr="005E36D7" w:rsidRDefault="005E36D7" w:rsidP="00323E7A">
            <w:pPr>
              <w:widowControl/>
              <w:jc w:val="center"/>
              <w:rPr>
                <w:rFonts w:ascii="Arial Narrow" w:hAnsi="Arial Narrow"/>
                <w:sz w:val="20"/>
                <w:highlight w:val="black"/>
              </w:rPr>
            </w:pPr>
            <w:r>
              <w:rPr>
                <w:rFonts w:ascii="Arial Narrow" w:hAnsi="Arial Narrow"/>
                <w:noProof/>
                <w:color w:val="000000"/>
                <w:sz w:val="20"/>
                <w:highlight w:val="black"/>
              </w:rPr>
              <w:t>''''''''''''</w:t>
            </w:r>
          </w:p>
        </w:tc>
        <w:tc>
          <w:tcPr>
            <w:tcW w:w="1328" w:type="pct"/>
          </w:tcPr>
          <w:p w:rsidR="000D6C68" w:rsidRPr="005E36D7" w:rsidRDefault="005E36D7" w:rsidP="00323E7A">
            <w:pPr>
              <w:widowControl/>
              <w:jc w:val="center"/>
              <w:rPr>
                <w:rFonts w:ascii="Arial Narrow" w:hAnsi="Arial Narrow"/>
                <w:sz w:val="20"/>
                <w:highlight w:val="black"/>
              </w:rPr>
            </w:pPr>
            <w:r>
              <w:rPr>
                <w:rFonts w:ascii="Arial Narrow" w:hAnsi="Arial Narrow"/>
                <w:noProof/>
                <w:color w:val="000000"/>
                <w:sz w:val="20"/>
                <w:highlight w:val="black"/>
              </w:rPr>
              <w:t>''''''''''''</w:t>
            </w:r>
          </w:p>
        </w:tc>
      </w:tr>
      <w:tr w:rsidR="000D6C68" w:rsidRPr="004E2ADC" w:rsidTr="00DB5C4B">
        <w:tc>
          <w:tcPr>
            <w:tcW w:w="3672" w:type="pct"/>
            <w:gridSpan w:val="3"/>
          </w:tcPr>
          <w:p w:rsidR="000D6C68" w:rsidRPr="004E2ADC" w:rsidRDefault="000D6C68" w:rsidP="00323E7A">
            <w:pPr>
              <w:widowControl/>
              <w:rPr>
                <w:rFonts w:ascii="Arial Narrow" w:hAnsi="Arial Narrow"/>
                <w:b/>
                <w:sz w:val="20"/>
              </w:rPr>
            </w:pPr>
            <w:r w:rsidRPr="004E2ADC">
              <w:rPr>
                <w:rFonts w:ascii="Arial Narrow" w:hAnsi="Arial Narrow"/>
                <w:b/>
                <w:sz w:val="20"/>
              </w:rPr>
              <w:t>Incremental cost/</w:t>
            </w:r>
            <w:r w:rsidR="00EC02F0">
              <w:rPr>
                <w:rFonts w:ascii="Arial Narrow" w:hAnsi="Arial Narrow"/>
                <w:b/>
                <w:sz w:val="20"/>
              </w:rPr>
              <w:t>life-</w:t>
            </w:r>
            <w:r>
              <w:rPr>
                <w:rFonts w:ascii="Arial Narrow" w:hAnsi="Arial Narrow"/>
                <w:b/>
                <w:sz w:val="20"/>
              </w:rPr>
              <w:t>year gained</w:t>
            </w:r>
          </w:p>
        </w:tc>
        <w:tc>
          <w:tcPr>
            <w:tcW w:w="1328" w:type="pct"/>
          </w:tcPr>
          <w:p w:rsidR="000D6C68" w:rsidRPr="004E2ADC" w:rsidRDefault="000D6C68" w:rsidP="00323E7A">
            <w:pPr>
              <w:widowControl/>
              <w:jc w:val="center"/>
              <w:rPr>
                <w:rFonts w:ascii="Arial Narrow" w:hAnsi="Arial Narrow"/>
                <w:b/>
                <w:sz w:val="20"/>
              </w:rPr>
            </w:pPr>
            <w:r w:rsidRPr="004E2ADC">
              <w:rPr>
                <w:rFonts w:ascii="Arial Narrow" w:hAnsi="Arial Narrow"/>
                <w:b/>
                <w:sz w:val="20"/>
              </w:rPr>
              <w:t>$</w:t>
            </w:r>
            <w:r w:rsidR="00930DE3">
              <w:rPr>
                <w:rFonts w:ascii="Arial Narrow" w:hAnsi="Arial Narrow"/>
                <w:b/>
                <w:noProof/>
                <w:color w:val="000000"/>
                <w:sz w:val="20"/>
                <w:highlight w:val="black"/>
              </w:rPr>
              <w:t>'''''''''''''</w:t>
            </w:r>
          </w:p>
        </w:tc>
      </w:tr>
      <w:tr w:rsidR="000D6C68" w:rsidRPr="004E2ADC" w:rsidTr="00DB5C4B">
        <w:tc>
          <w:tcPr>
            <w:tcW w:w="3672" w:type="pct"/>
            <w:gridSpan w:val="3"/>
          </w:tcPr>
          <w:p w:rsidR="000D6C68" w:rsidRPr="004E2ADC" w:rsidRDefault="000D6C68" w:rsidP="00323E7A">
            <w:pPr>
              <w:widowControl/>
              <w:rPr>
                <w:rFonts w:ascii="Arial Narrow" w:hAnsi="Arial Narrow"/>
                <w:b/>
                <w:sz w:val="20"/>
              </w:rPr>
            </w:pPr>
            <w:r>
              <w:rPr>
                <w:rFonts w:ascii="Arial Narrow" w:hAnsi="Arial Narrow"/>
                <w:b/>
                <w:sz w:val="20"/>
              </w:rPr>
              <w:t>Incremental cost/QALY</w:t>
            </w:r>
          </w:p>
        </w:tc>
        <w:tc>
          <w:tcPr>
            <w:tcW w:w="1328" w:type="pct"/>
          </w:tcPr>
          <w:p w:rsidR="000D6C68" w:rsidRPr="004E2ADC" w:rsidRDefault="000D6C68" w:rsidP="00323E7A">
            <w:pPr>
              <w:widowControl/>
              <w:jc w:val="center"/>
              <w:rPr>
                <w:rFonts w:ascii="Arial Narrow" w:hAnsi="Arial Narrow"/>
                <w:b/>
                <w:sz w:val="20"/>
              </w:rPr>
            </w:pPr>
            <w:r>
              <w:rPr>
                <w:rFonts w:ascii="Arial Narrow" w:hAnsi="Arial Narrow"/>
                <w:b/>
                <w:sz w:val="20"/>
              </w:rPr>
              <w:t>$</w:t>
            </w:r>
            <w:r w:rsidR="00930DE3">
              <w:rPr>
                <w:rFonts w:ascii="Arial Narrow" w:hAnsi="Arial Narrow"/>
                <w:b/>
                <w:noProof/>
                <w:color w:val="000000"/>
                <w:sz w:val="20"/>
                <w:highlight w:val="black"/>
              </w:rPr>
              <w:t>''''''''''''''</w:t>
            </w:r>
          </w:p>
        </w:tc>
      </w:tr>
      <w:tr w:rsidR="00E62767" w:rsidRPr="004E2ADC" w:rsidTr="00DB5C4B">
        <w:tc>
          <w:tcPr>
            <w:tcW w:w="3672" w:type="pct"/>
            <w:gridSpan w:val="3"/>
          </w:tcPr>
          <w:p w:rsidR="00E62767" w:rsidRPr="007C295B" w:rsidRDefault="00E62767" w:rsidP="00323E7A">
            <w:pPr>
              <w:widowControl/>
              <w:rPr>
                <w:rFonts w:ascii="Arial Narrow" w:hAnsi="Arial Narrow"/>
                <w:b/>
                <w:sz w:val="20"/>
              </w:rPr>
            </w:pPr>
            <w:r w:rsidRPr="007C295B">
              <w:rPr>
                <w:rFonts w:ascii="Arial Narrow" w:hAnsi="Arial Narrow"/>
                <w:b/>
                <w:sz w:val="20"/>
              </w:rPr>
              <w:t>Sensitivity analyses from the PSCR*</w:t>
            </w:r>
          </w:p>
        </w:tc>
        <w:tc>
          <w:tcPr>
            <w:tcW w:w="1328" w:type="pct"/>
          </w:tcPr>
          <w:p w:rsidR="00E62767" w:rsidRPr="007C295B" w:rsidRDefault="00E62767" w:rsidP="00323E7A">
            <w:pPr>
              <w:widowControl/>
              <w:jc w:val="center"/>
              <w:rPr>
                <w:rFonts w:ascii="Arial Narrow" w:hAnsi="Arial Narrow"/>
                <w:b/>
                <w:sz w:val="20"/>
              </w:rPr>
            </w:pPr>
            <w:r w:rsidRPr="007C295B">
              <w:rPr>
                <w:rFonts w:ascii="Arial Narrow" w:hAnsi="Arial Narrow"/>
                <w:b/>
                <w:sz w:val="20"/>
              </w:rPr>
              <w:t>I</w:t>
            </w:r>
            <w:r w:rsidR="00EC02F0" w:rsidRPr="007C295B">
              <w:rPr>
                <w:rFonts w:ascii="Arial Narrow" w:hAnsi="Arial Narrow"/>
                <w:b/>
                <w:sz w:val="20"/>
              </w:rPr>
              <w:t>ncremental cost/QALY</w:t>
            </w:r>
          </w:p>
        </w:tc>
      </w:tr>
      <w:tr w:rsidR="00E62767" w:rsidRPr="004E2ADC" w:rsidTr="00DB5C4B">
        <w:tc>
          <w:tcPr>
            <w:tcW w:w="3672" w:type="pct"/>
            <w:gridSpan w:val="3"/>
          </w:tcPr>
          <w:p w:rsidR="00E62767" w:rsidRPr="00323E7A" w:rsidRDefault="00E62767" w:rsidP="00323E7A">
            <w:pPr>
              <w:widowControl/>
              <w:rPr>
                <w:rFonts w:ascii="Arial Narrow" w:hAnsi="Arial Narrow"/>
                <w:sz w:val="20"/>
              </w:rPr>
            </w:pPr>
            <w:r w:rsidRPr="00323E7A">
              <w:rPr>
                <w:rFonts w:ascii="Arial Narrow" w:hAnsi="Arial Narrow"/>
                <w:sz w:val="20"/>
              </w:rPr>
              <w:t>CA209-067 data</w:t>
            </w:r>
          </w:p>
        </w:tc>
        <w:tc>
          <w:tcPr>
            <w:tcW w:w="1328" w:type="pct"/>
          </w:tcPr>
          <w:p w:rsidR="00E62767" w:rsidRPr="007C295B" w:rsidRDefault="00E62767" w:rsidP="00323E7A">
            <w:pPr>
              <w:widowControl/>
              <w:jc w:val="center"/>
              <w:rPr>
                <w:rFonts w:ascii="Arial Narrow" w:hAnsi="Arial Narrow"/>
                <w:b/>
                <w:sz w:val="20"/>
              </w:rPr>
            </w:pPr>
            <w:r w:rsidRPr="007C295B">
              <w:rPr>
                <w:rFonts w:ascii="Arial Narrow" w:hAnsi="Arial Narrow"/>
                <w:b/>
                <w:sz w:val="20"/>
              </w:rPr>
              <w:t>$</w:t>
            </w:r>
            <w:r w:rsidR="00930DE3">
              <w:rPr>
                <w:rFonts w:ascii="Arial Narrow" w:hAnsi="Arial Narrow"/>
                <w:b/>
                <w:noProof/>
                <w:color w:val="000000"/>
                <w:sz w:val="20"/>
                <w:highlight w:val="black"/>
              </w:rPr>
              <w:t>'''''''''''''</w:t>
            </w:r>
          </w:p>
        </w:tc>
      </w:tr>
      <w:tr w:rsidR="00E62767" w:rsidRPr="004E2ADC" w:rsidTr="00DB5C4B">
        <w:tc>
          <w:tcPr>
            <w:tcW w:w="3672" w:type="pct"/>
            <w:gridSpan w:val="3"/>
          </w:tcPr>
          <w:p w:rsidR="00E62767" w:rsidRPr="00323E7A" w:rsidRDefault="00E62767" w:rsidP="00323E7A">
            <w:pPr>
              <w:widowControl/>
              <w:rPr>
                <w:rFonts w:ascii="Arial Narrow" w:hAnsi="Arial Narrow"/>
                <w:sz w:val="20"/>
              </w:rPr>
            </w:pPr>
            <w:r w:rsidRPr="00323E7A">
              <w:rPr>
                <w:rFonts w:ascii="Arial Narrow" w:hAnsi="Arial Narrow"/>
                <w:sz w:val="20"/>
              </w:rPr>
              <w:t>Updated infusion costs</w:t>
            </w:r>
          </w:p>
        </w:tc>
        <w:tc>
          <w:tcPr>
            <w:tcW w:w="1328" w:type="pct"/>
          </w:tcPr>
          <w:p w:rsidR="00E62767" w:rsidRPr="007C295B" w:rsidRDefault="00E62767" w:rsidP="00323E7A">
            <w:pPr>
              <w:widowControl/>
              <w:jc w:val="center"/>
              <w:rPr>
                <w:rFonts w:ascii="Arial Narrow" w:hAnsi="Arial Narrow"/>
                <w:b/>
                <w:sz w:val="20"/>
              </w:rPr>
            </w:pPr>
            <w:r w:rsidRPr="007C295B">
              <w:rPr>
                <w:rFonts w:ascii="Arial Narrow" w:hAnsi="Arial Narrow"/>
                <w:b/>
                <w:sz w:val="20"/>
              </w:rPr>
              <w:t>$</w:t>
            </w:r>
            <w:r w:rsidR="00930DE3">
              <w:rPr>
                <w:rFonts w:ascii="Arial Narrow" w:hAnsi="Arial Narrow"/>
                <w:b/>
                <w:noProof/>
                <w:color w:val="000000"/>
                <w:sz w:val="20"/>
                <w:highlight w:val="black"/>
              </w:rPr>
              <w:t>'''''''''''''</w:t>
            </w:r>
          </w:p>
        </w:tc>
      </w:tr>
      <w:tr w:rsidR="00E62767" w:rsidRPr="004E2ADC" w:rsidTr="00DB5C4B">
        <w:tc>
          <w:tcPr>
            <w:tcW w:w="3672" w:type="pct"/>
            <w:gridSpan w:val="3"/>
          </w:tcPr>
          <w:p w:rsidR="00E62767" w:rsidRPr="00323E7A" w:rsidRDefault="00E62767" w:rsidP="00323E7A">
            <w:pPr>
              <w:widowControl/>
              <w:rPr>
                <w:rFonts w:ascii="Arial Narrow" w:hAnsi="Arial Narrow"/>
                <w:sz w:val="20"/>
              </w:rPr>
            </w:pPr>
            <w:r w:rsidRPr="00323E7A">
              <w:rPr>
                <w:rFonts w:ascii="Arial Narrow" w:hAnsi="Arial Narrow"/>
                <w:sz w:val="20"/>
              </w:rPr>
              <w:t>7 year time horizon</w:t>
            </w:r>
          </w:p>
        </w:tc>
        <w:tc>
          <w:tcPr>
            <w:tcW w:w="1328" w:type="pct"/>
          </w:tcPr>
          <w:p w:rsidR="00E62767" w:rsidRPr="007C295B" w:rsidRDefault="00E62767" w:rsidP="00323E7A">
            <w:pPr>
              <w:widowControl/>
              <w:jc w:val="center"/>
              <w:rPr>
                <w:rFonts w:ascii="Arial Narrow" w:hAnsi="Arial Narrow"/>
                <w:b/>
                <w:sz w:val="20"/>
              </w:rPr>
            </w:pPr>
            <w:r w:rsidRPr="007C295B">
              <w:rPr>
                <w:rFonts w:ascii="Arial Narrow" w:hAnsi="Arial Narrow"/>
                <w:b/>
                <w:sz w:val="20"/>
              </w:rPr>
              <w:t>$</w:t>
            </w:r>
            <w:r w:rsidR="00930DE3">
              <w:rPr>
                <w:rFonts w:ascii="Arial Narrow" w:hAnsi="Arial Narrow"/>
                <w:b/>
                <w:noProof/>
                <w:color w:val="000000"/>
                <w:sz w:val="20"/>
                <w:highlight w:val="black"/>
              </w:rPr>
              <w:t>'''''''''''''</w:t>
            </w:r>
          </w:p>
        </w:tc>
      </w:tr>
    </w:tbl>
    <w:p w:rsidR="000D6C68" w:rsidRPr="00AD1FDF" w:rsidRDefault="000D6C68" w:rsidP="00323E7A">
      <w:pPr>
        <w:pStyle w:val="TableFooter"/>
        <w:widowControl/>
        <w:ind w:left="720"/>
        <w:rPr>
          <w:i/>
        </w:rPr>
      </w:pPr>
      <w:r w:rsidRPr="00D13A3E">
        <w:t xml:space="preserve">Source: </w:t>
      </w:r>
      <w:r>
        <w:t>‘Appendix B Section D – Nivolumab March 2015 PBAC.xlsx’</w:t>
      </w:r>
      <w:r w:rsidR="00AD1FDF">
        <w:t xml:space="preserve">, </w:t>
      </w:r>
      <w:r w:rsidR="00AD1FDF" w:rsidRPr="00323E7A">
        <w:t>Table 3, p3</w:t>
      </w:r>
      <w:r w:rsidR="00B54C91" w:rsidRPr="00323E7A">
        <w:t xml:space="preserve"> of the PSCR</w:t>
      </w:r>
    </w:p>
    <w:p w:rsidR="000D6C68" w:rsidRPr="00D13A3E" w:rsidRDefault="000D6C68" w:rsidP="00323E7A">
      <w:pPr>
        <w:pStyle w:val="TableFooter"/>
        <w:widowControl/>
        <w:ind w:left="720"/>
      </w:pPr>
      <w:r>
        <w:t>QALY = Quality adjusted life-year</w:t>
      </w:r>
    </w:p>
    <w:p w:rsidR="00D110BD" w:rsidRDefault="000D6C68" w:rsidP="00323E7A">
      <w:pPr>
        <w:pStyle w:val="TableFooter"/>
        <w:widowControl/>
        <w:ind w:left="709"/>
      </w:pPr>
      <w:r>
        <w:t>Note: incremental costs and incremental QALYs were presented in 1000 person totals in the model. These values were divided by 1000 (individual patient average values) during the evaluation for clarity.</w:t>
      </w:r>
    </w:p>
    <w:p w:rsidR="00E62767" w:rsidRPr="007C295B" w:rsidRDefault="00E62767" w:rsidP="00323E7A">
      <w:pPr>
        <w:pStyle w:val="TableFooter"/>
        <w:widowControl/>
        <w:ind w:left="709"/>
      </w:pPr>
      <w:r w:rsidRPr="007C295B">
        <w:t>*</w:t>
      </w:r>
      <w:r w:rsidR="00CD2766" w:rsidRPr="007C295B">
        <w:t>The PSCR provided n</w:t>
      </w:r>
      <w:r w:rsidRPr="007C295B">
        <w:t>o detail</w:t>
      </w:r>
      <w:r w:rsidR="00CD2766" w:rsidRPr="007C295B">
        <w:t>s</w:t>
      </w:r>
      <w:r w:rsidRPr="007C295B">
        <w:t xml:space="preserve"> </w:t>
      </w:r>
      <w:r w:rsidR="00CD2766" w:rsidRPr="007C295B">
        <w:t>as to how the variables in the economic model were changed,</w:t>
      </w:r>
      <w:r w:rsidRPr="007C295B">
        <w:t xml:space="preserve"> therefore these sensitivity analyses could not be verified</w:t>
      </w:r>
      <w:r w:rsidR="00725599" w:rsidRPr="007C295B">
        <w:t xml:space="preserve"> independently</w:t>
      </w:r>
      <w:r w:rsidRPr="007C295B">
        <w:t>.</w:t>
      </w:r>
    </w:p>
    <w:p w:rsidR="000D6C68" w:rsidRPr="004A053A" w:rsidRDefault="000D6C68" w:rsidP="00323E7A">
      <w:pPr>
        <w:widowControl/>
      </w:pPr>
    </w:p>
    <w:p w:rsidR="00D110BD" w:rsidRPr="004A053A" w:rsidRDefault="00DC3F00" w:rsidP="00323E7A">
      <w:pPr>
        <w:pStyle w:val="ListParagraph"/>
        <w:widowControl/>
        <w:numPr>
          <w:ilvl w:val="1"/>
          <w:numId w:val="23"/>
        </w:numPr>
        <w:ind w:left="709" w:hanging="709"/>
      </w:pPr>
      <w:r w:rsidRPr="004A053A">
        <w:t xml:space="preserve">ESC </w:t>
      </w:r>
      <w:r w:rsidR="000D6C68" w:rsidRPr="004A053A">
        <w:t xml:space="preserve">considered </w:t>
      </w:r>
      <w:r w:rsidRPr="004A053A">
        <w:t xml:space="preserve">that it was </w:t>
      </w:r>
      <w:r w:rsidR="000D6C68" w:rsidRPr="004A053A">
        <w:t>likely that the incremental cost per QALY presented in the base case analysis was significantly underestimated</w:t>
      </w:r>
      <w:r w:rsidR="00A6558A" w:rsidRPr="004A053A">
        <w:t xml:space="preserve"> </w:t>
      </w:r>
      <w:r w:rsidR="00860340" w:rsidRPr="004A053A">
        <w:t xml:space="preserve">and </w:t>
      </w:r>
      <w:r w:rsidR="00A6558A" w:rsidRPr="004A053A">
        <w:rPr>
          <w:szCs w:val="22"/>
        </w:rPr>
        <w:t>did not accurately represent the cost-effectiveness of nivolumab over ipilimumab</w:t>
      </w:r>
      <w:r w:rsidR="000D6C68" w:rsidRPr="004A053A">
        <w:t>, for the following reasons:</w:t>
      </w:r>
    </w:p>
    <w:p w:rsidR="008A4A66" w:rsidRPr="004A053A" w:rsidRDefault="00B54C91" w:rsidP="00323E7A">
      <w:pPr>
        <w:pStyle w:val="ListParagraph"/>
        <w:widowControl/>
        <w:numPr>
          <w:ilvl w:val="0"/>
          <w:numId w:val="4"/>
        </w:numPr>
        <w:ind w:left="993" w:hanging="284"/>
        <w:rPr>
          <w:szCs w:val="22"/>
        </w:rPr>
      </w:pPr>
      <w:r w:rsidRPr="004A053A">
        <w:rPr>
          <w:szCs w:val="22"/>
        </w:rPr>
        <w:t>The unnecessarily complex approach</w:t>
      </w:r>
      <w:r w:rsidR="00E9215F" w:rsidRPr="004A053A">
        <w:rPr>
          <w:szCs w:val="22"/>
        </w:rPr>
        <w:t xml:space="preserve"> taken</w:t>
      </w:r>
      <w:r w:rsidRPr="004A053A">
        <w:rPr>
          <w:szCs w:val="22"/>
        </w:rPr>
        <w:t xml:space="preserve"> to modelling the transitions across the usual three health state structure of a model in metastatic cancer resulted in counter-intuitive results when tested in sensitivity analyses which could not be readily explained</w:t>
      </w:r>
      <w:r w:rsidR="008A4A66" w:rsidRPr="004A053A">
        <w:rPr>
          <w:szCs w:val="22"/>
        </w:rPr>
        <w:t>.</w:t>
      </w:r>
    </w:p>
    <w:p w:rsidR="008A4A66" w:rsidRPr="004A053A" w:rsidRDefault="00645AC3" w:rsidP="00323E7A">
      <w:pPr>
        <w:pStyle w:val="ListParagraph"/>
        <w:widowControl/>
        <w:numPr>
          <w:ilvl w:val="0"/>
          <w:numId w:val="4"/>
        </w:numPr>
        <w:ind w:left="993" w:hanging="284"/>
        <w:rPr>
          <w:szCs w:val="22"/>
        </w:rPr>
      </w:pPr>
      <w:r w:rsidRPr="004A053A">
        <w:t>While there was not enough information to determine whether the log-logistic extrapolation method was systematically biased in one direction or another, the lack of sensitivity analyses employing alternative curves was of concern.  In addition, the model did not use Kaplan-Meier trial-based data followed by extrapolated curves, and instead used solely modelled curves.  Overall, it was difficult to ascertain the sensitivity of the model to various extrapolation methods, and whether the extrapolated effect modelled in the submission could reasonably be expected in the Australian population.  The ESC noted that o</w:t>
      </w:r>
      <w:r w:rsidR="008A4A66" w:rsidRPr="004A053A">
        <w:rPr>
          <w:szCs w:val="22"/>
        </w:rPr>
        <w:t xml:space="preserve">nly the Akaike information criterion (AIC) statistics were presented for the extrapolated </w:t>
      </w:r>
      <w:r w:rsidRPr="004A053A">
        <w:t xml:space="preserve">PFS and post-progression OS </w:t>
      </w:r>
      <w:r w:rsidR="008A4A66" w:rsidRPr="004A053A">
        <w:rPr>
          <w:szCs w:val="22"/>
        </w:rPr>
        <w:t xml:space="preserve">curves used </w:t>
      </w:r>
      <w:r w:rsidR="00B54C91" w:rsidRPr="004A053A">
        <w:rPr>
          <w:szCs w:val="22"/>
        </w:rPr>
        <w:t xml:space="preserve">throughout </w:t>
      </w:r>
      <w:r w:rsidR="008A4A66" w:rsidRPr="004A053A">
        <w:rPr>
          <w:szCs w:val="22"/>
        </w:rPr>
        <w:t xml:space="preserve">the model. </w:t>
      </w:r>
      <w:r w:rsidR="00B54C91" w:rsidRPr="004A053A">
        <w:rPr>
          <w:szCs w:val="22"/>
        </w:rPr>
        <w:t xml:space="preserve"> </w:t>
      </w:r>
      <w:r w:rsidR="008A4A66" w:rsidRPr="004A053A">
        <w:rPr>
          <w:szCs w:val="22"/>
        </w:rPr>
        <w:t>The PFS curve, in particular, appear</w:t>
      </w:r>
      <w:r w:rsidR="00B54C91" w:rsidRPr="004A053A">
        <w:rPr>
          <w:szCs w:val="22"/>
        </w:rPr>
        <w:t>ed</w:t>
      </w:r>
      <w:r w:rsidR="008A4A66" w:rsidRPr="004A053A">
        <w:rPr>
          <w:szCs w:val="22"/>
        </w:rPr>
        <w:t xml:space="preserve"> to be highly favourable to nivolumab.</w:t>
      </w:r>
      <w:r w:rsidRPr="004A053A">
        <w:rPr>
          <w:szCs w:val="22"/>
        </w:rPr>
        <w:t xml:space="preserve">  </w:t>
      </w:r>
      <w:r w:rsidRPr="004A053A">
        <w:t>The ESC considered that the best fitting Weibull, log-logistic, exponential and Gompertz curves should be presented for each of the observed OS, PFS and post-progression survival data and the economic model re-run using different extrapolation methods for these outcomes to examine the model’s sensitivity to the extrapolation method selected.</w:t>
      </w:r>
    </w:p>
    <w:p w:rsidR="00BB31E7" w:rsidRPr="004A053A" w:rsidRDefault="00BB31E7" w:rsidP="00323E7A">
      <w:pPr>
        <w:pStyle w:val="ListParagraph"/>
        <w:widowControl/>
        <w:numPr>
          <w:ilvl w:val="0"/>
          <w:numId w:val="4"/>
        </w:numPr>
        <w:ind w:left="993" w:hanging="284"/>
        <w:rPr>
          <w:szCs w:val="22"/>
        </w:rPr>
      </w:pPr>
      <w:r w:rsidRPr="004A053A">
        <w:rPr>
          <w:szCs w:val="22"/>
        </w:rPr>
        <w:t xml:space="preserve">The treatment effects </w:t>
      </w:r>
      <w:r w:rsidR="00502D53" w:rsidRPr="004A053A">
        <w:rPr>
          <w:szCs w:val="22"/>
        </w:rPr>
        <w:t xml:space="preserve">relied </w:t>
      </w:r>
      <w:r w:rsidRPr="004A053A">
        <w:rPr>
          <w:szCs w:val="22"/>
        </w:rPr>
        <w:t xml:space="preserve">upon </w:t>
      </w:r>
      <w:r w:rsidR="00502D53" w:rsidRPr="004A053A">
        <w:rPr>
          <w:szCs w:val="22"/>
        </w:rPr>
        <w:t>for</w:t>
      </w:r>
      <w:r w:rsidRPr="004A053A">
        <w:rPr>
          <w:szCs w:val="22"/>
        </w:rPr>
        <w:t xml:space="preserve"> the extrapolations used in the model were derived from an indirect comparison </w:t>
      </w:r>
      <w:r w:rsidR="000454E9" w:rsidRPr="004A053A">
        <w:rPr>
          <w:szCs w:val="22"/>
        </w:rPr>
        <w:t>of</w:t>
      </w:r>
      <w:r w:rsidR="00A26DA9" w:rsidRPr="004A053A">
        <w:rPr>
          <w:szCs w:val="22"/>
        </w:rPr>
        <w:t xml:space="preserve"> </w:t>
      </w:r>
      <w:r w:rsidR="00502D53" w:rsidRPr="004A053A">
        <w:rPr>
          <w:szCs w:val="22"/>
        </w:rPr>
        <w:t>poorly exchangeable</w:t>
      </w:r>
      <w:r w:rsidR="00A26DA9" w:rsidRPr="004A053A">
        <w:rPr>
          <w:szCs w:val="22"/>
        </w:rPr>
        <w:t xml:space="preserve"> trials </w:t>
      </w:r>
      <w:r w:rsidR="000454E9" w:rsidRPr="004A053A">
        <w:rPr>
          <w:szCs w:val="22"/>
        </w:rPr>
        <w:t>that</w:t>
      </w:r>
      <w:r w:rsidR="00A26DA9" w:rsidRPr="004A053A">
        <w:rPr>
          <w:szCs w:val="22"/>
        </w:rPr>
        <w:t xml:space="preserve"> was likely to be</w:t>
      </w:r>
      <w:r w:rsidRPr="004A053A">
        <w:rPr>
          <w:szCs w:val="22"/>
        </w:rPr>
        <w:t xml:space="preserve"> </w:t>
      </w:r>
      <w:r w:rsidR="003C485F" w:rsidRPr="004A053A">
        <w:rPr>
          <w:szCs w:val="22"/>
        </w:rPr>
        <w:t>biased in favour of nivol</w:t>
      </w:r>
      <w:r w:rsidRPr="004A053A">
        <w:rPr>
          <w:szCs w:val="22"/>
        </w:rPr>
        <w:t>umab (healthier trial patients).</w:t>
      </w:r>
    </w:p>
    <w:p w:rsidR="00A86E8B" w:rsidRPr="004A053A" w:rsidRDefault="00DB5C4B" w:rsidP="00323E7A">
      <w:pPr>
        <w:pStyle w:val="ListParagraph"/>
        <w:widowControl/>
        <w:numPr>
          <w:ilvl w:val="0"/>
          <w:numId w:val="4"/>
        </w:numPr>
        <w:ind w:left="993" w:hanging="284"/>
        <w:rPr>
          <w:szCs w:val="22"/>
        </w:rPr>
      </w:pPr>
      <w:r w:rsidRPr="004A053A">
        <w:rPr>
          <w:szCs w:val="22"/>
        </w:rPr>
        <w:t xml:space="preserve">The time horizon of 10 years, which </w:t>
      </w:r>
      <w:r w:rsidRPr="004A053A">
        <w:t>was</w:t>
      </w:r>
      <w:r w:rsidRPr="004A053A">
        <w:rPr>
          <w:szCs w:val="22"/>
        </w:rPr>
        <w:t xml:space="preserve"> not adequately </w:t>
      </w:r>
      <w:r w:rsidR="000454E9" w:rsidRPr="004A053A">
        <w:rPr>
          <w:szCs w:val="22"/>
        </w:rPr>
        <w:t>justified, significantly favoured</w:t>
      </w:r>
      <w:r w:rsidRPr="004A053A">
        <w:rPr>
          <w:szCs w:val="22"/>
        </w:rPr>
        <w:t xml:space="preserve"> nivolumab.</w:t>
      </w:r>
    </w:p>
    <w:p w:rsidR="00DB5C4B" w:rsidRPr="004A053A" w:rsidRDefault="00DB5C4B" w:rsidP="00323E7A">
      <w:pPr>
        <w:pStyle w:val="ListParagraph"/>
        <w:widowControl/>
        <w:numPr>
          <w:ilvl w:val="0"/>
          <w:numId w:val="4"/>
        </w:numPr>
        <w:ind w:left="993" w:hanging="284"/>
        <w:rPr>
          <w:szCs w:val="22"/>
        </w:rPr>
      </w:pPr>
      <w:r w:rsidRPr="004A053A">
        <w:t xml:space="preserve">The model did not incorporate costs of patients continuing nivolumab treatment beyond progression. </w:t>
      </w:r>
      <w:r w:rsidR="009B2A22" w:rsidRPr="004A053A">
        <w:t xml:space="preserve"> </w:t>
      </w:r>
      <w:r w:rsidRPr="004A053A">
        <w:t xml:space="preserve">As there are no explicit restrictions for patients continuing treatment post-progression in the requested restriction, these costs could be considerable. </w:t>
      </w:r>
      <w:r w:rsidR="009B2A22" w:rsidRPr="004A053A">
        <w:t xml:space="preserve"> </w:t>
      </w:r>
      <w:r w:rsidRPr="004A053A">
        <w:t>Omissi</w:t>
      </w:r>
      <w:r w:rsidR="000454E9" w:rsidRPr="004A053A">
        <w:t>on of these costs likely favoured</w:t>
      </w:r>
      <w:r w:rsidRPr="004A053A">
        <w:t xml:space="preserve"> nivolumab significantly.</w:t>
      </w:r>
      <w:r w:rsidR="00B54C91" w:rsidRPr="004A053A">
        <w:t xml:space="preserve"> </w:t>
      </w:r>
      <w:r w:rsidR="00D6269E" w:rsidRPr="004A053A">
        <w:t xml:space="preserve"> </w:t>
      </w:r>
      <w:r w:rsidR="00D6269E" w:rsidRPr="004A053A">
        <w:lastRenderedPageBreak/>
        <w:t xml:space="preserve">The ESC also </w:t>
      </w:r>
      <w:r w:rsidR="00427F0E" w:rsidRPr="004A053A">
        <w:t>noted</w:t>
      </w:r>
      <w:r w:rsidR="00D6269E" w:rsidRPr="004A053A">
        <w:t xml:space="preserve"> that the model assume</w:t>
      </w:r>
      <w:r w:rsidR="00B54C91" w:rsidRPr="004A053A">
        <w:t>d</w:t>
      </w:r>
      <w:r w:rsidR="00D6269E" w:rsidRPr="004A053A">
        <w:t xml:space="preserve"> no further lines of therapy, e.g. ipilimumab as second</w:t>
      </w:r>
      <w:r w:rsidR="001E5B06" w:rsidRPr="004A053A">
        <w:t>-</w:t>
      </w:r>
      <w:r w:rsidR="00D6269E" w:rsidRPr="004A053A">
        <w:t>line therapy following first</w:t>
      </w:r>
      <w:r w:rsidR="001E5B06" w:rsidRPr="004A053A">
        <w:t>-</w:t>
      </w:r>
      <w:r w:rsidR="00D6269E" w:rsidRPr="004A053A">
        <w:t>line nivolumab therapy.</w:t>
      </w:r>
    </w:p>
    <w:p w:rsidR="003F3154" w:rsidRPr="00645AC3" w:rsidRDefault="003F3154" w:rsidP="00323E7A">
      <w:pPr>
        <w:widowControl/>
        <w:rPr>
          <w:szCs w:val="22"/>
        </w:rPr>
      </w:pPr>
    </w:p>
    <w:p w:rsidR="00B66B6D" w:rsidRPr="004A053A" w:rsidRDefault="002727C8" w:rsidP="00323E7A">
      <w:pPr>
        <w:pStyle w:val="ListParagraph"/>
        <w:widowControl/>
        <w:numPr>
          <w:ilvl w:val="1"/>
          <w:numId w:val="23"/>
        </w:numPr>
        <w:ind w:left="709" w:hanging="709"/>
      </w:pPr>
      <w:r w:rsidRPr="004A053A">
        <w:t xml:space="preserve">The results of the </w:t>
      </w:r>
      <w:r w:rsidR="009B2A22" w:rsidRPr="004A053A">
        <w:t xml:space="preserve">presented </w:t>
      </w:r>
      <w:r w:rsidRPr="004A053A">
        <w:t xml:space="preserve">sensitivity analyses demonstrated that the model </w:t>
      </w:r>
      <w:r w:rsidR="00DE4DD1" w:rsidRPr="004A053A">
        <w:t>wa</w:t>
      </w:r>
      <w:r w:rsidRPr="004A053A">
        <w:t xml:space="preserve">s most sensitive to time horizon (increasing the </w:t>
      </w:r>
      <w:r w:rsidR="00EC02F0" w:rsidRPr="004A053A">
        <w:t>incremental cost/QALY</w:t>
      </w:r>
      <w:r w:rsidRPr="004A053A">
        <w:t xml:space="preserve"> from $</w:t>
      </w:r>
      <w:r w:rsidR="00323E7A">
        <w:t xml:space="preserve">45,000 - $75,000 </w:t>
      </w:r>
      <w:r w:rsidRPr="004A053A">
        <w:t>to $</w:t>
      </w:r>
      <w:r w:rsidR="00323E7A">
        <w:t>45,000 - $75,000</w:t>
      </w:r>
      <w:r w:rsidRPr="004A053A">
        <w:t xml:space="preserve"> for a 5</w:t>
      </w:r>
      <w:r w:rsidR="009B2A22" w:rsidRPr="004A053A">
        <w:t>-</w:t>
      </w:r>
      <w:r w:rsidRPr="004A053A">
        <w:t>year horizon</w:t>
      </w:r>
      <w:r w:rsidR="00DE4DD1" w:rsidRPr="004A053A">
        <w:t xml:space="preserve"> and to $</w:t>
      </w:r>
      <w:r w:rsidR="00323E7A">
        <w:t>45,000 - $75,000</w:t>
      </w:r>
      <w:r w:rsidR="00DE4DD1" w:rsidRPr="004A053A">
        <w:t xml:space="preserve"> for a 7</w:t>
      </w:r>
      <w:r w:rsidR="009B2A22" w:rsidRPr="004A053A">
        <w:t>-</w:t>
      </w:r>
      <w:r w:rsidR="00DE4DD1" w:rsidRPr="004A053A">
        <w:t>year time horizon</w:t>
      </w:r>
      <w:r w:rsidRPr="004A053A">
        <w:t xml:space="preserve">), and estimates of hazard ratios between ipilimumab and nivolumab (increasing the </w:t>
      </w:r>
      <w:r w:rsidR="00EC02F0" w:rsidRPr="004A053A">
        <w:t xml:space="preserve">incremental cost/QALY </w:t>
      </w:r>
      <w:r w:rsidRPr="004A053A">
        <w:t>to $</w:t>
      </w:r>
      <w:r w:rsidR="00323E7A">
        <w:t>45,000 - $75,000</w:t>
      </w:r>
      <w:r w:rsidRPr="004A053A">
        <w:t xml:space="preserve"> when using the upper 95% C</w:t>
      </w:r>
      <w:r w:rsidR="009B2A22" w:rsidRPr="004A053A">
        <w:t>L</w:t>
      </w:r>
      <w:r w:rsidRPr="004A053A">
        <w:t xml:space="preserve"> of the </w:t>
      </w:r>
      <w:r w:rsidR="004D09D2" w:rsidRPr="004A053A">
        <w:t>OS</w:t>
      </w:r>
      <w:r w:rsidRPr="004A053A">
        <w:t xml:space="preserve"> hazard ratio</w:t>
      </w:r>
      <w:r w:rsidR="00860340" w:rsidRPr="004A053A">
        <w:t xml:space="preserve"> – although the ESC noted that this was a counter-intuitively small increase, see </w:t>
      </w:r>
      <w:r w:rsidR="00860340" w:rsidRPr="00E36EA6">
        <w:t xml:space="preserve">paragraph </w:t>
      </w:r>
      <w:r w:rsidR="009B6D28" w:rsidRPr="00E36EA6">
        <w:t>6.25</w:t>
      </w:r>
      <w:r w:rsidRPr="00E36EA6">
        <w:t>).</w:t>
      </w:r>
      <w:r w:rsidR="00B66B6D" w:rsidRPr="00E36EA6">
        <w:t xml:space="preserve"> Multivariate analyses </w:t>
      </w:r>
      <w:r w:rsidR="00EC02F0" w:rsidRPr="00E36EA6">
        <w:t xml:space="preserve">changing both </w:t>
      </w:r>
      <w:r w:rsidR="00B66B6D" w:rsidRPr="00E36EA6">
        <w:t xml:space="preserve">these two variables </w:t>
      </w:r>
      <w:r w:rsidR="00EC02F0" w:rsidRPr="00E36EA6">
        <w:t xml:space="preserve">simultaneously </w:t>
      </w:r>
      <w:r w:rsidR="00B66B6D" w:rsidRPr="00E36EA6">
        <w:t>increased</w:t>
      </w:r>
      <w:r w:rsidR="00B66B6D" w:rsidRPr="004A053A">
        <w:t xml:space="preserve"> the </w:t>
      </w:r>
      <w:r w:rsidR="00EC02F0" w:rsidRPr="004A053A">
        <w:t xml:space="preserve">incremental cost/QALY </w:t>
      </w:r>
      <w:r w:rsidR="00B66B6D" w:rsidRPr="004A053A">
        <w:t>to $</w:t>
      </w:r>
      <w:r w:rsidR="00323E7A">
        <w:t>75,000 – $105,000</w:t>
      </w:r>
      <w:r w:rsidR="00B66B6D" w:rsidRPr="004A053A">
        <w:t xml:space="preserve"> over 5 years and $</w:t>
      </w:r>
      <w:r w:rsidR="00323E7A">
        <w:t>45,000 - $75,000</w:t>
      </w:r>
      <w:r w:rsidR="00B66B6D" w:rsidRPr="004A053A">
        <w:t xml:space="preserve"> over 7 years</w:t>
      </w:r>
      <w:r w:rsidR="004D09D2" w:rsidRPr="004A053A">
        <w:t>.  A change in time horizon and use of the Australian population weight (sponsor’s data), which increased vial usage, had a si</w:t>
      </w:r>
      <w:r w:rsidR="009B2A22" w:rsidRPr="004A053A">
        <w:t xml:space="preserve">gnificant impact on the </w:t>
      </w:r>
      <w:r w:rsidR="00EC02F0" w:rsidRPr="004A053A">
        <w:t xml:space="preserve">incremental cost/QALY </w:t>
      </w:r>
      <w:r w:rsidR="009B2A22" w:rsidRPr="004A053A">
        <w:t>(7-</w:t>
      </w:r>
      <w:r w:rsidR="004D09D2" w:rsidRPr="004A053A">
        <w:t>year time horizon and weight of 82.1kg: $</w:t>
      </w:r>
      <w:r w:rsidR="009A1D2A">
        <w:t>45,000 - $75,000</w:t>
      </w:r>
      <w:r w:rsidR="004D09D2" w:rsidRPr="004A053A">
        <w:t>; 5</w:t>
      </w:r>
      <w:r w:rsidR="009B2A22" w:rsidRPr="004A053A">
        <w:t>-</w:t>
      </w:r>
      <w:r w:rsidR="004D09D2" w:rsidRPr="004A053A">
        <w:t>year time horizon and weight of 82.1kg: $</w:t>
      </w:r>
      <w:r w:rsidR="009A1D2A">
        <w:t>75,000 – $105,000</w:t>
      </w:r>
      <w:r w:rsidR="004D09D2" w:rsidRPr="004A053A">
        <w:t>).</w:t>
      </w:r>
    </w:p>
    <w:p w:rsidR="00B66B6D" w:rsidRPr="006C03DC" w:rsidRDefault="00B66B6D" w:rsidP="00323E7A">
      <w:pPr>
        <w:widowControl/>
      </w:pPr>
    </w:p>
    <w:p w:rsidR="00A86E8B" w:rsidRDefault="007941BF" w:rsidP="00323E7A">
      <w:pPr>
        <w:pStyle w:val="ListParagraph"/>
        <w:widowControl/>
        <w:numPr>
          <w:ilvl w:val="1"/>
          <w:numId w:val="23"/>
        </w:numPr>
        <w:ind w:left="709" w:hanging="709"/>
      </w:pPr>
      <w:r w:rsidRPr="006C03DC">
        <w:t>T</w:t>
      </w:r>
      <w:r w:rsidR="00DE4DD1" w:rsidRPr="006C03DC">
        <w:t xml:space="preserve">hese analyses </w:t>
      </w:r>
      <w:r w:rsidR="009B2A22" w:rsidRPr="006C03DC">
        <w:t xml:space="preserve">would </w:t>
      </w:r>
      <w:r w:rsidR="00DE4DD1" w:rsidRPr="006C03DC">
        <w:t xml:space="preserve">only </w:t>
      </w:r>
      <w:r w:rsidR="009B2A22" w:rsidRPr="006C03DC">
        <w:t xml:space="preserve">be </w:t>
      </w:r>
      <w:r w:rsidR="00DE4DD1" w:rsidRPr="006C03DC">
        <w:t xml:space="preserve">valid if the extrapolation method </w:t>
      </w:r>
      <w:r w:rsidR="009B2A22" w:rsidRPr="006C03DC">
        <w:t>wa</w:t>
      </w:r>
      <w:r w:rsidR="00DE4DD1" w:rsidRPr="006C03DC">
        <w:t xml:space="preserve">s justified and accepted, and if it </w:t>
      </w:r>
      <w:r w:rsidR="009B2A22" w:rsidRPr="006C03DC">
        <w:t>wa</w:t>
      </w:r>
      <w:r w:rsidR="00DE4DD1" w:rsidRPr="006C03DC">
        <w:t>s determined that the proportion of patients receiving nivolumab post-progression in the proposed Australian population would be negligible.</w:t>
      </w:r>
    </w:p>
    <w:p w:rsidR="00A1290B" w:rsidRPr="004A053A" w:rsidRDefault="00A1290B" w:rsidP="00323E7A">
      <w:pPr>
        <w:widowControl/>
      </w:pPr>
    </w:p>
    <w:p w:rsidR="00A1290B" w:rsidRPr="004A053A" w:rsidRDefault="00A1290B" w:rsidP="00323E7A">
      <w:pPr>
        <w:pStyle w:val="ListParagraph"/>
        <w:widowControl/>
        <w:numPr>
          <w:ilvl w:val="1"/>
          <w:numId w:val="23"/>
        </w:numPr>
        <w:ind w:left="709" w:hanging="709"/>
      </w:pPr>
      <w:r w:rsidRPr="004A053A">
        <w:t xml:space="preserve">Given that direct randomised trial evidence was now available, and noting the PBAC preference for economic evaluations that directly reflect the trial data before using modelling to extrapolate beyond the median duration of follow-up in the trials (see, for example, the description of the economic evaluation requested for the Managed Entry Scheme resubmission in the </w:t>
      </w:r>
      <w:r w:rsidRPr="00930DE3">
        <w:t>November 2014 PSD for trametinib</w:t>
      </w:r>
      <w:r w:rsidRPr="004A053A">
        <w:t xml:space="preserve">), the ESC </w:t>
      </w:r>
      <w:r w:rsidR="00725599" w:rsidRPr="004A053A">
        <w:t>advised</w:t>
      </w:r>
      <w:r w:rsidRPr="004A053A">
        <w:t xml:space="preserve"> that it would be informative to adopt the PBAC-preferred approach directly.</w:t>
      </w:r>
    </w:p>
    <w:p w:rsidR="00A86E8B" w:rsidRPr="00A86E8B" w:rsidRDefault="00A86E8B" w:rsidP="00323E7A">
      <w:pPr>
        <w:widowControl/>
        <w:rPr>
          <w:szCs w:val="22"/>
        </w:rPr>
      </w:pPr>
    </w:p>
    <w:p w:rsidR="00C25D9C" w:rsidRPr="00A51118" w:rsidRDefault="007B7704" w:rsidP="00323E7A">
      <w:pPr>
        <w:pStyle w:val="Heading2"/>
        <w:widowControl/>
        <w:rPr>
          <w:b w:val="0"/>
          <w:szCs w:val="22"/>
        </w:rPr>
      </w:pPr>
      <w:bookmarkStart w:id="15" w:name="_Toc419885976"/>
      <w:r>
        <w:rPr>
          <w:i/>
        </w:rPr>
        <w:t>Drug cost/patient/course</w:t>
      </w:r>
      <w:r w:rsidR="00C25D9C" w:rsidRPr="002C2775">
        <w:rPr>
          <w:i/>
        </w:rPr>
        <w:t>:</w:t>
      </w:r>
      <w:r w:rsidR="00C25D9C" w:rsidRPr="00A51118">
        <w:rPr>
          <w:b w:val="0"/>
        </w:rPr>
        <w:t xml:space="preserve"> </w:t>
      </w:r>
      <w:r w:rsidRPr="00A51118">
        <w:rPr>
          <w:b w:val="0"/>
        </w:rPr>
        <w:t>$</w:t>
      </w:r>
      <w:r w:rsidR="00930DE3">
        <w:rPr>
          <w:b w:val="0"/>
          <w:noProof/>
          <w:color w:val="000000"/>
          <w:highlight w:val="black"/>
        </w:rPr>
        <w:t>'''''''''''''''''''''''''''''</w:t>
      </w:r>
      <w:r w:rsidR="00C25D9C" w:rsidRPr="00A51118">
        <w:rPr>
          <w:b w:val="0"/>
        </w:rPr>
        <w:t>.</w:t>
      </w:r>
      <w:bookmarkEnd w:id="15"/>
    </w:p>
    <w:p w:rsidR="00C25D9C" w:rsidRPr="00C25D9C" w:rsidRDefault="00C25D9C" w:rsidP="00323E7A">
      <w:pPr>
        <w:widowControl/>
        <w:rPr>
          <w:szCs w:val="22"/>
        </w:rPr>
      </w:pPr>
    </w:p>
    <w:p w:rsidR="007B7704" w:rsidRPr="00B841D9" w:rsidRDefault="007B7704" w:rsidP="00323E7A">
      <w:pPr>
        <w:pStyle w:val="ListParagraph"/>
        <w:widowControl/>
        <w:numPr>
          <w:ilvl w:val="1"/>
          <w:numId w:val="23"/>
        </w:numPr>
        <w:ind w:left="709" w:hanging="709"/>
        <w:rPr>
          <w:i/>
        </w:rPr>
      </w:pPr>
      <w:r w:rsidRPr="00B841D9">
        <w:t xml:space="preserve">A summary of the </w:t>
      </w:r>
      <w:r w:rsidRPr="006C03DC">
        <w:t>estimated drug cost/patient/course for nivolumab and ipilimumab is presented in the table below.</w:t>
      </w:r>
      <w:r w:rsidR="0021178C" w:rsidRPr="006C03DC">
        <w:t xml:space="preserve">  Based on the estimates presented in the submission, the drug cost/patient/course for nivolumab </w:t>
      </w:r>
      <w:r w:rsidR="009B2A22" w:rsidRPr="006C03DC">
        <w:t>wa</w:t>
      </w:r>
      <w:r w:rsidR="0021178C" w:rsidRPr="006C03DC">
        <w:t xml:space="preserve">s </w:t>
      </w:r>
      <w:r w:rsidR="00930DE3">
        <w:rPr>
          <w:noProof/>
          <w:color w:val="000000"/>
          <w:highlight w:val="black"/>
        </w:rPr>
        <w:t>''''''''''</w:t>
      </w:r>
      <w:r w:rsidR="0021178C" w:rsidRPr="006C03DC">
        <w:t>% greater than that of ipilimumab.</w:t>
      </w:r>
    </w:p>
    <w:p w:rsidR="007B7704" w:rsidRDefault="007B7704" w:rsidP="00323E7A">
      <w:pPr>
        <w:widowControl/>
      </w:pPr>
    </w:p>
    <w:p w:rsidR="007B7704" w:rsidRPr="003F5A9C" w:rsidRDefault="007B7704" w:rsidP="00323E7A">
      <w:pPr>
        <w:pStyle w:val="ListParagraph"/>
        <w:widowControl/>
        <w:rPr>
          <w:rFonts w:ascii="Arial Narrow" w:hAnsi="Arial Narrow"/>
          <w:b/>
          <w:sz w:val="20"/>
          <w:szCs w:val="22"/>
        </w:rPr>
      </w:pPr>
      <w:r w:rsidRPr="003F5A9C">
        <w:rPr>
          <w:rFonts w:ascii="Arial Narrow" w:hAnsi="Arial Narrow"/>
          <w:b/>
          <w:sz w:val="20"/>
          <w:szCs w:val="22"/>
        </w:rPr>
        <w:t xml:space="preserve">Table </w:t>
      </w:r>
      <w:r w:rsidR="003B088C">
        <w:rPr>
          <w:rFonts w:ascii="Arial Narrow" w:hAnsi="Arial Narrow"/>
          <w:b/>
          <w:sz w:val="20"/>
          <w:szCs w:val="22"/>
        </w:rPr>
        <w:t>11</w:t>
      </w:r>
      <w:r w:rsidRPr="003F5A9C">
        <w:rPr>
          <w:rFonts w:ascii="Arial Narrow" w:hAnsi="Arial Narrow"/>
          <w:b/>
          <w:sz w:val="20"/>
          <w:szCs w:val="22"/>
        </w:rPr>
        <w:t xml:space="preserve">: </w:t>
      </w:r>
      <w:r>
        <w:rPr>
          <w:rFonts w:ascii="Arial Narrow" w:hAnsi="Arial Narrow"/>
          <w:b/>
          <w:sz w:val="20"/>
          <w:szCs w:val="22"/>
        </w:rPr>
        <w:t>Summary of</w:t>
      </w:r>
      <w:r w:rsidRPr="003F5A9C">
        <w:rPr>
          <w:rFonts w:ascii="Arial Narrow" w:hAnsi="Arial Narrow"/>
          <w:b/>
          <w:sz w:val="20"/>
          <w:szCs w:val="22"/>
        </w:rPr>
        <w:t xml:space="preserve"> drug costs/patient/course</w:t>
      </w:r>
      <w:r>
        <w:rPr>
          <w:rFonts w:ascii="Arial Narrow" w:hAnsi="Arial Narrow"/>
          <w:b/>
          <w:sz w:val="20"/>
          <w:szCs w:val="22"/>
        </w:rPr>
        <w:t xml:space="preserve"> for nivolumab and ipilimumab</w:t>
      </w:r>
    </w:p>
    <w:tbl>
      <w:tblPr>
        <w:tblStyle w:val="TableGrid"/>
        <w:tblW w:w="4594" w:type="pct"/>
        <w:tblInd w:w="737" w:type="dxa"/>
        <w:tblCellMar>
          <w:left w:w="28" w:type="dxa"/>
          <w:right w:w="28" w:type="dxa"/>
        </w:tblCellMar>
        <w:tblLook w:val="04A0" w:firstRow="1" w:lastRow="0" w:firstColumn="1" w:lastColumn="0" w:noHBand="0" w:noVBand="1"/>
        <w:tblCaption w:val="Summary of drug costs/patient/course for nivolumab and ipilimumab"/>
      </w:tblPr>
      <w:tblGrid>
        <w:gridCol w:w="991"/>
        <w:gridCol w:w="2665"/>
        <w:gridCol w:w="1818"/>
        <w:gridCol w:w="1045"/>
        <w:gridCol w:w="1826"/>
      </w:tblGrid>
      <w:tr w:rsidR="007B7704" w:rsidRPr="00523EE6" w:rsidTr="007C0924">
        <w:trPr>
          <w:tblHeader/>
        </w:trPr>
        <w:tc>
          <w:tcPr>
            <w:tcW w:w="594" w:type="pct"/>
            <w:vAlign w:val="center"/>
          </w:tcPr>
          <w:p w:rsidR="007B7704" w:rsidRPr="00523EE6" w:rsidRDefault="007B7704" w:rsidP="00323E7A">
            <w:pPr>
              <w:widowControl/>
              <w:jc w:val="left"/>
              <w:rPr>
                <w:rFonts w:ascii="Arial Narrow" w:hAnsi="Arial Narrow"/>
                <w:b/>
                <w:sz w:val="20"/>
              </w:rPr>
            </w:pPr>
            <w:r w:rsidRPr="00523EE6">
              <w:rPr>
                <w:rFonts w:ascii="Arial Narrow" w:hAnsi="Arial Narrow"/>
                <w:b/>
                <w:sz w:val="20"/>
              </w:rPr>
              <w:t>Parameter</w:t>
            </w:r>
          </w:p>
        </w:tc>
        <w:tc>
          <w:tcPr>
            <w:tcW w:w="1597" w:type="pct"/>
            <w:vAlign w:val="center"/>
          </w:tcPr>
          <w:p w:rsidR="007B7704" w:rsidRPr="00523EE6" w:rsidRDefault="007B7704" w:rsidP="00323E7A">
            <w:pPr>
              <w:widowControl/>
              <w:jc w:val="center"/>
              <w:rPr>
                <w:rFonts w:ascii="Arial Narrow" w:hAnsi="Arial Narrow"/>
                <w:b/>
                <w:sz w:val="20"/>
              </w:rPr>
            </w:pPr>
            <w:r w:rsidRPr="00523EE6">
              <w:rPr>
                <w:rFonts w:ascii="Arial Narrow" w:hAnsi="Arial Narrow"/>
                <w:b/>
                <w:sz w:val="20"/>
              </w:rPr>
              <w:t>Source</w:t>
            </w:r>
          </w:p>
        </w:tc>
        <w:tc>
          <w:tcPr>
            <w:tcW w:w="1089" w:type="pct"/>
            <w:vAlign w:val="center"/>
          </w:tcPr>
          <w:p w:rsidR="007B7704" w:rsidRPr="00523EE6" w:rsidRDefault="007B7704" w:rsidP="00323E7A">
            <w:pPr>
              <w:widowControl/>
              <w:jc w:val="center"/>
              <w:rPr>
                <w:rFonts w:ascii="Arial Narrow" w:hAnsi="Arial Narrow"/>
                <w:b/>
                <w:sz w:val="20"/>
              </w:rPr>
            </w:pPr>
            <w:r w:rsidRPr="00523EE6">
              <w:rPr>
                <w:rFonts w:ascii="Arial Narrow" w:hAnsi="Arial Narrow"/>
                <w:b/>
                <w:sz w:val="20"/>
              </w:rPr>
              <w:t>Number of vials and doses</w:t>
            </w:r>
          </w:p>
        </w:tc>
        <w:tc>
          <w:tcPr>
            <w:tcW w:w="626" w:type="pct"/>
            <w:vAlign w:val="center"/>
          </w:tcPr>
          <w:p w:rsidR="007B7704" w:rsidRPr="00523EE6" w:rsidRDefault="007B7704" w:rsidP="00323E7A">
            <w:pPr>
              <w:widowControl/>
              <w:jc w:val="center"/>
              <w:rPr>
                <w:rFonts w:ascii="Arial Narrow" w:hAnsi="Arial Narrow"/>
                <w:b/>
                <w:sz w:val="20"/>
              </w:rPr>
            </w:pPr>
            <w:r>
              <w:rPr>
                <w:rFonts w:ascii="Arial Narrow" w:hAnsi="Arial Narrow"/>
                <w:b/>
                <w:sz w:val="20"/>
              </w:rPr>
              <w:t>Drug cost/admin</w:t>
            </w:r>
          </w:p>
        </w:tc>
        <w:tc>
          <w:tcPr>
            <w:tcW w:w="1094" w:type="pct"/>
            <w:vAlign w:val="center"/>
          </w:tcPr>
          <w:p w:rsidR="007B7704" w:rsidRPr="00523EE6" w:rsidRDefault="007B7704" w:rsidP="00323E7A">
            <w:pPr>
              <w:widowControl/>
              <w:jc w:val="center"/>
              <w:rPr>
                <w:rFonts w:ascii="Arial Narrow" w:hAnsi="Arial Narrow"/>
                <w:b/>
                <w:sz w:val="20"/>
              </w:rPr>
            </w:pPr>
            <w:r w:rsidRPr="00523EE6">
              <w:rPr>
                <w:rFonts w:ascii="Arial Narrow" w:hAnsi="Arial Narrow"/>
                <w:b/>
                <w:sz w:val="20"/>
              </w:rPr>
              <w:t>D</w:t>
            </w:r>
            <w:r>
              <w:rPr>
                <w:rFonts w:ascii="Arial Narrow" w:hAnsi="Arial Narrow"/>
                <w:b/>
                <w:sz w:val="20"/>
              </w:rPr>
              <w:t>rug cost/</w:t>
            </w:r>
            <w:r w:rsidRPr="00523EE6">
              <w:rPr>
                <w:rFonts w:ascii="Arial Narrow" w:hAnsi="Arial Narrow"/>
                <w:b/>
                <w:sz w:val="20"/>
              </w:rPr>
              <w:t>patient</w:t>
            </w:r>
            <w:r>
              <w:rPr>
                <w:rFonts w:ascii="Arial Narrow" w:hAnsi="Arial Narrow"/>
                <w:b/>
                <w:sz w:val="20"/>
              </w:rPr>
              <w:t>/course</w:t>
            </w:r>
          </w:p>
        </w:tc>
      </w:tr>
      <w:tr w:rsidR="007B7704" w:rsidRPr="00523EE6" w:rsidTr="007B7704">
        <w:tc>
          <w:tcPr>
            <w:tcW w:w="5000" w:type="pct"/>
            <w:gridSpan w:val="5"/>
            <w:vAlign w:val="center"/>
          </w:tcPr>
          <w:p w:rsidR="007B7704" w:rsidRPr="00523EE6" w:rsidRDefault="007B7704" w:rsidP="00323E7A">
            <w:pPr>
              <w:widowControl/>
              <w:jc w:val="left"/>
              <w:rPr>
                <w:rFonts w:ascii="Arial Narrow" w:hAnsi="Arial Narrow"/>
                <w:b/>
                <w:sz w:val="20"/>
              </w:rPr>
            </w:pPr>
            <w:r>
              <w:rPr>
                <w:rFonts w:ascii="Arial Narrow" w:hAnsi="Arial Narrow"/>
                <w:b/>
                <w:sz w:val="20"/>
              </w:rPr>
              <w:t>Nivolumab</w:t>
            </w:r>
          </w:p>
        </w:tc>
      </w:tr>
      <w:tr w:rsidR="007B7704" w:rsidRPr="00523EE6" w:rsidTr="007B7704">
        <w:tc>
          <w:tcPr>
            <w:tcW w:w="594" w:type="pct"/>
            <w:vAlign w:val="center"/>
          </w:tcPr>
          <w:p w:rsidR="007B7704" w:rsidRPr="00523EE6" w:rsidRDefault="007B7704" w:rsidP="00323E7A">
            <w:pPr>
              <w:widowControl/>
              <w:jc w:val="left"/>
              <w:rPr>
                <w:rFonts w:ascii="Arial Narrow" w:hAnsi="Arial Narrow"/>
                <w:sz w:val="20"/>
              </w:rPr>
            </w:pPr>
            <w:r w:rsidRPr="00523EE6">
              <w:rPr>
                <w:rFonts w:ascii="Arial Narrow" w:hAnsi="Arial Narrow"/>
                <w:sz w:val="20"/>
              </w:rPr>
              <w:t>Doses per patient</w:t>
            </w:r>
          </w:p>
        </w:tc>
        <w:tc>
          <w:tcPr>
            <w:tcW w:w="1597" w:type="pct"/>
            <w:vAlign w:val="center"/>
          </w:tcPr>
          <w:p w:rsidR="007B7704" w:rsidRPr="00523EE6" w:rsidRDefault="007B7704" w:rsidP="00323E7A">
            <w:pPr>
              <w:widowControl/>
              <w:jc w:val="center"/>
              <w:rPr>
                <w:rFonts w:ascii="Arial Narrow" w:hAnsi="Arial Narrow"/>
                <w:sz w:val="20"/>
              </w:rPr>
            </w:pPr>
            <w:r w:rsidRPr="00523EE6">
              <w:rPr>
                <w:rFonts w:ascii="Arial Narrow" w:hAnsi="Arial Narrow"/>
                <w:sz w:val="20"/>
              </w:rPr>
              <w:t xml:space="preserve">CA209-003: 3mg/kg arm: mean duration of treatment = </w:t>
            </w:r>
            <w:r w:rsidR="005E36D7">
              <w:rPr>
                <w:rFonts w:ascii="Arial Narrow" w:hAnsi="Arial Narrow"/>
                <w:noProof/>
                <w:color w:val="000000"/>
                <w:sz w:val="20"/>
                <w:highlight w:val="black"/>
              </w:rPr>
              <w:t>'''''''''' ''''''''''''''''</w:t>
            </w:r>
          </w:p>
        </w:tc>
        <w:tc>
          <w:tcPr>
            <w:tcW w:w="1089" w:type="pct"/>
            <w:vAlign w:val="center"/>
          </w:tcPr>
          <w:p w:rsidR="007B7704" w:rsidRPr="005E36D7" w:rsidRDefault="005E36D7" w:rsidP="00323E7A">
            <w:pPr>
              <w:widowControl/>
              <w:jc w:val="center"/>
              <w:rPr>
                <w:rFonts w:ascii="Arial Narrow" w:hAnsi="Arial Narrow"/>
                <w:sz w:val="20"/>
                <w:highlight w:val="black"/>
              </w:rPr>
            </w:pPr>
            <w:r>
              <w:rPr>
                <w:rFonts w:ascii="Arial Narrow" w:hAnsi="Arial Narrow"/>
                <w:noProof/>
                <w:color w:val="000000"/>
                <w:sz w:val="20"/>
                <w:highlight w:val="black"/>
              </w:rPr>
              <w:t>'''''''''''' ''''''''''''''</w:t>
            </w:r>
          </w:p>
          <w:p w:rsidR="007B7704" w:rsidRPr="00523EE6" w:rsidRDefault="007B7704" w:rsidP="00323E7A">
            <w:pPr>
              <w:widowControl/>
              <w:jc w:val="center"/>
              <w:rPr>
                <w:rFonts w:ascii="Arial Narrow" w:hAnsi="Arial Narrow"/>
                <w:sz w:val="20"/>
              </w:rPr>
            </w:pPr>
            <w:r w:rsidRPr="00523EE6">
              <w:rPr>
                <w:rFonts w:ascii="Arial Narrow" w:hAnsi="Arial Narrow"/>
                <w:sz w:val="20"/>
              </w:rPr>
              <w:t>(dosing every 2 weeks)</w:t>
            </w:r>
          </w:p>
        </w:tc>
        <w:tc>
          <w:tcPr>
            <w:tcW w:w="626" w:type="pct"/>
            <w:vMerge w:val="restart"/>
            <w:vAlign w:val="center"/>
          </w:tcPr>
          <w:p w:rsidR="007B7704" w:rsidRPr="00523EE6" w:rsidRDefault="007B7704" w:rsidP="00323E7A">
            <w:pPr>
              <w:widowControl/>
              <w:jc w:val="center"/>
              <w:rPr>
                <w:rFonts w:ascii="Arial Narrow" w:hAnsi="Arial Narrow"/>
                <w:sz w:val="20"/>
              </w:rPr>
            </w:pPr>
            <w:r w:rsidRPr="00523EE6">
              <w:rPr>
                <w:rFonts w:ascii="Arial Narrow" w:hAnsi="Arial Narrow"/>
                <w:sz w:val="20"/>
              </w:rPr>
              <w:t>$</w:t>
            </w:r>
            <w:r w:rsidR="00930DE3">
              <w:rPr>
                <w:rFonts w:ascii="Arial Narrow" w:hAnsi="Arial Narrow"/>
                <w:noProof/>
                <w:color w:val="000000"/>
                <w:sz w:val="20"/>
                <w:highlight w:val="black"/>
              </w:rPr>
              <w:t>'''''''''''''''''''''</w:t>
            </w:r>
            <w:r w:rsidR="0075469C" w:rsidRPr="0075469C">
              <w:rPr>
                <w:rFonts w:ascii="Arial Narrow" w:hAnsi="Arial Narrow"/>
                <w:sz w:val="20"/>
                <w:vertAlign w:val="superscript"/>
              </w:rPr>
              <w:t>a</w:t>
            </w:r>
          </w:p>
        </w:tc>
        <w:tc>
          <w:tcPr>
            <w:tcW w:w="1094" w:type="pct"/>
            <w:vMerge w:val="restart"/>
            <w:vAlign w:val="center"/>
          </w:tcPr>
          <w:p w:rsidR="007B7704" w:rsidRPr="00523EE6" w:rsidRDefault="007B7704" w:rsidP="00323E7A">
            <w:pPr>
              <w:widowControl/>
              <w:jc w:val="center"/>
              <w:rPr>
                <w:rFonts w:ascii="Arial Narrow" w:hAnsi="Arial Narrow"/>
                <w:sz w:val="20"/>
              </w:rPr>
            </w:pPr>
            <w:r w:rsidRPr="00523EE6">
              <w:rPr>
                <w:rFonts w:ascii="Arial Narrow" w:hAnsi="Arial Narrow"/>
                <w:sz w:val="20"/>
              </w:rPr>
              <w:t>$</w:t>
            </w:r>
            <w:r w:rsidR="00930DE3">
              <w:rPr>
                <w:rFonts w:ascii="Arial Narrow" w:hAnsi="Arial Narrow"/>
                <w:noProof/>
                <w:color w:val="000000"/>
                <w:sz w:val="20"/>
                <w:highlight w:val="black"/>
              </w:rPr>
              <w:t>'''''''''''''''''''</w:t>
            </w:r>
            <w:r w:rsidR="0075469C" w:rsidRPr="0075469C">
              <w:rPr>
                <w:rFonts w:ascii="Arial Narrow" w:hAnsi="Arial Narrow"/>
                <w:sz w:val="20"/>
                <w:vertAlign w:val="superscript"/>
              </w:rPr>
              <w:t>a</w:t>
            </w:r>
            <w:r w:rsidRPr="00523EE6">
              <w:rPr>
                <w:rFonts w:ascii="Arial Narrow" w:hAnsi="Arial Narrow"/>
                <w:sz w:val="20"/>
              </w:rPr>
              <w:t xml:space="preserve"> </w:t>
            </w:r>
          </w:p>
        </w:tc>
      </w:tr>
      <w:tr w:rsidR="007B7704" w:rsidRPr="00885C28" w:rsidTr="007B7704">
        <w:trPr>
          <w:trHeight w:val="70"/>
        </w:trPr>
        <w:tc>
          <w:tcPr>
            <w:tcW w:w="594" w:type="pct"/>
            <w:vAlign w:val="center"/>
          </w:tcPr>
          <w:p w:rsidR="007B7704" w:rsidRPr="00523EE6" w:rsidRDefault="007B7704" w:rsidP="00323E7A">
            <w:pPr>
              <w:widowControl/>
              <w:jc w:val="left"/>
              <w:rPr>
                <w:rFonts w:ascii="Arial Narrow" w:hAnsi="Arial Narrow"/>
                <w:sz w:val="20"/>
              </w:rPr>
            </w:pPr>
            <w:r w:rsidRPr="00523EE6">
              <w:rPr>
                <w:rFonts w:ascii="Arial Narrow" w:hAnsi="Arial Narrow"/>
                <w:sz w:val="20"/>
              </w:rPr>
              <w:t>Vials per admin</w:t>
            </w:r>
          </w:p>
        </w:tc>
        <w:tc>
          <w:tcPr>
            <w:tcW w:w="1597" w:type="pct"/>
            <w:vAlign w:val="center"/>
          </w:tcPr>
          <w:p w:rsidR="007B7704" w:rsidRPr="00523EE6" w:rsidRDefault="007B7704" w:rsidP="00323E7A">
            <w:pPr>
              <w:widowControl/>
              <w:jc w:val="center"/>
              <w:rPr>
                <w:rFonts w:ascii="Arial Narrow" w:hAnsi="Arial Narrow"/>
                <w:sz w:val="20"/>
              </w:rPr>
            </w:pPr>
            <w:r w:rsidRPr="00523EE6">
              <w:rPr>
                <w:rFonts w:ascii="Arial Narrow" w:hAnsi="Arial Narrow"/>
                <w:sz w:val="20"/>
              </w:rPr>
              <w:t xml:space="preserve">CA209-066: mean weight for nivolumab patients: </w:t>
            </w:r>
            <w:r w:rsidR="005E36D7">
              <w:rPr>
                <w:rFonts w:ascii="Arial Narrow" w:hAnsi="Arial Narrow"/>
                <w:noProof/>
                <w:color w:val="000000"/>
                <w:sz w:val="20"/>
                <w:highlight w:val="black"/>
              </w:rPr>
              <w:t>''''''''''''''''''''</w:t>
            </w:r>
          </w:p>
        </w:tc>
        <w:tc>
          <w:tcPr>
            <w:tcW w:w="1089" w:type="pct"/>
            <w:vAlign w:val="center"/>
          </w:tcPr>
          <w:p w:rsidR="007B7704" w:rsidRPr="00885C28" w:rsidRDefault="007B7704" w:rsidP="00323E7A">
            <w:pPr>
              <w:widowControl/>
              <w:jc w:val="center"/>
              <w:rPr>
                <w:rFonts w:ascii="Arial Narrow" w:hAnsi="Arial Narrow"/>
                <w:sz w:val="20"/>
                <w:lang w:val="da-DK"/>
              </w:rPr>
            </w:pPr>
            <w:r w:rsidRPr="00885C28">
              <w:rPr>
                <w:rFonts w:ascii="Arial Narrow" w:hAnsi="Arial Narrow"/>
                <w:sz w:val="20"/>
                <w:lang w:val="da-DK"/>
              </w:rPr>
              <w:t xml:space="preserve">40mg/4ml: </w:t>
            </w:r>
            <w:r w:rsidR="005E36D7">
              <w:rPr>
                <w:rFonts w:ascii="Arial Narrow" w:hAnsi="Arial Narrow"/>
                <w:noProof/>
                <w:color w:val="000000"/>
                <w:sz w:val="20"/>
                <w:highlight w:val="black"/>
                <w:lang w:val="da-DK"/>
              </w:rPr>
              <w:t>''''''''''''</w:t>
            </w:r>
            <w:r w:rsidRPr="005E36D7">
              <w:rPr>
                <w:rFonts w:ascii="Arial Narrow" w:hAnsi="Arial Narrow"/>
                <w:sz w:val="20"/>
                <w:lang w:val="da-DK"/>
              </w:rPr>
              <w:t xml:space="preserve"> </w:t>
            </w:r>
            <w:r w:rsidRPr="009709CE">
              <w:rPr>
                <w:rFonts w:ascii="Arial Narrow" w:hAnsi="Arial Narrow"/>
                <w:sz w:val="20"/>
                <w:lang w:val="da-DK"/>
              </w:rPr>
              <w:t>vials</w:t>
            </w:r>
            <w:r w:rsidRPr="00885C28">
              <w:rPr>
                <w:rFonts w:ascii="Arial Narrow" w:hAnsi="Arial Narrow"/>
                <w:sz w:val="20"/>
                <w:lang w:val="da-DK"/>
              </w:rPr>
              <w:t xml:space="preserve">; </w:t>
            </w:r>
          </w:p>
          <w:p w:rsidR="007B7704" w:rsidRPr="00885C28" w:rsidRDefault="007B7704" w:rsidP="00323E7A">
            <w:pPr>
              <w:widowControl/>
              <w:jc w:val="center"/>
              <w:rPr>
                <w:rFonts w:ascii="Arial Narrow" w:hAnsi="Arial Narrow"/>
                <w:sz w:val="20"/>
                <w:lang w:val="da-DK"/>
              </w:rPr>
            </w:pPr>
            <w:r w:rsidRPr="00885C28">
              <w:rPr>
                <w:rFonts w:ascii="Arial Narrow" w:hAnsi="Arial Narrow"/>
                <w:sz w:val="20"/>
                <w:lang w:val="da-DK"/>
              </w:rPr>
              <w:t xml:space="preserve">100mg/10ml: </w:t>
            </w:r>
            <w:r w:rsidR="005E36D7">
              <w:rPr>
                <w:rFonts w:ascii="Arial Narrow" w:hAnsi="Arial Narrow"/>
                <w:noProof/>
                <w:color w:val="000000"/>
                <w:sz w:val="20"/>
                <w:highlight w:val="black"/>
                <w:lang w:val="da-DK"/>
              </w:rPr>
              <w:t xml:space="preserve">'''' </w:t>
            </w:r>
            <w:r w:rsidRPr="009709CE">
              <w:rPr>
                <w:rFonts w:ascii="Arial Narrow" w:hAnsi="Arial Narrow"/>
                <w:sz w:val="20"/>
                <w:lang w:val="da-DK"/>
              </w:rPr>
              <w:t>vials</w:t>
            </w:r>
          </w:p>
        </w:tc>
        <w:tc>
          <w:tcPr>
            <w:tcW w:w="626" w:type="pct"/>
            <w:vMerge/>
            <w:vAlign w:val="center"/>
          </w:tcPr>
          <w:p w:rsidR="007B7704" w:rsidRPr="00885C28" w:rsidRDefault="007B7704" w:rsidP="00323E7A">
            <w:pPr>
              <w:widowControl/>
              <w:jc w:val="center"/>
              <w:rPr>
                <w:rFonts w:ascii="Arial Narrow" w:hAnsi="Arial Narrow"/>
                <w:sz w:val="20"/>
                <w:lang w:val="da-DK"/>
              </w:rPr>
            </w:pPr>
          </w:p>
        </w:tc>
        <w:tc>
          <w:tcPr>
            <w:tcW w:w="1094" w:type="pct"/>
            <w:vMerge/>
            <w:vAlign w:val="center"/>
          </w:tcPr>
          <w:p w:rsidR="007B7704" w:rsidRPr="00885C28" w:rsidRDefault="007B7704" w:rsidP="00323E7A">
            <w:pPr>
              <w:widowControl/>
              <w:jc w:val="center"/>
              <w:rPr>
                <w:rFonts w:ascii="Arial Narrow" w:hAnsi="Arial Narrow"/>
                <w:sz w:val="20"/>
                <w:lang w:val="da-DK"/>
              </w:rPr>
            </w:pPr>
          </w:p>
        </w:tc>
      </w:tr>
      <w:tr w:rsidR="007B7704" w:rsidRPr="00743777" w:rsidTr="007B7704">
        <w:tc>
          <w:tcPr>
            <w:tcW w:w="5000" w:type="pct"/>
            <w:gridSpan w:val="5"/>
            <w:vAlign w:val="center"/>
          </w:tcPr>
          <w:p w:rsidR="007B7704" w:rsidRPr="00743777" w:rsidRDefault="007B7704" w:rsidP="00323E7A">
            <w:pPr>
              <w:widowControl/>
              <w:jc w:val="left"/>
              <w:rPr>
                <w:rFonts w:ascii="Arial Narrow" w:hAnsi="Arial Narrow"/>
                <w:b/>
                <w:sz w:val="20"/>
              </w:rPr>
            </w:pPr>
            <w:r w:rsidRPr="00743777">
              <w:rPr>
                <w:rFonts w:ascii="Arial Narrow" w:hAnsi="Arial Narrow"/>
                <w:b/>
                <w:sz w:val="20"/>
              </w:rPr>
              <w:t>Ipilimumab</w:t>
            </w:r>
          </w:p>
        </w:tc>
      </w:tr>
      <w:tr w:rsidR="007B7704" w:rsidRPr="00523EE6" w:rsidTr="007B7704">
        <w:tc>
          <w:tcPr>
            <w:tcW w:w="594" w:type="pct"/>
            <w:vAlign w:val="center"/>
          </w:tcPr>
          <w:p w:rsidR="007B7704" w:rsidRPr="00523EE6" w:rsidRDefault="007B7704" w:rsidP="00323E7A">
            <w:pPr>
              <w:widowControl/>
              <w:jc w:val="left"/>
              <w:rPr>
                <w:rFonts w:ascii="Arial Narrow" w:hAnsi="Arial Narrow"/>
                <w:sz w:val="20"/>
              </w:rPr>
            </w:pPr>
            <w:r w:rsidRPr="00743777">
              <w:rPr>
                <w:rFonts w:ascii="Arial Narrow" w:hAnsi="Arial Narrow"/>
                <w:sz w:val="20"/>
              </w:rPr>
              <w:t>Doses per patient</w:t>
            </w:r>
          </w:p>
        </w:tc>
        <w:tc>
          <w:tcPr>
            <w:tcW w:w="1597" w:type="pct"/>
            <w:vAlign w:val="center"/>
          </w:tcPr>
          <w:p w:rsidR="007B7704" w:rsidRPr="00523EE6" w:rsidRDefault="007B7704" w:rsidP="00323E7A">
            <w:pPr>
              <w:widowControl/>
              <w:jc w:val="center"/>
              <w:rPr>
                <w:rFonts w:ascii="Arial Narrow" w:hAnsi="Arial Narrow"/>
                <w:sz w:val="20"/>
              </w:rPr>
            </w:pPr>
            <w:r w:rsidRPr="00743777">
              <w:rPr>
                <w:rFonts w:ascii="Arial Narrow" w:hAnsi="Arial Narrow"/>
                <w:sz w:val="20"/>
              </w:rPr>
              <w:t>MDX010-20 + 4% re-induction rate (sponsor data)</w:t>
            </w:r>
          </w:p>
        </w:tc>
        <w:tc>
          <w:tcPr>
            <w:tcW w:w="1089" w:type="pct"/>
            <w:vAlign w:val="center"/>
          </w:tcPr>
          <w:p w:rsidR="007B7704" w:rsidRPr="00523EE6" w:rsidRDefault="007B7704" w:rsidP="00323E7A">
            <w:pPr>
              <w:widowControl/>
              <w:jc w:val="center"/>
              <w:rPr>
                <w:rFonts w:ascii="Arial Narrow" w:hAnsi="Arial Narrow"/>
                <w:sz w:val="20"/>
              </w:rPr>
            </w:pPr>
            <w:r w:rsidRPr="00743777">
              <w:rPr>
                <w:rFonts w:ascii="Arial Narrow" w:hAnsi="Arial Narrow"/>
                <w:sz w:val="20"/>
              </w:rPr>
              <w:t>3.54 doses</w:t>
            </w:r>
          </w:p>
        </w:tc>
        <w:tc>
          <w:tcPr>
            <w:tcW w:w="626" w:type="pct"/>
            <w:vMerge w:val="restart"/>
            <w:vAlign w:val="center"/>
          </w:tcPr>
          <w:p w:rsidR="007B7704" w:rsidRPr="00523EE6" w:rsidRDefault="007B7704" w:rsidP="00323E7A">
            <w:pPr>
              <w:widowControl/>
              <w:jc w:val="center"/>
              <w:rPr>
                <w:rFonts w:ascii="Arial Narrow" w:hAnsi="Arial Narrow"/>
                <w:sz w:val="20"/>
              </w:rPr>
            </w:pPr>
            <w:r w:rsidRPr="00743777">
              <w:rPr>
                <w:rFonts w:ascii="Arial Narrow" w:hAnsi="Arial Narrow"/>
                <w:sz w:val="20"/>
              </w:rPr>
              <w:t>$</w:t>
            </w:r>
            <w:r w:rsidR="00930DE3">
              <w:rPr>
                <w:rFonts w:ascii="Arial Narrow" w:hAnsi="Arial Narrow"/>
                <w:noProof/>
                <w:color w:val="000000"/>
                <w:sz w:val="20"/>
                <w:highlight w:val="black"/>
              </w:rPr>
              <w:t>'''''''''''''''''''''''</w:t>
            </w:r>
          </w:p>
        </w:tc>
        <w:tc>
          <w:tcPr>
            <w:tcW w:w="1094" w:type="pct"/>
            <w:vMerge w:val="restart"/>
            <w:vAlign w:val="center"/>
          </w:tcPr>
          <w:p w:rsidR="007B7704" w:rsidRPr="00523EE6" w:rsidRDefault="002A2F06" w:rsidP="00323E7A">
            <w:pPr>
              <w:widowControl/>
              <w:jc w:val="center"/>
              <w:rPr>
                <w:rFonts w:ascii="Arial Narrow" w:hAnsi="Arial Narrow"/>
                <w:sz w:val="20"/>
              </w:rPr>
            </w:pPr>
            <w:r>
              <w:rPr>
                <w:rFonts w:ascii="Arial Narrow" w:hAnsi="Arial Narrow"/>
                <w:sz w:val="20"/>
              </w:rPr>
              <w:t>$</w:t>
            </w:r>
            <w:r w:rsidR="00930DE3">
              <w:rPr>
                <w:rFonts w:ascii="Arial Narrow" w:hAnsi="Arial Narrow"/>
                <w:noProof/>
                <w:color w:val="000000"/>
                <w:sz w:val="20"/>
                <w:highlight w:val="black"/>
              </w:rPr>
              <w:t>''''''''''''''''</w:t>
            </w:r>
          </w:p>
        </w:tc>
      </w:tr>
      <w:tr w:rsidR="007B7704" w:rsidRPr="00885C28" w:rsidTr="007B7704">
        <w:tc>
          <w:tcPr>
            <w:tcW w:w="594" w:type="pct"/>
            <w:vAlign w:val="center"/>
          </w:tcPr>
          <w:p w:rsidR="007B7704" w:rsidRPr="00523EE6" w:rsidRDefault="007B7704" w:rsidP="00323E7A">
            <w:pPr>
              <w:widowControl/>
              <w:jc w:val="left"/>
              <w:rPr>
                <w:rFonts w:ascii="Arial Narrow" w:hAnsi="Arial Narrow"/>
                <w:sz w:val="20"/>
              </w:rPr>
            </w:pPr>
            <w:r w:rsidRPr="00743777">
              <w:rPr>
                <w:rFonts w:ascii="Arial Narrow" w:hAnsi="Arial Narrow"/>
                <w:sz w:val="20"/>
              </w:rPr>
              <w:t>Vials per admin</w:t>
            </w:r>
          </w:p>
        </w:tc>
        <w:tc>
          <w:tcPr>
            <w:tcW w:w="1597" w:type="pct"/>
            <w:vAlign w:val="center"/>
          </w:tcPr>
          <w:p w:rsidR="007B7704" w:rsidRPr="00523EE6" w:rsidRDefault="007B7704" w:rsidP="00323E7A">
            <w:pPr>
              <w:widowControl/>
              <w:jc w:val="center"/>
              <w:rPr>
                <w:rFonts w:ascii="Arial Narrow" w:hAnsi="Arial Narrow"/>
                <w:sz w:val="20"/>
              </w:rPr>
            </w:pPr>
            <w:r w:rsidRPr="00743777">
              <w:rPr>
                <w:rFonts w:ascii="Arial Narrow" w:hAnsi="Arial Narrow"/>
                <w:sz w:val="20"/>
              </w:rPr>
              <w:t xml:space="preserve">Assumption: same as nivolumab: </w:t>
            </w:r>
            <w:r w:rsidR="005E36D7">
              <w:rPr>
                <w:rFonts w:ascii="Arial Narrow" w:hAnsi="Arial Narrow"/>
                <w:noProof/>
                <w:color w:val="000000"/>
                <w:sz w:val="20"/>
                <w:highlight w:val="black"/>
              </w:rPr>
              <w:t>'''''''''''''''''</w:t>
            </w:r>
          </w:p>
        </w:tc>
        <w:tc>
          <w:tcPr>
            <w:tcW w:w="1089" w:type="pct"/>
            <w:vAlign w:val="center"/>
          </w:tcPr>
          <w:p w:rsidR="007B7704" w:rsidRPr="00885C28" w:rsidRDefault="007B7704" w:rsidP="00323E7A">
            <w:pPr>
              <w:widowControl/>
              <w:jc w:val="center"/>
              <w:rPr>
                <w:rFonts w:ascii="Arial Narrow" w:hAnsi="Arial Narrow"/>
                <w:sz w:val="20"/>
                <w:lang w:val="da-DK"/>
              </w:rPr>
            </w:pPr>
            <w:r w:rsidRPr="00885C28">
              <w:rPr>
                <w:rFonts w:ascii="Arial Narrow" w:hAnsi="Arial Narrow"/>
                <w:sz w:val="20"/>
                <w:lang w:val="da-DK"/>
              </w:rPr>
              <w:t xml:space="preserve">50mg/10ml: </w:t>
            </w:r>
            <w:r w:rsidR="005E36D7">
              <w:rPr>
                <w:rFonts w:ascii="Arial Narrow" w:hAnsi="Arial Narrow"/>
                <w:noProof/>
                <w:color w:val="000000"/>
                <w:sz w:val="20"/>
                <w:highlight w:val="black"/>
                <w:lang w:val="da-DK"/>
              </w:rPr>
              <w:t>'''''''</w:t>
            </w:r>
            <w:r w:rsidRPr="005E36D7">
              <w:rPr>
                <w:rFonts w:ascii="Arial Narrow" w:hAnsi="Arial Narrow"/>
                <w:sz w:val="20"/>
                <w:lang w:val="da-DK"/>
              </w:rPr>
              <w:t xml:space="preserve"> </w:t>
            </w:r>
            <w:r w:rsidRPr="00E02D5D">
              <w:rPr>
                <w:rFonts w:ascii="Arial Narrow" w:hAnsi="Arial Narrow"/>
                <w:sz w:val="20"/>
                <w:lang w:val="da-DK"/>
              </w:rPr>
              <w:t>vials;</w:t>
            </w:r>
          </w:p>
          <w:p w:rsidR="007B7704" w:rsidRPr="00885C28" w:rsidRDefault="007B7704" w:rsidP="00323E7A">
            <w:pPr>
              <w:widowControl/>
              <w:jc w:val="center"/>
              <w:rPr>
                <w:rFonts w:ascii="Arial Narrow" w:hAnsi="Arial Narrow"/>
                <w:sz w:val="20"/>
                <w:lang w:val="da-DK"/>
              </w:rPr>
            </w:pPr>
            <w:r w:rsidRPr="00885C28">
              <w:rPr>
                <w:rFonts w:ascii="Arial Narrow" w:hAnsi="Arial Narrow"/>
                <w:sz w:val="20"/>
                <w:lang w:val="da-DK"/>
              </w:rPr>
              <w:t xml:space="preserve">200mg/40ml: </w:t>
            </w:r>
            <w:r w:rsidR="005E36D7">
              <w:rPr>
                <w:rFonts w:ascii="Arial Narrow" w:hAnsi="Arial Narrow"/>
                <w:noProof/>
                <w:color w:val="000000"/>
                <w:sz w:val="20"/>
                <w:highlight w:val="black"/>
                <w:lang w:val="da-DK"/>
              </w:rPr>
              <w:t>'''''''''</w:t>
            </w:r>
            <w:r w:rsidRPr="005E36D7">
              <w:rPr>
                <w:rFonts w:ascii="Arial Narrow" w:hAnsi="Arial Narrow"/>
                <w:sz w:val="20"/>
                <w:lang w:val="da-DK"/>
              </w:rPr>
              <w:t xml:space="preserve"> </w:t>
            </w:r>
            <w:r w:rsidRPr="00E02D5D">
              <w:rPr>
                <w:rFonts w:ascii="Arial Narrow" w:hAnsi="Arial Narrow"/>
                <w:sz w:val="20"/>
                <w:lang w:val="da-DK"/>
              </w:rPr>
              <w:t>vials</w:t>
            </w:r>
          </w:p>
        </w:tc>
        <w:tc>
          <w:tcPr>
            <w:tcW w:w="626" w:type="pct"/>
            <w:vMerge/>
            <w:vAlign w:val="center"/>
          </w:tcPr>
          <w:p w:rsidR="007B7704" w:rsidRPr="00885C28" w:rsidRDefault="007B7704" w:rsidP="00323E7A">
            <w:pPr>
              <w:widowControl/>
              <w:jc w:val="center"/>
              <w:rPr>
                <w:rFonts w:ascii="Arial Narrow" w:hAnsi="Arial Narrow"/>
                <w:sz w:val="20"/>
                <w:lang w:val="da-DK"/>
              </w:rPr>
            </w:pPr>
          </w:p>
        </w:tc>
        <w:tc>
          <w:tcPr>
            <w:tcW w:w="1094" w:type="pct"/>
            <w:vMerge/>
            <w:vAlign w:val="center"/>
          </w:tcPr>
          <w:p w:rsidR="007B7704" w:rsidRPr="00885C28" w:rsidRDefault="007B7704" w:rsidP="00323E7A">
            <w:pPr>
              <w:widowControl/>
              <w:jc w:val="center"/>
              <w:rPr>
                <w:rFonts w:ascii="Arial Narrow" w:hAnsi="Arial Narrow"/>
                <w:sz w:val="20"/>
                <w:lang w:val="da-DK"/>
              </w:rPr>
            </w:pPr>
          </w:p>
        </w:tc>
      </w:tr>
    </w:tbl>
    <w:p w:rsidR="0075469C" w:rsidRPr="002A2F06" w:rsidRDefault="0075469C" w:rsidP="00323E7A">
      <w:pPr>
        <w:widowControl/>
        <w:tabs>
          <w:tab w:val="left" w:pos="851"/>
        </w:tabs>
        <w:ind w:left="720"/>
        <w:rPr>
          <w:rFonts w:ascii="Arial Narrow" w:hAnsi="Arial Narrow"/>
          <w:sz w:val="18"/>
        </w:rPr>
      </w:pPr>
      <w:r w:rsidRPr="0075469C">
        <w:rPr>
          <w:rFonts w:ascii="Arial Narrow" w:hAnsi="Arial Narrow"/>
          <w:sz w:val="20"/>
          <w:vertAlign w:val="superscript"/>
        </w:rPr>
        <w:t>a</w:t>
      </w:r>
      <w:r>
        <w:rPr>
          <w:rFonts w:ascii="Arial Narrow" w:hAnsi="Arial Narrow"/>
          <w:sz w:val="18"/>
        </w:rPr>
        <w:tab/>
      </w:r>
      <w:r w:rsidR="007B7704">
        <w:rPr>
          <w:rFonts w:ascii="Arial Narrow" w:hAnsi="Arial Narrow"/>
          <w:sz w:val="18"/>
        </w:rPr>
        <w:t>Based on an effective price of $</w:t>
      </w:r>
      <w:r w:rsidR="00930DE3">
        <w:rPr>
          <w:rFonts w:ascii="Arial Narrow" w:hAnsi="Arial Narrow"/>
          <w:noProof/>
          <w:color w:val="000000"/>
          <w:sz w:val="18"/>
          <w:highlight w:val="black"/>
        </w:rPr>
        <w:t>''''''''''''''''''''</w:t>
      </w:r>
      <w:r w:rsidR="007B7704">
        <w:rPr>
          <w:rFonts w:ascii="Arial Narrow" w:hAnsi="Arial Narrow"/>
          <w:sz w:val="18"/>
        </w:rPr>
        <w:t xml:space="preserve"> for the 100mg/10ml vial and $</w:t>
      </w:r>
      <w:r w:rsidR="00930DE3">
        <w:rPr>
          <w:rFonts w:ascii="Arial Narrow" w:hAnsi="Arial Narrow"/>
          <w:noProof/>
          <w:color w:val="000000"/>
          <w:sz w:val="18"/>
          <w:highlight w:val="black"/>
        </w:rPr>
        <w:t>'''''''''''''''</w:t>
      </w:r>
      <w:r w:rsidR="007B7704">
        <w:rPr>
          <w:rFonts w:ascii="Arial Narrow" w:hAnsi="Arial Narrow"/>
          <w:sz w:val="18"/>
        </w:rPr>
        <w:t xml:space="preserve"> for the 40mg/ml vial.  </w:t>
      </w:r>
      <w:r w:rsidR="007B7704" w:rsidRPr="009A1D2A">
        <w:rPr>
          <w:rFonts w:ascii="Arial Narrow" w:hAnsi="Arial Narrow"/>
          <w:sz w:val="18"/>
          <w:szCs w:val="18"/>
        </w:rPr>
        <w:t>Discrepancies were apparent in the written text of the submission and the spreadsheet inputs for the cost per administration for nivolumab and ipilimumab.  While the spreadsheet inputs were consistent with the derivation of nivolumab and ipilimumab costs in Tables 70 and 71, differing costs ($</w:t>
      </w:r>
      <w:r w:rsidR="00930DE3">
        <w:rPr>
          <w:rFonts w:ascii="Arial Narrow" w:hAnsi="Arial Narrow"/>
          <w:noProof/>
          <w:color w:val="000000"/>
          <w:sz w:val="18"/>
          <w:szCs w:val="18"/>
          <w:highlight w:val="black"/>
        </w:rPr>
        <w:t>''''''''''''''''''''</w:t>
      </w:r>
      <w:r w:rsidR="007B7704" w:rsidRPr="009A1D2A">
        <w:rPr>
          <w:rFonts w:ascii="Arial Narrow" w:hAnsi="Arial Narrow"/>
          <w:sz w:val="18"/>
          <w:szCs w:val="18"/>
        </w:rPr>
        <w:t xml:space="preserve"> and $</w:t>
      </w:r>
      <w:r w:rsidR="00930DE3">
        <w:rPr>
          <w:rFonts w:ascii="Arial Narrow" w:hAnsi="Arial Narrow"/>
          <w:noProof/>
          <w:color w:val="000000"/>
          <w:sz w:val="18"/>
          <w:szCs w:val="18"/>
          <w:highlight w:val="black"/>
        </w:rPr>
        <w:t>''''''''''''''''''''''''</w:t>
      </w:r>
      <w:r w:rsidR="007B7704" w:rsidRPr="009A1D2A">
        <w:rPr>
          <w:rFonts w:ascii="Arial Narrow" w:hAnsi="Arial Narrow"/>
          <w:sz w:val="18"/>
          <w:szCs w:val="18"/>
        </w:rPr>
        <w:t xml:space="preserve">, respectively) were presented in Table 80 of the submission.  </w:t>
      </w:r>
    </w:p>
    <w:p w:rsidR="007B7704" w:rsidRDefault="007B7704" w:rsidP="00323E7A">
      <w:pPr>
        <w:widowControl/>
        <w:ind w:left="709"/>
      </w:pPr>
      <w:r>
        <w:rPr>
          <w:rFonts w:ascii="Arial Narrow" w:hAnsi="Arial Narrow"/>
          <w:sz w:val="18"/>
        </w:rPr>
        <w:t>Source: Table 70, p177; Table 71, p177, Table 75, p180 and Table 76, p181 of the submission.</w:t>
      </w:r>
    </w:p>
    <w:p w:rsidR="007B7704" w:rsidRDefault="007B7704" w:rsidP="00323E7A">
      <w:pPr>
        <w:widowControl/>
      </w:pPr>
    </w:p>
    <w:p w:rsidR="00A86E8B" w:rsidRPr="006C03DC" w:rsidRDefault="007B7704" w:rsidP="00323E7A">
      <w:pPr>
        <w:pStyle w:val="ListParagraph"/>
        <w:widowControl/>
        <w:numPr>
          <w:ilvl w:val="1"/>
          <w:numId w:val="23"/>
        </w:numPr>
        <w:ind w:left="709" w:hanging="709"/>
      </w:pPr>
      <w:r w:rsidRPr="006C03DC">
        <w:t xml:space="preserve">It </w:t>
      </w:r>
      <w:r w:rsidR="009B2A22" w:rsidRPr="006C03DC">
        <w:t>wa</w:t>
      </w:r>
      <w:r w:rsidRPr="006C03DC">
        <w:t>s unlikely that the estimated nivolumab drug cost/patient/course was of sufficient reliability given the following issues:</w:t>
      </w:r>
    </w:p>
    <w:p w:rsidR="00B60939" w:rsidRPr="006C03DC" w:rsidRDefault="00867AA4" w:rsidP="00323E7A">
      <w:pPr>
        <w:pStyle w:val="ListParagraph"/>
        <w:widowControl/>
        <w:numPr>
          <w:ilvl w:val="0"/>
          <w:numId w:val="4"/>
        </w:numPr>
        <w:ind w:left="993" w:hanging="284"/>
        <w:rPr>
          <w:szCs w:val="22"/>
        </w:rPr>
      </w:pPr>
      <w:r w:rsidRPr="006C03DC">
        <w:rPr>
          <w:szCs w:val="22"/>
        </w:rPr>
        <w:t xml:space="preserve">The submission </w:t>
      </w:r>
      <w:r w:rsidRPr="00287DBE">
        <w:t>appropriately</w:t>
      </w:r>
      <w:r w:rsidRPr="006C03DC">
        <w:rPr>
          <w:szCs w:val="22"/>
        </w:rPr>
        <w:t xml:space="preserve"> acknowledged that nivolumab treatment in clinical practice may be longer than that observed in th</w:t>
      </w:r>
      <w:r w:rsidR="009A1D2A">
        <w:rPr>
          <w:szCs w:val="22"/>
        </w:rPr>
        <w:t>e pivotal trial CA209-066 (</w:t>
      </w:r>
      <w:r w:rsidR="005E36D7">
        <w:rPr>
          <w:noProof/>
          <w:color w:val="000000"/>
          <w:szCs w:val="22"/>
          <w:highlight w:val="black"/>
        </w:rPr>
        <w:t>''''''''''</w:t>
      </w:r>
      <w:r w:rsidR="009A1D2A">
        <w:rPr>
          <w:szCs w:val="22"/>
        </w:rPr>
        <w:t> </w:t>
      </w:r>
      <w:r w:rsidRPr="006C03DC">
        <w:rPr>
          <w:szCs w:val="22"/>
        </w:rPr>
        <w:t>doses) given the limited 12</w:t>
      </w:r>
      <w:r w:rsidR="009B2A22" w:rsidRPr="006C03DC">
        <w:rPr>
          <w:szCs w:val="22"/>
        </w:rPr>
        <w:t>-</w:t>
      </w:r>
      <w:r w:rsidRPr="006C03DC">
        <w:rPr>
          <w:szCs w:val="22"/>
        </w:rPr>
        <w:t>month follow-up.  T</w:t>
      </w:r>
      <w:r w:rsidR="009A1D2A">
        <w:rPr>
          <w:szCs w:val="22"/>
        </w:rPr>
        <w:t>he submission used longer</w:t>
      </w:r>
      <w:r w:rsidR="009A1D2A">
        <w:rPr>
          <w:szCs w:val="22"/>
        </w:rPr>
        <w:noBreakHyphen/>
      </w:r>
      <w:r w:rsidR="003C485F" w:rsidRPr="006C03DC">
        <w:rPr>
          <w:szCs w:val="22"/>
        </w:rPr>
        <w:t xml:space="preserve">term </w:t>
      </w:r>
      <w:r w:rsidRPr="006C03DC">
        <w:rPr>
          <w:szCs w:val="22"/>
        </w:rPr>
        <w:t xml:space="preserve">data from a phase I dose escalation trial (CA209-003) to estimate nivolumab treatment duration.  Although the use of long-term data may be more suitable, the reliability of the estimated mean duration treatment from CA209-003 was </w:t>
      </w:r>
      <w:r w:rsidR="009B2A22" w:rsidRPr="006C03DC">
        <w:rPr>
          <w:szCs w:val="22"/>
        </w:rPr>
        <w:t>affected</w:t>
      </w:r>
      <w:r w:rsidRPr="006C03DC">
        <w:rPr>
          <w:szCs w:val="22"/>
        </w:rPr>
        <w:t xml:space="preserve"> by limited recruitment (3mg/kg treatment arm: n=17) and inadequate applicability of the </w:t>
      </w:r>
      <w:r w:rsidR="00261270" w:rsidRPr="006C03DC">
        <w:rPr>
          <w:szCs w:val="22"/>
        </w:rPr>
        <w:t>trial</w:t>
      </w:r>
      <w:r w:rsidRPr="006C03DC">
        <w:rPr>
          <w:szCs w:val="22"/>
        </w:rPr>
        <w:t xml:space="preserve"> participants (</w:t>
      </w:r>
      <w:r w:rsidR="00261270" w:rsidRPr="006C03DC">
        <w:rPr>
          <w:szCs w:val="22"/>
        </w:rPr>
        <w:t>previously treated with ipilimumab).</w:t>
      </w:r>
    </w:p>
    <w:p w:rsidR="009D003C" w:rsidRPr="006C03DC" w:rsidRDefault="009D003C" w:rsidP="00323E7A">
      <w:pPr>
        <w:pStyle w:val="ListParagraph"/>
        <w:widowControl/>
        <w:numPr>
          <w:ilvl w:val="0"/>
          <w:numId w:val="3"/>
        </w:numPr>
        <w:ind w:left="993" w:hanging="284"/>
        <w:rPr>
          <w:szCs w:val="22"/>
        </w:rPr>
      </w:pPr>
      <w:r w:rsidRPr="006C03DC">
        <w:rPr>
          <w:szCs w:val="22"/>
        </w:rPr>
        <w:t>Appropriateness of using average patient weight from CA209-066 to determine the number of nivolumab vials per administration: the average weight observed in CA209-066 (</w:t>
      </w:r>
      <w:r w:rsidR="005E36D7">
        <w:rPr>
          <w:noProof/>
          <w:color w:val="000000"/>
          <w:szCs w:val="22"/>
          <w:highlight w:val="black"/>
        </w:rPr>
        <w:t>'''''''''''''''</w:t>
      </w:r>
      <w:r w:rsidRPr="006C03DC">
        <w:rPr>
          <w:szCs w:val="22"/>
        </w:rPr>
        <w:t>kg) was lower than that observed in the ipil</w:t>
      </w:r>
      <w:r w:rsidR="00867AA4" w:rsidRPr="006C03DC">
        <w:rPr>
          <w:szCs w:val="22"/>
        </w:rPr>
        <w:t>imumab-treated PBS population of</w:t>
      </w:r>
      <w:r w:rsidRPr="006C03DC">
        <w:rPr>
          <w:szCs w:val="22"/>
        </w:rPr>
        <w:t xml:space="preserve"> 82.1 kg.  Furthermore, the lack of consideration for patient weight distribution and associated vial wastage </w:t>
      </w:r>
      <w:r w:rsidR="0095142E" w:rsidRPr="006C03DC">
        <w:rPr>
          <w:szCs w:val="22"/>
        </w:rPr>
        <w:t>affected</w:t>
      </w:r>
      <w:r w:rsidRPr="006C03DC">
        <w:rPr>
          <w:szCs w:val="22"/>
        </w:rPr>
        <w:t xml:space="preserve"> the accuracy of the number of nivolumab vials used per patient.</w:t>
      </w:r>
    </w:p>
    <w:p w:rsidR="007B7704" w:rsidRPr="001E2B1E" w:rsidRDefault="007B7704" w:rsidP="00323E7A">
      <w:pPr>
        <w:widowControl/>
        <w:rPr>
          <w:szCs w:val="22"/>
        </w:rPr>
      </w:pPr>
    </w:p>
    <w:p w:rsidR="00B60939" w:rsidRPr="002C2775" w:rsidRDefault="00B60939" w:rsidP="00323E7A">
      <w:pPr>
        <w:pStyle w:val="Heading2"/>
        <w:widowControl/>
        <w:rPr>
          <w:i/>
        </w:rPr>
      </w:pPr>
      <w:bookmarkStart w:id="16" w:name="_Toc419885977"/>
      <w:r w:rsidRPr="002C2775">
        <w:rPr>
          <w:i/>
        </w:rPr>
        <w:t>Estimated PBS usage &amp; financial implications</w:t>
      </w:r>
      <w:bookmarkEnd w:id="16"/>
    </w:p>
    <w:p w:rsidR="00B60939" w:rsidRPr="00287DBE" w:rsidRDefault="00B60939" w:rsidP="00323E7A">
      <w:pPr>
        <w:widowControl/>
        <w:ind w:left="720" w:hanging="720"/>
        <w:rPr>
          <w:szCs w:val="22"/>
        </w:rPr>
      </w:pPr>
    </w:p>
    <w:p w:rsidR="00C25D9C" w:rsidRPr="00B841D9" w:rsidRDefault="00C76117" w:rsidP="00323E7A">
      <w:pPr>
        <w:pStyle w:val="ListParagraph"/>
        <w:widowControl/>
        <w:numPr>
          <w:ilvl w:val="1"/>
          <w:numId w:val="23"/>
        </w:numPr>
        <w:ind w:left="709" w:hanging="709"/>
      </w:pPr>
      <w:r w:rsidRPr="00B841D9">
        <w:t xml:space="preserve">This submission </w:t>
      </w:r>
      <w:r w:rsidR="006E38BD">
        <w:t>wa</w:t>
      </w:r>
      <w:r w:rsidRPr="00B841D9">
        <w:t xml:space="preserve">s not </w:t>
      </w:r>
      <w:r w:rsidR="006E38BD">
        <w:t>c</w:t>
      </w:r>
      <w:r w:rsidRPr="00B841D9">
        <w:t xml:space="preserve">onsidered by </w:t>
      </w:r>
      <w:r w:rsidR="006E38BD">
        <w:t xml:space="preserve">the </w:t>
      </w:r>
      <w:r w:rsidRPr="00B841D9">
        <w:t>DUSC.  Estimated use and financial implications are presented in the table below.</w:t>
      </w:r>
    </w:p>
    <w:p w:rsidR="00C25D9C" w:rsidRPr="0075469C" w:rsidRDefault="00C25D9C" w:rsidP="00323E7A">
      <w:pPr>
        <w:widowControl/>
        <w:rPr>
          <w:szCs w:val="22"/>
        </w:rPr>
      </w:pPr>
    </w:p>
    <w:p w:rsidR="00C76117" w:rsidRDefault="00C76117" w:rsidP="00323E7A">
      <w:pPr>
        <w:widowControl/>
        <w:ind w:firstLine="709"/>
        <w:rPr>
          <w:rStyle w:val="CommentReference"/>
        </w:rPr>
      </w:pPr>
      <w:r w:rsidRPr="001222FC">
        <w:rPr>
          <w:rStyle w:val="CommentReference"/>
        </w:rPr>
        <w:t xml:space="preserve">Table </w:t>
      </w:r>
      <w:r w:rsidR="003B088C">
        <w:rPr>
          <w:rStyle w:val="CommentReference"/>
        </w:rPr>
        <w:t>12</w:t>
      </w:r>
      <w:r w:rsidRPr="001222FC">
        <w:rPr>
          <w:rStyle w:val="CommentReference"/>
        </w:rPr>
        <w:t>: Estimated use and financial implications</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64"/>
        <w:gridCol w:w="1071"/>
        <w:gridCol w:w="1133"/>
        <w:gridCol w:w="1275"/>
        <w:gridCol w:w="1150"/>
        <w:gridCol w:w="1152"/>
      </w:tblGrid>
      <w:tr w:rsidR="00C76117" w:rsidRPr="004E2ADC" w:rsidTr="0075469C">
        <w:trPr>
          <w:tblHeader/>
        </w:trPr>
        <w:tc>
          <w:tcPr>
            <w:tcW w:w="1536" w:type="pct"/>
            <w:shd w:val="clear" w:color="auto" w:fill="auto"/>
            <w:vAlign w:val="center"/>
          </w:tcPr>
          <w:p w:rsidR="00C76117" w:rsidRPr="004E2ADC" w:rsidRDefault="00C76117" w:rsidP="00323E7A">
            <w:pPr>
              <w:widowControl/>
              <w:tabs>
                <w:tab w:val="left" w:pos="142"/>
              </w:tabs>
              <w:jc w:val="left"/>
              <w:rPr>
                <w:rFonts w:ascii="Arial Narrow" w:hAnsi="Arial Narrow"/>
                <w:b/>
                <w:sz w:val="20"/>
              </w:rPr>
            </w:pPr>
          </w:p>
        </w:tc>
        <w:tc>
          <w:tcPr>
            <w:tcW w:w="642" w:type="pct"/>
            <w:shd w:val="clear" w:color="auto" w:fill="auto"/>
            <w:vAlign w:val="center"/>
          </w:tcPr>
          <w:p w:rsidR="00C76117" w:rsidRPr="004E2ADC" w:rsidRDefault="00C76117" w:rsidP="00323E7A">
            <w:pPr>
              <w:widowControl/>
              <w:jc w:val="center"/>
              <w:rPr>
                <w:rFonts w:ascii="Arial Narrow" w:hAnsi="Arial Narrow"/>
                <w:b/>
                <w:sz w:val="20"/>
              </w:rPr>
            </w:pPr>
            <w:r w:rsidRPr="004E2ADC">
              <w:rPr>
                <w:rFonts w:ascii="Arial Narrow" w:hAnsi="Arial Narrow"/>
                <w:b/>
                <w:sz w:val="20"/>
              </w:rPr>
              <w:t>Year 1</w:t>
            </w:r>
          </w:p>
        </w:tc>
        <w:tc>
          <w:tcPr>
            <w:tcW w:w="679" w:type="pct"/>
            <w:shd w:val="clear" w:color="auto" w:fill="auto"/>
            <w:vAlign w:val="center"/>
          </w:tcPr>
          <w:p w:rsidR="00C76117" w:rsidRPr="004E2ADC" w:rsidRDefault="00C76117" w:rsidP="00323E7A">
            <w:pPr>
              <w:widowControl/>
              <w:jc w:val="center"/>
              <w:rPr>
                <w:rFonts w:ascii="Arial Narrow" w:hAnsi="Arial Narrow"/>
                <w:b/>
                <w:sz w:val="20"/>
              </w:rPr>
            </w:pPr>
            <w:r w:rsidRPr="004E2ADC">
              <w:rPr>
                <w:rFonts w:ascii="Arial Narrow" w:hAnsi="Arial Narrow"/>
                <w:b/>
                <w:sz w:val="20"/>
              </w:rPr>
              <w:t>Year 2</w:t>
            </w:r>
          </w:p>
        </w:tc>
        <w:tc>
          <w:tcPr>
            <w:tcW w:w="764" w:type="pct"/>
            <w:shd w:val="clear" w:color="auto" w:fill="auto"/>
            <w:vAlign w:val="center"/>
          </w:tcPr>
          <w:p w:rsidR="00C76117" w:rsidRPr="004E2ADC" w:rsidRDefault="00C76117" w:rsidP="00323E7A">
            <w:pPr>
              <w:widowControl/>
              <w:jc w:val="center"/>
              <w:rPr>
                <w:rFonts w:ascii="Arial Narrow" w:hAnsi="Arial Narrow"/>
                <w:b/>
                <w:sz w:val="20"/>
              </w:rPr>
            </w:pPr>
            <w:r w:rsidRPr="004E2ADC">
              <w:rPr>
                <w:rFonts w:ascii="Arial Narrow" w:hAnsi="Arial Narrow"/>
                <w:b/>
                <w:sz w:val="20"/>
              </w:rPr>
              <w:t>Year 3</w:t>
            </w:r>
          </w:p>
        </w:tc>
        <w:tc>
          <w:tcPr>
            <w:tcW w:w="689" w:type="pct"/>
            <w:shd w:val="clear" w:color="auto" w:fill="auto"/>
            <w:vAlign w:val="center"/>
          </w:tcPr>
          <w:p w:rsidR="00C76117" w:rsidRPr="004E2ADC" w:rsidRDefault="00C76117" w:rsidP="00323E7A">
            <w:pPr>
              <w:widowControl/>
              <w:jc w:val="center"/>
              <w:rPr>
                <w:rFonts w:ascii="Arial Narrow" w:hAnsi="Arial Narrow"/>
                <w:b/>
                <w:sz w:val="20"/>
              </w:rPr>
            </w:pPr>
            <w:r w:rsidRPr="004E2ADC">
              <w:rPr>
                <w:rFonts w:ascii="Arial Narrow" w:hAnsi="Arial Narrow"/>
                <w:b/>
                <w:sz w:val="20"/>
              </w:rPr>
              <w:t>Year 4</w:t>
            </w:r>
          </w:p>
        </w:tc>
        <w:tc>
          <w:tcPr>
            <w:tcW w:w="690" w:type="pct"/>
            <w:shd w:val="clear" w:color="auto" w:fill="auto"/>
            <w:vAlign w:val="center"/>
          </w:tcPr>
          <w:p w:rsidR="00C76117" w:rsidRPr="004E2ADC" w:rsidRDefault="00C76117" w:rsidP="00323E7A">
            <w:pPr>
              <w:widowControl/>
              <w:jc w:val="center"/>
              <w:rPr>
                <w:rFonts w:ascii="Arial Narrow" w:hAnsi="Arial Narrow"/>
                <w:b/>
                <w:sz w:val="20"/>
              </w:rPr>
            </w:pPr>
            <w:r w:rsidRPr="004E2ADC">
              <w:rPr>
                <w:rFonts w:ascii="Arial Narrow" w:hAnsi="Arial Narrow"/>
                <w:b/>
                <w:sz w:val="20"/>
              </w:rPr>
              <w:t>Year 5</w:t>
            </w:r>
          </w:p>
        </w:tc>
      </w:tr>
      <w:tr w:rsidR="00C76117" w:rsidRPr="004E2ADC" w:rsidTr="0075469C">
        <w:tc>
          <w:tcPr>
            <w:tcW w:w="1536" w:type="pct"/>
            <w:shd w:val="clear" w:color="auto" w:fill="auto"/>
            <w:vAlign w:val="center"/>
          </w:tcPr>
          <w:p w:rsidR="00C76117" w:rsidRPr="004E2ADC" w:rsidRDefault="003C485F" w:rsidP="00323E7A">
            <w:pPr>
              <w:widowControl/>
              <w:tabs>
                <w:tab w:val="left" w:pos="142"/>
              </w:tabs>
              <w:jc w:val="left"/>
              <w:rPr>
                <w:rFonts w:ascii="Arial Narrow" w:hAnsi="Arial Narrow"/>
                <w:sz w:val="20"/>
              </w:rPr>
            </w:pPr>
            <w:r>
              <w:rPr>
                <w:rFonts w:ascii="Arial Narrow" w:hAnsi="Arial Narrow"/>
                <w:sz w:val="20"/>
              </w:rPr>
              <w:t>Nivolu</w:t>
            </w:r>
            <w:r w:rsidR="00C76117">
              <w:rPr>
                <w:rFonts w:ascii="Arial Narrow" w:hAnsi="Arial Narrow"/>
                <w:sz w:val="20"/>
              </w:rPr>
              <w:t>mab treated patients</w:t>
            </w:r>
          </w:p>
        </w:tc>
        <w:tc>
          <w:tcPr>
            <w:tcW w:w="642" w:type="pct"/>
            <w:shd w:val="clear" w:color="auto" w:fill="auto"/>
            <w:vAlign w:val="center"/>
          </w:tcPr>
          <w:p w:rsidR="00C76117" w:rsidRPr="00930DE3" w:rsidRDefault="00930DE3" w:rsidP="00323E7A">
            <w:pPr>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9" w:type="pct"/>
            <w:shd w:val="clear" w:color="auto" w:fill="auto"/>
            <w:vAlign w:val="center"/>
          </w:tcPr>
          <w:p w:rsidR="00C76117" w:rsidRPr="00930DE3" w:rsidRDefault="00930DE3" w:rsidP="00323E7A">
            <w:pPr>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C76117" w:rsidRPr="00930DE3" w:rsidRDefault="00930DE3" w:rsidP="00323E7A">
            <w:pPr>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89" w:type="pct"/>
            <w:shd w:val="clear" w:color="auto" w:fill="auto"/>
            <w:vAlign w:val="center"/>
          </w:tcPr>
          <w:p w:rsidR="00C76117" w:rsidRPr="00930DE3" w:rsidRDefault="00930DE3" w:rsidP="00323E7A">
            <w:pPr>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90" w:type="pct"/>
            <w:shd w:val="clear" w:color="auto" w:fill="auto"/>
            <w:vAlign w:val="center"/>
          </w:tcPr>
          <w:p w:rsidR="00C76117" w:rsidRPr="00930DE3" w:rsidRDefault="00930DE3" w:rsidP="00323E7A">
            <w:pPr>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C76117" w:rsidRPr="00566ADE" w:rsidTr="0075469C">
        <w:tc>
          <w:tcPr>
            <w:tcW w:w="1536" w:type="pct"/>
            <w:shd w:val="clear" w:color="auto" w:fill="auto"/>
            <w:vAlign w:val="center"/>
          </w:tcPr>
          <w:p w:rsidR="00C76117" w:rsidRPr="00566ADE" w:rsidRDefault="00C76117" w:rsidP="00323E7A">
            <w:pPr>
              <w:widowControl/>
              <w:tabs>
                <w:tab w:val="left" w:pos="142"/>
              </w:tabs>
              <w:jc w:val="left"/>
              <w:rPr>
                <w:rFonts w:ascii="Arial Narrow" w:hAnsi="Arial Narrow"/>
                <w:sz w:val="20"/>
              </w:rPr>
            </w:pPr>
            <w:r w:rsidRPr="00566ADE">
              <w:rPr>
                <w:rFonts w:ascii="Arial Narrow" w:hAnsi="Arial Narrow"/>
                <w:sz w:val="20"/>
              </w:rPr>
              <w:t>Nivolumab cost</w:t>
            </w:r>
          </w:p>
        </w:tc>
        <w:tc>
          <w:tcPr>
            <w:tcW w:w="642" w:type="pct"/>
            <w:shd w:val="clear" w:color="auto" w:fill="auto"/>
            <w:vAlign w:val="center"/>
          </w:tcPr>
          <w:p w:rsidR="00C76117" w:rsidRPr="00566ADE" w:rsidRDefault="00C76117" w:rsidP="00323E7A">
            <w:pPr>
              <w:widowControl/>
              <w:jc w:val="center"/>
              <w:rPr>
                <w:rFonts w:ascii="Arial Narrow" w:hAnsi="Arial Narrow"/>
                <w:bCs/>
                <w:color w:val="000000"/>
                <w:sz w:val="20"/>
              </w:rPr>
            </w:pPr>
            <w:r w:rsidRPr="00566ADE">
              <w:rPr>
                <w:rFonts w:ascii="Arial Narrow" w:hAnsi="Arial Narrow"/>
                <w:sz w:val="20"/>
              </w:rPr>
              <w:t>$</w:t>
            </w:r>
            <w:r w:rsidR="00930DE3">
              <w:rPr>
                <w:rFonts w:ascii="Arial Narrow" w:hAnsi="Arial Narrow"/>
                <w:noProof/>
                <w:color w:val="000000"/>
                <w:sz w:val="20"/>
                <w:highlight w:val="black"/>
              </w:rPr>
              <w:t>''''''''''''''''''''''''''''''''</w:t>
            </w:r>
          </w:p>
        </w:tc>
        <w:tc>
          <w:tcPr>
            <w:tcW w:w="679" w:type="pct"/>
            <w:shd w:val="clear" w:color="auto" w:fill="auto"/>
            <w:vAlign w:val="center"/>
          </w:tcPr>
          <w:p w:rsidR="00C76117" w:rsidRPr="00566ADE" w:rsidRDefault="00C76117" w:rsidP="00323E7A">
            <w:pPr>
              <w:widowControl/>
              <w:jc w:val="center"/>
              <w:rPr>
                <w:rFonts w:ascii="Arial Narrow" w:hAnsi="Arial Narrow"/>
                <w:bCs/>
                <w:color w:val="000000"/>
                <w:sz w:val="20"/>
              </w:rPr>
            </w:pPr>
            <w:r w:rsidRPr="00566ADE">
              <w:rPr>
                <w:rFonts w:ascii="Arial Narrow" w:hAnsi="Arial Narrow"/>
                <w:sz w:val="20"/>
              </w:rPr>
              <w:t>$</w:t>
            </w:r>
            <w:r w:rsidR="00930DE3">
              <w:rPr>
                <w:rFonts w:ascii="Arial Narrow" w:hAnsi="Arial Narrow"/>
                <w:noProof/>
                <w:color w:val="000000"/>
                <w:sz w:val="20"/>
                <w:highlight w:val="black"/>
              </w:rPr>
              <w:t>''''''''''''''''''''''''''''''''</w:t>
            </w:r>
          </w:p>
        </w:tc>
        <w:tc>
          <w:tcPr>
            <w:tcW w:w="764" w:type="pct"/>
            <w:shd w:val="clear" w:color="auto" w:fill="auto"/>
            <w:vAlign w:val="center"/>
          </w:tcPr>
          <w:p w:rsidR="00C76117" w:rsidRPr="00566ADE" w:rsidRDefault="00C76117" w:rsidP="00323E7A">
            <w:pPr>
              <w:widowControl/>
              <w:jc w:val="center"/>
              <w:rPr>
                <w:rFonts w:ascii="Arial Narrow" w:hAnsi="Arial Narrow"/>
                <w:bCs/>
                <w:color w:val="000000"/>
                <w:sz w:val="20"/>
              </w:rPr>
            </w:pPr>
            <w:r w:rsidRPr="00566ADE">
              <w:rPr>
                <w:rFonts w:ascii="Arial Narrow" w:hAnsi="Arial Narrow"/>
                <w:sz w:val="20"/>
              </w:rPr>
              <w:t>$</w:t>
            </w:r>
            <w:r w:rsidR="00930DE3">
              <w:rPr>
                <w:rFonts w:ascii="Arial Narrow" w:hAnsi="Arial Narrow"/>
                <w:noProof/>
                <w:color w:val="000000"/>
                <w:sz w:val="20"/>
                <w:highlight w:val="black"/>
              </w:rPr>
              <w:t>'''''''''''''''''''''''''''''</w:t>
            </w:r>
          </w:p>
        </w:tc>
        <w:tc>
          <w:tcPr>
            <w:tcW w:w="689" w:type="pct"/>
            <w:shd w:val="clear" w:color="auto" w:fill="auto"/>
            <w:vAlign w:val="center"/>
          </w:tcPr>
          <w:p w:rsidR="00C76117" w:rsidRPr="00566ADE" w:rsidRDefault="00C76117" w:rsidP="00323E7A">
            <w:pPr>
              <w:widowControl/>
              <w:jc w:val="center"/>
              <w:rPr>
                <w:rFonts w:ascii="Arial Narrow" w:hAnsi="Arial Narrow"/>
                <w:bCs/>
                <w:color w:val="000000"/>
                <w:sz w:val="20"/>
              </w:rPr>
            </w:pPr>
            <w:r w:rsidRPr="00566ADE">
              <w:rPr>
                <w:rFonts w:ascii="Arial Narrow" w:hAnsi="Arial Narrow"/>
                <w:sz w:val="20"/>
              </w:rPr>
              <w:t>$</w:t>
            </w:r>
            <w:r w:rsidR="00930DE3">
              <w:rPr>
                <w:rFonts w:ascii="Arial Narrow" w:hAnsi="Arial Narrow"/>
                <w:noProof/>
                <w:color w:val="000000"/>
                <w:sz w:val="20"/>
                <w:highlight w:val="black"/>
              </w:rPr>
              <w:t>''''''''''''''''''''''''''''''''</w:t>
            </w:r>
          </w:p>
        </w:tc>
        <w:tc>
          <w:tcPr>
            <w:tcW w:w="690" w:type="pct"/>
            <w:shd w:val="clear" w:color="auto" w:fill="auto"/>
            <w:vAlign w:val="center"/>
          </w:tcPr>
          <w:p w:rsidR="00C76117" w:rsidRPr="00566ADE" w:rsidRDefault="00C76117" w:rsidP="00323E7A">
            <w:pPr>
              <w:widowControl/>
              <w:jc w:val="center"/>
              <w:rPr>
                <w:rFonts w:ascii="Arial Narrow" w:hAnsi="Arial Narrow"/>
                <w:bCs/>
                <w:color w:val="000000"/>
                <w:sz w:val="20"/>
              </w:rPr>
            </w:pPr>
            <w:r w:rsidRPr="00566ADE">
              <w:rPr>
                <w:rFonts w:ascii="Arial Narrow" w:hAnsi="Arial Narrow"/>
                <w:sz w:val="20"/>
              </w:rPr>
              <w:t>$</w:t>
            </w:r>
            <w:r w:rsidR="00930DE3">
              <w:rPr>
                <w:rFonts w:ascii="Arial Narrow" w:hAnsi="Arial Narrow"/>
                <w:noProof/>
                <w:color w:val="000000"/>
                <w:sz w:val="20"/>
                <w:highlight w:val="black"/>
              </w:rPr>
              <w:t>'''''''''''''''''''''''''''</w:t>
            </w:r>
          </w:p>
        </w:tc>
      </w:tr>
      <w:tr w:rsidR="00C76117" w:rsidRPr="004E2ADC" w:rsidTr="0075469C">
        <w:tc>
          <w:tcPr>
            <w:tcW w:w="1536" w:type="pct"/>
            <w:shd w:val="clear" w:color="auto" w:fill="auto"/>
            <w:vAlign w:val="center"/>
          </w:tcPr>
          <w:p w:rsidR="00C76117" w:rsidRPr="004E2ADC" w:rsidRDefault="00C76117" w:rsidP="00323E7A">
            <w:pPr>
              <w:widowControl/>
              <w:tabs>
                <w:tab w:val="left" w:pos="142"/>
              </w:tabs>
              <w:jc w:val="left"/>
              <w:rPr>
                <w:rFonts w:ascii="Arial Narrow" w:hAnsi="Arial Narrow"/>
                <w:sz w:val="20"/>
              </w:rPr>
            </w:pPr>
            <w:r>
              <w:rPr>
                <w:rFonts w:ascii="Arial Narrow" w:hAnsi="Arial Narrow"/>
                <w:sz w:val="20"/>
              </w:rPr>
              <w:t>Substituted therapies</w:t>
            </w:r>
            <w:r w:rsidR="0075469C" w:rsidRPr="0075469C">
              <w:rPr>
                <w:rFonts w:ascii="Arial Narrow" w:hAnsi="Arial Narrow"/>
                <w:sz w:val="20"/>
                <w:vertAlign w:val="superscript"/>
              </w:rPr>
              <w:t>a</w:t>
            </w:r>
          </w:p>
        </w:tc>
        <w:tc>
          <w:tcPr>
            <w:tcW w:w="642" w:type="pct"/>
            <w:shd w:val="clear" w:color="auto" w:fill="auto"/>
            <w:vAlign w:val="center"/>
          </w:tcPr>
          <w:p w:rsidR="00C76117" w:rsidRPr="004E2ADC" w:rsidRDefault="00C76117" w:rsidP="00323E7A">
            <w:pPr>
              <w:widowControl/>
              <w:jc w:val="center"/>
              <w:rPr>
                <w:rFonts w:ascii="Arial Narrow" w:hAnsi="Arial Narrow"/>
                <w:bCs/>
                <w:color w:val="000000"/>
                <w:sz w:val="20"/>
              </w:rPr>
            </w:pPr>
            <w:r w:rsidRPr="007F560F">
              <w:rPr>
                <w:rFonts w:ascii="Arial Narrow" w:hAnsi="Arial Narrow"/>
                <w:sz w:val="20"/>
              </w:rPr>
              <w:t>-$</w:t>
            </w:r>
            <w:r w:rsidR="00930DE3">
              <w:rPr>
                <w:rFonts w:ascii="Arial Narrow" w:hAnsi="Arial Narrow"/>
                <w:noProof/>
                <w:color w:val="000000"/>
                <w:sz w:val="20"/>
                <w:highlight w:val="black"/>
              </w:rPr>
              <w:t>'''''''''''''''''''''''''''</w:t>
            </w:r>
          </w:p>
        </w:tc>
        <w:tc>
          <w:tcPr>
            <w:tcW w:w="679" w:type="pct"/>
            <w:shd w:val="clear" w:color="auto" w:fill="auto"/>
            <w:vAlign w:val="center"/>
          </w:tcPr>
          <w:p w:rsidR="00C76117" w:rsidRPr="004E2ADC" w:rsidRDefault="00C76117" w:rsidP="00323E7A">
            <w:pPr>
              <w:widowControl/>
              <w:jc w:val="center"/>
              <w:rPr>
                <w:rFonts w:ascii="Arial Narrow" w:hAnsi="Arial Narrow"/>
                <w:bCs/>
                <w:color w:val="000000"/>
                <w:sz w:val="20"/>
              </w:rPr>
            </w:pPr>
            <w:r w:rsidRPr="007F560F">
              <w:rPr>
                <w:rFonts w:ascii="Arial Narrow" w:hAnsi="Arial Narrow"/>
                <w:sz w:val="20"/>
              </w:rPr>
              <w:t>-$</w:t>
            </w:r>
            <w:r w:rsidR="00930DE3">
              <w:rPr>
                <w:rFonts w:ascii="Arial Narrow" w:hAnsi="Arial Narrow"/>
                <w:noProof/>
                <w:color w:val="000000"/>
                <w:sz w:val="20"/>
                <w:highlight w:val="black"/>
              </w:rPr>
              <w:t>''''''''''''''''''''''''''''</w:t>
            </w:r>
          </w:p>
        </w:tc>
        <w:tc>
          <w:tcPr>
            <w:tcW w:w="764" w:type="pct"/>
            <w:shd w:val="clear" w:color="auto" w:fill="auto"/>
            <w:vAlign w:val="center"/>
          </w:tcPr>
          <w:p w:rsidR="00C76117" w:rsidRPr="004E2ADC" w:rsidRDefault="00C76117" w:rsidP="00323E7A">
            <w:pPr>
              <w:widowControl/>
              <w:jc w:val="center"/>
              <w:rPr>
                <w:rFonts w:ascii="Arial Narrow" w:hAnsi="Arial Narrow"/>
                <w:bCs/>
                <w:color w:val="000000"/>
                <w:sz w:val="20"/>
              </w:rPr>
            </w:pPr>
            <w:r w:rsidRPr="007F560F">
              <w:rPr>
                <w:rFonts w:ascii="Arial Narrow" w:hAnsi="Arial Narrow"/>
                <w:sz w:val="20"/>
              </w:rPr>
              <w:t>-$</w:t>
            </w:r>
            <w:r w:rsidR="00930DE3">
              <w:rPr>
                <w:rFonts w:ascii="Arial Narrow" w:hAnsi="Arial Narrow"/>
                <w:noProof/>
                <w:color w:val="000000"/>
                <w:sz w:val="20"/>
                <w:highlight w:val="black"/>
              </w:rPr>
              <w:t>''''''''''''''''''''''''</w:t>
            </w:r>
          </w:p>
        </w:tc>
        <w:tc>
          <w:tcPr>
            <w:tcW w:w="689" w:type="pct"/>
            <w:shd w:val="clear" w:color="auto" w:fill="auto"/>
            <w:vAlign w:val="center"/>
          </w:tcPr>
          <w:p w:rsidR="00C76117" w:rsidRPr="004E2ADC" w:rsidRDefault="00C76117" w:rsidP="00323E7A">
            <w:pPr>
              <w:widowControl/>
              <w:jc w:val="center"/>
              <w:rPr>
                <w:rFonts w:ascii="Arial Narrow" w:hAnsi="Arial Narrow"/>
                <w:bCs/>
                <w:color w:val="000000"/>
                <w:sz w:val="20"/>
              </w:rPr>
            </w:pPr>
            <w:r w:rsidRPr="007F560F">
              <w:rPr>
                <w:rFonts w:ascii="Arial Narrow" w:hAnsi="Arial Narrow"/>
                <w:sz w:val="20"/>
              </w:rPr>
              <w:t>-$</w:t>
            </w:r>
            <w:r w:rsidR="00930DE3">
              <w:rPr>
                <w:rFonts w:ascii="Arial Narrow" w:hAnsi="Arial Narrow"/>
                <w:noProof/>
                <w:color w:val="000000"/>
                <w:sz w:val="20"/>
                <w:highlight w:val="black"/>
              </w:rPr>
              <w:t>''''''''''''''''''''''''</w:t>
            </w:r>
          </w:p>
        </w:tc>
        <w:tc>
          <w:tcPr>
            <w:tcW w:w="690" w:type="pct"/>
            <w:shd w:val="clear" w:color="auto" w:fill="auto"/>
            <w:vAlign w:val="center"/>
          </w:tcPr>
          <w:p w:rsidR="00C76117" w:rsidRPr="004E2ADC" w:rsidRDefault="00C76117" w:rsidP="00323E7A">
            <w:pPr>
              <w:widowControl/>
              <w:jc w:val="center"/>
              <w:rPr>
                <w:rFonts w:ascii="Arial Narrow" w:hAnsi="Arial Narrow"/>
                <w:bCs/>
                <w:color w:val="000000"/>
                <w:sz w:val="20"/>
              </w:rPr>
            </w:pPr>
            <w:r w:rsidRPr="007F560F">
              <w:rPr>
                <w:rFonts w:ascii="Arial Narrow" w:hAnsi="Arial Narrow"/>
                <w:sz w:val="20"/>
              </w:rPr>
              <w:t>-$</w:t>
            </w:r>
            <w:r w:rsidR="00930DE3">
              <w:rPr>
                <w:rFonts w:ascii="Arial Narrow" w:hAnsi="Arial Narrow"/>
                <w:noProof/>
                <w:color w:val="000000"/>
                <w:sz w:val="20"/>
                <w:highlight w:val="black"/>
              </w:rPr>
              <w:t>'''''''''''''''''''''''</w:t>
            </w:r>
          </w:p>
        </w:tc>
      </w:tr>
      <w:tr w:rsidR="00C76117" w:rsidRPr="00E873FF" w:rsidTr="0075469C">
        <w:tc>
          <w:tcPr>
            <w:tcW w:w="1536" w:type="pct"/>
            <w:shd w:val="clear" w:color="auto" w:fill="auto"/>
            <w:vAlign w:val="center"/>
          </w:tcPr>
          <w:p w:rsidR="00C76117" w:rsidRPr="00E873FF" w:rsidRDefault="00C76117" w:rsidP="00323E7A">
            <w:pPr>
              <w:widowControl/>
              <w:tabs>
                <w:tab w:val="left" w:pos="142"/>
              </w:tabs>
              <w:jc w:val="left"/>
              <w:rPr>
                <w:rFonts w:ascii="Arial Narrow" w:hAnsi="Arial Narrow"/>
                <w:sz w:val="20"/>
              </w:rPr>
            </w:pPr>
            <w:r w:rsidRPr="00E873FF">
              <w:rPr>
                <w:rFonts w:ascii="Arial Narrow" w:hAnsi="Arial Narrow" w:cs="Times New Roman"/>
                <w:sz w:val="20"/>
                <w:lang w:eastAsia="en-AU"/>
              </w:rPr>
              <w:t>Net cost to the PBS/RPBS</w:t>
            </w:r>
          </w:p>
        </w:tc>
        <w:tc>
          <w:tcPr>
            <w:tcW w:w="642" w:type="pct"/>
            <w:shd w:val="clear" w:color="auto" w:fill="auto"/>
            <w:vAlign w:val="center"/>
          </w:tcPr>
          <w:p w:rsidR="00C76117" w:rsidRPr="00E873FF" w:rsidRDefault="00C76117" w:rsidP="00323E7A">
            <w:pPr>
              <w:widowControl/>
              <w:jc w:val="center"/>
              <w:rPr>
                <w:rFonts w:ascii="Arial Narrow" w:hAnsi="Arial Narrow"/>
                <w:bCs/>
                <w:color w:val="000000"/>
                <w:sz w:val="20"/>
              </w:rPr>
            </w:pPr>
            <w:r w:rsidRPr="00E873FF">
              <w:rPr>
                <w:rFonts w:ascii="Arial Narrow" w:hAnsi="Arial Narrow"/>
                <w:sz w:val="20"/>
              </w:rPr>
              <w:t>$</w:t>
            </w:r>
            <w:r w:rsidR="00930DE3">
              <w:rPr>
                <w:rFonts w:ascii="Arial Narrow" w:hAnsi="Arial Narrow"/>
                <w:noProof/>
                <w:color w:val="000000"/>
                <w:sz w:val="20"/>
                <w:highlight w:val="black"/>
              </w:rPr>
              <w:t>''''''''''''''''''''''''''''</w:t>
            </w:r>
          </w:p>
        </w:tc>
        <w:tc>
          <w:tcPr>
            <w:tcW w:w="679" w:type="pct"/>
            <w:shd w:val="clear" w:color="auto" w:fill="auto"/>
            <w:vAlign w:val="center"/>
          </w:tcPr>
          <w:p w:rsidR="00C76117" w:rsidRPr="00E873FF" w:rsidRDefault="00C76117" w:rsidP="00323E7A">
            <w:pPr>
              <w:widowControl/>
              <w:jc w:val="center"/>
              <w:rPr>
                <w:rFonts w:ascii="Arial Narrow" w:hAnsi="Arial Narrow"/>
                <w:bCs/>
                <w:color w:val="000000"/>
                <w:sz w:val="20"/>
              </w:rPr>
            </w:pPr>
            <w:r w:rsidRPr="00E873FF">
              <w:rPr>
                <w:rFonts w:ascii="Arial Narrow" w:hAnsi="Arial Narrow"/>
                <w:sz w:val="20"/>
              </w:rPr>
              <w:t>$</w:t>
            </w:r>
            <w:r w:rsidR="00930DE3">
              <w:rPr>
                <w:rFonts w:ascii="Arial Narrow" w:hAnsi="Arial Narrow"/>
                <w:noProof/>
                <w:color w:val="000000"/>
                <w:sz w:val="20"/>
                <w:highlight w:val="black"/>
              </w:rPr>
              <w:t>'''''''''''''''''''''''''''''</w:t>
            </w:r>
          </w:p>
        </w:tc>
        <w:tc>
          <w:tcPr>
            <w:tcW w:w="764" w:type="pct"/>
            <w:shd w:val="clear" w:color="auto" w:fill="auto"/>
            <w:vAlign w:val="center"/>
          </w:tcPr>
          <w:p w:rsidR="00C76117" w:rsidRPr="00E873FF" w:rsidRDefault="00C76117" w:rsidP="00323E7A">
            <w:pPr>
              <w:widowControl/>
              <w:jc w:val="center"/>
              <w:rPr>
                <w:rFonts w:ascii="Arial Narrow" w:hAnsi="Arial Narrow"/>
                <w:bCs/>
                <w:color w:val="000000"/>
                <w:sz w:val="20"/>
              </w:rPr>
            </w:pPr>
            <w:r w:rsidRPr="00E873FF">
              <w:rPr>
                <w:rFonts w:ascii="Arial Narrow" w:hAnsi="Arial Narrow"/>
                <w:sz w:val="20"/>
              </w:rPr>
              <w:t>$</w:t>
            </w:r>
            <w:r w:rsidR="00930DE3">
              <w:rPr>
                <w:rFonts w:ascii="Arial Narrow" w:hAnsi="Arial Narrow"/>
                <w:noProof/>
                <w:color w:val="000000"/>
                <w:sz w:val="20"/>
                <w:highlight w:val="black"/>
              </w:rPr>
              <w:t>''''''''''''''''''''''''''''''''</w:t>
            </w:r>
          </w:p>
        </w:tc>
        <w:tc>
          <w:tcPr>
            <w:tcW w:w="689" w:type="pct"/>
            <w:shd w:val="clear" w:color="auto" w:fill="auto"/>
            <w:vAlign w:val="center"/>
          </w:tcPr>
          <w:p w:rsidR="00C76117" w:rsidRPr="00E873FF" w:rsidRDefault="00C76117" w:rsidP="00323E7A">
            <w:pPr>
              <w:widowControl/>
              <w:jc w:val="center"/>
              <w:rPr>
                <w:rFonts w:ascii="Arial Narrow" w:hAnsi="Arial Narrow"/>
                <w:bCs/>
                <w:color w:val="000000"/>
                <w:sz w:val="20"/>
              </w:rPr>
            </w:pPr>
            <w:r w:rsidRPr="00E873FF">
              <w:rPr>
                <w:rFonts w:ascii="Arial Narrow" w:hAnsi="Arial Narrow"/>
                <w:sz w:val="20"/>
              </w:rPr>
              <w:t>$</w:t>
            </w:r>
            <w:r w:rsidR="00930DE3">
              <w:rPr>
                <w:rFonts w:ascii="Arial Narrow" w:hAnsi="Arial Narrow"/>
                <w:noProof/>
                <w:color w:val="000000"/>
                <w:sz w:val="20"/>
                <w:highlight w:val="black"/>
              </w:rPr>
              <w:t>''''''''''''''''''''''''''''</w:t>
            </w:r>
          </w:p>
        </w:tc>
        <w:tc>
          <w:tcPr>
            <w:tcW w:w="690" w:type="pct"/>
            <w:shd w:val="clear" w:color="auto" w:fill="auto"/>
            <w:vAlign w:val="center"/>
          </w:tcPr>
          <w:p w:rsidR="00C76117" w:rsidRPr="00E873FF" w:rsidRDefault="00C76117" w:rsidP="00323E7A">
            <w:pPr>
              <w:widowControl/>
              <w:jc w:val="center"/>
              <w:rPr>
                <w:rFonts w:ascii="Arial Narrow" w:hAnsi="Arial Narrow"/>
                <w:bCs/>
                <w:color w:val="000000"/>
                <w:sz w:val="20"/>
              </w:rPr>
            </w:pPr>
            <w:r w:rsidRPr="00E873FF">
              <w:rPr>
                <w:rFonts w:ascii="Arial Narrow" w:hAnsi="Arial Narrow"/>
                <w:sz w:val="20"/>
              </w:rPr>
              <w:t>$</w:t>
            </w:r>
            <w:r w:rsidR="00930DE3">
              <w:rPr>
                <w:rFonts w:ascii="Arial Narrow" w:hAnsi="Arial Narrow"/>
                <w:noProof/>
                <w:color w:val="000000"/>
                <w:sz w:val="20"/>
                <w:highlight w:val="black"/>
              </w:rPr>
              <w:t>''''''''''''''''''''''''''''</w:t>
            </w:r>
          </w:p>
        </w:tc>
      </w:tr>
      <w:tr w:rsidR="00C76117" w:rsidRPr="00E873FF" w:rsidTr="0075469C">
        <w:tc>
          <w:tcPr>
            <w:tcW w:w="1536" w:type="pct"/>
            <w:shd w:val="clear" w:color="auto" w:fill="auto"/>
            <w:vAlign w:val="center"/>
          </w:tcPr>
          <w:p w:rsidR="00C76117" w:rsidRPr="00E873FF" w:rsidRDefault="00C76117" w:rsidP="00323E7A">
            <w:pPr>
              <w:widowControl/>
              <w:tabs>
                <w:tab w:val="left" w:pos="142"/>
              </w:tabs>
              <w:jc w:val="left"/>
              <w:rPr>
                <w:rFonts w:ascii="Arial Narrow" w:hAnsi="Arial Narrow"/>
                <w:sz w:val="20"/>
              </w:rPr>
            </w:pPr>
            <w:r w:rsidRPr="00E873FF">
              <w:rPr>
                <w:rFonts w:ascii="Arial Narrow" w:hAnsi="Arial Narrow" w:cs="Times New Roman"/>
                <w:sz w:val="20"/>
                <w:lang w:eastAsia="en-AU"/>
              </w:rPr>
              <w:t>Net administration costs</w:t>
            </w:r>
          </w:p>
        </w:tc>
        <w:tc>
          <w:tcPr>
            <w:tcW w:w="642" w:type="pct"/>
            <w:shd w:val="clear" w:color="auto" w:fill="auto"/>
            <w:vAlign w:val="bottom"/>
          </w:tcPr>
          <w:p w:rsidR="00C76117" w:rsidRPr="00E873FF" w:rsidRDefault="00C76117" w:rsidP="00323E7A">
            <w:pPr>
              <w:widowControl/>
              <w:jc w:val="center"/>
              <w:rPr>
                <w:rFonts w:ascii="Arial Narrow" w:hAnsi="Arial Narrow"/>
                <w:bCs/>
                <w:color w:val="000000"/>
                <w:sz w:val="20"/>
              </w:rPr>
            </w:pPr>
            <w:r w:rsidRPr="00E873FF">
              <w:rPr>
                <w:rFonts w:ascii="Arial Narrow" w:hAnsi="Arial Narrow"/>
                <w:color w:val="000000"/>
                <w:sz w:val="20"/>
              </w:rPr>
              <w:t>$</w:t>
            </w:r>
            <w:r w:rsidR="00930DE3">
              <w:rPr>
                <w:rFonts w:ascii="Arial Narrow" w:hAnsi="Arial Narrow"/>
                <w:noProof/>
                <w:color w:val="000000"/>
                <w:sz w:val="20"/>
                <w:highlight w:val="black"/>
              </w:rPr>
              <w:t>'''''''''''''''''''''''''</w:t>
            </w:r>
          </w:p>
        </w:tc>
        <w:tc>
          <w:tcPr>
            <w:tcW w:w="679" w:type="pct"/>
            <w:shd w:val="clear" w:color="auto" w:fill="auto"/>
            <w:vAlign w:val="bottom"/>
          </w:tcPr>
          <w:p w:rsidR="00C76117" w:rsidRPr="00E873FF" w:rsidRDefault="00C76117" w:rsidP="00323E7A">
            <w:pPr>
              <w:widowControl/>
              <w:jc w:val="center"/>
              <w:rPr>
                <w:rFonts w:ascii="Arial Narrow" w:hAnsi="Arial Narrow"/>
                <w:bCs/>
                <w:color w:val="000000"/>
                <w:sz w:val="20"/>
              </w:rPr>
            </w:pPr>
            <w:r w:rsidRPr="00E873FF">
              <w:rPr>
                <w:rFonts w:ascii="Arial Narrow" w:hAnsi="Arial Narrow"/>
                <w:color w:val="000000"/>
                <w:sz w:val="20"/>
              </w:rPr>
              <w:t>$</w:t>
            </w:r>
            <w:r w:rsidR="00930DE3">
              <w:rPr>
                <w:rFonts w:ascii="Arial Narrow" w:hAnsi="Arial Narrow"/>
                <w:noProof/>
                <w:color w:val="000000"/>
                <w:sz w:val="20"/>
                <w:highlight w:val="black"/>
              </w:rPr>
              <w:t>'''''''''''''''''''''''''''''</w:t>
            </w:r>
          </w:p>
        </w:tc>
        <w:tc>
          <w:tcPr>
            <w:tcW w:w="764" w:type="pct"/>
            <w:shd w:val="clear" w:color="auto" w:fill="auto"/>
            <w:vAlign w:val="bottom"/>
          </w:tcPr>
          <w:p w:rsidR="00C76117" w:rsidRPr="00E873FF" w:rsidRDefault="00C76117" w:rsidP="00323E7A">
            <w:pPr>
              <w:widowControl/>
              <w:jc w:val="center"/>
              <w:rPr>
                <w:rFonts w:ascii="Arial Narrow" w:hAnsi="Arial Narrow"/>
                <w:bCs/>
                <w:color w:val="000000"/>
                <w:sz w:val="20"/>
              </w:rPr>
            </w:pPr>
            <w:r w:rsidRPr="00E873FF">
              <w:rPr>
                <w:rFonts w:ascii="Arial Narrow" w:hAnsi="Arial Narrow"/>
                <w:color w:val="000000"/>
                <w:sz w:val="20"/>
              </w:rPr>
              <w:t>$</w:t>
            </w:r>
            <w:r w:rsidR="00930DE3">
              <w:rPr>
                <w:rFonts w:ascii="Arial Narrow" w:hAnsi="Arial Narrow"/>
                <w:noProof/>
                <w:color w:val="000000"/>
                <w:sz w:val="20"/>
                <w:highlight w:val="black"/>
              </w:rPr>
              <w:t>''''''''''''''''''''''''''''</w:t>
            </w:r>
          </w:p>
        </w:tc>
        <w:tc>
          <w:tcPr>
            <w:tcW w:w="689" w:type="pct"/>
            <w:shd w:val="clear" w:color="auto" w:fill="auto"/>
            <w:vAlign w:val="bottom"/>
          </w:tcPr>
          <w:p w:rsidR="00C76117" w:rsidRPr="00E873FF" w:rsidRDefault="00C76117" w:rsidP="00323E7A">
            <w:pPr>
              <w:widowControl/>
              <w:jc w:val="center"/>
              <w:rPr>
                <w:rFonts w:ascii="Arial Narrow" w:hAnsi="Arial Narrow"/>
                <w:bCs/>
                <w:color w:val="000000"/>
                <w:sz w:val="20"/>
              </w:rPr>
            </w:pPr>
            <w:r w:rsidRPr="00E873FF">
              <w:rPr>
                <w:rFonts w:ascii="Arial Narrow" w:hAnsi="Arial Narrow"/>
                <w:color w:val="000000"/>
                <w:sz w:val="20"/>
              </w:rPr>
              <w:t>$</w:t>
            </w:r>
            <w:r w:rsidR="00930DE3">
              <w:rPr>
                <w:rFonts w:ascii="Arial Narrow" w:hAnsi="Arial Narrow"/>
                <w:noProof/>
                <w:color w:val="000000"/>
                <w:sz w:val="20"/>
                <w:highlight w:val="black"/>
              </w:rPr>
              <w:t>''''''''''''''''''''''''''''</w:t>
            </w:r>
          </w:p>
        </w:tc>
        <w:tc>
          <w:tcPr>
            <w:tcW w:w="690" w:type="pct"/>
            <w:shd w:val="clear" w:color="auto" w:fill="auto"/>
            <w:vAlign w:val="bottom"/>
          </w:tcPr>
          <w:p w:rsidR="00C76117" w:rsidRPr="00E873FF" w:rsidRDefault="00C76117" w:rsidP="00323E7A">
            <w:pPr>
              <w:widowControl/>
              <w:jc w:val="center"/>
              <w:rPr>
                <w:rFonts w:ascii="Arial Narrow" w:hAnsi="Arial Narrow"/>
                <w:bCs/>
                <w:color w:val="000000"/>
                <w:sz w:val="20"/>
              </w:rPr>
            </w:pPr>
            <w:r w:rsidRPr="00E873FF">
              <w:rPr>
                <w:rFonts w:ascii="Arial Narrow" w:hAnsi="Arial Narrow"/>
                <w:color w:val="000000"/>
                <w:sz w:val="20"/>
              </w:rPr>
              <w:t>$</w:t>
            </w:r>
            <w:r w:rsidR="00930DE3">
              <w:rPr>
                <w:rFonts w:ascii="Arial Narrow" w:hAnsi="Arial Narrow"/>
                <w:noProof/>
                <w:color w:val="000000"/>
                <w:sz w:val="20"/>
                <w:highlight w:val="black"/>
              </w:rPr>
              <w:t>''''''''''''''''''''''''''''</w:t>
            </w:r>
          </w:p>
        </w:tc>
      </w:tr>
      <w:tr w:rsidR="00C76117" w:rsidRPr="004E2ADC" w:rsidTr="0075469C">
        <w:tc>
          <w:tcPr>
            <w:tcW w:w="1536" w:type="pct"/>
            <w:shd w:val="clear" w:color="auto" w:fill="auto"/>
            <w:vAlign w:val="center"/>
          </w:tcPr>
          <w:p w:rsidR="00C76117" w:rsidRPr="00145540" w:rsidRDefault="00C76117" w:rsidP="00323E7A">
            <w:pPr>
              <w:widowControl/>
              <w:tabs>
                <w:tab w:val="left" w:pos="142"/>
              </w:tabs>
              <w:jc w:val="left"/>
              <w:rPr>
                <w:rFonts w:ascii="Arial Narrow" w:hAnsi="Arial Narrow"/>
                <w:b/>
                <w:sz w:val="20"/>
              </w:rPr>
            </w:pPr>
            <w:r>
              <w:rPr>
                <w:rFonts w:ascii="Arial Narrow" w:hAnsi="Arial Narrow" w:cs="Times New Roman"/>
                <w:b/>
                <w:sz w:val="20"/>
                <w:lang w:eastAsia="en-AU"/>
              </w:rPr>
              <w:t>N</w:t>
            </w:r>
            <w:r w:rsidRPr="007F560F">
              <w:rPr>
                <w:rFonts w:ascii="Arial Narrow" w:hAnsi="Arial Narrow" w:cs="Times New Roman"/>
                <w:b/>
                <w:sz w:val="20"/>
                <w:lang w:eastAsia="en-AU"/>
              </w:rPr>
              <w:t>et cost to health budget</w:t>
            </w:r>
          </w:p>
        </w:tc>
        <w:tc>
          <w:tcPr>
            <w:tcW w:w="642" w:type="pct"/>
            <w:shd w:val="clear" w:color="auto" w:fill="auto"/>
            <w:vAlign w:val="center"/>
          </w:tcPr>
          <w:p w:rsidR="00C76117" w:rsidRPr="004E2ADC" w:rsidRDefault="00C76117" w:rsidP="00323E7A">
            <w:pPr>
              <w:widowControl/>
              <w:jc w:val="center"/>
              <w:rPr>
                <w:rFonts w:ascii="Arial Narrow" w:hAnsi="Arial Narrow"/>
                <w:color w:val="000000"/>
                <w:sz w:val="20"/>
              </w:rPr>
            </w:pPr>
            <w:r w:rsidRPr="007F560F">
              <w:rPr>
                <w:rFonts w:ascii="Arial Narrow" w:hAnsi="Arial Narrow"/>
                <w:b/>
                <w:sz w:val="20"/>
              </w:rPr>
              <w:t>$</w:t>
            </w:r>
            <w:r w:rsidR="00930DE3">
              <w:rPr>
                <w:rFonts w:ascii="Arial Narrow" w:hAnsi="Arial Narrow"/>
                <w:b/>
                <w:noProof/>
                <w:color w:val="000000"/>
                <w:sz w:val="20"/>
                <w:highlight w:val="black"/>
              </w:rPr>
              <w:t>''''''''''''''''''''''''''</w:t>
            </w:r>
          </w:p>
        </w:tc>
        <w:tc>
          <w:tcPr>
            <w:tcW w:w="679" w:type="pct"/>
            <w:shd w:val="clear" w:color="auto" w:fill="auto"/>
            <w:vAlign w:val="center"/>
          </w:tcPr>
          <w:p w:rsidR="00C76117" w:rsidRPr="004E2ADC" w:rsidRDefault="00C76117" w:rsidP="00323E7A">
            <w:pPr>
              <w:widowControl/>
              <w:jc w:val="center"/>
              <w:rPr>
                <w:rFonts w:ascii="Arial Narrow" w:hAnsi="Arial Narrow"/>
                <w:color w:val="000000"/>
                <w:sz w:val="20"/>
              </w:rPr>
            </w:pPr>
            <w:r w:rsidRPr="007F560F">
              <w:rPr>
                <w:rFonts w:ascii="Arial Narrow" w:hAnsi="Arial Narrow"/>
                <w:b/>
                <w:sz w:val="20"/>
              </w:rPr>
              <w:t>$</w:t>
            </w:r>
            <w:r w:rsidR="00930DE3">
              <w:rPr>
                <w:rFonts w:ascii="Arial Narrow" w:hAnsi="Arial Narrow"/>
                <w:b/>
                <w:noProof/>
                <w:color w:val="000000"/>
                <w:sz w:val="20"/>
                <w:highlight w:val="black"/>
              </w:rPr>
              <w:t>'''''''''''''''''''''''</w:t>
            </w:r>
          </w:p>
        </w:tc>
        <w:tc>
          <w:tcPr>
            <w:tcW w:w="764" w:type="pct"/>
            <w:shd w:val="clear" w:color="auto" w:fill="auto"/>
            <w:vAlign w:val="center"/>
          </w:tcPr>
          <w:p w:rsidR="00C76117" w:rsidRPr="004E2ADC" w:rsidRDefault="00C76117" w:rsidP="00323E7A">
            <w:pPr>
              <w:widowControl/>
              <w:jc w:val="center"/>
              <w:rPr>
                <w:rFonts w:ascii="Arial Narrow" w:hAnsi="Arial Narrow"/>
                <w:color w:val="000000"/>
                <w:sz w:val="20"/>
              </w:rPr>
            </w:pPr>
            <w:r w:rsidRPr="007F560F">
              <w:rPr>
                <w:rFonts w:ascii="Arial Narrow" w:hAnsi="Arial Narrow"/>
                <w:b/>
                <w:sz w:val="20"/>
              </w:rPr>
              <w:t>$</w:t>
            </w:r>
            <w:r w:rsidR="00930DE3">
              <w:rPr>
                <w:rFonts w:ascii="Arial Narrow" w:hAnsi="Arial Narrow"/>
                <w:b/>
                <w:noProof/>
                <w:color w:val="000000"/>
                <w:sz w:val="20"/>
                <w:highlight w:val="black"/>
              </w:rPr>
              <w:t>'''''''''''''''''''''''</w:t>
            </w:r>
          </w:p>
        </w:tc>
        <w:tc>
          <w:tcPr>
            <w:tcW w:w="689" w:type="pct"/>
            <w:shd w:val="clear" w:color="auto" w:fill="auto"/>
            <w:vAlign w:val="center"/>
          </w:tcPr>
          <w:p w:rsidR="00C76117" w:rsidRPr="004E2ADC" w:rsidRDefault="00C76117" w:rsidP="00323E7A">
            <w:pPr>
              <w:widowControl/>
              <w:jc w:val="center"/>
              <w:rPr>
                <w:rFonts w:ascii="Arial Narrow" w:hAnsi="Arial Narrow"/>
                <w:color w:val="000000"/>
                <w:sz w:val="20"/>
              </w:rPr>
            </w:pPr>
            <w:r w:rsidRPr="007F560F">
              <w:rPr>
                <w:rFonts w:ascii="Arial Narrow" w:hAnsi="Arial Narrow"/>
                <w:b/>
                <w:sz w:val="20"/>
              </w:rPr>
              <w:t>$</w:t>
            </w:r>
            <w:r w:rsidR="00930DE3">
              <w:rPr>
                <w:rFonts w:ascii="Arial Narrow" w:hAnsi="Arial Narrow"/>
                <w:b/>
                <w:noProof/>
                <w:color w:val="000000"/>
                <w:sz w:val="20"/>
                <w:highlight w:val="black"/>
              </w:rPr>
              <w:t>''''''''''''''''''''''''''</w:t>
            </w:r>
          </w:p>
        </w:tc>
        <w:tc>
          <w:tcPr>
            <w:tcW w:w="690" w:type="pct"/>
            <w:shd w:val="clear" w:color="auto" w:fill="auto"/>
            <w:vAlign w:val="center"/>
          </w:tcPr>
          <w:p w:rsidR="00C76117" w:rsidRPr="004E2ADC" w:rsidRDefault="00C76117" w:rsidP="00323E7A">
            <w:pPr>
              <w:widowControl/>
              <w:jc w:val="center"/>
              <w:rPr>
                <w:rFonts w:ascii="Arial Narrow" w:hAnsi="Arial Narrow"/>
                <w:color w:val="000000"/>
                <w:sz w:val="20"/>
              </w:rPr>
            </w:pPr>
            <w:r w:rsidRPr="007F560F">
              <w:rPr>
                <w:rFonts w:ascii="Arial Narrow" w:hAnsi="Arial Narrow"/>
                <w:b/>
                <w:sz w:val="20"/>
              </w:rPr>
              <w:t>$</w:t>
            </w:r>
            <w:r w:rsidR="00930DE3">
              <w:rPr>
                <w:rFonts w:ascii="Arial Narrow" w:hAnsi="Arial Narrow"/>
                <w:b/>
                <w:noProof/>
                <w:color w:val="000000"/>
                <w:sz w:val="20"/>
                <w:highlight w:val="black"/>
              </w:rPr>
              <w:t>'''''''''''''''''''''''</w:t>
            </w:r>
          </w:p>
        </w:tc>
      </w:tr>
    </w:tbl>
    <w:p w:rsidR="00C76117" w:rsidRDefault="0075469C" w:rsidP="00323E7A">
      <w:pPr>
        <w:pStyle w:val="TableFooter"/>
        <w:widowControl/>
        <w:tabs>
          <w:tab w:val="left" w:pos="851"/>
        </w:tabs>
        <w:ind w:left="851" w:hanging="131"/>
      </w:pPr>
      <w:r w:rsidRPr="0075469C">
        <w:rPr>
          <w:vertAlign w:val="superscript"/>
        </w:rPr>
        <w:t>a</w:t>
      </w:r>
      <w:r>
        <w:tab/>
      </w:r>
      <w:r w:rsidR="00C76117" w:rsidRPr="00566ADE">
        <w:t xml:space="preserve">The submission </w:t>
      </w:r>
      <w:r w:rsidR="00C76117">
        <w:t>indicated</w:t>
      </w:r>
      <w:r w:rsidR="00C76117" w:rsidRPr="00566ADE">
        <w:t xml:space="preserve"> that nivolumab will substitute for ipilimumab, dabrafenib and chemotherapy (fotemustine used as a proxy) for the treatment of unresectable or metastatic melanoma.  </w:t>
      </w:r>
    </w:p>
    <w:p w:rsidR="00C76117" w:rsidRDefault="00C76117" w:rsidP="00323E7A">
      <w:pPr>
        <w:pStyle w:val="TableFooter"/>
        <w:widowControl/>
        <w:ind w:firstLine="720"/>
        <w:rPr>
          <w:szCs w:val="22"/>
        </w:rPr>
      </w:pPr>
      <w:r w:rsidRPr="001222FC">
        <w:rPr>
          <w:sz w:val="16"/>
          <w:szCs w:val="18"/>
        </w:rPr>
        <w:t xml:space="preserve">Source: </w:t>
      </w:r>
      <w:r>
        <w:rPr>
          <w:szCs w:val="18"/>
        </w:rPr>
        <w:t>Table 89, p195; Table 90 p196; Table 94, p200 and Table 98, p206 of the submission.</w:t>
      </w:r>
    </w:p>
    <w:p w:rsidR="00C76117" w:rsidRDefault="00C76117" w:rsidP="00323E7A">
      <w:pPr>
        <w:widowControl/>
        <w:rPr>
          <w:szCs w:val="22"/>
        </w:rPr>
      </w:pPr>
    </w:p>
    <w:p w:rsidR="009A1D2A" w:rsidRPr="009A1D2A" w:rsidRDefault="009A1D2A" w:rsidP="009A1D2A">
      <w:pPr>
        <w:pStyle w:val="ListParagraph"/>
        <w:widowControl/>
        <w:ind w:left="709"/>
        <w:rPr>
          <w:i/>
        </w:rPr>
      </w:pPr>
      <w:r w:rsidRPr="009A1D2A">
        <w:rPr>
          <w:i/>
        </w:rPr>
        <w:t>The redacted table above shows that the estimated use and financial implications of nivolumab to the health budget for the treatment of unresectable Stage III or Stage IV malignant melanoma is less than 10,000 patients per year and more than $</w:t>
      </w:r>
      <w:r>
        <w:rPr>
          <w:i/>
        </w:rPr>
        <w:t>100 </w:t>
      </w:r>
      <w:r w:rsidRPr="009A1D2A">
        <w:rPr>
          <w:i/>
        </w:rPr>
        <w:t>million per year in each of t</w:t>
      </w:r>
      <w:r>
        <w:rPr>
          <w:i/>
        </w:rPr>
        <w:t>he first five years of listing.</w:t>
      </w:r>
    </w:p>
    <w:p w:rsidR="009A1D2A" w:rsidRPr="00C25D9C" w:rsidRDefault="009A1D2A" w:rsidP="00323E7A">
      <w:pPr>
        <w:widowControl/>
        <w:rPr>
          <w:szCs w:val="22"/>
        </w:rPr>
      </w:pPr>
    </w:p>
    <w:p w:rsidR="00C25D9C" w:rsidRPr="004A053A" w:rsidRDefault="00AE0FCC" w:rsidP="00323E7A">
      <w:pPr>
        <w:pStyle w:val="ListParagraph"/>
        <w:widowControl/>
        <w:numPr>
          <w:ilvl w:val="1"/>
          <w:numId w:val="23"/>
        </w:numPr>
        <w:ind w:left="709" w:hanging="709"/>
      </w:pPr>
      <w:r w:rsidRPr="006C03DC">
        <w:t xml:space="preserve">While the epidemiological approach was consistent with methods used in the ipilimumab November 2012 resubmission, given that it is expected that nivolumab will be in the same therapeutic area as ipilimumab, it </w:t>
      </w:r>
      <w:r w:rsidR="0095142E" w:rsidRPr="006C03DC">
        <w:t>wa</w:t>
      </w:r>
      <w:r w:rsidRPr="006C03DC">
        <w:t xml:space="preserve">s unclear why a market share analysis was not incorporated in the financial model.  Analysis of ipilimumab PBS utilisation data </w:t>
      </w:r>
      <w:r w:rsidRPr="004A053A">
        <w:t>by the Department has indicated a sta</w:t>
      </w:r>
      <w:r w:rsidR="009A1D2A">
        <w:t xml:space="preserve">ble uptake of approximately </w:t>
      </w:r>
      <w:r w:rsidR="007C0924">
        <w:t>less than 10,000 </w:t>
      </w:r>
      <w:r w:rsidRPr="004A053A">
        <w:t xml:space="preserve">patients per year since commencement of listing in August 2013.  Given that the financial model calculated over three times as many patients initiating nivolumab (increasing from </w:t>
      </w:r>
      <w:r w:rsidR="007C0924">
        <w:t>less than 10,000</w:t>
      </w:r>
      <w:r w:rsidRPr="004A053A">
        <w:t xml:space="preserve"> in year 1 to </w:t>
      </w:r>
      <w:r w:rsidR="007C0924">
        <w:t>less than 10,000</w:t>
      </w:r>
      <w:r w:rsidRPr="004A053A">
        <w:t xml:space="preserve"> in year 5), there </w:t>
      </w:r>
      <w:r w:rsidR="0095142E" w:rsidRPr="004A053A">
        <w:t>wa</w:t>
      </w:r>
      <w:r w:rsidRPr="004A053A">
        <w:t>s inadequate external validity associated with the submission’s estimates.  On this basis</w:t>
      </w:r>
      <w:r w:rsidR="0095142E" w:rsidRPr="004A053A">
        <w:t>,</w:t>
      </w:r>
      <w:r w:rsidRPr="004A053A">
        <w:t xml:space="preserve"> it </w:t>
      </w:r>
      <w:r w:rsidR="0095142E" w:rsidRPr="004A053A">
        <w:t>wa</w:t>
      </w:r>
      <w:r w:rsidRPr="004A053A">
        <w:t xml:space="preserve">s likely that the net costs to </w:t>
      </w:r>
      <w:r w:rsidR="00AA3358" w:rsidRPr="004A053A">
        <w:t>G</w:t>
      </w:r>
      <w:r w:rsidRPr="004A053A">
        <w:t>overnment (</w:t>
      </w:r>
      <w:r w:rsidR="00C4564E">
        <w:t xml:space="preserve">more than </w:t>
      </w:r>
      <w:r w:rsidRPr="004A053A">
        <w:t>$</w:t>
      </w:r>
      <w:r w:rsidR="00C4564E">
        <w:t xml:space="preserve">100 million </w:t>
      </w:r>
      <w:r w:rsidR="00C4564E">
        <w:lastRenderedPageBreak/>
        <w:t xml:space="preserve">per year </w:t>
      </w:r>
      <w:r w:rsidRPr="004A053A">
        <w:t xml:space="preserve">over 5 years) </w:t>
      </w:r>
      <w:r w:rsidR="0095142E" w:rsidRPr="004A053A">
        <w:t>we</w:t>
      </w:r>
      <w:r w:rsidRPr="004A053A">
        <w:t>re substantially overestimated by the submission.</w:t>
      </w:r>
      <w:r w:rsidR="00283A78" w:rsidRPr="004A053A">
        <w:t xml:space="preserve"> </w:t>
      </w:r>
      <w:r w:rsidR="007361E5" w:rsidRPr="004A053A">
        <w:t xml:space="preserve"> In its PSCR, the sponsor argued that the</w:t>
      </w:r>
      <w:r w:rsidR="00931456" w:rsidRPr="004A053A">
        <w:t xml:space="preserve"> estimated patient numbers cited in its submission were representative of expected PD-1 inhibitor (i.e. nivolumab, pembrolizumab and other future PD-1 inhibitors) utilisation, and that current standard of care for BRAF wild</w:t>
      </w:r>
      <w:r w:rsidR="00C4564E">
        <w:noBreakHyphen/>
      </w:r>
      <w:r w:rsidR="00931456" w:rsidRPr="004A053A">
        <w:t>type and mutant patients (ipilimumab and dabrafenib ± trametinib) w</w:t>
      </w:r>
      <w:r w:rsidR="00283A78" w:rsidRPr="004A053A">
        <w:t>ould</w:t>
      </w:r>
      <w:r w:rsidR="00931456" w:rsidRPr="004A053A">
        <w:t xml:space="preserve"> be completely displaced.</w:t>
      </w:r>
      <w:r w:rsidR="00283A78" w:rsidRPr="004A053A">
        <w:t xml:space="preserve"> </w:t>
      </w:r>
      <w:r w:rsidR="00931456" w:rsidRPr="004A053A">
        <w:t xml:space="preserve"> The PSCR also claimed that there</w:t>
      </w:r>
      <w:r w:rsidR="007361E5" w:rsidRPr="004A053A">
        <w:t xml:space="preserve"> w</w:t>
      </w:r>
      <w:r w:rsidR="00283A78" w:rsidRPr="004A053A">
        <w:t>ould</w:t>
      </w:r>
      <w:r w:rsidR="007361E5" w:rsidRPr="004A053A">
        <w:t xml:space="preserve"> be an influx of patients who would traditionally be enrolled in clinical trials</w:t>
      </w:r>
      <w:r w:rsidR="00931456" w:rsidRPr="004A053A">
        <w:t>.</w:t>
      </w:r>
      <w:r w:rsidR="00283A78" w:rsidRPr="004A053A">
        <w:t xml:space="preserve"> </w:t>
      </w:r>
      <w:r w:rsidR="00931456" w:rsidRPr="004A053A">
        <w:t xml:space="preserve"> The ESC </w:t>
      </w:r>
      <w:r w:rsidR="00DC3F00" w:rsidRPr="004A053A">
        <w:t xml:space="preserve">agreed that the expected numbers of patients treated with nivolumab (or across all PD-1 inhibitors in the future) were overestimated.  The ESC therefore </w:t>
      </w:r>
      <w:r w:rsidR="00931456" w:rsidRPr="004A053A">
        <w:t xml:space="preserve">considered that it would </w:t>
      </w:r>
      <w:r w:rsidR="00DC3F00" w:rsidRPr="004A053A">
        <w:t xml:space="preserve">also </w:t>
      </w:r>
      <w:r w:rsidR="00931456" w:rsidRPr="004A053A">
        <w:t xml:space="preserve">be informative for the sponsor to provide information on the number of </w:t>
      </w:r>
      <w:r w:rsidR="00283A78" w:rsidRPr="004A053A">
        <w:t>Australian patients with unresectable Stage III or Stage IV malignant melanoma enrolled across all of its trials on a month-by-month basis since the listing of ipilimumab.</w:t>
      </w:r>
    </w:p>
    <w:p w:rsidR="00AE0FCC" w:rsidRPr="006C03DC" w:rsidRDefault="00AE0FCC" w:rsidP="00323E7A">
      <w:pPr>
        <w:widowControl/>
      </w:pPr>
    </w:p>
    <w:p w:rsidR="00AE0FCC" w:rsidRPr="006C03DC" w:rsidRDefault="00AE0FCC" w:rsidP="00323E7A">
      <w:pPr>
        <w:pStyle w:val="ListParagraph"/>
        <w:widowControl/>
        <w:numPr>
          <w:ilvl w:val="1"/>
          <w:numId w:val="23"/>
        </w:numPr>
        <w:ind w:left="709" w:hanging="709"/>
      </w:pPr>
      <w:r w:rsidRPr="006C03DC">
        <w:t>Sensitivity analyses limiting the nivolumab treated pop</w:t>
      </w:r>
      <w:r w:rsidR="00C4564E">
        <w:t xml:space="preserve">ulation to </w:t>
      </w:r>
      <w:r w:rsidR="00AF15D5">
        <w:t xml:space="preserve">be the same as the uptake for ipilimumab </w:t>
      </w:r>
      <w:r w:rsidR="00C4564E">
        <w:t xml:space="preserve"> in year </w:t>
      </w:r>
      <w:r w:rsidRPr="006C03DC">
        <w:t xml:space="preserve">1, increasing in subsequent years according to the projected growth in the incident melanoma population (Cancer in Australia an overview, AIHW &amp; ACCR 2012: chapter 2, supplementary table D2.5), estimated </w:t>
      </w:r>
      <w:r w:rsidR="00A62D64">
        <w:t xml:space="preserve">lower </w:t>
      </w:r>
      <w:r w:rsidRPr="006C03DC">
        <w:t>overall net costs of $</w:t>
      </w:r>
      <w:r w:rsidR="009E4590">
        <w:t>–more than</w:t>
      </w:r>
      <w:r w:rsidR="00C4564E">
        <w:t xml:space="preserve"> $100 million per year</w:t>
      </w:r>
      <w:r w:rsidR="00C4564E" w:rsidRPr="006C03DC">
        <w:t xml:space="preserve"> </w:t>
      </w:r>
      <w:r w:rsidRPr="006C03DC">
        <w:t>over 5 years.</w:t>
      </w:r>
    </w:p>
    <w:p w:rsidR="00576972" w:rsidRPr="006C03DC" w:rsidRDefault="00576972" w:rsidP="00323E7A">
      <w:pPr>
        <w:widowControl/>
        <w:rPr>
          <w:szCs w:val="22"/>
        </w:rPr>
      </w:pPr>
    </w:p>
    <w:p w:rsidR="00576972" w:rsidRPr="002C2775" w:rsidRDefault="00576972" w:rsidP="00323E7A">
      <w:pPr>
        <w:pStyle w:val="Heading2"/>
        <w:widowControl/>
        <w:rPr>
          <w:i/>
        </w:rPr>
      </w:pPr>
      <w:bookmarkStart w:id="17" w:name="_Toc419885978"/>
      <w:r w:rsidRPr="002C2775">
        <w:rPr>
          <w:i/>
        </w:rPr>
        <w:t>Quality Use of Medicines</w:t>
      </w:r>
      <w:bookmarkEnd w:id="17"/>
    </w:p>
    <w:p w:rsidR="00576972" w:rsidRPr="00576972" w:rsidRDefault="00576972" w:rsidP="00323E7A">
      <w:pPr>
        <w:widowControl/>
        <w:rPr>
          <w:szCs w:val="22"/>
        </w:rPr>
      </w:pPr>
    </w:p>
    <w:p w:rsidR="00576972" w:rsidRPr="0086524D" w:rsidRDefault="00261270" w:rsidP="00323E7A">
      <w:pPr>
        <w:pStyle w:val="ListParagraph"/>
        <w:widowControl/>
        <w:numPr>
          <w:ilvl w:val="1"/>
          <w:numId w:val="23"/>
        </w:numPr>
        <w:ind w:left="709" w:hanging="709"/>
      </w:pPr>
      <w:r w:rsidRPr="0086524D">
        <w:t>The submission provided a summary of the sponsor’s plans regarding the quality use of medicines</w:t>
      </w:r>
      <w:r w:rsidR="0015235D" w:rsidRPr="0086524D">
        <w:t>.  Details were provided on:</w:t>
      </w:r>
    </w:p>
    <w:p w:rsidR="0015235D" w:rsidRDefault="004F3D10" w:rsidP="00323E7A">
      <w:pPr>
        <w:pStyle w:val="ListParagraph"/>
        <w:widowControl/>
        <w:numPr>
          <w:ilvl w:val="0"/>
          <w:numId w:val="7"/>
        </w:numPr>
        <w:ind w:left="993" w:hanging="284"/>
        <w:rPr>
          <w:szCs w:val="22"/>
        </w:rPr>
      </w:pPr>
      <w:r>
        <w:rPr>
          <w:szCs w:val="22"/>
        </w:rPr>
        <w:t>Physician experience with nivol</w:t>
      </w:r>
      <w:r w:rsidR="0015235D">
        <w:rPr>
          <w:szCs w:val="22"/>
        </w:rPr>
        <w:t>umab;</w:t>
      </w:r>
    </w:p>
    <w:p w:rsidR="0015235D" w:rsidRDefault="0015235D" w:rsidP="00323E7A">
      <w:pPr>
        <w:pStyle w:val="ListParagraph"/>
        <w:widowControl/>
        <w:numPr>
          <w:ilvl w:val="0"/>
          <w:numId w:val="7"/>
        </w:numPr>
        <w:ind w:left="993" w:hanging="284"/>
        <w:rPr>
          <w:szCs w:val="22"/>
        </w:rPr>
      </w:pPr>
      <w:r>
        <w:rPr>
          <w:szCs w:val="22"/>
        </w:rPr>
        <w:t>Clinical trial activity in Australia;</w:t>
      </w:r>
    </w:p>
    <w:p w:rsidR="0015235D" w:rsidRPr="006C03DC" w:rsidRDefault="0015235D" w:rsidP="00323E7A">
      <w:pPr>
        <w:pStyle w:val="ListParagraph"/>
        <w:widowControl/>
        <w:numPr>
          <w:ilvl w:val="0"/>
          <w:numId w:val="4"/>
        </w:numPr>
        <w:ind w:left="993" w:hanging="284"/>
        <w:rPr>
          <w:szCs w:val="22"/>
        </w:rPr>
      </w:pPr>
      <w:r>
        <w:rPr>
          <w:szCs w:val="22"/>
        </w:rPr>
        <w:t xml:space="preserve">Expanded access </w:t>
      </w:r>
      <w:r w:rsidRPr="00287DBE">
        <w:t>program</w:t>
      </w:r>
      <w:r>
        <w:rPr>
          <w:szCs w:val="22"/>
        </w:rPr>
        <w:t xml:space="preserve">.  </w:t>
      </w:r>
      <w:r>
        <w:t xml:space="preserve">As of </w:t>
      </w:r>
      <w:r w:rsidR="0095142E">
        <w:t xml:space="preserve">28 </w:t>
      </w:r>
      <w:r>
        <w:t>February 2015, there were 187 patients enrolled</w:t>
      </w:r>
      <w:r w:rsidRPr="004A053A">
        <w:t xml:space="preserve">, 7 discontinued and 8 patients with pending applications.  No indication was provided by the submission as to whether these patients would be grandfathered </w:t>
      </w:r>
      <w:r w:rsidR="00283A78" w:rsidRPr="004A053A">
        <w:t>under the requested restriction</w:t>
      </w:r>
      <w:r w:rsidR="004A053A">
        <w:t xml:space="preserve"> </w:t>
      </w:r>
      <w:r w:rsidR="00A62D64" w:rsidRPr="004A053A">
        <w:t>(the PSCR indicated patients deriving clinical benefit in the sponsor’s Expanded Access Program should be grandfathered)</w:t>
      </w:r>
      <w:r w:rsidR="00283A78" w:rsidRPr="004A053A">
        <w:t>;</w:t>
      </w:r>
    </w:p>
    <w:p w:rsidR="004F3D10" w:rsidRPr="006C03DC" w:rsidRDefault="004F3D10" w:rsidP="00323E7A">
      <w:pPr>
        <w:pStyle w:val="ListParagraph"/>
        <w:widowControl/>
        <w:numPr>
          <w:ilvl w:val="0"/>
          <w:numId w:val="7"/>
        </w:numPr>
        <w:ind w:left="993" w:hanging="284"/>
        <w:rPr>
          <w:szCs w:val="22"/>
        </w:rPr>
      </w:pPr>
      <w:r w:rsidRPr="006C03DC">
        <w:t xml:space="preserve">Education initiatives </w:t>
      </w:r>
      <w:r w:rsidRPr="00287DBE">
        <w:rPr>
          <w:szCs w:val="22"/>
        </w:rPr>
        <w:t>supporting</w:t>
      </w:r>
      <w:r w:rsidRPr="006C03DC">
        <w:t xml:space="preserve"> nivolumab use;</w:t>
      </w:r>
    </w:p>
    <w:p w:rsidR="004F3D10" w:rsidRPr="0015235D" w:rsidRDefault="004F3D10" w:rsidP="00323E7A">
      <w:pPr>
        <w:pStyle w:val="ListParagraph"/>
        <w:widowControl/>
        <w:numPr>
          <w:ilvl w:val="0"/>
          <w:numId w:val="7"/>
        </w:numPr>
        <w:ind w:left="993" w:hanging="284"/>
        <w:rPr>
          <w:szCs w:val="22"/>
        </w:rPr>
      </w:pPr>
      <w:r>
        <w:t xml:space="preserve">The submission </w:t>
      </w:r>
      <w:r w:rsidRPr="00287DBE">
        <w:rPr>
          <w:szCs w:val="22"/>
        </w:rPr>
        <w:t>indicated</w:t>
      </w:r>
      <w:r>
        <w:t xml:space="preserve"> the customer support model used for ipilimumab is intended to also be used for nivolumab.</w:t>
      </w:r>
    </w:p>
    <w:p w:rsidR="00576972" w:rsidRDefault="00576972" w:rsidP="00323E7A">
      <w:pPr>
        <w:widowControl/>
        <w:rPr>
          <w:szCs w:val="22"/>
        </w:rPr>
      </w:pPr>
    </w:p>
    <w:p w:rsidR="00576972" w:rsidRPr="002C2775" w:rsidRDefault="00576972" w:rsidP="00323E7A">
      <w:pPr>
        <w:pStyle w:val="Heading2"/>
        <w:widowControl/>
        <w:rPr>
          <w:i/>
          <w:szCs w:val="22"/>
        </w:rPr>
      </w:pPr>
      <w:bookmarkStart w:id="18" w:name="_Toc419885979"/>
      <w:r w:rsidRPr="002C2775">
        <w:rPr>
          <w:i/>
        </w:rPr>
        <w:t>Financial Management – Risk Sharing Arrangements</w:t>
      </w:r>
      <w:bookmarkEnd w:id="18"/>
    </w:p>
    <w:p w:rsidR="00C25D9C" w:rsidRPr="00576972" w:rsidRDefault="00C25D9C" w:rsidP="00323E7A">
      <w:pPr>
        <w:widowControl/>
        <w:rPr>
          <w:szCs w:val="22"/>
        </w:rPr>
      </w:pPr>
    </w:p>
    <w:p w:rsidR="00C25D9C" w:rsidRPr="006C03DC" w:rsidRDefault="00B85FD7" w:rsidP="00323E7A">
      <w:pPr>
        <w:pStyle w:val="ListParagraph"/>
        <w:widowControl/>
        <w:numPr>
          <w:ilvl w:val="1"/>
          <w:numId w:val="23"/>
        </w:numPr>
        <w:ind w:left="709" w:hanging="709"/>
      </w:pPr>
      <w:r w:rsidRPr="006C03DC">
        <w:t>The submission assert</w:t>
      </w:r>
      <w:r w:rsidR="00745422" w:rsidRPr="006C03DC">
        <w:t>ed</w:t>
      </w:r>
      <w:r w:rsidRPr="006C03DC">
        <w:t xml:space="preserve"> that a managed entry scheme (MES), identified as a </w:t>
      </w:r>
      <w:r w:rsidRPr="004A053A">
        <w:t xml:space="preserve">managed access program (MAP) in the submission, </w:t>
      </w:r>
      <w:r w:rsidR="00745422" w:rsidRPr="004A053A">
        <w:t>wa</w:t>
      </w:r>
      <w:r w:rsidRPr="004A053A">
        <w:t>s not required for nivolumab as the sponsor d</w:t>
      </w:r>
      <w:r w:rsidR="00745422" w:rsidRPr="004A053A">
        <w:t>id</w:t>
      </w:r>
      <w:r w:rsidRPr="004A053A">
        <w:t xml:space="preserve"> not consider there to be significant clinical uncertainties that would necessitate the need for separate provision or collection of survival data, as has been done for ipilimumab.</w:t>
      </w:r>
      <w:r w:rsidR="006E3B80" w:rsidRPr="004A053A">
        <w:t xml:space="preserve">  Given the uncertainty regarding the clinical benefit of nivolumab (see Clinical claim above) and the resultant uncertainty surrounding the estimate of cost-effectiveness, it appears that there may be potential for a MES to be established, to allow for provision of directly comparative data </w:t>
      </w:r>
      <w:r w:rsidR="0095142E" w:rsidRPr="004A053A">
        <w:t xml:space="preserve">from a nearly completed direct randomised trial </w:t>
      </w:r>
      <w:r w:rsidR="006E3B80" w:rsidRPr="004A053A">
        <w:t>along with a revised cost-effectiveness estimate.</w:t>
      </w:r>
      <w:r w:rsidR="001E4156" w:rsidRPr="004A053A">
        <w:t xml:space="preserve">  </w:t>
      </w:r>
      <w:r w:rsidR="008974A7" w:rsidRPr="004A053A">
        <w:t xml:space="preserve">The </w:t>
      </w:r>
      <w:r w:rsidR="00184CE6" w:rsidRPr="004A053A">
        <w:t>PSCR</w:t>
      </w:r>
      <w:r w:rsidR="008974A7" w:rsidRPr="004A053A">
        <w:t xml:space="preserve"> provided results from trial CA209-067, for </w:t>
      </w:r>
      <w:r w:rsidR="00E76D97" w:rsidRPr="004A053A">
        <w:t xml:space="preserve">the </w:t>
      </w:r>
      <w:r w:rsidR="008974A7" w:rsidRPr="004A053A">
        <w:t>comparison of nivolumab monotherapy and ipilimumab monotherapy</w:t>
      </w:r>
      <w:r w:rsidR="00082D45" w:rsidRPr="004A053A">
        <w:t>, and some additional data was available in a paper by Larkin et al (</w:t>
      </w:r>
      <w:r w:rsidR="00562338" w:rsidRPr="004A053A">
        <w:t xml:space="preserve">NEJM, 31 May </w:t>
      </w:r>
      <w:r w:rsidR="00082D45" w:rsidRPr="004A053A">
        <w:t>2015).</w:t>
      </w:r>
      <w:r w:rsidR="00B27A12" w:rsidRPr="004A053A">
        <w:t xml:space="preserve"> </w:t>
      </w:r>
      <w:r w:rsidR="00283A78" w:rsidRPr="004A053A">
        <w:t xml:space="preserve"> </w:t>
      </w:r>
      <w:r w:rsidR="00B27A12" w:rsidRPr="004A053A">
        <w:t>The PSCR also presented an indirect comparison of nivolumab</w:t>
      </w:r>
      <w:r w:rsidR="00184CE6" w:rsidRPr="004A053A">
        <w:t xml:space="preserve"> (CA209-067)</w:t>
      </w:r>
      <w:r w:rsidR="00B27A12" w:rsidRPr="004A053A">
        <w:t xml:space="preserve"> and pembrolizumab</w:t>
      </w:r>
      <w:r w:rsidR="00184CE6" w:rsidRPr="004A053A">
        <w:t xml:space="preserve"> (KN-006) using ipilimumab as </w:t>
      </w:r>
      <w:r w:rsidR="00AB161D" w:rsidRPr="004A053A">
        <w:t>the</w:t>
      </w:r>
      <w:r w:rsidR="00184CE6" w:rsidRPr="004A053A">
        <w:t xml:space="preserve"> common reference.</w:t>
      </w:r>
    </w:p>
    <w:p w:rsidR="00B85FD7" w:rsidRPr="00B85FD7" w:rsidRDefault="00B85FD7" w:rsidP="00323E7A">
      <w:pPr>
        <w:widowControl/>
        <w:rPr>
          <w:szCs w:val="22"/>
        </w:rPr>
      </w:pPr>
    </w:p>
    <w:p w:rsidR="00101F2C" w:rsidRPr="0086524D" w:rsidRDefault="00101F2C" w:rsidP="00323E7A">
      <w:pPr>
        <w:pStyle w:val="ListParagraph"/>
        <w:widowControl/>
        <w:numPr>
          <w:ilvl w:val="1"/>
          <w:numId w:val="23"/>
        </w:numPr>
        <w:ind w:left="709" w:hanging="709"/>
      </w:pPr>
      <w:r>
        <w:t>The submission stated that</w:t>
      </w:r>
      <w:r w:rsidR="0095142E">
        <w:t>,</w:t>
      </w:r>
      <w:r>
        <w:t xml:space="preserve"> given the financial expenditure predicted, the sponsor expect</w:t>
      </w:r>
      <w:r w:rsidR="0095142E">
        <w:t>ed that</w:t>
      </w:r>
      <w:r>
        <w:t xml:space="preserve"> there </w:t>
      </w:r>
      <w:r w:rsidR="0095142E">
        <w:t>would be</w:t>
      </w:r>
      <w:r>
        <w:t xml:space="preserve"> a need for a Deed of Agreement.  The proposed Special Pricing Arrangement (SPA) ha</w:t>
      </w:r>
      <w:r w:rsidR="0095142E">
        <w:t>d</w:t>
      </w:r>
      <w:r>
        <w:t xml:space="preserve"> two components:</w:t>
      </w:r>
    </w:p>
    <w:p w:rsidR="00101F2C" w:rsidRPr="00101F2C" w:rsidRDefault="00101F2C" w:rsidP="00323E7A">
      <w:pPr>
        <w:pStyle w:val="ListParagraph"/>
        <w:widowControl/>
        <w:numPr>
          <w:ilvl w:val="0"/>
          <w:numId w:val="4"/>
        </w:numPr>
        <w:ind w:left="993" w:hanging="284"/>
      </w:pPr>
      <w:r>
        <w:rPr>
          <w:szCs w:val="22"/>
        </w:rPr>
        <w:t>Published versus effective price with a rebate proposed to accommodate the difference.</w:t>
      </w:r>
    </w:p>
    <w:p w:rsidR="00FE5FDE" w:rsidRPr="004A2FC8" w:rsidRDefault="00101F2C" w:rsidP="00323E7A">
      <w:pPr>
        <w:pStyle w:val="ListParagraph"/>
        <w:widowControl/>
        <w:numPr>
          <w:ilvl w:val="0"/>
          <w:numId w:val="4"/>
        </w:numPr>
        <w:ind w:left="993" w:hanging="284"/>
      </w:pPr>
      <w:r>
        <w:t xml:space="preserve">The submission stated it is </w:t>
      </w:r>
      <w:r w:rsidRPr="006C03DC">
        <w:t>impossible for the sponsor to provide detailed proposals for a capped arrangement until the restriction, price and base case estimates are agreed.  The submission indicated one proposed structure that may be discussed includes a capped approach that manages any residual risk associated with inappropriate expenditure</w:t>
      </w:r>
      <w:r w:rsidRPr="006C03DC">
        <w:rPr>
          <w:szCs w:val="22"/>
        </w:rPr>
        <w:t xml:space="preserve">.  While </w:t>
      </w:r>
      <w:r w:rsidR="0095142E" w:rsidRPr="006C03DC">
        <w:rPr>
          <w:szCs w:val="22"/>
        </w:rPr>
        <w:t xml:space="preserve">sharing </w:t>
      </w:r>
      <w:r w:rsidRPr="006C03DC">
        <w:rPr>
          <w:szCs w:val="22"/>
        </w:rPr>
        <w:t xml:space="preserve">the risk </w:t>
      </w:r>
      <w:r w:rsidR="0095142E" w:rsidRPr="006C03DC">
        <w:rPr>
          <w:szCs w:val="22"/>
        </w:rPr>
        <w:t>of</w:t>
      </w:r>
      <w:r w:rsidRPr="006C03DC">
        <w:rPr>
          <w:szCs w:val="22"/>
        </w:rPr>
        <w:t xml:space="preserve"> use of nivolumab outside of </w:t>
      </w:r>
      <w:r w:rsidR="0095142E" w:rsidRPr="006C03DC">
        <w:rPr>
          <w:szCs w:val="22"/>
        </w:rPr>
        <w:t xml:space="preserve">both </w:t>
      </w:r>
      <w:r w:rsidRPr="006C03DC">
        <w:rPr>
          <w:szCs w:val="22"/>
        </w:rPr>
        <w:t xml:space="preserve">the </w:t>
      </w:r>
      <w:r w:rsidR="0095142E" w:rsidRPr="006C03DC">
        <w:rPr>
          <w:szCs w:val="22"/>
        </w:rPr>
        <w:t xml:space="preserve">initial and continuing </w:t>
      </w:r>
      <w:r w:rsidRPr="006C03DC">
        <w:rPr>
          <w:szCs w:val="22"/>
        </w:rPr>
        <w:t>restriction</w:t>
      </w:r>
      <w:r w:rsidR="0095142E" w:rsidRPr="006C03DC">
        <w:rPr>
          <w:szCs w:val="22"/>
        </w:rPr>
        <w:t>s was</w:t>
      </w:r>
      <w:r w:rsidRPr="006C03DC">
        <w:rPr>
          <w:szCs w:val="22"/>
        </w:rPr>
        <w:t xml:space="preserve"> important, consideration of the substantial overestimate of the net cost to Government </w:t>
      </w:r>
      <w:r w:rsidR="0095142E" w:rsidRPr="006C03DC">
        <w:rPr>
          <w:szCs w:val="22"/>
        </w:rPr>
        <w:t>was also</w:t>
      </w:r>
      <w:r w:rsidRPr="006C03DC">
        <w:rPr>
          <w:szCs w:val="22"/>
        </w:rPr>
        <w:t xml:space="preserve"> required.</w:t>
      </w:r>
    </w:p>
    <w:p w:rsidR="004A2FC8" w:rsidRDefault="004A2FC8" w:rsidP="00323E7A">
      <w:pPr>
        <w:widowControl/>
      </w:pPr>
    </w:p>
    <w:p w:rsidR="004A2FC8" w:rsidRPr="00B6180A" w:rsidRDefault="004A2FC8" w:rsidP="00323E7A">
      <w:pPr>
        <w:widowControl/>
        <w:ind w:firstLine="709"/>
      </w:pPr>
      <w:r w:rsidRPr="00FD29CF">
        <w:rPr>
          <w:i/>
          <w:szCs w:val="22"/>
        </w:rPr>
        <w:t>For more detail on PBAC’s view, see section 7 “PBAC outcome”</w:t>
      </w:r>
    </w:p>
    <w:p w:rsidR="00B6180A" w:rsidRDefault="00B6180A" w:rsidP="00323E7A">
      <w:pPr>
        <w:widowControl/>
      </w:pPr>
    </w:p>
    <w:p w:rsidR="004A2FC8" w:rsidRPr="00A51118" w:rsidRDefault="004A2FC8" w:rsidP="00323E7A">
      <w:pPr>
        <w:widowControl/>
        <w:rPr>
          <w:bCs/>
          <w:szCs w:val="22"/>
        </w:rPr>
      </w:pPr>
    </w:p>
    <w:p w:rsidR="004A2FC8" w:rsidRPr="00FD29CF" w:rsidRDefault="004A2FC8" w:rsidP="00323E7A">
      <w:pPr>
        <w:pStyle w:val="Heading2"/>
        <w:widowControl/>
        <w:numPr>
          <w:ilvl w:val="0"/>
          <w:numId w:val="23"/>
        </w:numPr>
        <w:ind w:left="709" w:hanging="709"/>
        <w:rPr>
          <w:b w:val="0"/>
          <w:bCs/>
        </w:rPr>
      </w:pPr>
      <w:r w:rsidRPr="00FD29CF">
        <w:rPr>
          <w:bCs/>
        </w:rPr>
        <w:t>PBAC Outcome</w:t>
      </w:r>
    </w:p>
    <w:p w:rsidR="004A2FC8" w:rsidRPr="00A51118" w:rsidRDefault="004A2FC8" w:rsidP="00323E7A">
      <w:pPr>
        <w:widowControl/>
        <w:contextualSpacing/>
        <w:rPr>
          <w:bCs/>
          <w:szCs w:val="22"/>
          <w:lang w:val="en-GB"/>
        </w:rPr>
      </w:pPr>
    </w:p>
    <w:p w:rsidR="00A17370" w:rsidRDefault="004C6691" w:rsidP="00323E7A">
      <w:pPr>
        <w:pStyle w:val="ListParagraph"/>
        <w:widowControl/>
        <w:numPr>
          <w:ilvl w:val="1"/>
          <w:numId w:val="23"/>
        </w:numPr>
        <w:ind w:left="709" w:hanging="709"/>
        <w:rPr>
          <w:bCs/>
          <w:szCs w:val="22"/>
          <w:lang w:val="en-GB"/>
        </w:rPr>
      </w:pPr>
      <w:r w:rsidRPr="00635DB2">
        <w:rPr>
          <w:bCs/>
          <w:szCs w:val="22"/>
          <w:lang w:val="en-GB"/>
        </w:rPr>
        <w:t xml:space="preserve">The PBAC </w:t>
      </w:r>
      <w:r w:rsidR="008E5D06" w:rsidRPr="00635DB2">
        <w:rPr>
          <w:bCs/>
          <w:szCs w:val="22"/>
          <w:lang w:val="en-GB"/>
        </w:rPr>
        <w:t>decided not to recommend</w:t>
      </w:r>
      <w:r w:rsidRPr="00635DB2">
        <w:rPr>
          <w:bCs/>
          <w:szCs w:val="22"/>
          <w:lang w:val="en-GB"/>
        </w:rPr>
        <w:t xml:space="preserve"> nivolumab for the treatment of unresectable or metastatic (Stage III or IV) melanoma</w:t>
      </w:r>
      <w:r w:rsidR="00401B0A" w:rsidRPr="00635DB2">
        <w:rPr>
          <w:bCs/>
          <w:szCs w:val="22"/>
          <w:lang w:val="en-GB"/>
        </w:rPr>
        <w:t xml:space="preserve">. In </w:t>
      </w:r>
      <w:r w:rsidR="00A51118" w:rsidRPr="00635DB2">
        <w:rPr>
          <w:bCs/>
          <w:szCs w:val="22"/>
          <w:lang w:val="en-GB"/>
        </w:rPr>
        <w:t>reaching this conclusion</w:t>
      </w:r>
      <w:r w:rsidR="00401B0A" w:rsidRPr="00635DB2">
        <w:rPr>
          <w:bCs/>
          <w:szCs w:val="22"/>
          <w:lang w:val="en-GB"/>
        </w:rPr>
        <w:t xml:space="preserve">, the PBAC </w:t>
      </w:r>
      <w:r w:rsidR="00F53D19" w:rsidRPr="00635DB2">
        <w:rPr>
          <w:bCs/>
          <w:szCs w:val="22"/>
          <w:lang w:val="en-GB"/>
        </w:rPr>
        <w:t>did not accept that</w:t>
      </w:r>
      <w:r w:rsidR="00401B0A" w:rsidRPr="00635DB2">
        <w:rPr>
          <w:bCs/>
          <w:szCs w:val="22"/>
          <w:lang w:val="en-GB"/>
        </w:rPr>
        <w:t xml:space="preserve"> </w:t>
      </w:r>
      <w:r w:rsidR="00F53D19" w:rsidRPr="00635DB2">
        <w:rPr>
          <w:bCs/>
          <w:szCs w:val="22"/>
          <w:lang w:val="en-GB"/>
        </w:rPr>
        <w:t>ipilimumab, as presented in the submission,</w:t>
      </w:r>
      <w:r w:rsidRPr="00635DB2">
        <w:rPr>
          <w:bCs/>
          <w:szCs w:val="22"/>
          <w:lang w:val="en-GB"/>
        </w:rPr>
        <w:t xml:space="preserve"> </w:t>
      </w:r>
      <w:r w:rsidR="00493B7E" w:rsidRPr="00635DB2">
        <w:rPr>
          <w:bCs/>
          <w:szCs w:val="22"/>
          <w:lang w:val="en-GB"/>
        </w:rPr>
        <w:t>was</w:t>
      </w:r>
      <w:r w:rsidRPr="00635DB2">
        <w:rPr>
          <w:bCs/>
          <w:szCs w:val="22"/>
          <w:lang w:val="en-GB"/>
        </w:rPr>
        <w:t xml:space="preserve"> </w:t>
      </w:r>
      <w:r w:rsidR="00493B7E" w:rsidRPr="00635DB2">
        <w:rPr>
          <w:bCs/>
          <w:szCs w:val="22"/>
          <w:lang w:val="en-GB"/>
        </w:rPr>
        <w:t>the appropriate</w:t>
      </w:r>
      <w:r w:rsidR="00F53D19" w:rsidRPr="00635DB2">
        <w:rPr>
          <w:bCs/>
          <w:szCs w:val="22"/>
          <w:lang w:val="en-GB"/>
        </w:rPr>
        <w:t xml:space="preserve"> comparator</w:t>
      </w:r>
      <w:r w:rsidR="00322F1A">
        <w:rPr>
          <w:bCs/>
          <w:szCs w:val="22"/>
          <w:lang w:val="en-GB"/>
        </w:rPr>
        <w:t>.</w:t>
      </w:r>
    </w:p>
    <w:p w:rsidR="001B2F07" w:rsidRPr="001B2F07" w:rsidRDefault="001B2F07" w:rsidP="00323E7A">
      <w:pPr>
        <w:widowControl/>
        <w:rPr>
          <w:bCs/>
          <w:szCs w:val="22"/>
          <w:lang w:val="en-GB"/>
        </w:rPr>
      </w:pPr>
    </w:p>
    <w:p w:rsidR="001B2F07" w:rsidRPr="003F23CD" w:rsidRDefault="001B2F07" w:rsidP="00323E7A">
      <w:pPr>
        <w:pStyle w:val="ListParagraph"/>
        <w:widowControl/>
        <w:numPr>
          <w:ilvl w:val="1"/>
          <w:numId w:val="23"/>
        </w:numPr>
        <w:ind w:left="709" w:hanging="709"/>
        <w:rPr>
          <w:bCs/>
          <w:szCs w:val="22"/>
          <w:lang w:val="en-GB"/>
        </w:rPr>
      </w:pPr>
      <w:r>
        <w:rPr>
          <w:bCs/>
          <w:szCs w:val="22"/>
          <w:lang w:val="en-GB"/>
        </w:rPr>
        <w:t>The PBAC noted that the TGA had not completed its review of nivolumab at the time of PBAC consideration.</w:t>
      </w:r>
    </w:p>
    <w:p w:rsidR="007B6D1B" w:rsidRPr="00A51118" w:rsidRDefault="007B6D1B" w:rsidP="00323E7A">
      <w:pPr>
        <w:widowControl/>
        <w:rPr>
          <w:bCs/>
          <w:szCs w:val="22"/>
          <w:lang w:val="en-GB"/>
        </w:rPr>
      </w:pPr>
    </w:p>
    <w:p w:rsidR="00422132" w:rsidRDefault="00E71574" w:rsidP="00323E7A">
      <w:pPr>
        <w:pStyle w:val="ListParagraph"/>
        <w:widowControl/>
        <w:numPr>
          <w:ilvl w:val="1"/>
          <w:numId w:val="23"/>
        </w:numPr>
        <w:ind w:left="709" w:hanging="709"/>
        <w:rPr>
          <w:bCs/>
          <w:szCs w:val="22"/>
          <w:lang w:val="en-GB"/>
        </w:rPr>
      </w:pPr>
      <w:r w:rsidRPr="000F4F75">
        <w:rPr>
          <w:bCs/>
          <w:szCs w:val="22"/>
          <w:lang w:val="en-GB"/>
        </w:rPr>
        <w:t xml:space="preserve">Following </w:t>
      </w:r>
      <w:r w:rsidR="00DE5A6E">
        <w:rPr>
          <w:bCs/>
          <w:szCs w:val="22"/>
          <w:lang w:val="en-GB"/>
        </w:rPr>
        <w:t>its</w:t>
      </w:r>
      <w:r w:rsidRPr="000F4F75">
        <w:rPr>
          <w:bCs/>
          <w:szCs w:val="22"/>
          <w:lang w:val="en-GB"/>
        </w:rPr>
        <w:t xml:space="preserve"> recommendation of pembrolizumab through a managed entry scheme (MES) at its March 2015 meeting,</w:t>
      </w:r>
      <w:r w:rsidR="00DE5A6E">
        <w:rPr>
          <w:bCs/>
          <w:szCs w:val="22"/>
          <w:lang w:val="en-GB"/>
        </w:rPr>
        <w:t xml:space="preserve"> the PBAC </w:t>
      </w:r>
      <w:r w:rsidRPr="000F4F75">
        <w:rPr>
          <w:bCs/>
          <w:szCs w:val="22"/>
          <w:lang w:val="en-GB"/>
        </w:rPr>
        <w:t>considered that pembrolizumab</w:t>
      </w:r>
      <w:r w:rsidR="00322F1A">
        <w:rPr>
          <w:bCs/>
          <w:szCs w:val="22"/>
          <w:lang w:val="en-GB"/>
        </w:rPr>
        <w:t xml:space="preserve"> wa</w:t>
      </w:r>
      <w:r w:rsidR="00322F1A" w:rsidRPr="000F4F75">
        <w:rPr>
          <w:bCs/>
          <w:szCs w:val="22"/>
          <w:lang w:val="en-GB"/>
        </w:rPr>
        <w:t>s the appropriate comparator</w:t>
      </w:r>
      <w:r w:rsidR="00322F1A">
        <w:rPr>
          <w:bCs/>
          <w:szCs w:val="22"/>
          <w:lang w:val="en-GB"/>
        </w:rPr>
        <w:t>.  It is</w:t>
      </w:r>
      <w:r w:rsidRPr="000F4F75">
        <w:rPr>
          <w:bCs/>
          <w:szCs w:val="22"/>
          <w:lang w:val="en-GB"/>
        </w:rPr>
        <w:t xml:space="preserve"> also a PD-1 inhibitor, </w:t>
      </w:r>
      <w:r w:rsidR="00322F1A">
        <w:rPr>
          <w:bCs/>
          <w:szCs w:val="22"/>
          <w:lang w:val="en-GB"/>
        </w:rPr>
        <w:t>so</w:t>
      </w:r>
      <w:r w:rsidR="007D4ECC">
        <w:rPr>
          <w:bCs/>
          <w:szCs w:val="22"/>
          <w:lang w:val="en-GB"/>
        </w:rPr>
        <w:t xml:space="preserve"> it is in the same pharmacological class as nivolumab</w:t>
      </w:r>
      <w:r w:rsidR="00A33FE6">
        <w:rPr>
          <w:bCs/>
          <w:szCs w:val="22"/>
          <w:lang w:val="en-GB"/>
        </w:rPr>
        <w:t>.</w:t>
      </w:r>
      <w:r w:rsidR="00322F1A">
        <w:rPr>
          <w:bCs/>
          <w:szCs w:val="22"/>
          <w:lang w:val="en-GB"/>
        </w:rPr>
        <w:t xml:space="preserve"> </w:t>
      </w:r>
      <w:r w:rsidR="00B77624" w:rsidRPr="00B77624">
        <w:rPr>
          <w:bCs/>
          <w:szCs w:val="22"/>
          <w:lang w:val="en-GB"/>
        </w:rPr>
        <w:t xml:space="preserve"> </w:t>
      </w:r>
      <w:r w:rsidR="00322F1A">
        <w:rPr>
          <w:bCs/>
          <w:szCs w:val="22"/>
          <w:lang w:val="en-GB"/>
        </w:rPr>
        <w:t>Further</w:t>
      </w:r>
      <w:r w:rsidR="00CE1F7B">
        <w:rPr>
          <w:bCs/>
          <w:szCs w:val="22"/>
          <w:lang w:val="en-GB"/>
        </w:rPr>
        <w:t>,</w:t>
      </w:r>
      <w:r w:rsidR="00A33FE6">
        <w:rPr>
          <w:bCs/>
          <w:szCs w:val="22"/>
          <w:lang w:val="en-GB"/>
        </w:rPr>
        <w:t xml:space="preserve"> t</w:t>
      </w:r>
      <w:r w:rsidR="00B77624">
        <w:rPr>
          <w:bCs/>
          <w:szCs w:val="22"/>
          <w:lang w:val="en-GB"/>
        </w:rPr>
        <w:t xml:space="preserve">he </w:t>
      </w:r>
      <w:r w:rsidR="00A33FE6">
        <w:rPr>
          <w:bCs/>
          <w:szCs w:val="22"/>
          <w:lang w:val="en-GB"/>
        </w:rPr>
        <w:t xml:space="preserve">proposed patient population for nivolumab would </w:t>
      </w:r>
      <w:r w:rsidR="00CE1F7B">
        <w:rPr>
          <w:bCs/>
          <w:szCs w:val="22"/>
          <w:lang w:val="en-GB"/>
        </w:rPr>
        <w:t>receive pembrolizumab</w:t>
      </w:r>
      <w:r w:rsidR="00CE1F7B" w:rsidDel="00A33FE6">
        <w:rPr>
          <w:bCs/>
          <w:szCs w:val="22"/>
          <w:lang w:val="en-GB"/>
        </w:rPr>
        <w:t xml:space="preserve"> </w:t>
      </w:r>
      <w:r w:rsidR="00CE1F7B">
        <w:rPr>
          <w:bCs/>
          <w:szCs w:val="22"/>
          <w:lang w:val="en-GB"/>
        </w:rPr>
        <w:t xml:space="preserve">following its </w:t>
      </w:r>
      <w:r w:rsidR="00322F1A">
        <w:rPr>
          <w:bCs/>
          <w:szCs w:val="22"/>
          <w:lang w:val="en-GB"/>
        </w:rPr>
        <w:t xml:space="preserve">PBS </w:t>
      </w:r>
      <w:r w:rsidR="00A33FE6">
        <w:rPr>
          <w:bCs/>
          <w:szCs w:val="22"/>
          <w:lang w:val="en-GB"/>
        </w:rPr>
        <w:t xml:space="preserve">listing </w:t>
      </w:r>
      <w:r w:rsidR="00322F1A">
        <w:rPr>
          <w:bCs/>
          <w:szCs w:val="22"/>
          <w:lang w:val="en-GB"/>
        </w:rPr>
        <w:t xml:space="preserve">in </w:t>
      </w:r>
      <w:r w:rsidR="00A33FE6">
        <w:rPr>
          <w:bCs/>
          <w:szCs w:val="22"/>
          <w:lang w:val="en-GB"/>
        </w:rPr>
        <w:t xml:space="preserve">September 2015. </w:t>
      </w:r>
      <w:r w:rsidR="00322F1A">
        <w:rPr>
          <w:bCs/>
          <w:szCs w:val="22"/>
          <w:lang w:val="en-GB"/>
        </w:rPr>
        <w:t xml:space="preserve"> </w:t>
      </w:r>
      <w:r w:rsidR="00CE1F7B">
        <w:rPr>
          <w:bCs/>
          <w:szCs w:val="22"/>
          <w:lang w:val="en-GB"/>
        </w:rPr>
        <w:t xml:space="preserve">For </w:t>
      </w:r>
      <w:r w:rsidR="00322F1A">
        <w:rPr>
          <w:bCs/>
          <w:szCs w:val="22"/>
          <w:lang w:val="en-GB"/>
        </w:rPr>
        <w:t>both</w:t>
      </w:r>
      <w:r w:rsidR="00CE1F7B">
        <w:rPr>
          <w:bCs/>
          <w:szCs w:val="22"/>
          <w:lang w:val="en-GB"/>
        </w:rPr>
        <w:t xml:space="preserve"> these reasons,</w:t>
      </w:r>
      <w:r w:rsidR="00A33FE6">
        <w:rPr>
          <w:bCs/>
          <w:szCs w:val="22"/>
          <w:lang w:val="en-GB"/>
        </w:rPr>
        <w:t xml:space="preserve"> pembrolizumab </w:t>
      </w:r>
      <w:r w:rsidR="00CE1F7B">
        <w:rPr>
          <w:bCs/>
          <w:szCs w:val="22"/>
          <w:lang w:val="en-GB"/>
        </w:rPr>
        <w:t xml:space="preserve">was considered the </w:t>
      </w:r>
      <w:r w:rsidR="00322F1A">
        <w:rPr>
          <w:bCs/>
          <w:szCs w:val="22"/>
          <w:lang w:val="en-GB"/>
        </w:rPr>
        <w:t>appropriate comparator.</w:t>
      </w:r>
    </w:p>
    <w:p w:rsidR="009405C9" w:rsidRPr="0037703E" w:rsidRDefault="009405C9" w:rsidP="00323E7A">
      <w:pPr>
        <w:widowControl/>
        <w:rPr>
          <w:bCs/>
          <w:szCs w:val="22"/>
          <w:lang w:val="en-GB"/>
        </w:rPr>
      </w:pPr>
    </w:p>
    <w:p w:rsidR="00635DB2" w:rsidRDefault="00982380" w:rsidP="00323E7A">
      <w:pPr>
        <w:pStyle w:val="ListParagraph"/>
        <w:widowControl/>
        <w:numPr>
          <w:ilvl w:val="1"/>
          <w:numId w:val="23"/>
        </w:numPr>
        <w:ind w:left="709" w:hanging="709"/>
        <w:rPr>
          <w:bCs/>
          <w:szCs w:val="22"/>
          <w:lang w:val="en-GB"/>
        </w:rPr>
      </w:pPr>
      <w:r>
        <w:rPr>
          <w:bCs/>
          <w:szCs w:val="22"/>
          <w:lang w:val="en-GB"/>
        </w:rPr>
        <w:t>The PBAC agreed with the ESC that the</w:t>
      </w:r>
      <w:r w:rsidR="005A12C3">
        <w:rPr>
          <w:bCs/>
          <w:szCs w:val="22"/>
          <w:lang w:val="en-GB"/>
        </w:rPr>
        <w:t xml:space="preserve"> indirect comparison between nivolumab and ipilimumab presented in the submission was unreliable due to poor exchangeability of the trials.</w:t>
      </w:r>
      <w:r>
        <w:rPr>
          <w:bCs/>
          <w:szCs w:val="22"/>
          <w:lang w:val="en-GB"/>
        </w:rPr>
        <w:t xml:space="preserve"> </w:t>
      </w:r>
      <w:r w:rsidR="0037703E">
        <w:rPr>
          <w:bCs/>
          <w:szCs w:val="22"/>
          <w:lang w:val="en-GB"/>
        </w:rPr>
        <w:t xml:space="preserve"> </w:t>
      </w:r>
      <w:r w:rsidR="00007A29">
        <w:rPr>
          <w:bCs/>
          <w:szCs w:val="22"/>
          <w:lang w:val="en-GB"/>
        </w:rPr>
        <w:t xml:space="preserve">The PBAC noted that </w:t>
      </w:r>
      <w:r w:rsidR="0060566D" w:rsidRPr="0060566D">
        <w:rPr>
          <w:bCs/>
          <w:szCs w:val="22"/>
          <w:lang w:val="en-GB"/>
        </w:rPr>
        <w:t>CA209-067 would likely provide stronger support for the submission’s clinical claim of superior comparative efficacy and safety over ipilimumab, but noted that the information about this trial and its results were limited and still emerging</w:t>
      </w:r>
      <w:r>
        <w:rPr>
          <w:bCs/>
          <w:szCs w:val="22"/>
          <w:lang w:val="en-GB"/>
        </w:rPr>
        <w:t>.</w:t>
      </w:r>
      <w:r w:rsidR="0037703E">
        <w:rPr>
          <w:bCs/>
          <w:szCs w:val="22"/>
          <w:lang w:val="en-GB"/>
        </w:rPr>
        <w:t xml:space="preserve"> </w:t>
      </w:r>
      <w:r>
        <w:rPr>
          <w:bCs/>
          <w:szCs w:val="22"/>
          <w:lang w:val="en-GB"/>
        </w:rPr>
        <w:t xml:space="preserve"> </w:t>
      </w:r>
      <w:r w:rsidR="00635DB2">
        <w:rPr>
          <w:bCs/>
          <w:szCs w:val="22"/>
          <w:lang w:val="en-GB"/>
        </w:rPr>
        <w:t>The PBAC also considered that the extent of superior comparative effectiveness and safety of nivolumab compared with ipilimumab had not been adequately established by the submission and, due to several issues with the economic model, the resulting ICER was highly uncertain.</w:t>
      </w:r>
    </w:p>
    <w:p w:rsidR="009260E3" w:rsidRPr="009260E3" w:rsidRDefault="009260E3" w:rsidP="00323E7A">
      <w:pPr>
        <w:widowControl/>
        <w:rPr>
          <w:bCs/>
          <w:szCs w:val="22"/>
          <w:lang w:val="en-GB"/>
        </w:rPr>
      </w:pPr>
    </w:p>
    <w:p w:rsidR="00787D4C" w:rsidRDefault="008E5D06" w:rsidP="00323E7A">
      <w:pPr>
        <w:pStyle w:val="ListParagraph"/>
        <w:widowControl/>
        <w:numPr>
          <w:ilvl w:val="1"/>
          <w:numId w:val="23"/>
        </w:numPr>
        <w:ind w:left="709" w:hanging="709"/>
        <w:rPr>
          <w:bCs/>
          <w:szCs w:val="22"/>
          <w:lang w:val="en-GB"/>
        </w:rPr>
      </w:pPr>
      <w:r w:rsidRPr="003E4818">
        <w:rPr>
          <w:bCs/>
          <w:szCs w:val="22"/>
          <w:lang w:val="en-GB"/>
        </w:rPr>
        <w:t xml:space="preserve">The PBAC </w:t>
      </w:r>
      <w:r w:rsidR="00DA54A3" w:rsidRPr="003E4818">
        <w:rPr>
          <w:bCs/>
          <w:szCs w:val="22"/>
          <w:lang w:val="en-GB"/>
        </w:rPr>
        <w:t xml:space="preserve">considered that </w:t>
      </w:r>
      <w:r w:rsidRPr="003E4818">
        <w:rPr>
          <w:bCs/>
          <w:szCs w:val="22"/>
          <w:lang w:val="en-GB"/>
        </w:rPr>
        <w:t xml:space="preserve">the </w:t>
      </w:r>
      <w:r w:rsidR="00537A14" w:rsidRPr="00537A14">
        <w:rPr>
          <w:bCs/>
          <w:szCs w:val="22"/>
          <w:lang w:val="en-GB"/>
        </w:rPr>
        <w:t xml:space="preserve">incremental cost per QALY </w:t>
      </w:r>
      <w:r w:rsidR="00A3419C">
        <w:rPr>
          <w:bCs/>
          <w:szCs w:val="22"/>
          <w:lang w:val="en-GB"/>
        </w:rPr>
        <w:t xml:space="preserve">of nivolumab </w:t>
      </w:r>
      <w:r w:rsidR="00537A14" w:rsidRPr="00537A14">
        <w:rPr>
          <w:bCs/>
          <w:szCs w:val="22"/>
          <w:lang w:val="en-GB"/>
        </w:rPr>
        <w:t>over ipilimumab presented in the submission’s base case analysis, $</w:t>
      </w:r>
      <w:r w:rsidR="00C4564E">
        <w:rPr>
          <w:bCs/>
          <w:szCs w:val="22"/>
          <w:lang w:val="en-GB"/>
        </w:rPr>
        <w:t>45,000 - $75,000</w:t>
      </w:r>
      <w:r w:rsidR="00537A14">
        <w:rPr>
          <w:bCs/>
          <w:szCs w:val="22"/>
          <w:lang w:val="en-GB"/>
        </w:rPr>
        <w:t xml:space="preserve">, </w:t>
      </w:r>
      <w:r w:rsidR="00537A14" w:rsidRPr="00537A14">
        <w:rPr>
          <w:bCs/>
          <w:szCs w:val="22"/>
          <w:lang w:val="en-GB"/>
        </w:rPr>
        <w:t>was significantly underestimated and did not accurately represent the cost</w:t>
      </w:r>
      <w:r w:rsidR="00C4564E">
        <w:rPr>
          <w:bCs/>
          <w:szCs w:val="22"/>
          <w:lang w:val="en-GB"/>
        </w:rPr>
        <w:noBreakHyphen/>
      </w:r>
      <w:r w:rsidR="00537A14" w:rsidRPr="00537A14">
        <w:rPr>
          <w:bCs/>
          <w:szCs w:val="22"/>
          <w:lang w:val="en-GB"/>
        </w:rPr>
        <w:t>effectiveness of nivolumab over ipilimumab</w:t>
      </w:r>
      <w:r w:rsidR="00537A14">
        <w:rPr>
          <w:bCs/>
          <w:szCs w:val="22"/>
          <w:lang w:val="en-GB"/>
        </w:rPr>
        <w:t xml:space="preserve"> due to </w:t>
      </w:r>
      <w:r w:rsidR="003E4818">
        <w:rPr>
          <w:bCs/>
          <w:szCs w:val="22"/>
          <w:lang w:val="en-GB"/>
        </w:rPr>
        <w:t xml:space="preserve">the following concerns with the </w:t>
      </w:r>
      <w:r w:rsidR="00537A14" w:rsidRPr="003E4818">
        <w:rPr>
          <w:bCs/>
          <w:szCs w:val="22"/>
          <w:lang w:val="en-GB"/>
        </w:rPr>
        <w:t>economic model</w:t>
      </w:r>
      <w:r w:rsidR="00537A14">
        <w:rPr>
          <w:bCs/>
          <w:szCs w:val="22"/>
          <w:lang w:val="en-GB"/>
        </w:rPr>
        <w:t>:</w:t>
      </w:r>
    </w:p>
    <w:p w:rsidR="00537A14" w:rsidRPr="00537A14" w:rsidRDefault="00537A14" w:rsidP="00323E7A">
      <w:pPr>
        <w:pStyle w:val="ListParagraph"/>
        <w:widowControl/>
        <w:numPr>
          <w:ilvl w:val="0"/>
          <w:numId w:val="7"/>
        </w:numPr>
        <w:ind w:left="993" w:hanging="284"/>
        <w:rPr>
          <w:bCs/>
          <w:szCs w:val="22"/>
          <w:lang w:val="en-GB"/>
        </w:rPr>
      </w:pPr>
      <w:r w:rsidRPr="00537A14">
        <w:rPr>
          <w:bCs/>
          <w:szCs w:val="22"/>
          <w:lang w:val="en-GB"/>
        </w:rPr>
        <w:lastRenderedPageBreak/>
        <w:t>The unnecessarily complex approach to modelling the transitions across the usual three health state structure of a model in metast</w:t>
      </w:r>
      <w:r w:rsidR="00C4564E">
        <w:rPr>
          <w:bCs/>
          <w:szCs w:val="22"/>
          <w:lang w:val="en-GB"/>
        </w:rPr>
        <w:t>atic cancer resulted in counter</w:t>
      </w:r>
      <w:r w:rsidR="00C4564E">
        <w:rPr>
          <w:bCs/>
          <w:szCs w:val="22"/>
          <w:lang w:val="en-GB"/>
        </w:rPr>
        <w:noBreakHyphen/>
      </w:r>
      <w:r w:rsidRPr="00537A14">
        <w:rPr>
          <w:bCs/>
          <w:szCs w:val="22"/>
          <w:lang w:val="en-GB"/>
        </w:rPr>
        <w:t>intuitive results when tested in sensitivity analyses which could not be readily explained.</w:t>
      </w:r>
    </w:p>
    <w:p w:rsidR="003E4818" w:rsidRDefault="00A44EDA" w:rsidP="00323E7A">
      <w:pPr>
        <w:pStyle w:val="ListParagraph"/>
        <w:widowControl/>
        <w:numPr>
          <w:ilvl w:val="0"/>
          <w:numId w:val="7"/>
        </w:numPr>
        <w:ind w:left="993" w:hanging="284"/>
        <w:rPr>
          <w:bCs/>
          <w:szCs w:val="22"/>
          <w:lang w:val="en-GB"/>
        </w:rPr>
      </w:pPr>
      <w:r>
        <w:rPr>
          <w:bCs/>
          <w:szCs w:val="22"/>
          <w:lang w:val="en-GB"/>
        </w:rPr>
        <w:t>T</w:t>
      </w:r>
      <w:r w:rsidRPr="00A44EDA">
        <w:rPr>
          <w:bCs/>
          <w:szCs w:val="22"/>
          <w:lang w:val="en-GB"/>
        </w:rPr>
        <w:t>he lack of sensitivity analyses employing alternative curves</w:t>
      </w:r>
      <w:r>
        <w:rPr>
          <w:bCs/>
          <w:szCs w:val="22"/>
          <w:lang w:val="en-GB"/>
        </w:rPr>
        <w:t xml:space="preserve"> to the log-logistic extrapolation method</w:t>
      </w:r>
      <w:r w:rsidRPr="00A44EDA">
        <w:rPr>
          <w:bCs/>
          <w:szCs w:val="22"/>
          <w:lang w:val="en-GB"/>
        </w:rPr>
        <w:t>.  In addition, the model did not use Kaplan-Meier trial-based data followed by extrapolated curves, and instead used solely modelled curves.</w:t>
      </w:r>
      <w:r w:rsidR="00F2655B" w:rsidRPr="00F2655B">
        <w:t xml:space="preserve"> </w:t>
      </w:r>
      <w:r w:rsidR="0037703E">
        <w:t xml:space="preserve"> </w:t>
      </w:r>
      <w:r w:rsidR="00F2655B">
        <w:rPr>
          <w:bCs/>
          <w:szCs w:val="22"/>
          <w:lang w:val="en-GB"/>
        </w:rPr>
        <w:t>T</w:t>
      </w:r>
      <w:r w:rsidR="00F2655B" w:rsidRPr="00F2655B">
        <w:rPr>
          <w:bCs/>
          <w:szCs w:val="22"/>
          <w:lang w:val="en-GB"/>
        </w:rPr>
        <w:t>he PBAC</w:t>
      </w:r>
      <w:r w:rsidR="00F2655B">
        <w:rPr>
          <w:bCs/>
          <w:szCs w:val="22"/>
          <w:lang w:val="en-GB"/>
        </w:rPr>
        <w:t xml:space="preserve"> noted its</w:t>
      </w:r>
      <w:r w:rsidR="00F2655B" w:rsidRPr="00F2655B">
        <w:rPr>
          <w:bCs/>
          <w:szCs w:val="22"/>
          <w:lang w:val="en-GB"/>
        </w:rPr>
        <w:t xml:space="preserve"> preference for economic evaluations that directly reflect the trial data before using modelling to extrapolate beyond the median duration of follow-up in the trials</w:t>
      </w:r>
      <w:r w:rsidR="00F2655B">
        <w:rPr>
          <w:bCs/>
          <w:szCs w:val="22"/>
          <w:lang w:val="en-GB"/>
        </w:rPr>
        <w:t>.</w:t>
      </w:r>
    </w:p>
    <w:p w:rsidR="00F53D19" w:rsidRDefault="00A44EDA" w:rsidP="00323E7A">
      <w:pPr>
        <w:pStyle w:val="ListParagraph"/>
        <w:widowControl/>
        <w:numPr>
          <w:ilvl w:val="0"/>
          <w:numId w:val="7"/>
        </w:numPr>
        <w:ind w:left="993" w:hanging="284"/>
        <w:rPr>
          <w:bCs/>
          <w:szCs w:val="22"/>
          <w:lang w:val="en-GB"/>
        </w:rPr>
      </w:pPr>
      <w:r>
        <w:rPr>
          <w:bCs/>
          <w:szCs w:val="22"/>
          <w:lang w:val="en-GB"/>
        </w:rPr>
        <w:t>T</w:t>
      </w:r>
      <w:r w:rsidRPr="00A44EDA">
        <w:rPr>
          <w:bCs/>
          <w:szCs w:val="22"/>
          <w:lang w:val="en-GB"/>
        </w:rPr>
        <w:t xml:space="preserve">he 10-year time horizon is not strongly supported by the clinical evidence </w:t>
      </w:r>
      <w:r>
        <w:rPr>
          <w:bCs/>
          <w:szCs w:val="22"/>
          <w:lang w:val="en-GB"/>
        </w:rPr>
        <w:t>and</w:t>
      </w:r>
      <w:r w:rsidRPr="00A44EDA">
        <w:rPr>
          <w:bCs/>
          <w:szCs w:val="22"/>
          <w:lang w:val="en-GB"/>
        </w:rPr>
        <w:t xml:space="preserve"> favoured nivolumab signif</w:t>
      </w:r>
      <w:r>
        <w:rPr>
          <w:bCs/>
          <w:szCs w:val="22"/>
          <w:lang w:val="en-GB"/>
        </w:rPr>
        <w:t>icantly in the economic model.</w:t>
      </w:r>
    </w:p>
    <w:p w:rsidR="00F53D19" w:rsidRDefault="00F53D19" w:rsidP="00323E7A">
      <w:pPr>
        <w:pStyle w:val="ListParagraph"/>
        <w:widowControl/>
        <w:numPr>
          <w:ilvl w:val="0"/>
          <w:numId w:val="7"/>
        </w:numPr>
        <w:ind w:left="993" w:hanging="284"/>
        <w:rPr>
          <w:bCs/>
          <w:szCs w:val="22"/>
          <w:lang w:val="en-GB"/>
        </w:rPr>
      </w:pPr>
      <w:r w:rsidRPr="00F53D19">
        <w:rPr>
          <w:bCs/>
          <w:szCs w:val="22"/>
          <w:lang w:val="en-GB"/>
        </w:rPr>
        <w:t xml:space="preserve">Only the Akaike information criterion (AIC) statistics were presented for the extrapolated curves used throughout the model. </w:t>
      </w:r>
      <w:r w:rsidR="0037703E">
        <w:rPr>
          <w:bCs/>
          <w:szCs w:val="22"/>
          <w:lang w:val="en-GB"/>
        </w:rPr>
        <w:t xml:space="preserve"> </w:t>
      </w:r>
      <w:r w:rsidRPr="00F53D19">
        <w:rPr>
          <w:bCs/>
          <w:szCs w:val="22"/>
          <w:lang w:val="en-GB"/>
        </w:rPr>
        <w:t>The modelled PFS curves, in particular, appeared to be highly favourable to nivolumab.</w:t>
      </w:r>
    </w:p>
    <w:p w:rsidR="00F53D19" w:rsidRPr="00F53D19" w:rsidRDefault="00F53D19" w:rsidP="00323E7A">
      <w:pPr>
        <w:pStyle w:val="ListParagraph"/>
        <w:widowControl/>
        <w:numPr>
          <w:ilvl w:val="0"/>
          <w:numId w:val="7"/>
        </w:numPr>
        <w:ind w:left="993" w:hanging="284"/>
        <w:rPr>
          <w:bCs/>
          <w:szCs w:val="22"/>
          <w:lang w:val="en-GB"/>
        </w:rPr>
      </w:pPr>
      <w:r w:rsidRPr="00F53D19">
        <w:rPr>
          <w:bCs/>
          <w:szCs w:val="22"/>
          <w:lang w:val="en-GB"/>
        </w:rPr>
        <w:t>The extrapolations used in the model were based on treatment effects which were derived from an indirect comparison of poorly exchangeable trials that was likely to be biased, in favour of nivolumab (healthier trial patients).</w:t>
      </w:r>
    </w:p>
    <w:p w:rsidR="00BA6A60" w:rsidRDefault="00BA6A60" w:rsidP="00323E7A">
      <w:pPr>
        <w:pStyle w:val="ListParagraph"/>
        <w:widowControl/>
        <w:numPr>
          <w:ilvl w:val="0"/>
          <w:numId w:val="7"/>
        </w:numPr>
        <w:ind w:left="993" w:hanging="284"/>
        <w:rPr>
          <w:bCs/>
          <w:szCs w:val="22"/>
          <w:lang w:val="en-GB"/>
        </w:rPr>
      </w:pPr>
      <w:r>
        <w:rPr>
          <w:bCs/>
          <w:szCs w:val="22"/>
          <w:lang w:val="en-GB"/>
        </w:rPr>
        <w:t>The absolute utility values (around 0.8) used for non-progressive and progressive disease states appeared to be high for a popul</w:t>
      </w:r>
      <w:r w:rsidR="007E75EA">
        <w:rPr>
          <w:bCs/>
          <w:szCs w:val="22"/>
          <w:lang w:val="en-GB"/>
        </w:rPr>
        <w:t>ation with advanced cancer, and have a significant effect on the ICER.</w:t>
      </w:r>
    </w:p>
    <w:p w:rsidR="0021630B" w:rsidRPr="0021630B" w:rsidRDefault="0021630B" w:rsidP="00323E7A">
      <w:pPr>
        <w:pStyle w:val="ListParagraph"/>
        <w:widowControl/>
        <w:numPr>
          <w:ilvl w:val="0"/>
          <w:numId w:val="7"/>
        </w:numPr>
        <w:ind w:left="993" w:hanging="284"/>
        <w:rPr>
          <w:bCs/>
          <w:szCs w:val="22"/>
          <w:lang w:val="en-GB"/>
        </w:rPr>
      </w:pPr>
      <w:r w:rsidRPr="0021630B">
        <w:rPr>
          <w:bCs/>
          <w:szCs w:val="22"/>
          <w:lang w:val="en-GB"/>
        </w:rPr>
        <w:t xml:space="preserve">The model </w:t>
      </w:r>
      <w:r>
        <w:rPr>
          <w:bCs/>
          <w:szCs w:val="22"/>
          <w:lang w:val="en-GB"/>
        </w:rPr>
        <w:t xml:space="preserve">assumed no further lines of therapy and </w:t>
      </w:r>
      <w:r w:rsidRPr="0021630B">
        <w:rPr>
          <w:bCs/>
          <w:szCs w:val="22"/>
          <w:lang w:val="en-GB"/>
        </w:rPr>
        <w:t>did not incorporate costs of patients continuing nivolumab treatment beyond progression</w:t>
      </w:r>
      <w:r>
        <w:rPr>
          <w:bCs/>
          <w:szCs w:val="22"/>
          <w:lang w:val="en-GB"/>
        </w:rPr>
        <w:t>, which would be likely to occur in clinical practice</w:t>
      </w:r>
      <w:r w:rsidRPr="0021630B">
        <w:rPr>
          <w:bCs/>
          <w:szCs w:val="22"/>
          <w:lang w:val="en-GB"/>
        </w:rPr>
        <w:t>.</w:t>
      </w:r>
    </w:p>
    <w:p w:rsidR="00537A14" w:rsidRDefault="00A44EDA" w:rsidP="00323E7A">
      <w:pPr>
        <w:pStyle w:val="ListParagraph"/>
        <w:widowControl/>
        <w:numPr>
          <w:ilvl w:val="0"/>
          <w:numId w:val="7"/>
        </w:numPr>
        <w:ind w:left="993" w:hanging="284"/>
        <w:rPr>
          <w:bCs/>
          <w:szCs w:val="22"/>
          <w:lang w:val="en-GB"/>
        </w:rPr>
      </w:pPr>
      <w:r w:rsidRPr="00A44EDA">
        <w:rPr>
          <w:bCs/>
          <w:szCs w:val="22"/>
          <w:lang w:val="en-GB"/>
        </w:rPr>
        <w:t>Adverse events were not included in the model.</w:t>
      </w:r>
    </w:p>
    <w:p w:rsidR="000727F4" w:rsidRPr="003C3927" w:rsidRDefault="000727F4" w:rsidP="00323E7A">
      <w:pPr>
        <w:widowControl/>
        <w:contextualSpacing/>
        <w:rPr>
          <w:bCs/>
          <w:szCs w:val="22"/>
          <w:highlight w:val="yellow"/>
          <w:lang w:val="en-GB"/>
        </w:rPr>
      </w:pPr>
    </w:p>
    <w:p w:rsidR="001B2F07" w:rsidRDefault="001B2F07" w:rsidP="00323E7A">
      <w:pPr>
        <w:pStyle w:val="ListParagraph"/>
        <w:widowControl/>
        <w:numPr>
          <w:ilvl w:val="1"/>
          <w:numId w:val="23"/>
        </w:numPr>
        <w:ind w:left="709" w:hanging="709"/>
        <w:rPr>
          <w:bCs/>
          <w:szCs w:val="22"/>
          <w:lang w:val="en-GB"/>
        </w:rPr>
      </w:pPr>
      <w:r>
        <w:rPr>
          <w:bCs/>
          <w:szCs w:val="22"/>
          <w:lang w:val="en-GB"/>
        </w:rPr>
        <w:t xml:space="preserve">The PBAC considered that the indirect comparison of nivolumab and pembrolizumab presented in the PSCR, based on CA209-067 and KN-006 with ipilimumab as the common reference, suggested that they may be similar, however </w:t>
      </w:r>
      <w:r w:rsidRPr="009B2D42">
        <w:rPr>
          <w:bCs/>
          <w:szCs w:val="22"/>
          <w:lang w:val="en-GB"/>
        </w:rPr>
        <w:t xml:space="preserve">limited information </w:t>
      </w:r>
      <w:r>
        <w:rPr>
          <w:bCs/>
          <w:szCs w:val="22"/>
          <w:lang w:val="en-GB"/>
        </w:rPr>
        <w:t xml:space="preserve">was </w:t>
      </w:r>
      <w:r w:rsidRPr="009B2D42">
        <w:rPr>
          <w:bCs/>
          <w:szCs w:val="22"/>
          <w:lang w:val="en-GB"/>
        </w:rPr>
        <w:t>available to assess the exchangeability of these two trials, including whether the duration of follow-up was similar across the data analysed from the two trials</w:t>
      </w:r>
      <w:r>
        <w:rPr>
          <w:bCs/>
          <w:szCs w:val="22"/>
          <w:lang w:val="en-GB"/>
        </w:rPr>
        <w:t xml:space="preserve">.  </w:t>
      </w:r>
      <w:r w:rsidR="00CD6F32">
        <w:rPr>
          <w:bCs/>
          <w:szCs w:val="22"/>
          <w:lang w:val="en-GB"/>
        </w:rPr>
        <w:t xml:space="preserve">The possible signal of reduced colitis was considered in the light of emerging Australian evidence that colitis may have been under-reported in the ipilimumab trials, and so the extent of colitis following any of these recent cancer immunotherapies in regular clinical practice is not yet known with confidence.  </w:t>
      </w:r>
      <w:r>
        <w:rPr>
          <w:bCs/>
          <w:szCs w:val="22"/>
          <w:lang w:val="en-GB"/>
        </w:rPr>
        <w:t>Given the risk-share arrangements applying to pembrolizumab as part of its MES (an option rejected by the sponsor of nivolumab), nivolumab would not be cheaper, and its fortnightly dosing regimen is less convenient tha</w:t>
      </w:r>
      <w:r w:rsidR="003305F5">
        <w:rPr>
          <w:bCs/>
          <w:szCs w:val="22"/>
          <w:lang w:val="en-GB"/>
        </w:rPr>
        <w:t>n</w:t>
      </w:r>
      <w:r>
        <w:rPr>
          <w:bCs/>
          <w:szCs w:val="22"/>
          <w:lang w:val="en-GB"/>
        </w:rPr>
        <w:t xml:space="preserve"> pembrolizumab’s dosing regimen</w:t>
      </w:r>
      <w:r w:rsidR="003305F5">
        <w:rPr>
          <w:bCs/>
          <w:szCs w:val="22"/>
          <w:lang w:val="en-GB"/>
        </w:rPr>
        <w:t xml:space="preserve"> of every three weeks</w:t>
      </w:r>
      <w:r>
        <w:rPr>
          <w:bCs/>
          <w:szCs w:val="22"/>
          <w:lang w:val="en-GB"/>
        </w:rPr>
        <w:t>.</w:t>
      </w:r>
    </w:p>
    <w:p w:rsidR="00CD6F32" w:rsidRPr="00A51118" w:rsidRDefault="00CD6F32" w:rsidP="00323E7A">
      <w:pPr>
        <w:widowControl/>
        <w:rPr>
          <w:bCs/>
          <w:szCs w:val="22"/>
          <w:lang w:val="en-GB"/>
        </w:rPr>
      </w:pPr>
    </w:p>
    <w:p w:rsidR="00CD6F32" w:rsidRPr="00422132" w:rsidRDefault="00CD6F32" w:rsidP="00323E7A">
      <w:pPr>
        <w:pStyle w:val="ListParagraph"/>
        <w:widowControl/>
        <w:numPr>
          <w:ilvl w:val="1"/>
          <w:numId w:val="23"/>
        </w:numPr>
        <w:ind w:left="709" w:hanging="709"/>
        <w:rPr>
          <w:bCs/>
          <w:szCs w:val="22"/>
          <w:lang w:val="en-GB"/>
        </w:rPr>
      </w:pPr>
      <w:r>
        <w:rPr>
          <w:bCs/>
          <w:szCs w:val="22"/>
          <w:lang w:val="en-GB"/>
        </w:rPr>
        <w:t xml:space="preserve">In comparing the strength of the evidence available for the two PD-1 inhibitors, the PBAC recalled that, by the time of its March 2015 consideration of pembrolizumab, the early results of KN-006 were made available, and showed a statistically significant prolongation in median progression-free survival of pembrolizumab compared with ipilimumab based on the RECIST criteria, which the PBAC had considered was likely to be clinically meaningful.  The PBAC noted that CA209-067 was yet to report on outcomes to this extent.  The PBAC also noted that CA209-067 was primarily a comparison of nivolumab and ipilimumab combination therapy with nivolumab monotherapy and with ipilimumab monotherapy rather than comparing the two monotherapies.  Further, CA209-067 was still ongoing, and data on overall </w:t>
      </w:r>
      <w:r>
        <w:rPr>
          <w:bCs/>
          <w:szCs w:val="22"/>
          <w:lang w:val="en-GB"/>
        </w:rPr>
        <w:lastRenderedPageBreak/>
        <w:t>survival was still being collected, whereas data collection for KN-006 was stopped between March and July 2015 following an interim analysis.</w:t>
      </w:r>
    </w:p>
    <w:p w:rsidR="00CD6F32" w:rsidRPr="003E4818" w:rsidRDefault="00CD6F32" w:rsidP="00323E7A">
      <w:pPr>
        <w:widowControl/>
        <w:rPr>
          <w:bCs/>
          <w:szCs w:val="22"/>
          <w:lang w:val="en-GB"/>
        </w:rPr>
      </w:pPr>
    </w:p>
    <w:p w:rsidR="000727F4" w:rsidRPr="00265138" w:rsidRDefault="00265138" w:rsidP="00323E7A">
      <w:pPr>
        <w:pStyle w:val="ListParagraph"/>
        <w:widowControl/>
        <w:numPr>
          <w:ilvl w:val="1"/>
          <w:numId w:val="23"/>
        </w:numPr>
        <w:ind w:left="709" w:hanging="709"/>
        <w:rPr>
          <w:bCs/>
          <w:szCs w:val="22"/>
          <w:lang w:val="en-GB"/>
        </w:rPr>
      </w:pPr>
      <w:r w:rsidRPr="00265138">
        <w:rPr>
          <w:bCs/>
          <w:szCs w:val="22"/>
          <w:lang w:val="en-GB"/>
        </w:rPr>
        <w:t>The PBAC considered that</w:t>
      </w:r>
      <w:r w:rsidR="0037703E">
        <w:rPr>
          <w:bCs/>
          <w:szCs w:val="22"/>
          <w:lang w:val="en-GB"/>
        </w:rPr>
        <w:t>,</w:t>
      </w:r>
      <w:r w:rsidRPr="00265138">
        <w:rPr>
          <w:bCs/>
          <w:szCs w:val="22"/>
          <w:lang w:val="en-GB"/>
        </w:rPr>
        <w:t xml:space="preserve"> due to the various issues with the model and </w:t>
      </w:r>
      <w:r w:rsidR="00C10654">
        <w:rPr>
          <w:bCs/>
          <w:szCs w:val="22"/>
          <w:lang w:val="en-GB"/>
        </w:rPr>
        <w:t>inappropriate choice of</w:t>
      </w:r>
      <w:r w:rsidRPr="00265138">
        <w:rPr>
          <w:bCs/>
          <w:szCs w:val="22"/>
          <w:lang w:val="en-GB"/>
        </w:rPr>
        <w:t xml:space="preserve"> comparator, any resubmission should be a major submission to allow </w:t>
      </w:r>
      <w:r w:rsidR="00C10654">
        <w:rPr>
          <w:bCs/>
          <w:szCs w:val="22"/>
          <w:lang w:val="en-GB"/>
        </w:rPr>
        <w:t xml:space="preserve">for </w:t>
      </w:r>
      <w:r w:rsidRPr="00265138">
        <w:rPr>
          <w:bCs/>
          <w:szCs w:val="22"/>
          <w:lang w:val="en-GB"/>
        </w:rPr>
        <w:t>evaluation.</w:t>
      </w:r>
    </w:p>
    <w:p w:rsidR="000727F4" w:rsidRPr="003C3927" w:rsidRDefault="000727F4" w:rsidP="00323E7A">
      <w:pPr>
        <w:widowControl/>
        <w:contextualSpacing/>
        <w:rPr>
          <w:bCs/>
          <w:szCs w:val="22"/>
          <w:highlight w:val="yellow"/>
          <w:lang w:val="en-GB"/>
        </w:rPr>
      </w:pPr>
    </w:p>
    <w:p w:rsidR="000727F4" w:rsidRPr="00265138" w:rsidRDefault="000727F4" w:rsidP="00323E7A">
      <w:pPr>
        <w:pStyle w:val="ListParagraph"/>
        <w:widowControl/>
        <w:numPr>
          <w:ilvl w:val="1"/>
          <w:numId w:val="23"/>
        </w:numPr>
        <w:ind w:left="709" w:hanging="709"/>
        <w:rPr>
          <w:b/>
          <w:bCs/>
          <w:szCs w:val="22"/>
          <w:lang w:val="en-GB"/>
        </w:rPr>
      </w:pPr>
      <w:r w:rsidRPr="00265138">
        <w:rPr>
          <w:bCs/>
          <w:szCs w:val="22"/>
          <w:lang w:val="en-GB"/>
        </w:rPr>
        <w:t>The PBAC noted that this submission is elig</w:t>
      </w:r>
      <w:r w:rsidR="0037703E">
        <w:rPr>
          <w:bCs/>
          <w:szCs w:val="22"/>
          <w:lang w:val="en-GB"/>
        </w:rPr>
        <w:t>ible for an Independent Review.</w:t>
      </w:r>
    </w:p>
    <w:p w:rsidR="000727F4" w:rsidRPr="00EA0EDA" w:rsidRDefault="000727F4" w:rsidP="00323E7A">
      <w:pPr>
        <w:widowControl/>
        <w:rPr>
          <w:b/>
          <w:szCs w:val="22"/>
          <w:highlight w:val="yellow"/>
          <w:lang w:val="en-GB"/>
        </w:rPr>
      </w:pPr>
    </w:p>
    <w:p w:rsidR="000727F4" w:rsidRPr="00EA0EDA" w:rsidRDefault="000727F4" w:rsidP="00323E7A">
      <w:pPr>
        <w:widowControl/>
        <w:rPr>
          <w:b/>
          <w:bCs/>
          <w:szCs w:val="22"/>
          <w:highlight w:val="yellow"/>
          <w:lang w:val="en-GB"/>
        </w:rPr>
      </w:pPr>
    </w:p>
    <w:p w:rsidR="000727F4" w:rsidRPr="000727F4" w:rsidRDefault="000727F4" w:rsidP="00323E7A">
      <w:pPr>
        <w:widowControl/>
        <w:rPr>
          <w:b/>
          <w:bCs/>
          <w:szCs w:val="22"/>
          <w:lang w:val="en-GB"/>
        </w:rPr>
      </w:pPr>
      <w:r w:rsidRPr="000727F4">
        <w:rPr>
          <w:b/>
          <w:bCs/>
          <w:szCs w:val="22"/>
          <w:lang w:val="en-GB"/>
        </w:rPr>
        <w:t>Outcome:</w:t>
      </w:r>
    </w:p>
    <w:p w:rsidR="000727F4" w:rsidRPr="000727F4" w:rsidRDefault="000727F4" w:rsidP="00323E7A">
      <w:pPr>
        <w:widowControl/>
        <w:rPr>
          <w:bCs/>
          <w:szCs w:val="22"/>
          <w:lang w:val="en-GB"/>
        </w:rPr>
      </w:pPr>
      <w:r w:rsidRPr="000727F4">
        <w:rPr>
          <w:bCs/>
          <w:szCs w:val="22"/>
          <w:lang w:val="en-GB"/>
        </w:rPr>
        <w:t>Rejected</w:t>
      </w:r>
    </w:p>
    <w:p w:rsidR="000727F4" w:rsidRDefault="000727F4" w:rsidP="00323E7A">
      <w:pPr>
        <w:widowControl/>
        <w:rPr>
          <w:bCs/>
          <w:szCs w:val="22"/>
          <w:highlight w:val="yellow"/>
          <w:lang w:val="en-GB"/>
        </w:rPr>
      </w:pPr>
    </w:p>
    <w:p w:rsidR="00A00B3C" w:rsidRDefault="00A00B3C" w:rsidP="00323E7A">
      <w:pPr>
        <w:widowControl/>
        <w:rPr>
          <w:bCs/>
          <w:szCs w:val="22"/>
          <w:highlight w:val="yellow"/>
          <w:lang w:val="en-GB"/>
        </w:rPr>
      </w:pPr>
    </w:p>
    <w:p w:rsidR="00A00B3C" w:rsidRPr="00A00B3C" w:rsidRDefault="00A00B3C" w:rsidP="00A00B3C">
      <w:pPr>
        <w:pStyle w:val="Heading2"/>
        <w:widowControl/>
        <w:numPr>
          <w:ilvl w:val="0"/>
          <w:numId w:val="23"/>
        </w:numPr>
        <w:ind w:left="709" w:hanging="709"/>
        <w:rPr>
          <w:bCs/>
        </w:rPr>
      </w:pPr>
      <w:r w:rsidRPr="00A00B3C">
        <w:rPr>
          <w:bCs/>
        </w:rPr>
        <w:t xml:space="preserve">Context for Decision </w:t>
      </w:r>
    </w:p>
    <w:p w:rsidR="00A00B3C" w:rsidRDefault="00A00B3C" w:rsidP="00A00B3C">
      <w:pPr>
        <w:widowControl/>
      </w:pPr>
    </w:p>
    <w:p w:rsidR="00A00B3C" w:rsidRPr="00A00B3C" w:rsidRDefault="00A00B3C" w:rsidP="00A00B3C">
      <w:pPr>
        <w:pStyle w:val="ListParagraph"/>
        <w:widowControl/>
        <w:numPr>
          <w:ilvl w:val="1"/>
          <w:numId w:val="23"/>
        </w:numPr>
        <w:ind w:left="709" w:hanging="709"/>
        <w:rPr>
          <w:bCs/>
          <w:szCs w:val="22"/>
          <w:lang w:val="en-GB"/>
        </w:rPr>
      </w:pPr>
      <w:r w:rsidRPr="00A00B3C">
        <w:rPr>
          <w:bCs/>
          <w:szCs w:val="22"/>
          <w:lang w:val="en-GB"/>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A00B3C" w:rsidRDefault="00A00B3C" w:rsidP="00A00B3C">
      <w:pPr>
        <w:widowControl/>
        <w:ind w:left="360"/>
        <w:rPr>
          <w:bCs/>
          <w:szCs w:val="22"/>
          <w:highlight w:val="yellow"/>
          <w:lang w:val="en-GB"/>
        </w:rPr>
      </w:pPr>
    </w:p>
    <w:p w:rsidR="00BF41A5" w:rsidRPr="00A00B3C" w:rsidRDefault="00BF41A5" w:rsidP="00A00B3C">
      <w:pPr>
        <w:widowControl/>
        <w:ind w:left="360"/>
        <w:rPr>
          <w:bCs/>
          <w:szCs w:val="22"/>
          <w:highlight w:val="yellow"/>
          <w:lang w:val="en-GB"/>
        </w:rPr>
      </w:pPr>
    </w:p>
    <w:p w:rsidR="00A00B3C" w:rsidRDefault="00A00B3C" w:rsidP="00A00B3C">
      <w:pPr>
        <w:pStyle w:val="Heading2"/>
        <w:widowControl/>
        <w:numPr>
          <w:ilvl w:val="0"/>
          <w:numId w:val="23"/>
        </w:numPr>
        <w:ind w:left="709" w:hanging="709"/>
        <w:rPr>
          <w:bCs/>
        </w:rPr>
      </w:pPr>
      <w:r>
        <w:rPr>
          <w:bCs/>
        </w:rPr>
        <w:t>Sponsor’s Comment</w:t>
      </w:r>
    </w:p>
    <w:p w:rsidR="00851CB1" w:rsidRDefault="00851CB1" w:rsidP="00A40ADF">
      <w:pPr>
        <w:ind w:left="709"/>
      </w:pPr>
    </w:p>
    <w:p w:rsidR="00A40ADF" w:rsidRPr="00550BA3" w:rsidRDefault="00A40ADF" w:rsidP="00A40ADF">
      <w:pPr>
        <w:ind w:left="709"/>
      </w:pPr>
      <w:r w:rsidRPr="00550BA3">
        <w:t>The sponsor continues to work with the PBAC to ensure nivolumab is available to Australian patients via the PBS in the earliest possible timeframe.</w:t>
      </w:r>
    </w:p>
    <w:sectPr w:rsidR="00A40ADF" w:rsidRPr="00550BA3" w:rsidSect="006E38B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6D7" w:rsidRDefault="005E36D7" w:rsidP="00124A51">
      <w:r>
        <w:separator/>
      </w:r>
    </w:p>
  </w:endnote>
  <w:endnote w:type="continuationSeparator" w:id="0">
    <w:p w:rsidR="005E36D7" w:rsidRDefault="005E36D7"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45B" w:rsidRDefault="002E34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476" w:rsidRPr="00D13A3E" w:rsidRDefault="000D4476" w:rsidP="00015886">
    <w:pPr>
      <w:ind w:right="360"/>
      <w:jc w:val="center"/>
      <w:rPr>
        <w:b/>
        <w:sz w:val="20"/>
      </w:rPr>
    </w:pPr>
  </w:p>
  <w:p w:rsidR="000D4476" w:rsidRPr="00015886" w:rsidRDefault="000D4476" w:rsidP="004A2FC8">
    <w:pPr>
      <w:ind w:right="360"/>
      <w:jc w:val="center"/>
      <w:rPr>
        <w:b/>
        <w:sz w:val="20"/>
      </w:rPr>
    </w:pPr>
    <w:r w:rsidRPr="00651169">
      <w:rPr>
        <w:sz w:val="20"/>
        <w:szCs w:val="20"/>
      </w:rPr>
      <w:fldChar w:fldCharType="begin"/>
    </w:r>
    <w:r w:rsidRPr="00651169">
      <w:rPr>
        <w:sz w:val="20"/>
        <w:szCs w:val="20"/>
      </w:rPr>
      <w:instrText xml:space="preserve"> PAGE   \* MERGEFORMAT </w:instrText>
    </w:r>
    <w:r w:rsidRPr="00651169">
      <w:rPr>
        <w:sz w:val="20"/>
        <w:szCs w:val="20"/>
      </w:rPr>
      <w:fldChar w:fldCharType="separate"/>
    </w:r>
    <w:r w:rsidR="006E43DE">
      <w:rPr>
        <w:noProof/>
        <w:sz w:val="20"/>
        <w:szCs w:val="20"/>
      </w:rPr>
      <w:t>13</w:t>
    </w:r>
    <w:r w:rsidRPr="00651169">
      <w:rPr>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45B" w:rsidRDefault="002E34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6D7" w:rsidRDefault="005E36D7" w:rsidP="00124A51">
      <w:r>
        <w:separator/>
      </w:r>
    </w:p>
  </w:footnote>
  <w:footnote w:type="continuationSeparator" w:id="0">
    <w:p w:rsidR="005E36D7" w:rsidRDefault="005E36D7"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45B" w:rsidRDefault="002E34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476" w:rsidRPr="00DF217D" w:rsidRDefault="000D4476" w:rsidP="00E36EA6">
    <w:pPr>
      <w:pStyle w:val="Header"/>
      <w:ind w:left="360"/>
      <w:jc w:val="center"/>
      <w:rPr>
        <w:i/>
        <w:color w:val="808080"/>
      </w:rPr>
    </w:pPr>
    <w:r>
      <w:rPr>
        <w:i/>
        <w:color w:val="808080"/>
      </w:rPr>
      <w:t xml:space="preserve">Public Summary Document </w:t>
    </w:r>
    <w:r w:rsidRPr="00DF217D">
      <w:rPr>
        <w:i/>
        <w:color w:val="808080"/>
      </w:rPr>
      <w:t xml:space="preserve">– </w:t>
    </w:r>
    <w:r>
      <w:rPr>
        <w:i/>
        <w:color w:val="808080"/>
      </w:rPr>
      <w:t xml:space="preserve">July 2015 </w:t>
    </w:r>
    <w:r w:rsidRPr="00DF217D">
      <w:rPr>
        <w:i/>
        <w:color w:val="808080"/>
      </w:rPr>
      <w:t>PBAC</w:t>
    </w:r>
    <w:r>
      <w:rPr>
        <w:i/>
        <w:color w:val="808080"/>
      </w:rPr>
      <w:t xml:space="preserve"> </w:t>
    </w:r>
    <w:r w:rsidRPr="00DF217D">
      <w:rPr>
        <w:i/>
        <w:color w:val="808080"/>
      </w:rPr>
      <w:t>Meeting</w:t>
    </w:r>
  </w:p>
  <w:p w:rsidR="000D4476" w:rsidRPr="008C7ECB" w:rsidRDefault="000D44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45B" w:rsidRDefault="002E34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8.75pt;height:168.75pt" o:bullet="t">
        <v:imagedata r:id="rId1" o:title="download"/>
      </v:shape>
    </w:pict>
  </w:numPicBullet>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359152D"/>
    <w:multiLevelType w:val="hybridMultilevel"/>
    <w:tmpl w:val="363E589E"/>
    <w:lvl w:ilvl="0" w:tplc="0C090001">
      <w:start w:val="1"/>
      <w:numFmt w:val="bullet"/>
      <w:lvlText w:val=""/>
      <w:lvlJc w:val="left"/>
      <w:pPr>
        <w:ind w:left="360" w:hanging="360"/>
      </w:pPr>
      <w:rPr>
        <w:rFonts w:ascii="Symbol" w:hAnsi="Symbol" w:hint="default"/>
      </w:rPr>
    </w:lvl>
    <w:lvl w:ilvl="1" w:tplc="F488CFD6">
      <w:numFmt w:val="bullet"/>
      <w:lvlText w:val="-"/>
      <w:lvlJc w:val="left"/>
      <w:pPr>
        <w:ind w:left="1080" w:hanging="36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541076"/>
    <w:multiLevelType w:val="multilevel"/>
    <w:tmpl w:val="0F2669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B4871A1"/>
    <w:multiLevelType w:val="multilevel"/>
    <w:tmpl w:val="B65A18F0"/>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D7200AE"/>
    <w:multiLevelType w:val="hybridMultilevel"/>
    <w:tmpl w:val="C130E32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4AC5075"/>
    <w:multiLevelType w:val="multilevel"/>
    <w:tmpl w:val="67664B0C"/>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5213795"/>
    <w:multiLevelType w:val="hybridMultilevel"/>
    <w:tmpl w:val="EA78A6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C4E15AA"/>
    <w:multiLevelType w:val="multilevel"/>
    <w:tmpl w:val="E15AC2F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D5863A2"/>
    <w:multiLevelType w:val="hybridMultilevel"/>
    <w:tmpl w:val="7A2C61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2567BF3"/>
    <w:multiLevelType w:val="hybridMultilevel"/>
    <w:tmpl w:val="BF42C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355971"/>
    <w:multiLevelType w:val="hybridMultilevel"/>
    <w:tmpl w:val="2FE85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5DB6981"/>
    <w:multiLevelType w:val="multilevel"/>
    <w:tmpl w:val="AFF6FD8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BA91F6A"/>
    <w:multiLevelType w:val="multilevel"/>
    <w:tmpl w:val="4DA2AC0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0992938"/>
    <w:multiLevelType w:val="hybridMultilevel"/>
    <w:tmpl w:val="E60272B2"/>
    <w:lvl w:ilvl="0" w:tplc="13C6E648">
      <w:start w:val="1"/>
      <w:numFmt w:val="decimal"/>
      <w:lvlText w:val="%1"/>
      <w:lvlJc w:val="left"/>
      <w:pPr>
        <w:ind w:left="1446" w:hanging="360"/>
      </w:pPr>
      <w:rPr>
        <w:rFonts w:hint="default"/>
        <w:b w:val="0"/>
        <w:i w:val="0"/>
      </w:r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abstractNum w:abstractNumId="17">
    <w:nsid w:val="315B382B"/>
    <w:multiLevelType w:val="hybridMultilevel"/>
    <w:tmpl w:val="A64E78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8">
    <w:nsid w:val="318455A9"/>
    <w:multiLevelType w:val="multilevel"/>
    <w:tmpl w:val="7D8E5624"/>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2117F50"/>
    <w:multiLevelType w:val="hybridMultilevel"/>
    <w:tmpl w:val="C8EC8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3F01F9"/>
    <w:multiLevelType w:val="hybridMultilevel"/>
    <w:tmpl w:val="D6F4E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5F5280"/>
    <w:multiLevelType w:val="multilevel"/>
    <w:tmpl w:val="6D4C879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3B351428"/>
    <w:multiLevelType w:val="hybridMultilevel"/>
    <w:tmpl w:val="3EFEF6B0"/>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3">
    <w:nsid w:val="50CF5872"/>
    <w:multiLevelType w:val="hybridMultilevel"/>
    <w:tmpl w:val="A506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BC56449"/>
    <w:multiLevelType w:val="multilevel"/>
    <w:tmpl w:val="B83E9DB4"/>
    <w:lvl w:ilvl="0">
      <w:start w:val="1"/>
      <w:numFmt w:val="decimal"/>
      <w:lvlText w:val="%1"/>
      <w:lvlJc w:val="left"/>
      <w:pPr>
        <w:ind w:left="1065" w:hanging="705"/>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C2959DA"/>
    <w:multiLevelType w:val="hybridMultilevel"/>
    <w:tmpl w:val="4CBAF16A"/>
    <w:lvl w:ilvl="0" w:tplc="CF047E6A">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22C7685"/>
    <w:multiLevelType w:val="hybridMultilevel"/>
    <w:tmpl w:val="56DCC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FDB6EEA"/>
    <w:multiLevelType w:val="multilevel"/>
    <w:tmpl w:val="7D8E5624"/>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84D033C"/>
    <w:multiLevelType w:val="multilevel"/>
    <w:tmpl w:val="011C0DCC"/>
    <w:lvl w:ilvl="0">
      <w:start w:val="1"/>
      <w:numFmt w:val="decimal"/>
      <w:pStyle w:val="PBACHeading1"/>
      <w:lvlText w:val="%1"/>
      <w:lvlJc w:val="left"/>
      <w:pPr>
        <w:ind w:left="720" w:hanging="720"/>
      </w:pPr>
      <w:rPr>
        <w:rFonts w:hint="default"/>
        <w:b/>
        <w:i w:val="0"/>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29"/>
  </w:num>
  <w:num w:numId="3">
    <w:abstractNumId w:val="23"/>
  </w:num>
  <w:num w:numId="4">
    <w:abstractNumId w:val="20"/>
  </w:num>
  <w:num w:numId="5">
    <w:abstractNumId w:val="11"/>
  </w:num>
  <w:num w:numId="6">
    <w:abstractNumId w:val="10"/>
  </w:num>
  <w:num w:numId="7">
    <w:abstractNumId w:val="19"/>
  </w:num>
  <w:num w:numId="8">
    <w:abstractNumId w:val="3"/>
  </w:num>
  <w:num w:numId="9">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5"/>
  </w:num>
  <w:num w:numId="14">
    <w:abstractNumId w:val="5"/>
  </w:num>
  <w:num w:numId="15">
    <w:abstractNumId w:val="7"/>
  </w:num>
  <w:num w:numId="16">
    <w:abstractNumId w:val="28"/>
  </w:num>
  <w:num w:numId="17">
    <w:abstractNumId w:val="1"/>
  </w:num>
  <w:num w:numId="18">
    <w:abstractNumId w:val="29"/>
  </w:num>
  <w:num w:numId="19">
    <w:abstractNumId w:val="18"/>
  </w:num>
  <w:num w:numId="20">
    <w:abstractNumId w:val="16"/>
  </w:num>
  <w:num w:numId="21">
    <w:abstractNumId w:val="21"/>
  </w:num>
  <w:num w:numId="22">
    <w:abstractNumId w:val="14"/>
  </w:num>
  <w:num w:numId="23">
    <w:abstractNumId w:val="25"/>
  </w:num>
  <w:num w:numId="24">
    <w:abstractNumId w:val="24"/>
  </w:num>
  <w:num w:numId="25">
    <w:abstractNumId w:val="4"/>
  </w:num>
  <w:num w:numId="26">
    <w:abstractNumId w:val="0"/>
  </w:num>
  <w:num w:numId="27">
    <w:abstractNumId w:val="13"/>
  </w:num>
  <w:num w:numId="28">
    <w:abstractNumId w:val="27"/>
  </w:num>
  <w:num w:numId="29">
    <w:abstractNumId w:val="12"/>
  </w:num>
  <w:num w:numId="30">
    <w:abstractNumId w:val="6"/>
  </w:num>
  <w:num w:numId="31">
    <w:abstractNumId w:val="26"/>
  </w:num>
  <w:num w:numId="32">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441"/>
    <w:rsid w:val="00000790"/>
    <w:rsid w:val="00000C64"/>
    <w:rsid w:val="0000110B"/>
    <w:rsid w:val="00002803"/>
    <w:rsid w:val="00003499"/>
    <w:rsid w:val="00003690"/>
    <w:rsid w:val="00007A29"/>
    <w:rsid w:val="0001036A"/>
    <w:rsid w:val="000119E6"/>
    <w:rsid w:val="000125EF"/>
    <w:rsid w:val="0001275D"/>
    <w:rsid w:val="000128AA"/>
    <w:rsid w:val="00012BB5"/>
    <w:rsid w:val="00013247"/>
    <w:rsid w:val="00015886"/>
    <w:rsid w:val="000162EF"/>
    <w:rsid w:val="000207BD"/>
    <w:rsid w:val="0002225F"/>
    <w:rsid w:val="0002285D"/>
    <w:rsid w:val="00022C8C"/>
    <w:rsid w:val="00023763"/>
    <w:rsid w:val="00025826"/>
    <w:rsid w:val="00025C3B"/>
    <w:rsid w:val="00026492"/>
    <w:rsid w:val="000268E8"/>
    <w:rsid w:val="00026FC7"/>
    <w:rsid w:val="000276FD"/>
    <w:rsid w:val="00030D89"/>
    <w:rsid w:val="00030EEE"/>
    <w:rsid w:val="00033C0C"/>
    <w:rsid w:val="00035CEA"/>
    <w:rsid w:val="00035FC8"/>
    <w:rsid w:val="00036DDC"/>
    <w:rsid w:val="00037256"/>
    <w:rsid w:val="00037A89"/>
    <w:rsid w:val="00040895"/>
    <w:rsid w:val="00042579"/>
    <w:rsid w:val="000436CB"/>
    <w:rsid w:val="000438E4"/>
    <w:rsid w:val="00043C37"/>
    <w:rsid w:val="00044262"/>
    <w:rsid w:val="000454E9"/>
    <w:rsid w:val="00045FDB"/>
    <w:rsid w:val="0005411F"/>
    <w:rsid w:val="00054604"/>
    <w:rsid w:val="00054621"/>
    <w:rsid w:val="000546D7"/>
    <w:rsid w:val="00057963"/>
    <w:rsid w:val="000600BC"/>
    <w:rsid w:val="00061234"/>
    <w:rsid w:val="000626E7"/>
    <w:rsid w:val="0006329D"/>
    <w:rsid w:val="00064AFA"/>
    <w:rsid w:val="00066542"/>
    <w:rsid w:val="00066822"/>
    <w:rsid w:val="000671E0"/>
    <w:rsid w:val="00071248"/>
    <w:rsid w:val="000720B9"/>
    <w:rsid w:val="000727F4"/>
    <w:rsid w:val="0007443C"/>
    <w:rsid w:val="000812CA"/>
    <w:rsid w:val="00082D45"/>
    <w:rsid w:val="00086E93"/>
    <w:rsid w:val="0008760D"/>
    <w:rsid w:val="00087A2C"/>
    <w:rsid w:val="00087FF0"/>
    <w:rsid w:val="00090C7E"/>
    <w:rsid w:val="00090E4A"/>
    <w:rsid w:val="0009130C"/>
    <w:rsid w:val="00091F7D"/>
    <w:rsid w:val="00094977"/>
    <w:rsid w:val="00096786"/>
    <w:rsid w:val="00097C14"/>
    <w:rsid w:val="000A0218"/>
    <w:rsid w:val="000A1EAD"/>
    <w:rsid w:val="000A4033"/>
    <w:rsid w:val="000A615E"/>
    <w:rsid w:val="000A75C6"/>
    <w:rsid w:val="000B0145"/>
    <w:rsid w:val="000B05D9"/>
    <w:rsid w:val="000B0705"/>
    <w:rsid w:val="000B0D54"/>
    <w:rsid w:val="000C1401"/>
    <w:rsid w:val="000C54F0"/>
    <w:rsid w:val="000C6E04"/>
    <w:rsid w:val="000C7715"/>
    <w:rsid w:val="000C7A34"/>
    <w:rsid w:val="000D1BFC"/>
    <w:rsid w:val="000D3EF9"/>
    <w:rsid w:val="000D4476"/>
    <w:rsid w:val="000D6C68"/>
    <w:rsid w:val="000D6D1B"/>
    <w:rsid w:val="000E2485"/>
    <w:rsid w:val="000E4586"/>
    <w:rsid w:val="000E4EBF"/>
    <w:rsid w:val="000E6E31"/>
    <w:rsid w:val="000E75DB"/>
    <w:rsid w:val="000F4BB8"/>
    <w:rsid w:val="000F4F75"/>
    <w:rsid w:val="000F5DD3"/>
    <w:rsid w:val="000F7127"/>
    <w:rsid w:val="000F7CDD"/>
    <w:rsid w:val="00100F8A"/>
    <w:rsid w:val="00101F2C"/>
    <w:rsid w:val="00102B3E"/>
    <w:rsid w:val="00104431"/>
    <w:rsid w:val="0011032E"/>
    <w:rsid w:val="0011348B"/>
    <w:rsid w:val="00113774"/>
    <w:rsid w:val="00113BA1"/>
    <w:rsid w:val="00121799"/>
    <w:rsid w:val="00121F09"/>
    <w:rsid w:val="001222FC"/>
    <w:rsid w:val="0012296C"/>
    <w:rsid w:val="00122F21"/>
    <w:rsid w:val="001237EA"/>
    <w:rsid w:val="00124A51"/>
    <w:rsid w:val="00124A80"/>
    <w:rsid w:val="00126621"/>
    <w:rsid w:val="001301E9"/>
    <w:rsid w:val="001302A9"/>
    <w:rsid w:val="00136D35"/>
    <w:rsid w:val="00137645"/>
    <w:rsid w:val="0014015A"/>
    <w:rsid w:val="00140258"/>
    <w:rsid w:val="00140E99"/>
    <w:rsid w:val="00143309"/>
    <w:rsid w:val="00144C4C"/>
    <w:rsid w:val="00145540"/>
    <w:rsid w:val="001456B0"/>
    <w:rsid w:val="00146561"/>
    <w:rsid w:val="0015235D"/>
    <w:rsid w:val="00157130"/>
    <w:rsid w:val="001577AA"/>
    <w:rsid w:val="00157D6B"/>
    <w:rsid w:val="00160924"/>
    <w:rsid w:val="00161A81"/>
    <w:rsid w:val="00162913"/>
    <w:rsid w:val="00163EFF"/>
    <w:rsid w:val="0016544F"/>
    <w:rsid w:val="00165B47"/>
    <w:rsid w:val="001661FB"/>
    <w:rsid w:val="00166693"/>
    <w:rsid w:val="0017085A"/>
    <w:rsid w:val="00171CAA"/>
    <w:rsid w:val="0017295A"/>
    <w:rsid w:val="0017494F"/>
    <w:rsid w:val="0017704D"/>
    <w:rsid w:val="001777D8"/>
    <w:rsid w:val="00181407"/>
    <w:rsid w:val="0018277B"/>
    <w:rsid w:val="00182AAA"/>
    <w:rsid w:val="00182E36"/>
    <w:rsid w:val="00182FE8"/>
    <w:rsid w:val="00184ABA"/>
    <w:rsid w:val="00184CE6"/>
    <w:rsid w:val="00185699"/>
    <w:rsid w:val="0018577D"/>
    <w:rsid w:val="0018752F"/>
    <w:rsid w:val="00191974"/>
    <w:rsid w:val="00195222"/>
    <w:rsid w:val="001975D8"/>
    <w:rsid w:val="001A16A5"/>
    <w:rsid w:val="001A1E7B"/>
    <w:rsid w:val="001A42D5"/>
    <w:rsid w:val="001A4806"/>
    <w:rsid w:val="001A5DB9"/>
    <w:rsid w:val="001A5ED5"/>
    <w:rsid w:val="001B0B42"/>
    <w:rsid w:val="001B101F"/>
    <w:rsid w:val="001B18DF"/>
    <w:rsid w:val="001B2F07"/>
    <w:rsid w:val="001B3443"/>
    <w:rsid w:val="001B5C1D"/>
    <w:rsid w:val="001B62AE"/>
    <w:rsid w:val="001C080F"/>
    <w:rsid w:val="001C206D"/>
    <w:rsid w:val="001C2CF6"/>
    <w:rsid w:val="001C382C"/>
    <w:rsid w:val="001C3D76"/>
    <w:rsid w:val="001C3E9D"/>
    <w:rsid w:val="001C5280"/>
    <w:rsid w:val="001C66C6"/>
    <w:rsid w:val="001C6E66"/>
    <w:rsid w:val="001C7C1D"/>
    <w:rsid w:val="001D0256"/>
    <w:rsid w:val="001D11C3"/>
    <w:rsid w:val="001D1BEB"/>
    <w:rsid w:val="001D1E89"/>
    <w:rsid w:val="001D26CB"/>
    <w:rsid w:val="001D5B58"/>
    <w:rsid w:val="001D5BAA"/>
    <w:rsid w:val="001D6090"/>
    <w:rsid w:val="001D62B1"/>
    <w:rsid w:val="001D664A"/>
    <w:rsid w:val="001E098B"/>
    <w:rsid w:val="001E1023"/>
    <w:rsid w:val="001E1B5D"/>
    <w:rsid w:val="001E238E"/>
    <w:rsid w:val="001E2B1E"/>
    <w:rsid w:val="001E35BD"/>
    <w:rsid w:val="001E36DA"/>
    <w:rsid w:val="001E4156"/>
    <w:rsid w:val="001E52EB"/>
    <w:rsid w:val="001E5966"/>
    <w:rsid w:val="001E5B06"/>
    <w:rsid w:val="001E73AE"/>
    <w:rsid w:val="001E740C"/>
    <w:rsid w:val="001E7DB5"/>
    <w:rsid w:val="001F1235"/>
    <w:rsid w:val="001F1666"/>
    <w:rsid w:val="001F1CB3"/>
    <w:rsid w:val="001F5E15"/>
    <w:rsid w:val="001F71D8"/>
    <w:rsid w:val="001F7361"/>
    <w:rsid w:val="00201C40"/>
    <w:rsid w:val="002025D2"/>
    <w:rsid w:val="0020385F"/>
    <w:rsid w:val="00204253"/>
    <w:rsid w:val="00207021"/>
    <w:rsid w:val="00207D00"/>
    <w:rsid w:val="002105C1"/>
    <w:rsid w:val="00210778"/>
    <w:rsid w:val="0021178C"/>
    <w:rsid w:val="00211A28"/>
    <w:rsid w:val="002138C8"/>
    <w:rsid w:val="0021630B"/>
    <w:rsid w:val="00223B49"/>
    <w:rsid w:val="002246C5"/>
    <w:rsid w:val="00224DD4"/>
    <w:rsid w:val="00225FA2"/>
    <w:rsid w:val="002262E3"/>
    <w:rsid w:val="00227676"/>
    <w:rsid w:val="002309CC"/>
    <w:rsid w:val="0023136E"/>
    <w:rsid w:val="002338B9"/>
    <w:rsid w:val="002362E1"/>
    <w:rsid w:val="002376E5"/>
    <w:rsid w:val="00242830"/>
    <w:rsid w:val="00243448"/>
    <w:rsid w:val="002468D2"/>
    <w:rsid w:val="00246C27"/>
    <w:rsid w:val="00250B3B"/>
    <w:rsid w:val="00250F4A"/>
    <w:rsid w:val="00250F5E"/>
    <w:rsid w:val="00251480"/>
    <w:rsid w:val="002520BB"/>
    <w:rsid w:val="00254954"/>
    <w:rsid w:val="00254DCF"/>
    <w:rsid w:val="0025534B"/>
    <w:rsid w:val="00255BB7"/>
    <w:rsid w:val="002574BC"/>
    <w:rsid w:val="00257536"/>
    <w:rsid w:val="002600BD"/>
    <w:rsid w:val="00260B0B"/>
    <w:rsid w:val="00260FDF"/>
    <w:rsid w:val="00261270"/>
    <w:rsid w:val="00262A87"/>
    <w:rsid w:val="00262C1C"/>
    <w:rsid w:val="00262F24"/>
    <w:rsid w:val="00265138"/>
    <w:rsid w:val="00265686"/>
    <w:rsid w:val="00267754"/>
    <w:rsid w:val="00270419"/>
    <w:rsid w:val="002727C8"/>
    <w:rsid w:val="00272B87"/>
    <w:rsid w:val="0027342E"/>
    <w:rsid w:val="00275768"/>
    <w:rsid w:val="00275C5A"/>
    <w:rsid w:val="002801BD"/>
    <w:rsid w:val="00280C76"/>
    <w:rsid w:val="00280EE4"/>
    <w:rsid w:val="00281014"/>
    <w:rsid w:val="002821F7"/>
    <w:rsid w:val="00282A4E"/>
    <w:rsid w:val="00282E11"/>
    <w:rsid w:val="0028374A"/>
    <w:rsid w:val="00283A78"/>
    <w:rsid w:val="00284581"/>
    <w:rsid w:val="00285208"/>
    <w:rsid w:val="002852A0"/>
    <w:rsid w:val="00287DBE"/>
    <w:rsid w:val="00292A0E"/>
    <w:rsid w:val="00293CAF"/>
    <w:rsid w:val="00294F70"/>
    <w:rsid w:val="00295196"/>
    <w:rsid w:val="0029713E"/>
    <w:rsid w:val="002976EC"/>
    <w:rsid w:val="002A14AB"/>
    <w:rsid w:val="002A1B9C"/>
    <w:rsid w:val="002A1E6A"/>
    <w:rsid w:val="002A2F06"/>
    <w:rsid w:val="002A3127"/>
    <w:rsid w:val="002A3389"/>
    <w:rsid w:val="002A6BAC"/>
    <w:rsid w:val="002A6DB6"/>
    <w:rsid w:val="002A708F"/>
    <w:rsid w:val="002B1C1F"/>
    <w:rsid w:val="002B432F"/>
    <w:rsid w:val="002B6104"/>
    <w:rsid w:val="002B6CCE"/>
    <w:rsid w:val="002B6F1C"/>
    <w:rsid w:val="002B7156"/>
    <w:rsid w:val="002C2775"/>
    <w:rsid w:val="002C27C1"/>
    <w:rsid w:val="002C2919"/>
    <w:rsid w:val="002C36B2"/>
    <w:rsid w:val="002C37D1"/>
    <w:rsid w:val="002C6AA5"/>
    <w:rsid w:val="002D1D52"/>
    <w:rsid w:val="002D4EAA"/>
    <w:rsid w:val="002D78A1"/>
    <w:rsid w:val="002E26D7"/>
    <w:rsid w:val="002E345B"/>
    <w:rsid w:val="002E4A21"/>
    <w:rsid w:val="002E5EBB"/>
    <w:rsid w:val="002E6C4E"/>
    <w:rsid w:val="002F1C6C"/>
    <w:rsid w:val="002F22F7"/>
    <w:rsid w:val="00301017"/>
    <w:rsid w:val="0030426C"/>
    <w:rsid w:val="003068FC"/>
    <w:rsid w:val="0030786C"/>
    <w:rsid w:val="00307C25"/>
    <w:rsid w:val="0031031A"/>
    <w:rsid w:val="00310981"/>
    <w:rsid w:val="00310C7A"/>
    <w:rsid w:val="003111FC"/>
    <w:rsid w:val="00314C40"/>
    <w:rsid w:val="00315498"/>
    <w:rsid w:val="00320333"/>
    <w:rsid w:val="00322F1A"/>
    <w:rsid w:val="003239E5"/>
    <w:rsid w:val="00323E7A"/>
    <w:rsid w:val="003305F5"/>
    <w:rsid w:val="00334C50"/>
    <w:rsid w:val="00336437"/>
    <w:rsid w:val="003366C9"/>
    <w:rsid w:val="00336A21"/>
    <w:rsid w:val="003371B0"/>
    <w:rsid w:val="00337775"/>
    <w:rsid w:val="003406F3"/>
    <w:rsid w:val="0034302B"/>
    <w:rsid w:val="00343ECB"/>
    <w:rsid w:val="00345DED"/>
    <w:rsid w:val="003460DD"/>
    <w:rsid w:val="00352481"/>
    <w:rsid w:val="00353C52"/>
    <w:rsid w:val="00353C64"/>
    <w:rsid w:val="00353DF1"/>
    <w:rsid w:val="00354E53"/>
    <w:rsid w:val="0035620E"/>
    <w:rsid w:val="003569B5"/>
    <w:rsid w:val="00360C85"/>
    <w:rsid w:val="00363780"/>
    <w:rsid w:val="00365907"/>
    <w:rsid w:val="00365AB4"/>
    <w:rsid w:val="00365BF9"/>
    <w:rsid w:val="00367753"/>
    <w:rsid w:val="00367A2F"/>
    <w:rsid w:val="003704E9"/>
    <w:rsid w:val="00375043"/>
    <w:rsid w:val="003753F0"/>
    <w:rsid w:val="0037598E"/>
    <w:rsid w:val="00376192"/>
    <w:rsid w:val="0037634C"/>
    <w:rsid w:val="0037703E"/>
    <w:rsid w:val="0038069D"/>
    <w:rsid w:val="0038365C"/>
    <w:rsid w:val="00396FD0"/>
    <w:rsid w:val="003979D0"/>
    <w:rsid w:val="003A1A7A"/>
    <w:rsid w:val="003A2DC7"/>
    <w:rsid w:val="003A3593"/>
    <w:rsid w:val="003A5637"/>
    <w:rsid w:val="003A6646"/>
    <w:rsid w:val="003A68CA"/>
    <w:rsid w:val="003A7CE2"/>
    <w:rsid w:val="003B088C"/>
    <w:rsid w:val="003B1D45"/>
    <w:rsid w:val="003B246F"/>
    <w:rsid w:val="003B2A37"/>
    <w:rsid w:val="003B3344"/>
    <w:rsid w:val="003B344E"/>
    <w:rsid w:val="003B66DF"/>
    <w:rsid w:val="003C0B22"/>
    <w:rsid w:val="003C33B2"/>
    <w:rsid w:val="003C412B"/>
    <w:rsid w:val="003C485F"/>
    <w:rsid w:val="003C4E45"/>
    <w:rsid w:val="003C7BAF"/>
    <w:rsid w:val="003C7C48"/>
    <w:rsid w:val="003D1828"/>
    <w:rsid w:val="003D2422"/>
    <w:rsid w:val="003D30E8"/>
    <w:rsid w:val="003D3EE6"/>
    <w:rsid w:val="003D4255"/>
    <w:rsid w:val="003D4B3C"/>
    <w:rsid w:val="003D6613"/>
    <w:rsid w:val="003D7D11"/>
    <w:rsid w:val="003E1037"/>
    <w:rsid w:val="003E1DC2"/>
    <w:rsid w:val="003E2DFE"/>
    <w:rsid w:val="003E4818"/>
    <w:rsid w:val="003E4A48"/>
    <w:rsid w:val="003E606F"/>
    <w:rsid w:val="003E6CAB"/>
    <w:rsid w:val="003F046D"/>
    <w:rsid w:val="003F23CD"/>
    <w:rsid w:val="003F2DFE"/>
    <w:rsid w:val="003F3154"/>
    <w:rsid w:val="003F4156"/>
    <w:rsid w:val="003F679B"/>
    <w:rsid w:val="003F7F1C"/>
    <w:rsid w:val="00401B0A"/>
    <w:rsid w:val="00401E77"/>
    <w:rsid w:val="00402D26"/>
    <w:rsid w:val="00403DB5"/>
    <w:rsid w:val="00405DF4"/>
    <w:rsid w:val="00410708"/>
    <w:rsid w:val="00410EC7"/>
    <w:rsid w:val="00412159"/>
    <w:rsid w:val="00414476"/>
    <w:rsid w:val="004163DD"/>
    <w:rsid w:val="00420B9F"/>
    <w:rsid w:val="00420FC5"/>
    <w:rsid w:val="00421C64"/>
    <w:rsid w:val="00422062"/>
    <w:rsid w:val="00422132"/>
    <w:rsid w:val="00423B77"/>
    <w:rsid w:val="00424289"/>
    <w:rsid w:val="00426F22"/>
    <w:rsid w:val="00427B9C"/>
    <w:rsid w:val="00427F0E"/>
    <w:rsid w:val="004306A5"/>
    <w:rsid w:val="004319F8"/>
    <w:rsid w:val="00432D22"/>
    <w:rsid w:val="00433044"/>
    <w:rsid w:val="00433516"/>
    <w:rsid w:val="004348AC"/>
    <w:rsid w:val="004358EC"/>
    <w:rsid w:val="0043765A"/>
    <w:rsid w:val="0044006B"/>
    <w:rsid w:val="00440AD0"/>
    <w:rsid w:val="00441310"/>
    <w:rsid w:val="00442AA0"/>
    <w:rsid w:val="00442CF6"/>
    <w:rsid w:val="00442F2E"/>
    <w:rsid w:val="004442A7"/>
    <w:rsid w:val="004443A7"/>
    <w:rsid w:val="004464EB"/>
    <w:rsid w:val="0044759C"/>
    <w:rsid w:val="004510AE"/>
    <w:rsid w:val="00455D45"/>
    <w:rsid w:val="004567F1"/>
    <w:rsid w:val="004614B4"/>
    <w:rsid w:val="00462BF8"/>
    <w:rsid w:val="00462D36"/>
    <w:rsid w:val="00464595"/>
    <w:rsid w:val="00464EB4"/>
    <w:rsid w:val="004673E1"/>
    <w:rsid w:val="004703E5"/>
    <w:rsid w:val="00470C3A"/>
    <w:rsid w:val="004710B5"/>
    <w:rsid w:val="0048009B"/>
    <w:rsid w:val="004802CF"/>
    <w:rsid w:val="00480C55"/>
    <w:rsid w:val="00482D27"/>
    <w:rsid w:val="0048418C"/>
    <w:rsid w:val="004867E2"/>
    <w:rsid w:val="00490C96"/>
    <w:rsid w:val="00491B3A"/>
    <w:rsid w:val="0049240C"/>
    <w:rsid w:val="00492BBF"/>
    <w:rsid w:val="00492CFD"/>
    <w:rsid w:val="00493B7E"/>
    <w:rsid w:val="00493F97"/>
    <w:rsid w:val="00494FA1"/>
    <w:rsid w:val="00495230"/>
    <w:rsid w:val="00495545"/>
    <w:rsid w:val="004962D2"/>
    <w:rsid w:val="00496BBE"/>
    <w:rsid w:val="004A053A"/>
    <w:rsid w:val="004A0DA1"/>
    <w:rsid w:val="004A2802"/>
    <w:rsid w:val="004A2FC8"/>
    <w:rsid w:val="004A3E52"/>
    <w:rsid w:val="004A475D"/>
    <w:rsid w:val="004A54DB"/>
    <w:rsid w:val="004A6372"/>
    <w:rsid w:val="004A6597"/>
    <w:rsid w:val="004A6A8F"/>
    <w:rsid w:val="004A73BF"/>
    <w:rsid w:val="004B1CB4"/>
    <w:rsid w:val="004B2F18"/>
    <w:rsid w:val="004B3BFE"/>
    <w:rsid w:val="004B3DDB"/>
    <w:rsid w:val="004B44FD"/>
    <w:rsid w:val="004B4D81"/>
    <w:rsid w:val="004B5CFC"/>
    <w:rsid w:val="004B67EB"/>
    <w:rsid w:val="004B68B8"/>
    <w:rsid w:val="004B7304"/>
    <w:rsid w:val="004B774D"/>
    <w:rsid w:val="004B7B2A"/>
    <w:rsid w:val="004C0353"/>
    <w:rsid w:val="004C067D"/>
    <w:rsid w:val="004C1234"/>
    <w:rsid w:val="004C449C"/>
    <w:rsid w:val="004C4AED"/>
    <w:rsid w:val="004C6691"/>
    <w:rsid w:val="004C738F"/>
    <w:rsid w:val="004D09D2"/>
    <w:rsid w:val="004D38AC"/>
    <w:rsid w:val="004E0EB8"/>
    <w:rsid w:val="004E2ADC"/>
    <w:rsid w:val="004E43B2"/>
    <w:rsid w:val="004E5803"/>
    <w:rsid w:val="004F042E"/>
    <w:rsid w:val="004F1463"/>
    <w:rsid w:val="004F1D02"/>
    <w:rsid w:val="004F2679"/>
    <w:rsid w:val="004F3D10"/>
    <w:rsid w:val="004F68F6"/>
    <w:rsid w:val="004F6FC2"/>
    <w:rsid w:val="004F7770"/>
    <w:rsid w:val="004F7865"/>
    <w:rsid w:val="00502D53"/>
    <w:rsid w:val="00506928"/>
    <w:rsid w:val="005071BD"/>
    <w:rsid w:val="0051036E"/>
    <w:rsid w:val="00511606"/>
    <w:rsid w:val="00512902"/>
    <w:rsid w:val="005152B5"/>
    <w:rsid w:val="005158A4"/>
    <w:rsid w:val="0051672A"/>
    <w:rsid w:val="005201AB"/>
    <w:rsid w:val="00520A3F"/>
    <w:rsid w:val="00520F90"/>
    <w:rsid w:val="00521319"/>
    <w:rsid w:val="00523C28"/>
    <w:rsid w:val="0052786A"/>
    <w:rsid w:val="00533A18"/>
    <w:rsid w:val="005356EE"/>
    <w:rsid w:val="00536136"/>
    <w:rsid w:val="0053687C"/>
    <w:rsid w:val="00536DFC"/>
    <w:rsid w:val="005373DF"/>
    <w:rsid w:val="00537A14"/>
    <w:rsid w:val="005409CE"/>
    <w:rsid w:val="00540EBD"/>
    <w:rsid w:val="00542AED"/>
    <w:rsid w:val="00542C2D"/>
    <w:rsid w:val="0055092F"/>
    <w:rsid w:val="00550BA3"/>
    <w:rsid w:val="005511F4"/>
    <w:rsid w:val="00552BD3"/>
    <w:rsid w:val="00555109"/>
    <w:rsid w:val="005556EF"/>
    <w:rsid w:val="0055623C"/>
    <w:rsid w:val="005565AF"/>
    <w:rsid w:val="00560E74"/>
    <w:rsid w:val="00562338"/>
    <w:rsid w:val="00564F1A"/>
    <w:rsid w:val="0056696F"/>
    <w:rsid w:val="0056790A"/>
    <w:rsid w:val="00571EFD"/>
    <w:rsid w:val="005753B6"/>
    <w:rsid w:val="00575D8D"/>
    <w:rsid w:val="0057675F"/>
    <w:rsid w:val="00576972"/>
    <w:rsid w:val="005770EF"/>
    <w:rsid w:val="00580361"/>
    <w:rsid w:val="005822A7"/>
    <w:rsid w:val="00583699"/>
    <w:rsid w:val="00583814"/>
    <w:rsid w:val="00583C29"/>
    <w:rsid w:val="00587465"/>
    <w:rsid w:val="00590AD6"/>
    <w:rsid w:val="005941F0"/>
    <w:rsid w:val="0059436E"/>
    <w:rsid w:val="00594D4D"/>
    <w:rsid w:val="00594F27"/>
    <w:rsid w:val="005A081C"/>
    <w:rsid w:val="005A12C3"/>
    <w:rsid w:val="005A284E"/>
    <w:rsid w:val="005A4BAF"/>
    <w:rsid w:val="005A67BE"/>
    <w:rsid w:val="005A6964"/>
    <w:rsid w:val="005B10F6"/>
    <w:rsid w:val="005B558C"/>
    <w:rsid w:val="005B56E6"/>
    <w:rsid w:val="005B5857"/>
    <w:rsid w:val="005B62F5"/>
    <w:rsid w:val="005C028F"/>
    <w:rsid w:val="005C1B83"/>
    <w:rsid w:val="005C1E6E"/>
    <w:rsid w:val="005C2613"/>
    <w:rsid w:val="005C346B"/>
    <w:rsid w:val="005C3B96"/>
    <w:rsid w:val="005C719B"/>
    <w:rsid w:val="005C7773"/>
    <w:rsid w:val="005C7821"/>
    <w:rsid w:val="005D0276"/>
    <w:rsid w:val="005D044D"/>
    <w:rsid w:val="005D1753"/>
    <w:rsid w:val="005D18AD"/>
    <w:rsid w:val="005D496A"/>
    <w:rsid w:val="005D599A"/>
    <w:rsid w:val="005D5B5D"/>
    <w:rsid w:val="005E18C8"/>
    <w:rsid w:val="005E347C"/>
    <w:rsid w:val="005E36D7"/>
    <w:rsid w:val="005E41AE"/>
    <w:rsid w:val="005E4547"/>
    <w:rsid w:val="005E53AB"/>
    <w:rsid w:val="005E6D4D"/>
    <w:rsid w:val="005E73C0"/>
    <w:rsid w:val="005F0545"/>
    <w:rsid w:val="005F2706"/>
    <w:rsid w:val="005F34F2"/>
    <w:rsid w:val="005F4919"/>
    <w:rsid w:val="005F5AFF"/>
    <w:rsid w:val="005F6A8F"/>
    <w:rsid w:val="00601C2C"/>
    <w:rsid w:val="0060224B"/>
    <w:rsid w:val="0060288F"/>
    <w:rsid w:val="0060566D"/>
    <w:rsid w:val="00607669"/>
    <w:rsid w:val="00610B09"/>
    <w:rsid w:val="00612F97"/>
    <w:rsid w:val="006147F2"/>
    <w:rsid w:val="0061538A"/>
    <w:rsid w:val="0061570F"/>
    <w:rsid w:val="006162DF"/>
    <w:rsid w:val="00616759"/>
    <w:rsid w:val="00616802"/>
    <w:rsid w:val="00617E12"/>
    <w:rsid w:val="0062005F"/>
    <w:rsid w:val="00621477"/>
    <w:rsid w:val="00622F08"/>
    <w:rsid w:val="00624DB9"/>
    <w:rsid w:val="006252C4"/>
    <w:rsid w:val="00627F58"/>
    <w:rsid w:val="00631D6B"/>
    <w:rsid w:val="0063479F"/>
    <w:rsid w:val="0063523C"/>
    <w:rsid w:val="00635DB2"/>
    <w:rsid w:val="00636251"/>
    <w:rsid w:val="006364A1"/>
    <w:rsid w:val="006368B8"/>
    <w:rsid w:val="00636B8D"/>
    <w:rsid w:val="0063702F"/>
    <w:rsid w:val="006370EC"/>
    <w:rsid w:val="00637BFD"/>
    <w:rsid w:val="00643ED5"/>
    <w:rsid w:val="00645695"/>
    <w:rsid w:val="00645AC3"/>
    <w:rsid w:val="00646460"/>
    <w:rsid w:val="006471CC"/>
    <w:rsid w:val="00647FBC"/>
    <w:rsid w:val="0065079F"/>
    <w:rsid w:val="00653B8A"/>
    <w:rsid w:val="00656B2B"/>
    <w:rsid w:val="00660E7A"/>
    <w:rsid w:val="00661889"/>
    <w:rsid w:val="0066298B"/>
    <w:rsid w:val="006674A3"/>
    <w:rsid w:val="00667E0F"/>
    <w:rsid w:val="00670CB8"/>
    <w:rsid w:val="00671DA4"/>
    <w:rsid w:val="0067394C"/>
    <w:rsid w:val="00673A97"/>
    <w:rsid w:val="00674044"/>
    <w:rsid w:val="00674155"/>
    <w:rsid w:val="00674ABF"/>
    <w:rsid w:val="00674E42"/>
    <w:rsid w:val="006767E4"/>
    <w:rsid w:val="006818DA"/>
    <w:rsid w:val="00682112"/>
    <w:rsid w:val="006824E0"/>
    <w:rsid w:val="00682988"/>
    <w:rsid w:val="0068412F"/>
    <w:rsid w:val="0068478C"/>
    <w:rsid w:val="0068482C"/>
    <w:rsid w:val="00686BDB"/>
    <w:rsid w:val="006872BA"/>
    <w:rsid w:val="006917D7"/>
    <w:rsid w:val="006946BA"/>
    <w:rsid w:val="00694F44"/>
    <w:rsid w:val="0069561E"/>
    <w:rsid w:val="006A12D9"/>
    <w:rsid w:val="006A5DED"/>
    <w:rsid w:val="006B0B75"/>
    <w:rsid w:val="006B14C7"/>
    <w:rsid w:val="006B3C0E"/>
    <w:rsid w:val="006B4F06"/>
    <w:rsid w:val="006B65E3"/>
    <w:rsid w:val="006C03DC"/>
    <w:rsid w:val="006C055D"/>
    <w:rsid w:val="006C1609"/>
    <w:rsid w:val="006C17C8"/>
    <w:rsid w:val="006C2A8E"/>
    <w:rsid w:val="006C4D11"/>
    <w:rsid w:val="006D36E3"/>
    <w:rsid w:val="006D3C7D"/>
    <w:rsid w:val="006D5D5F"/>
    <w:rsid w:val="006D668F"/>
    <w:rsid w:val="006E129E"/>
    <w:rsid w:val="006E14C6"/>
    <w:rsid w:val="006E2FBA"/>
    <w:rsid w:val="006E3290"/>
    <w:rsid w:val="006E38BD"/>
    <w:rsid w:val="006E3B80"/>
    <w:rsid w:val="006E3BBB"/>
    <w:rsid w:val="006E43DE"/>
    <w:rsid w:val="006E63AD"/>
    <w:rsid w:val="006E65BF"/>
    <w:rsid w:val="006F63A5"/>
    <w:rsid w:val="006F6B38"/>
    <w:rsid w:val="0070222E"/>
    <w:rsid w:val="0070276E"/>
    <w:rsid w:val="00702B7C"/>
    <w:rsid w:val="00702F8F"/>
    <w:rsid w:val="007110FB"/>
    <w:rsid w:val="00711630"/>
    <w:rsid w:val="007116B9"/>
    <w:rsid w:val="00711A36"/>
    <w:rsid w:val="007122B1"/>
    <w:rsid w:val="00713836"/>
    <w:rsid w:val="0071693B"/>
    <w:rsid w:val="00716ACA"/>
    <w:rsid w:val="007172AD"/>
    <w:rsid w:val="00720B59"/>
    <w:rsid w:val="0072318D"/>
    <w:rsid w:val="0072416F"/>
    <w:rsid w:val="0072526B"/>
    <w:rsid w:val="00725599"/>
    <w:rsid w:val="0072681F"/>
    <w:rsid w:val="0072705E"/>
    <w:rsid w:val="00727EAD"/>
    <w:rsid w:val="0073273E"/>
    <w:rsid w:val="00735328"/>
    <w:rsid w:val="00735344"/>
    <w:rsid w:val="007361E5"/>
    <w:rsid w:val="0073685B"/>
    <w:rsid w:val="007411BE"/>
    <w:rsid w:val="0074120A"/>
    <w:rsid w:val="007428AB"/>
    <w:rsid w:val="007437AD"/>
    <w:rsid w:val="00743F2A"/>
    <w:rsid w:val="0074486D"/>
    <w:rsid w:val="007449FF"/>
    <w:rsid w:val="00745422"/>
    <w:rsid w:val="00745BEA"/>
    <w:rsid w:val="00745CC7"/>
    <w:rsid w:val="00746A6F"/>
    <w:rsid w:val="00746A8A"/>
    <w:rsid w:val="00750A7A"/>
    <w:rsid w:val="00751BD0"/>
    <w:rsid w:val="007535C4"/>
    <w:rsid w:val="007535DF"/>
    <w:rsid w:val="0075469C"/>
    <w:rsid w:val="00755556"/>
    <w:rsid w:val="00755BA3"/>
    <w:rsid w:val="00755EB4"/>
    <w:rsid w:val="00755FBD"/>
    <w:rsid w:val="007602D6"/>
    <w:rsid w:val="00763BBA"/>
    <w:rsid w:val="00770A63"/>
    <w:rsid w:val="00771FEA"/>
    <w:rsid w:val="0077269B"/>
    <w:rsid w:val="00772FA6"/>
    <w:rsid w:val="007733E0"/>
    <w:rsid w:val="00773C13"/>
    <w:rsid w:val="007746FB"/>
    <w:rsid w:val="00774972"/>
    <w:rsid w:val="00776346"/>
    <w:rsid w:val="0078139C"/>
    <w:rsid w:val="00782054"/>
    <w:rsid w:val="00784269"/>
    <w:rsid w:val="0078433B"/>
    <w:rsid w:val="00786ADF"/>
    <w:rsid w:val="00787D4C"/>
    <w:rsid w:val="00793B44"/>
    <w:rsid w:val="00793DD9"/>
    <w:rsid w:val="007941BF"/>
    <w:rsid w:val="00794619"/>
    <w:rsid w:val="00795020"/>
    <w:rsid w:val="007951A8"/>
    <w:rsid w:val="00797712"/>
    <w:rsid w:val="00797DE3"/>
    <w:rsid w:val="007A0A12"/>
    <w:rsid w:val="007A1203"/>
    <w:rsid w:val="007A1614"/>
    <w:rsid w:val="007B251D"/>
    <w:rsid w:val="007B33DC"/>
    <w:rsid w:val="007B3815"/>
    <w:rsid w:val="007B5E3A"/>
    <w:rsid w:val="007B6D1B"/>
    <w:rsid w:val="007B7704"/>
    <w:rsid w:val="007B77D1"/>
    <w:rsid w:val="007C0924"/>
    <w:rsid w:val="007C1A7A"/>
    <w:rsid w:val="007C24FB"/>
    <w:rsid w:val="007C295B"/>
    <w:rsid w:val="007C361D"/>
    <w:rsid w:val="007C4797"/>
    <w:rsid w:val="007C5FB1"/>
    <w:rsid w:val="007C692B"/>
    <w:rsid w:val="007C6E0B"/>
    <w:rsid w:val="007D004F"/>
    <w:rsid w:val="007D0B38"/>
    <w:rsid w:val="007D1D56"/>
    <w:rsid w:val="007D4ECC"/>
    <w:rsid w:val="007D5E5C"/>
    <w:rsid w:val="007D7792"/>
    <w:rsid w:val="007D7E0C"/>
    <w:rsid w:val="007E0F50"/>
    <w:rsid w:val="007E293C"/>
    <w:rsid w:val="007E4F29"/>
    <w:rsid w:val="007E5BA7"/>
    <w:rsid w:val="007E75EA"/>
    <w:rsid w:val="007F005F"/>
    <w:rsid w:val="007F0D38"/>
    <w:rsid w:val="007F1017"/>
    <w:rsid w:val="007F381A"/>
    <w:rsid w:val="007F4A3F"/>
    <w:rsid w:val="007F5E3D"/>
    <w:rsid w:val="007F6DDA"/>
    <w:rsid w:val="0080137D"/>
    <w:rsid w:val="00801399"/>
    <w:rsid w:val="00801834"/>
    <w:rsid w:val="00803470"/>
    <w:rsid w:val="00805142"/>
    <w:rsid w:val="00805375"/>
    <w:rsid w:val="00806638"/>
    <w:rsid w:val="00806CDA"/>
    <w:rsid w:val="00807438"/>
    <w:rsid w:val="00807A8B"/>
    <w:rsid w:val="00810A6C"/>
    <w:rsid w:val="008116FF"/>
    <w:rsid w:val="00812149"/>
    <w:rsid w:val="00812370"/>
    <w:rsid w:val="00812ED7"/>
    <w:rsid w:val="00813393"/>
    <w:rsid w:val="00814107"/>
    <w:rsid w:val="008166EF"/>
    <w:rsid w:val="00821F39"/>
    <w:rsid w:val="008264EB"/>
    <w:rsid w:val="00830F9E"/>
    <w:rsid w:val="00831A62"/>
    <w:rsid w:val="00833B05"/>
    <w:rsid w:val="008363E4"/>
    <w:rsid w:val="008370B4"/>
    <w:rsid w:val="00840CA2"/>
    <w:rsid w:val="00841BE4"/>
    <w:rsid w:val="00842D74"/>
    <w:rsid w:val="0084607F"/>
    <w:rsid w:val="0085066D"/>
    <w:rsid w:val="00850DE5"/>
    <w:rsid w:val="0085132A"/>
    <w:rsid w:val="00851CB1"/>
    <w:rsid w:val="00856E9A"/>
    <w:rsid w:val="00860340"/>
    <w:rsid w:val="00861218"/>
    <w:rsid w:val="00862502"/>
    <w:rsid w:val="00863120"/>
    <w:rsid w:val="0086357A"/>
    <w:rsid w:val="0086419F"/>
    <w:rsid w:val="0086524D"/>
    <w:rsid w:val="00867AA4"/>
    <w:rsid w:val="008702E1"/>
    <w:rsid w:val="00870CC5"/>
    <w:rsid w:val="00871961"/>
    <w:rsid w:val="008734E7"/>
    <w:rsid w:val="00874807"/>
    <w:rsid w:val="0087728B"/>
    <w:rsid w:val="008811DE"/>
    <w:rsid w:val="00881AB2"/>
    <w:rsid w:val="00882540"/>
    <w:rsid w:val="00882874"/>
    <w:rsid w:val="00882AAD"/>
    <w:rsid w:val="008833BC"/>
    <w:rsid w:val="00883787"/>
    <w:rsid w:val="00883C01"/>
    <w:rsid w:val="00883FBA"/>
    <w:rsid w:val="00885C28"/>
    <w:rsid w:val="00886ECF"/>
    <w:rsid w:val="00890896"/>
    <w:rsid w:val="00892C90"/>
    <w:rsid w:val="00892D9D"/>
    <w:rsid w:val="00894489"/>
    <w:rsid w:val="008947D6"/>
    <w:rsid w:val="008963A5"/>
    <w:rsid w:val="00896788"/>
    <w:rsid w:val="008974A7"/>
    <w:rsid w:val="008A0092"/>
    <w:rsid w:val="008A12E4"/>
    <w:rsid w:val="008A311A"/>
    <w:rsid w:val="008A3C3E"/>
    <w:rsid w:val="008A4A66"/>
    <w:rsid w:val="008A4F9F"/>
    <w:rsid w:val="008A5667"/>
    <w:rsid w:val="008A64E7"/>
    <w:rsid w:val="008A79DE"/>
    <w:rsid w:val="008B0E20"/>
    <w:rsid w:val="008B28B8"/>
    <w:rsid w:val="008B290E"/>
    <w:rsid w:val="008B2FE3"/>
    <w:rsid w:val="008B34CB"/>
    <w:rsid w:val="008B41C6"/>
    <w:rsid w:val="008B7D7E"/>
    <w:rsid w:val="008C0F89"/>
    <w:rsid w:val="008C3485"/>
    <w:rsid w:val="008C5116"/>
    <w:rsid w:val="008C7ECB"/>
    <w:rsid w:val="008D083E"/>
    <w:rsid w:val="008D0BE4"/>
    <w:rsid w:val="008D3A74"/>
    <w:rsid w:val="008D4F31"/>
    <w:rsid w:val="008D5696"/>
    <w:rsid w:val="008D7543"/>
    <w:rsid w:val="008E0B6F"/>
    <w:rsid w:val="008E0DFE"/>
    <w:rsid w:val="008E0F2A"/>
    <w:rsid w:val="008E1B9E"/>
    <w:rsid w:val="008E5406"/>
    <w:rsid w:val="008E5D06"/>
    <w:rsid w:val="008F07E1"/>
    <w:rsid w:val="008F0B21"/>
    <w:rsid w:val="008F120A"/>
    <w:rsid w:val="008F1F7E"/>
    <w:rsid w:val="008F23A2"/>
    <w:rsid w:val="008F4367"/>
    <w:rsid w:val="008F48EB"/>
    <w:rsid w:val="008F4F0B"/>
    <w:rsid w:val="008F5018"/>
    <w:rsid w:val="008F7A92"/>
    <w:rsid w:val="00902186"/>
    <w:rsid w:val="0090225E"/>
    <w:rsid w:val="009039C8"/>
    <w:rsid w:val="009060D8"/>
    <w:rsid w:val="009062A5"/>
    <w:rsid w:val="009072A8"/>
    <w:rsid w:val="00907D47"/>
    <w:rsid w:val="00911272"/>
    <w:rsid w:val="00913B4D"/>
    <w:rsid w:val="00915574"/>
    <w:rsid w:val="00917711"/>
    <w:rsid w:val="0092068A"/>
    <w:rsid w:val="0092130D"/>
    <w:rsid w:val="00923E9E"/>
    <w:rsid w:val="00923EE3"/>
    <w:rsid w:val="009260E3"/>
    <w:rsid w:val="00930DE3"/>
    <w:rsid w:val="00931320"/>
    <w:rsid w:val="00931456"/>
    <w:rsid w:val="009318D6"/>
    <w:rsid w:val="00932111"/>
    <w:rsid w:val="00935525"/>
    <w:rsid w:val="009355E8"/>
    <w:rsid w:val="009403CE"/>
    <w:rsid w:val="009405C9"/>
    <w:rsid w:val="00941220"/>
    <w:rsid w:val="00943B56"/>
    <w:rsid w:val="00944AC1"/>
    <w:rsid w:val="009465E3"/>
    <w:rsid w:val="00950076"/>
    <w:rsid w:val="0095049F"/>
    <w:rsid w:val="0095142E"/>
    <w:rsid w:val="00961381"/>
    <w:rsid w:val="00962CB9"/>
    <w:rsid w:val="00963614"/>
    <w:rsid w:val="00964312"/>
    <w:rsid w:val="00964EA5"/>
    <w:rsid w:val="00965ED6"/>
    <w:rsid w:val="009709CE"/>
    <w:rsid w:val="00971984"/>
    <w:rsid w:val="009738C5"/>
    <w:rsid w:val="00980106"/>
    <w:rsid w:val="00980CE3"/>
    <w:rsid w:val="00982380"/>
    <w:rsid w:val="00983E57"/>
    <w:rsid w:val="0098588C"/>
    <w:rsid w:val="0099055B"/>
    <w:rsid w:val="0099134E"/>
    <w:rsid w:val="00995681"/>
    <w:rsid w:val="00996129"/>
    <w:rsid w:val="00996250"/>
    <w:rsid w:val="00996B1A"/>
    <w:rsid w:val="00996B66"/>
    <w:rsid w:val="009A05EA"/>
    <w:rsid w:val="009A15CB"/>
    <w:rsid w:val="009A1D2A"/>
    <w:rsid w:val="009A37CC"/>
    <w:rsid w:val="009A3F12"/>
    <w:rsid w:val="009A7C61"/>
    <w:rsid w:val="009B032F"/>
    <w:rsid w:val="009B2A22"/>
    <w:rsid w:val="009B2D42"/>
    <w:rsid w:val="009B38E3"/>
    <w:rsid w:val="009B3E26"/>
    <w:rsid w:val="009B6D28"/>
    <w:rsid w:val="009B6E4C"/>
    <w:rsid w:val="009C00F1"/>
    <w:rsid w:val="009C0BCD"/>
    <w:rsid w:val="009C146F"/>
    <w:rsid w:val="009C1D57"/>
    <w:rsid w:val="009C3185"/>
    <w:rsid w:val="009C3840"/>
    <w:rsid w:val="009C4986"/>
    <w:rsid w:val="009C4BDE"/>
    <w:rsid w:val="009C4D95"/>
    <w:rsid w:val="009D003C"/>
    <w:rsid w:val="009D1991"/>
    <w:rsid w:val="009D2F94"/>
    <w:rsid w:val="009D5B91"/>
    <w:rsid w:val="009E12B3"/>
    <w:rsid w:val="009E2D0B"/>
    <w:rsid w:val="009E4590"/>
    <w:rsid w:val="009E4C07"/>
    <w:rsid w:val="009E5B85"/>
    <w:rsid w:val="009E5D59"/>
    <w:rsid w:val="009F07F7"/>
    <w:rsid w:val="009F25F5"/>
    <w:rsid w:val="009F3AEE"/>
    <w:rsid w:val="009F4FF7"/>
    <w:rsid w:val="009F526B"/>
    <w:rsid w:val="009F5A6D"/>
    <w:rsid w:val="00A00B3C"/>
    <w:rsid w:val="00A0266F"/>
    <w:rsid w:val="00A03D43"/>
    <w:rsid w:val="00A04380"/>
    <w:rsid w:val="00A05163"/>
    <w:rsid w:val="00A054DF"/>
    <w:rsid w:val="00A054F8"/>
    <w:rsid w:val="00A06A24"/>
    <w:rsid w:val="00A06C6F"/>
    <w:rsid w:val="00A0756E"/>
    <w:rsid w:val="00A07A17"/>
    <w:rsid w:val="00A10BF0"/>
    <w:rsid w:val="00A1290B"/>
    <w:rsid w:val="00A12A2D"/>
    <w:rsid w:val="00A13948"/>
    <w:rsid w:val="00A13EAF"/>
    <w:rsid w:val="00A144E7"/>
    <w:rsid w:val="00A1638A"/>
    <w:rsid w:val="00A17370"/>
    <w:rsid w:val="00A24D99"/>
    <w:rsid w:val="00A24EB4"/>
    <w:rsid w:val="00A26DA9"/>
    <w:rsid w:val="00A275CF"/>
    <w:rsid w:val="00A2799E"/>
    <w:rsid w:val="00A27AEC"/>
    <w:rsid w:val="00A27BF6"/>
    <w:rsid w:val="00A3127F"/>
    <w:rsid w:val="00A3268C"/>
    <w:rsid w:val="00A33FE6"/>
    <w:rsid w:val="00A3419C"/>
    <w:rsid w:val="00A3581B"/>
    <w:rsid w:val="00A35D16"/>
    <w:rsid w:val="00A4054E"/>
    <w:rsid w:val="00A40746"/>
    <w:rsid w:val="00A40ADF"/>
    <w:rsid w:val="00A41BF1"/>
    <w:rsid w:val="00A42523"/>
    <w:rsid w:val="00A42833"/>
    <w:rsid w:val="00A43C59"/>
    <w:rsid w:val="00A44EDA"/>
    <w:rsid w:val="00A50877"/>
    <w:rsid w:val="00A50BD0"/>
    <w:rsid w:val="00A50ECD"/>
    <w:rsid w:val="00A50F5E"/>
    <w:rsid w:val="00A51118"/>
    <w:rsid w:val="00A5147C"/>
    <w:rsid w:val="00A52729"/>
    <w:rsid w:val="00A53675"/>
    <w:rsid w:val="00A53B86"/>
    <w:rsid w:val="00A53C61"/>
    <w:rsid w:val="00A56B6A"/>
    <w:rsid w:val="00A56CBB"/>
    <w:rsid w:val="00A571B6"/>
    <w:rsid w:val="00A577EE"/>
    <w:rsid w:val="00A57886"/>
    <w:rsid w:val="00A578DC"/>
    <w:rsid w:val="00A60E3B"/>
    <w:rsid w:val="00A62D64"/>
    <w:rsid w:val="00A6367F"/>
    <w:rsid w:val="00A63FB0"/>
    <w:rsid w:val="00A648EB"/>
    <w:rsid w:val="00A6558A"/>
    <w:rsid w:val="00A65F6A"/>
    <w:rsid w:val="00A668D9"/>
    <w:rsid w:val="00A6725B"/>
    <w:rsid w:val="00A70773"/>
    <w:rsid w:val="00A72979"/>
    <w:rsid w:val="00A7354D"/>
    <w:rsid w:val="00A745E3"/>
    <w:rsid w:val="00A7618E"/>
    <w:rsid w:val="00A77CE2"/>
    <w:rsid w:val="00A805CB"/>
    <w:rsid w:val="00A82B22"/>
    <w:rsid w:val="00A833E2"/>
    <w:rsid w:val="00A84B6D"/>
    <w:rsid w:val="00A85423"/>
    <w:rsid w:val="00A86E8B"/>
    <w:rsid w:val="00A87694"/>
    <w:rsid w:val="00A878E9"/>
    <w:rsid w:val="00A93072"/>
    <w:rsid w:val="00A93F18"/>
    <w:rsid w:val="00A959D8"/>
    <w:rsid w:val="00A95B17"/>
    <w:rsid w:val="00A96B35"/>
    <w:rsid w:val="00A97195"/>
    <w:rsid w:val="00A97FC7"/>
    <w:rsid w:val="00AA0E1C"/>
    <w:rsid w:val="00AA1086"/>
    <w:rsid w:val="00AA3358"/>
    <w:rsid w:val="00AA7C10"/>
    <w:rsid w:val="00AA7DE2"/>
    <w:rsid w:val="00AB042A"/>
    <w:rsid w:val="00AB054E"/>
    <w:rsid w:val="00AB0837"/>
    <w:rsid w:val="00AB161D"/>
    <w:rsid w:val="00AB2D34"/>
    <w:rsid w:val="00AB3430"/>
    <w:rsid w:val="00AB5B4C"/>
    <w:rsid w:val="00AB7CFA"/>
    <w:rsid w:val="00AC1F85"/>
    <w:rsid w:val="00AC2513"/>
    <w:rsid w:val="00AC525D"/>
    <w:rsid w:val="00AC5CFB"/>
    <w:rsid w:val="00AD1FDF"/>
    <w:rsid w:val="00AD54DA"/>
    <w:rsid w:val="00AD65D8"/>
    <w:rsid w:val="00AE0FCC"/>
    <w:rsid w:val="00AE341C"/>
    <w:rsid w:val="00AE6E34"/>
    <w:rsid w:val="00AF0367"/>
    <w:rsid w:val="00AF142A"/>
    <w:rsid w:val="00AF15D5"/>
    <w:rsid w:val="00AF54D2"/>
    <w:rsid w:val="00AF6F87"/>
    <w:rsid w:val="00B02F92"/>
    <w:rsid w:val="00B04CD4"/>
    <w:rsid w:val="00B0577C"/>
    <w:rsid w:val="00B05E3F"/>
    <w:rsid w:val="00B07AD8"/>
    <w:rsid w:val="00B07B5C"/>
    <w:rsid w:val="00B1086A"/>
    <w:rsid w:val="00B120B8"/>
    <w:rsid w:val="00B1352D"/>
    <w:rsid w:val="00B150B9"/>
    <w:rsid w:val="00B15AA0"/>
    <w:rsid w:val="00B228D2"/>
    <w:rsid w:val="00B27A12"/>
    <w:rsid w:val="00B30B53"/>
    <w:rsid w:val="00B3385D"/>
    <w:rsid w:val="00B34476"/>
    <w:rsid w:val="00B35583"/>
    <w:rsid w:val="00B36895"/>
    <w:rsid w:val="00B37794"/>
    <w:rsid w:val="00B3791C"/>
    <w:rsid w:val="00B4027B"/>
    <w:rsid w:val="00B42851"/>
    <w:rsid w:val="00B46FD1"/>
    <w:rsid w:val="00B471C9"/>
    <w:rsid w:val="00B4791A"/>
    <w:rsid w:val="00B50DB8"/>
    <w:rsid w:val="00B53152"/>
    <w:rsid w:val="00B532B0"/>
    <w:rsid w:val="00B53905"/>
    <w:rsid w:val="00B5477A"/>
    <w:rsid w:val="00B54B5B"/>
    <w:rsid w:val="00B54C91"/>
    <w:rsid w:val="00B5562E"/>
    <w:rsid w:val="00B57000"/>
    <w:rsid w:val="00B60939"/>
    <w:rsid w:val="00B60AA3"/>
    <w:rsid w:val="00B60AFD"/>
    <w:rsid w:val="00B616D5"/>
    <w:rsid w:val="00B6180A"/>
    <w:rsid w:val="00B61F8B"/>
    <w:rsid w:val="00B62715"/>
    <w:rsid w:val="00B62AA1"/>
    <w:rsid w:val="00B62AEE"/>
    <w:rsid w:val="00B6329C"/>
    <w:rsid w:val="00B63304"/>
    <w:rsid w:val="00B66B6D"/>
    <w:rsid w:val="00B67C36"/>
    <w:rsid w:val="00B72635"/>
    <w:rsid w:val="00B72BFE"/>
    <w:rsid w:val="00B74E6F"/>
    <w:rsid w:val="00B764D8"/>
    <w:rsid w:val="00B76DA2"/>
    <w:rsid w:val="00B77624"/>
    <w:rsid w:val="00B818A4"/>
    <w:rsid w:val="00B82D01"/>
    <w:rsid w:val="00B841D9"/>
    <w:rsid w:val="00B8479D"/>
    <w:rsid w:val="00B84ED8"/>
    <w:rsid w:val="00B853FD"/>
    <w:rsid w:val="00B85928"/>
    <w:rsid w:val="00B85FD7"/>
    <w:rsid w:val="00B8649C"/>
    <w:rsid w:val="00B86E1D"/>
    <w:rsid w:val="00B87233"/>
    <w:rsid w:val="00B9041E"/>
    <w:rsid w:val="00B92D0B"/>
    <w:rsid w:val="00B94474"/>
    <w:rsid w:val="00B94945"/>
    <w:rsid w:val="00B94DCF"/>
    <w:rsid w:val="00B95D84"/>
    <w:rsid w:val="00BA082D"/>
    <w:rsid w:val="00BA1E50"/>
    <w:rsid w:val="00BA2412"/>
    <w:rsid w:val="00BA2D1A"/>
    <w:rsid w:val="00BA6747"/>
    <w:rsid w:val="00BA6803"/>
    <w:rsid w:val="00BA6A60"/>
    <w:rsid w:val="00BA7511"/>
    <w:rsid w:val="00BB0B66"/>
    <w:rsid w:val="00BB1C28"/>
    <w:rsid w:val="00BB1C42"/>
    <w:rsid w:val="00BB2064"/>
    <w:rsid w:val="00BB31E7"/>
    <w:rsid w:val="00BB35C8"/>
    <w:rsid w:val="00BB53BC"/>
    <w:rsid w:val="00BB7405"/>
    <w:rsid w:val="00BC34D4"/>
    <w:rsid w:val="00BD16DD"/>
    <w:rsid w:val="00BD2D73"/>
    <w:rsid w:val="00BD4A40"/>
    <w:rsid w:val="00BD6CF3"/>
    <w:rsid w:val="00BE2180"/>
    <w:rsid w:val="00BE4275"/>
    <w:rsid w:val="00BE4921"/>
    <w:rsid w:val="00BE53E3"/>
    <w:rsid w:val="00BF2433"/>
    <w:rsid w:val="00BF3F4F"/>
    <w:rsid w:val="00BF41A5"/>
    <w:rsid w:val="00BF61C9"/>
    <w:rsid w:val="00BF67FE"/>
    <w:rsid w:val="00BF77DB"/>
    <w:rsid w:val="00C06265"/>
    <w:rsid w:val="00C10654"/>
    <w:rsid w:val="00C108E5"/>
    <w:rsid w:val="00C12FA8"/>
    <w:rsid w:val="00C14C24"/>
    <w:rsid w:val="00C17401"/>
    <w:rsid w:val="00C1741A"/>
    <w:rsid w:val="00C20EC5"/>
    <w:rsid w:val="00C2421A"/>
    <w:rsid w:val="00C24EC8"/>
    <w:rsid w:val="00C25418"/>
    <w:rsid w:val="00C25D9C"/>
    <w:rsid w:val="00C26357"/>
    <w:rsid w:val="00C31649"/>
    <w:rsid w:val="00C3311D"/>
    <w:rsid w:val="00C34D6B"/>
    <w:rsid w:val="00C3600D"/>
    <w:rsid w:val="00C369E6"/>
    <w:rsid w:val="00C3706A"/>
    <w:rsid w:val="00C374F7"/>
    <w:rsid w:val="00C40385"/>
    <w:rsid w:val="00C41ECF"/>
    <w:rsid w:val="00C42E07"/>
    <w:rsid w:val="00C43731"/>
    <w:rsid w:val="00C4564E"/>
    <w:rsid w:val="00C46EAA"/>
    <w:rsid w:val="00C5356C"/>
    <w:rsid w:val="00C60D0C"/>
    <w:rsid w:val="00C61649"/>
    <w:rsid w:val="00C62534"/>
    <w:rsid w:val="00C64460"/>
    <w:rsid w:val="00C64906"/>
    <w:rsid w:val="00C65576"/>
    <w:rsid w:val="00C66165"/>
    <w:rsid w:val="00C750C8"/>
    <w:rsid w:val="00C75EB3"/>
    <w:rsid w:val="00C76117"/>
    <w:rsid w:val="00C8213F"/>
    <w:rsid w:val="00C8263D"/>
    <w:rsid w:val="00C83222"/>
    <w:rsid w:val="00C85E76"/>
    <w:rsid w:val="00C86E75"/>
    <w:rsid w:val="00C8797A"/>
    <w:rsid w:val="00C9152E"/>
    <w:rsid w:val="00C938CF"/>
    <w:rsid w:val="00C942B9"/>
    <w:rsid w:val="00C957DC"/>
    <w:rsid w:val="00CA0FAD"/>
    <w:rsid w:val="00CA1891"/>
    <w:rsid w:val="00CA5245"/>
    <w:rsid w:val="00CA537A"/>
    <w:rsid w:val="00CA6CC1"/>
    <w:rsid w:val="00CA7B09"/>
    <w:rsid w:val="00CB03D5"/>
    <w:rsid w:val="00CB348C"/>
    <w:rsid w:val="00CB4BA2"/>
    <w:rsid w:val="00CB5979"/>
    <w:rsid w:val="00CB5B1A"/>
    <w:rsid w:val="00CB66B6"/>
    <w:rsid w:val="00CB7C0F"/>
    <w:rsid w:val="00CB7C23"/>
    <w:rsid w:val="00CC02D5"/>
    <w:rsid w:val="00CC1C92"/>
    <w:rsid w:val="00CC2C36"/>
    <w:rsid w:val="00CC300B"/>
    <w:rsid w:val="00CC3301"/>
    <w:rsid w:val="00CC6481"/>
    <w:rsid w:val="00CC67A3"/>
    <w:rsid w:val="00CC74FE"/>
    <w:rsid w:val="00CC7964"/>
    <w:rsid w:val="00CD2766"/>
    <w:rsid w:val="00CD3857"/>
    <w:rsid w:val="00CD564A"/>
    <w:rsid w:val="00CD5B3A"/>
    <w:rsid w:val="00CD6ADC"/>
    <w:rsid w:val="00CD6C35"/>
    <w:rsid w:val="00CD6F32"/>
    <w:rsid w:val="00CD73AE"/>
    <w:rsid w:val="00CE193A"/>
    <w:rsid w:val="00CE1F7B"/>
    <w:rsid w:val="00CE6274"/>
    <w:rsid w:val="00CF0BE1"/>
    <w:rsid w:val="00CF1BCC"/>
    <w:rsid w:val="00CF1D02"/>
    <w:rsid w:val="00CF3786"/>
    <w:rsid w:val="00CF4116"/>
    <w:rsid w:val="00CF456B"/>
    <w:rsid w:val="00CF5A22"/>
    <w:rsid w:val="00CF60B1"/>
    <w:rsid w:val="00CF6943"/>
    <w:rsid w:val="00D0262E"/>
    <w:rsid w:val="00D04477"/>
    <w:rsid w:val="00D04D17"/>
    <w:rsid w:val="00D110BD"/>
    <w:rsid w:val="00D11AAD"/>
    <w:rsid w:val="00D12130"/>
    <w:rsid w:val="00D13B16"/>
    <w:rsid w:val="00D1585D"/>
    <w:rsid w:val="00D174C7"/>
    <w:rsid w:val="00D17D6C"/>
    <w:rsid w:val="00D201B8"/>
    <w:rsid w:val="00D20275"/>
    <w:rsid w:val="00D22576"/>
    <w:rsid w:val="00D23CC3"/>
    <w:rsid w:val="00D243C8"/>
    <w:rsid w:val="00D276C9"/>
    <w:rsid w:val="00D30593"/>
    <w:rsid w:val="00D30840"/>
    <w:rsid w:val="00D3110B"/>
    <w:rsid w:val="00D31CD6"/>
    <w:rsid w:val="00D343EC"/>
    <w:rsid w:val="00D357FF"/>
    <w:rsid w:val="00D366A6"/>
    <w:rsid w:val="00D4143D"/>
    <w:rsid w:val="00D43170"/>
    <w:rsid w:val="00D44E81"/>
    <w:rsid w:val="00D45B53"/>
    <w:rsid w:val="00D473FD"/>
    <w:rsid w:val="00D47E9A"/>
    <w:rsid w:val="00D51523"/>
    <w:rsid w:val="00D5378B"/>
    <w:rsid w:val="00D548A8"/>
    <w:rsid w:val="00D5508D"/>
    <w:rsid w:val="00D55CA1"/>
    <w:rsid w:val="00D57CBE"/>
    <w:rsid w:val="00D57D31"/>
    <w:rsid w:val="00D60982"/>
    <w:rsid w:val="00D6269E"/>
    <w:rsid w:val="00D63E78"/>
    <w:rsid w:val="00D64DF4"/>
    <w:rsid w:val="00D66116"/>
    <w:rsid w:val="00D7126A"/>
    <w:rsid w:val="00D71732"/>
    <w:rsid w:val="00D74B13"/>
    <w:rsid w:val="00D7675D"/>
    <w:rsid w:val="00D76A44"/>
    <w:rsid w:val="00D77FC5"/>
    <w:rsid w:val="00D8011D"/>
    <w:rsid w:val="00D81167"/>
    <w:rsid w:val="00D82191"/>
    <w:rsid w:val="00D8354B"/>
    <w:rsid w:val="00D86749"/>
    <w:rsid w:val="00D878DD"/>
    <w:rsid w:val="00D909BC"/>
    <w:rsid w:val="00D91D33"/>
    <w:rsid w:val="00D93753"/>
    <w:rsid w:val="00D941A5"/>
    <w:rsid w:val="00DA1C86"/>
    <w:rsid w:val="00DA1F11"/>
    <w:rsid w:val="00DA2418"/>
    <w:rsid w:val="00DA54A3"/>
    <w:rsid w:val="00DA5A54"/>
    <w:rsid w:val="00DA77A5"/>
    <w:rsid w:val="00DA7EDE"/>
    <w:rsid w:val="00DB06C9"/>
    <w:rsid w:val="00DB11E4"/>
    <w:rsid w:val="00DB179A"/>
    <w:rsid w:val="00DB4346"/>
    <w:rsid w:val="00DB4475"/>
    <w:rsid w:val="00DB4FA1"/>
    <w:rsid w:val="00DB57C2"/>
    <w:rsid w:val="00DB5C4B"/>
    <w:rsid w:val="00DB6DE6"/>
    <w:rsid w:val="00DC21A7"/>
    <w:rsid w:val="00DC24A4"/>
    <w:rsid w:val="00DC28BA"/>
    <w:rsid w:val="00DC2AA1"/>
    <w:rsid w:val="00DC3283"/>
    <w:rsid w:val="00DC3F00"/>
    <w:rsid w:val="00DC5501"/>
    <w:rsid w:val="00DC63A6"/>
    <w:rsid w:val="00DD392A"/>
    <w:rsid w:val="00DD3F28"/>
    <w:rsid w:val="00DD4537"/>
    <w:rsid w:val="00DD4E15"/>
    <w:rsid w:val="00DE1DEB"/>
    <w:rsid w:val="00DE4DD1"/>
    <w:rsid w:val="00DE4FCB"/>
    <w:rsid w:val="00DE5A6E"/>
    <w:rsid w:val="00DE72F4"/>
    <w:rsid w:val="00DF1295"/>
    <w:rsid w:val="00DF18FC"/>
    <w:rsid w:val="00DF371D"/>
    <w:rsid w:val="00DF59CB"/>
    <w:rsid w:val="00DF5D2B"/>
    <w:rsid w:val="00DF79BF"/>
    <w:rsid w:val="00E02D5D"/>
    <w:rsid w:val="00E05FAA"/>
    <w:rsid w:val="00E07CB8"/>
    <w:rsid w:val="00E10149"/>
    <w:rsid w:val="00E16372"/>
    <w:rsid w:val="00E16D82"/>
    <w:rsid w:val="00E17C8F"/>
    <w:rsid w:val="00E20BAA"/>
    <w:rsid w:val="00E20ED6"/>
    <w:rsid w:val="00E21358"/>
    <w:rsid w:val="00E2249B"/>
    <w:rsid w:val="00E22A0D"/>
    <w:rsid w:val="00E24601"/>
    <w:rsid w:val="00E25432"/>
    <w:rsid w:val="00E25AF3"/>
    <w:rsid w:val="00E26DE6"/>
    <w:rsid w:val="00E2771E"/>
    <w:rsid w:val="00E342C1"/>
    <w:rsid w:val="00E35544"/>
    <w:rsid w:val="00E35CD9"/>
    <w:rsid w:val="00E35F19"/>
    <w:rsid w:val="00E3631E"/>
    <w:rsid w:val="00E36EA6"/>
    <w:rsid w:val="00E371E9"/>
    <w:rsid w:val="00E37569"/>
    <w:rsid w:val="00E41E30"/>
    <w:rsid w:val="00E43D70"/>
    <w:rsid w:val="00E473AE"/>
    <w:rsid w:val="00E47B2C"/>
    <w:rsid w:val="00E51560"/>
    <w:rsid w:val="00E55424"/>
    <w:rsid w:val="00E55587"/>
    <w:rsid w:val="00E55BB5"/>
    <w:rsid w:val="00E56ED2"/>
    <w:rsid w:val="00E62767"/>
    <w:rsid w:val="00E65E79"/>
    <w:rsid w:val="00E67416"/>
    <w:rsid w:val="00E67CB9"/>
    <w:rsid w:val="00E67E87"/>
    <w:rsid w:val="00E71574"/>
    <w:rsid w:val="00E718B6"/>
    <w:rsid w:val="00E72F71"/>
    <w:rsid w:val="00E73581"/>
    <w:rsid w:val="00E73D6C"/>
    <w:rsid w:val="00E752B3"/>
    <w:rsid w:val="00E76BB5"/>
    <w:rsid w:val="00E76D97"/>
    <w:rsid w:val="00E76DFF"/>
    <w:rsid w:val="00E812FF"/>
    <w:rsid w:val="00E82FD2"/>
    <w:rsid w:val="00E83BDF"/>
    <w:rsid w:val="00E83CA0"/>
    <w:rsid w:val="00E85001"/>
    <w:rsid w:val="00E90821"/>
    <w:rsid w:val="00E9215F"/>
    <w:rsid w:val="00E92E7B"/>
    <w:rsid w:val="00E93202"/>
    <w:rsid w:val="00E95BF3"/>
    <w:rsid w:val="00E96544"/>
    <w:rsid w:val="00EA192E"/>
    <w:rsid w:val="00EA3864"/>
    <w:rsid w:val="00EA57DF"/>
    <w:rsid w:val="00EA757D"/>
    <w:rsid w:val="00EB15B6"/>
    <w:rsid w:val="00EB4916"/>
    <w:rsid w:val="00EB5A36"/>
    <w:rsid w:val="00EB5C66"/>
    <w:rsid w:val="00EB667C"/>
    <w:rsid w:val="00EB6B59"/>
    <w:rsid w:val="00EC00C9"/>
    <w:rsid w:val="00EC02F0"/>
    <w:rsid w:val="00EC07B7"/>
    <w:rsid w:val="00EC07F5"/>
    <w:rsid w:val="00EC1BF6"/>
    <w:rsid w:val="00EC2D59"/>
    <w:rsid w:val="00EC3628"/>
    <w:rsid w:val="00EC4DB0"/>
    <w:rsid w:val="00EC5661"/>
    <w:rsid w:val="00EC5D25"/>
    <w:rsid w:val="00EC612F"/>
    <w:rsid w:val="00ED0AF3"/>
    <w:rsid w:val="00ED1325"/>
    <w:rsid w:val="00ED2807"/>
    <w:rsid w:val="00ED2F75"/>
    <w:rsid w:val="00ED62C7"/>
    <w:rsid w:val="00ED71A9"/>
    <w:rsid w:val="00EE07D3"/>
    <w:rsid w:val="00EE0FA0"/>
    <w:rsid w:val="00EE13EA"/>
    <w:rsid w:val="00EE1EFA"/>
    <w:rsid w:val="00EE226C"/>
    <w:rsid w:val="00EE33FE"/>
    <w:rsid w:val="00EE38A0"/>
    <w:rsid w:val="00EE4E8B"/>
    <w:rsid w:val="00EE51EB"/>
    <w:rsid w:val="00EE6594"/>
    <w:rsid w:val="00EE6AF4"/>
    <w:rsid w:val="00EE7EEB"/>
    <w:rsid w:val="00EF01ED"/>
    <w:rsid w:val="00EF0B21"/>
    <w:rsid w:val="00EF15AB"/>
    <w:rsid w:val="00EF2DF9"/>
    <w:rsid w:val="00EF388A"/>
    <w:rsid w:val="00EF5DAE"/>
    <w:rsid w:val="00EF75BE"/>
    <w:rsid w:val="00F000E5"/>
    <w:rsid w:val="00F00C4E"/>
    <w:rsid w:val="00F03888"/>
    <w:rsid w:val="00F03CCE"/>
    <w:rsid w:val="00F05264"/>
    <w:rsid w:val="00F061D5"/>
    <w:rsid w:val="00F067A2"/>
    <w:rsid w:val="00F161E5"/>
    <w:rsid w:val="00F16B6F"/>
    <w:rsid w:val="00F217C4"/>
    <w:rsid w:val="00F21FD7"/>
    <w:rsid w:val="00F22690"/>
    <w:rsid w:val="00F23A7D"/>
    <w:rsid w:val="00F24837"/>
    <w:rsid w:val="00F2575F"/>
    <w:rsid w:val="00F2655B"/>
    <w:rsid w:val="00F267D4"/>
    <w:rsid w:val="00F30A46"/>
    <w:rsid w:val="00F32185"/>
    <w:rsid w:val="00F32909"/>
    <w:rsid w:val="00F33DE9"/>
    <w:rsid w:val="00F3619A"/>
    <w:rsid w:val="00F36F78"/>
    <w:rsid w:val="00F45BD4"/>
    <w:rsid w:val="00F46CB6"/>
    <w:rsid w:val="00F50135"/>
    <w:rsid w:val="00F5035A"/>
    <w:rsid w:val="00F50E86"/>
    <w:rsid w:val="00F521FC"/>
    <w:rsid w:val="00F53D19"/>
    <w:rsid w:val="00F53FB1"/>
    <w:rsid w:val="00F54169"/>
    <w:rsid w:val="00F55E73"/>
    <w:rsid w:val="00F55FEC"/>
    <w:rsid w:val="00F560F6"/>
    <w:rsid w:val="00F57F71"/>
    <w:rsid w:val="00F60092"/>
    <w:rsid w:val="00F61B5A"/>
    <w:rsid w:val="00F61CD0"/>
    <w:rsid w:val="00F61EE6"/>
    <w:rsid w:val="00F646E0"/>
    <w:rsid w:val="00F66C06"/>
    <w:rsid w:val="00F67845"/>
    <w:rsid w:val="00F73D49"/>
    <w:rsid w:val="00F74FC8"/>
    <w:rsid w:val="00F76F40"/>
    <w:rsid w:val="00F80E5D"/>
    <w:rsid w:val="00F81B7B"/>
    <w:rsid w:val="00F83871"/>
    <w:rsid w:val="00F83C83"/>
    <w:rsid w:val="00F840FD"/>
    <w:rsid w:val="00F84CD2"/>
    <w:rsid w:val="00F851CE"/>
    <w:rsid w:val="00F9085B"/>
    <w:rsid w:val="00F90E06"/>
    <w:rsid w:val="00F90EAD"/>
    <w:rsid w:val="00F94AEC"/>
    <w:rsid w:val="00F95E1C"/>
    <w:rsid w:val="00F97A78"/>
    <w:rsid w:val="00FA1DE1"/>
    <w:rsid w:val="00FA243D"/>
    <w:rsid w:val="00FA24E7"/>
    <w:rsid w:val="00FA274F"/>
    <w:rsid w:val="00FA342F"/>
    <w:rsid w:val="00FA4AB3"/>
    <w:rsid w:val="00FA6362"/>
    <w:rsid w:val="00FB2FCB"/>
    <w:rsid w:val="00FB59D5"/>
    <w:rsid w:val="00FB6A19"/>
    <w:rsid w:val="00FB78A6"/>
    <w:rsid w:val="00FC0370"/>
    <w:rsid w:val="00FC1074"/>
    <w:rsid w:val="00FC1884"/>
    <w:rsid w:val="00FC2DDE"/>
    <w:rsid w:val="00FC2F05"/>
    <w:rsid w:val="00FC2FF4"/>
    <w:rsid w:val="00FC4A11"/>
    <w:rsid w:val="00FC52CB"/>
    <w:rsid w:val="00FD2100"/>
    <w:rsid w:val="00FD29CF"/>
    <w:rsid w:val="00FD446D"/>
    <w:rsid w:val="00FD46D0"/>
    <w:rsid w:val="00FD54F4"/>
    <w:rsid w:val="00FD568C"/>
    <w:rsid w:val="00FD574F"/>
    <w:rsid w:val="00FD5BA3"/>
    <w:rsid w:val="00FE1386"/>
    <w:rsid w:val="00FE2AC8"/>
    <w:rsid w:val="00FE39D3"/>
    <w:rsid w:val="00FE4B72"/>
    <w:rsid w:val="00FE5FDE"/>
    <w:rsid w:val="00FE7618"/>
    <w:rsid w:val="00FF1356"/>
    <w:rsid w:val="00FF2A0D"/>
    <w:rsid w:val="00FF2C4D"/>
    <w:rsid w:val="00FF3DCF"/>
    <w:rsid w:val="00FF5AA3"/>
    <w:rsid w:val="00FF61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1,Caption Char Char,Caption2,Char,Caption Char1 Char Char Char,Caption Char Char Char Char Char,Caption Char Char1 Char,Caption Char1 Char1,Caption Char Char Char1,Bayer Caption,IB Caption,Medical Caption,IB Caption Char"/>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Caption Char1 Char2,Caption Char Char Char2,Caption2 Char1,Char Char1,Caption Char1 Char Char Char Char1,Caption Char Char Char Char Char Char1,Caption Char Char1 Char Char1,Caption Char1 Char1 Char1,Caption Char Char Char1 Char1"/>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9"/>
    <w:rsid w:val="00CE6274"/>
    <w:rPr>
      <w:rFonts w:ascii="Tahoma" w:hAnsi="Tahoma" w:cs="Tahoma"/>
      <w:sz w:val="16"/>
      <w:szCs w:val="16"/>
    </w:rPr>
  </w:style>
  <w:style w:type="character" w:customStyle="1" w:styleId="BalloonTextChar">
    <w:name w:val="Balloon Text Char"/>
    <w:basedOn w:val="DefaultParagraphFont"/>
    <w:link w:val="BalloonText"/>
    <w:uiPriority w:val="99"/>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uiPriority w:val="99"/>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2"/>
      </w:numPr>
    </w:pPr>
    <w:rPr>
      <w:rFonts w:ascii="Arial" w:hAnsi="Arial" w:cs="Arial"/>
      <w:b/>
      <w:snapToGrid w:val="0"/>
      <w:sz w:val="22"/>
      <w:szCs w:val="22"/>
      <w:lang w:eastAsia="en-US"/>
    </w:rPr>
  </w:style>
  <w:style w:type="character" w:customStyle="1" w:styleId="hitinf">
    <w:name w:val="hit_inf"/>
    <w:basedOn w:val="DefaultParagraphFont"/>
    <w:rsid w:val="00B150B9"/>
  </w:style>
  <w:style w:type="character" w:customStyle="1" w:styleId="hitsyn">
    <w:name w:val="hit_syn"/>
    <w:basedOn w:val="DefaultParagraphFont"/>
    <w:rsid w:val="00B150B9"/>
  </w:style>
  <w:style w:type="character" w:customStyle="1" w:styleId="li-content">
    <w:name w:val="li-content"/>
    <w:basedOn w:val="DefaultParagraphFont"/>
    <w:rsid w:val="00B150B9"/>
  </w:style>
  <w:style w:type="character" w:customStyle="1" w:styleId="ccbntxt">
    <w:name w:val="ccbntxt"/>
    <w:basedOn w:val="DefaultParagraphFont"/>
    <w:rsid w:val="0037598E"/>
  </w:style>
  <w:style w:type="paragraph" w:styleId="FootnoteText">
    <w:name w:val="footnote text"/>
    <w:basedOn w:val="Normal"/>
    <w:link w:val="FootnoteTextChar"/>
    <w:unhideWhenUsed/>
    <w:rsid w:val="00022C8C"/>
    <w:rPr>
      <w:sz w:val="24"/>
    </w:rPr>
  </w:style>
  <w:style w:type="character" w:customStyle="1" w:styleId="FootnoteTextChar">
    <w:name w:val="Footnote Text Char"/>
    <w:basedOn w:val="DefaultParagraphFont"/>
    <w:link w:val="FootnoteText"/>
    <w:rsid w:val="00022C8C"/>
    <w:rPr>
      <w:rFonts w:ascii="Arial" w:hAnsi="Arial" w:cs="Arial"/>
      <w:snapToGrid w:val="0"/>
      <w:sz w:val="24"/>
      <w:szCs w:val="24"/>
      <w:lang w:eastAsia="en-US"/>
    </w:rPr>
  </w:style>
  <w:style w:type="character" w:styleId="FootnoteReference">
    <w:name w:val="footnote reference"/>
    <w:basedOn w:val="DefaultParagraphFont"/>
    <w:unhideWhenUsed/>
    <w:rsid w:val="00022C8C"/>
    <w:rPr>
      <w:vertAlign w:val="superscript"/>
    </w:rPr>
  </w:style>
  <w:style w:type="character" w:styleId="FollowedHyperlink">
    <w:name w:val="FollowedHyperlink"/>
    <w:basedOn w:val="DefaultParagraphFont"/>
    <w:semiHidden/>
    <w:unhideWhenUsed/>
    <w:rsid w:val="0086419F"/>
    <w:rPr>
      <w:color w:val="800080" w:themeColor="followedHyperlink"/>
      <w:u w:val="single"/>
    </w:rPr>
  </w:style>
  <w:style w:type="character" w:customStyle="1" w:styleId="TableTextChar0">
    <w:name w:val="TableText Char"/>
    <w:link w:val="TableText0"/>
    <w:uiPriority w:val="99"/>
    <w:rsid w:val="00996B66"/>
    <w:rPr>
      <w:rFonts w:ascii="Arial Narrow" w:hAnsi="Arial Narrow" w:cs="Arial Narrow"/>
      <w:lang w:eastAsia="en-US"/>
    </w:rPr>
  </w:style>
  <w:style w:type="character" w:customStyle="1" w:styleId="ListParagraphChar">
    <w:name w:val="List Paragraph Char"/>
    <w:link w:val="ListParagraph"/>
    <w:uiPriority w:val="34"/>
    <w:rsid w:val="00064AFA"/>
    <w:rPr>
      <w:rFonts w:ascii="Arial" w:hAnsi="Arial" w:cs="Arial"/>
      <w:snapToGrid w:val="0"/>
      <w:sz w:val="22"/>
      <w:lang w:eastAsia="en-US"/>
    </w:rPr>
  </w:style>
  <w:style w:type="paragraph" w:customStyle="1" w:styleId="TableNotes">
    <w:name w:val="Table Notes"/>
    <w:basedOn w:val="Normal"/>
    <w:next w:val="Normal"/>
    <w:link w:val="TableNotesChar"/>
    <w:uiPriority w:val="99"/>
    <w:qFormat/>
    <w:rsid w:val="004B3BFE"/>
    <w:pPr>
      <w:keepNext/>
      <w:keepLines/>
      <w:widowControl/>
    </w:pPr>
    <w:rPr>
      <w:rFonts w:cs="Times New Roman"/>
      <w:snapToGrid/>
      <w:sz w:val="16"/>
      <w:lang w:eastAsia="en-AU"/>
    </w:rPr>
  </w:style>
  <w:style w:type="character" w:customStyle="1" w:styleId="TableNotesChar">
    <w:name w:val="Table Notes Char"/>
    <w:link w:val="TableNotes"/>
    <w:uiPriority w:val="99"/>
    <w:rsid w:val="004B3BFE"/>
    <w:rPr>
      <w:rFonts w:ascii="Arial" w:hAnsi="Arial"/>
      <w:sz w:val="16"/>
      <w:szCs w:val="24"/>
    </w:rPr>
  </w:style>
  <w:style w:type="character" w:customStyle="1" w:styleId="CaptionChar2">
    <w:name w:val="Caption Char2"/>
    <w:aliases w:val="Caption Char1 Char,Caption Char Char Char,Caption Char Char1,Caption2 Char,Char Char,Caption Char1 Char Char Char Char,Caption Char Char Char Char Char Char,Caption Char Char1 Char Char,Caption Char1 Char1 Char,Caption Char Char Char1 Char"/>
    <w:rsid w:val="004B3BFE"/>
    <w:rPr>
      <w:rFonts w:ascii="Arial" w:eastAsia="Times New Roman" w:hAnsi="Arial" w:cs="Times New Roman"/>
      <w:b/>
      <w:bCs/>
      <w:sz w:val="20"/>
      <w:szCs w:val="20"/>
      <w:lang w:eastAsia="en-AU"/>
    </w:rPr>
  </w:style>
  <w:style w:type="paragraph" w:customStyle="1" w:styleId="TableText1">
    <w:name w:val="Table Text"/>
    <w:basedOn w:val="Normal"/>
    <w:link w:val="TableTextChar1"/>
    <w:uiPriority w:val="99"/>
    <w:qFormat/>
    <w:rsid w:val="004B3BFE"/>
    <w:pPr>
      <w:keepNext/>
      <w:keepLines/>
      <w:widowControl/>
      <w:spacing w:before="60" w:after="40"/>
    </w:pPr>
    <w:rPr>
      <w:rFonts w:ascii="Arial Narrow" w:hAnsi="Arial Narrow" w:cs="Times New Roman"/>
      <w:snapToGrid/>
      <w:sz w:val="20"/>
      <w:lang w:eastAsia="en-AU"/>
    </w:rPr>
  </w:style>
  <w:style w:type="character" w:customStyle="1" w:styleId="TableTextChar1">
    <w:name w:val="Table Text Char"/>
    <w:link w:val="TableText1"/>
    <w:uiPriority w:val="99"/>
    <w:locked/>
    <w:rsid w:val="004B3BFE"/>
    <w:rPr>
      <w:rFonts w:ascii="Arial Narrow" w:hAnsi="Arial Narrow"/>
    </w:rPr>
  </w:style>
  <w:style w:type="paragraph" w:customStyle="1" w:styleId="BodyText1">
    <w:name w:val="Body Text1"/>
    <w:basedOn w:val="Normal"/>
    <w:uiPriority w:val="99"/>
    <w:qFormat/>
    <w:rsid w:val="00314C40"/>
    <w:pPr>
      <w:spacing w:after="240" w:line="288" w:lineRule="auto"/>
    </w:pPr>
    <w:rPr>
      <w:rFonts w:cs="Times New Roman"/>
      <w:snapToGrid/>
      <w:szCs w:val="18"/>
      <w:lang w:eastAsia="en-AU"/>
    </w:rPr>
  </w:style>
  <w:style w:type="character" w:customStyle="1" w:styleId="MainBodyTextChar">
    <w:name w:val="Main Body Text Char"/>
    <w:link w:val="MainBodyText"/>
    <w:rsid w:val="00580361"/>
    <w:rPr>
      <w:rFonts w:ascii="Arial" w:hAnsi="Arial"/>
    </w:rPr>
  </w:style>
  <w:style w:type="paragraph" w:customStyle="1" w:styleId="MainBodyText">
    <w:name w:val="Main Body Text"/>
    <w:basedOn w:val="Normal"/>
    <w:link w:val="MainBodyTextChar"/>
    <w:rsid w:val="00580361"/>
    <w:pPr>
      <w:widowControl/>
      <w:spacing w:line="360" w:lineRule="auto"/>
    </w:pPr>
    <w:rPr>
      <w:rFonts w:cs="Times New Roman"/>
      <w:snapToGrid/>
      <w:sz w:val="24"/>
      <w:lang w:eastAsia="en-AU"/>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965ED6"/>
    <w:pPr>
      <w:widowControl/>
      <w:spacing w:after="160" w:line="240" w:lineRule="exact"/>
      <w:jc w:val="left"/>
    </w:pPr>
    <w:rPr>
      <w:rFonts w:ascii="Verdana" w:eastAsia="MS Mincho" w:hAnsi="Verdana" w:cs="Verdana"/>
      <w:snapToGrid/>
      <w:sz w:val="20"/>
      <w:szCs w:val="20"/>
      <w:lang w:val="en-US"/>
    </w:rPr>
  </w:style>
  <w:style w:type="character" w:styleId="IntenseReference">
    <w:name w:val="Intense Reference"/>
    <w:basedOn w:val="DefaultParagraphFont"/>
    <w:uiPriority w:val="32"/>
    <w:qFormat/>
    <w:rsid w:val="009A1D2A"/>
    <w:rPr>
      <w:b/>
      <w:bCs/>
      <w:i/>
      <w:smallCaps/>
      <w:color w:val="C0504D" w:themeColor="accent2"/>
      <w:spacing w:val="5"/>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1,Caption Char Char,Caption2,Char,Caption Char1 Char Char Char,Caption Char Char Char Char Char,Caption Char Char1 Char,Caption Char1 Char1,Caption Char Char Char1,Bayer Caption,IB Caption,Medical Caption,IB Caption Char"/>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Caption Char1 Char2,Caption Char Char Char2,Caption2 Char1,Char Char1,Caption Char1 Char Char Char Char1,Caption Char Char Char Char Char Char1,Caption Char Char1 Char Char1,Caption Char1 Char1 Char1,Caption Char Char Char1 Char1"/>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9"/>
    <w:rsid w:val="00CE6274"/>
    <w:rPr>
      <w:rFonts w:ascii="Tahoma" w:hAnsi="Tahoma" w:cs="Tahoma"/>
      <w:sz w:val="16"/>
      <w:szCs w:val="16"/>
    </w:rPr>
  </w:style>
  <w:style w:type="character" w:customStyle="1" w:styleId="BalloonTextChar">
    <w:name w:val="Balloon Text Char"/>
    <w:basedOn w:val="DefaultParagraphFont"/>
    <w:link w:val="BalloonText"/>
    <w:uiPriority w:val="99"/>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uiPriority w:val="99"/>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2"/>
      </w:numPr>
    </w:pPr>
    <w:rPr>
      <w:rFonts w:ascii="Arial" w:hAnsi="Arial" w:cs="Arial"/>
      <w:b/>
      <w:snapToGrid w:val="0"/>
      <w:sz w:val="22"/>
      <w:szCs w:val="22"/>
      <w:lang w:eastAsia="en-US"/>
    </w:rPr>
  </w:style>
  <w:style w:type="character" w:customStyle="1" w:styleId="hitinf">
    <w:name w:val="hit_inf"/>
    <w:basedOn w:val="DefaultParagraphFont"/>
    <w:rsid w:val="00B150B9"/>
  </w:style>
  <w:style w:type="character" w:customStyle="1" w:styleId="hitsyn">
    <w:name w:val="hit_syn"/>
    <w:basedOn w:val="DefaultParagraphFont"/>
    <w:rsid w:val="00B150B9"/>
  </w:style>
  <w:style w:type="character" w:customStyle="1" w:styleId="li-content">
    <w:name w:val="li-content"/>
    <w:basedOn w:val="DefaultParagraphFont"/>
    <w:rsid w:val="00B150B9"/>
  </w:style>
  <w:style w:type="character" w:customStyle="1" w:styleId="ccbntxt">
    <w:name w:val="ccbntxt"/>
    <w:basedOn w:val="DefaultParagraphFont"/>
    <w:rsid w:val="0037598E"/>
  </w:style>
  <w:style w:type="paragraph" w:styleId="FootnoteText">
    <w:name w:val="footnote text"/>
    <w:basedOn w:val="Normal"/>
    <w:link w:val="FootnoteTextChar"/>
    <w:unhideWhenUsed/>
    <w:rsid w:val="00022C8C"/>
    <w:rPr>
      <w:sz w:val="24"/>
    </w:rPr>
  </w:style>
  <w:style w:type="character" w:customStyle="1" w:styleId="FootnoteTextChar">
    <w:name w:val="Footnote Text Char"/>
    <w:basedOn w:val="DefaultParagraphFont"/>
    <w:link w:val="FootnoteText"/>
    <w:rsid w:val="00022C8C"/>
    <w:rPr>
      <w:rFonts w:ascii="Arial" w:hAnsi="Arial" w:cs="Arial"/>
      <w:snapToGrid w:val="0"/>
      <w:sz w:val="24"/>
      <w:szCs w:val="24"/>
      <w:lang w:eastAsia="en-US"/>
    </w:rPr>
  </w:style>
  <w:style w:type="character" w:styleId="FootnoteReference">
    <w:name w:val="footnote reference"/>
    <w:basedOn w:val="DefaultParagraphFont"/>
    <w:unhideWhenUsed/>
    <w:rsid w:val="00022C8C"/>
    <w:rPr>
      <w:vertAlign w:val="superscript"/>
    </w:rPr>
  </w:style>
  <w:style w:type="character" w:styleId="FollowedHyperlink">
    <w:name w:val="FollowedHyperlink"/>
    <w:basedOn w:val="DefaultParagraphFont"/>
    <w:semiHidden/>
    <w:unhideWhenUsed/>
    <w:rsid w:val="0086419F"/>
    <w:rPr>
      <w:color w:val="800080" w:themeColor="followedHyperlink"/>
      <w:u w:val="single"/>
    </w:rPr>
  </w:style>
  <w:style w:type="character" w:customStyle="1" w:styleId="TableTextChar0">
    <w:name w:val="TableText Char"/>
    <w:link w:val="TableText0"/>
    <w:uiPriority w:val="99"/>
    <w:rsid w:val="00996B66"/>
    <w:rPr>
      <w:rFonts w:ascii="Arial Narrow" w:hAnsi="Arial Narrow" w:cs="Arial Narrow"/>
      <w:lang w:eastAsia="en-US"/>
    </w:rPr>
  </w:style>
  <w:style w:type="character" w:customStyle="1" w:styleId="ListParagraphChar">
    <w:name w:val="List Paragraph Char"/>
    <w:link w:val="ListParagraph"/>
    <w:uiPriority w:val="34"/>
    <w:rsid w:val="00064AFA"/>
    <w:rPr>
      <w:rFonts w:ascii="Arial" w:hAnsi="Arial" w:cs="Arial"/>
      <w:snapToGrid w:val="0"/>
      <w:sz w:val="22"/>
      <w:lang w:eastAsia="en-US"/>
    </w:rPr>
  </w:style>
  <w:style w:type="paragraph" w:customStyle="1" w:styleId="TableNotes">
    <w:name w:val="Table Notes"/>
    <w:basedOn w:val="Normal"/>
    <w:next w:val="Normal"/>
    <w:link w:val="TableNotesChar"/>
    <w:uiPriority w:val="99"/>
    <w:qFormat/>
    <w:rsid w:val="004B3BFE"/>
    <w:pPr>
      <w:keepNext/>
      <w:keepLines/>
      <w:widowControl/>
    </w:pPr>
    <w:rPr>
      <w:rFonts w:cs="Times New Roman"/>
      <w:snapToGrid/>
      <w:sz w:val="16"/>
      <w:lang w:eastAsia="en-AU"/>
    </w:rPr>
  </w:style>
  <w:style w:type="character" w:customStyle="1" w:styleId="TableNotesChar">
    <w:name w:val="Table Notes Char"/>
    <w:link w:val="TableNotes"/>
    <w:uiPriority w:val="99"/>
    <w:rsid w:val="004B3BFE"/>
    <w:rPr>
      <w:rFonts w:ascii="Arial" w:hAnsi="Arial"/>
      <w:sz w:val="16"/>
      <w:szCs w:val="24"/>
    </w:rPr>
  </w:style>
  <w:style w:type="character" w:customStyle="1" w:styleId="CaptionChar2">
    <w:name w:val="Caption Char2"/>
    <w:aliases w:val="Caption Char1 Char,Caption Char Char Char,Caption Char Char1,Caption2 Char,Char Char,Caption Char1 Char Char Char Char,Caption Char Char Char Char Char Char,Caption Char Char1 Char Char,Caption Char1 Char1 Char,Caption Char Char Char1 Char"/>
    <w:rsid w:val="004B3BFE"/>
    <w:rPr>
      <w:rFonts w:ascii="Arial" w:eastAsia="Times New Roman" w:hAnsi="Arial" w:cs="Times New Roman"/>
      <w:b/>
      <w:bCs/>
      <w:sz w:val="20"/>
      <w:szCs w:val="20"/>
      <w:lang w:eastAsia="en-AU"/>
    </w:rPr>
  </w:style>
  <w:style w:type="paragraph" w:customStyle="1" w:styleId="TableText1">
    <w:name w:val="Table Text"/>
    <w:basedOn w:val="Normal"/>
    <w:link w:val="TableTextChar1"/>
    <w:uiPriority w:val="99"/>
    <w:qFormat/>
    <w:rsid w:val="004B3BFE"/>
    <w:pPr>
      <w:keepNext/>
      <w:keepLines/>
      <w:widowControl/>
      <w:spacing w:before="60" w:after="40"/>
    </w:pPr>
    <w:rPr>
      <w:rFonts w:ascii="Arial Narrow" w:hAnsi="Arial Narrow" w:cs="Times New Roman"/>
      <w:snapToGrid/>
      <w:sz w:val="20"/>
      <w:lang w:eastAsia="en-AU"/>
    </w:rPr>
  </w:style>
  <w:style w:type="character" w:customStyle="1" w:styleId="TableTextChar1">
    <w:name w:val="Table Text Char"/>
    <w:link w:val="TableText1"/>
    <w:uiPriority w:val="99"/>
    <w:locked/>
    <w:rsid w:val="004B3BFE"/>
    <w:rPr>
      <w:rFonts w:ascii="Arial Narrow" w:hAnsi="Arial Narrow"/>
    </w:rPr>
  </w:style>
  <w:style w:type="paragraph" w:customStyle="1" w:styleId="BodyText1">
    <w:name w:val="Body Text1"/>
    <w:basedOn w:val="Normal"/>
    <w:uiPriority w:val="99"/>
    <w:qFormat/>
    <w:rsid w:val="00314C40"/>
    <w:pPr>
      <w:spacing w:after="240" w:line="288" w:lineRule="auto"/>
    </w:pPr>
    <w:rPr>
      <w:rFonts w:cs="Times New Roman"/>
      <w:snapToGrid/>
      <w:szCs w:val="18"/>
      <w:lang w:eastAsia="en-AU"/>
    </w:rPr>
  </w:style>
  <w:style w:type="character" w:customStyle="1" w:styleId="MainBodyTextChar">
    <w:name w:val="Main Body Text Char"/>
    <w:link w:val="MainBodyText"/>
    <w:rsid w:val="00580361"/>
    <w:rPr>
      <w:rFonts w:ascii="Arial" w:hAnsi="Arial"/>
    </w:rPr>
  </w:style>
  <w:style w:type="paragraph" w:customStyle="1" w:styleId="MainBodyText">
    <w:name w:val="Main Body Text"/>
    <w:basedOn w:val="Normal"/>
    <w:link w:val="MainBodyTextChar"/>
    <w:rsid w:val="00580361"/>
    <w:pPr>
      <w:widowControl/>
      <w:spacing w:line="360" w:lineRule="auto"/>
    </w:pPr>
    <w:rPr>
      <w:rFonts w:cs="Times New Roman"/>
      <w:snapToGrid/>
      <w:sz w:val="24"/>
      <w:lang w:eastAsia="en-AU"/>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965ED6"/>
    <w:pPr>
      <w:widowControl/>
      <w:spacing w:after="160" w:line="240" w:lineRule="exact"/>
      <w:jc w:val="left"/>
    </w:pPr>
    <w:rPr>
      <w:rFonts w:ascii="Verdana" w:eastAsia="MS Mincho" w:hAnsi="Verdana" w:cs="Verdana"/>
      <w:snapToGrid/>
      <w:sz w:val="20"/>
      <w:szCs w:val="20"/>
      <w:lang w:val="en-US"/>
    </w:rPr>
  </w:style>
  <w:style w:type="character" w:styleId="IntenseReference">
    <w:name w:val="Intense Reference"/>
    <w:basedOn w:val="DefaultParagraphFont"/>
    <w:uiPriority w:val="32"/>
    <w:qFormat/>
    <w:rsid w:val="009A1D2A"/>
    <w:rPr>
      <w:b/>
      <w:bCs/>
      <w:i/>
      <w:smallCaps/>
      <w:color w:val="C0504D" w:themeColor="accent2"/>
      <w:spacing w:val="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85300">
      <w:bodyDiv w:val="1"/>
      <w:marLeft w:val="0"/>
      <w:marRight w:val="0"/>
      <w:marTop w:val="0"/>
      <w:marBottom w:val="0"/>
      <w:divBdr>
        <w:top w:val="none" w:sz="0" w:space="0" w:color="auto"/>
        <w:left w:val="none" w:sz="0" w:space="0" w:color="auto"/>
        <w:bottom w:val="none" w:sz="0" w:space="0" w:color="auto"/>
        <w:right w:val="none" w:sz="0" w:space="0" w:color="auto"/>
      </w:divBdr>
      <w:divsChild>
        <w:div w:id="921984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tmp"/><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F22C7-51B3-4A0F-9ECE-2C34F9F0A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9540</Words>
  <Characters>56163</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2015-10-23T00:44:00Z</dcterms:created>
  <dcterms:modified xsi:type="dcterms:W3CDTF">2016-02-18T03:24:00Z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