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C9D" w:rsidRPr="006F393A" w:rsidRDefault="00BD0C9D" w:rsidP="00E70436"/>
    <w:p w:rsidR="00E70436" w:rsidRPr="006F393A" w:rsidRDefault="00B91846" w:rsidP="00313B54">
      <w:pPr>
        <w:pStyle w:val="Heading1"/>
        <w:rPr>
          <w:sz w:val="28"/>
        </w:rPr>
      </w:pPr>
      <w:bookmarkStart w:id="0" w:name="_Toc419383680"/>
      <w:r w:rsidRPr="006F393A">
        <w:rPr>
          <w:sz w:val="28"/>
        </w:rPr>
        <w:t>5.11</w:t>
      </w:r>
      <w:r w:rsidR="00E70436" w:rsidRPr="006F393A">
        <w:rPr>
          <w:sz w:val="28"/>
        </w:rPr>
        <w:tab/>
      </w:r>
      <w:r w:rsidR="00313B54" w:rsidRPr="006F393A">
        <w:rPr>
          <w:sz w:val="28"/>
        </w:rPr>
        <w:t>Paritaprevir 75mg, Ritonavir 50mg, Ombitasvir 12.5mg and Dasabuvir 250mg +/- Ribavirin 200mg/600mg Tablets</w:t>
      </w:r>
      <w:r w:rsidR="00E70436" w:rsidRPr="006F393A">
        <w:rPr>
          <w:sz w:val="28"/>
        </w:rPr>
        <w:t xml:space="preserve">, </w:t>
      </w:r>
      <w:proofErr w:type="spellStart"/>
      <w:r w:rsidR="00313B54" w:rsidRPr="006F393A">
        <w:rPr>
          <w:caps w:val="0"/>
          <w:sz w:val="28"/>
        </w:rPr>
        <w:t>Viekira</w:t>
      </w:r>
      <w:proofErr w:type="spellEnd"/>
      <w:r w:rsidR="00313B54" w:rsidRPr="006F393A">
        <w:rPr>
          <w:caps w:val="0"/>
          <w:sz w:val="28"/>
        </w:rPr>
        <w:t xml:space="preserve"> PAK / </w:t>
      </w:r>
      <w:proofErr w:type="spellStart"/>
      <w:r w:rsidR="00313B54" w:rsidRPr="006F393A">
        <w:rPr>
          <w:caps w:val="0"/>
          <w:sz w:val="28"/>
        </w:rPr>
        <w:t>Viekira</w:t>
      </w:r>
      <w:proofErr w:type="spellEnd"/>
      <w:r w:rsidR="00313B54" w:rsidRPr="006F393A">
        <w:rPr>
          <w:caps w:val="0"/>
          <w:sz w:val="28"/>
        </w:rPr>
        <w:t xml:space="preserve"> PAK-RBV</w:t>
      </w:r>
      <w:r w:rsidR="00BB3647" w:rsidRPr="006F393A">
        <w:rPr>
          <w:caps w:val="0"/>
          <w:sz w:val="28"/>
          <w:vertAlign w:val="superscript"/>
        </w:rPr>
        <w:t>®</w:t>
      </w:r>
      <w:r w:rsidR="00313B54" w:rsidRPr="006F393A">
        <w:rPr>
          <w:caps w:val="0"/>
          <w:sz w:val="28"/>
        </w:rPr>
        <w:t xml:space="preserve">, </w:t>
      </w:r>
      <w:proofErr w:type="spellStart"/>
      <w:r w:rsidR="00313B54" w:rsidRPr="006F393A">
        <w:rPr>
          <w:caps w:val="0"/>
          <w:sz w:val="28"/>
        </w:rPr>
        <w:t>AbbVie</w:t>
      </w:r>
      <w:proofErr w:type="spellEnd"/>
      <w:r w:rsidR="00313B54" w:rsidRPr="006F393A">
        <w:rPr>
          <w:caps w:val="0"/>
          <w:sz w:val="28"/>
        </w:rPr>
        <w:t xml:space="preserve"> Pty Ltd</w:t>
      </w:r>
      <w:bookmarkEnd w:id="0"/>
    </w:p>
    <w:p w:rsidR="00E70436" w:rsidRPr="006F393A" w:rsidRDefault="00E70436" w:rsidP="00E70436"/>
    <w:p w:rsidR="00164E40" w:rsidRPr="006F393A" w:rsidRDefault="00164E40" w:rsidP="00164E40">
      <w:r w:rsidRPr="006F393A">
        <w:t xml:space="preserve">The co-packaged fixed dose combination of </w:t>
      </w:r>
      <w:proofErr w:type="spellStart"/>
      <w:r w:rsidRPr="006F393A">
        <w:t>paritaprevir</w:t>
      </w:r>
      <w:proofErr w:type="spellEnd"/>
      <w:r w:rsidRPr="006F393A">
        <w:t>/ritonavir/</w:t>
      </w:r>
      <w:proofErr w:type="spellStart"/>
      <w:r w:rsidRPr="006F393A">
        <w:t>ombitasvir</w:t>
      </w:r>
      <w:proofErr w:type="spellEnd"/>
      <w:r w:rsidRPr="006F393A">
        <w:t xml:space="preserve"> plus </w:t>
      </w:r>
      <w:proofErr w:type="spellStart"/>
      <w:r w:rsidRPr="006F393A">
        <w:t>dasabuvir</w:t>
      </w:r>
      <w:proofErr w:type="spellEnd"/>
      <w:r w:rsidRPr="006F393A">
        <w:t xml:space="preserve"> with or without ribavirin </w:t>
      </w:r>
      <w:r w:rsidR="00FE1F4A">
        <w:t>is</w:t>
      </w:r>
      <w:r w:rsidRPr="006F393A">
        <w:t xml:space="preserve"> referred</w:t>
      </w:r>
      <w:r w:rsidR="00FE1F4A">
        <w:t xml:space="preserve"> to</w:t>
      </w:r>
      <w:r w:rsidRPr="006F393A">
        <w:t xml:space="preserve"> as </w:t>
      </w:r>
      <w:proofErr w:type="spellStart"/>
      <w:r w:rsidRPr="006F393A">
        <w:t>Viekira</w:t>
      </w:r>
      <w:proofErr w:type="spellEnd"/>
      <w:r w:rsidRPr="006F393A">
        <w:t xml:space="preserve"> PAK / </w:t>
      </w:r>
      <w:proofErr w:type="spellStart"/>
      <w:r w:rsidRPr="006F393A">
        <w:t>Viekira</w:t>
      </w:r>
      <w:proofErr w:type="spellEnd"/>
      <w:r w:rsidRPr="006F393A">
        <w:t xml:space="preserve"> PAK-RBV in the</w:t>
      </w:r>
      <w:r w:rsidR="00F10BBB" w:rsidRPr="006F393A">
        <w:t xml:space="preserve"> </w:t>
      </w:r>
      <w:r w:rsidR="001C0791" w:rsidRPr="006F393A">
        <w:t>PBAC minutes</w:t>
      </w:r>
      <w:r w:rsidR="00F10BBB" w:rsidRPr="006F393A">
        <w:t>.</w:t>
      </w:r>
      <w:r w:rsidRPr="006F393A">
        <w:t xml:space="preserve"> </w:t>
      </w:r>
    </w:p>
    <w:p w:rsidR="004F2ED3" w:rsidRPr="006F393A" w:rsidRDefault="004F2ED3" w:rsidP="00164E40"/>
    <w:p w:rsidR="00ED3017" w:rsidRPr="006F393A" w:rsidRDefault="00ED3017" w:rsidP="00ED3017">
      <w:pPr>
        <w:pStyle w:val="PBACHeading1"/>
      </w:pPr>
      <w:bookmarkStart w:id="1" w:name="_Toc419383682"/>
      <w:r w:rsidRPr="006F393A">
        <w:t>Purpose of Application</w:t>
      </w:r>
      <w:bookmarkEnd w:id="1"/>
    </w:p>
    <w:p w:rsidR="00ED3017" w:rsidRPr="006F393A" w:rsidRDefault="00ED3017" w:rsidP="00ED3017">
      <w:pPr>
        <w:rPr>
          <w:szCs w:val="22"/>
        </w:rPr>
      </w:pPr>
    </w:p>
    <w:p w:rsidR="00ED3017" w:rsidRPr="006F393A" w:rsidRDefault="00ED3017" w:rsidP="00997EDA">
      <w:pPr>
        <w:pStyle w:val="ListParagraph"/>
        <w:widowControl/>
        <w:numPr>
          <w:ilvl w:val="1"/>
          <w:numId w:val="1"/>
        </w:numPr>
        <w:rPr>
          <w:szCs w:val="22"/>
        </w:rPr>
      </w:pPr>
      <w:r w:rsidRPr="006F393A">
        <w:t xml:space="preserve">The submission requested a Section 85 Authority Required (STREAMLINED) listing for </w:t>
      </w:r>
      <w:proofErr w:type="spellStart"/>
      <w:r w:rsidRPr="006F393A">
        <w:t>Viekira</w:t>
      </w:r>
      <w:proofErr w:type="spellEnd"/>
      <w:r w:rsidRPr="006F393A">
        <w:t xml:space="preserve"> PAK / </w:t>
      </w:r>
      <w:proofErr w:type="spellStart"/>
      <w:r w:rsidRPr="006F393A">
        <w:t>Viekira</w:t>
      </w:r>
      <w:proofErr w:type="spellEnd"/>
      <w:r w:rsidRPr="006F393A">
        <w:t xml:space="preserve"> PAK-RBV to treat patients with genotype 1 chronic hepatitis C (CHC) infection who have compensated liver disease, irrespective of previous treatment history. </w:t>
      </w:r>
    </w:p>
    <w:p w:rsidR="00ED3017" w:rsidRPr="006F393A" w:rsidRDefault="00ED3017" w:rsidP="00ED3017"/>
    <w:p w:rsidR="00ED3017" w:rsidRPr="006F393A" w:rsidRDefault="00ED3017" w:rsidP="00ED3017">
      <w:pPr>
        <w:pStyle w:val="PBACHeading1"/>
      </w:pPr>
      <w:bookmarkStart w:id="2" w:name="_Toc419383683"/>
      <w:r w:rsidRPr="006F393A">
        <w:t>Requested listing</w:t>
      </w:r>
      <w:bookmarkStart w:id="3" w:name="_GoBack"/>
      <w:bookmarkEnd w:id="2"/>
      <w:bookmarkEnd w:id="3"/>
    </w:p>
    <w:p w:rsidR="00ED3017" w:rsidRPr="006F393A" w:rsidRDefault="00ED3017" w:rsidP="00ED3017"/>
    <w:p w:rsidR="00ED3017" w:rsidRPr="006F393A" w:rsidRDefault="00ED3017" w:rsidP="00997EDA">
      <w:pPr>
        <w:pStyle w:val="ListParagraph"/>
        <w:widowControl/>
        <w:numPr>
          <w:ilvl w:val="1"/>
          <w:numId w:val="1"/>
        </w:numPr>
        <w:rPr>
          <w:szCs w:val="22"/>
        </w:rPr>
      </w:pPr>
      <w:r w:rsidRPr="006F393A">
        <w:t>The requested listings are:</w:t>
      </w:r>
    </w:p>
    <w:p w:rsidR="00ED3017" w:rsidRPr="006F393A" w:rsidRDefault="00ED3017" w:rsidP="00ED3017"/>
    <w:tbl>
      <w:tblPr>
        <w:tblW w:w="4604" w:type="pct"/>
        <w:tblInd w:w="737" w:type="dxa"/>
        <w:tblCellMar>
          <w:left w:w="28" w:type="dxa"/>
          <w:right w:w="28" w:type="dxa"/>
        </w:tblCellMar>
        <w:tblLook w:val="0000" w:firstRow="0" w:lastRow="0" w:firstColumn="0" w:lastColumn="0" w:noHBand="0" w:noVBand="0"/>
      </w:tblPr>
      <w:tblGrid>
        <w:gridCol w:w="3957"/>
        <w:gridCol w:w="495"/>
        <w:gridCol w:w="638"/>
        <w:gridCol w:w="1317"/>
        <w:gridCol w:w="669"/>
        <w:gridCol w:w="1288"/>
      </w:tblGrid>
      <w:tr w:rsidR="00ED3017" w:rsidRPr="006F393A" w:rsidTr="007E6B69">
        <w:trPr>
          <w:trHeight w:val="463"/>
        </w:trPr>
        <w:tc>
          <w:tcPr>
            <w:tcW w:w="2366" w:type="pct"/>
            <w:tcBorders>
              <w:bottom w:val="single" w:sz="4" w:space="0" w:color="auto"/>
            </w:tcBorders>
            <w:vAlign w:val="center"/>
          </w:tcPr>
          <w:p w:rsidR="00ED3017" w:rsidRPr="006F393A" w:rsidRDefault="00ED3017" w:rsidP="007E6B69">
            <w:pPr>
              <w:jc w:val="left"/>
              <w:rPr>
                <w:sz w:val="20"/>
              </w:rPr>
            </w:pPr>
            <w:r w:rsidRPr="006F393A">
              <w:rPr>
                <w:sz w:val="20"/>
              </w:rPr>
              <w:t>Name, Restriction,</w:t>
            </w:r>
          </w:p>
          <w:p w:rsidR="00ED3017" w:rsidRPr="006F393A" w:rsidRDefault="00ED3017" w:rsidP="007E6B69">
            <w:pPr>
              <w:jc w:val="left"/>
              <w:rPr>
                <w:sz w:val="20"/>
              </w:rPr>
            </w:pPr>
            <w:r w:rsidRPr="006F393A">
              <w:rPr>
                <w:sz w:val="20"/>
              </w:rPr>
              <w:t>Manner of administration and form</w:t>
            </w:r>
          </w:p>
        </w:tc>
        <w:tc>
          <w:tcPr>
            <w:tcW w:w="296" w:type="pct"/>
            <w:tcBorders>
              <w:bottom w:val="single" w:sz="4" w:space="0" w:color="auto"/>
            </w:tcBorders>
            <w:vAlign w:val="center"/>
          </w:tcPr>
          <w:p w:rsidR="00ED3017" w:rsidRPr="006F393A" w:rsidRDefault="00ED3017" w:rsidP="007E6B69">
            <w:pPr>
              <w:jc w:val="center"/>
              <w:rPr>
                <w:sz w:val="20"/>
              </w:rPr>
            </w:pPr>
            <w:r w:rsidRPr="006F393A">
              <w:rPr>
                <w:sz w:val="20"/>
              </w:rPr>
              <w:t>Max.</w:t>
            </w:r>
          </w:p>
          <w:p w:rsidR="00ED3017" w:rsidRPr="006F393A" w:rsidRDefault="00ED3017" w:rsidP="007E6B69">
            <w:pPr>
              <w:jc w:val="center"/>
              <w:rPr>
                <w:sz w:val="20"/>
              </w:rPr>
            </w:pPr>
            <w:proofErr w:type="spellStart"/>
            <w:r w:rsidRPr="006F393A">
              <w:rPr>
                <w:sz w:val="20"/>
              </w:rPr>
              <w:t>Qty</w:t>
            </w:r>
            <w:proofErr w:type="spellEnd"/>
          </w:p>
        </w:tc>
        <w:tc>
          <w:tcPr>
            <w:tcW w:w="382" w:type="pct"/>
            <w:tcBorders>
              <w:bottom w:val="single" w:sz="4" w:space="0" w:color="auto"/>
            </w:tcBorders>
            <w:vAlign w:val="center"/>
          </w:tcPr>
          <w:p w:rsidR="00ED3017" w:rsidRPr="006F393A" w:rsidRDefault="00ED3017" w:rsidP="007E6B69">
            <w:pPr>
              <w:jc w:val="center"/>
              <w:rPr>
                <w:sz w:val="20"/>
              </w:rPr>
            </w:pPr>
            <w:r w:rsidRPr="006F393A">
              <w:rPr>
                <w:sz w:val="20"/>
              </w:rPr>
              <w:t>№.of</w:t>
            </w:r>
          </w:p>
          <w:p w:rsidR="00ED3017" w:rsidRPr="006F393A" w:rsidRDefault="00ED3017" w:rsidP="007E6B69">
            <w:pPr>
              <w:jc w:val="center"/>
              <w:rPr>
                <w:sz w:val="20"/>
              </w:rPr>
            </w:pPr>
            <w:proofErr w:type="spellStart"/>
            <w:r w:rsidRPr="006F393A">
              <w:rPr>
                <w:sz w:val="20"/>
              </w:rPr>
              <w:t>Rpts</w:t>
            </w:r>
            <w:proofErr w:type="spellEnd"/>
          </w:p>
        </w:tc>
        <w:tc>
          <w:tcPr>
            <w:tcW w:w="787" w:type="pct"/>
            <w:tcBorders>
              <w:bottom w:val="single" w:sz="4" w:space="0" w:color="auto"/>
            </w:tcBorders>
            <w:vAlign w:val="center"/>
          </w:tcPr>
          <w:p w:rsidR="00ED3017" w:rsidRPr="006F393A" w:rsidRDefault="00ED3017" w:rsidP="007E6B69">
            <w:pPr>
              <w:jc w:val="center"/>
              <w:rPr>
                <w:sz w:val="20"/>
              </w:rPr>
            </w:pPr>
            <w:r w:rsidRPr="006F393A">
              <w:rPr>
                <w:sz w:val="20"/>
              </w:rPr>
              <w:t xml:space="preserve">Dispensed Price for Max. </w:t>
            </w:r>
            <w:proofErr w:type="spellStart"/>
            <w:r w:rsidRPr="006F393A">
              <w:rPr>
                <w:sz w:val="20"/>
              </w:rPr>
              <w:t>Qty</w:t>
            </w:r>
            <w:proofErr w:type="spellEnd"/>
          </w:p>
        </w:tc>
        <w:tc>
          <w:tcPr>
            <w:tcW w:w="1169" w:type="pct"/>
            <w:gridSpan w:val="2"/>
            <w:tcBorders>
              <w:bottom w:val="single" w:sz="4" w:space="0" w:color="auto"/>
            </w:tcBorders>
            <w:vAlign w:val="center"/>
          </w:tcPr>
          <w:p w:rsidR="00ED3017" w:rsidRPr="006F393A" w:rsidRDefault="00ED3017" w:rsidP="007E6B69">
            <w:pPr>
              <w:jc w:val="center"/>
              <w:rPr>
                <w:sz w:val="20"/>
                <w:lang w:val="fr-FR"/>
              </w:rPr>
            </w:pPr>
            <w:r w:rsidRPr="006F393A">
              <w:rPr>
                <w:sz w:val="20"/>
              </w:rPr>
              <w:t>Proprietary Name and Manufacturer</w:t>
            </w:r>
          </w:p>
        </w:tc>
      </w:tr>
      <w:tr w:rsidR="00ED3017" w:rsidRPr="006F393A" w:rsidTr="007E6B69">
        <w:trPr>
          <w:trHeight w:val="567"/>
        </w:trPr>
        <w:tc>
          <w:tcPr>
            <w:tcW w:w="2366" w:type="pct"/>
            <w:vAlign w:val="center"/>
          </w:tcPr>
          <w:p w:rsidR="00ED3017" w:rsidRPr="006F393A" w:rsidRDefault="00ED3017" w:rsidP="007E6B69">
            <w:pPr>
              <w:jc w:val="left"/>
              <w:rPr>
                <w:sz w:val="20"/>
              </w:rPr>
            </w:pPr>
            <w:r w:rsidRPr="006F393A">
              <w:rPr>
                <w:smallCaps/>
                <w:sz w:val="20"/>
              </w:rPr>
              <w:t>PARITAPREVIR/RITONAVIR/OMBITASVIR</w:t>
            </w:r>
          </w:p>
          <w:p w:rsidR="00ED3017" w:rsidRPr="006F393A" w:rsidRDefault="00ED3017" w:rsidP="007E6B69">
            <w:pPr>
              <w:jc w:val="left"/>
              <w:rPr>
                <w:sz w:val="20"/>
              </w:rPr>
            </w:pPr>
            <w:r w:rsidRPr="006F393A">
              <w:rPr>
                <w:sz w:val="20"/>
              </w:rPr>
              <w:t>Tablet 75mg/50mg/12.5mg</w:t>
            </w:r>
          </w:p>
          <w:p w:rsidR="00ED3017" w:rsidRPr="006F393A" w:rsidRDefault="00ED3017" w:rsidP="007E6B69">
            <w:pPr>
              <w:rPr>
                <w:sz w:val="20"/>
              </w:rPr>
            </w:pPr>
            <w:r w:rsidRPr="006F393A">
              <w:rPr>
                <w:sz w:val="20"/>
              </w:rPr>
              <w:t>DASABUVIR</w:t>
            </w:r>
          </w:p>
          <w:p w:rsidR="00ED3017" w:rsidRPr="006F393A" w:rsidRDefault="00ED3017" w:rsidP="007E6B69">
            <w:pPr>
              <w:jc w:val="left"/>
              <w:rPr>
                <w:sz w:val="20"/>
              </w:rPr>
            </w:pPr>
            <w:r w:rsidRPr="006F393A">
              <w:rPr>
                <w:sz w:val="20"/>
              </w:rPr>
              <w:t>Tablet 250mg</w:t>
            </w:r>
          </w:p>
          <w:p w:rsidR="00ED3017" w:rsidRPr="006F393A" w:rsidRDefault="00ED3017" w:rsidP="007E6B69">
            <w:pPr>
              <w:jc w:val="left"/>
              <w:rPr>
                <w:sz w:val="20"/>
              </w:rPr>
            </w:pPr>
          </w:p>
        </w:tc>
        <w:tc>
          <w:tcPr>
            <w:tcW w:w="296" w:type="pct"/>
            <w:vAlign w:val="center"/>
          </w:tcPr>
          <w:p w:rsidR="00ED3017" w:rsidRPr="006F393A" w:rsidRDefault="00ED3017" w:rsidP="007E6B69">
            <w:pPr>
              <w:jc w:val="center"/>
              <w:rPr>
                <w:sz w:val="20"/>
              </w:rPr>
            </w:pPr>
            <w:r w:rsidRPr="006F393A">
              <w:rPr>
                <w:sz w:val="20"/>
              </w:rPr>
              <w:t>56</w:t>
            </w:r>
          </w:p>
          <w:p w:rsidR="00ED3017" w:rsidRPr="006F393A" w:rsidRDefault="00ED3017" w:rsidP="007E6B69">
            <w:pPr>
              <w:jc w:val="center"/>
              <w:rPr>
                <w:sz w:val="20"/>
              </w:rPr>
            </w:pPr>
          </w:p>
          <w:p w:rsidR="00ED3017" w:rsidRPr="006F393A" w:rsidRDefault="00ED3017" w:rsidP="007E6B69">
            <w:pPr>
              <w:jc w:val="center"/>
              <w:rPr>
                <w:sz w:val="20"/>
              </w:rPr>
            </w:pPr>
            <w:r w:rsidRPr="006F393A">
              <w:rPr>
                <w:sz w:val="20"/>
              </w:rPr>
              <w:t>56</w:t>
            </w:r>
          </w:p>
        </w:tc>
        <w:tc>
          <w:tcPr>
            <w:tcW w:w="382" w:type="pct"/>
            <w:vAlign w:val="center"/>
          </w:tcPr>
          <w:p w:rsidR="00ED3017" w:rsidRPr="006F393A" w:rsidRDefault="00ED3017" w:rsidP="007E6B69">
            <w:pPr>
              <w:jc w:val="center"/>
              <w:rPr>
                <w:sz w:val="20"/>
              </w:rPr>
            </w:pPr>
            <w:r w:rsidRPr="006F393A">
              <w:rPr>
                <w:sz w:val="20"/>
              </w:rPr>
              <w:t>2</w:t>
            </w:r>
          </w:p>
        </w:tc>
        <w:tc>
          <w:tcPr>
            <w:tcW w:w="787" w:type="pct"/>
            <w:vAlign w:val="center"/>
          </w:tcPr>
          <w:p w:rsidR="00ED3017" w:rsidRPr="0060604A" w:rsidRDefault="00ED3017" w:rsidP="007E6B69">
            <w:pPr>
              <w:jc w:val="center"/>
              <w:rPr>
                <w:sz w:val="20"/>
              </w:rPr>
            </w:pPr>
          </w:p>
          <w:p w:rsidR="00ED3017" w:rsidRPr="0060604A" w:rsidRDefault="00ED3017" w:rsidP="007E6B69">
            <w:pPr>
              <w:jc w:val="center"/>
              <w:rPr>
                <w:sz w:val="20"/>
              </w:rPr>
            </w:pPr>
            <w:r w:rsidRPr="0060604A">
              <w:rPr>
                <w:sz w:val="20"/>
              </w:rPr>
              <w:t>$</w:t>
            </w:r>
            <w:r w:rsidR="00C87712">
              <w:rPr>
                <w:noProof/>
                <w:color w:val="000000"/>
                <w:sz w:val="20"/>
                <w:highlight w:val="black"/>
              </w:rPr>
              <w:t>''''''''''''''''</w:t>
            </w:r>
          </w:p>
        </w:tc>
        <w:tc>
          <w:tcPr>
            <w:tcW w:w="399" w:type="pct"/>
            <w:vAlign w:val="center"/>
          </w:tcPr>
          <w:p w:rsidR="00ED3017" w:rsidRPr="006F393A" w:rsidRDefault="00ED3017" w:rsidP="007E6B69">
            <w:pPr>
              <w:jc w:val="center"/>
              <w:rPr>
                <w:sz w:val="20"/>
              </w:rPr>
            </w:pPr>
            <w:proofErr w:type="spellStart"/>
            <w:r w:rsidRPr="006F393A">
              <w:rPr>
                <w:sz w:val="20"/>
              </w:rPr>
              <w:t>Viekira</w:t>
            </w:r>
            <w:proofErr w:type="spellEnd"/>
            <w:r w:rsidRPr="006F393A">
              <w:rPr>
                <w:sz w:val="20"/>
              </w:rPr>
              <w:t xml:space="preserve"> PAK</w:t>
            </w:r>
            <w:r w:rsidRPr="006F393A">
              <w:rPr>
                <w:sz w:val="20"/>
                <w:vertAlign w:val="superscript"/>
              </w:rPr>
              <w:t>®</w:t>
            </w:r>
          </w:p>
        </w:tc>
        <w:tc>
          <w:tcPr>
            <w:tcW w:w="769" w:type="pct"/>
            <w:vAlign w:val="center"/>
          </w:tcPr>
          <w:p w:rsidR="00ED3017" w:rsidRPr="006F393A" w:rsidRDefault="00ED3017" w:rsidP="007E6B69">
            <w:pPr>
              <w:jc w:val="center"/>
              <w:rPr>
                <w:sz w:val="20"/>
              </w:rPr>
            </w:pPr>
            <w:proofErr w:type="spellStart"/>
            <w:r w:rsidRPr="006F393A">
              <w:rPr>
                <w:sz w:val="20"/>
              </w:rPr>
              <w:t>Abbvie</w:t>
            </w:r>
            <w:proofErr w:type="spellEnd"/>
            <w:r w:rsidRPr="006F393A">
              <w:rPr>
                <w:sz w:val="20"/>
              </w:rPr>
              <w:t xml:space="preserve"> Pty Ltd</w:t>
            </w:r>
          </w:p>
        </w:tc>
      </w:tr>
      <w:tr w:rsidR="00ED3017" w:rsidRPr="006F393A" w:rsidTr="007E6B69">
        <w:trPr>
          <w:trHeight w:val="567"/>
        </w:trPr>
        <w:tc>
          <w:tcPr>
            <w:tcW w:w="2366" w:type="pct"/>
            <w:vAlign w:val="center"/>
          </w:tcPr>
          <w:p w:rsidR="00ED3017" w:rsidRPr="006F393A" w:rsidRDefault="00ED3017" w:rsidP="007E6B69">
            <w:pPr>
              <w:jc w:val="left"/>
              <w:rPr>
                <w:smallCaps/>
                <w:sz w:val="20"/>
              </w:rPr>
            </w:pPr>
            <w:r w:rsidRPr="006F393A">
              <w:rPr>
                <w:smallCaps/>
                <w:sz w:val="20"/>
              </w:rPr>
              <w:t>PARITAPREVIR/RITONAVIR/OMBITASVIR</w:t>
            </w:r>
          </w:p>
          <w:p w:rsidR="00ED3017" w:rsidRPr="006F393A" w:rsidRDefault="00ED3017" w:rsidP="007E6B69">
            <w:pPr>
              <w:jc w:val="left"/>
              <w:rPr>
                <w:sz w:val="20"/>
              </w:rPr>
            </w:pPr>
            <w:r w:rsidRPr="006F393A">
              <w:rPr>
                <w:sz w:val="20"/>
              </w:rPr>
              <w:t>Tablet 75mg/50mg/12.5mg</w:t>
            </w:r>
          </w:p>
          <w:p w:rsidR="00ED3017" w:rsidRPr="006F393A" w:rsidRDefault="00ED3017" w:rsidP="007E6B69">
            <w:pPr>
              <w:rPr>
                <w:sz w:val="20"/>
              </w:rPr>
            </w:pPr>
            <w:r w:rsidRPr="006F393A">
              <w:rPr>
                <w:sz w:val="20"/>
              </w:rPr>
              <w:t>DASABUVIR</w:t>
            </w:r>
          </w:p>
          <w:p w:rsidR="00ED3017" w:rsidRPr="006F393A" w:rsidRDefault="00ED3017" w:rsidP="007E6B69">
            <w:pPr>
              <w:jc w:val="left"/>
              <w:rPr>
                <w:sz w:val="20"/>
              </w:rPr>
            </w:pPr>
            <w:r w:rsidRPr="006F393A">
              <w:rPr>
                <w:sz w:val="20"/>
              </w:rPr>
              <w:t>Tablet 250mg</w:t>
            </w:r>
          </w:p>
          <w:p w:rsidR="00ED3017" w:rsidRPr="006F393A" w:rsidRDefault="00ED3017" w:rsidP="007E6B69">
            <w:pPr>
              <w:jc w:val="left"/>
              <w:rPr>
                <w:smallCaps/>
                <w:sz w:val="20"/>
              </w:rPr>
            </w:pPr>
            <w:r w:rsidRPr="006F393A">
              <w:rPr>
                <w:smallCaps/>
                <w:sz w:val="20"/>
              </w:rPr>
              <w:t>RIBAVIRIN</w:t>
            </w:r>
          </w:p>
          <w:p w:rsidR="00ED3017" w:rsidRPr="006F393A" w:rsidRDefault="00ED3017" w:rsidP="007E6B69">
            <w:pPr>
              <w:jc w:val="left"/>
              <w:rPr>
                <w:sz w:val="20"/>
              </w:rPr>
            </w:pPr>
            <w:r w:rsidRPr="006F393A">
              <w:rPr>
                <w:sz w:val="20"/>
              </w:rPr>
              <w:t>Tablet 200mg</w:t>
            </w:r>
          </w:p>
          <w:p w:rsidR="00ED3017" w:rsidRPr="006F393A" w:rsidRDefault="00ED3017" w:rsidP="007E6B69">
            <w:pPr>
              <w:jc w:val="left"/>
              <w:rPr>
                <w:smallCaps/>
                <w:sz w:val="20"/>
              </w:rPr>
            </w:pPr>
          </w:p>
        </w:tc>
        <w:tc>
          <w:tcPr>
            <w:tcW w:w="296" w:type="pct"/>
            <w:vAlign w:val="center"/>
          </w:tcPr>
          <w:p w:rsidR="00ED3017" w:rsidRPr="006F393A" w:rsidRDefault="00ED3017" w:rsidP="007E6B69">
            <w:pPr>
              <w:jc w:val="center"/>
              <w:rPr>
                <w:sz w:val="20"/>
              </w:rPr>
            </w:pPr>
            <w:r w:rsidRPr="006F393A">
              <w:rPr>
                <w:sz w:val="20"/>
              </w:rPr>
              <w:t>56</w:t>
            </w:r>
          </w:p>
          <w:p w:rsidR="00ED3017" w:rsidRPr="006F393A" w:rsidRDefault="00ED3017" w:rsidP="007E6B69">
            <w:pPr>
              <w:jc w:val="center"/>
              <w:rPr>
                <w:sz w:val="20"/>
              </w:rPr>
            </w:pPr>
          </w:p>
          <w:p w:rsidR="00ED3017" w:rsidRPr="006F393A" w:rsidRDefault="00ED3017" w:rsidP="007E6B69">
            <w:pPr>
              <w:jc w:val="center"/>
              <w:rPr>
                <w:sz w:val="20"/>
              </w:rPr>
            </w:pPr>
            <w:r w:rsidRPr="006F393A">
              <w:rPr>
                <w:sz w:val="20"/>
              </w:rPr>
              <w:t>56</w:t>
            </w:r>
          </w:p>
          <w:p w:rsidR="00ED3017" w:rsidRPr="006F393A" w:rsidRDefault="00ED3017" w:rsidP="007E6B69">
            <w:pPr>
              <w:jc w:val="center"/>
              <w:rPr>
                <w:sz w:val="20"/>
              </w:rPr>
            </w:pPr>
          </w:p>
          <w:p w:rsidR="00ED3017" w:rsidRPr="006F393A" w:rsidRDefault="00ED3017" w:rsidP="007E6B69">
            <w:pPr>
              <w:jc w:val="center"/>
              <w:rPr>
                <w:sz w:val="20"/>
              </w:rPr>
            </w:pPr>
            <w:r w:rsidRPr="006F393A">
              <w:rPr>
                <w:sz w:val="20"/>
              </w:rPr>
              <w:t>168</w:t>
            </w:r>
          </w:p>
        </w:tc>
        <w:tc>
          <w:tcPr>
            <w:tcW w:w="382" w:type="pct"/>
            <w:vAlign w:val="center"/>
          </w:tcPr>
          <w:p w:rsidR="00ED3017" w:rsidRPr="006F393A" w:rsidRDefault="00ED3017" w:rsidP="007E6B69">
            <w:pPr>
              <w:jc w:val="center"/>
              <w:rPr>
                <w:sz w:val="20"/>
              </w:rPr>
            </w:pPr>
            <w:r w:rsidRPr="006F393A">
              <w:rPr>
                <w:sz w:val="20"/>
              </w:rPr>
              <w:t>2</w:t>
            </w:r>
          </w:p>
        </w:tc>
        <w:tc>
          <w:tcPr>
            <w:tcW w:w="787" w:type="pct"/>
            <w:vAlign w:val="center"/>
          </w:tcPr>
          <w:p w:rsidR="00ED3017" w:rsidRPr="0060604A" w:rsidRDefault="00ED3017" w:rsidP="007E6B69">
            <w:pPr>
              <w:jc w:val="center"/>
              <w:rPr>
                <w:sz w:val="20"/>
              </w:rPr>
            </w:pPr>
            <w:r w:rsidRPr="0060604A">
              <w:rPr>
                <w:sz w:val="20"/>
              </w:rPr>
              <w:t>$</w:t>
            </w:r>
            <w:r w:rsidR="00C87712">
              <w:rPr>
                <w:noProof/>
                <w:color w:val="000000"/>
                <w:sz w:val="20"/>
                <w:highlight w:val="black"/>
              </w:rPr>
              <w:t>''''''''''''''''</w:t>
            </w:r>
          </w:p>
        </w:tc>
        <w:tc>
          <w:tcPr>
            <w:tcW w:w="399" w:type="pct"/>
            <w:vAlign w:val="center"/>
          </w:tcPr>
          <w:p w:rsidR="00ED3017" w:rsidRPr="006F393A" w:rsidRDefault="00ED3017" w:rsidP="007E6B69">
            <w:pPr>
              <w:jc w:val="center"/>
              <w:rPr>
                <w:sz w:val="20"/>
              </w:rPr>
            </w:pPr>
            <w:proofErr w:type="spellStart"/>
            <w:r w:rsidRPr="006F393A">
              <w:rPr>
                <w:sz w:val="20"/>
              </w:rPr>
              <w:t>Viekira</w:t>
            </w:r>
            <w:proofErr w:type="spellEnd"/>
            <w:r w:rsidRPr="006F393A">
              <w:rPr>
                <w:sz w:val="20"/>
              </w:rPr>
              <w:t xml:space="preserve"> PAK-RBV</w:t>
            </w:r>
            <w:r w:rsidRPr="006F393A">
              <w:rPr>
                <w:sz w:val="20"/>
                <w:vertAlign w:val="superscript"/>
              </w:rPr>
              <w:t>®</w:t>
            </w:r>
          </w:p>
        </w:tc>
        <w:tc>
          <w:tcPr>
            <w:tcW w:w="769" w:type="pct"/>
            <w:vAlign w:val="center"/>
          </w:tcPr>
          <w:p w:rsidR="00ED3017" w:rsidRPr="006F393A" w:rsidRDefault="00ED3017" w:rsidP="007E6B69">
            <w:pPr>
              <w:jc w:val="center"/>
              <w:rPr>
                <w:sz w:val="20"/>
              </w:rPr>
            </w:pPr>
            <w:proofErr w:type="spellStart"/>
            <w:r w:rsidRPr="006F393A">
              <w:rPr>
                <w:sz w:val="20"/>
              </w:rPr>
              <w:t>Abbvie</w:t>
            </w:r>
            <w:proofErr w:type="spellEnd"/>
            <w:r w:rsidRPr="006F393A">
              <w:rPr>
                <w:sz w:val="20"/>
              </w:rPr>
              <w:t xml:space="preserve"> Pty Ltd</w:t>
            </w:r>
          </w:p>
        </w:tc>
      </w:tr>
      <w:tr w:rsidR="00ED3017" w:rsidRPr="006F393A" w:rsidTr="007E6B69">
        <w:trPr>
          <w:trHeight w:val="567"/>
        </w:trPr>
        <w:tc>
          <w:tcPr>
            <w:tcW w:w="2366" w:type="pct"/>
            <w:vAlign w:val="center"/>
          </w:tcPr>
          <w:p w:rsidR="00ED3017" w:rsidRPr="006F393A" w:rsidRDefault="00ED3017" w:rsidP="007E6B69">
            <w:pPr>
              <w:rPr>
                <w:smallCaps/>
                <w:sz w:val="20"/>
              </w:rPr>
            </w:pPr>
            <w:r w:rsidRPr="006F393A">
              <w:rPr>
                <w:smallCaps/>
                <w:sz w:val="20"/>
              </w:rPr>
              <w:t>PARITAPREVIR/RITONAVIR/OMBITASVIR</w:t>
            </w:r>
          </w:p>
          <w:p w:rsidR="00ED3017" w:rsidRPr="006F393A" w:rsidRDefault="00ED3017" w:rsidP="007E6B69">
            <w:pPr>
              <w:rPr>
                <w:sz w:val="20"/>
              </w:rPr>
            </w:pPr>
            <w:r w:rsidRPr="006F393A">
              <w:rPr>
                <w:sz w:val="20"/>
              </w:rPr>
              <w:t>Tablet 75mg/50mg/12.5mg</w:t>
            </w:r>
          </w:p>
          <w:p w:rsidR="00ED3017" w:rsidRPr="006F393A" w:rsidRDefault="00ED3017" w:rsidP="007E6B69">
            <w:pPr>
              <w:rPr>
                <w:smallCaps/>
                <w:sz w:val="20"/>
              </w:rPr>
            </w:pPr>
            <w:r w:rsidRPr="006F393A">
              <w:rPr>
                <w:smallCaps/>
                <w:sz w:val="20"/>
              </w:rPr>
              <w:t>DASABUVIR</w:t>
            </w:r>
          </w:p>
          <w:p w:rsidR="00ED3017" w:rsidRPr="006F393A" w:rsidRDefault="00ED3017" w:rsidP="007E6B69">
            <w:pPr>
              <w:rPr>
                <w:sz w:val="20"/>
              </w:rPr>
            </w:pPr>
            <w:r w:rsidRPr="006F393A">
              <w:rPr>
                <w:sz w:val="20"/>
              </w:rPr>
              <w:t>Tablet 250mg</w:t>
            </w:r>
          </w:p>
          <w:p w:rsidR="00ED3017" w:rsidRPr="006F393A" w:rsidRDefault="00ED3017" w:rsidP="007E6B69">
            <w:pPr>
              <w:rPr>
                <w:smallCaps/>
                <w:sz w:val="20"/>
              </w:rPr>
            </w:pPr>
            <w:r w:rsidRPr="006F393A">
              <w:rPr>
                <w:smallCaps/>
                <w:sz w:val="20"/>
              </w:rPr>
              <w:t>RIBAVIRIN</w:t>
            </w:r>
          </w:p>
          <w:p w:rsidR="00ED3017" w:rsidRPr="006F393A" w:rsidRDefault="00ED3017" w:rsidP="007E6B69">
            <w:pPr>
              <w:rPr>
                <w:sz w:val="20"/>
              </w:rPr>
            </w:pPr>
            <w:r w:rsidRPr="006F393A">
              <w:rPr>
                <w:sz w:val="20"/>
              </w:rPr>
              <w:t>Tablet 600mg</w:t>
            </w:r>
          </w:p>
          <w:p w:rsidR="00ED3017" w:rsidRPr="006F393A" w:rsidRDefault="00ED3017" w:rsidP="007E6B69">
            <w:pPr>
              <w:rPr>
                <w:smallCaps/>
                <w:sz w:val="20"/>
              </w:rPr>
            </w:pPr>
          </w:p>
        </w:tc>
        <w:tc>
          <w:tcPr>
            <w:tcW w:w="296" w:type="pct"/>
            <w:vAlign w:val="center"/>
          </w:tcPr>
          <w:p w:rsidR="00ED3017" w:rsidRPr="006F393A" w:rsidRDefault="00ED3017" w:rsidP="007E6B69">
            <w:pPr>
              <w:jc w:val="center"/>
              <w:rPr>
                <w:sz w:val="20"/>
              </w:rPr>
            </w:pPr>
            <w:r w:rsidRPr="006F393A">
              <w:rPr>
                <w:sz w:val="20"/>
              </w:rPr>
              <w:t>56</w:t>
            </w:r>
          </w:p>
          <w:p w:rsidR="00ED3017" w:rsidRPr="006F393A" w:rsidRDefault="00ED3017" w:rsidP="007E6B69">
            <w:pPr>
              <w:jc w:val="center"/>
              <w:rPr>
                <w:sz w:val="20"/>
              </w:rPr>
            </w:pPr>
          </w:p>
          <w:p w:rsidR="00ED3017" w:rsidRPr="006F393A" w:rsidRDefault="00ED3017" w:rsidP="007E6B69">
            <w:pPr>
              <w:jc w:val="center"/>
              <w:rPr>
                <w:sz w:val="20"/>
              </w:rPr>
            </w:pPr>
            <w:r w:rsidRPr="006F393A">
              <w:rPr>
                <w:sz w:val="20"/>
              </w:rPr>
              <w:t>56</w:t>
            </w:r>
          </w:p>
          <w:p w:rsidR="00ED3017" w:rsidRPr="006F393A" w:rsidRDefault="00ED3017" w:rsidP="007E6B69">
            <w:pPr>
              <w:jc w:val="center"/>
              <w:rPr>
                <w:sz w:val="20"/>
              </w:rPr>
            </w:pPr>
          </w:p>
          <w:p w:rsidR="00ED3017" w:rsidRPr="006F393A" w:rsidRDefault="00ED3017" w:rsidP="007E6B69">
            <w:pPr>
              <w:jc w:val="center"/>
              <w:rPr>
                <w:sz w:val="20"/>
              </w:rPr>
            </w:pPr>
            <w:r w:rsidRPr="006F393A">
              <w:rPr>
                <w:sz w:val="20"/>
              </w:rPr>
              <w:t>56</w:t>
            </w:r>
          </w:p>
        </w:tc>
        <w:tc>
          <w:tcPr>
            <w:tcW w:w="382" w:type="pct"/>
            <w:vAlign w:val="center"/>
          </w:tcPr>
          <w:p w:rsidR="00ED3017" w:rsidRPr="006F393A" w:rsidRDefault="00ED3017" w:rsidP="007E6B69">
            <w:pPr>
              <w:jc w:val="center"/>
              <w:rPr>
                <w:sz w:val="20"/>
              </w:rPr>
            </w:pPr>
            <w:r w:rsidRPr="006F393A">
              <w:rPr>
                <w:sz w:val="20"/>
              </w:rPr>
              <w:t>2</w:t>
            </w:r>
          </w:p>
        </w:tc>
        <w:tc>
          <w:tcPr>
            <w:tcW w:w="787" w:type="pct"/>
            <w:vAlign w:val="center"/>
          </w:tcPr>
          <w:p w:rsidR="00ED3017" w:rsidRPr="0060604A" w:rsidRDefault="00ED3017" w:rsidP="007E6B69">
            <w:pPr>
              <w:jc w:val="center"/>
              <w:rPr>
                <w:sz w:val="20"/>
              </w:rPr>
            </w:pPr>
            <w:r w:rsidRPr="0060604A">
              <w:rPr>
                <w:sz w:val="20"/>
              </w:rPr>
              <w:t>$</w:t>
            </w:r>
            <w:r w:rsidR="00C87712">
              <w:rPr>
                <w:noProof/>
                <w:color w:val="000000"/>
                <w:sz w:val="20"/>
                <w:highlight w:val="black"/>
              </w:rPr>
              <w:t>'''''''''''''''</w:t>
            </w:r>
          </w:p>
        </w:tc>
        <w:tc>
          <w:tcPr>
            <w:tcW w:w="399" w:type="pct"/>
            <w:vAlign w:val="center"/>
          </w:tcPr>
          <w:p w:rsidR="00ED3017" w:rsidRPr="006F393A" w:rsidRDefault="00ED3017" w:rsidP="007E6B69">
            <w:pPr>
              <w:jc w:val="center"/>
              <w:rPr>
                <w:sz w:val="20"/>
              </w:rPr>
            </w:pPr>
            <w:proofErr w:type="spellStart"/>
            <w:r w:rsidRPr="006F393A">
              <w:rPr>
                <w:sz w:val="20"/>
              </w:rPr>
              <w:t>Viekira</w:t>
            </w:r>
            <w:proofErr w:type="spellEnd"/>
            <w:r w:rsidRPr="006F393A">
              <w:rPr>
                <w:sz w:val="20"/>
              </w:rPr>
              <w:t xml:space="preserve"> PAK-RBV</w:t>
            </w:r>
            <w:r w:rsidRPr="006F393A">
              <w:rPr>
                <w:sz w:val="20"/>
                <w:vertAlign w:val="superscript"/>
              </w:rPr>
              <w:t>®</w:t>
            </w:r>
          </w:p>
        </w:tc>
        <w:tc>
          <w:tcPr>
            <w:tcW w:w="769" w:type="pct"/>
            <w:vAlign w:val="center"/>
          </w:tcPr>
          <w:p w:rsidR="00ED3017" w:rsidRPr="006F393A" w:rsidRDefault="00ED3017" w:rsidP="007E6B69">
            <w:pPr>
              <w:jc w:val="center"/>
              <w:rPr>
                <w:sz w:val="20"/>
              </w:rPr>
            </w:pPr>
            <w:proofErr w:type="spellStart"/>
            <w:r w:rsidRPr="006F393A">
              <w:rPr>
                <w:sz w:val="20"/>
              </w:rPr>
              <w:t>Abbvie</w:t>
            </w:r>
            <w:proofErr w:type="spellEnd"/>
            <w:r w:rsidRPr="006F393A">
              <w:rPr>
                <w:sz w:val="20"/>
              </w:rPr>
              <w:t xml:space="preserve"> Pty Ltd</w:t>
            </w:r>
          </w:p>
        </w:tc>
      </w:tr>
      <w:tr w:rsidR="00ED3017" w:rsidRPr="006F393A" w:rsidTr="007E6B69">
        <w:trPr>
          <w:trHeight w:val="567"/>
        </w:trPr>
        <w:tc>
          <w:tcPr>
            <w:tcW w:w="2366" w:type="pct"/>
            <w:vAlign w:val="center"/>
          </w:tcPr>
          <w:p w:rsidR="00ED3017" w:rsidRPr="006F393A" w:rsidRDefault="00ED3017" w:rsidP="007E6B69">
            <w:pPr>
              <w:rPr>
                <w:smallCaps/>
                <w:sz w:val="20"/>
              </w:rPr>
            </w:pPr>
            <w:r w:rsidRPr="006F393A">
              <w:rPr>
                <w:smallCaps/>
                <w:sz w:val="20"/>
              </w:rPr>
              <w:t>PARITAPREVIR/RITONAVIR/OMBITASVIR</w:t>
            </w:r>
          </w:p>
          <w:p w:rsidR="00ED3017" w:rsidRPr="006F393A" w:rsidRDefault="00ED3017" w:rsidP="007E6B69">
            <w:pPr>
              <w:rPr>
                <w:sz w:val="20"/>
              </w:rPr>
            </w:pPr>
            <w:r w:rsidRPr="006F393A">
              <w:rPr>
                <w:sz w:val="20"/>
              </w:rPr>
              <w:t>Tablet 75mg/50mg/12.5mg</w:t>
            </w:r>
          </w:p>
          <w:p w:rsidR="00ED3017" w:rsidRPr="006F393A" w:rsidRDefault="00ED3017" w:rsidP="007E6B69">
            <w:pPr>
              <w:rPr>
                <w:smallCaps/>
                <w:sz w:val="20"/>
              </w:rPr>
            </w:pPr>
            <w:r w:rsidRPr="006F393A">
              <w:rPr>
                <w:smallCaps/>
                <w:sz w:val="20"/>
              </w:rPr>
              <w:t>DASABUVIR</w:t>
            </w:r>
          </w:p>
          <w:p w:rsidR="00ED3017" w:rsidRPr="006F393A" w:rsidRDefault="00ED3017" w:rsidP="007E6B69">
            <w:pPr>
              <w:rPr>
                <w:sz w:val="20"/>
              </w:rPr>
            </w:pPr>
            <w:r w:rsidRPr="006F393A">
              <w:rPr>
                <w:sz w:val="20"/>
              </w:rPr>
              <w:t>Tablet 250mg</w:t>
            </w:r>
          </w:p>
          <w:p w:rsidR="00ED3017" w:rsidRPr="006F393A" w:rsidRDefault="00ED3017" w:rsidP="007E6B69">
            <w:pPr>
              <w:rPr>
                <w:smallCaps/>
                <w:sz w:val="20"/>
              </w:rPr>
            </w:pPr>
            <w:r w:rsidRPr="006F393A">
              <w:rPr>
                <w:smallCaps/>
                <w:sz w:val="20"/>
              </w:rPr>
              <w:t>RIBAVIRIN</w:t>
            </w:r>
          </w:p>
          <w:p w:rsidR="00ED3017" w:rsidRPr="006F393A" w:rsidRDefault="00ED3017" w:rsidP="007E6B69">
            <w:pPr>
              <w:rPr>
                <w:sz w:val="20"/>
              </w:rPr>
            </w:pPr>
            <w:r w:rsidRPr="006F393A">
              <w:rPr>
                <w:sz w:val="20"/>
              </w:rPr>
              <w:t>Tablet 200mg</w:t>
            </w:r>
          </w:p>
          <w:p w:rsidR="00ED3017" w:rsidRPr="006F393A" w:rsidRDefault="00ED3017" w:rsidP="007E6B69">
            <w:pPr>
              <w:rPr>
                <w:smallCaps/>
                <w:sz w:val="20"/>
              </w:rPr>
            </w:pPr>
          </w:p>
        </w:tc>
        <w:tc>
          <w:tcPr>
            <w:tcW w:w="296" w:type="pct"/>
            <w:vAlign w:val="center"/>
          </w:tcPr>
          <w:p w:rsidR="00ED3017" w:rsidRPr="006F393A" w:rsidRDefault="00ED3017" w:rsidP="007E6B69">
            <w:pPr>
              <w:jc w:val="center"/>
              <w:rPr>
                <w:sz w:val="20"/>
              </w:rPr>
            </w:pPr>
            <w:r w:rsidRPr="006F393A">
              <w:rPr>
                <w:sz w:val="20"/>
              </w:rPr>
              <w:t>56</w:t>
            </w:r>
          </w:p>
          <w:p w:rsidR="00ED3017" w:rsidRPr="006F393A" w:rsidRDefault="00ED3017" w:rsidP="007E6B69">
            <w:pPr>
              <w:jc w:val="center"/>
              <w:rPr>
                <w:sz w:val="20"/>
              </w:rPr>
            </w:pPr>
          </w:p>
          <w:p w:rsidR="00ED3017" w:rsidRPr="006F393A" w:rsidRDefault="00ED3017" w:rsidP="007E6B69">
            <w:pPr>
              <w:jc w:val="center"/>
              <w:rPr>
                <w:sz w:val="20"/>
              </w:rPr>
            </w:pPr>
            <w:r w:rsidRPr="006F393A">
              <w:rPr>
                <w:sz w:val="20"/>
              </w:rPr>
              <w:t>56</w:t>
            </w:r>
          </w:p>
          <w:p w:rsidR="00ED3017" w:rsidRPr="006F393A" w:rsidRDefault="00ED3017" w:rsidP="007E6B69">
            <w:pPr>
              <w:jc w:val="center"/>
              <w:rPr>
                <w:sz w:val="20"/>
              </w:rPr>
            </w:pPr>
          </w:p>
          <w:p w:rsidR="00ED3017" w:rsidRPr="006F393A" w:rsidRDefault="00ED3017" w:rsidP="007E6B69">
            <w:pPr>
              <w:jc w:val="center"/>
              <w:rPr>
                <w:sz w:val="20"/>
              </w:rPr>
            </w:pPr>
            <w:r w:rsidRPr="006F393A">
              <w:rPr>
                <w:sz w:val="20"/>
              </w:rPr>
              <w:t>168</w:t>
            </w:r>
          </w:p>
        </w:tc>
        <w:tc>
          <w:tcPr>
            <w:tcW w:w="382" w:type="pct"/>
            <w:vAlign w:val="center"/>
          </w:tcPr>
          <w:p w:rsidR="00ED3017" w:rsidRPr="006F393A" w:rsidRDefault="00ED3017" w:rsidP="007E6B69">
            <w:pPr>
              <w:jc w:val="center"/>
              <w:rPr>
                <w:sz w:val="20"/>
              </w:rPr>
            </w:pPr>
            <w:r w:rsidRPr="006F393A">
              <w:rPr>
                <w:sz w:val="20"/>
              </w:rPr>
              <w:t>5</w:t>
            </w:r>
          </w:p>
        </w:tc>
        <w:tc>
          <w:tcPr>
            <w:tcW w:w="787" w:type="pct"/>
            <w:vAlign w:val="center"/>
          </w:tcPr>
          <w:p w:rsidR="00ED3017" w:rsidRPr="0060604A" w:rsidRDefault="00ED3017" w:rsidP="007E6B69">
            <w:pPr>
              <w:jc w:val="center"/>
              <w:rPr>
                <w:sz w:val="20"/>
              </w:rPr>
            </w:pPr>
            <w:r w:rsidRPr="0060604A">
              <w:rPr>
                <w:sz w:val="20"/>
              </w:rPr>
              <w:t>$</w:t>
            </w:r>
            <w:r w:rsidR="00C87712">
              <w:rPr>
                <w:noProof/>
                <w:color w:val="000000"/>
                <w:sz w:val="20"/>
                <w:highlight w:val="black"/>
              </w:rPr>
              <w:t>'''''''''''''''</w:t>
            </w:r>
          </w:p>
        </w:tc>
        <w:tc>
          <w:tcPr>
            <w:tcW w:w="399" w:type="pct"/>
            <w:vAlign w:val="center"/>
          </w:tcPr>
          <w:p w:rsidR="00ED3017" w:rsidRPr="006F393A" w:rsidRDefault="00ED3017" w:rsidP="007E6B69">
            <w:pPr>
              <w:jc w:val="center"/>
              <w:rPr>
                <w:sz w:val="20"/>
              </w:rPr>
            </w:pPr>
            <w:proofErr w:type="spellStart"/>
            <w:r w:rsidRPr="006F393A">
              <w:rPr>
                <w:sz w:val="20"/>
              </w:rPr>
              <w:t>Viekira</w:t>
            </w:r>
            <w:proofErr w:type="spellEnd"/>
            <w:r w:rsidRPr="006F393A">
              <w:rPr>
                <w:sz w:val="20"/>
              </w:rPr>
              <w:t xml:space="preserve"> PAK-RBV</w:t>
            </w:r>
            <w:r w:rsidRPr="006F393A">
              <w:rPr>
                <w:sz w:val="20"/>
                <w:vertAlign w:val="superscript"/>
              </w:rPr>
              <w:t>®</w:t>
            </w:r>
          </w:p>
        </w:tc>
        <w:tc>
          <w:tcPr>
            <w:tcW w:w="769" w:type="pct"/>
            <w:vAlign w:val="center"/>
          </w:tcPr>
          <w:p w:rsidR="00ED3017" w:rsidRPr="006F393A" w:rsidRDefault="00ED3017" w:rsidP="007E6B69">
            <w:pPr>
              <w:jc w:val="center"/>
              <w:rPr>
                <w:sz w:val="20"/>
              </w:rPr>
            </w:pPr>
            <w:proofErr w:type="spellStart"/>
            <w:r w:rsidRPr="006F393A">
              <w:rPr>
                <w:sz w:val="20"/>
              </w:rPr>
              <w:t>Abbvie</w:t>
            </w:r>
            <w:proofErr w:type="spellEnd"/>
            <w:r w:rsidRPr="006F393A">
              <w:rPr>
                <w:sz w:val="20"/>
              </w:rPr>
              <w:t xml:space="preserve"> Pty Ltd</w:t>
            </w:r>
          </w:p>
        </w:tc>
      </w:tr>
      <w:tr w:rsidR="00ED3017" w:rsidRPr="006F393A" w:rsidTr="007E6B69">
        <w:trPr>
          <w:trHeight w:val="567"/>
        </w:trPr>
        <w:tc>
          <w:tcPr>
            <w:tcW w:w="2366" w:type="pct"/>
            <w:vAlign w:val="center"/>
          </w:tcPr>
          <w:p w:rsidR="00ED3017" w:rsidRPr="006F393A" w:rsidRDefault="00ED3017" w:rsidP="007E6B69">
            <w:pPr>
              <w:rPr>
                <w:smallCaps/>
                <w:sz w:val="20"/>
              </w:rPr>
            </w:pPr>
            <w:r w:rsidRPr="006F393A">
              <w:rPr>
                <w:smallCaps/>
                <w:sz w:val="20"/>
              </w:rPr>
              <w:t>PARITAPREVIR/RITONAVIR/OMBITASVIR</w:t>
            </w:r>
          </w:p>
          <w:p w:rsidR="00ED3017" w:rsidRPr="006F393A" w:rsidRDefault="00ED3017" w:rsidP="007E6B69">
            <w:pPr>
              <w:rPr>
                <w:sz w:val="20"/>
              </w:rPr>
            </w:pPr>
            <w:r w:rsidRPr="006F393A">
              <w:rPr>
                <w:sz w:val="20"/>
              </w:rPr>
              <w:t>Tablet 75mg/50mg/12.5mg</w:t>
            </w:r>
          </w:p>
          <w:p w:rsidR="00ED3017" w:rsidRPr="006F393A" w:rsidRDefault="00ED3017" w:rsidP="007E6B69">
            <w:pPr>
              <w:rPr>
                <w:smallCaps/>
                <w:sz w:val="20"/>
              </w:rPr>
            </w:pPr>
            <w:r w:rsidRPr="006F393A">
              <w:rPr>
                <w:smallCaps/>
                <w:sz w:val="20"/>
              </w:rPr>
              <w:lastRenderedPageBreak/>
              <w:t>DASABUVIR</w:t>
            </w:r>
          </w:p>
          <w:p w:rsidR="00ED3017" w:rsidRPr="006F393A" w:rsidRDefault="00ED3017" w:rsidP="007E6B69">
            <w:pPr>
              <w:rPr>
                <w:sz w:val="20"/>
              </w:rPr>
            </w:pPr>
            <w:r w:rsidRPr="006F393A">
              <w:rPr>
                <w:sz w:val="20"/>
              </w:rPr>
              <w:t>Tablet 250mg</w:t>
            </w:r>
          </w:p>
          <w:p w:rsidR="00ED3017" w:rsidRPr="006F393A" w:rsidRDefault="00ED3017" w:rsidP="007E6B69">
            <w:pPr>
              <w:rPr>
                <w:smallCaps/>
                <w:sz w:val="20"/>
              </w:rPr>
            </w:pPr>
            <w:r w:rsidRPr="006F393A">
              <w:rPr>
                <w:smallCaps/>
                <w:sz w:val="20"/>
              </w:rPr>
              <w:t>RIBAVIRIN</w:t>
            </w:r>
          </w:p>
          <w:p w:rsidR="00ED3017" w:rsidRPr="006F393A" w:rsidRDefault="00ED3017" w:rsidP="007E6B69">
            <w:pPr>
              <w:rPr>
                <w:sz w:val="20"/>
              </w:rPr>
            </w:pPr>
            <w:r w:rsidRPr="006F393A">
              <w:rPr>
                <w:sz w:val="20"/>
              </w:rPr>
              <w:t>Tablet 600mg</w:t>
            </w:r>
          </w:p>
          <w:p w:rsidR="00ED3017" w:rsidRPr="006F393A" w:rsidRDefault="00ED3017" w:rsidP="007E6B69">
            <w:pPr>
              <w:rPr>
                <w:smallCaps/>
                <w:sz w:val="20"/>
              </w:rPr>
            </w:pPr>
          </w:p>
        </w:tc>
        <w:tc>
          <w:tcPr>
            <w:tcW w:w="296" w:type="pct"/>
            <w:vAlign w:val="center"/>
          </w:tcPr>
          <w:p w:rsidR="00ED3017" w:rsidRPr="006F393A" w:rsidRDefault="00ED3017" w:rsidP="007E6B69">
            <w:pPr>
              <w:jc w:val="center"/>
              <w:rPr>
                <w:sz w:val="20"/>
              </w:rPr>
            </w:pPr>
            <w:r w:rsidRPr="006F393A">
              <w:rPr>
                <w:sz w:val="20"/>
              </w:rPr>
              <w:lastRenderedPageBreak/>
              <w:t>56</w:t>
            </w:r>
          </w:p>
          <w:p w:rsidR="00ED3017" w:rsidRPr="006F393A" w:rsidRDefault="00ED3017" w:rsidP="007E6B69">
            <w:pPr>
              <w:jc w:val="center"/>
              <w:rPr>
                <w:sz w:val="20"/>
              </w:rPr>
            </w:pPr>
          </w:p>
          <w:p w:rsidR="00ED3017" w:rsidRPr="006F393A" w:rsidRDefault="00ED3017" w:rsidP="007E6B69">
            <w:pPr>
              <w:jc w:val="center"/>
              <w:rPr>
                <w:sz w:val="20"/>
              </w:rPr>
            </w:pPr>
            <w:r w:rsidRPr="006F393A">
              <w:rPr>
                <w:sz w:val="20"/>
              </w:rPr>
              <w:lastRenderedPageBreak/>
              <w:t>56</w:t>
            </w:r>
          </w:p>
          <w:p w:rsidR="00ED3017" w:rsidRPr="006F393A" w:rsidRDefault="00ED3017" w:rsidP="007E6B69">
            <w:pPr>
              <w:jc w:val="center"/>
              <w:rPr>
                <w:sz w:val="20"/>
              </w:rPr>
            </w:pPr>
          </w:p>
          <w:p w:rsidR="00ED3017" w:rsidRPr="006F393A" w:rsidRDefault="00ED3017" w:rsidP="007E6B69">
            <w:pPr>
              <w:jc w:val="center"/>
              <w:rPr>
                <w:sz w:val="20"/>
              </w:rPr>
            </w:pPr>
            <w:r w:rsidRPr="006F393A">
              <w:rPr>
                <w:sz w:val="20"/>
              </w:rPr>
              <w:t>56</w:t>
            </w:r>
          </w:p>
        </w:tc>
        <w:tc>
          <w:tcPr>
            <w:tcW w:w="382" w:type="pct"/>
            <w:vAlign w:val="center"/>
          </w:tcPr>
          <w:p w:rsidR="00ED3017" w:rsidRPr="006F393A" w:rsidRDefault="00ED3017" w:rsidP="007E6B69">
            <w:pPr>
              <w:jc w:val="center"/>
              <w:rPr>
                <w:sz w:val="20"/>
              </w:rPr>
            </w:pPr>
            <w:r w:rsidRPr="006F393A">
              <w:rPr>
                <w:sz w:val="20"/>
              </w:rPr>
              <w:lastRenderedPageBreak/>
              <w:t>5</w:t>
            </w:r>
          </w:p>
        </w:tc>
        <w:tc>
          <w:tcPr>
            <w:tcW w:w="787" w:type="pct"/>
            <w:vAlign w:val="center"/>
          </w:tcPr>
          <w:p w:rsidR="00ED3017" w:rsidRPr="0060604A" w:rsidRDefault="00ED3017" w:rsidP="007E6B69">
            <w:pPr>
              <w:jc w:val="center"/>
              <w:rPr>
                <w:sz w:val="20"/>
              </w:rPr>
            </w:pPr>
            <w:r w:rsidRPr="0060604A">
              <w:rPr>
                <w:sz w:val="20"/>
              </w:rPr>
              <w:t>$</w:t>
            </w:r>
            <w:r w:rsidR="00C87712">
              <w:rPr>
                <w:noProof/>
                <w:color w:val="000000"/>
                <w:sz w:val="20"/>
                <w:highlight w:val="black"/>
              </w:rPr>
              <w:t>''''''''''''''''</w:t>
            </w:r>
          </w:p>
        </w:tc>
        <w:tc>
          <w:tcPr>
            <w:tcW w:w="399" w:type="pct"/>
            <w:vAlign w:val="center"/>
          </w:tcPr>
          <w:p w:rsidR="00ED3017" w:rsidRPr="006F393A" w:rsidRDefault="00ED3017" w:rsidP="007E6B69">
            <w:pPr>
              <w:jc w:val="center"/>
              <w:rPr>
                <w:sz w:val="20"/>
              </w:rPr>
            </w:pPr>
            <w:proofErr w:type="spellStart"/>
            <w:r w:rsidRPr="006F393A">
              <w:rPr>
                <w:sz w:val="20"/>
              </w:rPr>
              <w:t>Viekira</w:t>
            </w:r>
            <w:proofErr w:type="spellEnd"/>
            <w:r w:rsidRPr="006F393A">
              <w:rPr>
                <w:sz w:val="20"/>
              </w:rPr>
              <w:t xml:space="preserve"> PAK-</w:t>
            </w:r>
            <w:r w:rsidRPr="006F393A">
              <w:rPr>
                <w:sz w:val="20"/>
              </w:rPr>
              <w:lastRenderedPageBreak/>
              <w:t>RBV</w:t>
            </w:r>
            <w:r w:rsidRPr="006F393A">
              <w:rPr>
                <w:sz w:val="20"/>
                <w:vertAlign w:val="superscript"/>
              </w:rPr>
              <w:t>®</w:t>
            </w:r>
          </w:p>
        </w:tc>
        <w:tc>
          <w:tcPr>
            <w:tcW w:w="769" w:type="pct"/>
            <w:vAlign w:val="center"/>
          </w:tcPr>
          <w:p w:rsidR="00ED3017" w:rsidRPr="006F393A" w:rsidRDefault="00ED3017" w:rsidP="007E6B69">
            <w:pPr>
              <w:jc w:val="center"/>
              <w:rPr>
                <w:sz w:val="20"/>
              </w:rPr>
            </w:pPr>
            <w:proofErr w:type="spellStart"/>
            <w:r w:rsidRPr="006F393A">
              <w:rPr>
                <w:sz w:val="20"/>
              </w:rPr>
              <w:lastRenderedPageBreak/>
              <w:t>Abbvie</w:t>
            </w:r>
            <w:proofErr w:type="spellEnd"/>
            <w:r w:rsidRPr="006F393A">
              <w:rPr>
                <w:sz w:val="20"/>
              </w:rPr>
              <w:t xml:space="preserve"> Pty Ltd</w:t>
            </w:r>
          </w:p>
        </w:tc>
      </w:tr>
      <w:tr w:rsidR="00ED3017" w:rsidRPr="006F393A" w:rsidTr="007E6B69">
        <w:trPr>
          <w:trHeight w:val="354"/>
        </w:trPr>
        <w:tc>
          <w:tcPr>
            <w:tcW w:w="5000" w:type="pct"/>
            <w:gridSpan w:val="6"/>
            <w:vAlign w:val="center"/>
          </w:tcPr>
          <w:p w:rsidR="00ED3017" w:rsidRPr="006F393A" w:rsidRDefault="00ED3017" w:rsidP="007E6B69">
            <w:pPr>
              <w:jc w:val="left"/>
              <w:rPr>
                <w:b/>
                <w:sz w:val="20"/>
                <w:u w:val="single"/>
              </w:rPr>
            </w:pPr>
            <w:r w:rsidRPr="006F393A">
              <w:rPr>
                <w:b/>
                <w:sz w:val="20"/>
                <w:u w:val="single"/>
              </w:rPr>
              <w:lastRenderedPageBreak/>
              <w:t>Section 85 Authority required (STREAMLINED)</w:t>
            </w:r>
          </w:p>
          <w:tbl>
            <w:tblPr>
              <w:tblW w:w="8287" w:type="dxa"/>
              <w:tblBorders>
                <w:top w:val="single" w:sz="8" w:space="0" w:color="000000"/>
                <w:left w:val="single" w:sz="8" w:space="0" w:color="000000"/>
                <w:bottom w:val="single" w:sz="8" w:space="0" w:color="000000"/>
                <w:right w:val="single" w:sz="8" w:space="0" w:color="000000"/>
                <w:insideV w:val="single" w:sz="8" w:space="0" w:color="000000"/>
              </w:tblBorders>
              <w:tblCellMar>
                <w:left w:w="0" w:type="dxa"/>
                <w:right w:w="0" w:type="dxa"/>
              </w:tblCellMar>
              <w:tblLook w:val="04A0" w:firstRow="1" w:lastRow="0" w:firstColumn="1" w:lastColumn="0" w:noHBand="0" w:noVBand="1"/>
            </w:tblPr>
            <w:tblGrid>
              <w:gridCol w:w="2146"/>
              <w:gridCol w:w="6141"/>
            </w:tblGrid>
            <w:tr w:rsidR="00ED3017" w:rsidRPr="006F393A" w:rsidTr="00ED3017">
              <w:trPr>
                <w:trHeight w:val="28"/>
              </w:trPr>
              <w:tc>
                <w:tcPr>
                  <w:tcW w:w="5000" w:type="pct"/>
                  <w:gridSpan w:val="2"/>
                  <w:tcBorders>
                    <w:top w:val="single" w:sz="8" w:space="0" w:color="000000"/>
                    <w:bottom w:val="single" w:sz="8" w:space="0" w:color="000000"/>
                  </w:tcBorders>
                  <w:shd w:val="clear" w:color="auto" w:fill="FFFFFF" w:themeFill="background1"/>
                  <w:tcMar>
                    <w:top w:w="72" w:type="dxa"/>
                    <w:left w:w="144" w:type="dxa"/>
                    <w:bottom w:w="72" w:type="dxa"/>
                    <w:right w:w="144" w:type="dxa"/>
                  </w:tcMar>
                </w:tcPr>
                <w:p w:rsidR="00ED3017" w:rsidRPr="006F393A" w:rsidRDefault="00ED3017" w:rsidP="007E6B69">
                  <w:pPr>
                    <w:pStyle w:val="TableText0"/>
                    <w:keepNext w:val="0"/>
                    <w:widowControl w:val="0"/>
                    <w:spacing w:before="0" w:after="0"/>
                    <w:rPr>
                      <w:rFonts w:eastAsia="Calibri" w:cs="Arial"/>
                      <w:b/>
                    </w:rPr>
                  </w:pPr>
                  <w:r w:rsidRPr="006F393A">
                    <w:rPr>
                      <w:rStyle w:val="StyleCalibri"/>
                      <w:rFonts w:ascii="Arial Narrow" w:hAnsi="Arial Narrow"/>
                      <w:b/>
                      <w:sz w:val="20"/>
                    </w:rPr>
                    <w:t xml:space="preserve">Chronic Hepatitis C, Genotype 1b, without cirrhosis: </w:t>
                  </w:r>
                  <w:proofErr w:type="spellStart"/>
                  <w:r w:rsidRPr="006F393A">
                    <w:rPr>
                      <w:rStyle w:val="StyleCalibri"/>
                      <w:rFonts w:ascii="Arial Narrow" w:hAnsi="Arial Narrow"/>
                      <w:b/>
                      <w:sz w:val="20"/>
                    </w:rPr>
                    <w:t>Viekira</w:t>
                  </w:r>
                  <w:proofErr w:type="spellEnd"/>
                  <w:r w:rsidRPr="006F393A">
                    <w:rPr>
                      <w:rStyle w:val="StyleCalibri"/>
                      <w:rFonts w:ascii="Arial Narrow" w:hAnsi="Arial Narrow"/>
                      <w:b/>
                      <w:sz w:val="20"/>
                    </w:rPr>
                    <w:t xml:space="preserve"> PAK 12 weeks</w:t>
                  </w:r>
                </w:p>
              </w:tc>
            </w:tr>
            <w:tr w:rsidR="00ED3017" w:rsidRPr="006F393A" w:rsidTr="00ED3017">
              <w:trPr>
                <w:trHeight w:val="425"/>
              </w:trPr>
              <w:tc>
                <w:tcPr>
                  <w:tcW w:w="1295" w:type="pct"/>
                  <w:tcBorders>
                    <w:top w:val="single" w:sz="8" w:space="0" w:color="000000"/>
                    <w:bottom w:val="single" w:sz="8" w:space="0" w:color="000000"/>
                  </w:tcBorders>
                  <w:tcMar>
                    <w:top w:w="72" w:type="dxa"/>
                    <w:left w:w="144" w:type="dxa"/>
                    <w:bottom w:w="72" w:type="dxa"/>
                    <w:right w:w="144" w:type="dxa"/>
                  </w:tcMar>
                  <w:vAlign w:val="center"/>
                </w:tcPr>
                <w:p w:rsidR="00ED3017" w:rsidRPr="006F393A" w:rsidRDefault="00ED3017" w:rsidP="007E6B69">
                  <w:pPr>
                    <w:pStyle w:val="TableText0"/>
                    <w:keepNext w:val="0"/>
                    <w:widowControl w:val="0"/>
                    <w:spacing w:before="0" w:after="0"/>
                    <w:rPr>
                      <w:rFonts w:cs="Arial"/>
                      <w:color w:val="000000"/>
                    </w:rPr>
                  </w:pPr>
                  <w:r w:rsidRPr="006F393A">
                    <w:rPr>
                      <w:rFonts w:cs="Arial"/>
                      <w:color w:val="000000"/>
                    </w:rPr>
                    <w:t>Clinical criteria</w:t>
                  </w:r>
                </w:p>
              </w:tc>
              <w:tc>
                <w:tcPr>
                  <w:tcW w:w="3705" w:type="pct"/>
                  <w:tcBorders>
                    <w:top w:val="single" w:sz="8" w:space="0" w:color="000000"/>
                    <w:bottom w:val="single" w:sz="8" w:space="0" w:color="000000"/>
                  </w:tcBorders>
                  <w:tcMar>
                    <w:top w:w="72" w:type="dxa"/>
                    <w:left w:w="144" w:type="dxa"/>
                    <w:bottom w:w="72" w:type="dxa"/>
                    <w:right w:w="144" w:type="dxa"/>
                  </w:tcMar>
                  <w:vAlign w:val="center"/>
                </w:tcPr>
                <w:p w:rsidR="00ED3017" w:rsidRPr="006F393A" w:rsidRDefault="00ED3017" w:rsidP="007E6B69">
                  <w:pPr>
                    <w:pStyle w:val="TableText0"/>
                    <w:keepNext w:val="0"/>
                    <w:widowControl w:val="0"/>
                    <w:spacing w:before="0" w:after="0"/>
                    <w:rPr>
                      <w:rFonts w:eastAsia="Calibri" w:cs="Arial"/>
                    </w:rPr>
                  </w:pPr>
                  <w:r w:rsidRPr="006F393A">
                    <w:rPr>
                      <w:rFonts w:eastAsia="Calibri" w:cs="Arial"/>
                    </w:rPr>
                    <w:t>Patient must have compensated disease;</w:t>
                  </w:r>
                </w:p>
                <w:p w:rsidR="00ED3017" w:rsidRPr="006F393A" w:rsidRDefault="00ED3017" w:rsidP="007E6B69">
                  <w:pPr>
                    <w:pStyle w:val="TableText0"/>
                    <w:keepNext w:val="0"/>
                    <w:widowControl w:val="0"/>
                    <w:spacing w:before="0" w:after="0"/>
                    <w:rPr>
                      <w:rFonts w:eastAsia="Calibri" w:cs="Arial"/>
                    </w:rPr>
                  </w:pPr>
                  <w:r w:rsidRPr="006F393A">
                    <w:rPr>
                      <w:rFonts w:eastAsia="Calibri" w:cs="Arial"/>
                    </w:rPr>
                    <w:t>Patient must not have cirrhosis;</w:t>
                  </w:r>
                </w:p>
                <w:p w:rsidR="00ED3017" w:rsidRPr="006F393A" w:rsidRDefault="00ED3017" w:rsidP="007E6B69">
                  <w:pPr>
                    <w:pStyle w:val="TableText0"/>
                    <w:keepNext w:val="0"/>
                    <w:widowControl w:val="0"/>
                    <w:spacing w:before="0" w:after="0"/>
                    <w:rPr>
                      <w:rFonts w:eastAsia="Calibri" w:cs="Arial"/>
                    </w:rPr>
                  </w:pPr>
                  <w:r w:rsidRPr="006F393A">
                    <w:rPr>
                      <w:rFonts w:eastAsia="Calibri" w:cs="Arial"/>
                    </w:rPr>
                    <w:t>The treatment must be limited to a maximum duration of 12 weeks.</w:t>
                  </w:r>
                </w:p>
              </w:tc>
            </w:tr>
            <w:tr w:rsidR="00ED3017" w:rsidRPr="006F393A" w:rsidTr="00ED3017">
              <w:trPr>
                <w:trHeight w:val="19"/>
              </w:trPr>
              <w:tc>
                <w:tcPr>
                  <w:tcW w:w="1295" w:type="pct"/>
                  <w:tcBorders>
                    <w:top w:val="single" w:sz="8" w:space="0" w:color="000000"/>
                    <w:bottom w:val="single" w:sz="8" w:space="0" w:color="000000"/>
                  </w:tcBorders>
                  <w:tcMar>
                    <w:top w:w="72" w:type="dxa"/>
                    <w:left w:w="144" w:type="dxa"/>
                    <w:bottom w:w="72" w:type="dxa"/>
                    <w:right w:w="144" w:type="dxa"/>
                  </w:tcMar>
                  <w:vAlign w:val="center"/>
                </w:tcPr>
                <w:p w:rsidR="00ED3017" w:rsidRPr="006F393A" w:rsidRDefault="00ED3017" w:rsidP="007E6B69">
                  <w:pPr>
                    <w:pStyle w:val="TableText0"/>
                    <w:keepNext w:val="0"/>
                    <w:widowControl w:val="0"/>
                    <w:spacing w:before="0" w:after="0"/>
                    <w:rPr>
                      <w:rFonts w:eastAsia="Calibri" w:cs="Arial"/>
                    </w:rPr>
                  </w:pPr>
                  <w:r w:rsidRPr="006F393A">
                    <w:rPr>
                      <w:rFonts w:eastAsia="Calibri" w:cs="Arial"/>
                    </w:rPr>
                    <w:t>Population criteria</w:t>
                  </w:r>
                </w:p>
              </w:tc>
              <w:tc>
                <w:tcPr>
                  <w:tcW w:w="3705" w:type="pct"/>
                  <w:tcBorders>
                    <w:top w:val="single" w:sz="8" w:space="0" w:color="000000"/>
                    <w:bottom w:val="single" w:sz="8" w:space="0" w:color="000000"/>
                  </w:tcBorders>
                  <w:tcMar>
                    <w:top w:w="72" w:type="dxa"/>
                    <w:left w:w="144" w:type="dxa"/>
                    <w:bottom w:w="72" w:type="dxa"/>
                    <w:right w:w="144" w:type="dxa"/>
                  </w:tcMar>
                  <w:vAlign w:val="center"/>
                </w:tcPr>
                <w:p w:rsidR="00ED3017" w:rsidRPr="006F393A" w:rsidRDefault="00ED3017" w:rsidP="007E6B69">
                  <w:pPr>
                    <w:pStyle w:val="TableText0"/>
                    <w:keepNext w:val="0"/>
                    <w:widowControl w:val="0"/>
                    <w:spacing w:before="0" w:after="0"/>
                    <w:rPr>
                      <w:rFonts w:cs="Arial"/>
                      <w:color w:val="000000"/>
                    </w:rPr>
                  </w:pPr>
                  <w:r w:rsidRPr="006F393A">
                    <w:rPr>
                      <w:rFonts w:cs="Arial"/>
                      <w:color w:val="000000"/>
                    </w:rPr>
                    <w:t>Patient must be 18 years or older;</w:t>
                  </w:r>
                </w:p>
              </w:tc>
            </w:tr>
            <w:tr w:rsidR="00ED3017" w:rsidRPr="006F393A" w:rsidTr="00ED3017">
              <w:trPr>
                <w:trHeight w:val="276"/>
              </w:trPr>
              <w:tc>
                <w:tcPr>
                  <w:tcW w:w="1295" w:type="pct"/>
                  <w:tcBorders>
                    <w:top w:val="single" w:sz="8" w:space="0" w:color="000000"/>
                    <w:bottom w:val="single" w:sz="8" w:space="0" w:color="000000"/>
                  </w:tcBorders>
                  <w:tcMar>
                    <w:top w:w="72" w:type="dxa"/>
                    <w:left w:w="144" w:type="dxa"/>
                    <w:bottom w:w="72" w:type="dxa"/>
                    <w:right w:w="144" w:type="dxa"/>
                  </w:tcMar>
                  <w:vAlign w:val="center"/>
                </w:tcPr>
                <w:p w:rsidR="00ED3017" w:rsidRPr="006F393A" w:rsidRDefault="00ED3017" w:rsidP="007E6B69">
                  <w:pPr>
                    <w:pStyle w:val="TableText0"/>
                    <w:keepNext w:val="0"/>
                    <w:widowControl w:val="0"/>
                    <w:spacing w:before="0" w:after="0"/>
                    <w:rPr>
                      <w:rFonts w:cs="Arial"/>
                      <w:color w:val="000000"/>
                    </w:rPr>
                  </w:pPr>
                  <w:r w:rsidRPr="006F393A">
                    <w:rPr>
                      <w:rFonts w:cs="Arial"/>
                      <w:color w:val="000000"/>
                    </w:rPr>
                    <w:t>Treatment Criteria:</w:t>
                  </w:r>
                </w:p>
              </w:tc>
              <w:tc>
                <w:tcPr>
                  <w:tcW w:w="3705" w:type="pct"/>
                  <w:tcBorders>
                    <w:top w:val="single" w:sz="8" w:space="0" w:color="000000"/>
                    <w:bottom w:val="single" w:sz="8" w:space="0" w:color="000000"/>
                  </w:tcBorders>
                  <w:tcMar>
                    <w:top w:w="72" w:type="dxa"/>
                    <w:left w:w="144" w:type="dxa"/>
                    <w:bottom w:w="72" w:type="dxa"/>
                    <w:right w:w="144" w:type="dxa"/>
                  </w:tcMar>
                  <w:vAlign w:val="center"/>
                </w:tcPr>
                <w:p w:rsidR="00ED3017" w:rsidRPr="006F393A" w:rsidRDefault="00ED3017" w:rsidP="007E6B69">
                  <w:pPr>
                    <w:pStyle w:val="TableText0"/>
                    <w:keepNext w:val="0"/>
                    <w:widowControl w:val="0"/>
                    <w:spacing w:after="0"/>
                    <w:rPr>
                      <w:rFonts w:eastAsia="Calibri" w:cs="Arial"/>
                    </w:rPr>
                  </w:pPr>
                  <w:r w:rsidRPr="006F393A">
                    <w:rPr>
                      <w:rFonts w:eastAsia="Calibri" w:cs="Arial"/>
                    </w:rPr>
                    <w:t>Must be treated in an accredited treatment centre;</w:t>
                  </w:r>
                </w:p>
                <w:p w:rsidR="00ED3017" w:rsidRPr="006F393A" w:rsidRDefault="00ED3017" w:rsidP="007E6B69">
                  <w:pPr>
                    <w:pStyle w:val="TableText0"/>
                    <w:keepNext w:val="0"/>
                    <w:widowControl w:val="0"/>
                    <w:spacing w:before="0" w:after="0"/>
                    <w:rPr>
                      <w:rFonts w:eastAsia="Calibri" w:cs="Arial"/>
                    </w:rPr>
                  </w:pPr>
                  <w:r w:rsidRPr="006F393A">
                    <w:rPr>
                      <w:rFonts w:eastAsia="Calibri" w:cs="Arial"/>
                    </w:rPr>
                    <w:t>Evidence of chronic genotype 1b infection (repeatedly anti-HCV positive and HCV RNA positive) must be documented in the patient’s medical records.</w:t>
                  </w:r>
                </w:p>
              </w:tc>
            </w:tr>
            <w:tr w:rsidR="00ED3017" w:rsidRPr="006F393A" w:rsidTr="00ED3017">
              <w:trPr>
                <w:trHeight w:val="28"/>
              </w:trPr>
              <w:tc>
                <w:tcPr>
                  <w:tcW w:w="5000" w:type="pct"/>
                  <w:gridSpan w:val="2"/>
                  <w:tcBorders>
                    <w:top w:val="single" w:sz="8" w:space="0" w:color="000000"/>
                    <w:bottom w:val="single" w:sz="8" w:space="0" w:color="000000"/>
                  </w:tcBorders>
                  <w:shd w:val="clear" w:color="auto" w:fill="FFFFFF" w:themeFill="background1"/>
                  <w:tcMar>
                    <w:top w:w="72" w:type="dxa"/>
                    <w:left w:w="144" w:type="dxa"/>
                    <w:bottom w:w="72" w:type="dxa"/>
                    <w:right w:w="144" w:type="dxa"/>
                  </w:tcMar>
                </w:tcPr>
                <w:p w:rsidR="00ED3017" w:rsidRPr="006F393A" w:rsidRDefault="00ED3017" w:rsidP="007E6B69">
                  <w:pPr>
                    <w:pStyle w:val="TableText0"/>
                    <w:keepNext w:val="0"/>
                    <w:widowControl w:val="0"/>
                    <w:spacing w:before="0" w:after="0"/>
                    <w:rPr>
                      <w:rFonts w:eastAsia="Calibri" w:cs="Arial"/>
                      <w:b/>
                    </w:rPr>
                  </w:pPr>
                  <w:r w:rsidRPr="006F393A">
                    <w:rPr>
                      <w:rStyle w:val="StyleCalibri"/>
                      <w:rFonts w:ascii="Arial Narrow" w:hAnsi="Arial Narrow"/>
                      <w:b/>
                      <w:sz w:val="20"/>
                    </w:rPr>
                    <w:t xml:space="preserve">Chronic Hepatitis C, Genotype 1a, without cirrhosis, Genotype 1a and 1b with cirrhosis (except 1a patients will null response to prior treatment): </w:t>
                  </w:r>
                  <w:proofErr w:type="spellStart"/>
                  <w:r w:rsidRPr="006F393A">
                    <w:rPr>
                      <w:rStyle w:val="StyleCalibri"/>
                      <w:rFonts w:ascii="Arial Narrow" w:hAnsi="Arial Narrow"/>
                      <w:b/>
                      <w:sz w:val="20"/>
                    </w:rPr>
                    <w:t>Viekira</w:t>
                  </w:r>
                  <w:proofErr w:type="spellEnd"/>
                  <w:r w:rsidRPr="006F393A">
                    <w:rPr>
                      <w:rStyle w:val="StyleCalibri"/>
                      <w:rFonts w:ascii="Arial Narrow" w:hAnsi="Arial Narrow"/>
                      <w:b/>
                      <w:sz w:val="20"/>
                    </w:rPr>
                    <w:t xml:space="preserve"> PAK-RBV 12 weeks</w:t>
                  </w:r>
                </w:p>
              </w:tc>
            </w:tr>
            <w:tr w:rsidR="00ED3017" w:rsidRPr="006F393A" w:rsidTr="00ED3017">
              <w:trPr>
                <w:trHeight w:val="425"/>
              </w:trPr>
              <w:tc>
                <w:tcPr>
                  <w:tcW w:w="1295" w:type="pct"/>
                  <w:tcBorders>
                    <w:top w:val="single" w:sz="8" w:space="0" w:color="000000"/>
                    <w:bottom w:val="single" w:sz="8" w:space="0" w:color="000000"/>
                  </w:tcBorders>
                  <w:tcMar>
                    <w:top w:w="72" w:type="dxa"/>
                    <w:left w:w="144" w:type="dxa"/>
                    <w:bottom w:w="72" w:type="dxa"/>
                    <w:right w:w="144" w:type="dxa"/>
                  </w:tcMar>
                  <w:vAlign w:val="center"/>
                </w:tcPr>
                <w:p w:rsidR="00ED3017" w:rsidRPr="006F393A" w:rsidRDefault="00ED3017" w:rsidP="007E6B69">
                  <w:pPr>
                    <w:pStyle w:val="TableText0"/>
                    <w:keepNext w:val="0"/>
                    <w:widowControl w:val="0"/>
                    <w:spacing w:before="0" w:after="0"/>
                    <w:rPr>
                      <w:rFonts w:cs="Arial"/>
                      <w:color w:val="000000"/>
                    </w:rPr>
                  </w:pPr>
                  <w:r w:rsidRPr="006F393A">
                    <w:rPr>
                      <w:rFonts w:cs="Arial"/>
                      <w:color w:val="000000"/>
                    </w:rPr>
                    <w:t>Clinical criteria</w:t>
                  </w:r>
                </w:p>
              </w:tc>
              <w:tc>
                <w:tcPr>
                  <w:tcW w:w="3705" w:type="pct"/>
                  <w:tcBorders>
                    <w:top w:val="single" w:sz="8" w:space="0" w:color="000000"/>
                    <w:bottom w:val="single" w:sz="8" w:space="0" w:color="000000"/>
                  </w:tcBorders>
                  <w:tcMar>
                    <w:top w:w="72" w:type="dxa"/>
                    <w:left w:w="144" w:type="dxa"/>
                    <w:bottom w:w="72" w:type="dxa"/>
                    <w:right w:w="144" w:type="dxa"/>
                  </w:tcMar>
                  <w:vAlign w:val="center"/>
                </w:tcPr>
                <w:p w:rsidR="00ED3017" w:rsidRPr="006F393A" w:rsidRDefault="00ED3017" w:rsidP="007E6B69">
                  <w:pPr>
                    <w:pStyle w:val="TableText0"/>
                    <w:keepNext w:val="0"/>
                    <w:widowControl w:val="0"/>
                    <w:spacing w:after="0"/>
                    <w:rPr>
                      <w:rFonts w:eastAsia="Calibri" w:cs="Arial"/>
                    </w:rPr>
                  </w:pPr>
                  <w:r w:rsidRPr="006F393A">
                    <w:rPr>
                      <w:rFonts w:eastAsia="Calibri" w:cs="Arial"/>
                    </w:rPr>
                    <w:t>Patient must have compensated disease;</w:t>
                  </w:r>
                </w:p>
                <w:p w:rsidR="00ED3017" w:rsidRPr="006F393A" w:rsidRDefault="00ED3017" w:rsidP="007E6B69">
                  <w:pPr>
                    <w:pStyle w:val="TableText0"/>
                    <w:keepNext w:val="0"/>
                    <w:widowControl w:val="0"/>
                    <w:spacing w:after="0"/>
                    <w:rPr>
                      <w:rFonts w:eastAsia="Calibri" w:cs="Arial"/>
                    </w:rPr>
                  </w:pPr>
                  <w:r w:rsidRPr="006F393A">
                    <w:rPr>
                      <w:rFonts w:eastAsia="Calibri" w:cs="Arial"/>
                    </w:rPr>
                    <w:t>Patients with genotype 1a and compensated cirrhosis must be treatment naïve or if previously treated, had a partial response or relapse to prior therapy for GT1 CHC;</w:t>
                  </w:r>
                </w:p>
                <w:p w:rsidR="00ED3017" w:rsidRPr="006F393A" w:rsidRDefault="00ED3017" w:rsidP="007E6B69">
                  <w:pPr>
                    <w:pStyle w:val="TableText0"/>
                    <w:keepNext w:val="0"/>
                    <w:widowControl w:val="0"/>
                    <w:spacing w:after="0"/>
                    <w:rPr>
                      <w:rFonts w:eastAsia="Calibri" w:cs="Arial"/>
                    </w:rPr>
                  </w:pPr>
                  <w:r w:rsidRPr="006F393A">
                    <w:rPr>
                      <w:rFonts w:eastAsia="Calibri" w:cs="Arial"/>
                    </w:rPr>
                    <w:t>Patients with genotype 1b must have compensated cirrhosis;</w:t>
                  </w:r>
                </w:p>
                <w:p w:rsidR="00ED3017" w:rsidRPr="006F393A" w:rsidRDefault="00ED3017" w:rsidP="007E6B69">
                  <w:pPr>
                    <w:pStyle w:val="TableText0"/>
                    <w:keepNext w:val="0"/>
                    <w:widowControl w:val="0"/>
                    <w:spacing w:after="0"/>
                    <w:rPr>
                      <w:rFonts w:eastAsia="Calibri" w:cs="Arial"/>
                    </w:rPr>
                  </w:pPr>
                  <w:r w:rsidRPr="006F393A">
                    <w:rPr>
                      <w:rFonts w:eastAsia="Calibri" w:cs="Arial"/>
                    </w:rPr>
                    <w:t>The treatment must be limited to a maximum duration of 12 weeks;</w:t>
                  </w:r>
                </w:p>
                <w:p w:rsidR="00ED3017" w:rsidRPr="006F393A" w:rsidRDefault="00ED3017" w:rsidP="007E6B69">
                  <w:pPr>
                    <w:pStyle w:val="TableText0"/>
                    <w:keepNext w:val="0"/>
                    <w:widowControl w:val="0"/>
                    <w:spacing w:before="0" w:after="0"/>
                    <w:rPr>
                      <w:rFonts w:eastAsia="Calibri" w:cs="Arial"/>
                    </w:rPr>
                  </w:pPr>
                  <w:r w:rsidRPr="006F393A">
                    <w:rPr>
                      <w:rFonts w:eastAsia="Calibri" w:cs="Arial"/>
                    </w:rPr>
                    <w:t>The treatment must be in combination with ribavirin.</w:t>
                  </w:r>
                </w:p>
              </w:tc>
            </w:tr>
            <w:tr w:rsidR="00ED3017" w:rsidRPr="006F393A" w:rsidTr="00ED3017">
              <w:trPr>
                <w:trHeight w:val="19"/>
              </w:trPr>
              <w:tc>
                <w:tcPr>
                  <w:tcW w:w="1295" w:type="pct"/>
                  <w:tcBorders>
                    <w:top w:val="single" w:sz="8" w:space="0" w:color="000000"/>
                    <w:bottom w:val="single" w:sz="8" w:space="0" w:color="000000"/>
                  </w:tcBorders>
                  <w:tcMar>
                    <w:top w:w="72" w:type="dxa"/>
                    <w:left w:w="144" w:type="dxa"/>
                    <w:bottom w:w="72" w:type="dxa"/>
                    <w:right w:w="144" w:type="dxa"/>
                  </w:tcMar>
                  <w:vAlign w:val="center"/>
                </w:tcPr>
                <w:p w:rsidR="00ED3017" w:rsidRPr="006F393A" w:rsidRDefault="00ED3017" w:rsidP="007E6B69">
                  <w:pPr>
                    <w:pStyle w:val="TableText0"/>
                    <w:keepNext w:val="0"/>
                    <w:widowControl w:val="0"/>
                    <w:spacing w:before="0" w:after="0"/>
                    <w:rPr>
                      <w:rFonts w:eastAsia="Calibri" w:cs="Arial"/>
                    </w:rPr>
                  </w:pPr>
                  <w:r w:rsidRPr="006F393A">
                    <w:rPr>
                      <w:rFonts w:eastAsia="Calibri" w:cs="Arial"/>
                    </w:rPr>
                    <w:t>Population criteria</w:t>
                  </w:r>
                </w:p>
              </w:tc>
              <w:tc>
                <w:tcPr>
                  <w:tcW w:w="3705" w:type="pct"/>
                  <w:tcBorders>
                    <w:top w:val="single" w:sz="8" w:space="0" w:color="000000"/>
                    <w:bottom w:val="single" w:sz="8" w:space="0" w:color="000000"/>
                  </w:tcBorders>
                  <w:tcMar>
                    <w:top w:w="72" w:type="dxa"/>
                    <w:left w:w="144" w:type="dxa"/>
                    <w:bottom w:w="72" w:type="dxa"/>
                    <w:right w:w="144" w:type="dxa"/>
                  </w:tcMar>
                  <w:vAlign w:val="center"/>
                </w:tcPr>
                <w:p w:rsidR="00ED3017" w:rsidRPr="006F393A" w:rsidRDefault="00ED3017" w:rsidP="007E6B69">
                  <w:pPr>
                    <w:pStyle w:val="TableText0"/>
                    <w:keepNext w:val="0"/>
                    <w:widowControl w:val="0"/>
                    <w:spacing w:after="0"/>
                    <w:rPr>
                      <w:rFonts w:cs="Arial"/>
                      <w:color w:val="000000"/>
                    </w:rPr>
                  </w:pPr>
                  <w:r w:rsidRPr="006F393A">
                    <w:rPr>
                      <w:rFonts w:cs="Arial"/>
                      <w:color w:val="000000"/>
                    </w:rPr>
                    <w:t>Patient must be 18 years or older;</w:t>
                  </w:r>
                </w:p>
                <w:p w:rsidR="00ED3017" w:rsidRPr="006F393A" w:rsidRDefault="00ED3017" w:rsidP="007E6B69">
                  <w:pPr>
                    <w:pStyle w:val="TableText0"/>
                    <w:keepNext w:val="0"/>
                    <w:widowControl w:val="0"/>
                    <w:spacing w:after="0"/>
                    <w:rPr>
                      <w:rFonts w:cs="Arial"/>
                      <w:color w:val="000000"/>
                    </w:rPr>
                  </w:pPr>
                  <w:r w:rsidRPr="006F393A">
                    <w:rPr>
                      <w:rFonts w:cs="Arial"/>
                      <w:color w:val="000000"/>
                    </w:rPr>
                    <w:t xml:space="preserve">Patient must not be pregnant or breastfeeding. </w:t>
                  </w:r>
                </w:p>
                <w:p w:rsidR="00ED3017" w:rsidRPr="006F393A" w:rsidRDefault="00ED3017" w:rsidP="007E6B69">
                  <w:pPr>
                    <w:pStyle w:val="TableText0"/>
                    <w:keepNext w:val="0"/>
                    <w:widowControl w:val="0"/>
                    <w:spacing w:before="0" w:after="0"/>
                    <w:rPr>
                      <w:rFonts w:cs="Arial"/>
                      <w:color w:val="000000"/>
                    </w:rPr>
                  </w:pPr>
                  <w:r w:rsidRPr="006F393A">
                    <w:rPr>
                      <w:rFonts w:cs="Arial"/>
                      <w:color w:val="000000"/>
                    </w:rPr>
                    <w:t>Female partners of male patients must not be pregnant. Patients and their partners must each be using an effective form of contraception if of child-bearing age.</w:t>
                  </w:r>
                </w:p>
              </w:tc>
            </w:tr>
            <w:tr w:rsidR="00ED3017" w:rsidRPr="006F393A" w:rsidTr="00ED3017">
              <w:trPr>
                <w:trHeight w:val="276"/>
              </w:trPr>
              <w:tc>
                <w:tcPr>
                  <w:tcW w:w="1295" w:type="pct"/>
                  <w:tcBorders>
                    <w:top w:val="single" w:sz="8" w:space="0" w:color="000000"/>
                    <w:bottom w:val="single" w:sz="8" w:space="0" w:color="000000"/>
                  </w:tcBorders>
                  <w:tcMar>
                    <w:top w:w="72" w:type="dxa"/>
                    <w:left w:w="144" w:type="dxa"/>
                    <w:bottom w:w="72" w:type="dxa"/>
                    <w:right w:w="144" w:type="dxa"/>
                  </w:tcMar>
                  <w:vAlign w:val="center"/>
                </w:tcPr>
                <w:p w:rsidR="00ED3017" w:rsidRPr="006F393A" w:rsidRDefault="00ED3017" w:rsidP="007E6B69">
                  <w:pPr>
                    <w:pStyle w:val="TableText0"/>
                    <w:keepNext w:val="0"/>
                    <w:widowControl w:val="0"/>
                    <w:spacing w:before="0" w:after="0"/>
                    <w:rPr>
                      <w:rFonts w:cs="Arial"/>
                      <w:color w:val="000000"/>
                    </w:rPr>
                  </w:pPr>
                  <w:r w:rsidRPr="006F393A">
                    <w:rPr>
                      <w:rFonts w:cs="Arial"/>
                      <w:color w:val="000000"/>
                    </w:rPr>
                    <w:t>Treatment Criteria:</w:t>
                  </w:r>
                </w:p>
              </w:tc>
              <w:tc>
                <w:tcPr>
                  <w:tcW w:w="3705" w:type="pct"/>
                  <w:tcBorders>
                    <w:top w:val="single" w:sz="8" w:space="0" w:color="000000"/>
                    <w:bottom w:val="single" w:sz="8" w:space="0" w:color="000000"/>
                  </w:tcBorders>
                  <w:tcMar>
                    <w:top w:w="72" w:type="dxa"/>
                    <w:left w:w="144" w:type="dxa"/>
                    <w:bottom w:w="72" w:type="dxa"/>
                    <w:right w:w="144" w:type="dxa"/>
                  </w:tcMar>
                  <w:vAlign w:val="center"/>
                </w:tcPr>
                <w:p w:rsidR="00ED3017" w:rsidRPr="006F393A" w:rsidRDefault="00ED3017" w:rsidP="007E6B69">
                  <w:pPr>
                    <w:pStyle w:val="TableText0"/>
                    <w:keepNext w:val="0"/>
                    <w:widowControl w:val="0"/>
                    <w:spacing w:after="0"/>
                    <w:rPr>
                      <w:rFonts w:eastAsia="Calibri" w:cs="Arial"/>
                    </w:rPr>
                  </w:pPr>
                  <w:r w:rsidRPr="006F393A">
                    <w:rPr>
                      <w:rFonts w:eastAsia="Calibri" w:cs="Arial"/>
                    </w:rPr>
                    <w:t>Must be treated in an accredited treatment centre;</w:t>
                  </w:r>
                </w:p>
                <w:p w:rsidR="00ED3017" w:rsidRPr="006F393A" w:rsidRDefault="00ED3017" w:rsidP="007E6B69">
                  <w:pPr>
                    <w:pStyle w:val="TableText0"/>
                    <w:keepNext w:val="0"/>
                    <w:widowControl w:val="0"/>
                    <w:spacing w:before="0" w:after="0"/>
                    <w:rPr>
                      <w:rFonts w:eastAsia="Calibri" w:cs="Arial"/>
                    </w:rPr>
                  </w:pPr>
                  <w:r w:rsidRPr="006F393A">
                    <w:rPr>
                      <w:rFonts w:eastAsia="Calibri" w:cs="Arial"/>
                    </w:rPr>
                    <w:t>Evidence of chronic genotype 1a/1b infection (repeatedly anti-HCV positive and HCV RNA positive) must be documented in the patient’s medical records.</w:t>
                  </w:r>
                </w:p>
              </w:tc>
            </w:tr>
            <w:tr w:rsidR="00ED3017" w:rsidRPr="006F393A" w:rsidTr="00ED3017">
              <w:trPr>
                <w:trHeight w:val="28"/>
              </w:trPr>
              <w:tc>
                <w:tcPr>
                  <w:tcW w:w="5000" w:type="pct"/>
                  <w:gridSpan w:val="2"/>
                  <w:tcBorders>
                    <w:top w:val="single" w:sz="8" w:space="0" w:color="000000"/>
                    <w:bottom w:val="single" w:sz="8" w:space="0" w:color="000000"/>
                  </w:tcBorders>
                  <w:shd w:val="clear" w:color="auto" w:fill="FFFFFF" w:themeFill="background1"/>
                  <w:tcMar>
                    <w:top w:w="72" w:type="dxa"/>
                    <w:left w:w="144" w:type="dxa"/>
                    <w:bottom w:w="72" w:type="dxa"/>
                    <w:right w:w="144" w:type="dxa"/>
                  </w:tcMar>
                </w:tcPr>
                <w:p w:rsidR="00ED3017" w:rsidRPr="006F393A" w:rsidRDefault="00ED3017" w:rsidP="007E6B69">
                  <w:pPr>
                    <w:pStyle w:val="TableText0"/>
                    <w:keepNext w:val="0"/>
                    <w:widowControl w:val="0"/>
                    <w:spacing w:before="0" w:after="0"/>
                    <w:rPr>
                      <w:rFonts w:eastAsia="Calibri" w:cs="Arial"/>
                      <w:b/>
                    </w:rPr>
                  </w:pPr>
                  <w:r w:rsidRPr="006F393A">
                    <w:rPr>
                      <w:rStyle w:val="StyleCalibri"/>
                      <w:rFonts w:ascii="Arial Narrow" w:hAnsi="Arial Narrow"/>
                      <w:b/>
                      <w:sz w:val="20"/>
                    </w:rPr>
                    <w:t xml:space="preserve">Chronic hepatitis C, Genotype 1a with cirrhosis, with null response to prior treatment: </w:t>
                  </w:r>
                  <w:proofErr w:type="spellStart"/>
                  <w:r w:rsidRPr="006F393A">
                    <w:rPr>
                      <w:rStyle w:val="StyleCalibri"/>
                      <w:rFonts w:ascii="Arial Narrow" w:hAnsi="Arial Narrow"/>
                      <w:b/>
                      <w:sz w:val="20"/>
                    </w:rPr>
                    <w:t>Viekira</w:t>
                  </w:r>
                  <w:proofErr w:type="spellEnd"/>
                  <w:r w:rsidRPr="006F393A">
                    <w:rPr>
                      <w:rStyle w:val="StyleCalibri"/>
                      <w:rFonts w:ascii="Arial Narrow" w:hAnsi="Arial Narrow"/>
                      <w:b/>
                      <w:sz w:val="20"/>
                    </w:rPr>
                    <w:t xml:space="preserve"> PAK-RBV 24 weeks</w:t>
                  </w:r>
                </w:p>
              </w:tc>
            </w:tr>
            <w:tr w:rsidR="00ED3017" w:rsidRPr="006F393A" w:rsidTr="00ED3017">
              <w:trPr>
                <w:trHeight w:val="425"/>
              </w:trPr>
              <w:tc>
                <w:tcPr>
                  <w:tcW w:w="1295" w:type="pct"/>
                  <w:tcBorders>
                    <w:top w:val="single" w:sz="8" w:space="0" w:color="000000"/>
                    <w:bottom w:val="single" w:sz="8" w:space="0" w:color="000000"/>
                  </w:tcBorders>
                  <w:tcMar>
                    <w:top w:w="72" w:type="dxa"/>
                    <w:left w:w="144" w:type="dxa"/>
                    <w:bottom w:w="72" w:type="dxa"/>
                    <w:right w:w="144" w:type="dxa"/>
                  </w:tcMar>
                  <w:vAlign w:val="center"/>
                </w:tcPr>
                <w:p w:rsidR="00ED3017" w:rsidRPr="006F393A" w:rsidRDefault="00ED3017" w:rsidP="007E6B69">
                  <w:pPr>
                    <w:pStyle w:val="TableText0"/>
                    <w:keepNext w:val="0"/>
                    <w:widowControl w:val="0"/>
                    <w:spacing w:before="0" w:after="0"/>
                    <w:rPr>
                      <w:rFonts w:cs="Arial"/>
                      <w:color w:val="000000"/>
                    </w:rPr>
                  </w:pPr>
                  <w:r w:rsidRPr="006F393A">
                    <w:rPr>
                      <w:rFonts w:cs="Arial"/>
                      <w:color w:val="000000"/>
                    </w:rPr>
                    <w:t>Clinical criteria</w:t>
                  </w:r>
                </w:p>
              </w:tc>
              <w:tc>
                <w:tcPr>
                  <w:tcW w:w="3705" w:type="pct"/>
                  <w:tcBorders>
                    <w:top w:val="single" w:sz="8" w:space="0" w:color="000000"/>
                    <w:bottom w:val="single" w:sz="8" w:space="0" w:color="000000"/>
                  </w:tcBorders>
                  <w:tcMar>
                    <w:top w:w="72" w:type="dxa"/>
                    <w:left w:w="144" w:type="dxa"/>
                    <w:bottom w:w="72" w:type="dxa"/>
                    <w:right w:w="144" w:type="dxa"/>
                  </w:tcMar>
                  <w:vAlign w:val="center"/>
                </w:tcPr>
                <w:p w:rsidR="00ED3017" w:rsidRPr="006F393A" w:rsidRDefault="00ED3017" w:rsidP="007E6B69">
                  <w:pPr>
                    <w:pStyle w:val="TableText0"/>
                    <w:keepNext w:val="0"/>
                    <w:widowControl w:val="0"/>
                    <w:spacing w:after="0"/>
                    <w:rPr>
                      <w:rFonts w:eastAsia="Calibri" w:cs="Arial"/>
                    </w:rPr>
                  </w:pPr>
                  <w:r w:rsidRPr="006F393A">
                    <w:rPr>
                      <w:rFonts w:eastAsia="Calibri" w:cs="Arial"/>
                    </w:rPr>
                    <w:t>Patient must have compensated disease;</w:t>
                  </w:r>
                </w:p>
                <w:p w:rsidR="00ED3017" w:rsidRPr="006F393A" w:rsidRDefault="00ED3017" w:rsidP="007E6B69">
                  <w:pPr>
                    <w:pStyle w:val="TableText0"/>
                    <w:keepNext w:val="0"/>
                    <w:widowControl w:val="0"/>
                    <w:spacing w:after="0"/>
                    <w:rPr>
                      <w:rFonts w:eastAsia="Calibri" w:cs="Arial"/>
                    </w:rPr>
                  </w:pPr>
                  <w:r w:rsidRPr="006F393A">
                    <w:rPr>
                      <w:rFonts w:eastAsia="Calibri" w:cs="Arial"/>
                    </w:rPr>
                    <w:t>Patient must have cirrhosis;</w:t>
                  </w:r>
                </w:p>
                <w:p w:rsidR="00ED3017" w:rsidRPr="006F393A" w:rsidRDefault="00ED3017" w:rsidP="007E6B69">
                  <w:pPr>
                    <w:pStyle w:val="TableText0"/>
                    <w:keepNext w:val="0"/>
                    <w:widowControl w:val="0"/>
                    <w:spacing w:after="0"/>
                    <w:rPr>
                      <w:rFonts w:eastAsia="Calibri" w:cs="Arial"/>
                    </w:rPr>
                  </w:pPr>
                  <w:r w:rsidRPr="006F393A">
                    <w:rPr>
                      <w:rFonts w:eastAsia="Calibri" w:cs="Arial"/>
                    </w:rPr>
                    <w:t>Patient must have had a null response to prior therapy for GT1 CHC;</w:t>
                  </w:r>
                </w:p>
                <w:p w:rsidR="00ED3017" w:rsidRPr="006F393A" w:rsidRDefault="00ED3017" w:rsidP="007E6B69">
                  <w:pPr>
                    <w:pStyle w:val="TableText0"/>
                    <w:keepNext w:val="0"/>
                    <w:widowControl w:val="0"/>
                    <w:spacing w:before="0" w:after="0"/>
                    <w:rPr>
                      <w:rFonts w:eastAsia="Calibri" w:cs="Arial"/>
                    </w:rPr>
                  </w:pPr>
                  <w:r w:rsidRPr="006F393A">
                    <w:rPr>
                      <w:rFonts w:eastAsia="Calibri" w:cs="Arial"/>
                    </w:rPr>
                    <w:t>The treatment must be limited to a maximum duration of 24 weeks.</w:t>
                  </w:r>
                </w:p>
              </w:tc>
            </w:tr>
            <w:tr w:rsidR="00ED3017" w:rsidRPr="006F393A" w:rsidTr="00ED3017">
              <w:trPr>
                <w:trHeight w:val="865"/>
              </w:trPr>
              <w:tc>
                <w:tcPr>
                  <w:tcW w:w="1295" w:type="pct"/>
                  <w:tcBorders>
                    <w:top w:val="single" w:sz="8" w:space="0" w:color="000000"/>
                    <w:bottom w:val="single" w:sz="8" w:space="0" w:color="000000"/>
                  </w:tcBorders>
                  <w:tcMar>
                    <w:top w:w="72" w:type="dxa"/>
                    <w:left w:w="144" w:type="dxa"/>
                    <w:bottom w:w="72" w:type="dxa"/>
                    <w:right w:w="144" w:type="dxa"/>
                  </w:tcMar>
                  <w:vAlign w:val="center"/>
                </w:tcPr>
                <w:p w:rsidR="00ED3017" w:rsidRPr="006F393A" w:rsidRDefault="00ED3017" w:rsidP="007E6B69">
                  <w:pPr>
                    <w:pStyle w:val="TableText0"/>
                    <w:keepNext w:val="0"/>
                    <w:widowControl w:val="0"/>
                    <w:spacing w:before="0" w:after="0"/>
                    <w:rPr>
                      <w:rFonts w:eastAsia="Calibri" w:cs="Arial"/>
                    </w:rPr>
                  </w:pPr>
                  <w:r w:rsidRPr="006F393A">
                    <w:rPr>
                      <w:rFonts w:eastAsia="Calibri" w:cs="Arial"/>
                    </w:rPr>
                    <w:t>Population criteria</w:t>
                  </w:r>
                </w:p>
              </w:tc>
              <w:tc>
                <w:tcPr>
                  <w:tcW w:w="3705" w:type="pct"/>
                  <w:tcBorders>
                    <w:top w:val="single" w:sz="8" w:space="0" w:color="000000"/>
                    <w:bottom w:val="single" w:sz="8" w:space="0" w:color="000000"/>
                  </w:tcBorders>
                  <w:tcMar>
                    <w:top w:w="72" w:type="dxa"/>
                    <w:left w:w="144" w:type="dxa"/>
                    <w:bottom w:w="72" w:type="dxa"/>
                    <w:right w:w="144" w:type="dxa"/>
                  </w:tcMar>
                  <w:vAlign w:val="center"/>
                </w:tcPr>
                <w:p w:rsidR="00ED3017" w:rsidRPr="006F393A" w:rsidRDefault="00ED3017" w:rsidP="007E6B69">
                  <w:pPr>
                    <w:pStyle w:val="TableText0"/>
                    <w:keepNext w:val="0"/>
                    <w:widowControl w:val="0"/>
                    <w:spacing w:after="0"/>
                    <w:rPr>
                      <w:rFonts w:cs="Arial"/>
                      <w:color w:val="000000"/>
                    </w:rPr>
                  </w:pPr>
                  <w:r w:rsidRPr="006F393A">
                    <w:rPr>
                      <w:rFonts w:cs="Arial"/>
                      <w:color w:val="000000"/>
                    </w:rPr>
                    <w:t>Patient must be 18 years or older;</w:t>
                  </w:r>
                </w:p>
                <w:p w:rsidR="00ED3017" w:rsidRPr="006F393A" w:rsidRDefault="00ED3017" w:rsidP="007E6B69">
                  <w:pPr>
                    <w:pStyle w:val="TableText0"/>
                    <w:keepNext w:val="0"/>
                    <w:widowControl w:val="0"/>
                    <w:spacing w:before="0" w:after="0"/>
                    <w:rPr>
                      <w:rFonts w:cs="Arial"/>
                      <w:color w:val="000000"/>
                    </w:rPr>
                  </w:pPr>
                  <w:r w:rsidRPr="006F393A">
                    <w:rPr>
                      <w:rFonts w:cs="Arial"/>
                      <w:color w:val="000000"/>
                    </w:rPr>
                    <w:t>Patient must not be pregnant or breastfeeding. Female partners of male patients must not be pregnant. Patients and their partners must each be using an effective form of contraception if of child-bearing age.</w:t>
                  </w:r>
                </w:p>
              </w:tc>
            </w:tr>
            <w:tr w:rsidR="00ED3017" w:rsidRPr="006F393A" w:rsidTr="00ED3017">
              <w:trPr>
                <w:trHeight w:val="276"/>
              </w:trPr>
              <w:tc>
                <w:tcPr>
                  <w:tcW w:w="1295" w:type="pct"/>
                  <w:tcBorders>
                    <w:top w:val="single" w:sz="8" w:space="0" w:color="000000"/>
                    <w:bottom w:val="single" w:sz="4" w:space="0" w:color="auto"/>
                  </w:tcBorders>
                  <w:tcMar>
                    <w:top w:w="72" w:type="dxa"/>
                    <w:left w:w="144" w:type="dxa"/>
                    <w:bottom w:w="72" w:type="dxa"/>
                    <w:right w:w="144" w:type="dxa"/>
                  </w:tcMar>
                  <w:vAlign w:val="center"/>
                </w:tcPr>
                <w:p w:rsidR="00ED3017" w:rsidRPr="006F393A" w:rsidRDefault="00ED3017" w:rsidP="007E6B69">
                  <w:pPr>
                    <w:pStyle w:val="TableText0"/>
                    <w:keepNext w:val="0"/>
                    <w:widowControl w:val="0"/>
                    <w:spacing w:before="0" w:after="0"/>
                    <w:rPr>
                      <w:rFonts w:cs="Arial"/>
                      <w:color w:val="000000"/>
                    </w:rPr>
                  </w:pPr>
                  <w:r w:rsidRPr="006F393A">
                    <w:rPr>
                      <w:rFonts w:cs="Arial"/>
                      <w:color w:val="000000"/>
                    </w:rPr>
                    <w:t>Treatment Criteria:</w:t>
                  </w:r>
                </w:p>
              </w:tc>
              <w:tc>
                <w:tcPr>
                  <w:tcW w:w="3705" w:type="pct"/>
                  <w:tcBorders>
                    <w:top w:val="single" w:sz="8" w:space="0" w:color="000000"/>
                    <w:bottom w:val="single" w:sz="4" w:space="0" w:color="auto"/>
                  </w:tcBorders>
                  <w:tcMar>
                    <w:top w:w="72" w:type="dxa"/>
                    <w:left w:w="144" w:type="dxa"/>
                    <w:bottom w:w="72" w:type="dxa"/>
                    <w:right w:w="144" w:type="dxa"/>
                  </w:tcMar>
                  <w:vAlign w:val="center"/>
                </w:tcPr>
                <w:p w:rsidR="00ED3017" w:rsidRPr="006F393A" w:rsidRDefault="00ED3017" w:rsidP="007E6B69">
                  <w:pPr>
                    <w:pStyle w:val="TableText0"/>
                    <w:keepNext w:val="0"/>
                    <w:widowControl w:val="0"/>
                    <w:spacing w:after="0"/>
                    <w:rPr>
                      <w:rFonts w:eastAsia="Calibri" w:cs="Arial"/>
                    </w:rPr>
                  </w:pPr>
                  <w:r w:rsidRPr="006F393A">
                    <w:rPr>
                      <w:rFonts w:eastAsia="Calibri" w:cs="Arial"/>
                    </w:rPr>
                    <w:t>Must be treated in an accredited treatment centre;</w:t>
                  </w:r>
                </w:p>
                <w:p w:rsidR="00ED3017" w:rsidRPr="006F393A" w:rsidRDefault="00ED3017" w:rsidP="007E6B69">
                  <w:pPr>
                    <w:pStyle w:val="TableText0"/>
                    <w:keepNext w:val="0"/>
                    <w:widowControl w:val="0"/>
                    <w:spacing w:before="0" w:after="0"/>
                    <w:rPr>
                      <w:rFonts w:eastAsia="Calibri" w:cs="Arial"/>
                    </w:rPr>
                  </w:pPr>
                  <w:r w:rsidRPr="006F393A">
                    <w:rPr>
                      <w:rFonts w:eastAsia="Calibri" w:cs="Arial"/>
                    </w:rPr>
                    <w:t>Evidence of chronic genotype 1a infection (repeatedly anti-HCV positive and HCV RNA positive) must be documented in the patient’s medical records.</w:t>
                  </w:r>
                </w:p>
              </w:tc>
            </w:tr>
          </w:tbl>
          <w:p w:rsidR="00ED3017" w:rsidRPr="006F393A" w:rsidRDefault="00ED3017" w:rsidP="007E6B69">
            <w:pPr>
              <w:jc w:val="left"/>
              <w:rPr>
                <w:sz w:val="20"/>
              </w:rPr>
            </w:pPr>
          </w:p>
        </w:tc>
      </w:tr>
    </w:tbl>
    <w:p w:rsidR="00ED3017" w:rsidRPr="006F393A" w:rsidRDefault="00ED3017" w:rsidP="00ED3017">
      <w:pPr>
        <w:pStyle w:val="TableFooter"/>
        <w:rPr>
          <w:sz w:val="20"/>
        </w:rPr>
      </w:pPr>
      <w:r w:rsidRPr="006F393A">
        <w:tab/>
        <w:t xml:space="preserve">GT = genotype; CHC = chronic hepatitis C; HCV = hepatitis C; RNA = </w:t>
      </w:r>
      <w:r w:rsidRPr="006F393A">
        <w:rPr>
          <w:sz w:val="20"/>
        </w:rPr>
        <w:t>ribonucleic acid</w:t>
      </w:r>
    </w:p>
    <w:p w:rsidR="004425BA" w:rsidRPr="009701B0" w:rsidRDefault="00637179" w:rsidP="009701B0">
      <w:pPr>
        <w:pStyle w:val="TableFooter"/>
        <w:ind w:left="709"/>
      </w:pPr>
      <w:r w:rsidRPr="006F393A">
        <w:rPr>
          <w:sz w:val="20"/>
        </w:rPr>
        <w:lastRenderedPageBreak/>
        <w:tab/>
        <w:t xml:space="preserve">Note: </w:t>
      </w:r>
      <w:r w:rsidR="00C87712">
        <w:rPr>
          <w:noProof/>
          <w:color w:val="000000"/>
          <w:sz w:val="20"/>
          <w:highlight w:val="black"/>
        </w:rPr>
        <w:t>''''''''' ''''''''''''''''''''''' ''''''''''''''''''''''' ''' ''''''''''''''''''''''''''' ''''''''''''''''''''''''''' '''''''''''''' ''''''' '''' '''''''''''''''' '''''''''''''''' ''''''''''''''''''''''''''''' ''''''''''''''''''''''''''''' '''''''''' ''''''''''''' ''''''''''''''''''''''''''''' ''''''''''''''''''' ''''''''''' ''''''''' ''''''''''''''''''''''''''' '''' '''''''' ''''''''''''''''''''' '''''''''' ''''''''' ''''''''''''''''''''''''''''''''''''''' '''''''' ''''' ''''''''''''''''''''''''' '''''' '''''''''''' ''''''''' '''''''''' '''''''''''''''''''''''''' '''''''''' ''''''''''''''''''' '''''''''' '''''''' ''''''''''''''''' '''''''''' ''''''''''''''' '''' '''''''''''''' ''' ''''''''''' ''''' '''''''''''''''' '''''''''' '' ''''''''''''''' ''''''''''''''''''''''''' '''''''''''''' '''''' ''' '''''''''''''''''''''''''''''''''''''''' ''''''''''''' '''' ''''''''''''''''''''''''' '''''''''' ''''''''''''' ''''''''''''''''''''''''''''''''''' ''''''''''''''''''''' ''''''''''''''' ''''''''''' '''''' ''''''''''''</w:t>
      </w:r>
    </w:p>
    <w:p w:rsidR="004425BA" w:rsidRPr="006F393A" w:rsidRDefault="004425BA" w:rsidP="004425BA">
      <w:pPr>
        <w:pStyle w:val="ListParagraph"/>
        <w:widowControl/>
        <w:rPr>
          <w:szCs w:val="22"/>
        </w:rPr>
      </w:pPr>
    </w:p>
    <w:p w:rsidR="00ED3017" w:rsidRPr="006F393A" w:rsidRDefault="00ED3017" w:rsidP="00997EDA">
      <w:pPr>
        <w:pStyle w:val="ListParagraph"/>
        <w:widowControl/>
        <w:numPr>
          <w:ilvl w:val="1"/>
          <w:numId w:val="1"/>
        </w:numPr>
        <w:rPr>
          <w:szCs w:val="22"/>
        </w:rPr>
      </w:pPr>
      <w:r w:rsidRPr="006F393A">
        <w:rPr>
          <w:szCs w:val="22"/>
        </w:rPr>
        <w:t xml:space="preserve">There are two proposed </w:t>
      </w:r>
      <w:proofErr w:type="spellStart"/>
      <w:r w:rsidRPr="006F393A">
        <w:rPr>
          <w:szCs w:val="22"/>
        </w:rPr>
        <w:t>Viekira</w:t>
      </w:r>
      <w:proofErr w:type="spellEnd"/>
      <w:r w:rsidRPr="006F393A">
        <w:rPr>
          <w:szCs w:val="22"/>
        </w:rPr>
        <w:t xml:space="preserve"> PAK-RBV preparations. One contains 56 x 600mg ribavirin tablets, and is used for </w:t>
      </w:r>
      <w:proofErr w:type="gramStart"/>
      <w:r w:rsidRPr="006F393A">
        <w:rPr>
          <w:szCs w:val="22"/>
        </w:rPr>
        <w:t>patients</w:t>
      </w:r>
      <w:proofErr w:type="gramEnd"/>
      <w:r w:rsidRPr="006F393A">
        <w:rPr>
          <w:szCs w:val="22"/>
        </w:rPr>
        <w:t xml:space="preserve"> </w:t>
      </w:r>
      <w:r w:rsidRPr="006F393A">
        <w:rPr>
          <w:i/>
          <w:szCs w:val="22"/>
        </w:rPr>
        <w:t xml:space="preserve">≥ </w:t>
      </w:r>
      <w:r w:rsidRPr="006F393A">
        <w:rPr>
          <w:szCs w:val="22"/>
        </w:rPr>
        <w:t xml:space="preserve">75kg who require 1,200mg of ribavirin per day. Another contains 168 x 200mg </w:t>
      </w:r>
      <w:r w:rsidR="00341649" w:rsidRPr="006F393A">
        <w:rPr>
          <w:szCs w:val="22"/>
        </w:rPr>
        <w:t xml:space="preserve">ribavirin </w:t>
      </w:r>
      <w:r w:rsidRPr="006F393A">
        <w:rPr>
          <w:szCs w:val="22"/>
        </w:rPr>
        <w:t xml:space="preserve">tablets, which is used for patients who are &lt;75kg and require 1,000mg of ribavirin per day although there are sufficient tablets for patients who are </w:t>
      </w:r>
      <w:r w:rsidRPr="006F393A">
        <w:rPr>
          <w:i/>
          <w:szCs w:val="22"/>
        </w:rPr>
        <w:t xml:space="preserve">≥ </w:t>
      </w:r>
      <w:r w:rsidRPr="006F393A">
        <w:rPr>
          <w:szCs w:val="22"/>
        </w:rPr>
        <w:t>75kg. Patients who are &lt;75kg only require 140 tablets of 200mg for 28 days, therefore there will be 28 tablets left over. Patients will need to be made aware that there will be surplus tablets. Alternative preparations were discussed in the proposed product information and would reduce pill burden and avoid surplus tablets.</w:t>
      </w:r>
      <w:r w:rsidR="00C12E1B" w:rsidRPr="006F393A">
        <w:rPr>
          <w:szCs w:val="22"/>
        </w:rPr>
        <w:t xml:space="preserve"> The PSCR</w:t>
      </w:r>
      <w:r w:rsidR="005A63B6" w:rsidRPr="006F393A">
        <w:rPr>
          <w:szCs w:val="22"/>
        </w:rPr>
        <w:t xml:space="preserve"> stated ‘Ribavirin is co-packaged and will be supplied in the first instance in bottles of 168 X 200mg tablets or 56 X 600mg tablets’.</w:t>
      </w:r>
    </w:p>
    <w:p w:rsidR="00ED3017" w:rsidRPr="009701B0" w:rsidRDefault="00ED3017" w:rsidP="009701B0">
      <w:pPr>
        <w:rPr>
          <w:szCs w:val="22"/>
        </w:rPr>
      </w:pPr>
    </w:p>
    <w:p w:rsidR="00ED3017" w:rsidRPr="006F393A" w:rsidRDefault="00ED3017" w:rsidP="00997EDA">
      <w:pPr>
        <w:pStyle w:val="ListParagraph"/>
        <w:widowControl/>
        <w:numPr>
          <w:ilvl w:val="1"/>
          <w:numId w:val="1"/>
        </w:numPr>
        <w:rPr>
          <w:szCs w:val="22"/>
        </w:rPr>
      </w:pPr>
      <w:r w:rsidRPr="006F393A">
        <w:rPr>
          <w:szCs w:val="22"/>
        </w:rPr>
        <w:t xml:space="preserve">The requested listing did not preclude treatment for patients who are co-infected with either hepatitis B virus (HBV) or human immunodeficiency virus (HIV). There was no clinical evidence provided to determine the impact of </w:t>
      </w:r>
      <w:proofErr w:type="spellStart"/>
      <w:r w:rsidRPr="006F393A">
        <w:rPr>
          <w:szCs w:val="22"/>
        </w:rPr>
        <w:t>Viekira</w:t>
      </w:r>
      <w:proofErr w:type="spellEnd"/>
      <w:r w:rsidRPr="006F393A">
        <w:rPr>
          <w:szCs w:val="22"/>
        </w:rPr>
        <w:t xml:space="preserve"> PAK / </w:t>
      </w:r>
      <w:proofErr w:type="spellStart"/>
      <w:r w:rsidRPr="006F393A">
        <w:rPr>
          <w:szCs w:val="22"/>
        </w:rPr>
        <w:t>Viekira</w:t>
      </w:r>
      <w:proofErr w:type="spellEnd"/>
      <w:r w:rsidRPr="006F393A">
        <w:rPr>
          <w:szCs w:val="22"/>
        </w:rPr>
        <w:t xml:space="preserve"> PAK-RBV in patients with these co-infections.</w:t>
      </w:r>
      <w:r w:rsidR="005E59AE" w:rsidRPr="006F393A">
        <w:rPr>
          <w:szCs w:val="22"/>
        </w:rPr>
        <w:t xml:space="preserve"> The PSCR </w:t>
      </w:r>
      <w:r w:rsidR="008F3AE6" w:rsidRPr="006F393A">
        <w:rPr>
          <w:szCs w:val="22"/>
        </w:rPr>
        <w:t xml:space="preserve">provided data from a randomised open label study (Turquoise I) evaluating </w:t>
      </w:r>
      <w:proofErr w:type="spellStart"/>
      <w:r w:rsidR="008F3AE6" w:rsidRPr="006F393A">
        <w:rPr>
          <w:szCs w:val="22"/>
        </w:rPr>
        <w:t>Viekira</w:t>
      </w:r>
      <w:proofErr w:type="spellEnd"/>
      <w:r w:rsidR="008F3AE6" w:rsidRPr="006F393A">
        <w:rPr>
          <w:szCs w:val="22"/>
        </w:rPr>
        <w:t xml:space="preserve"> PAK-RBV in HCV/HIV-1 co-infected adults, with and without cirrhosis, for 12 or 24 weeks and claimed that overall efficacy and safety observed in this study are consistent with that observed in non-co-infected subjects.</w:t>
      </w:r>
      <w:r w:rsidR="00AC16CA" w:rsidRPr="006F393A">
        <w:rPr>
          <w:szCs w:val="22"/>
        </w:rPr>
        <w:t xml:space="preserve"> The ESC noted that the current listings for CHC do not specifically exclude use in co-infected patients.</w:t>
      </w:r>
    </w:p>
    <w:p w:rsidR="00733461" w:rsidRPr="006F393A" w:rsidRDefault="00733461" w:rsidP="00733461">
      <w:pPr>
        <w:pStyle w:val="ListParagraph"/>
        <w:widowControl/>
        <w:rPr>
          <w:szCs w:val="22"/>
        </w:rPr>
      </w:pPr>
    </w:p>
    <w:p w:rsidR="00733461" w:rsidRPr="006F393A" w:rsidRDefault="00733461" w:rsidP="00997EDA">
      <w:pPr>
        <w:pStyle w:val="ListParagraph"/>
        <w:widowControl/>
        <w:numPr>
          <w:ilvl w:val="1"/>
          <w:numId w:val="1"/>
        </w:numPr>
        <w:rPr>
          <w:szCs w:val="22"/>
        </w:rPr>
      </w:pPr>
      <w:r w:rsidRPr="006F393A">
        <w:rPr>
          <w:szCs w:val="22"/>
        </w:rPr>
        <w:t>At its March 2015 meeting, the PBAC recommended the listing of other treatments for CHC. During its consideration, the PBAC requested that the Department consult with clinical experts on certain aspects of the restriction. It would be expected that the listing of this treatment would be similar to the listing of other interferon-free treatments, which is yet to be finalised.</w:t>
      </w:r>
    </w:p>
    <w:p w:rsidR="00ED3017" w:rsidRPr="006F393A" w:rsidRDefault="00ED3017" w:rsidP="00ED3017">
      <w:pPr>
        <w:pStyle w:val="ListParagraph"/>
        <w:widowControl/>
        <w:rPr>
          <w:szCs w:val="22"/>
        </w:rPr>
      </w:pPr>
    </w:p>
    <w:p w:rsidR="00ED3017" w:rsidRPr="006F393A" w:rsidRDefault="00ED3017" w:rsidP="00997EDA">
      <w:pPr>
        <w:pStyle w:val="ListParagraph"/>
        <w:widowControl/>
        <w:numPr>
          <w:ilvl w:val="1"/>
          <w:numId w:val="1"/>
        </w:numPr>
        <w:rPr>
          <w:szCs w:val="22"/>
        </w:rPr>
      </w:pPr>
      <w:r w:rsidRPr="006F393A">
        <w:rPr>
          <w:szCs w:val="22"/>
        </w:rPr>
        <w:t xml:space="preserve">Listing was sought on the basis that </w:t>
      </w:r>
      <w:proofErr w:type="spellStart"/>
      <w:r w:rsidRPr="006F393A">
        <w:rPr>
          <w:szCs w:val="22"/>
        </w:rPr>
        <w:t>Viekira</w:t>
      </w:r>
      <w:proofErr w:type="spellEnd"/>
      <w:r w:rsidRPr="006F393A">
        <w:rPr>
          <w:szCs w:val="22"/>
        </w:rPr>
        <w:t xml:space="preserve"> PAK / </w:t>
      </w:r>
      <w:proofErr w:type="spellStart"/>
      <w:r w:rsidRPr="006F393A">
        <w:rPr>
          <w:szCs w:val="22"/>
        </w:rPr>
        <w:t>Viekira</w:t>
      </w:r>
      <w:proofErr w:type="spellEnd"/>
      <w:r w:rsidRPr="006F393A">
        <w:rPr>
          <w:szCs w:val="22"/>
        </w:rPr>
        <w:t xml:space="preserve"> PAK-RBV was cost</w:t>
      </w:r>
      <w:r w:rsidR="00EB6E75" w:rsidRPr="006F393A">
        <w:rPr>
          <w:szCs w:val="22"/>
        </w:rPr>
        <w:noBreakHyphen/>
      </w:r>
      <w:r w:rsidRPr="006F393A">
        <w:rPr>
          <w:szCs w:val="22"/>
        </w:rPr>
        <w:t xml:space="preserve">effective in comparison with ‘no treatment’ or a ‘protease inhibitor plus PR’. </w:t>
      </w:r>
    </w:p>
    <w:p w:rsidR="00ED3017" w:rsidRPr="006F393A" w:rsidRDefault="00ED3017" w:rsidP="00ED3017"/>
    <w:p w:rsidR="00BA4343" w:rsidRPr="006F393A" w:rsidRDefault="00BA4343" w:rsidP="00BA4343">
      <w:pPr>
        <w:ind w:firstLine="709"/>
      </w:pPr>
      <w:r w:rsidRPr="006F393A">
        <w:rPr>
          <w:i/>
        </w:rPr>
        <w:t>For more detail on PBAC’s view, see section 7 “PBAC outcome”</w:t>
      </w:r>
    </w:p>
    <w:p w:rsidR="004A133F" w:rsidRPr="006F393A" w:rsidRDefault="004A133F">
      <w:pPr>
        <w:widowControl/>
        <w:jc w:val="left"/>
      </w:pPr>
    </w:p>
    <w:p w:rsidR="001C0791" w:rsidRPr="006F393A" w:rsidRDefault="009701B0">
      <w:pPr>
        <w:widowControl/>
        <w:jc w:val="left"/>
      </w:pPr>
      <w:r>
        <w:br w:type="page"/>
      </w:r>
    </w:p>
    <w:p w:rsidR="00ED3017" w:rsidRPr="006F393A" w:rsidRDefault="00ED3017" w:rsidP="00ED3017">
      <w:pPr>
        <w:pStyle w:val="PBACHeading1"/>
      </w:pPr>
      <w:bookmarkStart w:id="4" w:name="_Toc419383684"/>
      <w:r w:rsidRPr="006F393A">
        <w:t>Background</w:t>
      </w:r>
      <w:bookmarkEnd w:id="4"/>
    </w:p>
    <w:p w:rsidR="00ED3017" w:rsidRPr="006F393A" w:rsidRDefault="00ED3017" w:rsidP="00ED3017">
      <w:pPr>
        <w:rPr>
          <w:szCs w:val="22"/>
        </w:rPr>
      </w:pPr>
    </w:p>
    <w:p w:rsidR="00ED3017" w:rsidRPr="006F393A" w:rsidRDefault="00ED3017" w:rsidP="00997EDA">
      <w:pPr>
        <w:pStyle w:val="ListParagraph"/>
        <w:widowControl/>
        <w:numPr>
          <w:ilvl w:val="1"/>
          <w:numId w:val="1"/>
        </w:numPr>
      </w:pPr>
      <w:r w:rsidRPr="006F393A">
        <w:t xml:space="preserve">The submission was made under the TGA/PBAC Parallel Process. The regulatory submission </w:t>
      </w:r>
      <w:r w:rsidR="00CD12D2" w:rsidRPr="006F393A">
        <w:t xml:space="preserve">has a positive </w:t>
      </w:r>
      <w:r w:rsidR="00ED1BAF" w:rsidRPr="006F393A">
        <w:t xml:space="preserve">TGA Delegate’s Overview and </w:t>
      </w:r>
      <w:r w:rsidR="00206325" w:rsidRPr="006F393A">
        <w:t>was</w:t>
      </w:r>
      <w:r w:rsidRPr="006F393A">
        <w:t xml:space="preserve"> considered at the 304</w:t>
      </w:r>
      <w:r w:rsidRPr="006F393A">
        <w:rPr>
          <w:vertAlign w:val="superscript"/>
        </w:rPr>
        <w:t>th</w:t>
      </w:r>
      <w:r w:rsidRPr="006F393A">
        <w:t xml:space="preserve"> ACPM meeting on 5 June 2015</w:t>
      </w:r>
      <w:r w:rsidR="00233018" w:rsidRPr="006F393A">
        <w:t xml:space="preserve">. </w:t>
      </w:r>
    </w:p>
    <w:p w:rsidR="00ED3017" w:rsidRPr="006F393A" w:rsidRDefault="00ED3017" w:rsidP="00ED3017">
      <w:pPr>
        <w:pStyle w:val="ListParagraph"/>
        <w:rPr>
          <w:szCs w:val="22"/>
        </w:rPr>
      </w:pPr>
    </w:p>
    <w:p w:rsidR="00ED3017" w:rsidRPr="006F393A" w:rsidRDefault="00ED3017" w:rsidP="00997EDA">
      <w:pPr>
        <w:pStyle w:val="ListParagraph"/>
        <w:widowControl/>
        <w:numPr>
          <w:ilvl w:val="1"/>
          <w:numId w:val="1"/>
        </w:numPr>
        <w:rPr>
          <w:szCs w:val="22"/>
        </w:rPr>
      </w:pPr>
      <w:r w:rsidRPr="006F393A">
        <w:rPr>
          <w:szCs w:val="22"/>
        </w:rPr>
        <w:t xml:space="preserve">This was the first submission of </w:t>
      </w:r>
      <w:proofErr w:type="spellStart"/>
      <w:r w:rsidRPr="006F393A">
        <w:rPr>
          <w:szCs w:val="22"/>
        </w:rPr>
        <w:t>Viekira</w:t>
      </w:r>
      <w:proofErr w:type="spellEnd"/>
      <w:r w:rsidRPr="006F393A">
        <w:rPr>
          <w:szCs w:val="22"/>
        </w:rPr>
        <w:t xml:space="preserve"> PAK / </w:t>
      </w:r>
      <w:proofErr w:type="spellStart"/>
      <w:r w:rsidRPr="006F393A">
        <w:rPr>
          <w:szCs w:val="22"/>
        </w:rPr>
        <w:t>Viekira</w:t>
      </w:r>
      <w:proofErr w:type="spellEnd"/>
      <w:r w:rsidRPr="006F393A">
        <w:rPr>
          <w:szCs w:val="22"/>
        </w:rPr>
        <w:t xml:space="preserve"> PAK-RBV to the PBAC for the treatment of genotype 1 CHC.</w:t>
      </w:r>
    </w:p>
    <w:p w:rsidR="007B6A5B" w:rsidRPr="006F393A" w:rsidRDefault="007B6A5B">
      <w:pPr>
        <w:widowControl/>
        <w:jc w:val="left"/>
      </w:pPr>
    </w:p>
    <w:p w:rsidR="00682811" w:rsidRPr="006F393A" w:rsidRDefault="00682811" w:rsidP="00BA4343">
      <w:pPr>
        <w:widowControl/>
        <w:ind w:firstLine="709"/>
        <w:jc w:val="left"/>
      </w:pPr>
    </w:p>
    <w:p w:rsidR="00ED3017" w:rsidRPr="006F393A" w:rsidRDefault="00ED3017" w:rsidP="00ED3017">
      <w:pPr>
        <w:pStyle w:val="PBACHeading1"/>
      </w:pPr>
      <w:bookmarkStart w:id="5" w:name="_Toc419383685"/>
      <w:r w:rsidRPr="006F393A">
        <w:t>Clinical place for the proposed therapy</w:t>
      </w:r>
      <w:bookmarkEnd w:id="5"/>
    </w:p>
    <w:p w:rsidR="00ED3017" w:rsidRPr="006F393A" w:rsidRDefault="00ED3017" w:rsidP="00ED3017">
      <w:pPr>
        <w:rPr>
          <w:szCs w:val="22"/>
        </w:rPr>
      </w:pPr>
    </w:p>
    <w:p w:rsidR="00ED3017" w:rsidRPr="006F393A" w:rsidRDefault="00ED3017" w:rsidP="00997EDA">
      <w:pPr>
        <w:pStyle w:val="ListParagraph"/>
        <w:widowControl/>
        <w:numPr>
          <w:ilvl w:val="1"/>
          <w:numId w:val="1"/>
        </w:numPr>
        <w:rPr>
          <w:szCs w:val="22"/>
        </w:rPr>
      </w:pPr>
      <w:r w:rsidRPr="006F393A">
        <w:t>HCV infection is a major cause of chronic liver disease. The cycle of viral reproduction within hepatic cells and the response by the host immune system to the infection results in damage to the host’s liver. Chronic infection can lead to scarring of the liver and ultimately to cirrhosis. In some cases, patients with liver cirrhosis develop liver failure, liver cancer or life-threatening oesophageal and gastric</w:t>
      </w:r>
      <w:r w:rsidRPr="006F393A" w:rsidDel="00212A31">
        <w:rPr>
          <w:szCs w:val="22"/>
        </w:rPr>
        <w:t xml:space="preserve"> </w:t>
      </w:r>
      <w:r w:rsidRPr="006F393A">
        <w:rPr>
          <w:szCs w:val="22"/>
        </w:rPr>
        <w:t>varices. Currently, genotype 1 accounts for 49-55% of infections in Australia.</w:t>
      </w:r>
    </w:p>
    <w:p w:rsidR="00ED3017" w:rsidRPr="006F393A" w:rsidRDefault="00ED3017" w:rsidP="00ED3017">
      <w:pPr>
        <w:widowControl/>
        <w:rPr>
          <w:szCs w:val="22"/>
        </w:rPr>
      </w:pPr>
    </w:p>
    <w:p w:rsidR="00ED3017" w:rsidRPr="006F393A" w:rsidRDefault="00ED3017" w:rsidP="00997EDA">
      <w:pPr>
        <w:pStyle w:val="ListParagraph"/>
        <w:widowControl/>
        <w:numPr>
          <w:ilvl w:val="1"/>
          <w:numId w:val="1"/>
        </w:numPr>
        <w:rPr>
          <w:szCs w:val="22"/>
        </w:rPr>
      </w:pPr>
      <w:r w:rsidRPr="006F393A">
        <w:t xml:space="preserve">DAAs, including </w:t>
      </w:r>
      <w:proofErr w:type="spellStart"/>
      <w:r w:rsidRPr="006F393A">
        <w:t>boceprevir</w:t>
      </w:r>
      <w:proofErr w:type="spellEnd"/>
      <w:r w:rsidRPr="006F393A">
        <w:t xml:space="preserve">, </w:t>
      </w:r>
      <w:proofErr w:type="spellStart"/>
      <w:r w:rsidRPr="006F393A">
        <w:t>telaprevir</w:t>
      </w:r>
      <w:proofErr w:type="spellEnd"/>
      <w:r w:rsidRPr="006F393A">
        <w:t xml:space="preserve"> and </w:t>
      </w:r>
      <w:proofErr w:type="spellStart"/>
      <w:r w:rsidRPr="006F393A">
        <w:t>simeprevir</w:t>
      </w:r>
      <w:proofErr w:type="spellEnd"/>
      <w:r w:rsidRPr="006F393A">
        <w:t xml:space="preserve"> (HCV NS3/4A protease inhibitors) are currently reimbursed on the PBS for the treatment of genotype 1 CHC</w:t>
      </w:r>
      <w:r w:rsidRPr="006F393A">
        <w:rPr>
          <w:szCs w:val="22"/>
        </w:rPr>
        <w:t xml:space="preserve">. The current listing of these protease inhibitors requires that they be used in combination with </w:t>
      </w:r>
      <w:proofErr w:type="spellStart"/>
      <w:r w:rsidR="00E32920" w:rsidRPr="006F393A">
        <w:rPr>
          <w:szCs w:val="22"/>
        </w:rPr>
        <w:t>peginterferon</w:t>
      </w:r>
      <w:proofErr w:type="spellEnd"/>
      <w:r w:rsidR="00E32920" w:rsidRPr="006F393A">
        <w:rPr>
          <w:szCs w:val="22"/>
        </w:rPr>
        <w:t xml:space="preserve"> and ribavirin (</w:t>
      </w:r>
      <w:r w:rsidRPr="006F393A">
        <w:rPr>
          <w:szCs w:val="22"/>
        </w:rPr>
        <w:t>PR</w:t>
      </w:r>
      <w:r w:rsidR="00E32920" w:rsidRPr="006F393A">
        <w:rPr>
          <w:szCs w:val="22"/>
        </w:rPr>
        <w:t>)</w:t>
      </w:r>
      <w:r w:rsidRPr="006F393A">
        <w:rPr>
          <w:szCs w:val="22"/>
        </w:rPr>
        <w:t>.</w:t>
      </w:r>
    </w:p>
    <w:p w:rsidR="00ED3017" w:rsidRPr="006F393A" w:rsidRDefault="00ED3017" w:rsidP="00ED3017">
      <w:pPr>
        <w:pStyle w:val="ListParagraph"/>
        <w:rPr>
          <w:szCs w:val="22"/>
        </w:rPr>
      </w:pPr>
    </w:p>
    <w:p w:rsidR="00ED3017" w:rsidRPr="006F393A" w:rsidRDefault="00ED3017" w:rsidP="00997EDA">
      <w:pPr>
        <w:pStyle w:val="ListParagraph"/>
        <w:widowControl/>
        <w:numPr>
          <w:ilvl w:val="1"/>
          <w:numId w:val="1"/>
        </w:numPr>
        <w:rPr>
          <w:szCs w:val="22"/>
        </w:rPr>
      </w:pPr>
      <w:proofErr w:type="spellStart"/>
      <w:r w:rsidRPr="006F393A">
        <w:rPr>
          <w:szCs w:val="22"/>
        </w:rPr>
        <w:t>Sofosbuvir</w:t>
      </w:r>
      <w:proofErr w:type="spellEnd"/>
      <w:r w:rsidRPr="006F393A">
        <w:rPr>
          <w:szCs w:val="22"/>
        </w:rPr>
        <w:t xml:space="preserve"> (SOF) in combination with PR, </w:t>
      </w:r>
      <w:proofErr w:type="spellStart"/>
      <w:r w:rsidRPr="006F393A">
        <w:rPr>
          <w:szCs w:val="22"/>
        </w:rPr>
        <w:t>ledipasvir</w:t>
      </w:r>
      <w:proofErr w:type="spellEnd"/>
      <w:r w:rsidRPr="006F393A">
        <w:rPr>
          <w:szCs w:val="22"/>
        </w:rPr>
        <w:t>/</w:t>
      </w:r>
      <w:proofErr w:type="spellStart"/>
      <w:r w:rsidRPr="006F393A">
        <w:rPr>
          <w:szCs w:val="22"/>
        </w:rPr>
        <w:t>sofosbuvir</w:t>
      </w:r>
      <w:proofErr w:type="spellEnd"/>
      <w:r w:rsidRPr="006F393A">
        <w:rPr>
          <w:szCs w:val="22"/>
        </w:rPr>
        <w:t xml:space="preserve"> (LDV/SOF) fixed dose combination, </w:t>
      </w:r>
      <w:proofErr w:type="spellStart"/>
      <w:r w:rsidRPr="006F393A">
        <w:rPr>
          <w:szCs w:val="22"/>
        </w:rPr>
        <w:t>daclatasvir</w:t>
      </w:r>
      <w:proofErr w:type="spellEnd"/>
      <w:r w:rsidRPr="006F393A">
        <w:rPr>
          <w:szCs w:val="22"/>
        </w:rPr>
        <w:t xml:space="preserve"> in combination with </w:t>
      </w:r>
      <w:proofErr w:type="spellStart"/>
      <w:r w:rsidRPr="006F393A">
        <w:rPr>
          <w:szCs w:val="22"/>
        </w:rPr>
        <w:t>sofosbuvir</w:t>
      </w:r>
      <w:proofErr w:type="spellEnd"/>
      <w:r w:rsidRPr="006F393A">
        <w:rPr>
          <w:szCs w:val="22"/>
        </w:rPr>
        <w:t xml:space="preserve"> (DCV+SOF) were recommended at the March 2015 PBAC meeting for the treatment of genotype</w:t>
      </w:r>
      <w:r w:rsidR="00EB6E75" w:rsidRPr="006F393A">
        <w:rPr>
          <w:szCs w:val="22"/>
        </w:rPr>
        <w:t> </w:t>
      </w:r>
      <w:r w:rsidRPr="006F393A">
        <w:rPr>
          <w:szCs w:val="22"/>
        </w:rPr>
        <w:t>1</w:t>
      </w:r>
      <w:r w:rsidR="00EB6E75" w:rsidRPr="006F393A">
        <w:rPr>
          <w:szCs w:val="22"/>
        </w:rPr>
        <w:t> </w:t>
      </w:r>
      <w:r w:rsidRPr="006F393A">
        <w:rPr>
          <w:szCs w:val="22"/>
        </w:rPr>
        <w:t>CHC.</w:t>
      </w:r>
    </w:p>
    <w:p w:rsidR="00ED3017" w:rsidRPr="006F393A" w:rsidRDefault="00ED3017" w:rsidP="00ED3017">
      <w:pPr>
        <w:pStyle w:val="ListParagraph"/>
        <w:rPr>
          <w:szCs w:val="22"/>
        </w:rPr>
      </w:pPr>
    </w:p>
    <w:p w:rsidR="00ED3017" w:rsidRPr="006F393A" w:rsidRDefault="00ED3017" w:rsidP="00997EDA">
      <w:pPr>
        <w:pStyle w:val="ListParagraph"/>
        <w:widowControl/>
        <w:numPr>
          <w:ilvl w:val="1"/>
          <w:numId w:val="1"/>
        </w:numPr>
        <w:rPr>
          <w:szCs w:val="22"/>
        </w:rPr>
      </w:pPr>
      <w:proofErr w:type="spellStart"/>
      <w:r w:rsidRPr="006F393A">
        <w:rPr>
          <w:szCs w:val="22"/>
        </w:rPr>
        <w:t>Paritaprevir</w:t>
      </w:r>
      <w:proofErr w:type="spellEnd"/>
      <w:r w:rsidRPr="006F393A">
        <w:rPr>
          <w:szCs w:val="22"/>
        </w:rPr>
        <w:t xml:space="preserve"> is a protease inhibitor. Although ritonavir is also a protease inhibitor, at the doses used in the fixed-dose combination it acts as a pharmacokinetic enhancer that increases peak and trough plasma drug concentrations of </w:t>
      </w:r>
      <w:proofErr w:type="spellStart"/>
      <w:r w:rsidRPr="006F393A">
        <w:rPr>
          <w:szCs w:val="22"/>
        </w:rPr>
        <w:t>paritaprevir</w:t>
      </w:r>
      <w:proofErr w:type="spellEnd"/>
      <w:r w:rsidRPr="006F393A">
        <w:rPr>
          <w:szCs w:val="22"/>
        </w:rPr>
        <w:t xml:space="preserve"> and increases overall drug exposure. </w:t>
      </w:r>
      <w:proofErr w:type="spellStart"/>
      <w:r w:rsidRPr="006F393A">
        <w:rPr>
          <w:szCs w:val="22"/>
        </w:rPr>
        <w:t>Ombitasvir</w:t>
      </w:r>
      <w:proofErr w:type="spellEnd"/>
      <w:r w:rsidRPr="006F393A">
        <w:rPr>
          <w:szCs w:val="22"/>
        </w:rPr>
        <w:t xml:space="preserve"> is an inhibitor of HCV NS5A. </w:t>
      </w:r>
      <w:proofErr w:type="spellStart"/>
      <w:r w:rsidRPr="006F393A">
        <w:rPr>
          <w:szCs w:val="22"/>
        </w:rPr>
        <w:t>Dasabuvir</w:t>
      </w:r>
      <w:proofErr w:type="spellEnd"/>
      <w:r w:rsidRPr="006F393A">
        <w:rPr>
          <w:szCs w:val="22"/>
        </w:rPr>
        <w:t xml:space="preserve"> is a non-nucleoside inhibitor of the HCV RNA-dependent RNA polymerase encoded by the NS5B gene. Ribavirin is a synthetic nucleoside analogue that shows </w:t>
      </w:r>
      <w:r w:rsidRPr="006F393A">
        <w:rPr>
          <w:i/>
          <w:szCs w:val="22"/>
        </w:rPr>
        <w:t>in vitro</w:t>
      </w:r>
      <w:r w:rsidRPr="006F393A">
        <w:rPr>
          <w:szCs w:val="22"/>
        </w:rPr>
        <w:t xml:space="preserve"> activity against some RNA and DNA viruses. Thus, </w:t>
      </w:r>
      <w:proofErr w:type="spellStart"/>
      <w:r w:rsidRPr="006F393A">
        <w:rPr>
          <w:szCs w:val="22"/>
        </w:rPr>
        <w:t>Viekira</w:t>
      </w:r>
      <w:proofErr w:type="spellEnd"/>
      <w:r w:rsidRPr="006F393A">
        <w:rPr>
          <w:szCs w:val="22"/>
        </w:rPr>
        <w:t xml:space="preserve"> PAK / </w:t>
      </w:r>
      <w:proofErr w:type="spellStart"/>
      <w:r w:rsidRPr="006F393A">
        <w:rPr>
          <w:szCs w:val="22"/>
        </w:rPr>
        <w:t>Viekira</w:t>
      </w:r>
      <w:proofErr w:type="spellEnd"/>
      <w:r w:rsidRPr="006F393A">
        <w:rPr>
          <w:szCs w:val="22"/>
        </w:rPr>
        <w:t xml:space="preserve"> PAK–RBV each </w:t>
      </w:r>
      <w:r w:rsidR="000B6BDA" w:rsidRPr="006F393A">
        <w:rPr>
          <w:szCs w:val="22"/>
        </w:rPr>
        <w:t>include</w:t>
      </w:r>
      <w:r w:rsidRPr="006F393A">
        <w:rPr>
          <w:szCs w:val="22"/>
        </w:rPr>
        <w:t xml:space="preserve"> several DAAs with distinct mechanisms of action to target HCV at multiple steps in the viral lifecycle.</w:t>
      </w:r>
      <w:r w:rsidR="009F07E3" w:rsidRPr="006F393A">
        <w:rPr>
          <w:szCs w:val="22"/>
        </w:rPr>
        <w:t xml:space="preserve"> </w:t>
      </w:r>
      <w:proofErr w:type="spellStart"/>
      <w:r w:rsidR="009F07E3" w:rsidRPr="006F393A">
        <w:rPr>
          <w:szCs w:val="22"/>
        </w:rPr>
        <w:t>Viekira</w:t>
      </w:r>
      <w:proofErr w:type="spellEnd"/>
      <w:r w:rsidR="009F07E3" w:rsidRPr="006F393A">
        <w:rPr>
          <w:szCs w:val="22"/>
        </w:rPr>
        <w:t xml:space="preserve"> PAK / </w:t>
      </w:r>
      <w:proofErr w:type="spellStart"/>
      <w:r w:rsidR="009F07E3" w:rsidRPr="006F393A">
        <w:rPr>
          <w:szCs w:val="22"/>
        </w:rPr>
        <w:t>Viekira</w:t>
      </w:r>
      <w:proofErr w:type="spellEnd"/>
      <w:r w:rsidR="009F07E3" w:rsidRPr="006F393A">
        <w:rPr>
          <w:szCs w:val="22"/>
        </w:rPr>
        <w:t xml:space="preserve"> PAK–RBV and other DAAs which are listed or recently considered by the PBAC are shown below</w:t>
      </w:r>
      <w:r w:rsidR="009F07E3" w:rsidRPr="006F393A">
        <w:rPr>
          <w:i/>
          <w:szCs w:val="22"/>
        </w:rPr>
        <w:t xml:space="preserve">. </w:t>
      </w:r>
    </w:p>
    <w:p w:rsidR="009F07E3" w:rsidRPr="006F393A" w:rsidRDefault="009F07E3" w:rsidP="009F07E3">
      <w:pPr>
        <w:pStyle w:val="PBACHeading1"/>
        <w:numPr>
          <w:ilvl w:val="0"/>
          <w:numId w:val="0"/>
        </w:numPr>
        <w:ind w:left="720" w:hanging="720"/>
        <w:rPr>
          <w:i/>
        </w:rPr>
      </w:pPr>
    </w:p>
    <w:p w:rsidR="007B03A2" w:rsidRPr="006F393A" w:rsidRDefault="007B03A2" w:rsidP="005B4436">
      <w:pPr>
        <w:pStyle w:val="Caption"/>
        <w:keepNext/>
        <w:ind w:left="720"/>
      </w:pPr>
      <w:r w:rsidRPr="006F393A">
        <w:t>Table 1: Mechanism of Actions of D</w:t>
      </w:r>
      <w:r w:rsidR="00013746" w:rsidRPr="006F393A">
        <w:t>A</w:t>
      </w:r>
      <w:r w:rsidRPr="006F393A">
        <w:t>As</w:t>
      </w:r>
    </w:p>
    <w:tbl>
      <w:tblPr>
        <w:tblStyle w:val="TableGrid"/>
        <w:tblW w:w="0" w:type="auto"/>
        <w:tblInd w:w="750" w:type="dxa"/>
        <w:tblLook w:val="04A0" w:firstRow="1" w:lastRow="0" w:firstColumn="1" w:lastColumn="0" w:noHBand="0" w:noVBand="1"/>
        <w:tblCaption w:val="Table 1: Mechanism of Actions of DAAs"/>
        <w:tblDescription w:val="This table lists the different mechanisms of action of the direct acting antivirals (DAAs)"/>
      </w:tblPr>
      <w:tblGrid>
        <w:gridCol w:w="1485"/>
        <w:gridCol w:w="1559"/>
        <w:gridCol w:w="1134"/>
        <w:gridCol w:w="1843"/>
        <w:gridCol w:w="1735"/>
      </w:tblGrid>
      <w:tr w:rsidR="009F07E3" w:rsidRPr="006F393A" w:rsidTr="0028796E">
        <w:trPr>
          <w:tblHeader/>
        </w:trPr>
        <w:tc>
          <w:tcPr>
            <w:tcW w:w="1485" w:type="dxa"/>
          </w:tcPr>
          <w:p w:rsidR="009F07E3" w:rsidRPr="006F393A" w:rsidRDefault="009F07E3" w:rsidP="00ED1BAF">
            <w:pPr>
              <w:jc w:val="center"/>
              <w:rPr>
                <w:rFonts w:ascii="Arial Narrow" w:hAnsi="Arial Narrow"/>
                <w:b/>
                <w:sz w:val="20"/>
              </w:rPr>
            </w:pPr>
          </w:p>
        </w:tc>
        <w:tc>
          <w:tcPr>
            <w:tcW w:w="1559" w:type="dxa"/>
          </w:tcPr>
          <w:p w:rsidR="009F07E3" w:rsidRPr="006F393A" w:rsidRDefault="009F07E3" w:rsidP="00ED1BAF">
            <w:pPr>
              <w:jc w:val="center"/>
              <w:rPr>
                <w:rFonts w:ascii="Arial Narrow" w:hAnsi="Arial Narrow"/>
                <w:b/>
                <w:sz w:val="20"/>
              </w:rPr>
            </w:pPr>
            <w:r w:rsidRPr="006F393A">
              <w:rPr>
                <w:rFonts w:ascii="Arial Narrow" w:hAnsi="Arial Narrow"/>
                <w:b/>
                <w:sz w:val="20"/>
              </w:rPr>
              <w:t>NS3/4A protease inhibitor</w:t>
            </w:r>
          </w:p>
        </w:tc>
        <w:tc>
          <w:tcPr>
            <w:tcW w:w="1134" w:type="dxa"/>
          </w:tcPr>
          <w:p w:rsidR="009F07E3" w:rsidRPr="006F393A" w:rsidRDefault="009F07E3" w:rsidP="00ED1BAF">
            <w:pPr>
              <w:jc w:val="center"/>
              <w:rPr>
                <w:rFonts w:ascii="Arial Narrow" w:hAnsi="Arial Narrow"/>
                <w:b/>
                <w:sz w:val="20"/>
              </w:rPr>
            </w:pPr>
            <w:r w:rsidRPr="006F393A">
              <w:rPr>
                <w:rFonts w:ascii="Arial Narrow" w:hAnsi="Arial Narrow"/>
                <w:b/>
                <w:sz w:val="20"/>
              </w:rPr>
              <w:t>NS5A inhibitor</w:t>
            </w:r>
          </w:p>
        </w:tc>
        <w:tc>
          <w:tcPr>
            <w:tcW w:w="1843" w:type="dxa"/>
          </w:tcPr>
          <w:p w:rsidR="009F07E3" w:rsidRPr="006F393A" w:rsidRDefault="009F07E3" w:rsidP="00ED1BAF">
            <w:pPr>
              <w:jc w:val="center"/>
              <w:rPr>
                <w:rFonts w:ascii="Arial Narrow" w:hAnsi="Arial Narrow"/>
                <w:b/>
                <w:sz w:val="20"/>
              </w:rPr>
            </w:pPr>
            <w:r w:rsidRPr="006F393A">
              <w:rPr>
                <w:rFonts w:ascii="Arial Narrow" w:hAnsi="Arial Narrow"/>
                <w:b/>
                <w:sz w:val="20"/>
              </w:rPr>
              <w:t>NS5B polymerase inhibitor</w:t>
            </w:r>
          </w:p>
        </w:tc>
        <w:tc>
          <w:tcPr>
            <w:tcW w:w="1735" w:type="dxa"/>
          </w:tcPr>
          <w:p w:rsidR="009F07E3" w:rsidRPr="006F393A" w:rsidRDefault="009F07E3" w:rsidP="00ED1BAF">
            <w:pPr>
              <w:jc w:val="center"/>
              <w:rPr>
                <w:rFonts w:ascii="Arial Narrow" w:hAnsi="Arial Narrow"/>
                <w:b/>
                <w:sz w:val="20"/>
              </w:rPr>
            </w:pPr>
            <w:r w:rsidRPr="006F393A">
              <w:rPr>
                <w:rFonts w:ascii="Arial Narrow" w:hAnsi="Arial Narrow"/>
                <w:b/>
                <w:sz w:val="20"/>
              </w:rPr>
              <w:t>Other</w:t>
            </w:r>
          </w:p>
        </w:tc>
      </w:tr>
      <w:tr w:rsidR="009F07E3" w:rsidRPr="006F393A" w:rsidTr="00ED1BAF">
        <w:tc>
          <w:tcPr>
            <w:tcW w:w="1485" w:type="dxa"/>
          </w:tcPr>
          <w:p w:rsidR="009F07E3" w:rsidRPr="006F393A" w:rsidRDefault="009F07E3" w:rsidP="00ED1BAF">
            <w:pPr>
              <w:jc w:val="center"/>
              <w:rPr>
                <w:rFonts w:ascii="Arial Narrow" w:hAnsi="Arial Narrow"/>
                <w:sz w:val="20"/>
              </w:rPr>
            </w:pPr>
            <w:proofErr w:type="spellStart"/>
            <w:r w:rsidRPr="006F393A">
              <w:rPr>
                <w:rFonts w:ascii="Arial Narrow" w:hAnsi="Arial Narrow"/>
                <w:sz w:val="20"/>
              </w:rPr>
              <w:t>Viekira</w:t>
            </w:r>
            <w:proofErr w:type="spellEnd"/>
            <w:r w:rsidRPr="006F393A">
              <w:rPr>
                <w:rFonts w:ascii="Arial Narrow" w:hAnsi="Arial Narrow"/>
                <w:sz w:val="20"/>
              </w:rPr>
              <w:t xml:space="preserve"> PAK</w:t>
            </w:r>
          </w:p>
          <w:p w:rsidR="009F07E3" w:rsidRPr="006F393A" w:rsidRDefault="00ED1BAF" w:rsidP="00ED1BAF">
            <w:pPr>
              <w:jc w:val="center"/>
              <w:rPr>
                <w:rFonts w:ascii="Arial Narrow" w:hAnsi="Arial Narrow"/>
                <w:sz w:val="20"/>
              </w:rPr>
            </w:pPr>
            <w:proofErr w:type="spellStart"/>
            <w:r w:rsidRPr="006F393A">
              <w:rPr>
                <w:rFonts w:ascii="Arial Narrow" w:hAnsi="Arial Narrow"/>
                <w:sz w:val="20"/>
              </w:rPr>
              <w:t>Viekira</w:t>
            </w:r>
            <w:proofErr w:type="spellEnd"/>
            <w:r w:rsidRPr="006F393A">
              <w:rPr>
                <w:rFonts w:ascii="Arial Narrow" w:hAnsi="Arial Narrow"/>
                <w:sz w:val="20"/>
              </w:rPr>
              <w:t xml:space="preserve"> PAK</w:t>
            </w:r>
            <w:r w:rsidR="009F07E3" w:rsidRPr="006F393A">
              <w:rPr>
                <w:rFonts w:ascii="Arial Narrow" w:hAnsi="Arial Narrow"/>
                <w:sz w:val="20"/>
              </w:rPr>
              <w:t>-RBV</w:t>
            </w:r>
          </w:p>
        </w:tc>
        <w:tc>
          <w:tcPr>
            <w:tcW w:w="1559" w:type="dxa"/>
          </w:tcPr>
          <w:p w:rsidR="009F07E3" w:rsidRPr="006F393A" w:rsidRDefault="009F07E3" w:rsidP="00ED1BAF">
            <w:pPr>
              <w:jc w:val="center"/>
              <w:rPr>
                <w:rFonts w:ascii="Arial Narrow" w:hAnsi="Arial Narrow"/>
                <w:sz w:val="20"/>
              </w:rPr>
            </w:pPr>
            <w:proofErr w:type="spellStart"/>
            <w:r w:rsidRPr="006F393A">
              <w:rPr>
                <w:rFonts w:ascii="Arial Narrow" w:hAnsi="Arial Narrow"/>
                <w:sz w:val="20"/>
              </w:rPr>
              <w:t>Paritaprevir</w:t>
            </w:r>
            <w:proofErr w:type="spellEnd"/>
          </w:p>
          <w:p w:rsidR="009F07E3" w:rsidRPr="006F393A" w:rsidRDefault="009F07E3" w:rsidP="00ED1BAF">
            <w:pPr>
              <w:jc w:val="center"/>
              <w:rPr>
                <w:rFonts w:ascii="Arial Narrow" w:hAnsi="Arial Narrow"/>
                <w:sz w:val="20"/>
              </w:rPr>
            </w:pPr>
          </w:p>
        </w:tc>
        <w:tc>
          <w:tcPr>
            <w:tcW w:w="1134" w:type="dxa"/>
          </w:tcPr>
          <w:p w:rsidR="009F07E3" w:rsidRPr="006F393A" w:rsidRDefault="009F07E3" w:rsidP="00ED1BAF">
            <w:pPr>
              <w:jc w:val="center"/>
              <w:rPr>
                <w:rFonts w:ascii="Arial Narrow" w:hAnsi="Arial Narrow"/>
                <w:sz w:val="20"/>
              </w:rPr>
            </w:pPr>
            <w:proofErr w:type="spellStart"/>
            <w:r w:rsidRPr="006F393A">
              <w:rPr>
                <w:rFonts w:ascii="Arial Narrow" w:hAnsi="Arial Narrow"/>
                <w:sz w:val="20"/>
              </w:rPr>
              <w:t>Ombitasvir</w:t>
            </w:r>
            <w:proofErr w:type="spellEnd"/>
          </w:p>
        </w:tc>
        <w:tc>
          <w:tcPr>
            <w:tcW w:w="1843" w:type="dxa"/>
          </w:tcPr>
          <w:p w:rsidR="009F07E3" w:rsidRPr="006F393A" w:rsidRDefault="009F07E3" w:rsidP="00ED1BAF">
            <w:pPr>
              <w:jc w:val="center"/>
              <w:rPr>
                <w:rFonts w:ascii="Arial Narrow" w:hAnsi="Arial Narrow"/>
                <w:sz w:val="20"/>
              </w:rPr>
            </w:pPr>
            <w:proofErr w:type="spellStart"/>
            <w:r w:rsidRPr="006F393A">
              <w:rPr>
                <w:rFonts w:ascii="Arial Narrow" w:hAnsi="Arial Narrow"/>
                <w:sz w:val="20"/>
              </w:rPr>
              <w:t>Dasabuvir</w:t>
            </w:r>
            <w:proofErr w:type="spellEnd"/>
            <w:r w:rsidRPr="006F393A">
              <w:rPr>
                <w:rFonts w:ascii="Arial Narrow" w:hAnsi="Arial Narrow"/>
                <w:sz w:val="20"/>
              </w:rPr>
              <w:t xml:space="preserve"> (Non-nucleoside inhibitor)</w:t>
            </w:r>
          </w:p>
        </w:tc>
        <w:tc>
          <w:tcPr>
            <w:tcW w:w="1735" w:type="dxa"/>
          </w:tcPr>
          <w:p w:rsidR="009F07E3" w:rsidRPr="006F393A" w:rsidRDefault="009F07E3" w:rsidP="00ED1BAF">
            <w:pPr>
              <w:jc w:val="center"/>
              <w:rPr>
                <w:rFonts w:ascii="Arial Narrow" w:hAnsi="Arial Narrow"/>
                <w:sz w:val="20"/>
              </w:rPr>
            </w:pPr>
            <w:r w:rsidRPr="006F393A">
              <w:rPr>
                <w:rFonts w:ascii="Arial Narrow" w:hAnsi="Arial Narrow"/>
                <w:sz w:val="20"/>
              </w:rPr>
              <w:t>Ritonavir (pharmacokinetic enhancer)</w:t>
            </w:r>
          </w:p>
          <w:p w:rsidR="009F07E3" w:rsidRPr="006F393A" w:rsidRDefault="009F07E3" w:rsidP="00ED1BAF">
            <w:pPr>
              <w:jc w:val="center"/>
              <w:rPr>
                <w:rFonts w:ascii="Arial Narrow" w:hAnsi="Arial Narrow"/>
                <w:sz w:val="20"/>
              </w:rPr>
            </w:pPr>
            <w:r w:rsidRPr="006F393A">
              <w:rPr>
                <w:rFonts w:ascii="Arial Narrow" w:hAnsi="Arial Narrow"/>
                <w:sz w:val="20"/>
              </w:rPr>
              <w:t>Ribavirin</w:t>
            </w:r>
          </w:p>
        </w:tc>
      </w:tr>
      <w:tr w:rsidR="009F07E3" w:rsidRPr="006F393A" w:rsidTr="00ED1BAF">
        <w:tc>
          <w:tcPr>
            <w:tcW w:w="1485" w:type="dxa"/>
          </w:tcPr>
          <w:p w:rsidR="009F07E3" w:rsidRPr="006F393A" w:rsidRDefault="009F07E3" w:rsidP="00013746">
            <w:pPr>
              <w:jc w:val="center"/>
              <w:rPr>
                <w:rFonts w:ascii="Arial Narrow" w:hAnsi="Arial Narrow"/>
                <w:sz w:val="20"/>
              </w:rPr>
            </w:pPr>
            <w:r w:rsidRPr="006F393A">
              <w:rPr>
                <w:rFonts w:ascii="Arial Narrow" w:hAnsi="Arial Narrow"/>
                <w:sz w:val="20"/>
              </w:rPr>
              <w:t>Other</w:t>
            </w:r>
            <w:r w:rsidR="00ED1BAF" w:rsidRPr="006F393A">
              <w:rPr>
                <w:rFonts w:ascii="Arial Narrow" w:hAnsi="Arial Narrow"/>
                <w:sz w:val="20"/>
              </w:rPr>
              <w:t xml:space="preserve"> D</w:t>
            </w:r>
            <w:r w:rsidR="00013746" w:rsidRPr="006F393A">
              <w:rPr>
                <w:rFonts w:ascii="Arial Narrow" w:hAnsi="Arial Narrow"/>
                <w:sz w:val="20"/>
              </w:rPr>
              <w:t>A</w:t>
            </w:r>
            <w:r w:rsidR="00ED1BAF" w:rsidRPr="006F393A">
              <w:rPr>
                <w:rFonts w:ascii="Arial Narrow" w:hAnsi="Arial Narrow"/>
                <w:sz w:val="20"/>
              </w:rPr>
              <w:t>As</w:t>
            </w:r>
          </w:p>
        </w:tc>
        <w:tc>
          <w:tcPr>
            <w:tcW w:w="1559" w:type="dxa"/>
          </w:tcPr>
          <w:p w:rsidR="009F07E3" w:rsidRPr="006F393A" w:rsidRDefault="009F07E3" w:rsidP="00ED1BAF">
            <w:pPr>
              <w:jc w:val="center"/>
              <w:rPr>
                <w:rFonts w:ascii="Arial Narrow" w:hAnsi="Arial Narrow"/>
                <w:sz w:val="20"/>
              </w:rPr>
            </w:pPr>
            <w:proofErr w:type="spellStart"/>
            <w:r w:rsidRPr="006F393A">
              <w:rPr>
                <w:rFonts w:ascii="Arial Narrow" w:hAnsi="Arial Narrow"/>
                <w:sz w:val="20"/>
              </w:rPr>
              <w:t>Boceprevir</w:t>
            </w:r>
            <w:proofErr w:type="spellEnd"/>
          </w:p>
          <w:p w:rsidR="009F07E3" w:rsidRPr="006F393A" w:rsidRDefault="009F07E3" w:rsidP="00ED1BAF">
            <w:pPr>
              <w:jc w:val="center"/>
              <w:rPr>
                <w:rFonts w:ascii="Arial Narrow" w:hAnsi="Arial Narrow"/>
                <w:sz w:val="20"/>
              </w:rPr>
            </w:pPr>
            <w:proofErr w:type="spellStart"/>
            <w:r w:rsidRPr="006F393A">
              <w:rPr>
                <w:rFonts w:ascii="Arial Narrow" w:hAnsi="Arial Narrow"/>
                <w:sz w:val="20"/>
              </w:rPr>
              <w:t>Telaprevir</w:t>
            </w:r>
            <w:proofErr w:type="spellEnd"/>
          </w:p>
          <w:p w:rsidR="009F07E3" w:rsidRPr="006F393A" w:rsidRDefault="009F07E3" w:rsidP="00ED1BAF">
            <w:pPr>
              <w:jc w:val="center"/>
              <w:rPr>
                <w:rFonts w:ascii="Arial Narrow" w:hAnsi="Arial Narrow"/>
                <w:sz w:val="20"/>
              </w:rPr>
            </w:pPr>
            <w:proofErr w:type="spellStart"/>
            <w:r w:rsidRPr="006F393A">
              <w:rPr>
                <w:rFonts w:ascii="Arial Narrow" w:hAnsi="Arial Narrow"/>
                <w:sz w:val="20"/>
              </w:rPr>
              <w:t>Simeprevir</w:t>
            </w:r>
            <w:proofErr w:type="spellEnd"/>
          </w:p>
          <w:p w:rsidR="009F07E3" w:rsidRPr="006F393A" w:rsidRDefault="009F07E3" w:rsidP="00ED1BAF">
            <w:pPr>
              <w:jc w:val="center"/>
              <w:rPr>
                <w:rFonts w:ascii="Arial Narrow" w:hAnsi="Arial Narrow"/>
                <w:sz w:val="20"/>
              </w:rPr>
            </w:pPr>
            <w:proofErr w:type="spellStart"/>
            <w:r w:rsidRPr="006F393A">
              <w:rPr>
                <w:rFonts w:ascii="Arial Narrow" w:hAnsi="Arial Narrow"/>
                <w:sz w:val="20"/>
              </w:rPr>
              <w:t>Asunaprevir</w:t>
            </w:r>
            <w:proofErr w:type="spellEnd"/>
          </w:p>
        </w:tc>
        <w:tc>
          <w:tcPr>
            <w:tcW w:w="1134" w:type="dxa"/>
          </w:tcPr>
          <w:p w:rsidR="009F07E3" w:rsidRPr="006F393A" w:rsidRDefault="009F07E3" w:rsidP="00ED1BAF">
            <w:pPr>
              <w:jc w:val="center"/>
              <w:rPr>
                <w:rFonts w:ascii="Arial Narrow" w:hAnsi="Arial Narrow"/>
                <w:sz w:val="20"/>
              </w:rPr>
            </w:pPr>
            <w:proofErr w:type="spellStart"/>
            <w:r w:rsidRPr="006F393A">
              <w:rPr>
                <w:rFonts w:ascii="Arial Narrow" w:hAnsi="Arial Narrow"/>
                <w:sz w:val="20"/>
              </w:rPr>
              <w:t>Ledipasvir</w:t>
            </w:r>
            <w:proofErr w:type="spellEnd"/>
          </w:p>
          <w:p w:rsidR="009F07E3" w:rsidRPr="006F393A" w:rsidRDefault="009F07E3" w:rsidP="00ED1BAF">
            <w:pPr>
              <w:jc w:val="center"/>
              <w:rPr>
                <w:rFonts w:ascii="Arial Narrow" w:hAnsi="Arial Narrow"/>
                <w:sz w:val="20"/>
              </w:rPr>
            </w:pPr>
            <w:proofErr w:type="spellStart"/>
            <w:r w:rsidRPr="006F393A">
              <w:rPr>
                <w:rFonts w:ascii="Arial Narrow" w:hAnsi="Arial Narrow"/>
                <w:sz w:val="20"/>
              </w:rPr>
              <w:t>Daclatasvir</w:t>
            </w:r>
            <w:proofErr w:type="spellEnd"/>
          </w:p>
          <w:p w:rsidR="009F07E3" w:rsidRPr="006F393A" w:rsidRDefault="009F07E3" w:rsidP="00ED1BAF">
            <w:pPr>
              <w:jc w:val="center"/>
              <w:rPr>
                <w:rFonts w:ascii="Arial Narrow" w:hAnsi="Arial Narrow"/>
                <w:sz w:val="20"/>
              </w:rPr>
            </w:pPr>
          </w:p>
        </w:tc>
        <w:tc>
          <w:tcPr>
            <w:tcW w:w="1843" w:type="dxa"/>
          </w:tcPr>
          <w:p w:rsidR="009F07E3" w:rsidRPr="006F393A" w:rsidRDefault="009F07E3" w:rsidP="00ED1BAF">
            <w:pPr>
              <w:jc w:val="center"/>
              <w:rPr>
                <w:rFonts w:ascii="Arial Narrow" w:hAnsi="Arial Narrow"/>
                <w:sz w:val="20"/>
              </w:rPr>
            </w:pPr>
            <w:proofErr w:type="spellStart"/>
            <w:r w:rsidRPr="006F393A">
              <w:rPr>
                <w:rFonts w:ascii="Arial Narrow" w:hAnsi="Arial Narrow"/>
                <w:sz w:val="20"/>
              </w:rPr>
              <w:t>Sofosbuvir</w:t>
            </w:r>
            <w:proofErr w:type="spellEnd"/>
            <w:r w:rsidRPr="006F393A">
              <w:rPr>
                <w:rFonts w:ascii="Arial Narrow" w:hAnsi="Arial Narrow"/>
                <w:sz w:val="20"/>
              </w:rPr>
              <w:t xml:space="preserve"> (Nucleotide </w:t>
            </w:r>
            <w:r w:rsidR="000B6BDA" w:rsidRPr="006F393A">
              <w:rPr>
                <w:rFonts w:ascii="Arial Narrow" w:hAnsi="Arial Narrow"/>
                <w:sz w:val="20"/>
              </w:rPr>
              <w:t>analogue</w:t>
            </w:r>
            <w:r w:rsidRPr="006F393A">
              <w:rPr>
                <w:rFonts w:ascii="Arial Narrow" w:hAnsi="Arial Narrow"/>
                <w:sz w:val="20"/>
              </w:rPr>
              <w:t xml:space="preserve"> inhibitor)</w:t>
            </w:r>
          </w:p>
        </w:tc>
        <w:tc>
          <w:tcPr>
            <w:tcW w:w="1735" w:type="dxa"/>
          </w:tcPr>
          <w:p w:rsidR="009F07E3" w:rsidRPr="006F393A" w:rsidRDefault="009F07E3" w:rsidP="00ED1BAF">
            <w:pPr>
              <w:jc w:val="center"/>
              <w:rPr>
                <w:rFonts w:ascii="Arial Narrow" w:hAnsi="Arial Narrow"/>
                <w:sz w:val="20"/>
              </w:rPr>
            </w:pPr>
            <w:r w:rsidRPr="006F393A">
              <w:rPr>
                <w:rFonts w:ascii="Arial Narrow" w:hAnsi="Arial Narrow"/>
                <w:sz w:val="20"/>
              </w:rPr>
              <w:t>Ribavirin</w:t>
            </w:r>
          </w:p>
        </w:tc>
      </w:tr>
    </w:tbl>
    <w:p w:rsidR="009F07E3" w:rsidRPr="006F393A" w:rsidRDefault="009F07E3" w:rsidP="00ED1BAF">
      <w:pPr>
        <w:pStyle w:val="PBACHeading1"/>
        <w:numPr>
          <w:ilvl w:val="0"/>
          <w:numId w:val="0"/>
        </w:numPr>
      </w:pPr>
    </w:p>
    <w:p w:rsidR="00ED3017" w:rsidRPr="006F393A" w:rsidRDefault="00ED3017" w:rsidP="00ED3017">
      <w:pPr>
        <w:pStyle w:val="ListParagraph"/>
        <w:rPr>
          <w:i/>
          <w:szCs w:val="22"/>
        </w:rPr>
      </w:pPr>
    </w:p>
    <w:p w:rsidR="00ED3017" w:rsidRPr="006F393A" w:rsidRDefault="00ED3017" w:rsidP="00997EDA">
      <w:pPr>
        <w:pStyle w:val="ListParagraph"/>
        <w:widowControl/>
        <w:numPr>
          <w:ilvl w:val="1"/>
          <w:numId w:val="1"/>
        </w:numPr>
        <w:rPr>
          <w:szCs w:val="22"/>
        </w:rPr>
      </w:pPr>
      <w:r w:rsidRPr="006F393A">
        <w:rPr>
          <w:szCs w:val="22"/>
        </w:rPr>
        <w:t>The duration of therapy and addition of ribavirin are dependent on the patient population</w:t>
      </w:r>
      <w:r w:rsidR="00CE4AFC" w:rsidRPr="006F393A">
        <w:rPr>
          <w:szCs w:val="22"/>
        </w:rPr>
        <w:t>.</w:t>
      </w:r>
      <w:r w:rsidRPr="006F393A">
        <w:rPr>
          <w:szCs w:val="22"/>
        </w:rPr>
        <w:t xml:space="preserve"> </w:t>
      </w:r>
      <w:r w:rsidR="00C94808" w:rsidRPr="006F393A">
        <w:rPr>
          <w:szCs w:val="22"/>
        </w:rPr>
        <w:t xml:space="preserve"> In Section E of the submission, in year 1 of listing </w:t>
      </w:r>
      <w:r w:rsidR="00C87712">
        <w:rPr>
          <w:noProof/>
          <w:color w:val="000000"/>
          <w:szCs w:val="22"/>
          <w:highlight w:val="black"/>
        </w:rPr>
        <w:t>'''''''</w:t>
      </w:r>
      <w:r w:rsidR="00C94808" w:rsidRPr="006F393A">
        <w:rPr>
          <w:szCs w:val="22"/>
        </w:rPr>
        <w:t xml:space="preserve">% of patients was assumed to be treated with 24 weeks of </w:t>
      </w:r>
      <w:proofErr w:type="spellStart"/>
      <w:r w:rsidR="00C94808" w:rsidRPr="006F393A">
        <w:rPr>
          <w:szCs w:val="22"/>
        </w:rPr>
        <w:t>V</w:t>
      </w:r>
      <w:r w:rsidR="00206325" w:rsidRPr="006F393A">
        <w:rPr>
          <w:szCs w:val="22"/>
        </w:rPr>
        <w:t>iekira</w:t>
      </w:r>
      <w:proofErr w:type="spellEnd"/>
      <w:r w:rsidR="00206325" w:rsidRPr="006F393A">
        <w:rPr>
          <w:szCs w:val="22"/>
        </w:rPr>
        <w:t xml:space="preserve"> PAK–RBV, which decreased </w:t>
      </w:r>
      <w:r w:rsidR="00C94808" w:rsidRPr="006F393A">
        <w:rPr>
          <w:szCs w:val="22"/>
        </w:rPr>
        <w:t xml:space="preserve">to </w:t>
      </w:r>
      <w:r w:rsidR="00C87712">
        <w:rPr>
          <w:noProof/>
          <w:color w:val="000000"/>
          <w:szCs w:val="22"/>
          <w:highlight w:val="black"/>
        </w:rPr>
        <w:t>'''''''</w:t>
      </w:r>
      <w:r w:rsidR="00C94808" w:rsidRPr="006F393A">
        <w:rPr>
          <w:szCs w:val="22"/>
        </w:rPr>
        <w:t>% in year 5 a</w:t>
      </w:r>
      <w:r w:rsidR="00013746" w:rsidRPr="006F393A">
        <w:rPr>
          <w:szCs w:val="22"/>
        </w:rPr>
        <w:t>s</w:t>
      </w:r>
      <w:r w:rsidR="00C94808" w:rsidRPr="006F393A">
        <w:rPr>
          <w:szCs w:val="22"/>
        </w:rPr>
        <w:t xml:space="preserve"> this pool of </w:t>
      </w:r>
      <w:r w:rsidR="00013746" w:rsidRPr="006F393A">
        <w:rPr>
          <w:szCs w:val="22"/>
        </w:rPr>
        <w:t>previously treated</w:t>
      </w:r>
      <w:r w:rsidR="00013746" w:rsidRPr="006F393A">
        <w:rPr>
          <w:i/>
          <w:szCs w:val="22"/>
        </w:rPr>
        <w:t xml:space="preserve"> </w:t>
      </w:r>
      <w:r w:rsidR="00C94808" w:rsidRPr="006F393A">
        <w:rPr>
          <w:szCs w:val="22"/>
        </w:rPr>
        <w:t xml:space="preserve">patients </w:t>
      </w:r>
      <w:r w:rsidR="00E9193F" w:rsidRPr="006F393A">
        <w:rPr>
          <w:szCs w:val="22"/>
        </w:rPr>
        <w:t>are</w:t>
      </w:r>
      <w:r w:rsidR="00C94808" w:rsidRPr="006F393A">
        <w:rPr>
          <w:szCs w:val="22"/>
        </w:rPr>
        <w:t xml:space="preserve"> treated. </w:t>
      </w:r>
      <w:r w:rsidR="00E9193F" w:rsidRPr="006F393A">
        <w:rPr>
          <w:szCs w:val="22"/>
        </w:rPr>
        <w:t xml:space="preserve">Currently, the </w:t>
      </w:r>
      <w:r w:rsidR="00E9193F" w:rsidRPr="006F393A">
        <w:t xml:space="preserve">American Association for the Study of Liver Disease (AASLD) guidelines recommends a broader population of patients be treated with </w:t>
      </w:r>
      <w:r w:rsidR="00E9193F" w:rsidRPr="006F393A">
        <w:rPr>
          <w:szCs w:val="22"/>
        </w:rPr>
        <w:t xml:space="preserve">24 weeks of </w:t>
      </w:r>
      <w:proofErr w:type="spellStart"/>
      <w:r w:rsidR="00E9193F" w:rsidRPr="006F393A">
        <w:rPr>
          <w:szCs w:val="22"/>
        </w:rPr>
        <w:t>Viekira</w:t>
      </w:r>
      <w:proofErr w:type="spellEnd"/>
      <w:r w:rsidR="00E9193F" w:rsidRPr="006F393A">
        <w:rPr>
          <w:szCs w:val="22"/>
        </w:rPr>
        <w:t xml:space="preserve"> PAK–RBV than </w:t>
      </w:r>
      <w:r w:rsidR="00E9193F" w:rsidRPr="006F393A">
        <w:t xml:space="preserve">Genotype 1a, with cirrhosis, with null response to prior treatment. </w:t>
      </w:r>
    </w:p>
    <w:p w:rsidR="00ED3017" w:rsidRPr="006F393A" w:rsidRDefault="00ED3017" w:rsidP="00ED3017">
      <w:pPr>
        <w:widowControl/>
        <w:rPr>
          <w:szCs w:val="22"/>
        </w:rPr>
      </w:pPr>
    </w:p>
    <w:p w:rsidR="00E32920" w:rsidRPr="006F393A" w:rsidRDefault="00E32920" w:rsidP="00E32920">
      <w:pPr>
        <w:pStyle w:val="Caption"/>
        <w:keepNext/>
        <w:ind w:left="720"/>
      </w:pPr>
      <w:r w:rsidRPr="006F393A">
        <w:t xml:space="preserve">Table </w:t>
      </w:r>
      <w:r w:rsidR="007B6A5B" w:rsidRPr="006F393A">
        <w:t>2</w:t>
      </w:r>
      <w:r w:rsidRPr="006F393A">
        <w:t xml:space="preserve">: Dosing and duration of treatment with </w:t>
      </w:r>
      <w:proofErr w:type="spellStart"/>
      <w:r w:rsidRPr="006F393A">
        <w:t>Viekira</w:t>
      </w:r>
      <w:proofErr w:type="spellEnd"/>
      <w:r w:rsidRPr="006F393A">
        <w:t xml:space="preserve"> PAK / </w:t>
      </w:r>
      <w:proofErr w:type="spellStart"/>
      <w:r w:rsidRPr="006F393A">
        <w:t>Viekira</w:t>
      </w:r>
      <w:proofErr w:type="spellEnd"/>
      <w:r w:rsidRPr="006F393A">
        <w:t xml:space="preserve"> PAK-RBV</w:t>
      </w:r>
    </w:p>
    <w:tbl>
      <w:tblPr>
        <w:tblStyle w:val="TableGrid"/>
        <w:tblW w:w="4580" w:type="pct"/>
        <w:tblInd w:w="720" w:type="dxa"/>
        <w:tblLook w:val="04A0" w:firstRow="1" w:lastRow="0" w:firstColumn="1" w:lastColumn="0" w:noHBand="0" w:noVBand="1"/>
        <w:tblCaption w:val="Table 2: Dosing and duration of treatment with Viekira PAK / Viekira PAK-RBV"/>
        <w:tblDescription w:val="This table explains the dosing and duration of treatment with Viekira PAK and Viekira PAK-RBV according to population (i.e. genotype)"/>
      </w:tblPr>
      <w:tblGrid>
        <w:gridCol w:w="1804"/>
        <w:gridCol w:w="1835"/>
        <w:gridCol w:w="2124"/>
        <w:gridCol w:w="2703"/>
      </w:tblGrid>
      <w:tr w:rsidR="00E32920" w:rsidRPr="006F393A" w:rsidTr="0028796E">
        <w:trPr>
          <w:tblHeader/>
        </w:trPr>
        <w:tc>
          <w:tcPr>
            <w:tcW w:w="1951" w:type="dxa"/>
            <w:vAlign w:val="center"/>
          </w:tcPr>
          <w:p w:rsidR="00E32920" w:rsidRPr="006F393A" w:rsidRDefault="00E32920" w:rsidP="007E6B69">
            <w:pPr>
              <w:pStyle w:val="TableText0"/>
              <w:spacing w:before="0" w:after="0"/>
            </w:pPr>
            <w:r w:rsidRPr="006F393A">
              <w:t>Population</w:t>
            </w:r>
          </w:p>
        </w:tc>
        <w:tc>
          <w:tcPr>
            <w:tcW w:w="1985" w:type="dxa"/>
            <w:vAlign w:val="center"/>
          </w:tcPr>
          <w:p w:rsidR="00E32920" w:rsidRPr="006F393A" w:rsidRDefault="00E32920" w:rsidP="007E6B69">
            <w:pPr>
              <w:pStyle w:val="TableText0"/>
              <w:spacing w:before="0" w:after="0"/>
            </w:pPr>
            <w:r w:rsidRPr="006F393A">
              <w:t>Treatment, packs and duration</w:t>
            </w:r>
          </w:p>
        </w:tc>
        <w:tc>
          <w:tcPr>
            <w:tcW w:w="2268" w:type="dxa"/>
            <w:vAlign w:val="center"/>
          </w:tcPr>
          <w:p w:rsidR="00E32920" w:rsidRPr="006F393A" w:rsidRDefault="00E32920" w:rsidP="007E6B69">
            <w:pPr>
              <w:pStyle w:val="TableText0"/>
              <w:spacing w:before="0" w:after="0"/>
            </w:pPr>
            <w:r w:rsidRPr="006F393A">
              <w:t>Dosing</w:t>
            </w:r>
          </w:p>
        </w:tc>
        <w:tc>
          <w:tcPr>
            <w:tcW w:w="3038" w:type="dxa"/>
            <w:vAlign w:val="center"/>
          </w:tcPr>
          <w:p w:rsidR="00E32920" w:rsidRPr="006F393A" w:rsidRDefault="00E32920" w:rsidP="007E6B69">
            <w:pPr>
              <w:pStyle w:val="TableText0"/>
              <w:spacing w:before="0" w:after="0"/>
            </w:pPr>
            <w:r w:rsidRPr="006F393A">
              <w:t>Ribavirin dosing</w:t>
            </w:r>
          </w:p>
        </w:tc>
      </w:tr>
      <w:tr w:rsidR="00E32920" w:rsidRPr="006F393A" w:rsidTr="0028796E">
        <w:tc>
          <w:tcPr>
            <w:tcW w:w="1951" w:type="dxa"/>
            <w:vAlign w:val="center"/>
          </w:tcPr>
          <w:p w:rsidR="00E32920" w:rsidRPr="006F393A" w:rsidRDefault="00E32920" w:rsidP="007E6B69">
            <w:pPr>
              <w:pStyle w:val="TableText0"/>
              <w:spacing w:before="0" w:after="0"/>
            </w:pPr>
            <w:r w:rsidRPr="006F393A">
              <w:t>Genotype 1b, non-cirrhotic</w:t>
            </w:r>
          </w:p>
        </w:tc>
        <w:tc>
          <w:tcPr>
            <w:tcW w:w="1985" w:type="dxa"/>
            <w:vAlign w:val="center"/>
          </w:tcPr>
          <w:p w:rsidR="00E32920" w:rsidRPr="006F393A" w:rsidRDefault="00E32920" w:rsidP="007E6B69">
            <w:pPr>
              <w:pStyle w:val="TableText0"/>
              <w:spacing w:before="0" w:after="0"/>
            </w:pPr>
            <w:proofErr w:type="spellStart"/>
            <w:r w:rsidRPr="006F393A">
              <w:t>Viekira</w:t>
            </w:r>
            <w:proofErr w:type="spellEnd"/>
            <w:r w:rsidRPr="006F393A">
              <w:t xml:space="preserve"> PAK</w:t>
            </w:r>
          </w:p>
          <w:p w:rsidR="00E32920" w:rsidRPr="006F393A" w:rsidRDefault="00E32920" w:rsidP="007E6B69">
            <w:pPr>
              <w:pStyle w:val="TableText0"/>
              <w:spacing w:before="0" w:after="0"/>
            </w:pPr>
            <w:r w:rsidRPr="006F393A">
              <w:t>1 pack + 2 repeats</w:t>
            </w:r>
          </w:p>
          <w:p w:rsidR="00E32920" w:rsidRPr="006F393A" w:rsidRDefault="00E32920" w:rsidP="007E6B69">
            <w:pPr>
              <w:pStyle w:val="TableText0"/>
              <w:spacing w:before="0" w:after="0"/>
            </w:pPr>
            <w:r w:rsidRPr="006F393A">
              <w:t>12 weeks</w:t>
            </w:r>
          </w:p>
        </w:tc>
        <w:tc>
          <w:tcPr>
            <w:tcW w:w="2268" w:type="dxa"/>
            <w:vMerge w:val="restart"/>
            <w:vAlign w:val="center"/>
          </w:tcPr>
          <w:p w:rsidR="00E32920" w:rsidRPr="006F393A" w:rsidRDefault="00E32920" w:rsidP="007E6B69">
            <w:pPr>
              <w:pStyle w:val="TableText0"/>
              <w:spacing w:before="0" w:after="0"/>
            </w:pPr>
            <w:r w:rsidRPr="006F393A">
              <w:t>2 x OMB/PAR/r (12.5/75/50mg) in the morning with food</w:t>
            </w:r>
          </w:p>
          <w:p w:rsidR="00E32920" w:rsidRPr="006F393A" w:rsidRDefault="00E32920" w:rsidP="007E6B69">
            <w:pPr>
              <w:pStyle w:val="TableText0"/>
              <w:spacing w:before="0" w:after="0"/>
            </w:pPr>
          </w:p>
          <w:p w:rsidR="00E32920" w:rsidRPr="006F393A" w:rsidRDefault="00E32920" w:rsidP="007E6B69">
            <w:pPr>
              <w:pStyle w:val="TableText0"/>
              <w:spacing w:before="0" w:after="0"/>
            </w:pPr>
            <w:r w:rsidRPr="006F393A">
              <w:t>1 x DSV (250mg) in the morning with food and 1 x DSV (250mg) in the evening with food.</w:t>
            </w:r>
          </w:p>
        </w:tc>
        <w:tc>
          <w:tcPr>
            <w:tcW w:w="3038" w:type="dxa"/>
            <w:vAlign w:val="center"/>
          </w:tcPr>
          <w:p w:rsidR="00E32920" w:rsidRPr="006F393A" w:rsidRDefault="00E32920" w:rsidP="007E6B69">
            <w:pPr>
              <w:pStyle w:val="TableText0"/>
              <w:spacing w:before="0" w:after="0"/>
            </w:pPr>
            <w:r w:rsidRPr="006F393A">
              <w:t>Nil</w:t>
            </w:r>
          </w:p>
        </w:tc>
      </w:tr>
      <w:tr w:rsidR="00E32920" w:rsidRPr="006F393A" w:rsidTr="0028796E">
        <w:tc>
          <w:tcPr>
            <w:tcW w:w="1951" w:type="dxa"/>
            <w:vAlign w:val="center"/>
          </w:tcPr>
          <w:p w:rsidR="00E32920" w:rsidRPr="006F393A" w:rsidRDefault="00E32920" w:rsidP="007E6B69">
            <w:pPr>
              <w:pStyle w:val="TableText0"/>
              <w:spacing w:before="0" w:after="0"/>
            </w:pPr>
            <w:r w:rsidRPr="006F393A">
              <w:t xml:space="preserve">Genotype 1a, with or without </w:t>
            </w:r>
            <w:proofErr w:type="spellStart"/>
            <w:r w:rsidRPr="006F393A">
              <w:t>cirrhosis</w:t>
            </w:r>
            <w:r w:rsidRPr="006F393A">
              <w:rPr>
                <w:vertAlign w:val="superscript"/>
              </w:rPr>
              <w:t>b</w:t>
            </w:r>
            <w:proofErr w:type="spellEnd"/>
          </w:p>
          <w:p w:rsidR="00E32920" w:rsidRPr="006F393A" w:rsidRDefault="00E32920" w:rsidP="007E6B69">
            <w:pPr>
              <w:pStyle w:val="TableText0"/>
              <w:spacing w:before="0" w:after="0"/>
            </w:pPr>
            <w:r w:rsidRPr="006F393A">
              <w:t>Genotype 1b, with cirrhosis</w:t>
            </w:r>
          </w:p>
        </w:tc>
        <w:tc>
          <w:tcPr>
            <w:tcW w:w="1985" w:type="dxa"/>
            <w:vAlign w:val="center"/>
          </w:tcPr>
          <w:p w:rsidR="00E32920" w:rsidRPr="006F393A" w:rsidRDefault="00E32920" w:rsidP="007E6B69">
            <w:pPr>
              <w:pStyle w:val="TableText0"/>
              <w:spacing w:before="0" w:after="0"/>
            </w:pPr>
            <w:proofErr w:type="spellStart"/>
            <w:r w:rsidRPr="006F393A">
              <w:t>Viekira</w:t>
            </w:r>
            <w:proofErr w:type="spellEnd"/>
            <w:r w:rsidRPr="006F393A">
              <w:t xml:space="preserve"> PAK-RBV</w:t>
            </w:r>
          </w:p>
          <w:p w:rsidR="00E32920" w:rsidRPr="006F393A" w:rsidRDefault="00E32920" w:rsidP="007E6B69">
            <w:pPr>
              <w:pStyle w:val="TableText0"/>
              <w:spacing w:before="0" w:after="0"/>
            </w:pPr>
            <w:r w:rsidRPr="006F393A">
              <w:t>1 pack + 2 repeats</w:t>
            </w:r>
          </w:p>
          <w:p w:rsidR="00E32920" w:rsidRPr="006F393A" w:rsidRDefault="00E32920" w:rsidP="007E6B69">
            <w:pPr>
              <w:pStyle w:val="TableText0"/>
              <w:spacing w:before="0" w:after="0"/>
            </w:pPr>
            <w:r w:rsidRPr="006F393A">
              <w:t>12 weeks</w:t>
            </w:r>
          </w:p>
        </w:tc>
        <w:tc>
          <w:tcPr>
            <w:tcW w:w="2268" w:type="dxa"/>
            <w:vMerge/>
            <w:vAlign w:val="center"/>
          </w:tcPr>
          <w:p w:rsidR="00E32920" w:rsidRPr="006F393A" w:rsidRDefault="00E32920" w:rsidP="007E6B69">
            <w:pPr>
              <w:pStyle w:val="TableText0"/>
              <w:spacing w:before="0" w:after="0"/>
            </w:pPr>
          </w:p>
        </w:tc>
        <w:tc>
          <w:tcPr>
            <w:tcW w:w="3038" w:type="dxa"/>
            <w:vMerge w:val="restart"/>
            <w:vAlign w:val="center"/>
          </w:tcPr>
          <w:p w:rsidR="00E32920" w:rsidRPr="006F393A" w:rsidRDefault="00E32920" w:rsidP="007E6B69">
            <w:pPr>
              <w:pStyle w:val="TableText0"/>
              <w:spacing w:before="0" w:after="0"/>
            </w:pPr>
            <w:r w:rsidRPr="006F393A">
              <w:t>For patients &lt;75kg</w:t>
            </w:r>
          </w:p>
          <w:p w:rsidR="00E32920" w:rsidRPr="006F393A" w:rsidRDefault="00E32920" w:rsidP="007E6B69">
            <w:pPr>
              <w:pStyle w:val="TableText0"/>
              <w:spacing w:before="0" w:after="0"/>
            </w:pPr>
            <w:r w:rsidRPr="006F393A">
              <w:t>3 x 200mg tablets in the morning and 2 x 200mg tablets in the evening</w:t>
            </w:r>
          </w:p>
          <w:p w:rsidR="00E32920" w:rsidRPr="006F393A" w:rsidRDefault="00E32920" w:rsidP="007E6B69">
            <w:pPr>
              <w:pStyle w:val="TableText0"/>
              <w:spacing w:before="0" w:after="0"/>
            </w:pPr>
            <w:r w:rsidRPr="006F393A">
              <w:t>For patients ≥75kg</w:t>
            </w:r>
          </w:p>
          <w:p w:rsidR="00E32920" w:rsidRPr="006F393A" w:rsidRDefault="00E32920" w:rsidP="007E6B69">
            <w:pPr>
              <w:pStyle w:val="TableText0"/>
              <w:spacing w:before="0" w:after="0"/>
            </w:pPr>
            <w:r w:rsidRPr="006F393A">
              <w:t xml:space="preserve">1 x 600mg tablet in the morning and 1 x 600mg tablet in the </w:t>
            </w:r>
            <w:proofErr w:type="spellStart"/>
            <w:r w:rsidRPr="006F393A">
              <w:t>evening</w:t>
            </w:r>
            <w:r w:rsidRPr="006F393A">
              <w:rPr>
                <w:vertAlign w:val="superscript"/>
              </w:rPr>
              <w:t>a</w:t>
            </w:r>
            <w:proofErr w:type="spellEnd"/>
          </w:p>
        </w:tc>
      </w:tr>
      <w:tr w:rsidR="00E32920" w:rsidRPr="006F393A" w:rsidTr="0028796E">
        <w:tc>
          <w:tcPr>
            <w:tcW w:w="1951" w:type="dxa"/>
            <w:vAlign w:val="center"/>
          </w:tcPr>
          <w:p w:rsidR="00E32920" w:rsidRPr="006F393A" w:rsidRDefault="00E32920" w:rsidP="007E6B69">
            <w:pPr>
              <w:pStyle w:val="TableText0"/>
              <w:spacing w:before="0" w:after="0"/>
            </w:pPr>
            <w:r w:rsidRPr="006F393A">
              <w:t>Genotype 1a, with cirrhosis, with null response to prior treatment</w:t>
            </w:r>
          </w:p>
        </w:tc>
        <w:tc>
          <w:tcPr>
            <w:tcW w:w="1985" w:type="dxa"/>
            <w:vAlign w:val="center"/>
          </w:tcPr>
          <w:p w:rsidR="00E32920" w:rsidRPr="006F393A" w:rsidRDefault="00E32920" w:rsidP="007E6B69">
            <w:pPr>
              <w:pStyle w:val="TableText0"/>
              <w:spacing w:before="0" w:after="0"/>
            </w:pPr>
            <w:proofErr w:type="spellStart"/>
            <w:r w:rsidRPr="006F393A">
              <w:t>Viekira</w:t>
            </w:r>
            <w:proofErr w:type="spellEnd"/>
            <w:r w:rsidRPr="006F393A">
              <w:t xml:space="preserve"> PAK-RBV</w:t>
            </w:r>
          </w:p>
          <w:p w:rsidR="00E32920" w:rsidRPr="006F393A" w:rsidRDefault="00E32920" w:rsidP="007E6B69">
            <w:pPr>
              <w:pStyle w:val="TableText0"/>
              <w:spacing w:before="0" w:after="0"/>
            </w:pPr>
            <w:r w:rsidRPr="006F393A">
              <w:t>1 pack + 5 repeats</w:t>
            </w:r>
          </w:p>
          <w:p w:rsidR="00E32920" w:rsidRPr="006F393A" w:rsidRDefault="00E32920" w:rsidP="007E6B69">
            <w:pPr>
              <w:pStyle w:val="TableText0"/>
              <w:spacing w:before="0" w:after="0"/>
            </w:pPr>
            <w:r w:rsidRPr="006F393A">
              <w:t>24 weeks</w:t>
            </w:r>
          </w:p>
        </w:tc>
        <w:tc>
          <w:tcPr>
            <w:tcW w:w="2268" w:type="dxa"/>
            <w:vMerge/>
            <w:vAlign w:val="center"/>
          </w:tcPr>
          <w:p w:rsidR="00E32920" w:rsidRPr="006F393A" w:rsidRDefault="00E32920" w:rsidP="007E6B69">
            <w:pPr>
              <w:pStyle w:val="TableText0"/>
              <w:spacing w:before="0" w:after="0"/>
            </w:pPr>
          </w:p>
        </w:tc>
        <w:tc>
          <w:tcPr>
            <w:tcW w:w="3038" w:type="dxa"/>
            <w:vMerge/>
            <w:vAlign w:val="center"/>
          </w:tcPr>
          <w:p w:rsidR="00E32920" w:rsidRPr="006F393A" w:rsidRDefault="00E32920" w:rsidP="007E6B69">
            <w:pPr>
              <w:pStyle w:val="TableText0"/>
              <w:spacing w:before="0" w:after="0"/>
            </w:pPr>
          </w:p>
        </w:tc>
      </w:tr>
    </w:tbl>
    <w:p w:rsidR="00E32920" w:rsidRPr="006F393A" w:rsidRDefault="00E32920" w:rsidP="00E32920">
      <w:pPr>
        <w:pStyle w:val="TableFooter"/>
        <w:ind w:left="720"/>
      </w:pPr>
      <w:proofErr w:type="spellStart"/>
      <w:proofErr w:type="gramStart"/>
      <w:r w:rsidRPr="006F393A">
        <w:rPr>
          <w:vertAlign w:val="superscript"/>
        </w:rPr>
        <w:t>a</w:t>
      </w:r>
      <w:r w:rsidRPr="006F393A">
        <w:t>The</w:t>
      </w:r>
      <w:proofErr w:type="spellEnd"/>
      <w:proofErr w:type="gramEnd"/>
      <w:r w:rsidRPr="006F393A">
        <w:t xml:space="preserve"> submission proposes that patients could take 3x200mg morning and evening for patients ≥75kg. There are sufficient tablets (168) in the 200mg ribavirin preparation to permit this.</w:t>
      </w:r>
    </w:p>
    <w:p w:rsidR="00E32920" w:rsidRPr="006F393A" w:rsidRDefault="00E32920" w:rsidP="00E32920">
      <w:pPr>
        <w:pStyle w:val="TableFooter"/>
        <w:ind w:left="720"/>
      </w:pPr>
      <w:proofErr w:type="spellStart"/>
      <w:proofErr w:type="gramStart"/>
      <w:r w:rsidRPr="006F393A">
        <w:rPr>
          <w:vertAlign w:val="superscript"/>
        </w:rPr>
        <w:t>b</w:t>
      </w:r>
      <w:r w:rsidRPr="006F393A">
        <w:t>Except</w:t>
      </w:r>
      <w:proofErr w:type="spellEnd"/>
      <w:proofErr w:type="gramEnd"/>
      <w:r w:rsidRPr="006F393A">
        <w:t xml:space="preserve"> cirrhotic patients who are null responders to previous treatment.</w:t>
      </w:r>
    </w:p>
    <w:p w:rsidR="00E32920" w:rsidRPr="006F393A" w:rsidRDefault="00E32920" w:rsidP="00E32920">
      <w:pPr>
        <w:pStyle w:val="TableFooter"/>
        <w:ind w:left="720"/>
      </w:pPr>
      <w:r w:rsidRPr="006F393A">
        <w:t xml:space="preserve">OMB = </w:t>
      </w:r>
      <w:proofErr w:type="spellStart"/>
      <w:r w:rsidRPr="006F393A">
        <w:t>ombitasvir</w:t>
      </w:r>
      <w:proofErr w:type="spellEnd"/>
      <w:r w:rsidRPr="006F393A">
        <w:t xml:space="preserve">; PAR = </w:t>
      </w:r>
      <w:proofErr w:type="spellStart"/>
      <w:r w:rsidRPr="006F393A">
        <w:t>paritaprevir</w:t>
      </w:r>
      <w:proofErr w:type="spellEnd"/>
      <w:r w:rsidRPr="006F393A">
        <w:t xml:space="preserve">; r = ritonavir; DSV = </w:t>
      </w:r>
      <w:proofErr w:type="spellStart"/>
      <w:r w:rsidRPr="006F393A">
        <w:t>dasabuvir</w:t>
      </w:r>
      <w:proofErr w:type="spellEnd"/>
      <w:r w:rsidRPr="006F393A">
        <w:t>; RBV = ribavirin.</w:t>
      </w:r>
    </w:p>
    <w:p w:rsidR="00E32920" w:rsidRPr="006F393A" w:rsidRDefault="00E32920" w:rsidP="00E32920">
      <w:pPr>
        <w:pStyle w:val="TableFooter"/>
        <w:ind w:left="720"/>
      </w:pPr>
      <w:r w:rsidRPr="006F393A">
        <w:t>Source: Table A-4, p55 of the submission</w:t>
      </w:r>
    </w:p>
    <w:p w:rsidR="00DF33D4" w:rsidRPr="006F393A" w:rsidRDefault="00DF33D4" w:rsidP="00ED3017">
      <w:pPr>
        <w:pStyle w:val="Header"/>
        <w:rPr>
          <w:szCs w:val="22"/>
        </w:rPr>
      </w:pPr>
    </w:p>
    <w:p w:rsidR="00BA4343" w:rsidRPr="006F393A" w:rsidRDefault="00BA4343" w:rsidP="00BA4343">
      <w:pPr>
        <w:pStyle w:val="Header"/>
        <w:ind w:firstLine="709"/>
        <w:rPr>
          <w:szCs w:val="22"/>
        </w:rPr>
      </w:pPr>
      <w:r w:rsidRPr="006F393A">
        <w:rPr>
          <w:i/>
          <w:szCs w:val="22"/>
        </w:rPr>
        <w:t>For more detail on PBAC’s view, see section 7 “PBAC outcome”</w:t>
      </w:r>
    </w:p>
    <w:p w:rsidR="00BA4343" w:rsidRPr="006F393A" w:rsidRDefault="00BA4343" w:rsidP="00ED3017">
      <w:pPr>
        <w:pStyle w:val="Header"/>
        <w:rPr>
          <w:szCs w:val="22"/>
        </w:rPr>
      </w:pPr>
    </w:p>
    <w:p w:rsidR="00ED3017" w:rsidRPr="006F393A" w:rsidRDefault="00ED3017" w:rsidP="00ED3017">
      <w:pPr>
        <w:pStyle w:val="PBACHeading1"/>
      </w:pPr>
      <w:bookmarkStart w:id="6" w:name="_Toc419383686"/>
      <w:r w:rsidRPr="006F393A">
        <w:t>Comparator</w:t>
      </w:r>
      <w:bookmarkEnd w:id="6"/>
    </w:p>
    <w:p w:rsidR="00ED3017" w:rsidRPr="006F393A" w:rsidRDefault="00ED3017" w:rsidP="00ED3017"/>
    <w:p w:rsidR="00ED3017" w:rsidRPr="006F393A" w:rsidRDefault="00ED3017" w:rsidP="00997EDA">
      <w:pPr>
        <w:pStyle w:val="ListParagraph"/>
        <w:widowControl/>
        <w:numPr>
          <w:ilvl w:val="1"/>
          <w:numId w:val="1"/>
        </w:numPr>
        <w:rPr>
          <w:szCs w:val="22"/>
        </w:rPr>
      </w:pPr>
      <w:r w:rsidRPr="006F393A">
        <w:t xml:space="preserve">The submission presented a number of comparisons of </w:t>
      </w:r>
      <w:proofErr w:type="spellStart"/>
      <w:r w:rsidRPr="006F393A">
        <w:t>Viekira</w:t>
      </w:r>
      <w:proofErr w:type="spellEnd"/>
      <w:r w:rsidRPr="006F393A">
        <w:t xml:space="preserve"> PAK / </w:t>
      </w:r>
      <w:proofErr w:type="spellStart"/>
      <w:r w:rsidRPr="006F393A">
        <w:t>Viekira</w:t>
      </w:r>
      <w:proofErr w:type="spellEnd"/>
      <w:r w:rsidRPr="006F393A">
        <w:t xml:space="preserve"> PAK-RBV versus:</w:t>
      </w:r>
    </w:p>
    <w:p w:rsidR="00ED3017" w:rsidRPr="006F393A" w:rsidRDefault="00ED3017" w:rsidP="00997EDA">
      <w:pPr>
        <w:pStyle w:val="ListParagraph"/>
        <w:widowControl/>
        <w:numPr>
          <w:ilvl w:val="0"/>
          <w:numId w:val="3"/>
        </w:numPr>
      </w:pPr>
      <w:proofErr w:type="spellStart"/>
      <w:r w:rsidRPr="006F393A">
        <w:t>Telaprevir</w:t>
      </w:r>
      <w:proofErr w:type="spellEnd"/>
      <w:r w:rsidRPr="006F393A">
        <w:t xml:space="preserve"> plus PR (based on two head-to-head randomised controlled trials (RCTs))</w:t>
      </w:r>
    </w:p>
    <w:p w:rsidR="00ED3017" w:rsidRPr="006F393A" w:rsidRDefault="00ED3017" w:rsidP="00997EDA">
      <w:pPr>
        <w:pStyle w:val="ListParagraph"/>
        <w:widowControl/>
        <w:numPr>
          <w:ilvl w:val="0"/>
          <w:numId w:val="3"/>
        </w:numPr>
      </w:pPr>
      <w:r w:rsidRPr="006F393A">
        <w:t>No treatment (based on two placebo controlled RCTs)</w:t>
      </w:r>
    </w:p>
    <w:p w:rsidR="00ED3017" w:rsidRPr="006F393A" w:rsidRDefault="00ED3017" w:rsidP="00997EDA">
      <w:pPr>
        <w:pStyle w:val="ListParagraph"/>
        <w:widowControl/>
        <w:numPr>
          <w:ilvl w:val="0"/>
          <w:numId w:val="3"/>
        </w:numPr>
      </w:pPr>
      <w:proofErr w:type="spellStart"/>
      <w:r w:rsidRPr="006F393A">
        <w:t>Simeprevir</w:t>
      </w:r>
      <w:proofErr w:type="spellEnd"/>
      <w:r w:rsidRPr="006F393A">
        <w:t xml:space="preserve"> (SMV) plus PR (indirect comparison)</w:t>
      </w:r>
    </w:p>
    <w:p w:rsidR="00ED3017" w:rsidRPr="006F393A" w:rsidRDefault="00ED3017" w:rsidP="00997EDA">
      <w:pPr>
        <w:pStyle w:val="ListParagraph"/>
        <w:widowControl/>
        <w:numPr>
          <w:ilvl w:val="0"/>
          <w:numId w:val="3"/>
        </w:numPr>
      </w:pPr>
      <w:r w:rsidRPr="006F393A">
        <w:t>LDV/SOF (indirect comparison)</w:t>
      </w:r>
    </w:p>
    <w:p w:rsidR="00ED3017" w:rsidRPr="006F393A" w:rsidRDefault="00ED3017" w:rsidP="00997EDA">
      <w:pPr>
        <w:pStyle w:val="ListParagraph"/>
        <w:widowControl/>
        <w:numPr>
          <w:ilvl w:val="0"/>
          <w:numId w:val="3"/>
        </w:numPr>
      </w:pPr>
      <w:r w:rsidRPr="006F393A">
        <w:t>SOF+PR (indirect comparison)</w:t>
      </w:r>
    </w:p>
    <w:p w:rsidR="00ED3017" w:rsidRPr="006F393A" w:rsidRDefault="00ED3017" w:rsidP="00997EDA">
      <w:pPr>
        <w:pStyle w:val="ListParagraph"/>
        <w:widowControl/>
        <w:numPr>
          <w:ilvl w:val="0"/>
          <w:numId w:val="3"/>
        </w:numPr>
      </w:pPr>
      <w:r w:rsidRPr="006F393A">
        <w:t>DCV+SOF (indirect comparison)</w:t>
      </w:r>
    </w:p>
    <w:p w:rsidR="00ED3017" w:rsidRPr="006F393A" w:rsidRDefault="00ED3017" w:rsidP="00997EDA">
      <w:pPr>
        <w:pStyle w:val="ListParagraph"/>
        <w:widowControl/>
        <w:numPr>
          <w:ilvl w:val="0"/>
          <w:numId w:val="3"/>
        </w:numPr>
      </w:pPr>
      <w:proofErr w:type="spellStart"/>
      <w:r w:rsidRPr="006F393A">
        <w:t>Daclatasvir</w:t>
      </w:r>
      <w:proofErr w:type="spellEnd"/>
      <w:r w:rsidRPr="006F393A">
        <w:t xml:space="preserve"> in combination with </w:t>
      </w:r>
      <w:proofErr w:type="spellStart"/>
      <w:r w:rsidRPr="006F393A">
        <w:t>asunaprevir</w:t>
      </w:r>
      <w:proofErr w:type="spellEnd"/>
      <w:r w:rsidRPr="006F393A">
        <w:t xml:space="preserve"> (indirect comparison).</w:t>
      </w:r>
    </w:p>
    <w:p w:rsidR="00ED3017" w:rsidRPr="006F393A" w:rsidRDefault="00ED3017" w:rsidP="00ED3017">
      <w:pPr>
        <w:pStyle w:val="ListParagraph"/>
        <w:widowControl/>
      </w:pPr>
    </w:p>
    <w:p w:rsidR="001F4F52" w:rsidRPr="006F393A" w:rsidRDefault="00ED3017" w:rsidP="00997EDA">
      <w:pPr>
        <w:pStyle w:val="ListParagraph"/>
        <w:widowControl/>
        <w:numPr>
          <w:ilvl w:val="1"/>
          <w:numId w:val="1"/>
        </w:numPr>
        <w:rPr>
          <w:szCs w:val="22"/>
        </w:rPr>
      </w:pPr>
      <w:r w:rsidRPr="006F393A">
        <w:rPr>
          <w:szCs w:val="22"/>
        </w:rPr>
        <w:t xml:space="preserve">As many patients have not been receiving active treatment while awaiting the emergence of interferon-free treatment regimens (5.17 </w:t>
      </w:r>
      <w:proofErr w:type="spellStart"/>
      <w:r w:rsidRPr="006F393A">
        <w:rPr>
          <w:szCs w:val="22"/>
        </w:rPr>
        <w:t>Sofosbuvir</w:t>
      </w:r>
      <w:proofErr w:type="spellEnd"/>
      <w:r w:rsidRPr="006F393A">
        <w:rPr>
          <w:szCs w:val="22"/>
        </w:rPr>
        <w:t xml:space="preserve"> public summary document, paragraph 7.5), </w:t>
      </w:r>
      <w:r w:rsidR="00C35192" w:rsidRPr="006F393A">
        <w:rPr>
          <w:szCs w:val="22"/>
        </w:rPr>
        <w:t xml:space="preserve">the PBAC have previously accepted </w:t>
      </w:r>
      <w:r w:rsidRPr="006F393A">
        <w:rPr>
          <w:szCs w:val="22"/>
        </w:rPr>
        <w:t xml:space="preserve">the appropriate comparator for the majority of patients was ‘no treatment’. </w:t>
      </w:r>
      <w:r w:rsidR="0032589D" w:rsidRPr="006F393A">
        <w:rPr>
          <w:szCs w:val="22"/>
        </w:rPr>
        <w:t>The</w:t>
      </w:r>
      <w:r w:rsidRPr="006F393A">
        <w:t xml:space="preserve"> PBAC recommended the listing of an all-oral, interferon-free treatment regimen for genotype 1 HCV infection (LDV/SOF) at the March 2015 PBAC meeting. It is likely that the interferon</w:t>
      </w:r>
      <w:r w:rsidR="00EB6E75" w:rsidRPr="006F393A">
        <w:noBreakHyphen/>
      </w:r>
      <w:r w:rsidRPr="006F393A">
        <w:t xml:space="preserve">free regimens will </w:t>
      </w:r>
      <w:r w:rsidR="0032589D" w:rsidRPr="006F393A">
        <w:t>become the standard of care and can be considered an appropriate comparator</w:t>
      </w:r>
      <w:r w:rsidRPr="006F393A">
        <w:t>.</w:t>
      </w:r>
      <w:r w:rsidRPr="006F393A">
        <w:rPr>
          <w:szCs w:val="22"/>
        </w:rPr>
        <w:t xml:space="preserve"> Therefore, the </w:t>
      </w:r>
      <w:r w:rsidR="00713BDC" w:rsidRPr="006F393A">
        <w:rPr>
          <w:i/>
          <w:szCs w:val="22"/>
        </w:rPr>
        <w:t>evaluation</w:t>
      </w:r>
      <w:r w:rsidR="00713BDC" w:rsidRPr="006F393A">
        <w:rPr>
          <w:szCs w:val="22"/>
        </w:rPr>
        <w:t xml:space="preserve"> </w:t>
      </w:r>
      <w:r w:rsidRPr="006F393A">
        <w:rPr>
          <w:szCs w:val="22"/>
        </w:rPr>
        <w:t xml:space="preserve">focused on the comparison of </w:t>
      </w:r>
      <w:proofErr w:type="spellStart"/>
      <w:r w:rsidRPr="006F393A">
        <w:rPr>
          <w:szCs w:val="22"/>
        </w:rPr>
        <w:t>Viekira</w:t>
      </w:r>
      <w:proofErr w:type="spellEnd"/>
      <w:r w:rsidRPr="006F393A">
        <w:rPr>
          <w:szCs w:val="22"/>
        </w:rPr>
        <w:t xml:space="preserve"> PAK / </w:t>
      </w:r>
      <w:proofErr w:type="spellStart"/>
      <w:r w:rsidRPr="006F393A">
        <w:rPr>
          <w:szCs w:val="22"/>
        </w:rPr>
        <w:t>Viekira</w:t>
      </w:r>
      <w:proofErr w:type="spellEnd"/>
      <w:r w:rsidRPr="006F393A">
        <w:rPr>
          <w:szCs w:val="22"/>
        </w:rPr>
        <w:t xml:space="preserve"> PAK-RBV with ‘no treatment’ and ‘LDV/SOF’</w:t>
      </w:r>
      <w:r w:rsidR="00341649" w:rsidRPr="006F393A">
        <w:rPr>
          <w:szCs w:val="22"/>
        </w:rPr>
        <w:t xml:space="preserve"> </w:t>
      </w:r>
      <w:r w:rsidR="00341649" w:rsidRPr="006F393A">
        <w:rPr>
          <w:i/>
          <w:szCs w:val="22"/>
        </w:rPr>
        <w:t>in the clinical evaluation</w:t>
      </w:r>
      <w:r w:rsidRPr="006F393A">
        <w:rPr>
          <w:szCs w:val="22"/>
        </w:rPr>
        <w:t>.</w:t>
      </w:r>
      <w:r w:rsidR="0079296D" w:rsidRPr="006F393A">
        <w:rPr>
          <w:szCs w:val="22"/>
        </w:rPr>
        <w:t xml:space="preserve"> The ESC noted that this approach was consistent with previous PBAC considerations. </w:t>
      </w:r>
    </w:p>
    <w:p w:rsidR="0079296D" w:rsidRPr="006F393A" w:rsidRDefault="0079296D" w:rsidP="0079296D">
      <w:pPr>
        <w:pStyle w:val="PBACHeading1"/>
        <w:numPr>
          <w:ilvl w:val="0"/>
          <w:numId w:val="0"/>
        </w:numPr>
        <w:ind w:left="720" w:hanging="720"/>
      </w:pPr>
    </w:p>
    <w:p w:rsidR="001F4F52" w:rsidRPr="006F393A" w:rsidRDefault="001F4F52" w:rsidP="00997EDA">
      <w:pPr>
        <w:pStyle w:val="ListParagraph"/>
        <w:widowControl/>
        <w:numPr>
          <w:ilvl w:val="1"/>
          <w:numId w:val="1"/>
        </w:numPr>
        <w:rPr>
          <w:szCs w:val="22"/>
        </w:rPr>
      </w:pPr>
      <w:r w:rsidRPr="006F393A">
        <w:rPr>
          <w:szCs w:val="22"/>
        </w:rPr>
        <w:t xml:space="preserve">The PSCR </w:t>
      </w:r>
      <w:r w:rsidR="00E0413F" w:rsidRPr="006F393A">
        <w:rPr>
          <w:szCs w:val="22"/>
        </w:rPr>
        <w:t>reasserted</w:t>
      </w:r>
      <w:r w:rsidRPr="006F393A">
        <w:rPr>
          <w:szCs w:val="22"/>
        </w:rPr>
        <w:t xml:space="preserve"> the choice of comparator</w:t>
      </w:r>
      <w:r w:rsidR="00E0413F" w:rsidRPr="006F393A">
        <w:rPr>
          <w:szCs w:val="22"/>
        </w:rPr>
        <w:t>s</w:t>
      </w:r>
      <w:r w:rsidRPr="006F393A">
        <w:rPr>
          <w:szCs w:val="22"/>
        </w:rPr>
        <w:t xml:space="preserve"> presented in the submission.</w:t>
      </w:r>
    </w:p>
    <w:p w:rsidR="00ED3017" w:rsidRPr="006F393A" w:rsidRDefault="00ED3017" w:rsidP="00ED3017">
      <w:pPr>
        <w:rPr>
          <w:szCs w:val="22"/>
        </w:rPr>
      </w:pPr>
    </w:p>
    <w:p w:rsidR="00924A6D" w:rsidRPr="006F393A" w:rsidRDefault="00924A6D" w:rsidP="00924A6D">
      <w:pPr>
        <w:widowControl/>
        <w:ind w:firstLine="709"/>
        <w:jc w:val="left"/>
        <w:rPr>
          <w:szCs w:val="22"/>
        </w:rPr>
      </w:pPr>
      <w:r w:rsidRPr="006F393A">
        <w:rPr>
          <w:i/>
          <w:szCs w:val="22"/>
        </w:rPr>
        <w:t>For more detail on PBAC’s view, see section 7 “PBAC outcome”</w:t>
      </w:r>
    </w:p>
    <w:p w:rsidR="00682811" w:rsidRPr="006F393A" w:rsidRDefault="00682811">
      <w:pPr>
        <w:widowControl/>
        <w:jc w:val="left"/>
        <w:rPr>
          <w:szCs w:val="22"/>
        </w:rPr>
      </w:pPr>
    </w:p>
    <w:p w:rsidR="00ED3017" w:rsidRPr="006F393A" w:rsidRDefault="00ED3017" w:rsidP="00ED3017">
      <w:pPr>
        <w:pStyle w:val="PBACHeading1"/>
      </w:pPr>
      <w:bookmarkStart w:id="7" w:name="_Toc419383687"/>
      <w:r w:rsidRPr="006F393A">
        <w:t>Consideration of the evidence</w:t>
      </w:r>
      <w:bookmarkEnd w:id="7"/>
    </w:p>
    <w:p w:rsidR="00883AF2" w:rsidRPr="006F393A" w:rsidRDefault="00883AF2" w:rsidP="00883AF2">
      <w:pPr>
        <w:rPr>
          <w:b/>
        </w:rPr>
      </w:pPr>
    </w:p>
    <w:p w:rsidR="00883AF2" w:rsidRPr="009701B0" w:rsidRDefault="00883AF2" w:rsidP="00883AF2">
      <w:pPr>
        <w:rPr>
          <w:b/>
          <w:i/>
        </w:rPr>
      </w:pPr>
      <w:r w:rsidRPr="009701B0">
        <w:rPr>
          <w:b/>
          <w:i/>
        </w:rPr>
        <w:t>Sponsor hearing</w:t>
      </w:r>
    </w:p>
    <w:p w:rsidR="00883AF2" w:rsidRPr="006F393A" w:rsidRDefault="00883AF2" w:rsidP="00883AF2">
      <w:pPr>
        <w:rPr>
          <w:b/>
        </w:rPr>
      </w:pPr>
    </w:p>
    <w:p w:rsidR="00883AF2" w:rsidRPr="006F393A" w:rsidRDefault="008B52A3" w:rsidP="00997EDA">
      <w:pPr>
        <w:numPr>
          <w:ilvl w:val="1"/>
          <w:numId w:val="1"/>
        </w:numPr>
      </w:pPr>
      <w:r w:rsidRPr="006F393A">
        <w:t>The sponsor requested a hearing for this item</w:t>
      </w:r>
      <w:r w:rsidR="00883AF2" w:rsidRPr="006F393A">
        <w:t>.</w:t>
      </w:r>
    </w:p>
    <w:p w:rsidR="005475D2" w:rsidRPr="006F393A" w:rsidRDefault="005475D2" w:rsidP="005475D2">
      <w:pPr>
        <w:ind w:left="720"/>
      </w:pPr>
    </w:p>
    <w:p w:rsidR="00D02BAA" w:rsidRPr="006F393A" w:rsidRDefault="008B52A3" w:rsidP="00997EDA">
      <w:pPr>
        <w:numPr>
          <w:ilvl w:val="1"/>
          <w:numId w:val="1"/>
        </w:numPr>
      </w:pPr>
      <w:r w:rsidRPr="006F393A">
        <w:t xml:space="preserve">The </w:t>
      </w:r>
      <w:r w:rsidR="005C5CD6" w:rsidRPr="006F393A">
        <w:t>clinical expert</w:t>
      </w:r>
      <w:r w:rsidR="00CB2450" w:rsidRPr="006F393A">
        <w:t xml:space="preserve"> </w:t>
      </w:r>
      <w:r w:rsidRPr="006F393A">
        <w:t xml:space="preserve">addressed the clinical positioning of </w:t>
      </w:r>
      <w:r w:rsidR="00D559AC" w:rsidRPr="006F393A">
        <w:t>and the number of patient</w:t>
      </w:r>
      <w:r w:rsidR="009B59C3" w:rsidRPr="006F393A">
        <w:t>s</w:t>
      </w:r>
      <w:r w:rsidR="00D559AC" w:rsidRPr="006F393A">
        <w:t xml:space="preserve"> seeking treatment with </w:t>
      </w:r>
      <w:proofErr w:type="spellStart"/>
      <w:r w:rsidRPr="006F393A">
        <w:t>Viekira</w:t>
      </w:r>
      <w:proofErr w:type="spellEnd"/>
      <w:r w:rsidRPr="006F393A">
        <w:t xml:space="preserve"> PAK / </w:t>
      </w:r>
      <w:proofErr w:type="spellStart"/>
      <w:r w:rsidRPr="006F393A">
        <w:t>Viekira</w:t>
      </w:r>
      <w:proofErr w:type="spellEnd"/>
      <w:r w:rsidRPr="006F393A">
        <w:t xml:space="preserve"> PAK-RBV</w:t>
      </w:r>
      <w:r w:rsidR="00D559AC" w:rsidRPr="006F393A">
        <w:t xml:space="preserve"> and other IFN-free treatments</w:t>
      </w:r>
      <w:r w:rsidRPr="006F393A">
        <w:t xml:space="preserve"> in the treatment algorithm of genotype 1 HCV infection. </w:t>
      </w:r>
      <w:r w:rsidR="00350DE4" w:rsidRPr="006F393A">
        <w:t xml:space="preserve">When questioned </w:t>
      </w:r>
      <w:r w:rsidR="005475D2" w:rsidRPr="006F393A">
        <w:t xml:space="preserve">by PBAC </w:t>
      </w:r>
      <w:r w:rsidR="00350DE4" w:rsidRPr="006F393A">
        <w:t xml:space="preserve">about the effect of pill burden and adherence to treatment, the </w:t>
      </w:r>
      <w:r w:rsidR="005C5CD6" w:rsidRPr="006F393A">
        <w:t>clinical expert</w:t>
      </w:r>
      <w:r w:rsidR="00350DE4" w:rsidRPr="006F393A">
        <w:t xml:space="preserve"> </w:t>
      </w:r>
      <w:r w:rsidR="009B59C3" w:rsidRPr="006F393A">
        <w:t>considered it</w:t>
      </w:r>
      <w:r w:rsidR="00350DE4" w:rsidRPr="006F393A">
        <w:t xml:space="preserve"> </w:t>
      </w:r>
      <w:r w:rsidR="00D559AC" w:rsidRPr="006F393A">
        <w:t xml:space="preserve">unlikely to be </w:t>
      </w:r>
      <w:r w:rsidR="00350DE4" w:rsidRPr="006F393A">
        <w:t xml:space="preserve">a major issue given the high </w:t>
      </w:r>
      <w:r w:rsidR="005475D2" w:rsidRPr="006F393A">
        <w:t>treatment effectiveness</w:t>
      </w:r>
      <w:r w:rsidR="00350DE4" w:rsidRPr="006F393A">
        <w:t xml:space="preserve"> and benefit of </w:t>
      </w:r>
      <w:proofErr w:type="spellStart"/>
      <w:r w:rsidR="005475D2" w:rsidRPr="006F393A">
        <w:t>Viekira</w:t>
      </w:r>
      <w:proofErr w:type="spellEnd"/>
      <w:r w:rsidR="005475D2" w:rsidRPr="006F393A">
        <w:t xml:space="preserve"> PAK / </w:t>
      </w:r>
      <w:proofErr w:type="spellStart"/>
      <w:r w:rsidR="005475D2" w:rsidRPr="006F393A">
        <w:t>Viekira</w:t>
      </w:r>
      <w:proofErr w:type="spellEnd"/>
      <w:r w:rsidR="005475D2" w:rsidRPr="006F393A">
        <w:t xml:space="preserve"> PAK-RBV</w:t>
      </w:r>
      <w:r w:rsidR="009B59C3" w:rsidRPr="006F393A">
        <w:t xml:space="preserve"> and the short treatment duration. The </w:t>
      </w:r>
      <w:r w:rsidR="007270E5" w:rsidRPr="006F393A">
        <w:t>expert did</w:t>
      </w:r>
      <w:r w:rsidR="005475D2" w:rsidRPr="006F393A">
        <w:t xml:space="preserve"> </w:t>
      </w:r>
      <w:r w:rsidR="00D559AC" w:rsidRPr="006F393A">
        <w:t>note</w:t>
      </w:r>
      <w:r w:rsidR="009B59C3" w:rsidRPr="006F393A">
        <w:t xml:space="preserve"> that</w:t>
      </w:r>
      <w:r w:rsidR="00D559AC" w:rsidRPr="006F393A">
        <w:t xml:space="preserve"> </w:t>
      </w:r>
      <w:r w:rsidR="009B59C3" w:rsidRPr="006F393A">
        <w:t>there may be a</w:t>
      </w:r>
      <w:r w:rsidR="005475D2" w:rsidRPr="006F393A">
        <w:t xml:space="preserve"> prefer</w:t>
      </w:r>
      <w:r w:rsidR="009B59C3" w:rsidRPr="006F393A">
        <w:t>ence</w:t>
      </w:r>
      <w:r w:rsidR="005475D2" w:rsidRPr="006F393A">
        <w:t xml:space="preserve"> </w:t>
      </w:r>
      <w:r w:rsidR="009B59C3" w:rsidRPr="006F393A">
        <w:t>for</w:t>
      </w:r>
      <w:r w:rsidR="00D559AC" w:rsidRPr="006F393A">
        <w:t xml:space="preserve"> </w:t>
      </w:r>
      <w:r w:rsidR="005475D2" w:rsidRPr="006F393A">
        <w:t>regimens</w:t>
      </w:r>
      <w:r w:rsidR="00D559AC" w:rsidRPr="006F393A">
        <w:t xml:space="preserve"> requiring a lower number of pill</w:t>
      </w:r>
      <w:r w:rsidR="009B59C3" w:rsidRPr="006F393A">
        <w:t>s</w:t>
      </w:r>
      <w:r w:rsidR="00D559AC" w:rsidRPr="006F393A">
        <w:t xml:space="preserve"> </w:t>
      </w:r>
      <w:r w:rsidR="005475D2" w:rsidRPr="006F393A">
        <w:t xml:space="preserve">and </w:t>
      </w:r>
      <w:r w:rsidR="009B59C3" w:rsidRPr="006F393A">
        <w:t xml:space="preserve">that the availability of </w:t>
      </w:r>
      <w:r w:rsidR="005475D2" w:rsidRPr="006F393A">
        <w:t xml:space="preserve">a range of </w:t>
      </w:r>
      <w:r w:rsidR="009B59C3" w:rsidRPr="006F393A">
        <w:t xml:space="preserve">treatment </w:t>
      </w:r>
      <w:r w:rsidR="005475D2" w:rsidRPr="006F393A">
        <w:t>options</w:t>
      </w:r>
      <w:r w:rsidR="00D559AC" w:rsidRPr="006F393A">
        <w:t xml:space="preserve"> </w:t>
      </w:r>
      <w:r w:rsidR="009B59C3" w:rsidRPr="006F393A">
        <w:t>would provide choice for clinicians and patients and</w:t>
      </w:r>
      <w:r w:rsidR="00D559AC" w:rsidRPr="006F393A">
        <w:t xml:space="preserve"> allow individualis</w:t>
      </w:r>
      <w:r w:rsidR="009B59C3" w:rsidRPr="006F393A">
        <w:t>ation of</w:t>
      </w:r>
      <w:r w:rsidR="005475D2" w:rsidRPr="006F393A">
        <w:t xml:space="preserve"> treatment. When questioned by PBAC </w:t>
      </w:r>
      <w:r w:rsidR="00E75B57" w:rsidRPr="006F393A">
        <w:t>about the rate of transition to cirrhosis, t</w:t>
      </w:r>
      <w:r w:rsidR="005475D2" w:rsidRPr="006F393A">
        <w:t xml:space="preserve">he </w:t>
      </w:r>
      <w:r w:rsidR="005C5CD6" w:rsidRPr="006F393A">
        <w:t>clinical expert</w:t>
      </w:r>
      <w:r w:rsidR="005475D2" w:rsidRPr="006F393A">
        <w:t xml:space="preserve"> </w:t>
      </w:r>
      <w:r w:rsidR="00E75B57" w:rsidRPr="006F393A">
        <w:t>expressed that fibrosis</w:t>
      </w:r>
      <w:r w:rsidR="005475D2" w:rsidRPr="006F393A">
        <w:t xml:space="preserve"> </w:t>
      </w:r>
      <w:r w:rsidR="00E75B57" w:rsidRPr="006F393A">
        <w:t>stage in reality was same as seen in clinical trials sourced from</w:t>
      </w:r>
      <w:r w:rsidR="00630C88" w:rsidRPr="006F393A">
        <w:t xml:space="preserve"> tertiary liver </w:t>
      </w:r>
      <w:r w:rsidR="003C7631" w:rsidRPr="006F393A">
        <w:t>clinics</w:t>
      </w:r>
      <w:r w:rsidR="00E75B57" w:rsidRPr="006F393A">
        <w:t xml:space="preserve">. </w:t>
      </w:r>
    </w:p>
    <w:p w:rsidR="00D559AC" w:rsidRPr="006F393A" w:rsidRDefault="00D559AC" w:rsidP="00D559AC">
      <w:pPr>
        <w:pStyle w:val="PBACHeading1"/>
        <w:numPr>
          <w:ilvl w:val="0"/>
          <w:numId w:val="0"/>
        </w:numPr>
      </w:pPr>
    </w:p>
    <w:p w:rsidR="005475D2" w:rsidRPr="006F393A" w:rsidRDefault="00630C88" w:rsidP="00997EDA">
      <w:pPr>
        <w:numPr>
          <w:ilvl w:val="1"/>
          <w:numId w:val="1"/>
        </w:numPr>
      </w:pPr>
      <w:r w:rsidRPr="006F393A">
        <w:t xml:space="preserve">The PBAC considered that the hearing </w:t>
      </w:r>
      <w:r w:rsidR="00D559AC" w:rsidRPr="006F393A">
        <w:t xml:space="preserve">gave a clinical </w:t>
      </w:r>
      <w:r w:rsidR="00855437" w:rsidRPr="006F393A">
        <w:t xml:space="preserve">and epidemiological </w:t>
      </w:r>
      <w:r w:rsidR="00D559AC" w:rsidRPr="006F393A">
        <w:t xml:space="preserve">perspective of patient treatment but </w:t>
      </w:r>
      <w:r w:rsidR="005C5CD6" w:rsidRPr="006F393A">
        <w:t>did not add substantively to the evidence presented in the submission</w:t>
      </w:r>
    </w:p>
    <w:p w:rsidR="00883AF2" w:rsidRPr="006F393A" w:rsidRDefault="00883AF2" w:rsidP="00883AF2"/>
    <w:p w:rsidR="00883AF2" w:rsidRPr="009701B0" w:rsidRDefault="00883AF2" w:rsidP="00883AF2">
      <w:pPr>
        <w:rPr>
          <w:b/>
          <w:i/>
        </w:rPr>
      </w:pPr>
      <w:r w:rsidRPr="009701B0">
        <w:rPr>
          <w:b/>
          <w:i/>
        </w:rPr>
        <w:t>Consumer comments</w:t>
      </w:r>
    </w:p>
    <w:p w:rsidR="00883AF2" w:rsidRPr="006F393A" w:rsidRDefault="00883AF2" w:rsidP="00883AF2"/>
    <w:p w:rsidR="00883AF2" w:rsidRPr="006F393A" w:rsidRDefault="00883AF2" w:rsidP="00997EDA">
      <w:pPr>
        <w:numPr>
          <w:ilvl w:val="1"/>
          <w:numId w:val="1"/>
        </w:numPr>
      </w:pPr>
      <w:r w:rsidRPr="006F393A">
        <w:rPr>
          <w:bCs/>
        </w:rPr>
        <w:t>The PBAC noted and welcomed the input from individuals (</w:t>
      </w:r>
      <w:r w:rsidR="006C1C07" w:rsidRPr="006F393A">
        <w:rPr>
          <w:bCs/>
        </w:rPr>
        <w:t>114</w:t>
      </w:r>
      <w:r w:rsidRPr="006F393A">
        <w:rPr>
          <w:bCs/>
        </w:rPr>
        <w:t xml:space="preserve">), health care professionals (14) and organisations (17) via the Consumer Comments facility on the PBS website. The large number of comments and discussion </w:t>
      </w:r>
      <w:r w:rsidR="00D559AC" w:rsidRPr="006F393A">
        <w:rPr>
          <w:bCs/>
        </w:rPr>
        <w:t xml:space="preserve">reiterate the comments received during previous considerations of the IFN-free treatments, namely </w:t>
      </w:r>
      <w:r w:rsidRPr="006F393A">
        <w:rPr>
          <w:bCs/>
        </w:rPr>
        <w:t xml:space="preserve">the benefit of the availability of a highly effective treatment that should be made available for all infected individuals, the improved quality of life as well as the side effects avoided associated with the current treatments. </w:t>
      </w:r>
    </w:p>
    <w:p w:rsidR="00883AF2" w:rsidRPr="006F393A" w:rsidRDefault="00883AF2" w:rsidP="00883AF2"/>
    <w:p w:rsidR="00883AF2" w:rsidRDefault="00A35BEB" w:rsidP="00997EDA">
      <w:pPr>
        <w:numPr>
          <w:ilvl w:val="1"/>
          <w:numId w:val="1"/>
        </w:numPr>
      </w:pPr>
      <w:r w:rsidRPr="006F393A">
        <w:t xml:space="preserve">The PBAC recalled </w:t>
      </w:r>
      <w:r w:rsidR="00D559AC" w:rsidRPr="006F393A">
        <w:t xml:space="preserve">the discussion during </w:t>
      </w:r>
      <w:r w:rsidR="00591E15" w:rsidRPr="006F393A">
        <w:t>meeting of the r</w:t>
      </w:r>
      <w:r w:rsidR="00883AF2" w:rsidRPr="006F393A">
        <w:t>epresentatives of the PBAC with Hepatitis Australia, Hepatitis NSW, the Australian Injecting and the Illicit Drug User’s League prior to the</w:t>
      </w:r>
      <w:r w:rsidR="00D559AC" w:rsidRPr="006F393A">
        <w:t xml:space="preserve"> March 2015</w:t>
      </w:r>
      <w:r w:rsidR="00883AF2" w:rsidRPr="006F393A">
        <w:t xml:space="preserve"> PBAC meeting</w:t>
      </w:r>
      <w:r w:rsidR="00FE1F4A">
        <w:t>.</w:t>
      </w:r>
    </w:p>
    <w:p w:rsidR="00FE1F4A" w:rsidRPr="006F393A" w:rsidRDefault="00FE1F4A" w:rsidP="00FE1F4A"/>
    <w:p w:rsidR="00883AF2" w:rsidRPr="006F393A" w:rsidRDefault="00883AF2" w:rsidP="00997EDA">
      <w:pPr>
        <w:numPr>
          <w:ilvl w:val="1"/>
          <w:numId w:val="1"/>
        </w:numPr>
      </w:pPr>
      <w:r w:rsidRPr="006F393A">
        <w:t>The PBAC noted and welcomed this input.</w:t>
      </w:r>
    </w:p>
    <w:p w:rsidR="00883AF2" w:rsidRPr="006F393A" w:rsidRDefault="00883AF2" w:rsidP="00883AF2"/>
    <w:p w:rsidR="00ED3017" w:rsidRPr="006F393A" w:rsidRDefault="00ED3017" w:rsidP="00ED3017">
      <w:pPr>
        <w:pStyle w:val="Heading2"/>
        <w:rPr>
          <w:i/>
        </w:rPr>
      </w:pPr>
      <w:bookmarkStart w:id="8" w:name="_Toc419383688"/>
      <w:r w:rsidRPr="006F393A">
        <w:rPr>
          <w:i/>
        </w:rPr>
        <w:t>Clinical trials</w:t>
      </w:r>
      <w:bookmarkEnd w:id="8"/>
    </w:p>
    <w:p w:rsidR="00ED3017" w:rsidRPr="006F393A" w:rsidRDefault="00ED3017" w:rsidP="00ED3017">
      <w:pPr>
        <w:rPr>
          <w:szCs w:val="22"/>
        </w:rPr>
      </w:pPr>
    </w:p>
    <w:p w:rsidR="00ED3017" w:rsidRPr="006F393A" w:rsidRDefault="00ED3017" w:rsidP="00997EDA">
      <w:pPr>
        <w:pStyle w:val="ListParagraph"/>
        <w:widowControl/>
        <w:numPr>
          <w:ilvl w:val="1"/>
          <w:numId w:val="1"/>
        </w:numPr>
        <w:rPr>
          <w:szCs w:val="22"/>
        </w:rPr>
      </w:pPr>
      <w:r w:rsidRPr="006F393A">
        <w:rPr>
          <w:szCs w:val="22"/>
        </w:rPr>
        <w:t xml:space="preserve">The evidence used in the submission to compare </w:t>
      </w:r>
      <w:proofErr w:type="spellStart"/>
      <w:r w:rsidRPr="006F393A">
        <w:rPr>
          <w:szCs w:val="22"/>
        </w:rPr>
        <w:t>Viekira</w:t>
      </w:r>
      <w:proofErr w:type="spellEnd"/>
      <w:r w:rsidRPr="006F393A">
        <w:rPr>
          <w:szCs w:val="22"/>
        </w:rPr>
        <w:t xml:space="preserve"> PAK / </w:t>
      </w:r>
      <w:proofErr w:type="spellStart"/>
      <w:r w:rsidRPr="006F393A">
        <w:rPr>
          <w:szCs w:val="22"/>
        </w:rPr>
        <w:t>Viekira</w:t>
      </w:r>
      <w:proofErr w:type="spellEnd"/>
      <w:r w:rsidRPr="006F393A">
        <w:rPr>
          <w:szCs w:val="22"/>
        </w:rPr>
        <w:t xml:space="preserve"> PAK-RBV versus no treatment was several placebo-controlled trials.  The evaluation extracted sustained </w:t>
      </w:r>
      <w:proofErr w:type="spellStart"/>
      <w:r w:rsidRPr="006F393A">
        <w:rPr>
          <w:szCs w:val="22"/>
        </w:rPr>
        <w:t>virologic</w:t>
      </w:r>
      <w:proofErr w:type="spellEnd"/>
      <w:r w:rsidRPr="006F393A">
        <w:rPr>
          <w:szCs w:val="22"/>
        </w:rPr>
        <w:t xml:space="preserve"> response (SVR) rates from single arms of trials that used the correct regimen of </w:t>
      </w:r>
      <w:proofErr w:type="spellStart"/>
      <w:r w:rsidRPr="006F393A">
        <w:rPr>
          <w:szCs w:val="22"/>
        </w:rPr>
        <w:t>Viekira</w:t>
      </w:r>
      <w:proofErr w:type="spellEnd"/>
      <w:r w:rsidRPr="006F393A">
        <w:rPr>
          <w:szCs w:val="22"/>
        </w:rPr>
        <w:t xml:space="preserve"> PAK / </w:t>
      </w:r>
      <w:proofErr w:type="spellStart"/>
      <w:r w:rsidRPr="006F393A">
        <w:rPr>
          <w:szCs w:val="22"/>
        </w:rPr>
        <w:t>Viekira</w:t>
      </w:r>
      <w:proofErr w:type="spellEnd"/>
      <w:r w:rsidRPr="006F393A">
        <w:rPr>
          <w:szCs w:val="22"/>
        </w:rPr>
        <w:t xml:space="preserve"> PAK-RBV for analysis, as patients receiving no treatment do not achieve SVR, and therefore, trials including a comparator arm of placebo should provide the same incremental estimate of SVR as a single arm of a study against an assumed SVR rate of zero.</w:t>
      </w:r>
    </w:p>
    <w:p w:rsidR="005E63D2" w:rsidRPr="006F393A" w:rsidRDefault="005E63D2" w:rsidP="005E63D2">
      <w:pPr>
        <w:pStyle w:val="ListParagraph"/>
        <w:widowControl/>
        <w:rPr>
          <w:szCs w:val="22"/>
        </w:rPr>
      </w:pPr>
    </w:p>
    <w:p w:rsidR="00ED3017" w:rsidRPr="006F393A" w:rsidRDefault="00ED3017" w:rsidP="00997EDA">
      <w:pPr>
        <w:pStyle w:val="ListParagraph"/>
        <w:widowControl/>
        <w:numPr>
          <w:ilvl w:val="1"/>
          <w:numId w:val="1"/>
        </w:numPr>
        <w:rPr>
          <w:szCs w:val="22"/>
        </w:rPr>
      </w:pPr>
      <w:r w:rsidRPr="006F393A">
        <w:t xml:space="preserve">The comparison of </w:t>
      </w:r>
      <w:proofErr w:type="spellStart"/>
      <w:r w:rsidRPr="006F393A">
        <w:t>Viekira</w:t>
      </w:r>
      <w:proofErr w:type="spellEnd"/>
      <w:r w:rsidRPr="006F393A">
        <w:t xml:space="preserve"> PAK / </w:t>
      </w:r>
      <w:proofErr w:type="spellStart"/>
      <w:r w:rsidRPr="006F393A">
        <w:t>Viekira</w:t>
      </w:r>
      <w:proofErr w:type="spellEnd"/>
      <w:r w:rsidRPr="006F393A">
        <w:t xml:space="preserve"> PAK-RBV versus LDV/SOF in the submission was based on unadjusted indirect comparison of single arms of individual studies. </w:t>
      </w:r>
    </w:p>
    <w:p w:rsidR="00ED3017" w:rsidRPr="006F393A" w:rsidRDefault="00ED3017" w:rsidP="00ED3017">
      <w:pPr>
        <w:widowControl/>
        <w:rPr>
          <w:szCs w:val="22"/>
        </w:rPr>
      </w:pPr>
    </w:p>
    <w:p w:rsidR="00ED3017" w:rsidRPr="006F393A" w:rsidRDefault="00ED3017" w:rsidP="00997EDA">
      <w:pPr>
        <w:pStyle w:val="ListParagraph"/>
        <w:widowControl/>
        <w:numPr>
          <w:ilvl w:val="1"/>
          <w:numId w:val="1"/>
        </w:numPr>
        <w:rPr>
          <w:szCs w:val="22"/>
        </w:rPr>
      </w:pPr>
      <w:r w:rsidRPr="006F393A">
        <w:rPr>
          <w:szCs w:val="22"/>
        </w:rPr>
        <w:t xml:space="preserve">Details of the studies presented in the submission are provided in the table below. </w:t>
      </w:r>
    </w:p>
    <w:p w:rsidR="00ED3017" w:rsidRPr="006F393A" w:rsidRDefault="00ED3017" w:rsidP="00ED3017">
      <w:pPr>
        <w:pStyle w:val="ListParagraph"/>
        <w:rPr>
          <w:szCs w:val="22"/>
        </w:rPr>
      </w:pPr>
    </w:p>
    <w:p w:rsidR="00ED3017" w:rsidRPr="006F393A" w:rsidRDefault="00ED3017" w:rsidP="00ED3017">
      <w:pPr>
        <w:pStyle w:val="TableHeader"/>
        <w:ind w:firstLine="720"/>
      </w:pPr>
      <w:r w:rsidRPr="006F393A">
        <w:t xml:space="preserve">Table </w:t>
      </w:r>
      <w:r w:rsidR="007B6A5B" w:rsidRPr="006F393A">
        <w:t>3</w:t>
      </w:r>
      <w:r w:rsidRPr="006F393A">
        <w:t>: Trials and associated reports presented in the submission</w:t>
      </w:r>
    </w:p>
    <w:tbl>
      <w:tblPr>
        <w:tblW w:w="4584" w:type="pct"/>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96"/>
        <w:gridCol w:w="4912"/>
        <w:gridCol w:w="2118"/>
      </w:tblGrid>
      <w:tr w:rsidR="00ED3017" w:rsidRPr="006F393A" w:rsidTr="00ED3017">
        <w:tc>
          <w:tcPr>
            <w:tcW w:w="778" w:type="pct"/>
            <w:vAlign w:val="center"/>
          </w:tcPr>
          <w:p w:rsidR="00ED3017" w:rsidRPr="006F393A" w:rsidRDefault="00ED3017" w:rsidP="00ED3017">
            <w:pPr>
              <w:pStyle w:val="Tabletext"/>
              <w:rPr>
                <w:b/>
              </w:rPr>
            </w:pPr>
            <w:r w:rsidRPr="006F393A">
              <w:rPr>
                <w:b/>
              </w:rPr>
              <w:t>Trial ID</w:t>
            </w:r>
          </w:p>
        </w:tc>
        <w:tc>
          <w:tcPr>
            <w:tcW w:w="2950" w:type="pct"/>
          </w:tcPr>
          <w:p w:rsidR="00ED3017" w:rsidRPr="006F393A" w:rsidRDefault="00ED3017" w:rsidP="00ED3017">
            <w:pPr>
              <w:pStyle w:val="Tabletext"/>
              <w:rPr>
                <w:b/>
              </w:rPr>
            </w:pPr>
            <w:r w:rsidRPr="006F393A">
              <w:rPr>
                <w:b/>
              </w:rPr>
              <w:t>Protocol title/ Publication title</w:t>
            </w:r>
          </w:p>
        </w:tc>
        <w:tc>
          <w:tcPr>
            <w:tcW w:w="1272" w:type="pct"/>
          </w:tcPr>
          <w:p w:rsidR="00ED3017" w:rsidRPr="006F393A" w:rsidRDefault="00ED3017" w:rsidP="00ED3017">
            <w:pPr>
              <w:pStyle w:val="Tabletext"/>
              <w:rPr>
                <w:b/>
              </w:rPr>
            </w:pPr>
            <w:r w:rsidRPr="006F393A">
              <w:rPr>
                <w:b/>
              </w:rPr>
              <w:t>Publication citation</w:t>
            </w:r>
          </w:p>
        </w:tc>
      </w:tr>
      <w:tr w:rsidR="00ED3017" w:rsidRPr="006F393A" w:rsidTr="00ED3017">
        <w:tc>
          <w:tcPr>
            <w:tcW w:w="5000" w:type="pct"/>
            <w:gridSpan w:val="3"/>
            <w:shd w:val="clear" w:color="auto" w:fill="D9D9D9" w:themeFill="background1" w:themeFillShade="D9"/>
            <w:vAlign w:val="center"/>
          </w:tcPr>
          <w:p w:rsidR="00ED3017" w:rsidRPr="006F393A" w:rsidRDefault="00ED3017" w:rsidP="00ED3017">
            <w:pPr>
              <w:pStyle w:val="Tabletext"/>
              <w:rPr>
                <w:b/>
              </w:rPr>
            </w:pPr>
            <w:r w:rsidRPr="006F393A">
              <w:rPr>
                <w:b/>
              </w:rPr>
              <w:t xml:space="preserve">Trials involving </w:t>
            </w:r>
            <w:proofErr w:type="spellStart"/>
            <w:r w:rsidRPr="006F393A">
              <w:rPr>
                <w:b/>
              </w:rPr>
              <w:t>Viekira</w:t>
            </w:r>
            <w:proofErr w:type="spellEnd"/>
            <w:r w:rsidRPr="006F393A">
              <w:rPr>
                <w:b/>
              </w:rPr>
              <w:t xml:space="preserve"> PAK / </w:t>
            </w:r>
            <w:proofErr w:type="spellStart"/>
            <w:r w:rsidRPr="006F393A">
              <w:rPr>
                <w:b/>
              </w:rPr>
              <w:t>Viekira</w:t>
            </w:r>
            <w:proofErr w:type="spellEnd"/>
            <w:r w:rsidRPr="006F393A">
              <w:rPr>
                <w:b/>
              </w:rPr>
              <w:t xml:space="preserve"> PAK-RBV</w:t>
            </w:r>
          </w:p>
        </w:tc>
      </w:tr>
      <w:tr w:rsidR="00ED3017" w:rsidRPr="006F393A" w:rsidTr="00ED3017">
        <w:tc>
          <w:tcPr>
            <w:tcW w:w="778" w:type="pct"/>
            <w:vAlign w:val="center"/>
          </w:tcPr>
          <w:p w:rsidR="00ED3017" w:rsidRPr="006F393A" w:rsidRDefault="00ED3017" w:rsidP="00ED3017">
            <w:pPr>
              <w:pStyle w:val="Tabletext"/>
              <w:rPr>
                <w:b/>
              </w:rPr>
            </w:pPr>
            <w:r w:rsidRPr="006F393A">
              <w:rPr>
                <w:b/>
              </w:rPr>
              <w:t>Malachite I</w:t>
            </w:r>
          </w:p>
        </w:tc>
        <w:tc>
          <w:tcPr>
            <w:tcW w:w="2950" w:type="pct"/>
          </w:tcPr>
          <w:p w:rsidR="00ED3017" w:rsidRPr="006F393A" w:rsidRDefault="00ED3017" w:rsidP="00ED3017">
            <w:pPr>
              <w:pStyle w:val="Tabletext"/>
            </w:pPr>
            <w:r w:rsidRPr="006F393A">
              <w:t xml:space="preserve">A randomized, open-label study to evaluate the efficacy and safety of ABT-450/ritonavir/ABT-267 and ABT-333 co-administered with and without ribavirin compared to </w:t>
            </w:r>
            <w:proofErr w:type="spellStart"/>
            <w:r w:rsidRPr="006F393A">
              <w:t>telaprevir</w:t>
            </w:r>
            <w:proofErr w:type="spellEnd"/>
            <w:r w:rsidRPr="006F393A">
              <w:t xml:space="preserve"> co-administered with </w:t>
            </w:r>
            <w:proofErr w:type="spellStart"/>
            <w:r w:rsidRPr="006F393A">
              <w:t>pegylated</w:t>
            </w:r>
            <w:proofErr w:type="spellEnd"/>
            <w:r w:rsidRPr="006F393A">
              <w:t xml:space="preserve"> interferon α-2a and ribavirin in treatment-naïve adults with chronic hepatitis C genotype 1 virus infection (MALACHITE I)</w:t>
            </w:r>
          </w:p>
        </w:tc>
        <w:tc>
          <w:tcPr>
            <w:tcW w:w="1272" w:type="pct"/>
          </w:tcPr>
          <w:p w:rsidR="00ED3017" w:rsidRPr="006F393A" w:rsidRDefault="00ED3017" w:rsidP="00ED3017">
            <w:pPr>
              <w:pStyle w:val="Tabletext"/>
            </w:pPr>
            <w:r w:rsidRPr="006F393A">
              <w:t>Primary Analysis CSR (no report date) 2015</w:t>
            </w:r>
          </w:p>
          <w:p w:rsidR="00ED3017" w:rsidRPr="006F393A" w:rsidRDefault="00ED3017" w:rsidP="00ED3017">
            <w:pPr>
              <w:pStyle w:val="Tabletext"/>
            </w:pPr>
          </w:p>
        </w:tc>
      </w:tr>
      <w:tr w:rsidR="00ED3017" w:rsidRPr="006F393A" w:rsidTr="00ED3017">
        <w:tc>
          <w:tcPr>
            <w:tcW w:w="778" w:type="pct"/>
            <w:vAlign w:val="center"/>
          </w:tcPr>
          <w:p w:rsidR="00ED3017" w:rsidRPr="006F393A" w:rsidRDefault="00ED3017" w:rsidP="00ED3017">
            <w:pPr>
              <w:pStyle w:val="Tabletext"/>
              <w:rPr>
                <w:b/>
              </w:rPr>
            </w:pPr>
            <w:r w:rsidRPr="006F393A">
              <w:rPr>
                <w:b/>
              </w:rPr>
              <w:t>Malachite II</w:t>
            </w:r>
          </w:p>
        </w:tc>
        <w:tc>
          <w:tcPr>
            <w:tcW w:w="2950" w:type="pct"/>
          </w:tcPr>
          <w:p w:rsidR="00ED3017" w:rsidRPr="006F393A" w:rsidRDefault="00ED3017" w:rsidP="00ED3017">
            <w:pPr>
              <w:pStyle w:val="Tabletext"/>
            </w:pPr>
            <w:r w:rsidRPr="006F393A">
              <w:t xml:space="preserve">A randomized, open-labelled study to evaluate the efficacy and safety of ABT-450/ritonavir/ABT-267 and ABT-333 co-administered with ribavirin compared to </w:t>
            </w:r>
            <w:proofErr w:type="spellStart"/>
            <w:r w:rsidRPr="006F393A">
              <w:t>telaprevir</w:t>
            </w:r>
            <w:proofErr w:type="spellEnd"/>
            <w:r w:rsidRPr="006F393A">
              <w:t xml:space="preserve"> co-administered with </w:t>
            </w:r>
            <w:proofErr w:type="spellStart"/>
            <w:r w:rsidRPr="006F393A">
              <w:t>pegylated</w:t>
            </w:r>
            <w:proofErr w:type="spellEnd"/>
            <w:r w:rsidRPr="006F393A">
              <w:t xml:space="preserve"> interferon α-2a and ribavirin in treatment-experienced adults with chronic hepatitis C genotype 1 virus infection (MALACHITE-II). </w:t>
            </w:r>
          </w:p>
        </w:tc>
        <w:tc>
          <w:tcPr>
            <w:tcW w:w="1272" w:type="pct"/>
          </w:tcPr>
          <w:p w:rsidR="00ED3017" w:rsidRPr="006F393A" w:rsidRDefault="00ED3017" w:rsidP="00ED3017">
            <w:pPr>
              <w:pStyle w:val="Tabletext"/>
            </w:pPr>
            <w:r w:rsidRPr="006F393A">
              <w:t>Primary Analysis CSR (no report date) 2015</w:t>
            </w:r>
          </w:p>
          <w:p w:rsidR="00ED3017" w:rsidRPr="006F393A" w:rsidRDefault="00ED3017" w:rsidP="00ED3017">
            <w:pPr>
              <w:pStyle w:val="Tabletext"/>
            </w:pPr>
          </w:p>
        </w:tc>
      </w:tr>
      <w:tr w:rsidR="00ED3017" w:rsidRPr="006F393A" w:rsidTr="00ED3017">
        <w:tc>
          <w:tcPr>
            <w:tcW w:w="778" w:type="pct"/>
            <w:vMerge w:val="restart"/>
            <w:vAlign w:val="center"/>
          </w:tcPr>
          <w:p w:rsidR="00ED3017" w:rsidRPr="006F393A" w:rsidRDefault="00ED3017" w:rsidP="00ED3017">
            <w:pPr>
              <w:pStyle w:val="Tabletext"/>
              <w:rPr>
                <w:b/>
              </w:rPr>
            </w:pPr>
            <w:r w:rsidRPr="006F393A">
              <w:rPr>
                <w:b/>
              </w:rPr>
              <w:t>Turquoise II</w:t>
            </w:r>
          </w:p>
          <w:p w:rsidR="00ED3017" w:rsidRPr="006F393A" w:rsidRDefault="00ED3017" w:rsidP="00820933">
            <w:pPr>
              <w:pStyle w:val="Tabletext"/>
              <w:rPr>
                <w:b/>
              </w:rPr>
            </w:pPr>
            <w:proofErr w:type="spellStart"/>
            <w:r w:rsidRPr="006F393A">
              <w:rPr>
                <w:b/>
              </w:rPr>
              <w:t>Poordad</w:t>
            </w:r>
            <w:proofErr w:type="spellEnd"/>
            <w:r w:rsidRPr="006F393A">
              <w:rPr>
                <w:b/>
              </w:rPr>
              <w:t xml:space="preserve"> et al 2014</w:t>
            </w:r>
          </w:p>
        </w:tc>
        <w:tc>
          <w:tcPr>
            <w:tcW w:w="2950" w:type="pct"/>
          </w:tcPr>
          <w:p w:rsidR="00ED3017" w:rsidRPr="006F393A" w:rsidRDefault="00ED3017" w:rsidP="00ED3017">
            <w:pPr>
              <w:pStyle w:val="Tabletext"/>
            </w:pPr>
            <w:r w:rsidRPr="006F393A">
              <w:t>A randomized, open-label study to evaluate the safety and efficacy of ABT-450/ritonavir/ABT-267 (ABT-450/r/ABT-267) and ABT-333 co</w:t>
            </w:r>
            <w:r w:rsidR="003A0024" w:rsidRPr="006F393A">
              <w:t>-</w:t>
            </w:r>
            <w:r w:rsidRPr="006F393A">
              <w:t>administered with ribavirin (RBV) in adults with genotype 1 chronic hepatitis C virus (HCV) infection and cirrhosis (TURQUOISE-II).</w:t>
            </w:r>
          </w:p>
        </w:tc>
        <w:tc>
          <w:tcPr>
            <w:tcW w:w="1272" w:type="pct"/>
          </w:tcPr>
          <w:p w:rsidR="00ED3017" w:rsidRPr="006F393A" w:rsidRDefault="00ED3017" w:rsidP="00ED3017">
            <w:pPr>
              <w:pStyle w:val="Tabletext"/>
            </w:pPr>
            <w:r w:rsidRPr="006F393A">
              <w:t>Primary Analysis CSR 1 April 2014</w:t>
            </w:r>
          </w:p>
        </w:tc>
      </w:tr>
      <w:tr w:rsidR="00ED3017" w:rsidRPr="006F393A" w:rsidTr="00ED3017">
        <w:tc>
          <w:tcPr>
            <w:tcW w:w="778" w:type="pct"/>
            <w:vMerge/>
            <w:vAlign w:val="center"/>
          </w:tcPr>
          <w:p w:rsidR="00ED3017" w:rsidRPr="006F393A" w:rsidRDefault="00ED3017" w:rsidP="00ED3017">
            <w:pPr>
              <w:pStyle w:val="Tabletext"/>
              <w:rPr>
                <w:b/>
              </w:rPr>
            </w:pPr>
          </w:p>
        </w:tc>
        <w:tc>
          <w:tcPr>
            <w:tcW w:w="2950" w:type="pct"/>
          </w:tcPr>
          <w:p w:rsidR="00ED3017" w:rsidRPr="006F393A" w:rsidRDefault="00ED3017" w:rsidP="00ED3017">
            <w:pPr>
              <w:pStyle w:val="Tabletext"/>
              <w:rPr>
                <w:b/>
              </w:rPr>
            </w:pPr>
            <w:r w:rsidRPr="006F393A">
              <w:rPr>
                <w:b/>
              </w:rPr>
              <w:t>Primary publication</w:t>
            </w:r>
          </w:p>
          <w:p w:rsidR="00ED3017" w:rsidRPr="006F393A" w:rsidRDefault="00ED3017" w:rsidP="009A77A4">
            <w:pPr>
              <w:pStyle w:val="Tabletext"/>
            </w:pPr>
            <w:proofErr w:type="spellStart"/>
            <w:r w:rsidRPr="006F393A">
              <w:t>Poordad</w:t>
            </w:r>
            <w:proofErr w:type="spellEnd"/>
            <w:r w:rsidRPr="006F393A">
              <w:t xml:space="preserve">, F., C. </w:t>
            </w:r>
            <w:proofErr w:type="spellStart"/>
            <w:r w:rsidRPr="006F393A">
              <w:t>Hezode</w:t>
            </w:r>
            <w:proofErr w:type="spellEnd"/>
            <w:r w:rsidRPr="006F393A">
              <w:t xml:space="preserve">, R. Trinh, K. V. </w:t>
            </w:r>
            <w:proofErr w:type="spellStart"/>
            <w:r w:rsidRPr="006F393A">
              <w:t>Kowdley</w:t>
            </w:r>
            <w:proofErr w:type="spellEnd"/>
            <w:r w:rsidRPr="006F393A">
              <w:t xml:space="preserve">, S. </w:t>
            </w:r>
            <w:proofErr w:type="spellStart"/>
            <w:r w:rsidRPr="006F393A">
              <w:t>Zeuzem</w:t>
            </w:r>
            <w:proofErr w:type="spellEnd"/>
            <w:r w:rsidRPr="006F393A">
              <w:t xml:space="preserve">, K. Agarwal, M. L. </w:t>
            </w:r>
            <w:proofErr w:type="spellStart"/>
            <w:r w:rsidRPr="006F393A">
              <w:t>Shiffman</w:t>
            </w:r>
            <w:proofErr w:type="spellEnd"/>
            <w:r w:rsidRPr="006F393A">
              <w:t xml:space="preserve">, H. </w:t>
            </w:r>
            <w:proofErr w:type="spellStart"/>
            <w:r w:rsidRPr="006F393A">
              <w:t>Wedemeyer</w:t>
            </w:r>
            <w:proofErr w:type="spellEnd"/>
            <w:r w:rsidRPr="006F393A">
              <w:t xml:space="preserve">, T. Berg, E. M. Yoshida, X. </w:t>
            </w:r>
            <w:proofErr w:type="spellStart"/>
            <w:r w:rsidRPr="006F393A">
              <w:t>Forns</w:t>
            </w:r>
            <w:proofErr w:type="spellEnd"/>
            <w:r w:rsidRPr="006F393A">
              <w:t>, S. S. Lovell, B. Da Silva-</w:t>
            </w:r>
            <w:proofErr w:type="spellStart"/>
            <w:r w:rsidRPr="006F393A">
              <w:t>Tillmann</w:t>
            </w:r>
            <w:proofErr w:type="spellEnd"/>
            <w:r w:rsidRPr="006F393A">
              <w:t xml:space="preserve">, C. A. Collins, A. L. Campbell, T. </w:t>
            </w:r>
            <w:proofErr w:type="spellStart"/>
            <w:r w:rsidRPr="006F393A">
              <w:t>Podsadecki</w:t>
            </w:r>
            <w:proofErr w:type="spellEnd"/>
            <w:r w:rsidRPr="006F393A">
              <w:t xml:space="preserve"> and B. Bernstein </w:t>
            </w:r>
            <w:r w:rsidR="009A77A4" w:rsidRPr="006F393A">
              <w:rPr>
                <w:noProof/>
                <w:vertAlign w:val="superscript"/>
              </w:rPr>
              <w:t>7</w:t>
            </w:r>
            <w:r w:rsidRPr="006F393A">
              <w:t>. "ABT-450/r-</w:t>
            </w:r>
            <w:proofErr w:type="spellStart"/>
            <w:r w:rsidRPr="006F393A">
              <w:t>ombitasvir</w:t>
            </w:r>
            <w:proofErr w:type="spellEnd"/>
            <w:r w:rsidRPr="006F393A">
              <w:t xml:space="preserve"> and </w:t>
            </w:r>
            <w:proofErr w:type="spellStart"/>
            <w:r w:rsidRPr="006F393A">
              <w:t>dasabuvir</w:t>
            </w:r>
            <w:proofErr w:type="spellEnd"/>
            <w:r w:rsidRPr="006F393A">
              <w:t xml:space="preserve"> with ribavirin for hepatitis C with cirrhosis."</w:t>
            </w:r>
          </w:p>
        </w:tc>
        <w:tc>
          <w:tcPr>
            <w:tcW w:w="1272" w:type="pct"/>
          </w:tcPr>
          <w:p w:rsidR="00ED3017" w:rsidRPr="006F393A" w:rsidRDefault="00ED3017" w:rsidP="00ED3017">
            <w:pPr>
              <w:pStyle w:val="Tabletext"/>
            </w:pPr>
            <w:r w:rsidRPr="006F393A">
              <w:t>2014</w:t>
            </w:r>
          </w:p>
          <w:p w:rsidR="00ED3017" w:rsidRPr="006F393A" w:rsidRDefault="00ED3017" w:rsidP="009A77A4">
            <w:pPr>
              <w:pStyle w:val="Tabletext"/>
            </w:pPr>
            <w:r w:rsidRPr="006F393A">
              <w:t>New England Journal of Medicine 370 (21): 1973-1982</w:t>
            </w:r>
            <w:r w:rsidR="009A77A4" w:rsidRPr="006F393A">
              <w:rPr>
                <w:noProof/>
                <w:vertAlign w:val="superscript"/>
              </w:rPr>
              <w:t>6</w:t>
            </w:r>
          </w:p>
        </w:tc>
      </w:tr>
      <w:tr w:rsidR="00ED3017" w:rsidRPr="006F393A" w:rsidTr="00ED3017">
        <w:tc>
          <w:tcPr>
            <w:tcW w:w="778" w:type="pct"/>
            <w:vMerge/>
            <w:vAlign w:val="center"/>
          </w:tcPr>
          <w:p w:rsidR="00ED3017" w:rsidRPr="006F393A" w:rsidRDefault="00ED3017" w:rsidP="00ED3017">
            <w:pPr>
              <w:pStyle w:val="Tabletext"/>
              <w:rPr>
                <w:b/>
              </w:rPr>
            </w:pPr>
          </w:p>
        </w:tc>
        <w:tc>
          <w:tcPr>
            <w:tcW w:w="2950" w:type="pct"/>
          </w:tcPr>
          <w:p w:rsidR="00ED3017" w:rsidRPr="006F393A" w:rsidRDefault="00ED3017" w:rsidP="009A77A4">
            <w:pPr>
              <w:pStyle w:val="Tabletext"/>
            </w:pPr>
            <w:r w:rsidRPr="006F393A">
              <w:t xml:space="preserve">F. </w:t>
            </w:r>
            <w:proofErr w:type="spellStart"/>
            <w:r w:rsidRPr="006F393A">
              <w:t>Poordad</w:t>
            </w:r>
            <w:proofErr w:type="spellEnd"/>
            <w:r w:rsidRPr="006F393A">
              <w:t xml:space="preserve">, C. </w:t>
            </w:r>
            <w:proofErr w:type="spellStart"/>
            <w:r w:rsidRPr="006F393A">
              <w:t>Hezode</w:t>
            </w:r>
            <w:proofErr w:type="spellEnd"/>
            <w:r w:rsidRPr="006F393A">
              <w:t xml:space="preserve">, R. Trinh, K.V. </w:t>
            </w:r>
            <w:proofErr w:type="spellStart"/>
            <w:r w:rsidRPr="006F393A">
              <w:t>Kowdley</w:t>
            </w:r>
            <w:proofErr w:type="spellEnd"/>
            <w:r w:rsidRPr="006F393A">
              <w:t xml:space="preserve">, S. </w:t>
            </w:r>
            <w:proofErr w:type="spellStart"/>
            <w:r w:rsidRPr="006F393A">
              <w:t>Zeuzem</w:t>
            </w:r>
            <w:proofErr w:type="spellEnd"/>
            <w:r w:rsidRPr="006F393A">
              <w:t xml:space="preserve">, K. Agarwal, M.L. </w:t>
            </w:r>
            <w:proofErr w:type="spellStart"/>
            <w:r w:rsidRPr="006F393A">
              <w:t>Shiffman</w:t>
            </w:r>
            <w:proofErr w:type="spellEnd"/>
            <w:r w:rsidRPr="006F393A">
              <w:t xml:space="preserve">, H. </w:t>
            </w:r>
            <w:proofErr w:type="spellStart"/>
            <w:r w:rsidRPr="006F393A">
              <w:t>Wedemeyer</w:t>
            </w:r>
            <w:proofErr w:type="spellEnd"/>
            <w:r w:rsidRPr="006F393A">
              <w:t xml:space="preserve">, T. Berg, E.M. Yoshida, X. </w:t>
            </w:r>
            <w:proofErr w:type="spellStart"/>
            <w:r w:rsidRPr="006F393A">
              <w:t>Forns</w:t>
            </w:r>
            <w:proofErr w:type="spellEnd"/>
            <w:r w:rsidRPr="006F393A">
              <w:t>, S.S. Lovell, B. Da Silva-</w:t>
            </w:r>
            <w:proofErr w:type="spellStart"/>
            <w:r w:rsidRPr="006F393A">
              <w:t>Tillmann</w:t>
            </w:r>
            <w:proofErr w:type="spellEnd"/>
            <w:r w:rsidRPr="006F393A">
              <w:t xml:space="preserve">, A.L. Campbell and T. </w:t>
            </w:r>
            <w:proofErr w:type="spellStart"/>
            <w:r w:rsidRPr="006F393A">
              <w:t>Podsadecki</w:t>
            </w:r>
            <w:proofErr w:type="spellEnd"/>
            <w:r w:rsidRPr="006F393A">
              <w:t xml:space="preserve"> </w:t>
            </w:r>
            <w:r w:rsidR="009A77A4" w:rsidRPr="006F393A">
              <w:rPr>
                <w:noProof/>
                <w:vertAlign w:val="superscript"/>
              </w:rPr>
              <w:t>8</w:t>
            </w:r>
            <w:r w:rsidRPr="006F393A">
              <w:t>. SVR12 rates of 92–96% in 380 hepatitis C virus genotype 1-infected adults with compensated cirrhosis treated with ABT-450/r/ABT-267 and ABT-333 plus ribavirin (3D+RBV).</w:t>
            </w:r>
          </w:p>
        </w:tc>
        <w:tc>
          <w:tcPr>
            <w:tcW w:w="1272" w:type="pct"/>
          </w:tcPr>
          <w:p w:rsidR="00ED3017" w:rsidRPr="006F393A" w:rsidRDefault="00ED3017" w:rsidP="00ED3017">
            <w:pPr>
              <w:pStyle w:val="Tabletext"/>
            </w:pPr>
            <w:r w:rsidRPr="006F393A">
              <w:t>2014</w:t>
            </w:r>
          </w:p>
          <w:p w:rsidR="00ED3017" w:rsidRPr="006F393A" w:rsidRDefault="00ED3017" w:rsidP="009A77A4">
            <w:pPr>
              <w:pStyle w:val="Tabletext"/>
            </w:pPr>
            <w:r w:rsidRPr="006F393A">
              <w:t xml:space="preserve">Journal of </w:t>
            </w:r>
            <w:proofErr w:type="spellStart"/>
            <w:r w:rsidRPr="006F393A">
              <w:t>Hepatology</w:t>
            </w:r>
            <w:proofErr w:type="spellEnd"/>
            <w:r w:rsidRPr="006F393A">
              <w:t xml:space="preserve"> 60 (1) Supplement S523</w:t>
            </w:r>
            <w:r w:rsidR="009A77A4" w:rsidRPr="006F393A">
              <w:rPr>
                <w:noProof/>
                <w:vertAlign w:val="superscript"/>
              </w:rPr>
              <w:t>9</w:t>
            </w:r>
            <w:r w:rsidRPr="006F393A">
              <w:t>. This abstract was also presented in Gastroenterology (</w:t>
            </w:r>
            <w:proofErr w:type="spellStart"/>
            <w:r w:rsidRPr="006F393A">
              <w:t>Kowdley</w:t>
            </w:r>
            <w:proofErr w:type="spellEnd"/>
            <w:r w:rsidRPr="006F393A">
              <w:t xml:space="preserve"> et al 2014)</w:t>
            </w:r>
            <w:r w:rsidR="009A77A4" w:rsidRPr="006F393A">
              <w:rPr>
                <w:noProof/>
                <w:vertAlign w:val="superscript"/>
              </w:rPr>
              <w:t>10</w:t>
            </w:r>
          </w:p>
        </w:tc>
      </w:tr>
      <w:tr w:rsidR="00ED3017" w:rsidRPr="006F393A" w:rsidTr="00ED3017">
        <w:tc>
          <w:tcPr>
            <w:tcW w:w="778" w:type="pct"/>
            <w:vMerge w:val="restart"/>
            <w:vAlign w:val="center"/>
          </w:tcPr>
          <w:p w:rsidR="00ED3017" w:rsidRPr="006F393A" w:rsidRDefault="00ED3017" w:rsidP="00ED3017">
            <w:pPr>
              <w:pStyle w:val="Tabletext"/>
              <w:rPr>
                <w:b/>
              </w:rPr>
            </w:pPr>
            <w:r w:rsidRPr="006F393A">
              <w:rPr>
                <w:b/>
              </w:rPr>
              <w:t>Sapphire I</w:t>
            </w:r>
          </w:p>
          <w:p w:rsidR="00ED3017" w:rsidRPr="006F393A" w:rsidRDefault="00ED3017" w:rsidP="00820933">
            <w:pPr>
              <w:pStyle w:val="Tabletext"/>
              <w:rPr>
                <w:b/>
              </w:rPr>
            </w:pPr>
            <w:r w:rsidRPr="006F393A">
              <w:rPr>
                <w:b/>
              </w:rPr>
              <w:t>Feld et al 2014</w:t>
            </w:r>
          </w:p>
        </w:tc>
        <w:tc>
          <w:tcPr>
            <w:tcW w:w="2950" w:type="pct"/>
          </w:tcPr>
          <w:p w:rsidR="00ED3017" w:rsidRPr="006F393A" w:rsidRDefault="00ED3017" w:rsidP="00ED3017">
            <w:pPr>
              <w:pStyle w:val="Tabletext"/>
            </w:pPr>
            <w:r w:rsidRPr="006F393A">
              <w:t>A randomized, double-blind, placebo-controlled study to evaluate the efficacy and safety of ABT-450/ritonavir/ABT-267 (ABT-450/r/ABT-267) and ABT-333 co-administered with ribavirin (RBV) in treatment-naïve adults with genotype 1 chronic hepatitis C virus (HCV) infection (SAPPHIRE-I).</w:t>
            </w:r>
          </w:p>
        </w:tc>
        <w:tc>
          <w:tcPr>
            <w:tcW w:w="1272" w:type="pct"/>
          </w:tcPr>
          <w:p w:rsidR="00ED3017" w:rsidRPr="006F393A" w:rsidRDefault="00ED3017" w:rsidP="00ED3017">
            <w:pPr>
              <w:pStyle w:val="Tabletext"/>
            </w:pPr>
            <w:r w:rsidRPr="006F393A">
              <w:t>Primary Analysis CSR 21 February 2014</w:t>
            </w:r>
          </w:p>
        </w:tc>
      </w:tr>
      <w:tr w:rsidR="00ED3017" w:rsidRPr="006F393A" w:rsidTr="00ED3017">
        <w:tc>
          <w:tcPr>
            <w:tcW w:w="778" w:type="pct"/>
            <w:vMerge/>
            <w:vAlign w:val="center"/>
          </w:tcPr>
          <w:p w:rsidR="00ED3017" w:rsidRPr="006F393A" w:rsidRDefault="00ED3017" w:rsidP="00ED3017">
            <w:pPr>
              <w:pStyle w:val="Tabletext"/>
              <w:rPr>
                <w:b/>
              </w:rPr>
            </w:pPr>
          </w:p>
        </w:tc>
        <w:tc>
          <w:tcPr>
            <w:tcW w:w="2950" w:type="pct"/>
          </w:tcPr>
          <w:p w:rsidR="00ED3017" w:rsidRPr="006F393A" w:rsidRDefault="00ED3017" w:rsidP="00ED3017">
            <w:pPr>
              <w:pStyle w:val="Tabletext"/>
              <w:rPr>
                <w:b/>
              </w:rPr>
            </w:pPr>
            <w:r w:rsidRPr="006F393A">
              <w:rPr>
                <w:b/>
              </w:rPr>
              <w:t>Primary publication</w:t>
            </w:r>
          </w:p>
          <w:p w:rsidR="00ED3017" w:rsidRPr="006F393A" w:rsidRDefault="00ED3017" w:rsidP="009A77A4">
            <w:pPr>
              <w:pStyle w:val="Tabletext"/>
            </w:pPr>
            <w:r w:rsidRPr="006F393A">
              <w:t xml:space="preserve">Feld, J. J., K. V. </w:t>
            </w:r>
            <w:proofErr w:type="spellStart"/>
            <w:r w:rsidRPr="006F393A">
              <w:t>Kowdley</w:t>
            </w:r>
            <w:proofErr w:type="spellEnd"/>
            <w:r w:rsidRPr="006F393A">
              <w:t xml:space="preserve">, E. </w:t>
            </w:r>
            <w:proofErr w:type="spellStart"/>
            <w:r w:rsidRPr="006F393A">
              <w:t>Coakley</w:t>
            </w:r>
            <w:proofErr w:type="spellEnd"/>
            <w:r w:rsidRPr="006F393A">
              <w:t xml:space="preserve">, S. </w:t>
            </w:r>
            <w:proofErr w:type="spellStart"/>
            <w:r w:rsidRPr="006F393A">
              <w:t>Sigal</w:t>
            </w:r>
            <w:proofErr w:type="spellEnd"/>
            <w:r w:rsidRPr="006F393A">
              <w:t xml:space="preserve">, D. R. Nelson, D. Crawford, O. Weiland, H. Aguilar, J. </w:t>
            </w:r>
            <w:proofErr w:type="spellStart"/>
            <w:r w:rsidRPr="006F393A">
              <w:t>Xiong</w:t>
            </w:r>
            <w:proofErr w:type="spellEnd"/>
            <w:r w:rsidRPr="006F393A">
              <w:t>, T. Pilot-Matias, B. DaSilva-</w:t>
            </w:r>
            <w:proofErr w:type="spellStart"/>
            <w:r w:rsidRPr="006F393A">
              <w:t>Tillmann</w:t>
            </w:r>
            <w:proofErr w:type="spellEnd"/>
            <w:r w:rsidRPr="006F393A">
              <w:t xml:space="preserve">, L. Larsen, T. </w:t>
            </w:r>
            <w:proofErr w:type="spellStart"/>
            <w:r w:rsidRPr="006F393A">
              <w:t>Podsadecki</w:t>
            </w:r>
            <w:proofErr w:type="spellEnd"/>
            <w:r w:rsidRPr="006F393A">
              <w:t xml:space="preserve"> and B. Bernstein </w:t>
            </w:r>
            <w:r w:rsidR="009A77A4" w:rsidRPr="006F393A">
              <w:rPr>
                <w:noProof/>
                <w:vertAlign w:val="superscript"/>
              </w:rPr>
              <w:t>12</w:t>
            </w:r>
            <w:r w:rsidRPr="006F393A">
              <w:t>. "Treatment of HCV with ABT-450/r-</w:t>
            </w:r>
            <w:proofErr w:type="spellStart"/>
            <w:r w:rsidRPr="006F393A">
              <w:t>ombitasvir</w:t>
            </w:r>
            <w:proofErr w:type="spellEnd"/>
            <w:r w:rsidRPr="006F393A">
              <w:t xml:space="preserve"> and </w:t>
            </w:r>
            <w:proofErr w:type="spellStart"/>
            <w:r w:rsidRPr="006F393A">
              <w:t>dasabuvir</w:t>
            </w:r>
            <w:proofErr w:type="spellEnd"/>
            <w:r w:rsidRPr="006F393A">
              <w:t xml:space="preserve"> with ribavirin."</w:t>
            </w:r>
          </w:p>
        </w:tc>
        <w:tc>
          <w:tcPr>
            <w:tcW w:w="1272" w:type="pct"/>
          </w:tcPr>
          <w:p w:rsidR="00ED3017" w:rsidRPr="006F393A" w:rsidRDefault="00ED3017" w:rsidP="00ED3017">
            <w:pPr>
              <w:pStyle w:val="Tabletext"/>
            </w:pPr>
            <w:r w:rsidRPr="006F393A">
              <w:t>2014</w:t>
            </w:r>
          </w:p>
          <w:p w:rsidR="00ED3017" w:rsidRPr="006F393A" w:rsidRDefault="00ED3017" w:rsidP="009A77A4">
            <w:pPr>
              <w:pStyle w:val="Tabletext"/>
            </w:pPr>
            <w:r w:rsidRPr="006F393A">
              <w:t>New England Journal of Medicine 370 (17): 1594-1603</w:t>
            </w:r>
            <w:r w:rsidR="009A77A4" w:rsidRPr="006F393A">
              <w:rPr>
                <w:noProof/>
                <w:vertAlign w:val="superscript"/>
              </w:rPr>
              <w:t>11</w:t>
            </w:r>
          </w:p>
        </w:tc>
      </w:tr>
      <w:tr w:rsidR="00ED3017" w:rsidRPr="006F393A" w:rsidTr="00ED3017">
        <w:tc>
          <w:tcPr>
            <w:tcW w:w="778" w:type="pct"/>
            <w:vMerge/>
            <w:vAlign w:val="center"/>
          </w:tcPr>
          <w:p w:rsidR="00ED3017" w:rsidRPr="006F393A" w:rsidRDefault="00ED3017" w:rsidP="00ED3017">
            <w:pPr>
              <w:pStyle w:val="Tabletext"/>
              <w:rPr>
                <w:b/>
              </w:rPr>
            </w:pPr>
          </w:p>
        </w:tc>
        <w:tc>
          <w:tcPr>
            <w:tcW w:w="2950" w:type="pct"/>
          </w:tcPr>
          <w:p w:rsidR="00ED3017" w:rsidRPr="006F393A" w:rsidRDefault="00ED3017" w:rsidP="009A77A4">
            <w:pPr>
              <w:pStyle w:val="Tabletext"/>
            </w:pPr>
            <w:r w:rsidRPr="006F393A">
              <w:t xml:space="preserve">J.J. Feld, K.V. </w:t>
            </w:r>
            <w:proofErr w:type="spellStart"/>
            <w:r w:rsidRPr="006F393A">
              <w:t>Kowdley</w:t>
            </w:r>
            <w:proofErr w:type="spellEnd"/>
            <w:r w:rsidRPr="006F393A">
              <w:t xml:space="preserve">, E. </w:t>
            </w:r>
            <w:proofErr w:type="spellStart"/>
            <w:r w:rsidRPr="006F393A">
              <w:t>Coakley</w:t>
            </w:r>
            <w:proofErr w:type="spellEnd"/>
            <w:r w:rsidRPr="006F393A">
              <w:t xml:space="preserve">, S. </w:t>
            </w:r>
            <w:proofErr w:type="spellStart"/>
            <w:r w:rsidRPr="006F393A">
              <w:t>Sigal</w:t>
            </w:r>
            <w:proofErr w:type="spellEnd"/>
            <w:r w:rsidRPr="006F393A">
              <w:t xml:space="preserve">, D. Nelson, D. Crawford, O. Weiland, H. Aguilar, J. </w:t>
            </w:r>
            <w:proofErr w:type="spellStart"/>
            <w:r w:rsidRPr="006F393A">
              <w:t>Xiong</w:t>
            </w:r>
            <w:proofErr w:type="spellEnd"/>
            <w:r w:rsidRPr="006F393A">
              <w:t>, B. DaSilva-</w:t>
            </w:r>
            <w:proofErr w:type="spellStart"/>
            <w:r w:rsidRPr="006F393A">
              <w:t>Tillmann</w:t>
            </w:r>
            <w:proofErr w:type="spellEnd"/>
            <w:r w:rsidRPr="006F393A">
              <w:t xml:space="preserve">, L. Larsen and T. </w:t>
            </w:r>
            <w:proofErr w:type="spellStart"/>
            <w:r w:rsidRPr="006F393A">
              <w:t>Podsadecki</w:t>
            </w:r>
            <w:proofErr w:type="spellEnd"/>
            <w:r w:rsidRPr="006F393A">
              <w:t xml:space="preserve"> </w:t>
            </w:r>
            <w:r w:rsidR="009A77A4" w:rsidRPr="006F393A">
              <w:rPr>
                <w:noProof/>
                <w:vertAlign w:val="superscript"/>
              </w:rPr>
              <w:t>13</w:t>
            </w:r>
            <w:r w:rsidRPr="006F393A">
              <w:t>. Phase 3 placebo-controlled study of interferon-free 12-week regimen of ABT-450/r/ABT-267 ABT-333 and ribavirin in 631 treatment-naive adults with hepatitis C virus genotype 1.</w:t>
            </w:r>
          </w:p>
        </w:tc>
        <w:tc>
          <w:tcPr>
            <w:tcW w:w="1272" w:type="pct"/>
          </w:tcPr>
          <w:p w:rsidR="00ED3017" w:rsidRPr="006F393A" w:rsidRDefault="00ED3017" w:rsidP="00ED3017">
            <w:pPr>
              <w:pStyle w:val="Tabletext"/>
            </w:pPr>
            <w:r w:rsidRPr="006F393A">
              <w:t>2014</w:t>
            </w:r>
          </w:p>
          <w:p w:rsidR="00ED3017" w:rsidRPr="006F393A" w:rsidRDefault="00ED3017" w:rsidP="009A77A4">
            <w:pPr>
              <w:pStyle w:val="Tabletext"/>
            </w:pPr>
            <w:r w:rsidRPr="006F393A">
              <w:t xml:space="preserve">Journal of </w:t>
            </w:r>
            <w:proofErr w:type="spellStart"/>
            <w:r w:rsidRPr="006F393A">
              <w:t>Hepatology</w:t>
            </w:r>
            <w:proofErr w:type="spellEnd"/>
            <w:r w:rsidRPr="006F393A">
              <w:t xml:space="preserve"> 60 (1) Supplement S25</w:t>
            </w:r>
            <w:r w:rsidR="009A77A4" w:rsidRPr="006F393A">
              <w:rPr>
                <w:noProof/>
                <w:vertAlign w:val="superscript"/>
              </w:rPr>
              <w:t>14</w:t>
            </w:r>
          </w:p>
        </w:tc>
      </w:tr>
      <w:tr w:rsidR="00ED3017" w:rsidRPr="006F393A" w:rsidTr="00ED3017">
        <w:tc>
          <w:tcPr>
            <w:tcW w:w="778" w:type="pct"/>
            <w:vMerge w:val="restart"/>
            <w:vAlign w:val="center"/>
          </w:tcPr>
          <w:p w:rsidR="00ED3017" w:rsidRPr="006F393A" w:rsidRDefault="00ED3017" w:rsidP="00ED3017">
            <w:pPr>
              <w:pStyle w:val="Tabletext"/>
              <w:rPr>
                <w:b/>
              </w:rPr>
            </w:pPr>
            <w:r w:rsidRPr="006F393A">
              <w:rPr>
                <w:b/>
              </w:rPr>
              <w:t>Sapphire II</w:t>
            </w:r>
          </w:p>
          <w:p w:rsidR="00ED3017" w:rsidRPr="006F393A" w:rsidRDefault="00ED3017" w:rsidP="00820933">
            <w:pPr>
              <w:pStyle w:val="Tabletext"/>
              <w:rPr>
                <w:b/>
              </w:rPr>
            </w:pPr>
            <w:proofErr w:type="spellStart"/>
            <w:r w:rsidRPr="006F393A">
              <w:rPr>
                <w:b/>
              </w:rPr>
              <w:t>Zeuzem</w:t>
            </w:r>
            <w:proofErr w:type="spellEnd"/>
            <w:r w:rsidRPr="006F393A">
              <w:rPr>
                <w:b/>
              </w:rPr>
              <w:t xml:space="preserve"> et al 2014</w:t>
            </w:r>
          </w:p>
        </w:tc>
        <w:tc>
          <w:tcPr>
            <w:tcW w:w="2950" w:type="pct"/>
          </w:tcPr>
          <w:p w:rsidR="00ED3017" w:rsidRPr="006F393A" w:rsidRDefault="00ED3017" w:rsidP="00ED3017">
            <w:pPr>
              <w:pStyle w:val="Tabletext"/>
            </w:pPr>
            <w:r w:rsidRPr="006F393A">
              <w:t>A randomized, double-blind, placebo-controlled study to evaluate the efficacy and safety of ABT-450/ritonavir/ABT-267 (ABT-450/r/ABT-267) and ABT-333 co-administered with ribavirin (RBV) in treatment-experienced adults with genotype 1 chronic hepatitis C virus (HCV) infection (SAPPHIRE-II).</w:t>
            </w:r>
          </w:p>
        </w:tc>
        <w:tc>
          <w:tcPr>
            <w:tcW w:w="1272" w:type="pct"/>
          </w:tcPr>
          <w:p w:rsidR="00ED3017" w:rsidRPr="006F393A" w:rsidRDefault="00ED3017" w:rsidP="00ED3017">
            <w:pPr>
              <w:pStyle w:val="Tabletext"/>
            </w:pPr>
            <w:r w:rsidRPr="006F393A">
              <w:t>Primary Analysis CSR 18 February 2014</w:t>
            </w:r>
          </w:p>
        </w:tc>
      </w:tr>
      <w:tr w:rsidR="00ED3017" w:rsidRPr="006F393A" w:rsidTr="00ED3017">
        <w:tc>
          <w:tcPr>
            <w:tcW w:w="778" w:type="pct"/>
            <w:vMerge/>
            <w:vAlign w:val="center"/>
          </w:tcPr>
          <w:p w:rsidR="00ED3017" w:rsidRPr="006F393A" w:rsidRDefault="00ED3017" w:rsidP="00ED3017">
            <w:pPr>
              <w:pStyle w:val="Tabletext"/>
              <w:rPr>
                <w:b/>
              </w:rPr>
            </w:pPr>
          </w:p>
        </w:tc>
        <w:tc>
          <w:tcPr>
            <w:tcW w:w="2950" w:type="pct"/>
          </w:tcPr>
          <w:p w:rsidR="00ED3017" w:rsidRPr="006F393A" w:rsidRDefault="00ED3017" w:rsidP="00ED3017">
            <w:pPr>
              <w:pStyle w:val="Tabletext"/>
              <w:rPr>
                <w:b/>
              </w:rPr>
            </w:pPr>
            <w:r w:rsidRPr="006F393A">
              <w:rPr>
                <w:b/>
              </w:rPr>
              <w:t>Primary publication</w:t>
            </w:r>
          </w:p>
          <w:p w:rsidR="00ED3017" w:rsidRPr="006F393A" w:rsidRDefault="00ED3017" w:rsidP="009A77A4">
            <w:pPr>
              <w:pStyle w:val="Tabletext"/>
            </w:pPr>
            <w:proofErr w:type="spellStart"/>
            <w:r w:rsidRPr="006F393A">
              <w:t>Zeuzem</w:t>
            </w:r>
            <w:proofErr w:type="spellEnd"/>
            <w:r w:rsidRPr="006F393A">
              <w:t xml:space="preserve">, S., I. M. Jacobson, T. Baykal, R. T. </w:t>
            </w:r>
            <w:proofErr w:type="spellStart"/>
            <w:r w:rsidRPr="006F393A">
              <w:t>Marinho</w:t>
            </w:r>
            <w:proofErr w:type="spellEnd"/>
            <w:r w:rsidRPr="006F393A">
              <w:t xml:space="preserve">, F. </w:t>
            </w:r>
            <w:proofErr w:type="spellStart"/>
            <w:r w:rsidRPr="006F393A">
              <w:t>Poordad</w:t>
            </w:r>
            <w:proofErr w:type="spellEnd"/>
            <w:r w:rsidRPr="006F393A">
              <w:t xml:space="preserve">, M. </w:t>
            </w:r>
            <w:proofErr w:type="spellStart"/>
            <w:r w:rsidRPr="006F393A">
              <w:t>Bourliere</w:t>
            </w:r>
            <w:proofErr w:type="spellEnd"/>
            <w:r w:rsidRPr="006F393A">
              <w:t xml:space="preserve">, M. S. </w:t>
            </w:r>
            <w:proofErr w:type="spellStart"/>
            <w:r w:rsidRPr="006F393A">
              <w:t>Sulkowski</w:t>
            </w:r>
            <w:proofErr w:type="spellEnd"/>
            <w:r w:rsidRPr="006F393A">
              <w:t xml:space="preserve">, H. </w:t>
            </w:r>
            <w:proofErr w:type="spellStart"/>
            <w:r w:rsidRPr="006F393A">
              <w:t>Wedemeyer</w:t>
            </w:r>
            <w:proofErr w:type="spellEnd"/>
            <w:r w:rsidRPr="006F393A">
              <w:t xml:space="preserve">, E. Tam, P. Desmond, D. M. Jensen, A. M. Di </w:t>
            </w:r>
            <w:proofErr w:type="spellStart"/>
            <w:r w:rsidRPr="006F393A">
              <w:t>Bisceglie</w:t>
            </w:r>
            <w:proofErr w:type="spellEnd"/>
            <w:r w:rsidRPr="006F393A">
              <w:t xml:space="preserve">, P. </w:t>
            </w:r>
            <w:proofErr w:type="spellStart"/>
            <w:r w:rsidRPr="006F393A">
              <w:t>Varunok</w:t>
            </w:r>
            <w:proofErr w:type="spellEnd"/>
            <w:r w:rsidRPr="006F393A">
              <w:t xml:space="preserve">, T. </w:t>
            </w:r>
            <w:proofErr w:type="spellStart"/>
            <w:r w:rsidRPr="006F393A">
              <w:t>Hassanein</w:t>
            </w:r>
            <w:proofErr w:type="spellEnd"/>
            <w:r w:rsidRPr="006F393A">
              <w:t xml:space="preserve">, J. </w:t>
            </w:r>
            <w:proofErr w:type="spellStart"/>
            <w:r w:rsidRPr="006F393A">
              <w:t>Xiong</w:t>
            </w:r>
            <w:proofErr w:type="spellEnd"/>
            <w:r w:rsidRPr="006F393A">
              <w:t>, T. Pilot-Matias, B. DaSilva-</w:t>
            </w:r>
            <w:proofErr w:type="spellStart"/>
            <w:r w:rsidRPr="006F393A">
              <w:t>Tillmann</w:t>
            </w:r>
            <w:proofErr w:type="spellEnd"/>
            <w:r w:rsidRPr="006F393A">
              <w:t xml:space="preserve">, L. Larsen, T. </w:t>
            </w:r>
            <w:proofErr w:type="spellStart"/>
            <w:r w:rsidRPr="006F393A">
              <w:t>Podsadecki</w:t>
            </w:r>
            <w:proofErr w:type="spellEnd"/>
            <w:r w:rsidRPr="006F393A">
              <w:t xml:space="preserve"> and B. Bernstein </w:t>
            </w:r>
            <w:r w:rsidR="009A77A4" w:rsidRPr="006F393A">
              <w:rPr>
                <w:noProof/>
                <w:vertAlign w:val="superscript"/>
              </w:rPr>
              <w:t>16</w:t>
            </w:r>
            <w:r w:rsidRPr="006F393A">
              <w:t>"Retreatment of HCV with ABT-450/r-</w:t>
            </w:r>
            <w:proofErr w:type="spellStart"/>
            <w:r w:rsidRPr="006F393A">
              <w:t>ombitasvir</w:t>
            </w:r>
            <w:proofErr w:type="spellEnd"/>
            <w:r w:rsidRPr="006F393A">
              <w:t xml:space="preserve"> and </w:t>
            </w:r>
            <w:proofErr w:type="spellStart"/>
            <w:r w:rsidRPr="006F393A">
              <w:t>dasabuvir</w:t>
            </w:r>
            <w:proofErr w:type="spellEnd"/>
            <w:r w:rsidRPr="006F393A">
              <w:t xml:space="preserve"> with ribavirin." </w:t>
            </w:r>
          </w:p>
        </w:tc>
        <w:tc>
          <w:tcPr>
            <w:tcW w:w="1272" w:type="pct"/>
          </w:tcPr>
          <w:p w:rsidR="00ED3017" w:rsidRPr="006F393A" w:rsidRDefault="00ED3017" w:rsidP="00ED3017">
            <w:pPr>
              <w:pStyle w:val="Tabletext"/>
            </w:pPr>
            <w:r w:rsidRPr="006F393A">
              <w:t>2014</w:t>
            </w:r>
          </w:p>
          <w:p w:rsidR="00ED3017" w:rsidRPr="006F393A" w:rsidRDefault="00ED3017" w:rsidP="00ED3017">
            <w:pPr>
              <w:pStyle w:val="Tabletext"/>
            </w:pPr>
            <w:r w:rsidRPr="006F393A">
              <w:t xml:space="preserve">N </w:t>
            </w:r>
            <w:proofErr w:type="spellStart"/>
            <w:r w:rsidRPr="006F393A">
              <w:t>Engl</w:t>
            </w:r>
            <w:proofErr w:type="spellEnd"/>
            <w:r w:rsidRPr="006F393A">
              <w:t xml:space="preserve"> J Med 370(17): 1604-1614</w:t>
            </w:r>
            <w:r w:rsidR="009A77A4" w:rsidRPr="006F393A">
              <w:rPr>
                <w:noProof/>
                <w:vertAlign w:val="superscript"/>
              </w:rPr>
              <w:t>15</w:t>
            </w:r>
          </w:p>
          <w:p w:rsidR="00ED3017" w:rsidRPr="006F393A" w:rsidRDefault="00ED3017" w:rsidP="00ED3017">
            <w:pPr>
              <w:pStyle w:val="Tabletext"/>
            </w:pPr>
          </w:p>
        </w:tc>
      </w:tr>
      <w:tr w:rsidR="00ED3017" w:rsidRPr="006F393A" w:rsidTr="00ED3017">
        <w:tc>
          <w:tcPr>
            <w:tcW w:w="778" w:type="pct"/>
            <w:vMerge/>
            <w:vAlign w:val="center"/>
          </w:tcPr>
          <w:p w:rsidR="00ED3017" w:rsidRPr="006F393A" w:rsidRDefault="00ED3017" w:rsidP="00ED3017">
            <w:pPr>
              <w:pStyle w:val="Tabletext"/>
              <w:rPr>
                <w:b/>
              </w:rPr>
            </w:pPr>
          </w:p>
        </w:tc>
        <w:tc>
          <w:tcPr>
            <w:tcW w:w="2950" w:type="pct"/>
          </w:tcPr>
          <w:p w:rsidR="00ED3017" w:rsidRPr="006F393A" w:rsidRDefault="00ED3017" w:rsidP="009A77A4">
            <w:pPr>
              <w:pStyle w:val="Tabletext"/>
            </w:pPr>
            <w:r w:rsidRPr="006F393A">
              <w:t xml:space="preserve">Ira M. Jacobson, Stefan </w:t>
            </w:r>
            <w:proofErr w:type="spellStart"/>
            <w:r w:rsidRPr="006F393A">
              <w:t>Zeuzem</w:t>
            </w:r>
            <w:proofErr w:type="spellEnd"/>
            <w:r w:rsidRPr="006F393A">
              <w:t xml:space="preserve">, Tolga Baykal, </w:t>
            </w:r>
            <w:proofErr w:type="spellStart"/>
            <w:r w:rsidRPr="006F393A">
              <w:t>Rui</w:t>
            </w:r>
            <w:proofErr w:type="spellEnd"/>
            <w:r w:rsidRPr="006F393A">
              <w:t xml:space="preserve"> T. </w:t>
            </w:r>
            <w:proofErr w:type="spellStart"/>
            <w:r w:rsidRPr="006F393A">
              <w:t>Marinho</w:t>
            </w:r>
            <w:proofErr w:type="spellEnd"/>
            <w:r w:rsidRPr="006F393A">
              <w:t xml:space="preserve">, Fred </w:t>
            </w:r>
            <w:proofErr w:type="spellStart"/>
            <w:r w:rsidRPr="006F393A">
              <w:t>Poordad</w:t>
            </w:r>
            <w:proofErr w:type="spellEnd"/>
            <w:r w:rsidRPr="006F393A">
              <w:t xml:space="preserve">, Marc </w:t>
            </w:r>
            <w:proofErr w:type="spellStart"/>
            <w:r w:rsidRPr="006F393A">
              <w:t>Bourliere</w:t>
            </w:r>
            <w:proofErr w:type="spellEnd"/>
            <w:r w:rsidRPr="006F393A">
              <w:t xml:space="preserve">, Mark </w:t>
            </w:r>
            <w:proofErr w:type="spellStart"/>
            <w:r w:rsidRPr="006F393A">
              <w:t>Sulkowski</w:t>
            </w:r>
            <w:proofErr w:type="spellEnd"/>
            <w:r w:rsidRPr="006F393A">
              <w:t xml:space="preserve">, </w:t>
            </w:r>
            <w:proofErr w:type="spellStart"/>
            <w:r w:rsidRPr="006F393A">
              <w:t>Heiner</w:t>
            </w:r>
            <w:proofErr w:type="spellEnd"/>
            <w:r w:rsidRPr="006F393A">
              <w:t xml:space="preserve"> </w:t>
            </w:r>
            <w:proofErr w:type="spellStart"/>
            <w:r w:rsidRPr="006F393A">
              <w:t>Wedemeyer</w:t>
            </w:r>
            <w:proofErr w:type="spellEnd"/>
            <w:r w:rsidRPr="006F393A">
              <w:t xml:space="preserve">, Edward Tam, Paul V. Desmond, Donald M. Jensen, Adrian M. Di </w:t>
            </w:r>
            <w:proofErr w:type="spellStart"/>
            <w:r w:rsidRPr="006F393A">
              <w:t>Bisceglie</w:t>
            </w:r>
            <w:proofErr w:type="spellEnd"/>
            <w:r w:rsidRPr="006F393A">
              <w:t xml:space="preserve">, Peter </w:t>
            </w:r>
            <w:proofErr w:type="spellStart"/>
            <w:r w:rsidRPr="006F393A">
              <w:t>Varunok</w:t>
            </w:r>
            <w:proofErr w:type="spellEnd"/>
            <w:r w:rsidRPr="006F393A">
              <w:t xml:space="preserve">, Tarek </w:t>
            </w:r>
            <w:proofErr w:type="spellStart"/>
            <w:r w:rsidRPr="006F393A">
              <w:t>Hassanein</w:t>
            </w:r>
            <w:proofErr w:type="spellEnd"/>
            <w:r w:rsidRPr="006F393A">
              <w:t xml:space="preserve">, </w:t>
            </w:r>
            <w:proofErr w:type="spellStart"/>
            <w:r w:rsidRPr="006F393A">
              <w:t>Junyuan</w:t>
            </w:r>
            <w:proofErr w:type="spellEnd"/>
            <w:r w:rsidRPr="006F393A">
              <w:t xml:space="preserve"> </w:t>
            </w:r>
            <w:proofErr w:type="spellStart"/>
            <w:r w:rsidRPr="006F393A">
              <w:t>Xiong</w:t>
            </w:r>
            <w:proofErr w:type="spellEnd"/>
            <w:r w:rsidRPr="006F393A">
              <w:t>, Barbara DaSilva-</w:t>
            </w:r>
            <w:proofErr w:type="spellStart"/>
            <w:r w:rsidRPr="006F393A">
              <w:t>Tillmann</w:t>
            </w:r>
            <w:proofErr w:type="spellEnd"/>
            <w:r w:rsidRPr="006F393A">
              <w:t xml:space="preserve">, Lois Larsen and Thomas </w:t>
            </w:r>
            <w:proofErr w:type="spellStart"/>
            <w:r w:rsidRPr="006F393A">
              <w:t>Podsadecki</w:t>
            </w:r>
            <w:proofErr w:type="spellEnd"/>
            <w:r w:rsidRPr="006F393A">
              <w:t xml:space="preserve"> </w:t>
            </w:r>
            <w:r w:rsidR="009A77A4" w:rsidRPr="006F393A">
              <w:rPr>
                <w:noProof/>
                <w:vertAlign w:val="superscript"/>
              </w:rPr>
              <w:t>17</w:t>
            </w:r>
            <w:r w:rsidRPr="006F393A">
              <w:t xml:space="preserve">. Phase 3 placebo-controlled study of interferon-free 12-week regimen of ABT-450/r/ABT-267 ABT-333 and ribavirin in 394 treatment-experienced adults with hepatitis C virus genotype 1. </w:t>
            </w:r>
          </w:p>
        </w:tc>
        <w:tc>
          <w:tcPr>
            <w:tcW w:w="1272" w:type="pct"/>
          </w:tcPr>
          <w:p w:rsidR="00ED3017" w:rsidRPr="006F393A" w:rsidRDefault="00ED3017" w:rsidP="00ED3017">
            <w:pPr>
              <w:pStyle w:val="Tabletext"/>
            </w:pPr>
            <w:r w:rsidRPr="006F393A">
              <w:t>2014</w:t>
            </w:r>
          </w:p>
          <w:p w:rsidR="00ED3017" w:rsidRPr="006F393A" w:rsidRDefault="00ED3017" w:rsidP="009A77A4">
            <w:pPr>
              <w:pStyle w:val="Tabletext"/>
            </w:pPr>
            <w:r w:rsidRPr="006F393A">
              <w:t>Gastroenterology 146 (5) Supplement 1 S-904</w:t>
            </w:r>
            <w:r w:rsidR="009A77A4" w:rsidRPr="006F393A">
              <w:rPr>
                <w:noProof/>
                <w:vertAlign w:val="superscript"/>
              </w:rPr>
              <w:t>18</w:t>
            </w:r>
            <w:r w:rsidRPr="006F393A">
              <w:t>. This abstract was also presented in Journal of Hepatology</w:t>
            </w:r>
            <w:r w:rsidR="009A77A4" w:rsidRPr="006F393A">
              <w:rPr>
                <w:noProof/>
                <w:vertAlign w:val="superscript"/>
              </w:rPr>
              <w:t>19</w:t>
            </w:r>
          </w:p>
        </w:tc>
      </w:tr>
      <w:tr w:rsidR="00ED3017" w:rsidRPr="006F393A" w:rsidTr="00ED3017">
        <w:tc>
          <w:tcPr>
            <w:tcW w:w="778" w:type="pct"/>
            <w:vMerge w:val="restart"/>
            <w:vAlign w:val="center"/>
          </w:tcPr>
          <w:p w:rsidR="00ED3017" w:rsidRPr="006F393A" w:rsidRDefault="00ED3017" w:rsidP="00ED3017">
            <w:pPr>
              <w:pStyle w:val="Tabletext"/>
              <w:rPr>
                <w:b/>
              </w:rPr>
            </w:pPr>
            <w:r w:rsidRPr="006F393A">
              <w:rPr>
                <w:b/>
              </w:rPr>
              <w:t>Pearl II</w:t>
            </w:r>
          </w:p>
          <w:p w:rsidR="00ED3017" w:rsidRPr="006F393A" w:rsidRDefault="00ED3017" w:rsidP="00820933">
            <w:pPr>
              <w:pStyle w:val="Tabletext"/>
              <w:rPr>
                <w:b/>
              </w:rPr>
            </w:pPr>
            <w:proofErr w:type="spellStart"/>
            <w:r w:rsidRPr="006F393A">
              <w:rPr>
                <w:b/>
              </w:rPr>
              <w:t>Andreone</w:t>
            </w:r>
            <w:proofErr w:type="spellEnd"/>
            <w:r w:rsidRPr="006F393A">
              <w:rPr>
                <w:b/>
              </w:rPr>
              <w:t xml:space="preserve"> et al 2014</w:t>
            </w:r>
          </w:p>
        </w:tc>
        <w:tc>
          <w:tcPr>
            <w:tcW w:w="2950" w:type="pct"/>
          </w:tcPr>
          <w:p w:rsidR="00ED3017" w:rsidRPr="006F393A" w:rsidRDefault="00ED3017" w:rsidP="00ED3017">
            <w:pPr>
              <w:pStyle w:val="Tabletext"/>
            </w:pPr>
            <w:r w:rsidRPr="006F393A">
              <w:t xml:space="preserve">A randomized, open-label, </w:t>
            </w:r>
            <w:proofErr w:type="spellStart"/>
            <w:r w:rsidRPr="006F393A">
              <w:t>multicenter</w:t>
            </w:r>
            <w:proofErr w:type="spellEnd"/>
            <w:r w:rsidRPr="006F393A">
              <w:t xml:space="preserve"> study to evaluate the safety and antiviral activity of the combination of ABT-450/ritonavir/ABT-267 (ABT-450/r/ABT-267) and ABT-333 with and without ribavirin in treatment-experienced subjects with genotype 1b chronic hepatitis C virus (HCV) infection (PEARL–II).</w:t>
            </w:r>
          </w:p>
        </w:tc>
        <w:tc>
          <w:tcPr>
            <w:tcW w:w="1272" w:type="pct"/>
          </w:tcPr>
          <w:p w:rsidR="00ED3017" w:rsidRPr="006F393A" w:rsidRDefault="00ED3017" w:rsidP="00ED3017">
            <w:pPr>
              <w:pStyle w:val="Tabletext"/>
            </w:pPr>
            <w:r w:rsidRPr="006F393A">
              <w:t>Primary Analysis CSR 2 April 2014</w:t>
            </w:r>
          </w:p>
        </w:tc>
      </w:tr>
      <w:tr w:rsidR="00ED3017" w:rsidRPr="006F393A" w:rsidTr="00ED3017">
        <w:tc>
          <w:tcPr>
            <w:tcW w:w="778" w:type="pct"/>
            <w:vMerge/>
            <w:vAlign w:val="center"/>
          </w:tcPr>
          <w:p w:rsidR="00ED3017" w:rsidRPr="006F393A" w:rsidRDefault="00ED3017" w:rsidP="00ED3017">
            <w:pPr>
              <w:pStyle w:val="Tabletext"/>
              <w:rPr>
                <w:b/>
              </w:rPr>
            </w:pPr>
          </w:p>
        </w:tc>
        <w:tc>
          <w:tcPr>
            <w:tcW w:w="2950" w:type="pct"/>
          </w:tcPr>
          <w:p w:rsidR="00ED3017" w:rsidRPr="006F393A" w:rsidRDefault="00ED3017" w:rsidP="00ED3017">
            <w:pPr>
              <w:pStyle w:val="Tabletext"/>
              <w:rPr>
                <w:b/>
              </w:rPr>
            </w:pPr>
            <w:r w:rsidRPr="006F393A">
              <w:rPr>
                <w:b/>
              </w:rPr>
              <w:t>Primary publication</w:t>
            </w:r>
          </w:p>
          <w:p w:rsidR="00ED3017" w:rsidRPr="006F393A" w:rsidRDefault="00ED3017" w:rsidP="009A77A4">
            <w:pPr>
              <w:pStyle w:val="Tabletext"/>
            </w:pPr>
            <w:proofErr w:type="spellStart"/>
            <w:r w:rsidRPr="006F393A">
              <w:t>Andreone</w:t>
            </w:r>
            <w:proofErr w:type="spellEnd"/>
            <w:r w:rsidRPr="006F393A">
              <w:t xml:space="preserve">, P., M. G. Colombo, J. V. </w:t>
            </w:r>
            <w:proofErr w:type="spellStart"/>
            <w:r w:rsidRPr="006F393A">
              <w:t>Enejosa</w:t>
            </w:r>
            <w:proofErr w:type="spellEnd"/>
            <w:r w:rsidRPr="006F393A">
              <w:t xml:space="preserve">, I. </w:t>
            </w:r>
            <w:proofErr w:type="spellStart"/>
            <w:r w:rsidRPr="006F393A">
              <w:t>Koksal</w:t>
            </w:r>
            <w:proofErr w:type="spellEnd"/>
            <w:r w:rsidRPr="006F393A">
              <w:t xml:space="preserve">, P. </w:t>
            </w:r>
            <w:proofErr w:type="spellStart"/>
            <w:r w:rsidRPr="006F393A">
              <w:t>Ferenci</w:t>
            </w:r>
            <w:proofErr w:type="spellEnd"/>
            <w:r w:rsidRPr="006F393A">
              <w:t xml:space="preserve">, A. </w:t>
            </w:r>
            <w:proofErr w:type="spellStart"/>
            <w:r w:rsidRPr="006F393A">
              <w:t>Maieron</w:t>
            </w:r>
            <w:proofErr w:type="spellEnd"/>
            <w:r w:rsidRPr="006F393A">
              <w:t xml:space="preserve">, B. </w:t>
            </w:r>
            <w:proofErr w:type="spellStart"/>
            <w:r w:rsidRPr="006F393A">
              <w:t>Mullhaupt</w:t>
            </w:r>
            <w:proofErr w:type="spellEnd"/>
            <w:r w:rsidRPr="006F393A">
              <w:t xml:space="preserve">, Y. </w:t>
            </w:r>
            <w:proofErr w:type="spellStart"/>
            <w:r w:rsidRPr="006F393A">
              <w:t>Horsmans</w:t>
            </w:r>
            <w:proofErr w:type="spellEnd"/>
            <w:r w:rsidRPr="006F393A">
              <w:t xml:space="preserve">, O. Weiland, H. W. </w:t>
            </w:r>
            <w:proofErr w:type="spellStart"/>
            <w:r w:rsidRPr="006F393A">
              <w:t>Reesink</w:t>
            </w:r>
            <w:proofErr w:type="spellEnd"/>
            <w:r w:rsidRPr="006F393A">
              <w:t xml:space="preserve">, L. Rodrigues, Jr., Y. B. Hu, T. </w:t>
            </w:r>
            <w:proofErr w:type="spellStart"/>
            <w:r w:rsidRPr="006F393A">
              <w:t>Podsadecki</w:t>
            </w:r>
            <w:proofErr w:type="spellEnd"/>
            <w:r w:rsidRPr="006F393A">
              <w:t xml:space="preserve"> and B. Bernstein </w:t>
            </w:r>
            <w:r w:rsidR="009A77A4" w:rsidRPr="006F393A">
              <w:rPr>
                <w:noProof/>
                <w:vertAlign w:val="superscript"/>
              </w:rPr>
              <w:t>20</w:t>
            </w:r>
            <w:r w:rsidRPr="006F393A">
              <w:t xml:space="preserve">. "ABT-450, ritonavir, </w:t>
            </w:r>
            <w:proofErr w:type="spellStart"/>
            <w:r w:rsidRPr="006F393A">
              <w:t>ombitasvir</w:t>
            </w:r>
            <w:proofErr w:type="spellEnd"/>
            <w:r w:rsidRPr="006F393A">
              <w:t xml:space="preserve">, and </w:t>
            </w:r>
            <w:proofErr w:type="spellStart"/>
            <w:r w:rsidRPr="006F393A">
              <w:t>dasabuvir</w:t>
            </w:r>
            <w:proofErr w:type="spellEnd"/>
            <w:r w:rsidRPr="006F393A">
              <w:t xml:space="preserve"> </w:t>
            </w:r>
            <w:proofErr w:type="gramStart"/>
            <w:r w:rsidRPr="006F393A">
              <w:t>achieves</w:t>
            </w:r>
            <w:proofErr w:type="gramEnd"/>
            <w:r w:rsidRPr="006F393A">
              <w:t xml:space="preserve"> 97% and 100% sustained </w:t>
            </w:r>
            <w:proofErr w:type="spellStart"/>
            <w:r w:rsidRPr="006F393A">
              <w:t>virologic</w:t>
            </w:r>
            <w:proofErr w:type="spellEnd"/>
            <w:r w:rsidRPr="006F393A">
              <w:t xml:space="preserve"> response with or without ribavirin in treatment-experienced patients with HCV genotype 1b infection." </w:t>
            </w:r>
          </w:p>
        </w:tc>
        <w:tc>
          <w:tcPr>
            <w:tcW w:w="1272" w:type="pct"/>
          </w:tcPr>
          <w:p w:rsidR="00ED3017" w:rsidRPr="006F393A" w:rsidRDefault="00ED3017" w:rsidP="00ED3017">
            <w:pPr>
              <w:pStyle w:val="Tabletext"/>
            </w:pPr>
            <w:r w:rsidRPr="006F393A">
              <w:t>2014</w:t>
            </w:r>
          </w:p>
          <w:p w:rsidR="00ED3017" w:rsidRPr="006F393A" w:rsidRDefault="00ED3017" w:rsidP="009A77A4">
            <w:pPr>
              <w:pStyle w:val="Tabletext"/>
            </w:pPr>
            <w:r w:rsidRPr="006F393A">
              <w:t>Gastroenterology 147(2): 359-365 e351</w:t>
            </w:r>
            <w:r w:rsidR="009A77A4" w:rsidRPr="006F393A">
              <w:rPr>
                <w:noProof/>
                <w:vertAlign w:val="superscript"/>
              </w:rPr>
              <w:t>20</w:t>
            </w:r>
          </w:p>
        </w:tc>
      </w:tr>
      <w:tr w:rsidR="00ED3017" w:rsidRPr="006F393A" w:rsidTr="00ED3017">
        <w:tc>
          <w:tcPr>
            <w:tcW w:w="778" w:type="pct"/>
            <w:vMerge/>
            <w:vAlign w:val="center"/>
          </w:tcPr>
          <w:p w:rsidR="00ED3017" w:rsidRPr="006F393A" w:rsidRDefault="00ED3017" w:rsidP="00ED3017">
            <w:pPr>
              <w:pStyle w:val="Tabletext"/>
              <w:rPr>
                <w:b/>
              </w:rPr>
            </w:pPr>
          </w:p>
        </w:tc>
        <w:tc>
          <w:tcPr>
            <w:tcW w:w="2950" w:type="pct"/>
          </w:tcPr>
          <w:p w:rsidR="00ED3017" w:rsidRPr="006F393A" w:rsidRDefault="00ED3017" w:rsidP="009A77A4">
            <w:pPr>
              <w:pStyle w:val="Tabletext"/>
            </w:pPr>
            <w:r w:rsidRPr="006F393A">
              <w:t xml:space="preserve">Pietro </w:t>
            </w:r>
            <w:proofErr w:type="spellStart"/>
            <w:r w:rsidRPr="006F393A">
              <w:t>Andreone</w:t>
            </w:r>
            <w:proofErr w:type="spellEnd"/>
            <w:r w:rsidRPr="006F393A">
              <w:t xml:space="preserve">, Massimo Colombo, Jeffrey V. </w:t>
            </w:r>
            <w:proofErr w:type="spellStart"/>
            <w:r w:rsidRPr="006F393A">
              <w:t>Enejosa</w:t>
            </w:r>
            <w:proofErr w:type="spellEnd"/>
            <w:r w:rsidRPr="006F393A">
              <w:t xml:space="preserve">, </w:t>
            </w:r>
            <w:proofErr w:type="spellStart"/>
            <w:r w:rsidRPr="006F393A">
              <w:t>Iftihar</w:t>
            </w:r>
            <w:proofErr w:type="spellEnd"/>
            <w:r w:rsidRPr="006F393A">
              <w:t xml:space="preserve"> </w:t>
            </w:r>
            <w:proofErr w:type="spellStart"/>
            <w:r w:rsidRPr="006F393A">
              <w:t>Koksal</w:t>
            </w:r>
            <w:proofErr w:type="spellEnd"/>
            <w:r w:rsidRPr="006F393A">
              <w:t xml:space="preserve">, Peter </w:t>
            </w:r>
            <w:proofErr w:type="spellStart"/>
            <w:r w:rsidRPr="006F393A">
              <w:t>Ferenci</w:t>
            </w:r>
            <w:proofErr w:type="spellEnd"/>
            <w:r w:rsidRPr="006F393A">
              <w:t xml:space="preserve">, Andreas </w:t>
            </w:r>
            <w:proofErr w:type="spellStart"/>
            <w:r w:rsidRPr="006F393A">
              <w:t>Maieron</w:t>
            </w:r>
            <w:proofErr w:type="spellEnd"/>
            <w:r w:rsidRPr="006F393A">
              <w:t xml:space="preserve">, Beat </w:t>
            </w:r>
            <w:proofErr w:type="spellStart"/>
            <w:r w:rsidRPr="006F393A">
              <w:t>Müllhaupt</w:t>
            </w:r>
            <w:proofErr w:type="spellEnd"/>
            <w:r w:rsidRPr="006F393A">
              <w:t xml:space="preserve">, Yves </w:t>
            </w:r>
            <w:proofErr w:type="spellStart"/>
            <w:r w:rsidRPr="006F393A">
              <w:t>Horsmans</w:t>
            </w:r>
            <w:proofErr w:type="spellEnd"/>
            <w:r w:rsidRPr="006F393A">
              <w:t xml:space="preserve">, Ola Weiland, </w:t>
            </w:r>
            <w:proofErr w:type="spellStart"/>
            <w:r w:rsidRPr="006F393A">
              <w:t>Henk</w:t>
            </w:r>
            <w:proofErr w:type="spellEnd"/>
            <w:r w:rsidRPr="006F393A">
              <w:t xml:space="preserve"> W. </w:t>
            </w:r>
            <w:proofErr w:type="spellStart"/>
            <w:r w:rsidRPr="006F393A">
              <w:t>Reesink</w:t>
            </w:r>
            <w:proofErr w:type="spellEnd"/>
            <w:r w:rsidRPr="006F393A">
              <w:t xml:space="preserve"> , </w:t>
            </w:r>
            <w:proofErr w:type="spellStart"/>
            <w:r w:rsidRPr="006F393A">
              <w:t>Lino</w:t>
            </w:r>
            <w:proofErr w:type="spellEnd"/>
            <w:r w:rsidRPr="006F393A">
              <w:t xml:space="preserve"> Rodrigues Jr, </w:t>
            </w:r>
            <w:proofErr w:type="spellStart"/>
            <w:r w:rsidRPr="006F393A">
              <w:t>Yiran</w:t>
            </w:r>
            <w:proofErr w:type="spellEnd"/>
            <w:r w:rsidRPr="006F393A">
              <w:t xml:space="preserve"> B. Hu and Thomas </w:t>
            </w:r>
            <w:proofErr w:type="spellStart"/>
            <w:r w:rsidRPr="006F393A">
              <w:t>Podsadecki</w:t>
            </w:r>
            <w:proofErr w:type="spellEnd"/>
            <w:r w:rsidRPr="006F393A">
              <w:t xml:space="preserve"> </w:t>
            </w:r>
            <w:r w:rsidR="009A77A4" w:rsidRPr="006F393A">
              <w:rPr>
                <w:noProof/>
                <w:vertAlign w:val="superscript"/>
              </w:rPr>
              <w:t>21</w:t>
            </w:r>
            <w:r w:rsidRPr="006F393A">
              <w:t xml:space="preserve">. Randomized phase 3 trial of interferon-free 12-week regimen of ABT-450/r/ABT-267 ABT-333 with or without ribavirin in hepatitis C virus genotype 1b-infected treatment-experienced patients. </w:t>
            </w:r>
          </w:p>
        </w:tc>
        <w:tc>
          <w:tcPr>
            <w:tcW w:w="1272" w:type="pct"/>
          </w:tcPr>
          <w:p w:rsidR="00ED3017" w:rsidRPr="006F393A" w:rsidRDefault="00ED3017" w:rsidP="00ED3017">
            <w:pPr>
              <w:pStyle w:val="Tabletext"/>
            </w:pPr>
            <w:r w:rsidRPr="006F393A">
              <w:t>2014</w:t>
            </w:r>
          </w:p>
          <w:p w:rsidR="00ED3017" w:rsidRPr="006F393A" w:rsidRDefault="00ED3017" w:rsidP="009A77A4">
            <w:pPr>
              <w:pStyle w:val="Tabletext"/>
            </w:pPr>
            <w:r w:rsidRPr="006F393A">
              <w:t>Gastroenterology 146 (5) Supplement 1 S-159</w:t>
            </w:r>
            <w:r w:rsidR="009A77A4" w:rsidRPr="006F393A">
              <w:rPr>
                <w:noProof/>
                <w:vertAlign w:val="superscript"/>
              </w:rPr>
              <w:t>22</w:t>
            </w:r>
          </w:p>
        </w:tc>
      </w:tr>
      <w:tr w:rsidR="00ED3017" w:rsidRPr="006F393A" w:rsidTr="00ED3017">
        <w:tc>
          <w:tcPr>
            <w:tcW w:w="778" w:type="pct"/>
            <w:vMerge w:val="restart"/>
            <w:vAlign w:val="center"/>
          </w:tcPr>
          <w:p w:rsidR="00ED3017" w:rsidRPr="006F393A" w:rsidRDefault="00ED3017" w:rsidP="00ED3017">
            <w:pPr>
              <w:pStyle w:val="Tabletext"/>
              <w:rPr>
                <w:b/>
              </w:rPr>
            </w:pPr>
            <w:r w:rsidRPr="006F393A">
              <w:rPr>
                <w:b/>
              </w:rPr>
              <w:t>Pearl III</w:t>
            </w:r>
          </w:p>
          <w:p w:rsidR="00ED3017" w:rsidRPr="006F393A" w:rsidRDefault="00ED3017" w:rsidP="00820933">
            <w:pPr>
              <w:pStyle w:val="Tabletext"/>
              <w:rPr>
                <w:b/>
              </w:rPr>
            </w:pPr>
            <w:proofErr w:type="spellStart"/>
            <w:r w:rsidRPr="006F393A">
              <w:rPr>
                <w:b/>
              </w:rPr>
              <w:t>Ferenci</w:t>
            </w:r>
            <w:proofErr w:type="spellEnd"/>
            <w:r w:rsidRPr="006F393A">
              <w:rPr>
                <w:b/>
              </w:rPr>
              <w:t xml:space="preserve"> et al 2014</w:t>
            </w:r>
          </w:p>
        </w:tc>
        <w:tc>
          <w:tcPr>
            <w:tcW w:w="2950" w:type="pct"/>
          </w:tcPr>
          <w:p w:rsidR="00ED3017" w:rsidRPr="006F393A" w:rsidRDefault="00ED3017" w:rsidP="00ED3017">
            <w:pPr>
              <w:pStyle w:val="Tabletext"/>
            </w:pPr>
            <w:r w:rsidRPr="006F393A">
              <w:t>A randomized, double-blind, controlled study to evaluate the efficacy and safety of the combination of ABT-450/ritonavir/ABT-267 (ABT-450/r/ABT-267) and ABT-333 with and without ribavirin (RBV) in treatment-naïve adults with genotype 1b chronic hepatitis C virus (HCV) infection (PEARL-III).</w:t>
            </w:r>
          </w:p>
        </w:tc>
        <w:tc>
          <w:tcPr>
            <w:tcW w:w="1272" w:type="pct"/>
          </w:tcPr>
          <w:p w:rsidR="00ED3017" w:rsidRPr="006F393A" w:rsidRDefault="00ED3017" w:rsidP="00ED3017">
            <w:pPr>
              <w:pStyle w:val="Tabletext"/>
            </w:pPr>
            <w:r w:rsidRPr="006F393A">
              <w:t>Primary Analysis CSR 27 March 2014</w:t>
            </w:r>
          </w:p>
        </w:tc>
      </w:tr>
      <w:tr w:rsidR="00ED3017" w:rsidRPr="006F393A" w:rsidTr="00ED3017">
        <w:tc>
          <w:tcPr>
            <w:tcW w:w="778" w:type="pct"/>
            <w:vMerge/>
            <w:vAlign w:val="center"/>
          </w:tcPr>
          <w:p w:rsidR="00ED3017" w:rsidRPr="006F393A" w:rsidRDefault="00ED3017" w:rsidP="00ED3017">
            <w:pPr>
              <w:pStyle w:val="Tabletext"/>
              <w:rPr>
                <w:b/>
              </w:rPr>
            </w:pPr>
          </w:p>
        </w:tc>
        <w:tc>
          <w:tcPr>
            <w:tcW w:w="2950" w:type="pct"/>
          </w:tcPr>
          <w:p w:rsidR="00ED3017" w:rsidRPr="006F393A" w:rsidRDefault="00ED3017" w:rsidP="00ED3017">
            <w:pPr>
              <w:pStyle w:val="Tabletext"/>
            </w:pPr>
            <w:r w:rsidRPr="006F393A">
              <w:rPr>
                <w:b/>
              </w:rPr>
              <w:t>Primary publication</w:t>
            </w:r>
            <w:r w:rsidRPr="006F393A">
              <w:t xml:space="preserve"> (Pearl III and Pearl IV)</w:t>
            </w:r>
          </w:p>
          <w:p w:rsidR="00ED3017" w:rsidRPr="006F393A" w:rsidRDefault="00ED3017" w:rsidP="00ED3017">
            <w:pPr>
              <w:pStyle w:val="Tabletext"/>
            </w:pPr>
            <w:proofErr w:type="spellStart"/>
            <w:r w:rsidRPr="006F393A">
              <w:t>Ferenci</w:t>
            </w:r>
            <w:proofErr w:type="spellEnd"/>
            <w:r w:rsidRPr="006F393A">
              <w:t xml:space="preserve">, P., D. Bernstein, J. </w:t>
            </w:r>
            <w:proofErr w:type="spellStart"/>
            <w:r w:rsidRPr="006F393A">
              <w:t>Lalezari</w:t>
            </w:r>
            <w:proofErr w:type="spellEnd"/>
            <w:r w:rsidRPr="006F393A">
              <w:t xml:space="preserve">, D. Cohen, Y. Luo, C. Cooper, E. Tam, R. T. </w:t>
            </w:r>
            <w:proofErr w:type="spellStart"/>
            <w:r w:rsidRPr="006F393A">
              <w:t>Marinho</w:t>
            </w:r>
            <w:proofErr w:type="spellEnd"/>
            <w:r w:rsidRPr="006F393A">
              <w:t xml:space="preserve">, N. Tsai, A. Nyberg, T. D. Box, Z. </w:t>
            </w:r>
            <w:proofErr w:type="spellStart"/>
            <w:r w:rsidRPr="006F393A">
              <w:t>Younes</w:t>
            </w:r>
            <w:proofErr w:type="spellEnd"/>
            <w:r w:rsidRPr="006F393A">
              <w:t xml:space="preserve">, P. </w:t>
            </w:r>
            <w:proofErr w:type="spellStart"/>
            <w:r w:rsidRPr="006F393A">
              <w:t>Enayati</w:t>
            </w:r>
            <w:proofErr w:type="spellEnd"/>
            <w:r w:rsidRPr="006F393A">
              <w:t xml:space="preserve">, S. Green, Y. Baruch, B. R. Bhandari, F. A. </w:t>
            </w:r>
            <w:proofErr w:type="spellStart"/>
            <w:r w:rsidRPr="006F393A">
              <w:t>Caruntu</w:t>
            </w:r>
            <w:proofErr w:type="spellEnd"/>
            <w:r w:rsidRPr="006F393A">
              <w:t xml:space="preserve">, T. </w:t>
            </w:r>
            <w:proofErr w:type="spellStart"/>
            <w:r w:rsidRPr="006F393A">
              <w:t>Sepe</w:t>
            </w:r>
            <w:proofErr w:type="spellEnd"/>
            <w:r w:rsidRPr="006F393A">
              <w:t xml:space="preserve">, V. </w:t>
            </w:r>
            <w:proofErr w:type="spellStart"/>
            <w:r w:rsidRPr="006F393A">
              <w:t>Chulanov</w:t>
            </w:r>
            <w:proofErr w:type="spellEnd"/>
            <w:r w:rsidRPr="006F393A">
              <w:t xml:space="preserve">, E. </w:t>
            </w:r>
            <w:proofErr w:type="spellStart"/>
            <w:r w:rsidRPr="006F393A">
              <w:t>Janczewska</w:t>
            </w:r>
            <w:proofErr w:type="spellEnd"/>
            <w:r w:rsidRPr="006F393A">
              <w:t xml:space="preserve">, G. </w:t>
            </w:r>
            <w:proofErr w:type="spellStart"/>
            <w:r w:rsidRPr="006F393A">
              <w:t>Rizzardini</w:t>
            </w:r>
            <w:proofErr w:type="spellEnd"/>
            <w:r w:rsidRPr="006F393A">
              <w:t xml:space="preserve">, J. </w:t>
            </w:r>
            <w:proofErr w:type="spellStart"/>
            <w:r w:rsidRPr="006F393A">
              <w:t>Gervain</w:t>
            </w:r>
            <w:proofErr w:type="spellEnd"/>
            <w:r w:rsidRPr="006F393A">
              <w:t xml:space="preserve">, R. </w:t>
            </w:r>
            <w:proofErr w:type="spellStart"/>
            <w:r w:rsidRPr="006F393A">
              <w:t>Planas</w:t>
            </w:r>
            <w:proofErr w:type="spellEnd"/>
            <w:r w:rsidRPr="006F393A">
              <w:t xml:space="preserve">, C. Moreno, T. </w:t>
            </w:r>
            <w:proofErr w:type="spellStart"/>
            <w:r w:rsidRPr="006F393A">
              <w:t>Hassanein</w:t>
            </w:r>
            <w:proofErr w:type="spellEnd"/>
            <w:r w:rsidRPr="006F393A">
              <w:t xml:space="preserve">, W. </w:t>
            </w:r>
            <w:proofErr w:type="spellStart"/>
            <w:r w:rsidRPr="006F393A">
              <w:t>Xie</w:t>
            </w:r>
            <w:proofErr w:type="spellEnd"/>
            <w:r w:rsidRPr="006F393A">
              <w:t xml:space="preserve">, M. King, T. </w:t>
            </w:r>
            <w:proofErr w:type="spellStart"/>
            <w:r w:rsidRPr="006F393A">
              <w:t>Podsadecki</w:t>
            </w:r>
            <w:proofErr w:type="spellEnd"/>
            <w:r w:rsidRPr="006F393A">
              <w:t xml:space="preserve"> and K. R. Reddy (2014). "ABT-450/r-</w:t>
            </w:r>
            <w:proofErr w:type="spellStart"/>
            <w:r w:rsidRPr="006F393A">
              <w:t>ombitasvir</w:t>
            </w:r>
            <w:proofErr w:type="spellEnd"/>
            <w:r w:rsidRPr="006F393A">
              <w:t xml:space="preserve"> and </w:t>
            </w:r>
            <w:proofErr w:type="spellStart"/>
            <w:r w:rsidRPr="006F393A">
              <w:t>dasabuvir</w:t>
            </w:r>
            <w:proofErr w:type="spellEnd"/>
            <w:r w:rsidRPr="006F393A">
              <w:t xml:space="preserve"> with or without ribavirin for HCV." </w:t>
            </w:r>
          </w:p>
        </w:tc>
        <w:tc>
          <w:tcPr>
            <w:tcW w:w="1272" w:type="pct"/>
          </w:tcPr>
          <w:p w:rsidR="00ED3017" w:rsidRPr="006F393A" w:rsidRDefault="00ED3017" w:rsidP="00ED3017">
            <w:pPr>
              <w:pStyle w:val="Tabletext"/>
            </w:pPr>
            <w:r w:rsidRPr="006F393A">
              <w:t>2014</w:t>
            </w:r>
          </w:p>
          <w:p w:rsidR="00ED3017" w:rsidRPr="006F393A" w:rsidRDefault="00ED3017" w:rsidP="009A77A4">
            <w:pPr>
              <w:pStyle w:val="Tabletext"/>
            </w:pPr>
            <w:r w:rsidRPr="006F393A">
              <w:t>New England Journal of Medicine 370(21): 1983-1992.</w:t>
            </w:r>
            <w:r w:rsidR="009A77A4" w:rsidRPr="006F393A">
              <w:rPr>
                <w:noProof/>
                <w:vertAlign w:val="superscript"/>
              </w:rPr>
              <w:t>23</w:t>
            </w:r>
          </w:p>
        </w:tc>
      </w:tr>
      <w:tr w:rsidR="00ED3017" w:rsidRPr="006F393A" w:rsidTr="00ED3017">
        <w:tc>
          <w:tcPr>
            <w:tcW w:w="778" w:type="pct"/>
            <w:vMerge/>
            <w:vAlign w:val="center"/>
          </w:tcPr>
          <w:p w:rsidR="00ED3017" w:rsidRPr="006F393A" w:rsidRDefault="00ED3017" w:rsidP="00ED3017">
            <w:pPr>
              <w:pStyle w:val="Tabletext"/>
              <w:rPr>
                <w:b/>
              </w:rPr>
            </w:pPr>
          </w:p>
        </w:tc>
        <w:tc>
          <w:tcPr>
            <w:tcW w:w="2950" w:type="pct"/>
          </w:tcPr>
          <w:p w:rsidR="00ED3017" w:rsidRPr="006F393A" w:rsidRDefault="00ED3017" w:rsidP="00ED3017">
            <w:pPr>
              <w:pStyle w:val="Tabletext"/>
            </w:pPr>
            <w:r w:rsidRPr="006F393A">
              <w:t xml:space="preserve">P. </w:t>
            </w:r>
            <w:proofErr w:type="spellStart"/>
            <w:r w:rsidRPr="006F393A">
              <w:t>Ferenci</w:t>
            </w:r>
            <w:proofErr w:type="spellEnd"/>
            <w:r w:rsidRPr="006F393A">
              <w:t xml:space="preserve">, A. Nyberg, P. </w:t>
            </w:r>
            <w:proofErr w:type="spellStart"/>
            <w:r w:rsidRPr="006F393A">
              <w:t>Enayati</w:t>
            </w:r>
            <w:proofErr w:type="spellEnd"/>
            <w:r w:rsidRPr="006F393A">
              <w:t xml:space="preserve">, D. Bernstein, Y. Baruch, F.A. </w:t>
            </w:r>
            <w:proofErr w:type="spellStart"/>
            <w:r w:rsidRPr="006F393A">
              <w:t>Caruntu</w:t>
            </w:r>
            <w:proofErr w:type="spellEnd"/>
            <w:r w:rsidRPr="006F393A">
              <w:t xml:space="preserve">, V. </w:t>
            </w:r>
            <w:proofErr w:type="spellStart"/>
            <w:r w:rsidRPr="006F393A">
              <w:t>Chulanov</w:t>
            </w:r>
            <w:proofErr w:type="spellEnd"/>
            <w:r w:rsidRPr="006F393A">
              <w:t xml:space="preserve">, E. </w:t>
            </w:r>
            <w:proofErr w:type="spellStart"/>
            <w:r w:rsidRPr="006F393A">
              <w:t>Janczewska</w:t>
            </w:r>
            <w:proofErr w:type="spellEnd"/>
            <w:r w:rsidRPr="006F393A">
              <w:t xml:space="preserve">, Z. </w:t>
            </w:r>
            <w:proofErr w:type="spellStart"/>
            <w:r w:rsidRPr="006F393A">
              <w:t>Younes</w:t>
            </w:r>
            <w:proofErr w:type="spellEnd"/>
            <w:r w:rsidRPr="006F393A">
              <w:t xml:space="preserve">, R.T. </w:t>
            </w:r>
            <w:proofErr w:type="spellStart"/>
            <w:r w:rsidRPr="006F393A">
              <w:t>Marinho</w:t>
            </w:r>
            <w:proofErr w:type="spellEnd"/>
            <w:r w:rsidRPr="006F393A">
              <w:t xml:space="preserve">, G. </w:t>
            </w:r>
            <w:proofErr w:type="spellStart"/>
            <w:r w:rsidRPr="006F393A">
              <w:t>Rizzardini</w:t>
            </w:r>
            <w:proofErr w:type="spellEnd"/>
            <w:r w:rsidRPr="006F393A">
              <w:t xml:space="preserve">, J. </w:t>
            </w:r>
            <w:proofErr w:type="spellStart"/>
            <w:r w:rsidRPr="006F393A">
              <w:t>Gervain</w:t>
            </w:r>
            <w:proofErr w:type="spellEnd"/>
            <w:r w:rsidRPr="006F393A">
              <w:t xml:space="preserve">, R. </w:t>
            </w:r>
            <w:proofErr w:type="spellStart"/>
            <w:r w:rsidRPr="006F393A">
              <w:t>Planas</w:t>
            </w:r>
            <w:proofErr w:type="spellEnd"/>
            <w:r w:rsidRPr="006F393A">
              <w:t xml:space="preserve">, C. Moreno, W. </w:t>
            </w:r>
            <w:proofErr w:type="spellStart"/>
            <w:r w:rsidRPr="006F393A">
              <w:t>Xie</w:t>
            </w:r>
            <w:proofErr w:type="spellEnd"/>
            <w:r w:rsidRPr="006F393A">
              <w:t xml:space="preserve">, D. Cohen, M. King, T. </w:t>
            </w:r>
            <w:proofErr w:type="spellStart"/>
            <w:r w:rsidRPr="006F393A">
              <w:t>Podsadecki</w:t>
            </w:r>
            <w:proofErr w:type="spellEnd"/>
            <w:r w:rsidRPr="006F393A">
              <w:t xml:space="preserve"> and K.R. Reddy 2014. 12 weeks of ABT-450/r/267 + ABT-333 achieved SVR in 99% of 419 treatment-naive HCV genotype 1b-infected adults with or without ribavirin.</w:t>
            </w:r>
          </w:p>
        </w:tc>
        <w:tc>
          <w:tcPr>
            <w:tcW w:w="1272" w:type="pct"/>
          </w:tcPr>
          <w:p w:rsidR="00ED3017" w:rsidRPr="006F393A" w:rsidRDefault="00ED3017" w:rsidP="00ED3017">
            <w:pPr>
              <w:pStyle w:val="Tabletext"/>
            </w:pPr>
            <w:r w:rsidRPr="006F393A">
              <w:t>2014</w:t>
            </w:r>
          </w:p>
          <w:p w:rsidR="00ED3017" w:rsidRPr="006F393A" w:rsidRDefault="00ED3017" w:rsidP="009A77A4">
            <w:pPr>
              <w:pStyle w:val="Tabletext"/>
            </w:pPr>
            <w:r w:rsidRPr="006F393A">
              <w:t xml:space="preserve">Journal of </w:t>
            </w:r>
            <w:proofErr w:type="spellStart"/>
            <w:r w:rsidRPr="006F393A">
              <w:t>Hepatology</w:t>
            </w:r>
            <w:proofErr w:type="spellEnd"/>
            <w:r w:rsidRPr="006F393A">
              <w:t xml:space="preserve"> 60 (1) Supplement S527</w:t>
            </w:r>
            <w:r w:rsidR="009A77A4" w:rsidRPr="006F393A">
              <w:rPr>
                <w:noProof/>
                <w:vertAlign w:val="superscript"/>
              </w:rPr>
              <w:t>24</w:t>
            </w:r>
          </w:p>
        </w:tc>
      </w:tr>
      <w:tr w:rsidR="00ED3017" w:rsidRPr="006F393A" w:rsidTr="00ED3017">
        <w:tc>
          <w:tcPr>
            <w:tcW w:w="778" w:type="pct"/>
            <w:vMerge w:val="restart"/>
            <w:vAlign w:val="center"/>
          </w:tcPr>
          <w:p w:rsidR="00ED3017" w:rsidRPr="006F393A" w:rsidRDefault="00ED3017" w:rsidP="00ED3017">
            <w:pPr>
              <w:pStyle w:val="Tabletext"/>
              <w:rPr>
                <w:b/>
              </w:rPr>
            </w:pPr>
            <w:r w:rsidRPr="006F393A">
              <w:rPr>
                <w:b/>
              </w:rPr>
              <w:t>Pearl IV</w:t>
            </w:r>
          </w:p>
          <w:p w:rsidR="00ED3017" w:rsidRPr="006F393A" w:rsidRDefault="00ED3017" w:rsidP="00820933">
            <w:pPr>
              <w:pStyle w:val="Tabletext"/>
              <w:rPr>
                <w:b/>
              </w:rPr>
            </w:pPr>
            <w:proofErr w:type="spellStart"/>
            <w:r w:rsidRPr="006F393A">
              <w:rPr>
                <w:b/>
              </w:rPr>
              <w:t>Ferenci</w:t>
            </w:r>
            <w:proofErr w:type="spellEnd"/>
            <w:r w:rsidRPr="006F393A">
              <w:rPr>
                <w:b/>
              </w:rPr>
              <w:t xml:space="preserve"> et al 2014</w:t>
            </w:r>
          </w:p>
        </w:tc>
        <w:tc>
          <w:tcPr>
            <w:tcW w:w="2950" w:type="pct"/>
          </w:tcPr>
          <w:p w:rsidR="00ED3017" w:rsidRPr="006F393A" w:rsidRDefault="00ED3017" w:rsidP="00ED3017">
            <w:pPr>
              <w:pStyle w:val="Tabletext"/>
            </w:pPr>
            <w:r w:rsidRPr="006F393A">
              <w:t>A randomized, double-blind, controlled study to evaluate the efficacy and safety of the combination of ABT-450/ritonavir/ABT-267 (ABT-450/r/ABT-267) and ABT-333 with and without ribavirin (RBV) in treatment-naïve adults with genotype 1a chronic hepatitis C virus (HCV) infection (PEARL-IV).</w:t>
            </w:r>
          </w:p>
        </w:tc>
        <w:tc>
          <w:tcPr>
            <w:tcW w:w="1272" w:type="pct"/>
          </w:tcPr>
          <w:p w:rsidR="00ED3017" w:rsidRPr="006F393A" w:rsidRDefault="00ED3017" w:rsidP="00ED3017">
            <w:pPr>
              <w:pStyle w:val="Tabletext"/>
            </w:pPr>
            <w:r w:rsidRPr="006F393A">
              <w:t>Primary Analysis CSR 26 March 2014</w:t>
            </w:r>
          </w:p>
        </w:tc>
      </w:tr>
      <w:tr w:rsidR="00ED3017" w:rsidRPr="006F393A" w:rsidTr="00ED3017">
        <w:tc>
          <w:tcPr>
            <w:tcW w:w="778" w:type="pct"/>
            <w:vMerge/>
            <w:vAlign w:val="center"/>
          </w:tcPr>
          <w:p w:rsidR="00ED3017" w:rsidRPr="006F393A" w:rsidRDefault="00ED3017" w:rsidP="00ED3017">
            <w:pPr>
              <w:pStyle w:val="Tabletext"/>
              <w:rPr>
                <w:b/>
              </w:rPr>
            </w:pPr>
          </w:p>
        </w:tc>
        <w:tc>
          <w:tcPr>
            <w:tcW w:w="2950" w:type="pct"/>
          </w:tcPr>
          <w:p w:rsidR="00ED3017" w:rsidRPr="006F393A" w:rsidRDefault="00ED3017" w:rsidP="00ED3017">
            <w:pPr>
              <w:pStyle w:val="Tabletext"/>
            </w:pPr>
            <w:r w:rsidRPr="006F393A">
              <w:rPr>
                <w:b/>
              </w:rPr>
              <w:t>Primary publication</w:t>
            </w:r>
            <w:r w:rsidRPr="006F393A">
              <w:t xml:space="preserve"> (see Pearl III)</w:t>
            </w:r>
          </w:p>
        </w:tc>
        <w:tc>
          <w:tcPr>
            <w:tcW w:w="1272" w:type="pct"/>
          </w:tcPr>
          <w:p w:rsidR="00ED3017" w:rsidRPr="006F393A" w:rsidRDefault="00ED3017" w:rsidP="00ED3017">
            <w:pPr>
              <w:pStyle w:val="Tabletext"/>
            </w:pPr>
          </w:p>
        </w:tc>
      </w:tr>
      <w:tr w:rsidR="00ED3017" w:rsidRPr="006F393A" w:rsidTr="00ED3017">
        <w:tc>
          <w:tcPr>
            <w:tcW w:w="778" w:type="pct"/>
            <w:vMerge/>
            <w:vAlign w:val="center"/>
          </w:tcPr>
          <w:p w:rsidR="00ED3017" w:rsidRPr="006F393A" w:rsidRDefault="00ED3017" w:rsidP="00ED3017">
            <w:pPr>
              <w:pStyle w:val="Tabletext"/>
              <w:rPr>
                <w:b/>
              </w:rPr>
            </w:pPr>
          </w:p>
        </w:tc>
        <w:tc>
          <w:tcPr>
            <w:tcW w:w="2950" w:type="pct"/>
          </w:tcPr>
          <w:p w:rsidR="00ED3017" w:rsidRPr="006F393A" w:rsidRDefault="00ED3017" w:rsidP="009A77A4">
            <w:pPr>
              <w:pStyle w:val="Tabletext"/>
            </w:pPr>
            <w:r w:rsidRPr="006F393A">
              <w:t xml:space="preserve">David Bernstein, Jacob </w:t>
            </w:r>
            <w:proofErr w:type="spellStart"/>
            <w:r w:rsidRPr="006F393A">
              <w:t>Lalezari</w:t>
            </w:r>
            <w:proofErr w:type="spellEnd"/>
            <w:r w:rsidRPr="006F393A">
              <w:t xml:space="preserve">, Yan Luo, Terry D. Box, </w:t>
            </w:r>
            <w:proofErr w:type="spellStart"/>
            <w:r w:rsidRPr="006F393A">
              <w:t>Ziad</w:t>
            </w:r>
            <w:proofErr w:type="spellEnd"/>
            <w:r w:rsidRPr="006F393A">
              <w:t xml:space="preserve"> H. </w:t>
            </w:r>
            <w:proofErr w:type="spellStart"/>
            <w:r w:rsidRPr="006F393A">
              <w:t>Younes</w:t>
            </w:r>
            <w:proofErr w:type="spellEnd"/>
            <w:r w:rsidRPr="006F393A">
              <w:t xml:space="preserve">, </w:t>
            </w:r>
            <w:proofErr w:type="spellStart"/>
            <w:r w:rsidRPr="006F393A">
              <w:t>Sinikka</w:t>
            </w:r>
            <w:proofErr w:type="spellEnd"/>
            <w:r w:rsidRPr="006F393A">
              <w:t xml:space="preserve"> Green, Bai R. Bhandari, Thomas </w:t>
            </w:r>
            <w:proofErr w:type="spellStart"/>
            <w:r w:rsidRPr="006F393A">
              <w:t>Sepe</w:t>
            </w:r>
            <w:proofErr w:type="spellEnd"/>
            <w:r w:rsidRPr="006F393A">
              <w:t xml:space="preserve">, Curtis Cooper, Edward Tam, </w:t>
            </w:r>
            <w:proofErr w:type="spellStart"/>
            <w:r w:rsidRPr="006F393A">
              <w:t>Naoky</w:t>
            </w:r>
            <w:proofErr w:type="spellEnd"/>
            <w:r w:rsidRPr="006F393A">
              <w:t xml:space="preserve"> Tsai, Tarek </w:t>
            </w:r>
            <w:proofErr w:type="spellStart"/>
            <w:r w:rsidRPr="006F393A">
              <w:t>Hassanein</w:t>
            </w:r>
            <w:proofErr w:type="spellEnd"/>
            <w:r w:rsidRPr="006F393A">
              <w:t xml:space="preserve">, </w:t>
            </w:r>
            <w:proofErr w:type="spellStart"/>
            <w:r w:rsidRPr="006F393A">
              <w:t>Wangang</w:t>
            </w:r>
            <w:proofErr w:type="spellEnd"/>
            <w:r w:rsidRPr="006F393A">
              <w:t xml:space="preserve"> </w:t>
            </w:r>
            <w:proofErr w:type="spellStart"/>
            <w:r w:rsidRPr="006F393A">
              <w:t>Xie</w:t>
            </w:r>
            <w:proofErr w:type="spellEnd"/>
            <w:r w:rsidRPr="006F393A">
              <w:t xml:space="preserve"> and Thomas </w:t>
            </w:r>
            <w:proofErr w:type="spellStart"/>
            <w:r w:rsidRPr="006F393A">
              <w:t>Podsadecki</w:t>
            </w:r>
            <w:proofErr w:type="spellEnd"/>
            <w:r w:rsidRPr="006F393A">
              <w:t xml:space="preserve"> </w:t>
            </w:r>
            <w:r w:rsidR="009A77A4" w:rsidRPr="006F393A">
              <w:rPr>
                <w:noProof/>
                <w:vertAlign w:val="superscript"/>
              </w:rPr>
              <w:t>25</w:t>
            </w:r>
            <w:r w:rsidRPr="006F393A">
              <w:t>. A 12-week regimen of ABT-450/r/ABT-267 and ABT-333 with or without ribavirin achieves SVR12 rates of 90% in treatment-naïve adults infected with hepatitis C virus genotype 1a.</w:t>
            </w:r>
          </w:p>
        </w:tc>
        <w:tc>
          <w:tcPr>
            <w:tcW w:w="1272" w:type="pct"/>
          </w:tcPr>
          <w:p w:rsidR="00ED3017" w:rsidRPr="006F393A" w:rsidRDefault="00ED3017" w:rsidP="00ED3017">
            <w:pPr>
              <w:pStyle w:val="Tabletext"/>
            </w:pPr>
            <w:r w:rsidRPr="006F393A">
              <w:t>2014</w:t>
            </w:r>
          </w:p>
          <w:p w:rsidR="00ED3017" w:rsidRPr="006F393A" w:rsidRDefault="00ED3017" w:rsidP="009A77A4">
            <w:pPr>
              <w:pStyle w:val="Tabletext"/>
            </w:pPr>
            <w:r w:rsidRPr="006F393A">
              <w:t>Gastroenterology 146 5 Supplement 1 S-977-S-978</w:t>
            </w:r>
            <w:r w:rsidR="009A77A4" w:rsidRPr="006F393A">
              <w:rPr>
                <w:noProof/>
                <w:vertAlign w:val="superscript"/>
              </w:rPr>
              <w:t>26</w:t>
            </w:r>
          </w:p>
        </w:tc>
      </w:tr>
      <w:tr w:rsidR="00ED3017" w:rsidRPr="006F393A" w:rsidTr="00ED3017">
        <w:tc>
          <w:tcPr>
            <w:tcW w:w="5000" w:type="pct"/>
            <w:gridSpan w:val="3"/>
            <w:shd w:val="clear" w:color="auto" w:fill="D9D9D9" w:themeFill="background1" w:themeFillShade="D9"/>
            <w:vAlign w:val="center"/>
          </w:tcPr>
          <w:p w:rsidR="00ED3017" w:rsidRPr="006F393A" w:rsidRDefault="00ED3017" w:rsidP="00ED3017">
            <w:pPr>
              <w:pStyle w:val="Tabletext"/>
              <w:rPr>
                <w:b/>
              </w:rPr>
            </w:pPr>
            <w:r w:rsidRPr="006F393A">
              <w:rPr>
                <w:b/>
              </w:rPr>
              <w:t xml:space="preserve">Trials involving </w:t>
            </w:r>
            <w:proofErr w:type="spellStart"/>
            <w:r w:rsidRPr="006F393A">
              <w:rPr>
                <w:b/>
              </w:rPr>
              <w:t>ledipasvir+sofosbuvir</w:t>
            </w:r>
            <w:proofErr w:type="spellEnd"/>
          </w:p>
        </w:tc>
      </w:tr>
      <w:tr w:rsidR="00ED3017" w:rsidRPr="006F393A" w:rsidTr="00ED3017">
        <w:tc>
          <w:tcPr>
            <w:tcW w:w="778" w:type="pct"/>
            <w:vMerge w:val="restart"/>
            <w:vAlign w:val="center"/>
          </w:tcPr>
          <w:p w:rsidR="00ED3017" w:rsidRPr="006F393A" w:rsidRDefault="00ED3017" w:rsidP="00ED3017">
            <w:pPr>
              <w:pStyle w:val="Tabletext"/>
              <w:rPr>
                <w:b/>
              </w:rPr>
            </w:pPr>
            <w:r w:rsidRPr="006F393A">
              <w:rPr>
                <w:b/>
              </w:rPr>
              <w:t>ION-1</w:t>
            </w:r>
          </w:p>
          <w:p w:rsidR="00ED3017" w:rsidRPr="006F393A" w:rsidRDefault="00ED3017" w:rsidP="00820933">
            <w:pPr>
              <w:pStyle w:val="Tabletext"/>
              <w:rPr>
                <w:b/>
              </w:rPr>
            </w:pPr>
            <w:proofErr w:type="spellStart"/>
            <w:r w:rsidRPr="006F393A">
              <w:rPr>
                <w:b/>
              </w:rPr>
              <w:t>Afdhal</w:t>
            </w:r>
            <w:proofErr w:type="spellEnd"/>
            <w:r w:rsidRPr="006F393A">
              <w:rPr>
                <w:b/>
              </w:rPr>
              <w:t xml:space="preserve"> et al 2014</w:t>
            </w:r>
          </w:p>
        </w:tc>
        <w:tc>
          <w:tcPr>
            <w:tcW w:w="2950" w:type="pct"/>
          </w:tcPr>
          <w:p w:rsidR="00ED3017" w:rsidRPr="006F393A" w:rsidRDefault="00ED3017" w:rsidP="00ED3017">
            <w:pPr>
              <w:pStyle w:val="Tabletext"/>
              <w:rPr>
                <w:b/>
              </w:rPr>
            </w:pPr>
            <w:r w:rsidRPr="006F393A">
              <w:rPr>
                <w:b/>
              </w:rPr>
              <w:t>Primary publication</w:t>
            </w:r>
          </w:p>
          <w:p w:rsidR="00ED3017" w:rsidRPr="006F393A" w:rsidRDefault="00ED3017" w:rsidP="00ED3017">
            <w:pPr>
              <w:pStyle w:val="Tabletext"/>
            </w:pPr>
            <w:proofErr w:type="spellStart"/>
            <w:r w:rsidRPr="006F393A">
              <w:t>Afdhal</w:t>
            </w:r>
            <w:proofErr w:type="spellEnd"/>
            <w:r w:rsidRPr="006F393A">
              <w:t xml:space="preserve">, N., S. </w:t>
            </w:r>
            <w:proofErr w:type="spellStart"/>
            <w:r w:rsidRPr="006F393A">
              <w:t>Zeuzem</w:t>
            </w:r>
            <w:proofErr w:type="spellEnd"/>
            <w:r w:rsidRPr="006F393A">
              <w:t xml:space="preserve">, P. </w:t>
            </w:r>
            <w:proofErr w:type="spellStart"/>
            <w:r w:rsidRPr="006F393A">
              <w:t>Kwo</w:t>
            </w:r>
            <w:proofErr w:type="spellEnd"/>
            <w:r w:rsidRPr="006F393A">
              <w:t xml:space="preserve">, M. </w:t>
            </w:r>
            <w:proofErr w:type="spellStart"/>
            <w:r w:rsidRPr="006F393A">
              <w:t>Chojkier</w:t>
            </w:r>
            <w:proofErr w:type="spellEnd"/>
            <w:r w:rsidRPr="006F393A">
              <w:t xml:space="preserve">, N. </w:t>
            </w:r>
            <w:proofErr w:type="spellStart"/>
            <w:r w:rsidRPr="006F393A">
              <w:t>Gitlin</w:t>
            </w:r>
            <w:proofErr w:type="spellEnd"/>
            <w:r w:rsidRPr="006F393A">
              <w:t xml:space="preserve">, M. </w:t>
            </w:r>
            <w:proofErr w:type="spellStart"/>
            <w:r w:rsidRPr="006F393A">
              <w:t>Puoti</w:t>
            </w:r>
            <w:proofErr w:type="spellEnd"/>
            <w:r w:rsidRPr="006F393A">
              <w:t xml:space="preserve">, M. Romero-Gomez, J. P. </w:t>
            </w:r>
            <w:proofErr w:type="spellStart"/>
            <w:r w:rsidRPr="006F393A">
              <w:t>Zarski</w:t>
            </w:r>
            <w:proofErr w:type="spellEnd"/>
            <w:r w:rsidRPr="006F393A">
              <w:t xml:space="preserve">, K. Agarwal, P. </w:t>
            </w:r>
            <w:proofErr w:type="spellStart"/>
            <w:r w:rsidRPr="006F393A">
              <w:t>Buggisch</w:t>
            </w:r>
            <w:proofErr w:type="spellEnd"/>
            <w:r w:rsidRPr="006F393A">
              <w:t xml:space="preserve">, G. R. Foster, N. </w:t>
            </w:r>
            <w:proofErr w:type="spellStart"/>
            <w:r w:rsidRPr="006F393A">
              <w:t>Brau</w:t>
            </w:r>
            <w:proofErr w:type="spellEnd"/>
            <w:r w:rsidRPr="006F393A">
              <w:t xml:space="preserve">, M. </w:t>
            </w:r>
            <w:proofErr w:type="spellStart"/>
            <w:r w:rsidRPr="006F393A">
              <w:t>Buti</w:t>
            </w:r>
            <w:proofErr w:type="spellEnd"/>
            <w:r w:rsidRPr="006F393A">
              <w:t xml:space="preserve">, I. M. Jacobson, G. M. Subramanian, X. Ding, H. Mo, J. C. Yang, P. S. Pang, W. T. Symonds, J. G. </w:t>
            </w:r>
            <w:proofErr w:type="spellStart"/>
            <w:r w:rsidRPr="006F393A">
              <w:t>McHutchison</w:t>
            </w:r>
            <w:proofErr w:type="spellEnd"/>
            <w:r w:rsidRPr="006F393A">
              <w:t xml:space="preserve">, A. J. Muir, A. </w:t>
            </w:r>
            <w:proofErr w:type="spellStart"/>
            <w:r w:rsidRPr="006F393A">
              <w:t>Mangia</w:t>
            </w:r>
            <w:proofErr w:type="spellEnd"/>
            <w:r w:rsidRPr="006F393A">
              <w:t xml:space="preserve">, P. </w:t>
            </w:r>
            <w:proofErr w:type="spellStart"/>
            <w:r w:rsidRPr="006F393A">
              <w:t>Marcellin</w:t>
            </w:r>
            <w:proofErr w:type="spellEnd"/>
            <w:r w:rsidRPr="006F393A">
              <w:t xml:space="preserve"> and I. O. N. Investigators </w:t>
            </w:r>
            <w:r w:rsidR="009A77A4" w:rsidRPr="006F393A">
              <w:rPr>
                <w:noProof/>
                <w:vertAlign w:val="superscript"/>
              </w:rPr>
              <w:t>28</w:t>
            </w:r>
            <w:r w:rsidRPr="006F393A">
              <w:t>. "</w:t>
            </w:r>
            <w:proofErr w:type="spellStart"/>
            <w:r w:rsidRPr="006F393A">
              <w:t>Ledipasvir</w:t>
            </w:r>
            <w:proofErr w:type="spellEnd"/>
            <w:r w:rsidRPr="006F393A">
              <w:t xml:space="preserve"> and </w:t>
            </w:r>
            <w:proofErr w:type="spellStart"/>
            <w:r w:rsidRPr="006F393A">
              <w:t>sofosbuvir</w:t>
            </w:r>
            <w:proofErr w:type="spellEnd"/>
            <w:r w:rsidRPr="006F393A">
              <w:t xml:space="preserve"> for untreated HCV genotype 1 infection." </w:t>
            </w:r>
          </w:p>
          <w:p w:rsidR="00ED3017" w:rsidRPr="006F393A" w:rsidRDefault="00ED3017" w:rsidP="00ED3017">
            <w:pPr>
              <w:pStyle w:val="Tabletext"/>
            </w:pPr>
          </w:p>
        </w:tc>
        <w:tc>
          <w:tcPr>
            <w:tcW w:w="1272" w:type="pct"/>
          </w:tcPr>
          <w:p w:rsidR="00ED3017" w:rsidRPr="006F393A" w:rsidRDefault="00ED3017" w:rsidP="00ED3017">
            <w:pPr>
              <w:pStyle w:val="Tabletext"/>
            </w:pPr>
            <w:r w:rsidRPr="006F393A">
              <w:t>2014</w:t>
            </w:r>
          </w:p>
          <w:p w:rsidR="00ED3017" w:rsidRPr="006F393A" w:rsidRDefault="00ED3017" w:rsidP="009A77A4">
            <w:pPr>
              <w:pStyle w:val="Tabletext"/>
            </w:pPr>
            <w:r w:rsidRPr="006F393A">
              <w:t xml:space="preserve">N </w:t>
            </w:r>
            <w:proofErr w:type="spellStart"/>
            <w:r w:rsidRPr="006F393A">
              <w:t>Engl</w:t>
            </w:r>
            <w:proofErr w:type="spellEnd"/>
            <w:r w:rsidRPr="006F393A">
              <w:t xml:space="preserve"> J Med 370(20): 1889-1898.</w:t>
            </w:r>
            <w:r w:rsidR="009A77A4" w:rsidRPr="006F393A">
              <w:rPr>
                <w:noProof/>
                <w:vertAlign w:val="superscript"/>
              </w:rPr>
              <w:t>27</w:t>
            </w:r>
          </w:p>
        </w:tc>
      </w:tr>
      <w:tr w:rsidR="00ED3017" w:rsidRPr="006F393A" w:rsidTr="00ED3017">
        <w:tc>
          <w:tcPr>
            <w:tcW w:w="778" w:type="pct"/>
            <w:vMerge/>
            <w:vAlign w:val="center"/>
          </w:tcPr>
          <w:p w:rsidR="00ED3017" w:rsidRPr="006F393A" w:rsidRDefault="00ED3017" w:rsidP="00ED3017">
            <w:pPr>
              <w:pStyle w:val="Tabletext"/>
              <w:rPr>
                <w:b/>
              </w:rPr>
            </w:pPr>
          </w:p>
        </w:tc>
        <w:tc>
          <w:tcPr>
            <w:tcW w:w="2950" w:type="pct"/>
          </w:tcPr>
          <w:p w:rsidR="00ED3017" w:rsidRPr="006F393A" w:rsidRDefault="00ED3017" w:rsidP="009A77A4">
            <w:pPr>
              <w:pStyle w:val="Tabletext"/>
            </w:pPr>
            <w:r w:rsidRPr="006F393A">
              <w:t xml:space="preserve">A. </w:t>
            </w:r>
            <w:proofErr w:type="spellStart"/>
            <w:r w:rsidRPr="006F393A">
              <w:t>Mangia</w:t>
            </w:r>
            <w:proofErr w:type="spellEnd"/>
            <w:r w:rsidRPr="006F393A">
              <w:t xml:space="preserve">, P. </w:t>
            </w:r>
            <w:proofErr w:type="spellStart"/>
            <w:r w:rsidRPr="006F393A">
              <w:t>Marcellin</w:t>
            </w:r>
            <w:proofErr w:type="spellEnd"/>
            <w:r w:rsidRPr="006F393A">
              <w:t xml:space="preserve">, P. </w:t>
            </w:r>
            <w:proofErr w:type="spellStart"/>
            <w:r w:rsidRPr="006F393A">
              <w:t>Kwo</w:t>
            </w:r>
            <w:proofErr w:type="spellEnd"/>
            <w:r w:rsidRPr="006F393A">
              <w:t xml:space="preserve">, G.R. Foster, M. </w:t>
            </w:r>
            <w:proofErr w:type="spellStart"/>
            <w:r w:rsidRPr="006F393A">
              <w:t>Buti</w:t>
            </w:r>
            <w:proofErr w:type="spellEnd"/>
            <w:r w:rsidRPr="006F393A">
              <w:t xml:space="preserve">, N. </w:t>
            </w:r>
            <w:proofErr w:type="spellStart"/>
            <w:r w:rsidRPr="006F393A">
              <w:t>Bräu</w:t>
            </w:r>
            <w:proofErr w:type="spellEnd"/>
            <w:r w:rsidRPr="006F393A">
              <w:t xml:space="preserve">, A. Muir, J.C. Yang, H. Mo, X. Ding, P.S. Pang, W.T. Symonds, J.G. </w:t>
            </w:r>
            <w:proofErr w:type="spellStart"/>
            <w:r w:rsidRPr="006F393A">
              <w:t>McHutchison</w:t>
            </w:r>
            <w:proofErr w:type="spellEnd"/>
            <w:r w:rsidRPr="006F393A">
              <w:t xml:space="preserve">, S. </w:t>
            </w:r>
            <w:proofErr w:type="spellStart"/>
            <w:r w:rsidRPr="006F393A">
              <w:t>Zeuzem</w:t>
            </w:r>
            <w:proofErr w:type="spellEnd"/>
            <w:r w:rsidRPr="006F393A">
              <w:t xml:space="preserve"> and N. </w:t>
            </w:r>
            <w:proofErr w:type="spellStart"/>
            <w:r w:rsidRPr="006F393A">
              <w:t>Afdhal</w:t>
            </w:r>
            <w:proofErr w:type="spellEnd"/>
            <w:r w:rsidRPr="006F393A">
              <w:t xml:space="preserve"> </w:t>
            </w:r>
            <w:r w:rsidR="009A77A4" w:rsidRPr="006F393A">
              <w:rPr>
                <w:noProof/>
                <w:vertAlign w:val="superscript"/>
              </w:rPr>
              <w:t>29</w:t>
            </w:r>
            <w:r w:rsidRPr="006F393A">
              <w:t xml:space="preserve">. All oral fixed-dose combination </w:t>
            </w:r>
            <w:proofErr w:type="spellStart"/>
            <w:r w:rsidRPr="006F393A">
              <w:t>sofosbuvir</w:t>
            </w:r>
            <w:proofErr w:type="spellEnd"/>
            <w:r w:rsidRPr="006F393A">
              <w:t>/</w:t>
            </w:r>
            <w:proofErr w:type="spellStart"/>
            <w:r w:rsidRPr="006F393A">
              <w:t>ledipasvir</w:t>
            </w:r>
            <w:proofErr w:type="spellEnd"/>
            <w:r w:rsidRPr="006F393A">
              <w:t xml:space="preserve"> with or without ribavirin for 12 or 24 weeks in treatment-naive genotype 1 HCV-infected patients: the phase 3 ION-1 study. </w:t>
            </w:r>
          </w:p>
        </w:tc>
        <w:tc>
          <w:tcPr>
            <w:tcW w:w="1272" w:type="pct"/>
          </w:tcPr>
          <w:p w:rsidR="00ED3017" w:rsidRPr="006F393A" w:rsidRDefault="00ED3017" w:rsidP="00ED3017">
            <w:pPr>
              <w:pStyle w:val="Tabletext"/>
            </w:pPr>
            <w:r w:rsidRPr="006F393A">
              <w:t>2014</w:t>
            </w:r>
          </w:p>
          <w:p w:rsidR="00ED3017" w:rsidRPr="006F393A" w:rsidRDefault="00ED3017" w:rsidP="009A77A4">
            <w:pPr>
              <w:pStyle w:val="Tabletext"/>
            </w:pPr>
            <w:r w:rsidRPr="006F393A">
              <w:t xml:space="preserve">Journal of </w:t>
            </w:r>
            <w:proofErr w:type="spellStart"/>
            <w:r w:rsidRPr="006F393A">
              <w:t>Hepatology</w:t>
            </w:r>
            <w:proofErr w:type="spellEnd"/>
            <w:r w:rsidRPr="006F393A">
              <w:t xml:space="preserve"> 60 1 Supplement S523 - S524.</w:t>
            </w:r>
            <w:r w:rsidR="009A77A4" w:rsidRPr="006F393A">
              <w:rPr>
                <w:noProof/>
                <w:vertAlign w:val="superscript"/>
              </w:rPr>
              <w:t>30</w:t>
            </w:r>
            <w:r w:rsidRPr="006F393A">
              <w:t>. This abstract was also presented in Gastroenterology</w:t>
            </w:r>
            <w:r w:rsidR="009A77A4" w:rsidRPr="006F393A">
              <w:rPr>
                <w:noProof/>
                <w:vertAlign w:val="superscript"/>
              </w:rPr>
              <w:t>31</w:t>
            </w:r>
          </w:p>
        </w:tc>
      </w:tr>
      <w:tr w:rsidR="00ED3017" w:rsidRPr="006F393A" w:rsidTr="00ED3017">
        <w:tc>
          <w:tcPr>
            <w:tcW w:w="778" w:type="pct"/>
            <w:vMerge/>
            <w:vAlign w:val="center"/>
          </w:tcPr>
          <w:p w:rsidR="00ED3017" w:rsidRPr="006F393A" w:rsidRDefault="00ED3017" w:rsidP="00ED3017">
            <w:pPr>
              <w:pStyle w:val="Tabletext"/>
              <w:rPr>
                <w:b/>
              </w:rPr>
            </w:pPr>
          </w:p>
        </w:tc>
        <w:tc>
          <w:tcPr>
            <w:tcW w:w="2950" w:type="pct"/>
          </w:tcPr>
          <w:p w:rsidR="00ED3017" w:rsidRPr="006F393A" w:rsidRDefault="00ED3017" w:rsidP="009A77A4">
            <w:pPr>
              <w:pStyle w:val="Tabletext"/>
            </w:pPr>
            <w:r w:rsidRPr="006F393A">
              <w:t xml:space="preserve">Z. </w:t>
            </w:r>
            <w:proofErr w:type="spellStart"/>
            <w:r w:rsidRPr="006F393A">
              <w:t>Younossi</w:t>
            </w:r>
            <w:proofErr w:type="spellEnd"/>
            <w:r w:rsidRPr="006F393A">
              <w:t xml:space="preserve">, M. </w:t>
            </w:r>
            <w:proofErr w:type="spellStart"/>
            <w:r w:rsidRPr="006F393A">
              <w:t>Stepanova</w:t>
            </w:r>
            <w:proofErr w:type="spellEnd"/>
            <w:r w:rsidRPr="006F393A">
              <w:t xml:space="preserve">, P. </w:t>
            </w:r>
            <w:proofErr w:type="spellStart"/>
            <w:r w:rsidRPr="006F393A">
              <w:t>Marcellin</w:t>
            </w:r>
            <w:proofErr w:type="spellEnd"/>
            <w:r w:rsidRPr="006F393A">
              <w:t xml:space="preserve">, N. </w:t>
            </w:r>
            <w:proofErr w:type="spellStart"/>
            <w:r w:rsidRPr="006F393A">
              <w:t>Afdhal</w:t>
            </w:r>
            <w:proofErr w:type="spellEnd"/>
            <w:r w:rsidRPr="006F393A">
              <w:t xml:space="preserve">, F. Nader and S. Hunt </w:t>
            </w:r>
            <w:r w:rsidR="009A77A4" w:rsidRPr="006F393A">
              <w:rPr>
                <w:noProof/>
                <w:vertAlign w:val="superscript"/>
              </w:rPr>
              <w:t>32</w:t>
            </w:r>
            <w:r w:rsidRPr="006F393A">
              <w:t xml:space="preserve">. </w:t>
            </w:r>
            <w:proofErr w:type="spellStart"/>
            <w:r w:rsidRPr="006F393A">
              <w:t>Ledipasvir</w:t>
            </w:r>
            <w:proofErr w:type="spellEnd"/>
            <w:r w:rsidRPr="006F393A">
              <w:t xml:space="preserve"> (LDV) and </w:t>
            </w:r>
            <w:proofErr w:type="spellStart"/>
            <w:r w:rsidRPr="006F393A">
              <w:t>sofosbuvir</w:t>
            </w:r>
            <w:proofErr w:type="spellEnd"/>
            <w:r w:rsidRPr="006F393A">
              <w:t xml:space="preserve"> (SOF) combination improves patient-reported outcomes (PRO) during treatment of chronic hepatitis C (CH-C) patients: results from the ION-1 clinical trial. </w:t>
            </w:r>
          </w:p>
        </w:tc>
        <w:tc>
          <w:tcPr>
            <w:tcW w:w="1272" w:type="pct"/>
          </w:tcPr>
          <w:p w:rsidR="00ED3017" w:rsidRPr="006F393A" w:rsidRDefault="00ED3017" w:rsidP="00ED3017">
            <w:pPr>
              <w:pStyle w:val="Tabletext"/>
            </w:pPr>
            <w:r w:rsidRPr="006F393A">
              <w:t>2014</w:t>
            </w:r>
          </w:p>
          <w:p w:rsidR="00ED3017" w:rsidRPr="006F393A" w:rsidRDefault="00ED3017" w:rsidP="009A77A4">
            <w:pPr>
              <w:pStyle w:val="Tabletext"/>
            </w:pPr>
            <w:r w:rsidRPr="006F393A">
              <w:t xml:space="preserve">Journal of </w:t>
            </w:r>
            <w:proofErr w:type="spellStart"/>
            <w:r w:rsidRPr="006F393A">
              <w:t>Hepatology</w:t>
            </w:r>
            <w:proofErr w:type="spellEnd"/>
            <w:r w:rsidRPr="006F393A">
              <w:t xml:space="preserve"> 60 1 Supplement S536 - S537.</w:t>
            </w:r>
            <w:r w:rsidR="009A77A4" w:rsidRPr="006F393A">
              <w:rPr>
                <w:noProof/>
                <w:vertAlign w:val="superscript"/>
              </w:rPr>
              <w:t>32</w:t>
            </w:r>
          </w:p>
        </w:tc>
      </w:tr>
      <w:tr w:rsidR="00ED3017" w:rsidRPr="006F393A" w:rsidTr="00ED3017">
        <w:tc>
          <w:tcPr>
            <w:tcW w:w="778" w:type="pct"/>
            <w:vMerge w:val="restart"/>
            <w:vAlign w:val="center"/>
          </w:tcPr>
          <w:p w:rsidR="00ED3017" w:rsidRPr="006F393A" w:rsidRDefault="00ED3017" w:rsidP="00ED3017">
            <w:pPr>
              <w:pStyle w:val="Tabletext"/>
              <w:rPr>
                <w:b/>
              </w:rPr>
            </w:pPr>
            <w:r w:rsidRPr="006F393A">
              <w:rPr>
                <w:b/>
              </w:rPr>
              <w:t>ION-2</w:t>
            </w:r>
          </w:p>
          <w:p w:rsidR="00ED3017" w:rsidRPr="006F393A" w:rsidRDefault="00ED3017" w:rsidP="00820933">
            <w:pPr>
              <w:pStyle w:val="Tabletext"/>
              <w:rPr>
                <w:b/>
              </w:rPr>
            </w:pPr>
            <w:proofErr w:type="spellStart"/>
            <w:r w:rsidRPr="006F393A">
              <w:rPr>
                <w:b/>
              </w:rPr>
              <w:t>Afdhal</w:t>
            </w:r>
            <w:proofErr w:type="spellEnd"/>
            <w:r w:rsidRPr="006F393A">
              <w:rPr>
                <w:b/>
              </w:rPr>
              <w:t xml:space="preserve"> et al 2014</w:t>
            </w:r>
          </w:p>
        </w:tc>
        <w:tc>
          <w:tcPr>
            <w:tcW w:w="2950" w:type="pct"/>
          </w:tcPr>
          <w:p w:rsidR="00ED3017" w:rsidRPr="006F393A" w:rsidRDefault="00ED3017" w:rsidP="00ED3017">
            <w:pPr>
              <w:pStyle w:val="Tabletext"/>
              <w:rPr>
                <w:b/>
              </w:rPr>
            </w:pPr>
            <w:r w:rsidRPr="006F393A">
              <w:rPr>
                <w:b/>
              </w:rPr>
              <w:t>Primary publication</w:t>
            </w:r>
          </w:p>
          <w:p w:rsidR="00ED3017" w:rsidRPr="006F393A" w:rsidRDefault="00ED3017" w:rsidP="009A77A4">
            <w:pPr>
              <w:pStyle w:val="Tabletext"/>
            </w:pPr>
            <w:proofErr w:type="spellStart"/>
            <w:r w:rsidRPr="006F393A">
              <w:t>Afdhal</w:t>
            </w:r>
            <w:proofErr w:type="spellEnd"/>
            <w:r w:rsidRPr="006F393A">
              <w:t xml:space="preserve">, N., K. R. Reddy, D. R. Nelson, E. </w:t>
            </w:r>
            <w:proofErr w:type="spellStart"/>
            <w:r w:rsidRPr="006F393A">
              <w:t>Lawitz</w:t>
            </w:r>
            <w:proofErr w:type="spellEnd"/>
            <w:r w:rsidRPr="006F393A">
              <w:t xml:space="preserve">, S. C. Gordon, E. Schiff, R. </w:t>
            </w:r>
            <w:proofErr w:type="spellStart"/>
            <w:r w:rsidRPr="006F393A">
              <w:t>Nahass</w:t>
            </w:r>
            <w:proofErr w:type="spellEnd"/>
            <w:r w:rsidRPr="006F393A">
              <w:t xml:space="preserve">, R. </w:t>
            </w:r>
            <w:proofErr w:type="spellStart"/>
            <w:r w:rsidRPr="006F393A">
              <w:t>Ghalib</w:t>
            </w:r>
            <w:proofErr w:type="spellEnd"/>
            <w:r w:rsidRPr="006F393A">
              <w:t xml:space="preserve">, N. </w:t>
            </w:r>
            <w:proofErr w:type="spellStart"/>
            <w:r w:rsidRPr="006F393A">
              <w:t>Gitlin</w:t>
            </w:r>
            <w:proofErr w:type="spellEnd"/>
            <w:r w:rsidRPr="006F393A">
              <w:t xml:space="preserve">, R. Herring, J. </w:t>
            </w:r>
            <w:proofErr w:type="spellStart"/>
            <w:r w:rsidRPr="006F393A">
              <w:t>Lalezari</w:t>
            </w:r>
            <w:proofErr w:type="spellEnd"/>
            <w:r w:rsidRPr="006F393A">
              <w:t xml:space="preserve">, Z. H. </w:t>
            </w:r>
            <w:proofErr w:type="spellStart"/>
            <w:r w:rsidRPr="006F393A">
              <w:t>Younes</w:t>
            </w:r>
            <w:proofErr w:type="spellEnd"/>
            <w:r w:rsidRPr="006F393A">
              <w:t xml:space="preserve">, P. J. </w:t>
            </w:r>
            <w:proofErr w:type="spellStart"/>
            <w:r w:rsidRPr="006F393A">
              <w:t>Pockros</w:t>
            </w:r>
            <w:proofErr w:type="spellEnd"/>
            <w:r w:rsidRPr="006F393A">
              <w:t xml:space="preserve">, A. M. Di </w:t>
            </w:r>
            <w:proofErr w:type="spellStart"/>
            <w:r w:rsidRPr="006F393A">
              <w:t>Bisceglie</w:t>
            </w:r>
            <w:proofErr w:type="spellEnd"/>
            <w:r w:rsidRPr="006F393A">
              <w:t xml:space="preserve">, S. Arora, G. M. Subramanian, Y. Zhu, H. </w:t>
            </w:r>
            <w:proofErr w:type="spellStart"/>
            <w:r w:rsidRPr="006F393A">
              <w:t>Dvory-Sobol</w:t>
            </w:r>
            <w:proofErr w:type="spellEnd"/>
            <w:r w:rsidRPr="006F393A">
              <w:t xml:space="preserve">, J. C. Yang, P. S. Pang, W. T. Symonds, J. G. </w:t>
            </w:r>
            <w:proofErr w:type="spellStart"/>
            <w:r w:rsidRPr="006F393A">
              <w:t>McHutchison</w:t>
            </w:r>
            <w:proofErr w:type="spellEnd"/>
            <w:r w:rsidRPr="006F393A">
              <w:t xml:space="preserve">, A. J. Muir, M. </w:t>
            </w:r>
            <w:proofErr w:type="spellStart"/>
            <w:r w:rsidRPr="006F393A">
              <w:t>Sulkowski</w:t>
            </w:r>
            <w:proofErr w:type="spellEnd"/>
            <w:r w:rsidRPr="006F393A">
              <w:t xml:space="preserve">, P. </w:t>
            </w:r>
            <w:proofErr w:type="spellStart"/>
            <w:r w:rsidRPr="006F393A">
              <w:t>Kwo</w:t>
            </w:r>
            <w:proofErr w:type="spellEnd"/>
            <w:r w:rsidRPr="006F393A">
              <w:t xml:space="preserve"> and I. O. N. Investigators </w:t>
            </w:r>
            <w:r w:rsidR="009A77A4" w:rsidRPr="006F393A">
              <w:rPr>
                <w:noProof/>
                <w:vertAlign w:val="superscript"/>
              </w:rPr>
              <w:t>34</w:t>
            </w:r>
            <w:r w:rsidRPr="006F393A">
              <w:t>. "</w:t>
            </w:r>
            <w:proofErr w:type="spellStart"/>
            <w:r w:rsidRPr="006F393A">
              <w:t>Ledipasvir</w:t>
            </w:r>
            <w:proofErr w:type="spellEnd"/>
            <w:r w:rsidRPr="006F393A">
              <w:t xml:space="preserve"> and </w:t>
            </w:r>
            <w:proofErr w:type="spellStart"/>
            <w:r w:rsidRPr="006F393A">
              <w:t>sofosbuvir</w:t>
            </w:r>
            <w:proofErr w:type="spellEnd"/>
            <w:r w:rsidRPr="006F393A">
              <w:t xml:space="preserve"> for previously treated HCV genotype 1 infection." </w:t>
            </w:r>
          </w:p>
        </w:tc>
        <w:tc>
          <w:tcPr>
            <w:tcW w:w="1272" w:type="pct"/>
          </w:tcPr>
          <w:p w:rsidR="00ED3017" w:rsidRPr="006F393A" w:rsidRDefault="00ED3017" w:rsidP="00ED3017">
            <w:pPr>
              <w:pStyle w:val="Tabletext"/>
            </w:pPr>
            <w:r w:rsidRPr="006F393A">
              <w:t>2014</w:t>
            </w:r>
          </w:p>
          <w:p w:rsidR="00ED3017" w:rsidRPr="006F393A" w:rsidRDefault="00ED3017" w:rsidP="009A77A4">
            <w:pPr>
              <w:pStyle w:val="Tabletext"/>
            </w:pPr>
            <w:r w:rsidRPr="006F393A">
              <w:t xml:space="preserve">N </w:t>
            </w:r>
            <w:proofErr w:type="spellStart"/>
            <w:r w:rsidRPr="006F393A">
              <w:t>Engl</w:t>
            </w:r>
            <w:proofErr w:type="spellEnd"/>
            <w:r w:rsidRPr="006F393A">
              <w:t xml:space="preserve"> J Med 370(16): 1483-1493.</w:t>
            </w:r>
            <w:r w:rsidR="009A77A4" w:rsidRPr="006F393A">
              <w:rPr>
                <w:noProof/>
                <w:vertAlign w:val="superscript"/>
              </w:rPr>
              <w:t>33</w:t>
            </w:r>
          </w:p>
        </w:tc>
      </w:tr>
      <w:tr w:rsidR="00ED3017" w:rsidRPr="006F393A" w:rsidTr="00ED3017">
        <w:tc>
          <w:tcPr>
            <w:tcW w:w="778" w:type="pct"/>
            <w:vMerge/>
            <w:vAlign w:val="center"/>
          </w:tcPr>
          <w:p w:rsidR="00ED3017" w:rsidRPr="006F393A" w:rsidRDefault="00ED3017" w:rsidP="00ED3017">
            <w:pPr>
              <w:pStyle w:val="Tabletext"/>
              <w:rPr>
                <w:b/>
              </w:rPr>
            </w:pPr>
          </w:p>
        </w:tc>
        <w:tc>
          <w:tcPr>
            <w:tcW w:w="2950" w:type="pct"/>
          </w:tcPr>
          <w:p w:rsidR="00ED3017" w:rsidRPr="006F393A" w:rsidRDefault="00ED3017" w:rsidP="009A77A4">
            <w:pPr>
              <w:pStyle w:val="Tabletext"/>
            </w:pPr>
            <w:r w:rsidRPr="006F393A">
              <w:t xml:space="preserve">Paul Y. </w:t>
            </w:r>
            <w:proofErr w:type="spellStart"/>
            <w:r w:rsidRPr="006F393A">
              <w:t>Kwo</w:t>
            </w:r>
            <w:proofErr w:type="spellEnd"/>
            <w:r w:rsidRPr="006F393A">
              <w:t xml:space="preserve">, K. </w:t>
            </w:r>
            <w:proofErr w:type="spellStart"/>
            <w:r w:rsidRPr="006F393A">
              <w:t>Rajender</w:t>
            </w:r>
            <w:proofErr w:type="spellEnd"/>
            <w:r w:rsidRPr="006F393A">
              <w:t xml:space="preserve"> Reddy, Paul J. </w:t>
            </w:r>
            <w:proofErr w:type="spellStart"/>
            <w:r w:rsidRPr="006F393A">
              <w:t>Pockros</w:t>
            </w:r>
            <w:proofErr w:type="spellEnd"/>
            <w:r w:rsidRPr="006F393A">
              <w:t xml:space="preserve">, Adrian M. Di </w:t>
            </w:r>
            <w:proofErr w:type="spellStart"/>
            <w:r w:rsidRPr="006F393A">
              <w:t>Bisceglie</w:t>
            </w:r>
            <w:proofErr w:type="spellEnd"/>
            <w:r w:rsidRPr="006F393A">
              <w:t xml:space="preserve">, Sanjeev Arora, Jenny C. Yang, </w:t>
            </w:r>
            <w:proofErr w:type="spellStart"/>
            <w:r w:rsidRPr="006F393A">
              <w:t>Hadas</w:t>
            </w:r>
            <w:proofErr w:type="spellEnd"/>
            <w:r w:rsidRPr="006F393A">
              <w:t xml:space="preserve"> </w:t>
            </w:r>
            <w:proofErr w:type="spellStart"/>
            <w:r w:rsidRPr="006F393A">
              <w:t>Dvory-Sobol</w:t>
            </w:r>
            <w:proofErr w:type="spellEnd"/>
            <w:r w:rsidRPr="006F393A">
              <w:t xml:space="preserve">, </w:t>
            </w:r>
            <w:proofErr w:type="spellStart"/>
            <w:r w:rsidRPr="006F393A">
              <w:t>Yanni</w:t>
            </w:r>
            <w:proofErr w:type="spellEnd"/>
            <w:r w:rsidRPr="006F393A">
              <w:t xml:space="preserve"> Zhu, Phil Pang, William T. Symonds, John G. </w:t>
            </w:r>
            <w:proofErr w:type="spellStart"/>
            <w:r w:rsidRPr="006F393A">
              <w:t>McHutchison</w:t>
            </w:r>
            <w:proofErr w:type="spellEnd"/>
            <w:r w:rsidRPr="006F393A">
              <w:t xml:space="preserve">, Mark </w:t>
            </w:r>
            <w:proofErr w:type="spellStart"/>
            <w:r w:rsidRPr="006F393A">
              <w:t>Sulkowski</w:t>
            </w:r>
            <w:proofErr w:type="spellEnd"/>
            <w:r w:rsidRPr="006F393A">
              <w:t xml:space="preserve"> and </w:t>
            </w:r>
            <w:proofErr w:type="spellStart"/>
            <w:r w:rsidRPr="006F393A">
              <w:t>Nezam</w:t>
            </w:r>
            <w:proofErr w:type="spellEnd"/>
            <w:r w:rsidRPr="006F393A">
              <w:t xml:space="preserve"> H. </w:t>
            </w:r>
            <w:proofErr w:type="spellStart"/>
            <w:r w:rsidRPr="006F393A">
              <w:t>Afdhal</w:t>
            </w:r>
            <w:proofErr w:type="spellEnd"/>
            <w:r w:rsidRPr="006F393A">
              <w:t xml:space="preserve"> </w:t>
            </w:r>
            <w:r w:rsidR="009A77A4" w:rsidRPr="006F393A">
              <w:rPr>
                <w:noProof/>
                <w:vertAlign w:val="superscript"/>
              </w:rPr>
              <w:t>35</w:t>
            </w:r>
            <w:r w:rsidRPr="006F393A">
              <w:t xml:space="preserve">. All oral fixed-dose combination </w:t>
            </w:r>
            <w:proofErr w:type="spellStart"/>
            <w:r w:rsidRPr="006F393A">
              <w:t>sofosbuvir</w:t>
            </w:r>
            <w:proofErr w:type="spellEnd"/>
            <w:r w:rsidRPr="006F393A">
              <w:t>/</w:t>
            </w:r>
            <w:proofErr w:type="spellStart"/>
            <w:r w:rsidRPr="006F393A">
              <w:t>ledipasvir</w:t>
            </w:r>
            <w:proofErr w:type="spellEnd"/>
            <w:r w:rsidRPr="006F393A">
              <w:t xml:space="preserve"> with or without ribavirin for 12 or 24 weeks in treatment-experienced genotype 1 HCV infected patients: the phase 3 ION-2 study. </w:t>
            </w:r>
          </w:p>
        </w:tc>
        <w:tc>
          <w:tcPr>
            <w:tcW w:w="1272" w:type="pct"/>
          </w:tcPr>
          <w:p w:rsidR="00ED3017" w:rsidRPr="006F393A" w:rsidRDefault="00ED3017" w:rsidP="009A77A4">
            <w:pPr>
              <w:pStyle w:val="Tabletext"/>
            </w:pPr>
            <w:r w:rsidRPr="006F393A">
              <w:t>Gastroenterology 146 5 Supplement 1 S-904.</w:t>
            </w:r>
            <w:r w:rsidR="009A77A4" w:rsidRPr="006F393A">
              <w:rPr>
                <w:noProof/>
                <w:vertAlign w:val="superscript"/>
              </w:rPr>
              <w:t>36</w:t>
            </w:r>
            <w:r w:rsidRPr="006F393A">
              <w:t>. This abstract was also presented in the Journal of Hepatology</w:t>
            </w:r>
            <w:r w:rsidR="009A77A4" w:rsidRPr="006F393A">
              <w:rPr>
                <w:noProof/>
                <w:vertAlign w:val="superscript"/>
              </w:rPr>
              <w:t>37</w:t>
            </w:r>
          </w:p>
        </w:tc>
      </w:tr>
      <w:tr w:rsidR="00ED3017" w:rsidRPr="006F393A" w:rsidTr="00ED3017">
        <w:tc>
          <w:tcPr>
            <w:tcW w:w="778" w:type="pct"/>
            <w:vMerge w:val="restart"/>
            <w:vAlign w:val="center"/>
          </w:tcPr>
          <w:p w:rsidR="00ED3017" w:rsidRPr="006F393A" w:rsidRDefault="00ED3017" w:rsidP="00ED3017">
            <w:pPr>
              <w:pStyle w:val="Tabletext"/>
              <w:rPr>
                <w:b/>
              </w:rPr>
            </w:pPr>
            <w:r w:rsidRPr="006F393A">
              <w:rPr>
                <w:b/>
              </w:rPr>
              <w:t>ION-3</w:t>
            </w:r>
          </w:p>
          <w:p w:rsidR="00ED3017" w:rsidRPr="006F393A" w:rsidRDefault="00ED3017" w:rsidP="00820933">
            <w:pPr>
              <w:pStyle w:val="Tabletext"/>
              <w:rPr>
                <w:b/>
              </w:rPr>
            </w:pPr>
            <w:proofErr w:type="spellStart"/>
            <w:r w:rsidRPr="006F393A">
              <w:rPr>
                <w:b/>
              </w:rPr>
              <w:t>Kowdley</w:t>
            </w:r>
            <w:proofErr w:type="spellEnd"/>
            <w:r w:rsidRPr="006F393A">
              <w:rPr>
                <w:b/>
              </w:rPr>
              <w:t xml:space="preserve"> et al 2014</w:t>
            </w:r>
          </w:p>
        </w:tc>
        <w:tc>
          <w:tcPr>
            <w:tcW w:w="2950" w:type="pct"/>
          </w:tcPr>
          <w:p w:rsidR="00ED3017" w:rsidRPr="006F393A" w:rsidRDefault="00ED3017" w:rsidP="00ED3017">
            <w:pPr>
              <w:pStyle w:val="Tabletext"/>
              <w:rPr>
                <w:b/>
              </w:rPr>
            </w:pPr>
            <w:r w:rsidRPr="006F393A">
              <w:rPr>
                <w:b/>
              </w:rPr>
              <w:t>Primary publication</w:t>
            </w:r>
          </w:p>
          <w:p w:rsidR="00ED3017" w:rsidRPr="006F393A" w:rsidRDefault="00ED3017" w:rsidP="009A77A4">
            <w:pPr>
              <w:pStyle w:val="Tabletext"/>
            </w:pPr>
            <w:proofErr w:type="spellStart"/>
            <w:r w:rsidRPr="006F393A">
              <w:t>Kowdley</w:t>
            </w:r>
            <w:proofErr w:type="spellEnd"/>
            <w:r w:rsidRPr="006F393A">
              <w:t xml:space="preserve">, K. V., S. C. Gordon, K. R. Reddy, L. </w:t>
            </w:r>
            <w:proofErr w:type="spellStart"/>
            <w:r w:rsidRPr="006F393A">
              <w:t>Rossaro</w:t>
            </w:r>
            <w:proofErr w:type="spellEnd"/>
            <w:r w:rsidRPr="006F393A">
              <w:t xml:space="preserve">, D. E. Bernstein, E. </w:t>
            </w:r>
            <w:proofErr w:type="spellStart"/>
            <w:r w:rsidRPr="006F393A">
              <w:t>Lawitz</w:t>
            </w:r>
            <w:proofErr w:type="spellEnd"/>
            <w:r w:rsidRPr="006F393A">
              <w:t xml:space="preserve">, M. L. </w:t>
            </w:r>
            <w:proofErr w:type="spellStart"/>
            <w:r w:rsidRPr="006F393A">
              <w:t>Shiffman</w:t>
            </w:r>
            <w:proofErr w:type="spellEnd"/>
            <w:r w:rsidRPr="006F393A">
              <w:t xml:space="preserve">, E. Schiff, R. </w:t>
            </w:r>
            <w:proofErr w:type="spellStart"/>
            <w:r w:rsidRPr="006F393A">
              <w:t>Ghalib</w:t>
            </w:r>
            <w:proofErr w:type="spellEnd"/>
            <w:r w:rsidRPr="006F393A">
              <w:t xml:space="preserve">, M. Ryan, V. </w:t>
            </w:r>
            <w:proofErr w:type="spellStart"/>
            <w:r w:rsidRPr="006F393A">
              <w:t>Rustgi</w:t>
            </w:r>
            <w:proofErr w:type="spellEnd"/>
            <w:r w:rsidRPr="006F393A">
              <w:t xml:space="preserve">, M. </w:t>
            </w:r>
            <w:proofErr w:type="spellStart"/>
            <w:r w:rsidRPr="006F393A">
              <w:t>Chojkier</w:t>
            </w:r>
            <w:proofErr w:type="spellEnd"/>
            <w:r w:rsidRPr="006F393A">
              <w:t xml:space="preserve">, R. Herring, A. M. Di </w:t>
            </w:r>
            <w:proofErr w:type="spellStart"/>
            <w:r w:rsidRPr="006F393A">
              <w:t>Bisceglie</w:t>
            </w:r>
            <w:proofErr w:type="spellEnd"/>
            <w:r w:rsidRPr="006F393A">
              <w:t xml:space="preserve">, P. J. </w:t>
            </w:r>
            <w:proofErr w:type="spellStart"/>
            <w:r w:rsidRPr="006F393A">
              <w:t>Pockros</w:t>
            </w:r>
            <w:proofErr w:type="spellEnd"/>
            <w:r w:rsidRPr="006F393A">
              <w:t xml:space="preserve">, G. M. Subramanian, D. An, E. </w:t>
            </w:r>
            <w:proofErr w:type="spellStart"/>
            <w:r w:rsidRPr="006F393A">
              <w:t>Svarovskaia</w:t>
            </w:r>
            <w:proofErr w:type="spellEnd"/>
            <w:r w:rsidRPr="006F393A">
              <w:t xml:space="preserve">, R. H. Hyland, P. S. Pang, W. T. Symonds, J. G. </w:t>
            </w:r>
            <w:proofErr w:type="spellStart"/>
            <w:r w:rsidRPr="006F393A">
              <w:t>McHutchison</w:t>
            </w:r>
            <w:proofErr w:type="spellEnd"/>
            <w:r w:rsidRPr="006F393A">
              <w:t xml:space="preserve">, A. J. Muir, D. Pound, M. W. Fried and I. O. N. Investigators </w:t>
            </w:r>
            <w:r w:rsidR="009A77A4" w:rsidRPr="006F393A">
              <w:rPr>
                <w:noProof/>
                <w:vertAlign w:val="superscript"/>
              </w:rPr>
              <w:t>39</w:t>
            </w:r>
            <w:r w:rsidRPr="006F393A">
              <w:t>. "</w:t>
            </w:r>
            <w:proofErr w:type="spellStart"/>
            <w:r w:rsidRPr="006F393A">
              <w:t>Ledipasvir</w:t>
            </w:r>
            <w:proofErr w:type="spellEnd"/>
            <w:r w:rsidRPr="006F393A">
              <w:t xml:space="preserve"> and </w:t>
            </w:r>
            <w:proofErr w:type="spellStart"/>
            <w:r w:rsidRPr="006F393A">
              <w:t>sofosbuvir</w:t>
            </w:r>
            <w:proofErr w:type="spellEnd"/>
            <w:r w:rsidRPr="006F393A">
              <w:t xml:space="preserve"> for 8 or 12 weeks for chronic HCV without cirrhosis." </w:t>
            </w:r>
          </w:p>
        </w:tc>
        <w:tc>
          <w:tcPr>
            <w:tcW w:w="1272" w:type="pct"/>
          </w:tcPr>
          <w:p w:rsidR="00ED3017" w:rsidRPr="006F393A" w:rsidRDefault="00ED3017" w:rsidP="00ED3017">
            <w:pPr>
              <w:pStyle w:val="Tabletext"/>
            </w:pPr>
            <w:r w:rsidRPr="006F393A">
              <w:t>2014</w:t>
            </w:r>
          </w:p>
          <w:p w:rsidR="00ED3017" w:rsidRPr="006F393A" w:rsidRDefault="00ED3017" w:rsidP="009A77A4">
            <w:pPr>
              <w:pStyle w:val="Tabletext"/>
            </w:pPr>
            <w:r w:rsidRPr="006F393A">
              <w:t xml:space="preserve">N </w:t>
            </w:r>
            <w:proofErr w:type="spellStart"/>
            <w:r w:rsidRPr="006F393A">
              <w:t>Engl</w:t>
            </w:r>
            <w:proofErr w:type="spellEnd"/>
            <w:r w:rsidRPr="006F393A">
              <w:t xml:space="preserve"> J Med 370(20): 1879-1888.</w:t>
            </w:r>
            <w:r w:rsidR="009A77A4" w:rsidRPr="006F393A">
              <w:rPr>
                <w:noProof/>
                <w:vertAlign w:val="superscript"/>
              </w:rPr>
              <w:t>38</w:t>
            </w:r>
          </w:p>
        </w:tc>
      </w:tr>
      <w:tr w:rsidR="00ED3017" w:rsidRPr="006F393A" w:rsidTr="00ED3017">
        <w:tc>
          <w:tcPr>
            <w:tcW w:w="778" w:type="pct"/>
            <w:vMerge/>
            <w:vAlign w:val="center"/>
          </w:tcPr>
          <w:p w:rsidR="00ED3017" w:rsidRPr="006F393A" w:rsidRDefault="00ED3017" w:rsidP="00ED3017">
            <w:pPr>
              <w:pStyle w:val="Tabletext"/>
              <w:rPr>
                <w:b/>
              </w:rPr>
            </w:pPr>
          </w:p>
        </w:tc>
        <w:tc>
          <w:tcPr>
            <w:tcW w:w="2950" w:type="pct"/>
          </w:tcPr>
          <w:p w:rsidR="00ED3017" w:rsidRPr="006F393A" w:rsidRDefault="00ED3017" w:rsidP="009A77A4">
            <w:pPr>
              <w:pStyle w:val="Tabletext"/>
            </w:pPr>
            <w:r w:rsidRPr="006F393A">
              <w:t xml:space="preserve">K.V. </w:t>
            </w:r>
            <w:proofErr w:type="spellStart"/>
            <w:r w:rsidRPr="006F393A">
              <w:t>Kowdley</w:t>
            </w:r>
            <w:proofErr w:type="spellEnd"/>
            <w:r w:rsidRPr="006F393A">
              <w:t xml:space="preserve">, G.C. Stuart, R.K. Reddy, L. </w:t>
            </w:r>
            <w:proofErr w:type="spellStart"/>
            <w:r w:rsidRPr="006F393A">
              <w:t>Rossaro</w:t>
            </w:r>
            <w:proofErr w:type="spellEnd"/>
            <w:r w:rsidRPr="006F393A">
              <w:t xml:space="preserve">, D.E. Bernstein, D. An, E.S. </w:t>
            </w:r>
            <w:proofErr w:type="spellStart"/>
            <w:r w:rsidRPr="006F393A">
              <w:t>Svarovskaia</w:t>
            </w:r>
            <w:proofErr w:type="spellEnd"/>
            <w:r w:rsidRPr="006F393A">
              <w:t xml:space="preserve">, R.H. Hyland, P.S. Pang, W.T. Symonds, J.G. </w:t>
            </w:r>
            <w:proofErr w:type="spellStart"/>
            <w:r w:rsidRPr="006F393A">
              <w:t>Mchutchison</w:t>
            </w:r>
            <w:proofErr w:type="spellEnd"/>
            <w:r w:rsidRPr="006F393A">
              <w:t xml:space="preserve">, A.J. Muir, P.J. </w:t>
            </w:r>
            <w:proofErr w:type="spellStart"/>
            <w:r w:rsidRPr="006F393A">
              <w:t>Pockros</w:t>
            </w:r>
            <w:proofErr w:type="spellEnd"/>
            <w:r w:rsidRPr="006F393A">
              <w:t xml:space="preserve">, D. Pound and M.W. Fried </w:t>
            </w:r>
            <w:r w:rsidR="009A77A4" w:rsidRPr="006F393A">
              <w:rPr>
                <w:noProof/>
                <w:vertAlign w:val="superscript"/>
              </w:rPr>
              <w:t>40</w:t>
            </w:r>
            <w:r w:rsidRPr="006F393A">
              <w:t xml:space="preserve">. </w:t>
            </w:r>
            <w:proofErr w:type="spellStart"/>
            <w:r w:rsidRPr="006F393A">
              <w:t>Sofosbuvir</w:t>
            </w:r>
            <w:proofErr w:type="spellEnd"/>
            <w:r w:rsidRPr="006F393A">
              <w:t>/</w:t>
            </w:r>
            <w:proofErr w:type="spellStart"/>
            <w:r w:rsidRPr="006F393A">
              <w:t>ledipasvir</w:t>
            </w:r>
            <w:proofErr w:type="spellEnd"/>
            <w:r w:rsidRPr="006F393A">
              <w:t xml:space="preserve"> with and without ribavirin for 8 weeks compared to </w:t>
            </w:r>
            <w:proofErr w:type="spellStart"/>
            <w:r w:rsidRPr="006F393A">
              <w:t>sofosbuvir</w:t>
            </w:r>
            <w:proofErr w:type="spellEnd"/>
            <w:r w:rsidRPr="006F393A">
              <w:t>/</w:t>
            </w:r>
            <w:proofErr w:type="spellStart"/>
            <w:r w:rsidRPr="006F393A">
              <w:t>ledipasvir</w:t>
            </w:r>
            <w:proofErr w:type="spellEnd"/>
            <w:r w:rsidRPr="006F393A">
              <w:t xml:space="preserve"> for 12 weeks in treatment-naïve non-cirrhotic genotype-1 HCV-infected patients: the phase 3 ION-3 study. Journal of </w:t>
            </w:r>
            <w:proofErr w:type="spellStart"/>
            <w:r w:rsidRPr="006F393A">
              <w:t>Hepatology</w:t>
            </w:r>
            <w:proofErr w:type="spellEnd"/>
            <w:r w:rsidRPr="006F393A">
              <w:t xml:space="preserve"> 60 1 Supplement S23 - S24.</w:t>
            </w:r>
          </w:p>
        </w:tc>
        <w:tc>
          <w:tcPr>
            <w:tcW w:w="1272" w:type="pct"/>
          </w:tcPr>
          <w:p w:rsidR="00ED3017" w:rsidRPr="006F393A" w:rsidRDefault="00ED3017" w:rsidP="00ED3017">
            <w:pPr>
              <w:pStyle w:val="Tabletext"/>
            </w:pPr>
            <w:r w:rsidRPr="006F393A">
              <w:t>2014</w:t>
            </w:r>
          </w:p>
          <w:p w:rsidR="00ED3017" w:rsidRPr="006F393A" w:rsidRDefault="00ED3017" w:rsidP="009A77A4">
            <w:pPr>
              <w:pStyle w:val="Tabletext"/>
            </w:pPr>
            <w:r w:rsidRPr="006F393A">
              <w:t xml:space="preserve">Journal of </w:t>
            </w:r>
            <w:proofErr w:type="spellStart"/>
            <w:r w:rsidRPr="006F393A">
              <w:t>Hepatology</w:t>
            </w:r>
            <w:proofErr w:type="spellEnd"/>
            <w:r w:rsidRPr="006F393A">
              <w:t xml:space="preserve"> 60 1 Supplement S23 - S24</w:t>
            </w:r>
            <w:r w:rsidR="009A77A4" w:rsidRPr="006F393A">
              <w:rPr>
                <w:noProof/>
                <w:vertAlign w:val="superscript"/>
              </w:rPr>
              <w:t>41</w:t>
            </w:r>
            <w:r w:rsidRPr="006F393A">
              <w:t>. This abstract was also presented in Gastroenterology</w:t>
            </w:r>
            <w:r w:rsidR="009A77A4" w:rsidRPr="006F393A">
              <w:rPr>
                <w:noProof/>
                <w:vertAlign w:val="superscript"/>
              </w:rPr>
              <w:t>42</w:t>
            </w:r>
            <w:r w:rsidRPr="006F393A">
              <w:t>.</w:t>
            </w:r>
          </w:p>
        </w:tc>
      </w:tr>
    </w:tbl>
    <w:p w:rsidR="00ED3017" w:rsidRPr="006F393A" w:rsidRDefault="00ED3017" w:rsidP="00ED3017">
      <w:pPr>
        <w:pStyle w:val="TableFooter"/>
        <w:ind w:left="720"/>
      </w:pPr>
      <w:r w:rsidRPr="006F393A">
        <w:t xml:space="preserve">The submission also presented Coral I to assess the efficacy and safety of </w:t>
      </w:r>
      <w:proofErr w:type="spellStart"/>
      <w:r w:rsidRPr="006F393A">
        <w:t>Viekira</w:t>
      </w:r>
      <w:proofErr w:type="spellEnd"/>
      <w:r w:rsidRPr="006F393A">
        <w:t xml:space="preserve"> PAK / </w:t>
      </w:r>
      <w:proofErr w:type="spellStart"/>
      <w:r w:rsidRPr="006F393A">
        <w:t>Viekira</w:t>
      </w:r>
      <w:proofErr w:type="spellEnd"/>
      <w:r w:rsidRPr="006F393A">
        <w:t xml:space="preserve"> PAK-RBV for 24 weeks in genotype 1 CHC infected adult liver transplant recipients. This study has been excluded from consideration during the evaluation as this population is not included in the requested PBS listing.</w:t>
      </w:r>
    </w:p>
    <w:p w:rsidR="00ED3017" w:rsidRPr="006F393A" w:rsidRDefault="00ED3017" w:rsidP="00ED3017">
      <w:pPr>
        <w:pStyle w:val="TableFooter"/>
        <w:ind w:firstLine="720"/>
        <w:rPr>
          <w:szCs w:val="22"/>
        </w:rPr>
      </w:pPr>
      <w:r w:rsidRPr="006F393A">
        <w:t>Source: Table B-3, pp104-112 of the submission.</w:t>
      </w:r>
    </w:p>
    <w:p w:rsidR="00ED3017" w:rsidRPr="006F393A" w:rsidRDefault="00ED3017" w:rsidP="00ED3017">
      <w:pPr>
        <w:widowControl/>
        <w:rPr>
          <w:szCs w:val="22"/>
        </w:rPr>
      </w:pPr>
    </w:p>
    <w:p w:rsidR="00ED3017" w:rsidRPr="006F393A" w:rsidRDefault="00ED3017" w:rsidP="00997EDA">
      <w:pPr>
        <w:pStyle w:val="ListParagraph"/>
        <w:widowControl/>
        <w:numPr>
          <w:ilvl w:val="1"/>
          <w:numId w:val="1"/>
        </w:numPr>
        <w:rPr>
          <w:szCs w:val="22"/>
        </w:rPr>
      </w:pPr>
      <w:r w:rsidRPr="006F393A">
        <w:rPr>
          <w:szCs w:val="22"/>
        </w:rPr>
        <w:t xml:space="preserve">There were eight studies of </w:t>
      </w:r>
      <w:proofErr w:type="spellStart"/>
      <w:r w:rsidRPr="006F393A">
        <w:rPr>
          <w:szCs w:val="22"/>
        </w:rPr>
        <w:t>Viekira</w:t>
      </w:r>
      <w:proofErr w:type="spellEnd"/>
      <w:r w:rsidRPr="006F393A">
        <w:rPr>
          <w:szCs w:val="22"/>
        </w:rPr>
        <w:t xml:space="preserve"> PAK / </w:t>
      </w:r>
      <w:proofErr w:type="spellStart"/>
      <w:r w:rsidRPr="006F393A">
        <w:rPr>
          <w:szCs w:val="22"/>
        </w:rPr>
        <w:t>Viekira</w:t>
      </w:r>
      <w:proofErr w:type="spellEnd"/>
      <w:r w:rsidRPr="006F393A">
        <w:rPr>
          <w:szCs w:val="22"/>
        </w:rPr>
        <w:t xml:space="preserve"> PAK-RBV, comparing treatment effects either with placebo (Sapphire I, Sapphire II), with or without ribavirin (Pearl III and Pearl IV), with </w:t>
      </w:r>
      <w:proofErr w:type="spellStart"/>
      <w:r w:rsidRPr="006F393A">
        <w:rPr>
          <w:szCs w:val="22"/>
        </w:rPr>
        <w:t>telaprevir</w:t>
      </w:r>
      <w:proofErr w:type="spellEnd"/>
      <w:r w:rsidRPr="006F393A">
        <w:rPr>
          <w:szCs w:val="22"/>
        </w:rPr>
        <w:t xml:space="preserve"> plus PR (Malachite I and</w:t>
      </w:r>
      <w:r w:rsidR="0060604A">
        <w:rPr>
          <w:szCs w:val="22"/>
        </w:rPr>
        <w:t xml:space="preserve"> Malachite II) or they were non</w:t>
      </w:r>
      <w:r w:rsidR="0060604A">
        <w:rPr>
          <w:szCs w:val="22"/>
        </w:rPr>
        <w:noBreakHyphen/>
      </w:r>
      <w:r w:rsidRPr="006F393A">
        <w:rPr>
          <w:szCs w:val="22"/>
        </w:rPr>
        <w:t>comparative (Turquoise II and Pearl II). All of th</w:t>
      </w:r>
      <w:r w:rsidR="0060604A">
        <w:rPr>
          <w:szCs w:val="22"/>
        </w:rPr>
        <w:t>ese studies were treated as non</w:t>
      </w:r>
      <w:r w:rsidR="0060604A">
        <w:rPr>
          <w:szCs w:val="22"/>
        </w:rPr>
        <w:noBreakHyphen/>
      </w:r>
      <w:r w:rsidRPr="006F393A">
        <w:rPr>
          <w:szCs w:val="22"/>
        </w:rPr>
        <w:t xml:space="preserve">comparative single arm studies with respect to the estimation of SVR rates. All three LDV/SOF studies have been considered by the PBAC previously. The key features of the included evidence are summarised in the table below. </w:t>
      </w:r>
    </w:p>
    <w:p w:rsidR="00E70436" w:rsidRPr="006F393A" w:rsidRDefault="00E70436" w:rsidP="00E70436">
      <w:pPr>
        <w:widowControl/>
        <w:rPr>
          <w:szCs w:val="22"/>
        </w:rPr>
      </w:pPr>
    </w:p>
    <w:p w:rsidR="00E70436" w:rsidRPr="006F393A" w:rsidRDefault="00E70436" w:rsidP="00E70436">
      <w:pPr>
        <w:pStyle w:val="TableHeader"/>
        <w:ind w:firstLine="720"/>
      </w:pPr>
      <w:r w:rsidRPr="006F393A">
        <w:t xml:space="preserve">Table </w:t>
      </w:r>
      <w:r w:rsidR="007B6A5B" w:rsidRPr="006F393A">
        <w:t>4</w:t>
      </w:r>
      <w:r w:rsidRPr="006F393A">
        <w:t>: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03"/>
        <w:gridCol w:w="644"/>
        <w:gridCol w:w="1779"/>
        <w:gridCol w:w="1340"/>
        <w:gridCol w:w="1354"/>
        <w:gridCol w:w="1070"/>
        <w:gridCol w:w="1055"/>
      </w:tblGrid>
      <w:tr w:rsidR="00E70436" w:rsidRPr="006F393A" w:rsidTr="00A033B4">
        <w:tc>
          <w:tcPr>
            <w:tcW w:w="661" w:type="pct"/>
            <w:shd w:val="clear" w:color="auto" w:fill="auto"/>
            <w:vAlign w:val="center"/>
          </w:tcPr>
          <w:p w:rsidR="00E70436" w:rsidRPr="006F393A" w:rsidRDefault="00E70436" w:rsidP="004A0D51">
            <w:pPr>
              <w:jc w:val="center"/>
              <w:rPr>
                <w:rFonts w:ascii="Arial Narrow" w:hAnsi="Arial Narrow"/>
                <w:b/>
                <w:sz w:val="20"/>
                <w:lang w:val="en-US"/>
              </w:rPr>
            </w:pPr>
            <w:r w:rsidRPr="006F393A">
              <w:rPr>
                <w:rFonts w:ascii="Arial Narrow" w:hAnsi="Arial Narrow"/>
                <w:b/>
                <w:sz w:val="20"/>
                <w:lang w:val="en-US"/>
              </w:rPr>
              <w:t>Trial</w:t>
            </w:r>
          </w:p>
        </w:tc>
        <w:tc>
          <w:tcPr>
            <w:tcW w:w="386" w:type="pct"/>
            <w:shd w:val="clear" w:color="auto" w:fill="auto"/>
            <w:vAlign w:val="center"/>
          </w:tcPr>
          <w:p w:rsidR="00E70436" w:rsidRPr="006F393A" w:rsidRDefault="00E70436" w:rsidP="004A0D51">
            <w:pPr>
              <w:jc w:val="center"/>
              <w:rPr>
                <w:rFonts w:ascii="Arial Narrow" w:hAnsi="Arial Narrow"/>
                <w:b/>
                <w:sz w:val="20"/>
                <w:lang w:val="en-US"/>
              </w:rPr>
            </w:pPr>
            <w:proofErr w:type="spellStart"/>
            <w:r w:rsidRPr="006F393A">
              <w:rPr>
                <w:rFonts w:ascii="Arial Narrow" w:hAnsi="Arial Narrow"/>
                <w:b/>
                <w:sz w:val="20"/>
                <w:lang w:val="en-US"/>
              </w:rPr>
              <w:t>N</w:t>
            </w:r>
            <w:r w:rsidRPr="006F393A">
              <w:rPr>
                <w:rFonts w:ascii="Arial Narrow" w:hAnsi="Arial Narrow"/>
                <w:b/>
                <w:sz w:val="20"/>
                <w:vertAlign w:val="superscript"/>
                <w:lang w:val="en-US"/>
              </w:rPr>
              <w:t>b</w:t>
            </w:r>
            <w:proofErr w:type="spellEnd"/>
          </w:p>
        </w:tc>
        <w:tc>
          <w:tcPr>
            <w:tcW w:w="1066" w:type="pct"/>
            <w:shd w:val="clear" w:color="auto" w:fill="auto"/>
            <w:vAlign w:val="center"/>
          </w:tcPr>
          <w:p w:rsidR="00E70436" w:rsidRPr="006F393A" w:rsidRDefault="00E70436" w:rsidP="004A0D51">
            <w:pPr>
              <w:jc w:val="center"/>
              <w:rPr>
                <w:rFonts w:ascii="Arial Narrow" w:hAnsi="Arial Narrow"/>
                <w:b/>
                <w:sz w:val="20"/>
                <w:lang w:val="en-US"/>
              </w:rPr>
            </w:pPr>
            <w:r w:rsidRPr="006F393A">
              <w:rPr>
                <w:rFonts w:ascii="Arial Narrow" w:hAnsi="Arial Narrow"/>
                <w:b/>
                <w:sz w:val="20"/>
                <w:lang w:val="en-US"/>
              </w:rPr>
              <w:t>Design/ duration</w:t>
            </w:r>
          </w:p>
        </w:tc>
        <w:tc>
          <w:tcPr>
            <w:tcW w:w="803" w:type="pct"/>
            <w:shd w:val="clear" w:color="auto" w:fill="auto"/>
            <w:vAlign w:val="center"/>
          </w:tcPr>
          <w:p w:rsidR="00E70436" w:rsidRPr="006F393A" w:rsidRDefault="00E70436" w:rsidP="004A0D51">
            <w:pPr>
              <w:jc w:val="center"/>
              <w:rPr>
                <w:rFonts w:ascii="Arial Narrow" w:hAnsi="Arial Narrow"/>
                <w:b/>
                <w:sz w:val="20"/>
                <w:lang w:val="en-US"/>
              </w:rPr>
            </w:pPr>
            <w:r w:rsidRPr="006F393A">
              <w:rPr>
                <w:rFonts w:ascii="Arial Narrow" w:hAnsi="Arial Narrow"/>
                <w:b/>
                <w:sz w:val="20"/>
                <w:lang w:val="en-US"/>
              </w:rPr>
              <w:t xml:space="preserve">Risk of </w:t>
            </w:r>
            <w:proofErr w:type="spellStart"/>
            <w:r w:rsidRPr="006F393A">
              <w:rPr>
                <w:rFonts w:ascii="Arial Narrow" w:hAnsi="Arial Narrow"/>
                <w:b/>
                <w:sz w:val="20"/>
                <w:lang w:val="en-US"/>
              </w:rPr>
              <w:t>bias</w:t>
            </w:r>
            <w:r w:rsidRPr="006F393A">
              <w:rPr>
                <w:rFonts w:ascii="Arial Narrow" w:hAnsi="Arial Narrow"/>
                <w:b/>
                <w:sz w:val="20"/>
                <w:vertAlign w:val="superscript"/>
                <w:lang w:val="en-US"/>
              </w:rPr>
              <w:t>a</w:t>
            </w:r>
            <w:proofErr w:type="spellEnd"/>
          </w:p>
        </w:tc>
        <w:tc>
          <w:tcPr>
            <w:tcW w:w="811" w:type="pct"/>
            <w:shd w:val="clear" w:color="auto" w:fill="auto"/>
            <w:vAlign w:val="center"/>
          </w:tcPr>
          <w:p w:rsidR="00E70436" w:rsidRPr="006F393A" w:rsidRDefault="00E70436" w:rsidP="004A0D51">
            <w:pPr>
              <w:jc w:val="center"/>
              <w:rPr>
                <w:rFonts w:ascii="Arial Narrow" w:hAnsi="Arial Narrow"/>
                <w:b/>
                <w:sz w:val="20"/>
                <w:lang w:val="en-US"/>
              </w:rPr>
            </w:pPr>
            <w:r w:rsidRPr="006F393A">
              <w:rPr>
                <w:rFonts w:ascii="Arial Narrow" w:hAnsi="Arial Narrow"/>
                <w:b/>
                <w:sz w:val="20"/>
                <w:lang w:val="en-US"/>
              </w:rPr>
              <w:t>Patient population</w:t>
            </w:r>
          </w:p>
        </w:tc>
        <w:tc>
          <w:tcPr>
            <w:tcW w:w="641" w:type="pct"/>
            <w:shd w:val="clear" w:color="auto" w:fill="auto"/>
            <w:vAlign w:val="center"/>
          </w:tcPr>
          <w:p w:rsidR="00E70436" w:rsidRPr="006F393A" w:rsidRDefault="00E70436" w:rsidP="004A0D51">
            <w:pPr>
              <w:jc w:val="center"/>
              <w:rPr>
                <w:rFonts w:ascii="Arial Narrow" w:hAnsi="Arial Narrow"/>
                <w:b/>
                <w:sz w:val="20"/>
                <w:lang w:val="en-US"/>
              </w:rPr>
            </w:pPr>
            <w:r w:rsidRPr="006F393A">
              <w:rPr>
                <w:rFonts w:ascii="Arial Narrow" w:hAnsi="Arial Narrow"/>
                <w:b/>
                <w:sz w:val="20"/>
                <w:lang w:val="en-US"/>
              </w:rPr>
              <w:t>Outcome</w:t>
            </w:r>
          </w:p>
        </w:tc>
        <w:tc>
          <w:tcPr>
            <w:tcW w:w="632" w:type="pct"/>
            <w:shd w:val="clear" w:color="auto" w:fill="auto"/>
            <w:vAlign w:val="center"/>
          </w:tcPr>
          <w:p w:rsidR="00E70436" w:rsidRPr="006F393A" w:rsidRDefault="00E70436" w:rsidP="004A0D51">
            <w:pPr>
              <w:jc w:val="center"/>
              <w:rPr>
                <w:rFonts w:ascii="Arial Narrow" w:hAnsi="Arial Narrow"/>
                <w:b/>
                <w:sz w:val="20"/>
                <w:lang w:val="en-US"/>
              </w:rPr>
            </w:pPr>
            <w:r w:rsidRPr="006F393A">
              <w:rPr>
                <w:rFonts w:ascii="Arial Narrow" w:hAnsi="Arial Narrow"/>
                <w:b/>
                <w:sz w:val="20"/>
                <w:lang w:val="en-US"/>
              </w:rPr>
              <w:t xml:space="preserve">Use in modelled </w:t>
            </w:r>
            <w:proofErr w:type="spellStart"/>
            <w:r w:rsidRPr="006F393A">
              <w:rPr>
                <w:rFonts w:ascii="Arial Narrow" w:hAnsi="Arial Narrow"/>
                <w:b/>
                <w:sz w:val="20"/>
                <w:lang w:val="en-US"/>
              </w:rPr>
              <w:t>evaluation</w:t>
            </w:r>
            <w:r w:rsidRPr="006F393A">
              <w:rPr>
                <w:rFonts w:ascii="Arial Narrow" w:hAnsi="Arial Narrow"/>
                <w:b/>
                <w:sz w:val="20"/>
                <w:vertAlign w:val="superscript"/>
                <w:lang w:val="en-US"/>
              </w:rPr>
              <w:t>c</w:t>
            </w:r>
            <w:proofErr w:type="spellEnd"/>
          </w:p>
        </w:tc>
      </w:tr>
      <w:tr w:rsidR="00E70436" w:rsidRPr="006F393A" w:rsidTr="004A0D51">
        <w:tc>
          <w:tcPr>
            <w:tcW w:w="5000" w:type="pct"/>
            <w:gridSpan w:val="7"/>
            <w:shd w:val="clear" w:color="auto" w:fill="auto"/>
            <w:vAlign w:val="center"/>
          </w:tcPr>
          <w:p w:rsidR="00E70436" w:rsidRPr="006F393A" w:rsidRDefault="00BD66D9" w:rsidP="004A0D51">
            <w:pPr>
              <w:jc w:val="left"/>
              <w:rPr>
                <w:rFonts w:ascii="Arial Narrow" w:hAnsi="Arial Narrow"/>
                <w:b/>
                <w:sz w:val="20"/>
                <w:lang w:val="en-US"/>
              </w:rPr>
            </w:pPr>
            <w:proofErr w:type="spellStart"/>
            <w:r w:rsidRPr="006F393A">
              <w:rPr>
                <w:rFonts w:ascii="Arial Narrow" w:hAnsi="Arial Narrow"/>
                <w:b/>
                <w:sz w:val="20"/>
                <w:lang w:val="en-US"/>
              </w:rPr>
              <w:t>Viekira</w:t>
            </w:r>
            <w:proofErr w:type="spellEnd"/>
            <w:r w:rsidRPr="006F393A">
              <w:rPr>
                <w:rFonts w:ascii="Arial Narrow" w:hAnsi="Arial Narrow"/>
                <w:b/>
                <w:sz w:val="20"/>
                <w:lang w:val="en-US"/>
              </w:rPr>
              <w:t xml:space="preserve"> PAK / </w:t>
            </w:r>
            <w:proofErr w:type="spellStart"/>
            <w:r w:rsidRPr="006F393A">
              <w:rPr>
                <w:rFonts w:ascii="Arial Narrow" w:hAnsi="Arial Narrow"/>
                <w:b/>
                <w:sz w:val="20"/>
                <w:lang w:val="en-US"/>
              </w:rPr>
              <w:t>Viekira</w:t>
            </w:r>
            <w:proofErr w:type="spellEnd"/>
            <w:r w:rsidRPr="006F393A">
              <w:rPr>
                <w:rFonts w:ascii="Arial Narrow" w:hAnsi="Arial Narrow"/>
                <w:b/>
                <w:sz w:val="20"/>
                <w:lang w:val="en-US"/>
              </w:rPr>
              <w:t xml:space="preserve"> PAK-RBV</w:t>
            </w:r>
          </w:p>
        </w:tc>
      </w:tr>
      <w:tr w:rsidR="00E70436" w:rsidRPr="006F393A" w:rsidTr="00A033B4">
        <w:trPr>
          <w:trHeight w:val="76"/>
        </w:trPr>
        <w:tc>
          <w:tcPr>
            <w:tcW w:w="661" w:type="pct"/>
            <w:vMerge w:val="restart"/>
            <w:shd w:val="clear" w:color="auto" w:fill="auto"/>
            <w:vAlign w:val="center"/>
          </w:tcPr>
          <w:p w:rsidR="00E70436" w:rsidRPr="006F393A" w:rsidRDefault="00E70436" w:rsidP="004A0D51">
            <w:pPr>
              <w:jc w:val="left"/>
              <w:rPr>
                <w:rFonts w:ascii="Arial Narrow" w:hAnsi="Arial Narrow"/>
                <w:sz w:val="20"/>
                <w:lang w:val="en-US"/>
              </w:rPr>
            </w:pPr>
            <w:r w:rsidRPr="006F393A">
              <w:rPr>
                <w:rFonts w:ascii="Arial Narrow" w:hAnsi="Arial Narrow"/>
                <w:sz w:val="20"/>
                <w:lang w:val="en-US"/>
              </w:rPr>
              <w:t>Malachite I</w:t>
            </w:r>
          </w:p>
        </w:tc>
        <w:tc>
          <w:tcPr>
            <w:tcW w:w="386"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83</w:t>
            </w:r>
          </w:p>
        </w:tc>
        <w:tc>
          <w:tcPr>
            <w:tcW w:w="1066" w:type="pct"/>
            <w:vMerge w:val="restar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Single arm of R, OL</w:t>
            </w:r>
          </w:p>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48 weeks</w:t>
            </w:r>
          </w:p>
        </w:tc>
        <w:tc>
          <w:tcPr>
            <w:tcW w:w="803" w:type="pct"/>
            <w:vMerge w:val="restart"/>
            <w:shd w:val="clear" w:color="auto" w:fill="auto"/>
            <w:vAlign w:val="center"/>
          </w:tcPr>
          <w:p w:rsidR="00E70436" w:rsidRPr="006F393A" w:rsidRDefault="00A033B4" w:rsidP="004A0D51">
            <w:pPr>
              <w:jc w:val="center"/>
              <w:rPr>
                <w:rFonts w:ascii="Arial Narrow" w:hAnsi="Arial Narrow"/>
                <w:sz w:val="20"/>
                <w:lang w:val="en-US"/>
              </w:rPr>
            </w:pPr>
            <w:r w:rsidRPr="006F393A">
              <w:rPr>
                <w:rFonts w:ascii="Arial Narrow" w:hAnsi="Arial Narrow"/>
                <w:sz w:val="20"/>
                <w:lang w:val="en-US"/>
              </w:rPr>
              <w:t>High/low</w:t>
            </w:r>
          </w:p>
        </w:tc>
        <w:tc>
          <w:tcPr>
            <w:tcW w:w="811"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GT1b treatment-naïve non-cirrhotic</w:t>
            </w:r>
          </w:p>
        </w:tc>
        <w:tc>
          <w:tcPr>
            <w:tcW w:w="641" w:type="pct"/>
            <w:vMerge w:val="restar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SVR12</w:t>
            </w:r>
          </w:p>
        </w:tc>
        <w:tc>
          <w:tcPr>
            <w:tcW w:w="632" w:type="pct"/>
            <w:vMerge w:val="restart"/>
            <w:shd w:val="clear" w:color="auto" w:fill="auto"/>
            <w:vAlign w:val="center"/>
          </w:tcPr>
          <w:p w:rsidR="00E70436" w:rsidRPr="006F393A" w:rsidRDefault="00A033B4" w:rsidP="004A0D51">
            <w:pPr>
              <w:jc w:val="center"/>
              <w:rPr>
                <w:rFonts w:ascii="Arial Narrow" w:hAnsi="Arial Narrow"/>
                <w:sz w:val="20"/>
                <w:lang w:val="en-US"/>
              </w:rPr>
            </w:pPr>
            <w:r w:rsidRPr="006F393A">
              <w:rPr>
                <w:rFonts w:ascii="Arial Narrow" w:hAnsi="Arial Narrow"/>
                <w:sz w:val="20"/>
                <w:lang w:val="en-US"/>
              </w:rPr>
              <w:t>U</w:t>
            </w:r>
            <w:r w:rsidR="00E70436" w:rsidRPr="006F393A">
              <w:rPr>
                <w:rFonts w:ascii="Arial Narrow" w:hAnsi="Arial Narrow"/>
                <w:sz w:val="20"/>
                <w:lang w:val="en-US"/>
              </w:rPr>
              <w:t>sed</w:t>
            </w:r>
          </w:p>
        </w:tc>
      </w:tr>
      <w:tr w:rsidR="00E70436" w:rsidRPr="006F393A" w:rsidTr="00A033B4">
        <w:trPr>
          <w:trHeight w:val="75"/>
        </w:trPr>
        <w:tc>
          <w:tcPr>
            <w:tcW w:w="661" w:type="pct"/>
            <w:vMerge/>
            <w:shd w:val="clear" w:color="auto" w:fill="auto"/>
            <w:vAlign w:val="center"/>
          </w:tcPr>
          <w:p w:rsidR="00E70436" w:rsidRPr="006F393A" w:rsidRDefault="00E70436" w:rsidP="004A0D51">
            <w:pPr>
              <w:jc w:val="left"/>
              <w:rPr>
                <w:rFonts w:ascii="Arial Narrow" w:hAnsi="Arial Narrow"/>
                <w:sz w:val="20"/>
                <w:lang w:val="en-US"/>
              </w:rPr>
            </w:pPr>
          </w:p>
        </w:tc>
        <w:tc>
          <w:tcPr>
            <w:tcW w:w="386"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69</w:t>
            </w:r>
          </w:p>
        </w:tc>
        <w:tc>
          <w:tcPr>
            <w:tcW w:w="1066" w:type="pct"/>
            <w:vMerge/>
            <w:shd w:val="clear" w:color="auto" w:fill="auto"/>
            <w:vAlign w:val="center"/>
          </w:tcPr>
          <w:p w:rsidR="00E70436" w:rsidRPr="006F393A" w:rsidRDefault="00E70436" w:rsidP="004A0D51">
            <w:pPr>
              <w:jc w:val="center"/>
              <w:rPr>
                <w:rFonts w:ascii="Arial Narrow" w:hAnsi="Arial Narrow"/>
                <w:sz w:val="20"/>
                <w:lang w:val="en-US"/>
              </w:rPr>
            </w:pPr>
          </w:p>
        </w:tc>
        <w:tc>
          <w:tcPr>
            <w:tcW w:w="803" w:type="pct"/>
            <w:vMerge/>
            <w:shd w:val="clear" w:color="auto" w:fill="auto"/>
            <w:vAlign w:val="center"/>
          </w:tcPr>
          <w:p w:rsidR="00E70436" w:rsidRPr="006F393A" w:rsidRDefault="00E70436" w:rsidP="004A0D51">
            <w:pPr>
              <w:jc w:val="center"/>
              <w:rPr>
                <w:rFonts w:ascii="Arial Narrow" w:hAnsi="Arial Narrow"/>
                <w:sz w:val="20"/>
                <w:lang w:val="en-US"/>
              </w:rPr>
            </w:pPr>
          </w:p>
        </w:tc>
        <w:tc>
          <w:tcPr>
            <w:tcW w:w="811"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GT1a treatment-naïve non-cirrhotic</w:t>
            </w:r>
          </w:p>
        </w:tc>
        <w:tc>
          <w:tcPr>
            <w:tcW w:w="641" w:type="pct"/>
            <w:vMerge/>
            <w:shd w:val="clear" w:color="auto" w:fill="auto"/>
            <w:vAlign w:val="center"/>
          </w:tcPr>
          <w:p w:rsidR="00E70436" w:rsidRPr="006F393A" w:rsidRDefault="00E70436" w:rsidP="004A0D51">
            <w:pPr>
              <w:jc w:val="center"/>
              <w:rPr>
                <w:rFonts w:ascii="Arial Narrow" w:hAnsi="Arial Narrow"/>
                <w:sz w:val="20"/>
                <w:lang w:val="en-US"/>
              </w:rPr>
            </w:pPr>
          </w:p>
        </w:tc>
        <w:tc>
          <w:tcPr>
            <w:tcW w:w="632" w:type="pct"/>
            <w:vMerge/>
            <w:shd w:val="clear" w:color="auto" w:fill="auto"/>
            <w:vAlign w:val="center"/>
          </w:tcPr>
          <w:p w:rsidR="00E70436" w:rsidRPr="006F393A" w:rsidRDefault="00E70436" w:rsidP="004A0D51">
            <w:pPr>
              <w:jc w:val="center"/>
              <w:rPr>
                <w:rFonts w:ascii="Arial Narrow" w:hAnsi="Arial Narrow"/>
                <w:sz w:val="20"/>
                <w:lang w:val="en-US"/>
              </w:rPr>
            </w:pPr>
          </w:p>
        </w:tc>
      </w:tr>
      <w:tr w:rsidR="00E70436" w:rsidRPr="006F393A" w:rsidTr="00A033B4">
        <w:tc>
          <w:tcPr>
            <w:tcW w:w="661" w:type="pct"/>
            <w:shd w:val="clear" w:color="auto" w:fill="auto"/>
            <w:vAlign w:val="center"/>
          </w:tcPr>
          <w:p w:rsidR="00E70436" w:rsidRPr="006F393A" w:rsidRDefault="00E70436" w:rsidP="004A0D51">
            <w:pPr>
              <w:jc w:val="left"/>
              <w:rPr>
                <w:rFonts w:ascii="Arial Narrow" w:hAnsi="Arial Narrow"/>
                <w:sz w:val="20"/>
                <w:lang w:val="en-US"/>
              </w:rPr>
            </w:pPr>
            <w:r w:rsidRPr="006F393A">
              <w:rPr>
                <w:rFonts w:ascii="Arial Narrow" w:hAnsi="Arial Narrow"/>
                <w:sz w:val="20"/>
                <w:lang w:val="en-US"/>
              </w:rPr>
              <w:t>Malachite II</w:t>
            </w:r>
          </w:p>
        </w:tc>
        <w:tc>
          <w:tcPr>
            <w:tcW w:w="386"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19</w:t>
            </w:r>
          </w:p>
        </w:tc>
        <w:tc>
          <w:tcPr>
            <w:tcW w:w="1066"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Single arm of R, OL</w:t>
            </w:r>
          </w:p>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48 weeks</w:t>
            </w:r>
          </w:p>
        </w:tc>
        <w:tc>
          <w:tcPr>
            <w:tcW w:w="803"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High/low</w:t>
            </w:r>
          </w:p>
        </w:tc>
        <w:tc>
          <w:tcPr>
            <w:tcW w:w="811"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 xml:space="preserve">GT1a treatment experienced non-cirrhotic </w:t>
            </w:r>
          </w:p>
        </w:tc>
        <w:tc>
          <w:tcPr>
            <w:tcW w:w="641"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SVR12</w:t>
            </w:r>
          </w:p>
        </w:tc>
        <w:tc>
          <w:tcPr>
            <w:tcW w:w="632" w:type="pct"/>
            <w:shd w:val="clear" w:color="auto" w:fill="auto"/>
            <w:vAlign w:val="center"/>
          </w:tcPr>
          <w:p w:rsidR="00E70436" w:rsidRPr="006F393A" w:rsidRDefault="00A033B4" w:rsidP="004A0D51">
            <w:pPr>
              <w:jc w:val="center"/>
              <w:rPr>
                <w:rFonts w:ascii="Arial Narrow" w:hAnsi="Arial Narrow"/>
                <w:sz w:val="20"/>
                <w:lang w:val="en-US"/>
              </w:rPr>
            </w:pPr>
            <w:r w:rsidRPr="006F393A">
              <w:rPr>
                <w:rFonts w:ascii="Arial Narrow" w:hAnsi="Arial Narrow"/>
                <w:sz w:val="20"/>
                <w:lang w:val="en-US"/>
              </w:rPr>
              <w:t>U</w:t>
            </w:r>
            <w:r w:rsidR="00E70436" w:rsidRPr="006F393A">
              <w:rPr>
                <w:rFonts w:ascii="Arial Narrow" w:hAnsi="Arial Narrow"/>
                <w:sz w:val="20"/>
                <w:lang w:val="en-US"/>
              </w:rPr>
              <w:t>sed</w:t>
            </w:r>
          </w:p>
        </w:tc>
      </w:tr>
      <w:tr w:rsidR="00E70436" w:rsidRPr="006F393A" w:rsidTr="00A033B4">
        <w:tc>
          <w:tcPr>
            <w:tcW w:w="661" w:type="pct"/>
            <w:shd w:val="clear" w:color="auto" w:fill="auto"/>
            <w:vAlign w:val="center"/>
          </w:tcPr>
          <w:p w:rsidR="00E70436" w:rsidRPr="006F393A" w:rsidRDefault="00E70436" w:rsidP="004A0D51">
            <w:pPr>
              <w:jc w:val="left"/>
              <w:rPr>
                <w:rFonts w:ascii="Arial Narrow" w:hAnsi="Arial Narrow"/>
                <w:sz w:val="20"/>
                <w:lang w:val="en-US"/>
              </w:rPr>
            </w:pPr>
            <w:r w:rsidRPr="006F393A">
              <w:rPr>
                <w:rFonts w:ascii="Arial Narrow" w:hAnsi="Arial Narrow"/>
                <w:sz w:val="20"/>
                <w:lang w:val="en-US"/>
              </w:rPr>
              <w:t>Sapphire I</w:t>
            </w:r>
          </w:p>
        </w:tc>
        <w:tc>
          <w:tcPr>
            <w:tcW w:w="386"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322</w:t>
            </w:r>
          </w:p>
        </w:tc>
        <w:tc>
          <w:tcPr>
            <w:tcW w:w="1066"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R, DB</w:t>
            </w:r>
          </w:p>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 xml:space="preserve">48 weeks </w:t>
            </w:r>
          </w:p>
        </w:tc>
        <w:tc>
          <w:tcPr>
            <w:tcW w:w="803"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High/low</w:t>
            </w:r>
          </w:p>
        </w:tc>
        <w:tc>
          <w:tcPr>
            <w:tcW w:w="811"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GT1a treatment-naïve non-cirrhotic</w:t>
            </w:r>
          </w:p>
        </w:tc>
        <w:tc>
          <w:tcPr>
            <w:tcW w:w="641"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SVR12</w:t>
            </w:r>
          </w:p>
        </w:tc>
        <w:tc>
          <w:tcPr>
            <w:tcW w:w="632"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Not used</w:t>
            </w:r>
          </w:p>
        </w:tc>
      </w:tr>
      <w:tr w:rsidR="00E70436" w:rsidRPr="006F393A" w:rsidTr="00A033B4">
        <w:tc>
          <w:tcPr>
            <w:tcW w:w="661" w:type="pct"/>
            <w:shd w:val="clear" w:color="auto" w:fill="auto"/>
            <w:vAlign w:val="center"/>
          </w:tcPr>
          <w:p w:rsidR="00E70436" w:rsidRPr="006F393A" w:rsidRDefault="00E70436" w:rsidP="004A0D51">
            <w:pPr>
              <w:jc w:val="left"/>
              <w:rPr>
                <w:rFonts w:ascii="Arial Narrow" w:hAnsi="Arial Narrow"/>
                <w:sz w:val="20"/>
                <w:lang w:val="en-US"/>
              </w:rPr>
            </w:pPr>
            <w:r w:rsidRPr="006F393A">
              <w:rPr>
                <w:rFonts w:ascii="Arial Narrow" w:hAnsi="Arial Narrow"/>
                <w:sz w:val="20"/>
                <w:lang w:val="en-US"/>
              </w:rPr>
              <w:t>Sapphire II</w:t>
            </w:r>
          </w:p>
        </w:tc>
        <w:tc>
          <w:tcPr>
            <w:tcW w:w="386"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173</w:t>
            </w:r>
          </w:p>
        </w:tc>
        <w:tc>
          <w:tcPr>
            <w:tcW w:w="1066"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R,DB</w:t>
            </w:r>
          </w:p>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48 weeks</w:t>
            </w:r>
          </w:p>
        </w:tc>
        <w:tc>
          <w:tcPr>
            <w:tcW w:w="803"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High/low</w:t>
            </w:r>
          </w:p>
        </w:tc>
        <w:tc>
          <w:tcPr>
            <w:tcW w:w="811"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GT1a treatment-experienced, non-cirrhotic</w:t>
            </w:r>
          </w:p>
        </w:tc>
        <w:tc>
          <w:tcPr>
            <w:tcW w:w="641"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SVR12</w:t>
            </w:r>
          </w:p>
        </w:tc>
        <w:tc>
          <w:tcPr>
            <w:tcW w:w="632"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Not used</w:t>
            </w:r>
          </w:p>
        </w:tc>
      </w:tr>
      <w:tr w:rsidR="00E70436" w:rsidRPr="006F393A" w:rsidTr="00A033B4">
        <w:trPr>
          <w:trHeight w:val="118"/>
        </w:trPr>
        <w:tc>
          <w:tcPr>
            <w:tcW w:w="661" w:type="pct"/>
            <w:vMerge w:val="restart"/>
            <w:shd w:val="clear" w:color="auto" w:fill="auto"/>
            <w:vAlign w:val="center"/>
          </w:tcPr>
          <w:p w:rsidR="00E70436" w:rsidRPr="006F393A" w:rsidRDefault="00E70436" w:rsidP="004A0D51">
            <w:pPr>
              <w:jc w:val="left"/>
              <w:rPr>
                <w:rFonts w:ascii="Arial Narrow" w:hAnsi="Arial Narrow"/>
                <w:sz w:val="20"/>
                <w:lang w:val="en-US"/>
              </w:rPr>
            </w:pPr>
            <w:r w:rsidRPr="006F393A">
              <w:rPr>
                <w:rFonts w:ascii="Arial Narrow" w:hAnsi="Arial Narrow"/>
                <w:sz w:val="20"/>
                <w:lang w:val="en-US"/>
              </w:rPr>
              <w:t>Turquoise II</w:t>
            </w:r>
          </w:p>
        </w:tc>
        <w:tc>
          <w:tcPr>
            <w:tcW w:w="386"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74</w:t>
            </w:r>
          </w:p>
        </w:tc>
        <w:tc>
          <w:tcPr>
            <w:tcW w:w="1066" w:type="pct"/>
            <w:vMerge w:val="restar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Single arm of R, OL</w:t>
            </w:r>
          </w:p>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48 weeks</w:t>
            </w:r>
          </w:p>
        </w:tc>
        <w:tc>
          <w:tcPr>
            <w:tcW w:w="803" w:type="pct"/>
            <w:vMerge w:val="restar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High/low</w:t>
            </w:r>
          </w:p>
        </w:tc>
        <w:tc>
          <w:tcPr>
            <w:tcW w:w="811"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GT1a treatment-naïve cirrhotic</w:t>
            </w:r>
          </w:p>
        </w:tc>
        <w:tc>
          <w:tcPr>
            <w:tcW w:w="641" w:type="pct"/>
            <w:vMerge w:val="restar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SVR12</w:t>
            </w:r>
          </w:p>
        </w:tc>
        <w:tc>
          <w:tcPr>
            <w:tcW w:w="632" w:type="pct"/>
            <w:vMerge w:val="restart"/>
            <w:shd w:val="clear" w:color="auto" w:fill="auto"/>
            <w:vAlign w:val="center"/>
          </w:tcPr>
          <w:p w:rsidR="00E70436" w:rsidRPr="006F393A" w:rsidRDefault="00A033B4" w:rsidP="004A0D51">
            <w:pPr>
              <w:jc w:val="center"/>
              <w:rPr>
                <w:rFonts w:ascii="Arial Narrow" w:hAnsi="Arial Narrow"/>
                <w:sz w:val="20"/>
                <w:lang w:val="en-US"/>
              </w:rPr>
            </w:pPr>
            <w:r w:rsidRPr="006F393A">
              <w:rPr>
                <w:rFonts w:ascii="Arial Narrow" w:hAnsi="Arial Narrow"/>
                <w:sz w:val="20"/>
                <w:lang w:val="en-US"/>
              </w:rPr>
              <w:t>U</w:t>
            </w:r>
            <w:r w:rsidR="00E70436" w:rsidRPr="006F393A">
              <w:rPr>
                <w:rFonts w:ascii="Arial Narrow" w:hAnsi="Arial Narrow"/>
                <w:sz w:val="20"/>
                <w:lang w:val="en-US"/>
              </w:rPr>
              <w:t>sed</w:t>
            </w:r>
          </w:p>
        </w:tc>
      </w:tr>
      <w:tr w:rsidR="00E70436" w:rsidRPr="006F393A" w:rsidTr="00A033B4">
        <w:trPr>
          <w:trHeight w:val="115"/>
        </w:trPr>
        <w:tc>
          <w:tcPr>
            <w:tcW w:w="661" w:type="pct"/>
            <w:vMerge/>
            <w:shd w:val="clear" w:color="auto" w:fill="auto"/>
            <w:vAlign w:val="center"/>
          </w:tcPr>
          <w:p w:rsidR="00E70436" w:rsidRPr="006F393A" w:rsidRDefault="00E70436" w:rsidP="004A0D51">
            <w:pPr>
              <w:jc w:val="left"/>
              <w:rPr>
                <w:rFonts w:ascii="Arial Narrow" w:hAnsi="Arial Narrow"/>
                <w:sz w:val="20"/>
                <w:lang w:val="en-US"/>
              </w:rPr>
            </w:pPr>
          </w:p>
        </w:tc>
        <w:tc>
          <w:tcPr>
            <w:tcW w:w="386"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22</w:t>
            </w:r>
          </w:p>
        </w:tc>
        <w:tc>
          <w:tcPr>
            <w:tcW w:w="1066" w:type="pct"/>
            <w:vMerge/>
            <w:shd w:val="clear" w:color="auto" w:fill="auto"/>
            <w:vAlign w:val="center"/>
          </w:tcPr>
          <w:p w:rsidR="00E70436" w:rsidRPr="006F393A" w:rsidRDefault="00E70436" w:rsidP="004A0D51">
            <w:pPr>
              <w:jc w:val="center"/>
              <w:rPr>
                <w:rFonts w:ascii="Arial Narrow" w:hAnsi="Arial Narrow"/>
                <w:sz w:val="20"/>
                <w:lang w:val="en-US"/>
              </w:rPr>
            </w:pPr>
          </w:p>
        </w:tc>
        <w:tc>
          <w:tcPr>
            <w:tcW w:w="803" w:type="pct"/>
            <w:vMerge/>
            <w:shd w:val="clear" w:color="auto" w:fill="auto"/>
            <w:vAlign w:val="center"/>
          </w:tcPr>
          <w:p w:rsidR="00E70436" w:rsidRPr="006F393A" w:rsidRDefault="00E70436" w:rsidP="004A0D51">
            <w:pPr>
              <w:jc w:val="center"/>
              <w:rPr>
                <w:rFonts w:ascii="Arial Narrow" w:hAnsi="Arial Narrow"/>
                <w:sz w:val="20"/>
                <w:lang w:val="en-US"/>
              </w:rPr>
            </w:pPr>
          </w:p>
        </w:tc>
        <w:tc>
          <w:tcPr>
            <w:tcW w:w="811"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GT1b treatment-naïve cirrhotic</w:t>
            </w:r>
          </w:p>
        </w:tc>
        <w:tc>
          <w:tcPr>
            <w:tcW w:w="641" w:type="pct"/>
            <w:vMerge/>
            <w:shd w:val="clear" w:color="auto" w:fill="auto"/>
            <w:vAlign w:val="center"/>
          </w:tcPr>
          <w:p w:rsidR="00E70436" w:rsidRPr="006F393A" w:rsidRDefault="00E70436" w:rsidP="004A0D51">
            <w:pPr>
              <w:jc w:val="center"/>
              <w:rPr>
                <w:rFonts w:ascii="Arial Narrow" w:hAnsi="Arial Narrow"/>
                <w:sz w:val="20"/>
                <w:lang w:val="en-US"/>
              </w:rPr>
            </w:pPr>
          </w:p>
        </w:tc>
        <w:tc>
          <w:tcPr>
            <w:tcW w:w="632" w:type="pct"/>
            <w:vMerge/>
            <w:shd w:val="clear" w:color="auto" w:fill="auto"/>
            <w:vAlign w:val="center"/>
          </w:tcPr>
          <w:p w:rsidR="00E70436" w:rsidRPr="006F393A" w:rsidRDefault="00E70436" w:rsidP="004A0D51">
            <w:pPr>
              <w:jc w:val="center"/>
              <w:rPr>
                <w:rFonts w:ascii="Arial Narrow" w:hAnsi="Arial Narrow"/>
                <w:sz w:val="20"/>
                <w:lang w:val="en-US"/>
              </w:rPr>
            </w:pPr>
          </w:p>
        </w:tc>
      </w:tr>
      <w:tr w:rsidR="00E70436" w:rsidRPr="006F393A" w:rsidTr="00A033B4">
        <w:trPr>
          <w:trHeight w:val="115"/>
        </w:trPr>
        <w:tc>
          <w:tcPr>
            <w:tcW w:w="661" w:type="pct"/>
            <w:vMerge/>
            <w:shd w:val="clear" w:color="auto" w:fill="auto"/>
            <w:vAlign w:val="center"/>
          </w:tcPr>
          <w:p w:rsidR="00E70436" w:rsidRPr="006F393A" w:rsidRDefault="00E70436" w:rsidP="004A0D51">
            <w:pPr>
              <w:jc w:val="left"/>
              <w:rPr>
                <w:rFonts w:ascii="Arial Narrow" w:hAnsi="Arial Narrow"/>
                <w:sz w:val="20"/>
                <w:lang w:val="en-US"/>
              </w:rPr>
            </w:pPr>
          </w:p>
        </w:tc>
        <w:tc>
          <w:tcPr>
            <w:tcW w:w="386"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26</w:t>
            </w:r>
          </w:p>
        </w:tc>
        <w:tc>
          <w:tcPr>
            <w:tcW w:w="1066" w:type="pct"/>
            <w:vMerge/>
            <w:shd w:val="clear" w:color="auto" w:fill="auto"/>
            <w:vAlign w:val="center"/>
          </w:tcPr>
          <w:p w:rsidR="00E70436" w:rsidRPr="006F393A" w:rsidRDefault="00E70436" w:rsidP="004A0D51">
            <w:pPr>
              <w:jc w:val="center"/>
              <w:rPr>
                <w:rFonts w:ascii="Arial Narrow" w:hAnsi="Arial Narrow"/>
                <w:sz w:val="20"/>
                <w:lang w:val="en-US"/>
              </w:rPr>
            </w:pPr>
          </w:p>
        </w:tc>
        <w:tc>
          <w:tcPr>
            <w:tcW w:w="803" w:type="pct"/>
            <w:vMerge/>
            <w:shd w:val="clear" w:color="auto" w:fill="auto"/>
            <w:vAlign w:val="center"/>
          </w:tcPr>
          <w:p w:rsidR="00E70436" w:rsidRPr="006F393A" w:rsidRDefault="00E70436" w:rsidP="004A0D51">
            <w:pPr>
              <w:jc w:val="center"/>
              <w:rPr>
                <w:rFonts w:ascii="Arial Narrow" w:hAnsi="Arial Narrow"/>
                <w:sz w:val="20"/>
                <w:lang w:val="en-US"/>
              </w:rPr>
            </w:pPr>
          </w:p>
        </w:tc>
        <w:tc>
          <w:tcPr>
            <w:tcW w:w="811"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GT1a treatment-experienced cirrhotic</w:t>
            </w:r>
          </w:p>
        </w:tc>
        <w:tc>
          <w:tcPr>
            <w:tcW w:w="641" w:type="pct"/>
            <w:vMerge/>
            <w:shd w:val="clear" w:color="auto" w:fill="auto"/>
            <w:vAlign w:val="center"/>
          </w:tcPr>
          <w:p w:rsidR="00E70436" w:rsidRPr="006F393A" w:rsidRDefault="00E70436" w:rsidP="004A0D51">
            <w:pPr>
              <w:jc w:val="center"/>
              <w:rPr>
                <w:rFonts w:ascii="Arial Narrow" w:hAnsi="Arial Narrow"/>
                <w:sz w:val="20"/>
                <w:lang w:val="en-US"/>
              </w:rPr>
            </w:pPr>
          </w:p>
        </w:tc>
        <w:tc>
          <w:tcPr>
            <w:tcW w:w="632" w:type="pct"/>
            <w:vMerge/>
            <w:shd w:val="clear" w:color="auto" w:fill="auto"/>
            <w:vAlign w:val="center"/>
          </w:tcPr>
          <w:p w:rsidR="00E70436" w:rsidRPr="006F393A" w:rsidRDefault="00E70436" w:rsidP="004A0D51">
            <w:pPr>
              <w:jc w:val="center"/>
              <w:rPr>
                <w:rFonts w:ascii="Arial Narrow" w:hAnsi="Arial Narrow"/>
                <w:sz w:val="20"/>
                <w:lang w:val="en-US"/>
              </w:rPr>
            </w:pPr>
          </w:p>
        </w:tc>
      </w:tr>
      <w:tr w:rsidR="00E70436" w:rsidRPr="006F393A" w:rsidTr="00A033B4">
        <w:trPr>
          <w:trHeight w:val="115"/>
        </w:trPr>
        <w:tc>
          <w:tcPr>
            <w:tcW w:w="661" w:type="pct"/>
            <w:vMerge/>
            <w:shd w:val="clear" w:color="auto" w:fill="auto"/>
            <w:vAlign w:val="center"/>
          </w:tcPr>
          <w:p w:rsidR="00E70436" w:rsidRPr="006F393A" w:rsidRDefault="00E70436" w:rsidP="004A0D51">
            <w:pPr>
              <w:jc w:val="left"/>
              <w:rPr>
                <w:rFonts w:ascii="Arial Narrow" w:hAnsi="Arial Narrow"/>
                <w:sz w:val="20"/>
                <w:lang w:val="en-US"/>
              </w:rPr>
            </w:pPr>
          </w:p>
        </w:tc>
        <w:tc>
          <w:tcPr>
            <w:tcW w:w="386"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46</w:t>
            </w:r>
          </w:p>
        </w:tc>
        <w:tc>
          <w:tcPr>
            <w:tcW w:w="1066" w:type="pct"/>
            <w:vMerge/>
            <w:shd w:val="clear" w:color="auto" w:fill="auto"/>
            <w:vAlign w:val="center"/>
          </w:tcPr>
          <w:p w:rsidR="00E70436" w:rsidRPr="006F393A" w:rsidRDefault="00E70436" w:rsidP="004A0D51">
            <w:pPr>
              <w:jc w:val="center"/>
              <w:rPr>
                <w:rFonts w:ascii="Arial Narrow" w:hAnsi="Arial Narrow"/>
                <w:sz w:val="20"/>
                <w:lang w:val="en-US"/>
              </w:rPr>
            </w:pPr>
          </w:p>
        </w:tc>
        <w:tc>
          <w:tcPr>
            <w:tcW w:w="803" w:type="pct"/>
            <w:vMerge/>
            <w:shd w:val="clear" w:color="auto" w:fill="auto"/>
            <w:vAlign w:val="center"/>
          </w:tcPr>
          <w:p w:rsidR="00E70436" w:rsidRPr="006F393A" w:rsidRDefault="00E70436" w:rsidP="004A0D51">
            <w:pPr>
              <w:jc w:val="center"/>
              <w:rPr>
                <w:rFonts w:ascii="Arial Narrow" w:hAnsi="Arial Narrow"/>
                <w:sz w:val="20"/>
                <w:lang w:val="en-US"/>
              </w:rPr>
            </w:pPr>
          </w:p>
        </w:tc>
        <w:tc>
          <w:tcPr>
            <w:tcW w:w="811"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GT1b treatment-experienced cirrhotic</w:t>
            </w:r>
          </w:p>
        </w:tc>
        <w:tc>
          <w:tcPr>
            <w:tcW w:w="641" w:type="pct"/>
            <w:vMerge/>
            <w:shd w:val="clear" w:color="auto" w:fill="auto"/>
            <w:vAlign w:val="center"/>
          </w:tcPr>
          <w:p w:rsidR="00E70436" w:rsidRPr="006F393A" w:rsidRDefault="00E70436" w:rsidP="004A0D51">
            <w:pPr>
              <w:jc w:val="center"/>
              <w:rPr>
                <w:rFonts w:ascii="Arial Narrow" w:hAnsi="Arial Narrow"/>
                <w:sz w:val="20"/>
                <w:lang w:val="en-US"/>
              </w:rPr>
            </w:pPr>
          </w:p>
        </w:tc>
        <w:tc>
          <w:tcPr>
            <w:tcW w:w="632" w:type="pct"/>
            <w:vMerge/>
            <w:shd w:val="clear" w:color="auto" w:fill="auto"/>
            <w:vAlign w:val="center"/>
          </w:tcPr>
          <w:p w:rsidR="00E70436" w:rsidRPr="006F393A" w:rsidRDefault="00E70436" w:rsidP="004A0D51">
            <w:pPr>
              <w:jc w:val="center"/>
              <w:rPr>
                <w:rFonts w:ascii="Arial Narrow" w:hAnsi="Arial Narrow"/>
                <w:sz w:val="20"/>
                <w:lang w:val="en-US"/>
              </w:rPr>
            </w:pPr>
          </w:p>
        </w:tc>
      </w:tr>
      <w:tr w:rsidR="00E70436" w:rsidRPr="006F393A" w:rsidTr="00A033B4">
        <w:tc>
          <w:tcPr>
            <w:tcW w:w="661" w:type="pct"/>
            <w:shd w:val="clear" w:color="auto" w:fill="auto"/>
            <w:vAlign w:val="center"/>
          </w:tcPr>
          <w:p w:rsidR="00E70436" w:rsidRPr="006F393A" w:rsidRDefault="00E70436" w:rsidP="004A0D51">
            <w:pPr>
              <w:jc w:val="left"/>
              <w:rPr>
                <w:rFonts w:ascii="Arial Narrow" w:hAnsi="Arial Narrow"/>
                <w:sz w:val="20"/>
                <w:lang w:val="en-US"/>
              </w:rPr>
            </w:pPr>
            <w:r w:rsidRPr="006F393A">
              <w:rPr>
                <w:rFonts w:ascii="Arial Narrow" w:hAnsi="Arial Narrow"/>
                <w:sz w:val="20"/>
                <w:lang w:val="en-US"/>
              </w:rPr>
              <w:t>Pearl II</w:t>
            </w:r>
          </w:p>
        </w:tc>
        <w:tc>
          <w:tcPr>
            <w:tcW w:w="386"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91</w:t>
            </w:r>
          </w:p>
        </w:tc>
        <w:tc>
          <w:tcPr>
            <w:tcW w:w="1066"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Single arm of R, OL</w:t>
            </w:r>
          </w:p>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48 weeks</w:t>
            </w:r>
          </w:p>
        </w:tc>
        <w:tc>
          <w:tcPr>
            <w:tcW w:w="803"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High/low</w:t>
            </w:r>
          </w:p>
        </w:tc>
        <w:tc>
          <w:tcPr>
            <w:tcW w:w="811"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 xml:space="preserve">GT1b treatment-experienced, non-cirrhotic </w:t>
            </w:r>
          </w:p>
        </w:tc>
        <w:tc>
          <w:tcPr>
            <w:tcW w:w="641"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SVR12</w:t>
            </w:r>
          </w:p>
        </w:tc>
        <w:tc>
          <w:tcPr>
            <w:tcW w:w="632"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Not used</w:t>
            </w:r>
          </w:p>
        </w:tc>
      </w:tr>
      <w:tr w:rsidR="00E70436" w:rsidRPr="006F393A" w:rsidTr="00A033B4">
        <w:tc>
          <w:tcPr>
            <w:tcW w:w="661" w:type="pct"/>
            <w:shd w:val="clear" w:color="auto" w:fill="auto"/>
            <w:vAlign w:val="center"/>
          </w:tcPr>
          <w:p w:rsidR="00E70436" w:rsidRPr="006F393A" w:rsidRDefault="00E70436" w:rsidP="004A0D51">
            <w:pPr>
              <w:jc w:val="left"/>
              <w:rPr>
                <w:rFonts w:ascii="Arial Narrow" w:hAnsi="Arial Narrow"/>
                <w:sz w:val="20"/>
                <w:lang w:val="en-US"/>
              </w:rPr>
            </w:pPr>
            <w:r w:rsidRPr="006F393A">
              <w:rPr>
                <w:rFonts w:ascii="Arial Narrow" w:hAnsi="Arial Narrow"/>
                <w:sz w:val="20"/>
                <w:lang w:val="en-US"/>
              </w:rPr>
              <w:t>Pearl III</w:t>
            </w:r>
          </w:p>
        </w:tc>
        <w:tc>
          <w:tcPr>
            <w:tcW w:w="386"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209</w:t>
            </w:r>
          </w:p>
        </w:tc>
        <w:tc>
          <w:tcPr>
            <w:tcW w:w="1066"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R, DB</w:t>
            </w:r>
          </w:p>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48 weeks</w:t>
            </w:r>
          </w:p>
        </w:tc>
        <w:tc>
          <w:tcPr>
            <w:tcW w:w="803"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High/low</w:t>
            </w:r>
          </w:p>
        </w:tc>
        <w:tc>
          <w:tcPr>
            <w:tcW w:w="811"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GT1b treatment-naïve non-cirrhotic</w:t>
            </w:r>
          </w:p>
        </w:tc>
        <w:tc>
          <w:tcPr>
            <w:tcW w:w="641"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SVR12</w:t>
            </w:r>
          </w:p>
        </w:tc>
        <w:tc>
          <w:tcPr>
            <w:tcW w:w="632"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Not used</w:t>
            </w:r>
          </w:p>
        </w:tc>
      </w:tr>
      <w:tr w:rsidR="00E70436" w:rsidRPr="006F393A" w:rsidTr="00A033B4">
        <w:tc>
          <w:tcPr>
            <w:tcW w:w="661" w:type="pct"/>
            <w:shd w:val="clear" w:color="auto" w:fill="auto"/>
            <w:vAlign w:val="center"/>
          </w:tcPr>
          <w:p w:rsidR="00E70436" w:rsidRPr="006F393A" w:rsidRDefault="00E70436" w:rsidP="004A0D51">
            <w:pPr>
              <w:jc w:val="left"/>
              <w:rPr>
                <w:rFonts w:ascii="Arial Narrow" w:hAnsi="Arial Narrow"/>
                <w:sz w:val="20"/>
                <w:lang w:val="en-US"/>
              </w:rPr>
            </w:pPr>
            <w:r w:rsidRPr="006F393A">
              <w:rPr>
                <w:rFonts w:ascii="Arial Narrow" w:hAnsi="Arial Narrow"/>
                <w:sz w:val="20"/>
                <w:lang w:val="en-US"/>
              </w:rPr>
              <w:t>Pearl IV</w:t>
            </w:r>
          </w:p>
        </w:tc>
        <w:tc>
          <w:tcPr>
            <w:tcW w:w="386"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100</w:t>
            </w:r>
          </w:p>
        </w:tc>
        <w:tc>
          <w:tcPr>
            <w:tcW w:w="1066"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 xml:space="preserve">R, DB </w:t>
            </w:r>
          </w:p>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48 weeks</w:t>
            </w:r>
          </w:p>
        </w:tc>
        <w:tc>
          <w:tcPr>
            <w:tcW w:w="803"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High/low</w:t>
            </w:r>
          </w:p>
        </w:tc>
        <w:tc>
          <w:tcPr>
            <w:tcW w:w="811"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GT1a treatment-naïve non-cirrhotic</w:t>
            </w:r>
          </w:p>
        </w:tc>
        <w:tc>
          <w:tcPr>
            <w:tcW w:w="641"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SVR12</w:t>
            </w:r>
          </w:p>
        </w:tc>
        <w:tc>
          <w:tcPr>
            <w:tcW w:w="632"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Not used</w:t>
            </w:r>
          </w:p>
        </w:tc>
      </w:tr>
      <w:tr w:rsidR="00E70436" w:rsidRPr="006F393A" w:rsidTr="004A0D51">
        <w:tc>
          <w:tcPr>
            <w:tcW w:w="5000" w:type="pct"/>
            <w:gridSpan w:val="7"/>
            <w:shd w:val="clear" w:color="auto" w:fill="auto"/>
            <w:vAlign w:val="center"/>
          </w:tcPr>
          <w:p w:rsidR="00E70436" w:rsidRPr="006F393A" w:rsidRDefault="00CA41EC" w:rsidP="004A0D51">
            <w:pPr>
              <w:jc w:val="left"/>
              <w:rPr>
                <w:rFonts w:ascii="Arial Narrow" w:hAnsi="Arial Narrow"/>
                <w:sz w:val="20"/>
                <w:lang w:val="en-US"/>
              </w:rPr>
            </w:pPr>
            <w:r w:rsidRPr="006F393A">
              <w:rPr>
                <w:rFonts w:ascii="Arial Narrow" w:hAnsi="Arial Narrow"/>
                <w:sz w:val="20"/>
                <w:lang w:val="en-US"/>
              </w:rPr>
              <w:t>LDV/SOF</w:t>
            </w:r>
          </w:p>
        </w:tc>
      </w:tr>
      <w:tr w:rsidR="00E70436" w:rsidRPr="006F393A" w:rsidTr="00A033B4">
        <w:tc>
          <w:tcPr>
            <w:tcW w:w="661" w:type="pct"/>
            <w:shd w:val="clear" w:color="auto" w:fill="auto"/>
            <w:vAlign w:val="center"/>
          </w:tcPr>
          <w:p w:rsidR="00E70436" w:rsidRPr="006F393A" w:rsidRDefault="00E70436" w:rsidP="004A0D51">
            <w:pPr>
              <w:jc w:val="left"/>
              <w:rPr>
                <w:rFonts w:ascii="Arial Narrow" w:hAnsi="Arial Narrow"/>
                <w:sz w:val="20"/>
                <w:lang w:val="en-US"/>
              </w:rPr>
            </w:pPr>
            <w:r w:rsidRPr="006F393A">
              <w:rPr>
                <w:rFonts w:ascii="Arial Narrow" w:hAnsi="Arial Narrow"/>
                <w:sz w:val="20"/>
                <w:lang w:val="en-US"/>
              </w:rPr>
              <w:t>ION-1</w:t>
            </w:r>
          </w:p>
          <w:p w:rsidR="00E70436" w:rsidRPr="006F393A" w:rsidRDefault="00E70436" w:rsidP="004A0D51">
            <w:pPr>
              <w:jc w:val="left"/>
              <w:rPr>
                <w:rFonts w:ascii="Arial Narrow" w:hAnsi="Arial Narrow"/>
                <w:sz w:val="20"/>
                <w:lang w:val="en-US"/>
              </w:rPr>
            </w:pPr>
          </w:p>
          <w:p w:rsidR="00E70436" w:rsidRPr="006F393A" w:rsidRDefault="00E70436" w:rsidP="004A0D51">
            <w:pPr>
              <w:jc w:val="left"/>
              <w:rPr>
                <w:rFonts w:ascii="Arial Narrow" w:hAnsi="Arial Narrow"/>
                <w:sz w:val="20"/>
                <w:lang w:val="en-US"/>
              </w:rPr>
            </w:pPr>
            <w:r w:rsidRPr="006F393A">
              <w:rPr>
                <w:rFonts w:ascii="Arial Narrow" w:hAnsi="Arial Narrow"/>
                <w:sz w:val="20"/>
                <w:lang w:val="en-US"/>
              </w:rPr>
              <w:t>LDV/SOF 12 weeks</w:t>
            </w:r>
          </w:p>
        </w:tc>
        <w:tc>
          <w:tcPr>
            <w:tcW w:w="386"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34</w:t>
            </w:r>
          </w:p>
        </w:tc>
        <w:tc>
          <w:tcPr>
            <w:tcW w:w="1066"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Single arm of R, OL</w:t>
            </w:r>
          </w:p>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12 weeks post treatment</w:t>
            </w:r>
          </w:p>
        </w:tc>
        <w:tc>
          <w:tcPr>
            <w:tcW w:w="803"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High/unclear</w:t>
            </w:r>
          </w:p>
        </w:tc>
        <w:tc>
          <w:tcPr>
            <w:tcW w:w="811"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Treatment-naïve cirrhotic</w:t>
            </w:r>
          </w:p>
        </w:tc>
        <w:tc>
          <w:tcPr>
            <w:tcW w:w="641"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SVR12</w:t>
            </w:r>
          </w:p>
        </w:tc>
        <w:tc>
          <w:tcPr>
            <w:tcW w:w="632"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N/A</w:t>
            </w:r>
          </w:p>
        </w:tc>
      </w:tr>
      <w:tr w:rsidR="00E70436" w:rsidRPr="006F393A" w:rsidTr="00A033B4">
        <w:tc>
          <w:tcPr>
            <w:tcW w:w="661" w:type="pct"/>
            <w:shd w:val="clear" w:color="auto" w:fill="auto"/>
            <w:vAlign w:val="center"/>
          </w:tcPr>
          <w:p w:rsidR="00E70436" w:rsidRPr="006F393A" w:rsidRDefault="00E70436" w:rsidP="004A0D51">
            <w:pPr>
              <w:jc w:val="left"/>
              <w:rPr>
                <w:rFonts w:ascii="Arial Narrow" w:hAnsi="Arial Narrow"/>
                <w:sz w:val="20"/>
                <w:lang w:val="en-US"/>
              </w:rPr>
            </w:pPr>
            <w:r w:rsidRPr="006F393A">
              <w:rPr>
                <w:rFonts w:ascii="Arial Narrow" w:hAnsi="Arial Narrow"/>
                <w:sz w:val="20"/>
                <w:lang w:val="en-US"/>
              </w:rPr>
              <w:t xml:space="preserve">ION-3 </w:t>
            </w:r>
          </w:p>
          <w:p w:rsidR="00E70436" w:rsidRPr="006F393A" w:rsidRDefault="00E70436" w:rsidP="004A0D51">
            <w:pPr>
              <w:jc w:val="left"/>
              <w:rPr>
                <w:rFonts w:ascii="Arial Narrow" w:hAnsi="Arial Narrow"/>
                <w:sz w:val="20"/>
                <w:lang w:val="en-US"/>
              </w:rPr>
            </w:pPr>
          </w:p>
          <w:p w:rsidR="00E70436" w:rsidRPr="006F393A" w:rsidRDefault="00E70436" w:rsidP="004A0D51">
            <w:pPr>
              <w:jc w:val="left"/>
              <w:rPr>
                <w:rFonts w:ascii="Arial Narrow" w:hAnsi="Arial Narrow"/>
                <w:sz w:val="20"/>
                <w:lang w:val="en-US"/>
              </w:rPr>
            </w:pPr>
            <w:r w:rsidRPr="006F393A">
              <w:rPr>
                <w:rFonts w:ascii="Arial Narrow" w:hAnsi="Arial Narrow"/>
                <w:sz w:val="20"/>
                <w:lang w:val="en-US"/>
              </w:rPr>
              <w:t>LDV/SOF 8 weeks</w:t>
            </w:r>
          </w:p>
        </w:tc>
        <w:tc>
          <w:tcPr>
            <w:tcW w:w="386"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215</w:t>
            </w:r>
          </w:p>
        </w:tc>
        <w:tc>
          <w:tcPr>
            <w:tcW w:w="1066"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Single arm of R, OL</w:t>
            </w:r>
          </w:p>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12 weeks post treatment</w:t>
            </w:r>
          </w:p>
        </w:tc>
        <w:tc>
          <w:tcPr>
            <w:tcW w:w="803"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High/unclear</w:t>
            </w:r>
          </w:p>
        </w:tc>
        <w:tc>
          <w:tcPr>
            <w:tcW w:w="811"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Treatment-naïve, non-cirrhotic</w:t>
            </w:r>
          </w:p>
        </w:tc>
        <w:tc>
          <w:tcPr>
            <w:tcW w:w="641"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SVR12</w:t>
            </w:r>
          </w:p>
        </w:tc>
        <w:tc>
          <w:tcPr>
            <w:tcW w:w="632"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N/A</w:t>
            </w:r>
          </w:p>
        </w:tc>
      </w:tr>
      <w:tr w:rsidR="00E70436" w:rsidRPr="006F393A" w:rsidTr="00A033B4">
        <w:tc>
          <w:tcPr>
            <w:tcW w:w="661" w:type="pct"/>
            <w:shd w:val="clear" w:color="auto" w:fill="auto"/>
            <w:vAlign w:val="center"/>
          </w:tcPr>
          <w:p w:rsidR="00E70436" w:rsidRPr="006F393A" w:rsidRDefault="00E70436" w:rsidP="004A0D51">
            <w:pPr>
              <w:jc w:val="left"/>
              <w:rPr>
                <w:rFonts w:ascii="Arial Narrow" w:hAnsi="Arial Narrow"/>
                <w:sz w:val="20"/>
                <w:lang w:val="en-US"/>
              </w:rPr>
            </w:pPr>
            <w:r w:rsidRPr="006F393A">
              <w:rPr>
                <w:rFonts w:ascii="Arial Narrow" w:hAnsi="Arial Narrow"/>
                <w:sz w:val="20"/>
                <w:lang w:val="en-US"/>
              </w:rPr>
              <w:t>ION-2</w:t>
            </w:r>
          </w:p>
          <w:p w:rsidR="00E70436" w:rsidRPr="006F393A" w:rsidRDefault="00E70436" w:rsidP="004A0D51">
            <w:pPr>
              <w:jc w:val="left"/>
              <w:rPr>
                <w:rFonts w:ascii="Arial Narrow" w:hAnsi="Arial Narrow"/>
                <w:sz w:val="20"/>
                <w:lang w:val="en-US"/>
              </w:rPr>
            </w:pPr>
          </w:p>
          <w:p w:rsidR="00E70436" w:rsidRPr="006F393A" w:rsidRDefault="00E70436" w:rsidP="004A0D51">
            <w:pPr>
              <w:jc w:val="left"/>
              <w:rPr>
                <w:rFonts w:ascii="Arial Narrow" w:hAnsi="Arial Narrow"/>
                <w:sz w:val="20"/>
                <w:lang w:val="en-US"/>
              </w:rPr>
            </w:pPr>
            <w:r w:rsidRPr="006F393A">
              <w:rPr>
                <w:rFonts w:ascii="Arial Narrow" w:hAnsi="Arial Narrow"/>
                <w:sz w:val="20"/>
                <w:lang w:val="en-US"/>
              </w:rPr>
              <w:t>LDV/SOF 12 weeks</w:t>
            </w:r>
          </w:p>
        </w:tc>
        <w:tc>
          <w:tcPr>
            <w:tcW w:w="386"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109</w:t>
            </w:r>
          </w:p>
        </w:tc>
        <w:tc>
          <w:tcPr>
            <w:tcW w:w="1066"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Single arm of R, OL</w:t>
            </w:r>
          </w:p>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12 weeks post treatment</w:t>
            </w:r>
          </w:p>
        </w:tc>
        <w:tc>
          <w:tcPr>
            <w:tcW w:w="803"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High/unclear</w:t>
            </w:r>
          </w:p>
        </w:tc>
        <w:tc>
          <w:tcPr>
            <w:tcW w:w="811"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Treatment-experienced (both non-cirrhotic and cirrhotic)</w:t>
            </w:r>
          </w:p>
        </w:tc>
        <w:tc>
          <w:tcPr>
            <w:tcW w:w="641"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SVR12</w:t>
            </w:r>
          </w:p>
        </w:tc>
        <w:tc>
          <w:tcPr>
            <w:tcW w:w="632" w:type="pct"/>
            <w:shd w:val="clear" w:color="auto" w:fill="auto"/>
            <w:vAlign w:val="center"/>
          </w:tcPr>
          <w:p w:rsidR="00E70436" w:rsidRPr="006F393A" w:rsidRDefault="00E70436" w:rsidP="004A0D51">
            <w:pPr>
              <w:jc w:val="center"/>
              <w:rPr>
                <w:rFonts w:ascii="Arial Narrow" w:hAnsi="Arial Narrow"/>
                <w:sz w:val="20"/>
                <w:lang w:val="en-US"/>
              </w:rPr>
            </w:pPr>
            <w:r w:rsidRPr="006F393A">
              <w:rPr>
                <w:rFonts w:ascii="Arial Narrow" w:hAnsi="Arial Narrow"/>
                <w:sz w:val="20"/>
                <w:lang w:val="en-US"/>
              </w:rPr>
              <w:t>N/A</w:t>
            </w:r>
          </w:p>
        </w:tc>
      </w:tr>
    </w:tbl>
    <w:p w:rsidR="00E70436" w:rsidRPr="006F393A" w:rsidRDefault="00A033B4" w:rsidP="00A033B4">
      <w:pPr>
        <w:pStyle w:val="TableFooter"/>
        <w:ind w:left="720"/>
        <w:rPr>
          <w:szCs w:val="18"/>
        </w:rPr>
      </w:pPr>
      <w:proofErr w:type="gramStart"/>
      <w:r w:rsidRPr="006F393A">
        <w:rPr>
          <w:szCs w:val="18"/>
          <w:vertAlign w:val="superscript"/>
        </w:rPr>
        <w:t>a</w:t>
      </w:r>
      <w:proofErr w:type="gramEnd"/>
      <w:r w:rsidRPr="006F393A">
        <w:rPr>
          <w:szCs w:val="18"/>
        </w:rPr>
        <w:t xml:space="preserve"> refers to bias associated with indirect comparison between </w:t>
      </w:r>
      <w:proofErr w:type="spellStart"/>
      <w:r w:rsidRPr="006F393A">
        <w:rPr>
          <w:szCs w:val="18"/>
        </w:rPr>
        <w:t>Viekira</w:t>
      </w:r>
      <w:proofErr w:type="spellEnd"/>
      <w:r w:rsidRPr="006F393A">
        <w:rPr>
          <w:szCs w:val="18"/>
        </w:rPr>
        <w:t xml:space="preserve"> PAK/</w:t>
      </w:r>
      <w:proofErr w:type="spellStart"/>
      <w:r w:rsidRPr="006F393A">
        <w:rPr>
          <w:szCs w:val="18"/>
        </w:rPr>
        <w:t>Viekira</w:t>
      </w:r>
      <w:proofErr w:type="spellEnd"/>
      <w:r w:rsidRPr="006F393A">
        <w:rPr>
          <w:szCs w:val="18"/>
        </w:rPr>
        <w:t xml:space="preserve"> PAK-RBV and LDV/SOF or no treatment.</w:t>
      </w:r>
      <w:r w:rsidR="00ED3017" w:rsidRPr="006F393A">
        <w:rPr>
          <w:szCs w:val="18"/>
        </w:rPr>
        <w:t xml:space="preserve">  There is a high risk of bias associated with the indirect comparison with LDV/SOF, and low risk of bias versus no treatment. </w:t>
      </w:r>
    </w:p>
    <w:p w:rsidR="00E70436" w:rsidRPr="006F393A" w:rsidRDefault="00E70436" w:rsidP="00E70436">
      <w:pPr>
        <w:pStyle w:val="TableFooter"/>
        <w:ind w:left="720"/>
        <w:rPr>
          <w:szCs w:val="18"/>
        </w:rPr>
      </w:pPr>
      <w:proofErr w:type="gramStart"/>
      <w:r w:rsidRPr="006F393A">
        <w:rPr>
          <w:szCs w:val="18"/>
          <w:vertAlign w:val="superscript"/>
        </w:rPr>
        <w:t>b</w:t>
      </w:r>
      <w:proofErr w:type="gramEnd"/>
      <w:r w:rsidRPr="006F393A">
        <w:rPr>
          <w:szCs w:val="18"/>
        </w:rPr>
        <w:t xml:space="preserve"> the numbers of patients are for the subgroups with the proposed treatment regimen.</w:t>
      </w:r>
    </w:p>
    <w:p w:rsidR="00E70436" w:rsidRPr="006F393A" w:rsidRDefault="00E70436" w:rsidP="00E70436">
      <w:pPr>
        <w:pStyle w:val="TableFooter"/>
        <w:ind w:left="720"/>
        <w:rPr>
          <w:szCs w:val="18"/>
        </w:rPr>
      </w:pPr>
      <w:r w:rsidRPr="006F393A">
        <w:rPr>
          <w:szCs w:val="18"/>
          <w:vertAlign w:val="superscript"/>
        </w:rPr>
        <w:t>C</w:t>
      </w:r>
      <w:r w:rsidRPr="006F393A">
        <w:rPr>
          <w:szCs w:val="18"/>
        </w:rPr>
        <w:t xml:space="preserve"> During the evaluation, SVR rates in the </w:t>
      </w:r>
      <w:proofErr w:type="spellStart"/>
      <w:r w:rsidR="00BD66D9" w:rsidRPr="006F393A">
        <w:rPr>
          <w:szCs w:val="18"/>
        </w:rPr>
        <w:t>Viekira</w:t>
      </w:r>
      <w:proofErr w:type="spellEnd"/>
      <w:r w:rsidR="00BD66D9" w:rsidRPr="006F393A">
        <w:rPr>
          <w:szCs w:val="18"/>
        </w:rPr>
        <w:t xml:space="preserve"> PAK / </w:t>
      </w:r>
      <w:proofErr w:type="spellStart"/>
      <w:r w:rsidR="00BD66D9" w:rsidRPr="006F393A">
        <w:rPr>
          <w:szCs w:val="18"/>
        </w:rPr>
        <w:t>Viekira</w:t>
      </w:r>
      <w:proofErr w:type="spellEnd"/>
      <w:r w:rsidR="00BD66D9" w:rsidRPr="006F393A">
        <w:rPr>
          <w:szCs w:val="18"/>
        </w:rPr>
        <w:t xml:space="preserve"> PAK-RBV</w:t>
      </w:r>
      <w:r w:rsidRPr="006F393A">
        <w:rPr>
          <w:szCs w:val="18"/>
        </w:rPr>
        <w:t xml:space="preserve"> arms for the appropriate subgroups from all </w:t>
      </w:r>
      <w:proofErr w:type="spellStart"/>
      <w:r w:rsidR="00BD66D9" w:rsidRPr="006F393A">
        <w:rPr>
          <w:szCs w:val="18"/>
        </w:rPr>
        <w:t>Viekira</w:t>
      </w:r>
      <w:proofErr w:type="spellEnd"/>
      <w:r w:rsidR="00BD66D9" w:rsidRPr="006F393A">
        <w:rPr>
          <w:szCs w:val="18"/>
        </w:rPr>
        <w:t xml:space="preserve"> PAK / </w:t>
      </w:r>
      <w:proofErr w:type="spellStart"/>
      <w:r w:rsidR="00BD66D9" w:rsidRPr="006F393A">
        <w:rPr>
          <w:szCs w:val="18"/>
        </w:rPr>
        <w:t>Viekira</w:t>
      </w:r>
      <w:proofErr w:type="spellEnd"/>
      <w:r w:rsidR="00BD66D9" w:rsidRPr="006F393A">
        <w:rPr>
          <w:szCs w:val="18"/>
        </w:rPr>
        <w:t xml:space="preserve"> PAK-RBV</w:t>
      </w:r>
      <w:r w:rsidRPr="006F393A">
        <w:rPr>
          <w:szCs w:val="18"/>
        </w:rPr>
        <w:t xml:space="preserve"> studies were pooled and used in the economic model.</w:t>
      </w:r>
    </w:p>
    <w:p w:rsidR="00E70436" w:rsidRPr="006F393A" w:rsidRDefault="00E70436" w:rsidP="00E70436">
      <w:pPr>
        <w:ind w:left="720"/>
        <w:rPr>
          <w:rFonts w:ascii="Arial Narrow" w:hAnsi="Arial Narrow"/>
          <w:sz w:val="18"/>
          <w:szCs w:val="18"/>
        </w:rPr>
      </w:pPr>
      <w:r w:rsidRPr="006F393A">
        <w:rPr>
          <w:rFonts w:ascii="Arial Narrow" w:hAnsi="Arial Narrow"/>
          <w:sz w:val="18"/>
          <w:szCs w:val="18"/>
        </w:rPr>
        <w:t xml:space="preserve">LDV/SOF = </w:t>
      </w:r>
      <w:proofErr w:type="spellStart"/>
      <w:r w:rsidRPr="006F393A">
        <w:rPr>
          <w:rFonts w:ascii="Arial Narrow" w:hAnsi="Arial Narrow"/>
          <w:sz w:val="18"/>
          <w:szCs w:val="18"/>
        </w:rPr>
        <w:t>ledipasvir</w:t>
      </w:r>
      <w:proofErr w:type="spellEnd"/>
      <w:r w:rsidRPr="006F393A">
        <w:rPr>
          <w:rFonts w:ascii="Arial Narrow" w:hAnsi="Arial Narrow"/>
          <w:sz w:val="18"/>
          <w:szCs w:val="18"/>
        </w:rPr>
        <w:t>/</w:t>
      </w:r>
      <w:proofErr w:type="spellStart"/>
      <w:r w:rsidRPr="006F393A">
        <w:rPr>
          <w:rFonts w:ascii="Arial Narrow" w:hAnsi="Arial Narrow"/>
          <w:sz w:val="18"/>
          <w:szCs w:val="18"/>
        </w:rPr>
        <w:t>sofosbuvir</w:t>
      </w:r>
      <w:proofErr w:type="spellEnd"/>
      <w:r w:rsidRPr="006F393A">
        <w:rPr>
          <w:rFonts w:ascii="Arial Narrow" w:hAnsi="Arial Narrow"/>
          <w:sz w:val="18"/>
          <w:szCs w:val="18"/>
        </w:rPr>
        <w:t>; R = randomised; OL = open label;</w:t>
      </w:r>
      <w:r w:rsidR="001A67EB" w:rsidRPr="006F393A">
        <w:rPr>
          <w:rFonts w:ascii="Arial Narrow" w:hAnsi="Arial Narrow"/>
          <w:sz w:val="18"/>
          <w:szCs w:val="18"/>
        </w:rPr>
        <w:t xml:space="preserve"> DB = double blind; GT = genotype</w:t>
      </w:r>
      <w:r w:rsidRPr="006F393A">
        <w:rPr>
          <w:rFonts w:ascii="Arial Narrow" w:hAnsi="Arial Narrow"/>
          <w:sz w:val="18"/>
          <w:szCs w:val="18"/>
        </w:rPr>
        <w:t xml:space="preserve"> SVR = sustained </w:t>
      </w:r>
      <w:proofErr w:type="spellStart"/>
      <w:r w:rsidRPr="006F393A">
        <w:rPr>
          <w:rFonts w:ascii="Arial Narrow" w:hAnsi="Arial Narrow"/>
          <w:sz w:val="18"/>
          <w:szCs w:val="18"/>
        </w:rPr>
        <w:t>virologic</w:t>
      </w:r>
      <w:proofErr w:type="spellEnd"/>
      <w:r w:rsidRPr="006F393A">
        <w:rPr>
          <w:rFonts w:ascii="Arial Narrow" w:hAnsi="Arial Narrow"/>
          <w:sz w:val="18"/>
          <w:szCs w:val="18"/>
        </w:rPr>
        <w:t xml:space="preserve"> response; NA = not applicable.</w:t>
      </w:r>
    </w:p>
    <w:p w:rsidR="00E70436" w:rsidRPr="006F393A" w:rsidRDefault="00A033B4" w:rsidP="00E70436">
      <w:pPr>
        <w:ind w:firstLine="720"/>
        <w:rPr>
          <w:rFonts w:ascii="Arial Narrow" w:hAnsi="Arial Narrow"/>
          <w:i/>
          <w:sz w:val="20"/>
        </w:rPr>
      </w:pPr>
      <w:r w:rsidRPr="006F393A">
        <w:rPr>
          <w:rFonts w:ascii="Arial Narrow" w:hAnsi="Arial Narrow"/>
          <w:i/>
          <w:sz w:val="18"/>
          <w:szCs w:val="18"/>
        </w:rPr>
        <w:t>Source: C</w:t>
      </w:r>
      <w:r w:rsidR="00E70436" w:rsidRPr="006F393A">
        <w:rPr>
          <w:rFonts w:ascii="Arial Narrow" w:hAnsi="Arial Narrow"/>
          <w:i/>
          <w:sz w:val="18"/>
          <w:szCs w:val="18"/>
        </w:rPr>
        <w:t>ompiled during the evaluation</w:t>
      </w:r>
      <w:r w:rsidR="00E70436" w:rsidRPr="006F393A">
        <w:rPr>
          <w:rFonts w:ascii="Arial Narrow" w:hAnsi="Arial Narrow"/>
          <w:i/>
          <w:sz w:val="20"/>
        </w:rPr>
        <w:t>.</w:t>
      </w:r>
    </w:p>
    <w:p w:rsidR="00E70436" w:rsidRPr="006F393A" w:rsidRDefault="00E70436" w:rsidP="00E70436"/>
    <w:p w:rsidR="00E70436" w:rsidRPr="006F393A" w:rsidRDefault="00A033B4" w:rsidP="00997EDA">
      <w:pPr>
        <w:pStyle w:val="ListParagraph"/>
        <w:widowControl/>
        <w:numPr>
          <w:ilvl w:val="1"/>
          <w:numId w:val="1"/>
        </w:numPr>
        <w:rPr>
          <w:szCs w:val="22"/>
        </w:rPr>
      </w:pPr>
      <w:r w:rsidRPr="006F393A">
        <w:t xml:space="preserve">The comparison of </w:t>
      </w:r>
      <w:proofErr w:type="spellStart"/>
      <w:r w:rsidRPr="006F393A">
        <w:t>Viekira</w:t>
      </w:r>
      <w:proofErr w:type="spellEnd"/>
      <w:r w:rsidRPr="006F393A">
        <w:t xml:space="preserve"> PAK / </w:t>
      </w:r>
      <w:proofErr w:type="spellStart"/>
      <w:r w:rsidRPr="006F393A">
        <w:t>Viekira</w:t>
      </w:r>
      <w:proofErr w:type="spellEnd"/>
      <w:r w:rsidRPr="006F393A">
        <w:t xml:space="preserve"> PAK-RBV vs LDV/SOF was performed by comparing the point estimates of SVR from single arms of studies that lack a common comparator.  Comparisons were therefore unadjusted and indirect. </w:t>
      </w:r>
      <w:r w:rsidR="009701B0">
        <w:t xml:space="preserve">  </w:t>
      </w:r>
      <w:r w:rsidRPr="006F393A">
        <w:t>Overall, the risk of bias associated with such indirect comparisons was very high because the populations may not have been exchangeable. This meant that there was uncertainty with regard to the magnitude of the differences observed between trial arms.</w:t>
      </w:r>
      <w:r w:rsidR="00013746" w:rsidRPr="006F393A">
        <w:t xml:space="preserve"> The ESC noted the sponsor’s comment in the PSCR that the lack of active or placebo controlled trials of LDV/SOF prohibit adjusted indirect comparisons of this regimen with other regimens.</w:t>
      </w:r>
    </w:p>
    <w:p w:rsidR="00E70436" w:rsidRPr="006F393A" w:rsidRDefault="00E70436" w:rsidP="00E70436">
      <w:pPr>
        <w:pStyle w:val="ListParagraph"/>
        <w:widowControl/>
        <w:rPr>
          <w:szCs w:val="22"/>
        </w:rPr>
      </w:pPr>
    </w:p>
    <w:p w:rsidR="00A033B4" w:rsidRPr="006F393A" w:rsidRDefault="00A033B4" w:rsidP="00997EDA">
      <w:pPr>
        <w:pStyle w:val="ListParagraph"/>
        <w:widowControl/>
        <w:numPr>
          <w:ilvl w:val="1"/>
          <w:numId w:val="1"/>
        </w:numPr>
        <w:rPr>
          <w:szCs w:val="22"/>
        </w:rPr>
      </w:pPr>
      <w:r w:rsidRPr="006F393A">
        <w:t xml:space="preserve">The comparison of </w:t>
      </w:r>
      <w:proofErr w:type="spellStart"/>
      <w:r w:rsidRPr="006F393A">
        <w:t>Viekira</w:t>
      </w:r>
      <w:proofErr w:type="spellEnd"/>
      <w:r w:rsidRPr="006F393A">
        <w:t xml:space="preserve"> PAK/</w:t>
      </w:r>
      <w:proofErr w:type="spellStart"/>
      <w:r w:rsidRPr="006F393A">
        <w:t>Viekira</w:t>
      </w:r>
      <w:proofErr w:type="spellEnd"/>
      <w:r w:rsidRPr="006F393A">
        <w:t xml:space="preserve"> PAK-RBV vs no treatment, in terms of efficacy (SVR) was less likely to be biased, as it could be assumed </w:t>
      </w:r>
      <w:proofErr w:type="gramStart"/>
      <w:r w:rsidRPr="006F393A">
        <w:t xml:space="preserve">that the no treatment arm would not </w:t>
      </w:r>
      <w:r w:rsidR="005E63D2" w:rsidRPr="006F393A">
        <w:t xml:space="preserve">demonstrate </w:t>
      </w:r>
      <w:r w:rsidRPr="006F393A">
        <w:t>SVR</w:t>
      </w:r>
      <w:proofErr w:type="gramEnd"/>
      <w:r w:rsidRPr="006F393A">
        <w:t xml:space="preserve">. The study populations may not, however, have been representative of the target PBS population. Given the availability of double-blind placebo-controlled trials of </w:t>
      </w:r>
      <w:proofErr w:type="spellStart"/>
      <w:r w:rsidRPr="006F393A">
        <w:t>Viekira</w:t>
      </w:r>
      <w:proofErr w:type="spellEnd"/>
      <w:r w:rsidRPr="006F393A">
        <w:t xml:space="preserve"> PAK/</w:t>
      </w:r>
      <w:proofErr w:type="spellStart"/>
      <w:r w:rsidRPr="006F393A">
        <w:t>Viekira</w:t>
      </w:r>
      <w:proofErr w:type="spellEnd"/>
      <w:r w:rsidRPr="006F393A">
        <w:t xml:space="preserve"> PAK-RBV, the uncertainty associated with the assessment of safety, relative to no treatment, was reduced. </w:t>
      </w:r>
    </w:p>
    <w:p w:rsidR="00E70436" w:rsidRPr="006F393A" w:rsidRDefault="00E70436" w:rsidP="00E70436"/>
    <w:p w:rsidR="00E70436" w:rsidRPr="006F393A" w:rsidRDefault="00E70436" w:rsidP="00E70436">
      <w:pPr>
        <w:pStyle w:val="Heading2"/>
        <w:rPr>
          <w:i/>
        </w:rPr>
      </w:pPr>
      <w:bookmarkStart w:id="9" w:name="_Toc419383689"/>
      <w:r w:rsidRPr="006F393A">
        <w:rPr>
          <w:i/>
        </w:rPr>
        <w:t>Comparative effectiveness</w:t>
      </w:r>
      <w:bookmarkEnd w:id="9"/>
    </w:p>
    <w:p w:rsidR="00E70436" w:rsidRPr="006F393A" w:rsidRDefault="00E70436" w:rsidP="00E70436">
      <w:pPr>
        <w:rPr>
          <w:szCs w:val="22"/>
        </w:rPr>
      </w:pPr>
    </w:p>
    <w:p w:rsidR="00A033B4" w:rsidRPr="006F393A" w:rsidRDefault="00A033B4" w:rsidP="00997EDA">
      <w:pPr>
        <w:pStyle w:val="ListParagraph"/>
        <w:widowControl/>
        <w:numPr>
          <w:ilvl w:val="1"/>
          <w:numId w:val="1"/>
        </w:numPr>
        <w:rPr>
          <w:szCs w:val="22"/>
        </w:rPr>
      </w:pPr>
      <w:r w:rsidRPr="006F393A">
        <w:rPr>
          <w:szCs w:val="22"/>
        </w:rPr>
        <w:t>The SVR rates observed from the subgroups with the proposed treatment regimens are summarised below.</w:t>
      </w:r>
    </w:p>
    <w:p w:rsidR="00E70436" w:rsidRPr="006F393A" w:rsidRDefault="00E70436" w:rsidP="00E70436">
      <w:pPr>
        <w:pStyle w:val="ListParagraph"/>
        <w:widowControl/>
        <w:rPr>
          <w:szCs w:val="22"/>
        </w:rPr>
      </w:pPr>
    </w:p>
    <w:p w:rsidR="00E70436" w:rsidRPr="006F393A" w:rsidRDefault="00E70436" w:rsidP="00E70436">
      <w:pPr>
        <w:pStyle w:val="TableHeader"/>
        <w:ind w:left="720"/>
      </w:pPr>
      <w:r w:rsidRPr="006F393A">
        <w:t xml:space="preserve">Table </w:t>
      </w:r>
      <w:r w:rsidR="007B6A5B" w:rsidRPr="006F393A">
        <w:t>5</w:t>
      </w:r>
      <w:r w:rsidRPr="006F393A">
        <w:t xml:space="preserve">: Sustained </w:t>
      </w:r>
      <w:proofErr w:type="spellStart"/>
      <w:r w:rsidRPr="006F393A">
        <w:t>virologic</w:t>
      </w:r>
      <w:proofErr w:type="spellEnd"/>
      <w:r w:rsidRPr="006F393A">
        <w:t xml:space="preserve"> response by subgroups for </w:t>
      </w:r>
      <w:proofErr w:type="spellStart"/>
      <w:r w:rsidRPr="006F393A">
        <w:t>Viekira</w:t>
      </w:r>
      <w:proofErr w:type="spellEnd"/>
      <w:r w:rsidRPr="006F393A">
        <w:t xml:space="preserve"> PAK / </w:t>
      </w:r>
      <w:proofErr w:type="spellStart"/>
      <w:r w:rsidRPr="006F393A">
        <w:t>Viekira</w:t>
      </w:r>
      <w:proofErr w:type="spellEnd"/>
      <w:r w:rsidRPr="006F393A">
        <w:t xml:space="preserve"> PAK-RBV and </w:t>
      </w:r>
      <w:r w:rsidR="00BF36DD" w:rsidRPr="006F393A">
        <w:t>LDV</w:t>
      </w:r>
      <w:r w:rsidR="00BF36DD" w:rsidRPr="006F393A">
        <w:rPr>
          <w:rFonts w:ascii="Arial" w:hAnsi="Arial"/>
        </w:rPr>
        <w:t>/</w:t>
      </w:r>
      <w:r w:rsidR="00BF36DD" w:rsidRPr="006F393A">
        <w:t>SOF</w:t>
      </w:r>
    </w:p>
    <w:tbl>
      <w:tblPr>
        <w:tblStyle w:val="TableGrid"/>
        <w:tblW w:w="4540" w:type="pct"/>
        <w:tblInd w:w="850" w:type="dxa"/>
        <w:tblLayout w:type="fixed"/>
        <w:tblLook w:val="04A0" w:firstRow="1" w:lastRow="0" w:firstColumn="1" w:lastColumn="0" w:noHBand="0" w:noVBand="1"/>
        <w:tblCaption w:val="Table 5: Sustained virologic response by subgroups for Viekira PAK / Viekira PAK-RBV and LDV/SOF"/>
        <w:tblDescription w:val="Table 5 describes the sustained virologic response by subgroups for Viekira PAK / Viekira PAK-RBV and LDV/SOF"/>
      </w:tblPr>
      <w:tblGrid>
        <w:gridCol w:w="1288"/>
        <w:gridCol w:w="1078"/>
        <w:gridCol w:w="1148"/>
        <w:gridCol w:w="2211"/>
        <w:gridCol w:w="2667"/>
      </w:tblGrid>
      <w:tr w:rsidR="00E70436" w:rsidRPr="006F393A" w:rsidTr="0028796E">
        <w:trPr>
          <w:trHeight w:val="284"/>
          <w:tblHeader/>
        </w:trPr>
        <w:tc>
          <w:tcPr>
            <w:tcW w:w="1288" w:type="dxa"/>
            <w:shd w:val="clear" w:color="auto" w:fill="D9D9D9" w:themeFill="background1" w:themeFillShade="D9"/>
            <w:vAlign w:val="center"/>
          </w:tcPr>
          <w:p w:rsidR="00E70436" w:rsidRPr="006F393A" w:rsidRDefault="00E70436" w:rsidP="004A0D51">
            <w:pPr>
              <w:pStyle w:val="Tabletext"/>
              <w:jc w:val="center"/>
              <w:rPr>
                <w:b/>
              </w:rPr>
            </w:pPr>
            <w:r w:rsidRPr="006F393A">
              <w:rPr>
                <w:b/>
              </w:rPr>
              <w:t>Population</w:t>
            </w:r>
          </w:p>
        </w:tc>
        <w:tc>
          <w:tcPr>
            <w:tcW w:w="1078" w:type="dxa"/>
            <w:shd w:val="clear" w:color="auto" w:fill="D9D9D9" w:themeFill="background1" w:themeFillShade="D9"/>
            <w:vAlign w:val="center"/>
          </w:tcPr>
          <w:p w:rsidR="00E70436" w:rsidRPr="006F393A" w:rsidRDefault="00E70436" w:rsidP="004A0D51">
            <w:pPr>
              <w:pStyle w:val="Tabletext"/>
              <w:jc w:val="center"/>
              <w:rPr>
                <w:b/>
              </w:rPr>
            </w:pPr>
            <w:r w:rsidRPr="006F393A">
              <w:rPr>
                <w:b/>
              </w:rPr>
              <w:t>Regimen</w:t>
            </w:r>
          </w:p>
        </w:tc>
        <w:tc>
          <w:tcPr>
            <w:tcW w:w="1148" w:type="dxa"/>
            <w:shd w:val="clear" w:color="auto" w:fill="D9D9D9" w:themeFill="background1" w:themeFillShade="D9"/>
            <w:vAlign w:val="center"/>
          </w:tcPr>
          <w:p w:rsidR="00E70436" w:rsidRPr="006F393A" w:rsidRDefault="00E70436" w:rsidP="004A0D51">
            <w:pPr>
              <w:pStyle w:val="Tabletext"/>
              <w:jc w:val="center"/>
              <w:rPr>
                <w:b/>
              </w:rPr>
            </w:pPr>
            <w:r w:rsidRPr="006F393A">
              <w:rPr>
                <w:b/>
              </w:rPr>
              <w:t>Duration</w:t>
            </w:r>
          </w:p>
        </w:tc>
        <w:tc>
          <w:tcPr>
            <w:tcW w:w="2211" w:type="dxa"/>
            <w:shd w:val="clear" w:color="auto" w:fill="D9D9D9" w:themeFill="background1" w:themeFillShade="D9"/>
            <w:vAlign w:val="center"/>
          </w:tcPr>
          <w:p w:rsidR="00E70436" w:rsidRPr="006F393A" w:rsidRDefault="00E70436" w:rsidP="004A0D51">
            <w:pPr>
              <w:pStyle w:val="Tabletext"/>
              <w:jc w:val="center"/>
              <w:rPr>
                <w:b/>
              </w:rPr>
            </w:pPr>
            <w:r w:rsidRPr="006F393A">
              <w:rPr>
                <w:b/>
              </w:rPr>
              <w:t>Evidence</w:t>
            </w:r>
          </w:p>
        </w:tc>
        <w:tc>
          <w:tcPr>
            <w:tcW w:w="2667" w:type="dxa"/>
            <w:shd w:val="clear" w:color="auto" w:fill="D9D9D9" w:themeFill="background1" w:themeFillShade="D9"/>
            <w:vAlign w:val="center"/>
          </w:tcPr>
          <w:p w:rsidR="00E70436" w:rsidRPr="006F393A" w:rsidRDefault="00E70436" w:rsidP="004A0D51">
            <w:pPr>
              <w:pStyle w:val="Tabletext"/>
              <w:jc w:val="center"/>
              <w:rPr>
                <w:b/>
              </w:rPr>
            </w:pPr>
            <w:r w:rsidRPr="006F393A">
              <w:rPr>
                <w:b/>
              </w:rPr>
              <w:t>SVR rate</w:t>
            </w:r>
          </w:p>
          <w:p w:rsidR="00E70436" w:rsidRPr="006F393A" w:rsidRDefault="00E70436" w:rsidP="004A0D51">
            <w:pPr>
              <w:pStyle w:val="Tabletext"/>
              <w:jc w:val="center"/>
              <w:rPr>
                <w:b/>
              </w:rPr>
            </w:pPr>
            <w:r w:rsidRPr="006F393A">
              <w:rPr>
                <w:b/>
              </w:rPr>
              <w:t>n/N</w:t>
            </w:r>
          </w:p>
          <w:p w:rsidR="00E70436" w:rsidRPr="006F393A" w:rsidRDefault="00E70436" w:rsidP="004A0D51">
            <w:pPr>
              <w:pStyle w:val="Tabletext"/>
              <w:jc w:val="center"/>
              <w:rPr>
                <w:b/>
              </w:rPr>
            </w:pPr>
            <w:r w:rsidRPr="006F393A">
              <w:rPr>
                <w:b/>
              </w:rPr>
              <w:t>% [95% CI]</w:t>
            </w:r>
            <w:r w:rsidRPr="006F393A">
              <w:rPr>
                <w:b/>
                <w:vertAlign w:val="superscript"/>
              </w:rPr>
              <w:t>c</w:t>
            </w:r>
          </w:p>
        </w:tc>
      </w:tr>
      <w:tr w:rsidR="00E70436" w:rsidRPr="006F393A" w:rsidTr="004A0D51">
        <w:trPr>
          <w:trHeight w:val="284"/>
        </w:trPr>
        <w:tc>
          <w:tcPr>
            <w:tcW w:w="8392" w:type="dxa"/>
            <w:gridSpan w:val="5"/>
            <w:shd w:val="clear" w:color="auto" w:fill="D9D9D9" w:themeFill="background1" w:themeFillShade="D9"/>
            <w:vAlign w:val="center"/>
          </w:tcPr>
          <w:p w:rsidR="00E70436" w:rsidRPr="006F393A" w:rsidRDefault="00E70436" w:rsidP="004A0D51">
            <w:pPr>
              <w:pStyle w:val="Tabletext"/>
              <w:rPr>
                <w:b/>
              </w:rPr>
            </w:pPr>
            <w:r w:rsidRPr="006F393A">
              <w:rPr>
                <w:b/>
              </w:rPr>
              <w:t>Treatment naïve, non-cirrhotic</w:t>
            </w:r>
          </w:p>
        </w:tc>
      </w:tr>
      <w:tr w:rsidR="00E70436" w:rsidRPr="006F393A" w:rsidTr="004A0D51">
        <w:trPr>
          <w:trHeight w:val="284"/>
        </w:trPr>
        <w:tc>
          <w:tcPr>
            <w:tcW w:w="1288" w:type="dxa"/>
            <w:vMerge w:val="restart"/>
            <w:vAlign w:val="center"/>
          </w:tcPr>
          <w:p w:rsidR="00E70436" w:rsidRPr="006F393A" w:rsidRDefault="00E70436" w:rsidP="004A0D51">
            <w:pPr>
              <w:pStyle w:val="Tabletext"/>
            </w:pPr>
            <w:r w:rsidRPr="006F393A">
              <w:t>GT1a</w:t>
            </w:r>
          </w:p>
        </w:tc>
        <w:tc>
          <w:tcPr>
            <w:tcW w:w="1078" w:type="dxa"/>
            <w:vMerge w:val="restart"/>
            <w:vAlign w:val="center"/>
          </w:tcPr>
          <w:p w:rsidR="00E70436" w:rsidRPr="006F393A" w:rsidRDefault="00E70436" w:rsidP="004A0D51">
            <w:pPr>
              <w:pStyle w:val="Tabletext"/>
            </w:pPr>
            <w:proofErr w:type="spellStart"/>
            <w:r w:rsidRPr="006F393A">
              <w:t>Viekira</w:t>
            </w:r>
            <w:proofErr w:type="spellEnd"/>
            <w:r w:rsidRPr="006F393A">
              <w:t xml:space="preserve"> PAK-RBV</w:t>
            </w:r>
          </w:p>
        </w:tc>
        <w:tc>
          <w:tcPr>
            <w:tcW w:w="1148" w:type="dxa"/>
            <w:vMerge w:val="restart"/>
            <w:vAlign w:val="center"/>
          </w:tcPr>
          <w:p w:rsidR="00E70436" w:rsidRPr="006F393A" w:rsidRDefault="00E70436" w:rsidP="004A0D51">
            <w:pPr>
              <w:pStyle w:val="Tabletext"/>
            </w:pPr>
            <w:r w:rsidRPr="006F393A">
              <w:t>12 weeks</w:t>
            </w:r>
          </w:p>
        </w:tc>
        <w:tc>
          <w:tcPr>
            <w:tcW w:w="2211" w:type="dxa"/>
            <w:vAlign w:val="center"/>
          </w:tcPr>
          <w:p w:rsidR="00E70436" w:rsidRPr="006F393A" w:rsidRDefault="00E70436" w:rsidP="004A0D51">
            <w:pPr>
              <w:pStyle w:val="Tabletext"/>
            </w:pPr>
            <w:r w:rsidRPr="006F393A">
              <w:t>Malachite I (Arm A)</w:t>
            </w:r>
          </w:p>
        </w:tc>
        <w:tc>
          <w:tcPr>
            <w:tcW w:w="2667" w:type="dxa"/>
            <w:vAlign w:val="center"/>
          </w:tcPr>
          <w:p w:rsidR="00E70436" w:rsidRPr="006F393A" w:rsidRDefault="00E70436" w:rsidP="004A0D51">
            <w:pPr>
              <w:pStyle w:val="Tabletext"/>
              <w:jc w:val="center"/>
            </w:pPr>
            <w:r w:rsidRPr="006F393A">
              <w:rPr>
                <w:color w:val="000000"/>
              </w:rPr>
              <w:t>67/69</w:t>
            </w:r>
            <w:r w:rsidRPr="006F393A">
              <w:rPr>
                <w:color w:val="000000"/>
              </w:rPr>
              <w:br/>
              <w:t>97.1% [89.9, 99.6]</w:t>
            </w:r>
          </w:p>
        </w:tc>
      </w:tr>
      <w:tr w:rsidR="00E70436" w:rsidRPr="006F393A" w:rsidTr="004A0D51">
        <w:trPr>
          <w:trHeight w:val="284"/>
        </w:trPr>
        <w:tc>
          <w:tcPr>
            <w:tcW w:w="1288" w:type="dxa"/>
            <w:vMerge/>
            <w:vAlign w:val="center"/>
          </w:tcPr>
          <w:p w:rsidR="00E70436" w:rsidRPr="006F393A" w:rsidRDefault="00E70436" w:rsidP="004A0D51">
            <w:pPr>
              <w:pStyle w:val="Tabletext"/>
            </w:pPr>
          </w:p>
        </w:tc>
        <w:tc>
          <w:tcPr>
            <w:tcW w:w="1078" w:type="dxa"/>
            <w:vMerge/>
            <w:vAlign w:val="center"/>
          </w:tcPr>
          <w:p w:rsidR="00E70436" w:rsidRPr="006F393A" w:rsidRDefault="00E70436" w:rsidP="004A0D51">
            <w:pPr>
              <w:pStyle w:val="Tabletext"/>
            </w:pPr>
          </w:p>
        </w:tc>
        <w:tc>
          <w:tcPr>
            <w:tcW w:w="1148" w:type="dxa"/>
            <w:vMerge/>
            <w:vAlign w:val="center"/>
          </w:tcPr>
          <w:p w:rsidR="00E70436" w:rsidRPr="006F393A" w:rsidRDefault="00E70436" w:rsidP="004A0D51">
            <w:pPr>
              <w:pStyle w:val="Tabletext"/>
            </w:pPr>
          </w:p>
        </w:tc>
        <w:tc>
          <w:tcPr>
            <w:tcW w:w="2211" w:type="dxa"/>
            <w:vAlign w:val="center"/>
          </w:tcPr>
          <w:p w:rsidR="00E70436" w:rsidRPr="006F393A" w:rsidRDefault="00E70436" w:rsidP="004A0D51">
            <w:pPr>
              <w:pStyle w:val="Tabletext"/>
            </w:pPr>
            <w:r w:rsidRPr="006F393A">
              <w:t>Sapphire I (Arm A</w:t>
            </w:r>
            <w:r w:rsidRPr="006F393A">
              <w:rPr>
                <w:vertAlign w:val="superscript"/>
              </w:rPr>
              <w:t>a</w:t>
            </w:r>
            <w:r w:rsidRPr="006F393A">
              <w:t>)</w:t>
            </w:r>
            <w:r w:rsidRPr="006F393A">
              <w:rPr>
                <w:vertAlign w:val="superscript"/>
              </w:rPr>
              <w:t>e</w:t>
            </w:r>
          </w:p>
        </w:tc>
        <w:tc>
          <w:tcPr>
            <w:tcW w:w="2667" w:type="dxa"/>
            <w:vAlign w:val="center"/>
          </w:tcPr>
          <w:p w:rsidR="00E70436" w:rsidRPr="006F393A" w:rsidRDefault="00E70436" w:rsidP="004A0D51">
            <w:pPr>
              <w:pStyle w:val="Tabletext"/>
              <w:jc w:val="center"/>
            </w:pPr>
            <w:r w:rsidRPr="006F393A">
              <w:rPr>
                <w:color w:val="000000"/>
              </w:rPr>
              <w:t>307/322</w:t>
            </w:r>
            <w:r w:rsidRPr="006F393A">
              <w:rPr>
                <w:color w:val="000000"/>
              </w:rPr>
              <w:br/>
              <w:t>95.3% [92.4, 97.4]</w:t>
            </w:r>
          </w:p>
        </w:tc>
      </w:tr>
      <w:tr w:rsidR="00E70436" w:rsidRPr="006F393A" w:rsidTr="004A0D51">
        <w:trPr>
          <w:trHeight w:val="284"/>
        </w:trPr>
        <w:tc>
          <w:tcPr>
            <w:tcW w:w="1288" w:type="dxa"/>
            <w:vMerge/>
            <w:vAlign w:val="center"/>
          </w:tcPr>
          <w:p w:rsidR="00E70436" w:rsidRPr="006F393A" w:rsidRDefault="00E70436" w:rsidP="004A0D51">
            <w:pPr>
              <w:pStyle w:val="Tabletext"/>
            </w:pPr>
          </w:p>
        </w:tc>
        <w:tc>
          <w:tcPr>
            <w:tcW w:w="1078" w:type="dxa"/>
            <w:vMerge/>
            <w:vAlign w:val="center"/>
          </w:tcPr>
          <w:p w:rsidR="00E70436" w:rsidRPr="006F393A" w:rsidRDefault="00E70436" w:rsidP="004A0D51">
            <w:pPr>
              <w:pStyle w:val="Tabletext"/>
            </w:pPr>
          </w:p>
        </w:tc>
        <w:tc>
          <w:tcPr>
            <w:tcW w:w="1148" w:type="dxa"/>
            <w:vMerge/>
            <w:vAlign w:val="center"/>
          </w:tcPr>
          <w:p w:rsidR="00E70436" w:rsidRPr="006F393A" w:rsidRDefault="00E70436" w:rsidP="004A0D51">
            <w:pPr>
              <w:pStyle w:val="Tabletext"/>
            </w:pPr>
          </w:p>
        </w:tc>
        <w:tc>
          <w:tcPr>
            <w:tcW w:w="2211" w:type="dxa"/>
            <w:vAlign w:val="center"/>
          </w:tcPr>
          <w:p w:rsidR="00E70436" w:rsidRPr="006F393A" w:rsidRDefault="00E70436" w:rsidP="004A0D51">
            <w:pPr>
              <w:pStyle w:val="Tabletext"/>
            </w:pPr>
            <w:r w:rsidRPr="006F393A">
              <w:t>Pearl IV (Arm A)</w:t>
            </w:r>
          </w:p>
        </w:tc>
        <w:tc>
          <w:tcPr>
            <w:tcW w:w="2667" w:type="dxa"/>
            <w:vAlign w:val="center"/>
          </w:tcPr>
          <w:p w:rsidR="00E70436" w:rsidRPr="006F393A" w:rsidRDefault="00E70436" w:rsidP="004A0D51">
            <w:pPr>
              <w:pStyle w:val="Tabletext"/>
              <w:jc w:val="center"/>
            </w:pPr>
            <w:r w:rsidRPr="006F393A">
              <w:rPr>
                <w:color w:val="000000"/>
              </w:rPr>
              <w:t>97/100</w:t>
            </w:r>
            <w:r w:rsidRPr="006F393A">
              <w:rPr>
                <w:color w:val="000000"/>
              </w:rPr>
              <w:br/>
              <w:t>97% [91.5, 99.4]</w:t>
            </w:r>
          </w:p>
        </w:tc>
      </w:tr>
      <w:tr w:rsidR="00E70436" w:rsidRPr="006F393A" w:rsidTr="004A0D51">
        <w:trPr>
          <w:trHeight w:val="284"/>
        </w:trPr>
        <w:tc>
          <w:tcPr>
            <w:tcW w:w="1288" w:type="dxa"/>
            <w:vMerge w:val="restart"/>
            <w:vAlign w:val="center"/>
          </w:tcPr>
          <w:p w:rsidR="00E70436" w:rsidRPr="006F393A" w:rsidRDefault="00E70436" w:rsidP="004A0D51">
            <w:pPr>
              <w:pStyle w:val="Tabletext"/>
            </w:pPr>
            <w:r w:rsidRPr="006F393A">
              <w:t>GT1b</w:t>
            </w:r>
          </w:p>
        </w:tc>
        <w:tc>
          <w:tcPr>
            <w:tcW w:w="1078" w:type="dxa"/>
            <w:vMerge w:val="restart"/>
            <w:vAlign w:val="center"/>
          </w:tcPr>
          <w:p w:rsidR="00E70436" w:rsidRPr="006F393A" w:rsidRDefault="00E70436" w:rsidP="004A0D51">
            <w:pPr>
              <w:pStyle w:val="Tabletext"/>
            </w:pPr>
            <w:proofErr w:type="spellStart"/>
            <w:r w:rsidRPr="006F393A">
              <w:t>Viekira</w:t>
            </w:r>
            <w:proofErr w:type="spellEnd"/>
            <w:r w:rsidRPr="006F393A">
              <w:t xml:space="preserve"> PAK</w:t>
            </w:r>
          </w:p>
        </w:tc>
        <w:tc>
          <w:tcPr>
            <w:tcW w:w="1148" w:type="dxa"/>
            <w:vMerge w:val="restart"/>
            <w:vAlign w:val="center"/>
          </w:tcPr>
          <w:p w:rsidR="00E70436" w:rsidRPr="006F393A" w:rsidRDefault="00E70436" w:rsidP="004A0D51">
            <w:pPr>
              <w:pStyle w:val="Tabletext"/>
            </w:pPr>
            <w:r w:rsidRPr="006F393A">
              <w:t>12 weeks</w:t>
            </w:r>
          </w:p>
        </w:tc>
        <w:tc>
          <w:tcPr>
            <w:tcW w:w="2211" w:type="dxa"/>
            <w:vAlign w:val="center"/>
          </w:tcPr>
          <w:p w:rsidR="00E70436" w:rsidRPr="006F393A" w:rsidRDefault="00E70436" w:rsidP="004A0D51">
            <w:pPr>
              <w:pStyle w:val="Tabletext"/>
            </w:pPr>
            <w:r w:rsidRPr="006F393A">
              <w:t>Malachite I (Arm D)</w:t>
            </w:r>
          </w:p>
        </w:tc>
        <w:tc>
          <w:tcPr>
            <w:tcW w:w="2667" w:type="dxa"/>
            <w:vAlign w:val="center"/>
          </w:tcPr>
          <w:p w:rsidR="00E70436" w:rsidRPr="006F393A" w:rsidRDefault="00E70436" w:rsidP="004A0D51">
            <w:pPr>
              <w:pStyle w:val="Tabletext"/>
              <w:jc w:val="center"/>
            </w:pPr>
            <w:r w:rsidRPr="006F393A">
              <w:rPr>
                <w:color w:val="000000"/>
              </w:rPr>
              <w:t>81/83</w:t>
            </w:r>
            <w:r w:rsidRPr="006F393A">
              <w:rPr>
                <w:color w:val="000000"/>
              </w:rPr>
              <w:br/>
              <w:t>97.6% [91.6, 99.7]</w:t>
            </w:r>
          </w:p>
        </w:tc>
      </w:tr>
      <w:tr w:rsidR="00E70436" w:rsidRPr="006F393A" w:rsidTr="004A0D51">
        <w:trPr>
          <w:trHeight w:val="284"/>
        </w:trPr>
        <w:tc>
          <w:tcPr>
            <w:tcW w:w="1288" w:type="dxa"/>
            <w:vMerge/>
            <w:vAlign w:val="center"/>
          </w:tcPr>
          <w:p w:rsidR="00E70436" w:rsidRPr="006F393A" w:rsidRDefault="00E70436" w:rsidP="004A0D51">
            <w:pPr>
              <w:pStyle w:val="Tabletext"/>
            </w:pPr>
          </w:p>
        </w:tc>
        <w:tc>
          <w:tcPr>
            <w:tcW w:w="1078" w:type="dxa"/>
            <w:vMerge/>
            <w:vAlign w:val="center"/>
          </w:tcPr>
          <w:p w:rsidR="00E70436" w:rsidRPr="006F393A" w:rsidRDefault="00E70436" w:rsidP="004A0D51">
            <w:pPr>
              <w:pStyle w:val="Tabletext"/>
            </w:pPr>
          </w:p>
        </w:tc>
        <w:tc>
          <w:tcPr>
            <w:tcW w:w="1148" w:type="dxa"/>
            <w:vMerge/>
            <w:vAlign w:val="center"/>
          </w:tcPr>
          <w:p w:rsidR="00E70436" w:rsidRPr="006F393A" w:rsidRDefault="00E70436" w:rsidP="004A0D51">
            <w:pPr>
              <w:pStyle w:val="Tabletext"/>
            </w:pPr>
          </w:p>
        </w:tc>
        <w:tc>
          <w:tcPr>
            <w:tcW w:w="2211" w:type="dxa"/>
            <w:vAlign w:val="center"/>
          </w:tcPr>
          <w:p w:rsidR="00E70436" w:rsidRPr="006F393A" w:rsidRDefault="00E70436" w:rsidP="004A0D51">
            <w:pPr>
              <w:pStyle w:val="Tabletext"/>
            </w:pPr>
            <w:r w:rsidRPr="006F393A">
              <w:t>Pearl III (Arm B)</w:t>
            </w:r>
            <w:r w:rsidRPr="006F393A">
              <w:rPr>
                <w:vertAlign w:val="superscript"/>
              </w:rPr>
              <w:t>d</w:t>
            </w:r>
          </w:p>
        </w:tc>
        <w:tc>
          <w:tcPr>
            <w:tcW w:w="2667" w:type="dxa"/>
            <w:vAlign w:val="center"/>
          </w:tcPr>
          <w:p w:rsidR="00E70436" w:rsidRPr="006F393A" w:rsidRDefault="00E70436" w:rsidP="004A0D51">
            <w:pPr>
              <w:pStyle w:val="Tabletext"/>
              <w:jc w:val="center"/>
            </w:pPr>
            <w:r w:rsidRPr="006F393A">
              <w:rPr>
                <w:color w:val="000000"/>
              </w:rPr>
              <w:t>209/209</w:t>
            </w:r>
            <w:r w:rsidRPr="006F393A">
              <w:rPr>
                <w:color w:val="000000"/>
              </w:rPr>
              <w:br/>
              <w:t>100% [98.3, 100]</w:t>
            </w:r>
          </w:p>
        </w:tc>
      </w:tr>
      <w:tr w:rsidR="00E70436" w:rsidRPr="006F393A" w:rsidTr="00A033B4">
        <w:trPr>
          <w:trHeight w:val="284"/>
        </w:trPr>
        <w:tc>
          <w:tcPr>
            <w:tcW w:w="1288" w:type="dxa"/>
            <w:vMerge w:val="restart"/>
            <w:shd w:val="clear" w:color="auto" w:fill="F2F2F2" w:themeFill="background1" w:themeFillShade="F2"/>
            <w:vAlign w:val="center"/>
          </w:tcPr>
          <w:p w:rsidR="00E70436" w:rsidRPr="006F393A" w:rsidRDefault="00E70436" w:rsidP="004A0D51">
            <w:pPr>
              <w:pStyle w:val="Tabletext"/>
            </w:pPr>
            <w:r w:rsidRPr="006F393A">
              <w:t>GT1a/b</w:t>
            </w:r>
            <w:r w:rsidRPr="006F393A">
              <w:rPr>
                <w:vertAlign w:val="superscript"/>
              </w:rPr>
              <w:t>b</w:t>
            </w:r>
          </w:p>
        </w:tc>
        <w:tc>
          <w:tcPr>
            <w:tcW w:w="1078" w:type="dxa"/>
            <w:vMerge w:val="restart"/>
            <w:shd w:val="clear" w:color="auto" w:fill="F2F2F2" w:themeFill="background1" w:themeFillShade="F2"/>
            <w:vAlign w:val="center"/>
          </w:tcPr>
          <w:p w:rsidR="00E70436" w:rsidRPr="006F393A" w:rsidRDefault="00E70436" w:rsidP="004A0D51">
            <w:pPr>
              <w:pStyle w:val="Tabletext"/>
            </w:pPr>
            <w:r w:rsidRPr="006F393A">
              <w:t>LDV/SOF</w:t>
            </w:r>
          </w:p>
        </w:tc>
        <w:tc>
          <w:tcPr>
            <w:tcW w:w="1148" w:type="dxa"/>
            <w:shd w:val="clear" w:color="auto" w:fill="F2F2F2" w:themeFill="background1" w:themeFillShade="F2"/>
            <w:vAlign w:val="center"/>
          </w:tcPr>
          <w:p w:rsidR="00E70436" w:rsidRPr="006F393A" w:rsidRDefault="00E70436" w:rsidP="004A0D51">
            <w:pPr>
              <w:pStyle w:val="Tabletext"/>
            </w:pPr>
            <w:r w:rsidRPr="006F393A">
              <w:t>12 weeks</w:t>
            </w:r>
          </w:p>
        </w:tc>
        <w:tc>
          <w:tcPr>
            <w:tcW w:w="2211" w:type="dxa"/>
            <w:shd w:val="clear" w:color="auto" w:fill="F2F2F2" w:themeFill="background1" w:themeFillShade="F2"/>
            <w:vAlign w:val="center"/>
          </w:tcPr>
          <w:p w:rsidR="00E70436" w:rsidRPr="006F393A" w:rsidRDefault="00E70436" w:rsidP="004A0D51">
            <w:pPr>
              <w:pStyle w:val="Tabletext"/>
            </w:pPr>
            <w:r w:rsidRPr="006F393A">
              <w:t>ION-1</w:t>
            </w:r>
          </w:p>
        </w:tc>
        <w:tc>
          <w:tcPr>
            <w:tcW w:w="2667" w:type="dxa"/>
            <w:shd w:val="clear" w:color="auto" w:fill="F2F2F2" w:themeFill="background1" w:themeFillShade="F2"/>
            <w:vAlign w:val="center"/>
          </w:tcPr>
          <w:p w:rsidR="00E70436" w:rsidRPr="006F393A" w:rsidRDefault="00E70436" w:rsidP="004A0D51">
            <w:pPr>
              <w:pStyle w:val="Tabletext"/>
              <w:jc w:val="center"/>
            </w:pPr>
            <w:r w:rsidRPr="006F393A">
              <w:rPr>
                <w:color w:val="000000"/>
              </w:rPr>
              <w:t>179/179</w:t>
            </w:r>
            <w:r w:rsidRPr="006F393A">
              <w:rPr>
                <w:color w:val="000000"/>
              </w:rPr>
              <w:br/>
              <w:t>100% [98, 100]</w:t>
            </w:r>
          </w:p>
        </w:tc>
      </w:tr>
      <w:tr w:rsidR="00E70436" w:rsidRPr="006F393A" w:rsidTr="00A033B4">
        <w:trPr>
          <w:trHeight w:val="284"/>
        </w:trPr>
        <w:tc>
          <w:tcPr>
            <w:tcW w:w="1288" w:type="dxa"/>
            <w:vMerge/>
            <w:shd w:val="clear" w:color="auto" w:fill="F2F2F2" w:themeFill="background1" w:themeFillShade="F2"/>
            <w:vAlign w:val="center"/>
          </w:tcPr>
          <w:p w:rsidR="00E70436" w:rsidRPr="006F393A" w:rsidRDefault="00E70436" w:rsidP="004A0D51">
            <w:pPr>
              <w:pStyle w:val="Tabletext"/>
            </w:pPr>
          </w:p>
        </w:tc>
        <w:tc>
          <w:tcPr>
            <w:tcW w:w="1078" w:type="dxa"/>
            <w:vMerge/>
            <w:shd w:val="clear" w:color="auto" w:fill="F2F2F2" w:themeFill="background1" w:themeFillShade="F2"/>
            <w:vAlign w:val="center"/>
          </w:tcPr>
          <w:p w:rsidR="00E70436" w:rsidRPr="006F393A" w:rsidRDefault="00E70436" w:rsidP="004A0D51">
            <w:pPr>
              <w:pStyle w:val="Tabletext"/>
            </w:pPr>
          </w:p>
        </w:tc>
        <w:tc>
          <w:tcPr>
            <w:tcW w:w="1148" w:type="dxa"/>
            <w:shd w:val="clear" w:color="auto" w:fill="F2F2F2" w:themeFill="background1" w:themeFillShade="F2"/>
            <w:vAlign w:val="center"/>
          </w:tcPr>
          <w:p w:rsidR="00E70436" w:rsidRPr="006F393A" w:rsidRDefault="00E70436" w:rsidP="004A0D51">
            <w:pPr>
              <w:pStyle w:val="Tabletext"/>
            </w:pPr>
            <w:r w:rsidRPr="006F393A">
              <w:t>24 weeks</w:t>
            </w:r>
          </w:p>
        </w:tc>
        <w:tc>
          <w:tcPr>
            <w:tcW w:w="2211" w:type="dxa"/>
            <w:shd w:val="clear" w:color="auto" w:fill="F2F2F2" w:themeFill="background1" w:themeFillShade="F2"/>
            <w:vAlign w:val="center"/>
          </w:tcPr>
          <w:p w:rsidR="00E70436" w:rsidRPr="006F393A" w:rsidRDefault="00E70436" w:rsidP="004A0D51">
            <w:pPr>
              <w:pStyle w:val="Tabletext"/>
            </w:pPr>
            <w:r w:rsidRPr="006F393A">
              <w:t>ION-1</w:t>
            </w:r>
          </w:p>
        </w:tc>
        <w:tc>
          <w:tcPr>
            <w:tcW w:w="2667" w:type="dxa"/>
            <w:shd w:val="clear" w:color="auto" w:fill="F2F2F2" w:themeFill="background1" w:themeFillShade="F2"/>
            <w:vAlign w:val="center"/>
          </w:tcPr>
          <w:p w:rsidR="00E70436" w:rsidRPr="006F393A" w:rsidRDefault="00E70436" w:rsidP="004A0D51">
            <w:pPr>
              <w:pStyle w:val="Tabletext"/>
              <w:jc w:val="center"/>
            </w:pPr>
            <w:r w:rsidRPr="006F393A">
              <w:rPr>
                <w:color w:val="000000"/>
              </w:rPr>
              <w:t>181/182</w:t>
            </w:r>
            <w:r w:rsidRPr="006F393A">
              <w:rPr>
                <w:color w:val="000000"/>
              </w:rPr>
              <w:br/>
              <w:t>99.5% [97, 100]</w:t>
            </w:r>
          </w:p>
        </w:tc>
      </w:tr>
      <w:tr w:rsidR="00E70436" w:rsidRPr="006F393A" w:rsidTr="00A033B4">
        <w:trPr>
          <w:trHeight w:val="60"/>
        </w:trPr>
        <w:tc>
          <w:tcPr>
            <w:tcW w:w="1288" w:type="dxa"/>
            <w:vMerge/>
            <w:shd w:val="clear" w:color="auto" w:fill="F2F2F2" w:themeFill="background1" w:themeFillShade="F2"/>
            <w:vAlign w:val="center"/>
          </w:tcPr>
          <w:p w:rsidR="00E70436" w:rsidRPr="006F393A" w:rsidRDefault="00E70436" w:rsidP="004A0D51">
            <w:pPr>
              <w:pStyle w:val="Tabletext"/>
            </w:pPr>
          </w:p>
        </w:tc>
        <w:tc>
          <w:tcPr>
            <w:tcW w:w="1078" w:type="dxa"/>
            <w:vMerge/>
            <w:shd w:val="clear" w:color="auto" w:fill="F2F2F2" w:themeFill="background1" w:themeFillShade="F2"/>
            <w:vAlign w:val="center"/>
          </w:tcPr>
          <w:p w:rsidR="00E70436" w:rsidRPr="006F393A" w:rsidRDefault="00E70436" w:rsidP="004A0D51">
            <w:pPr>
              <w:pStyle w:val="Tabletext"/>
            </w:pPr>
          </w:p>
        </w:tc>
        <w:tc>
          <w:tcPr>
            <w:tcW w:w="1148" w:type="dxa"/>
            <w:shd w:val="clear" w:color="auto" w:fill="F2F2F2" w:themeFill="background1" w:themeFillShade="F2"/>
            <w:vAlign w:val="center"/>
          </w:tcPr>
          <w:p w:rsidR="00E70436" w:rsidRPr="006F393A" w:rsidRDefault="00E70436" w:rsidP="004A0D51">
            <w:pPr>
              <w:pStyle w:val="Tabletext"/>
            </w:pPr>
            <w:r w:rsidRPr="006F393A">
              <w:t>8 weeks</w:t>
            </w:r>
          </w:p>
        </w:tc>
        <w:tc>
          <w:tcPr>
            <w:tcW w:w="2211" w:type="dxa"/>
            <w:shd w:val="clear" w:color="auto" w:fill="F2F2F2" w:themeFill="background1" w:themeFillShade="F2"/>
            <w:vAlign w:val="center"/>
          </w:tcPr>
          <w:p w:rsidR="00E70436" w:rsidRPr="006F393A" w:rsidRDefault="00E70436" w:rsidP="004A0D51">
            <w:pPr>
              <w:pStyle w:val="Tabletext"/>
            </w:pPr>
            <w:r w:rsidRPr="006F393A">
              <w:t>ION-3</w:t>
            </w:r>
          </w:p>
        </w:tc>
        <w:tc>
          <w:tcPr>
            <w:tcW w:w="2667" w:type="dxa"/>
            <w:shd w:val="clear" w:color="auto" w:fill="F2F2F2" w:themeFill="background1" w:themeFillShade="F2"/>
            <w:vAlign w:val="center"/>
          </w:tcPr>
          <w:p w:rsidR="00E70436" w:rsidRPr="006F393A" w:rsidRDefault="00E70436" w:rsidP="004A0D51">
            <w:pPr>
              <w:pStyle w:val="Tabletext"/>
              <w:jc w:val="center"/>
            </w:pPr>
            <w:r w:rsidRPr="006F393A">
              <w:rPr>
                <w:color w:val="000000"/>
              </w:rPr>
              <w:t>202/215</w:t>
            </w:r>
            <w:r w:rsidRPr="006F393A">
              <w:rPr>
                <w:color w:val="000000"/>
              </w:rPr>
              <w:br/>
              <w:t>94% [89.9, 96.7]</w:t>
            </w:r>
          </w:p>
        </w:tc>
      </w:tr>
      <w:tr w:rsidR="00E70436" w:rsidRPr="006F393A" w:rsidTr="00A033B4">
        <w:trPr>
          <w:trHeight w:val="284"/>
        </w:trPr>
        <w:tc>
          <w:tcPr>
            <w:tcW w:w="1288" w:type="dxa"/>
            <w:vMerge/>
            <w:shd w:val="clear" w:color="auto" w:fill="F2F2F2" w:themeFill="background1" w:themeFillShade="F2"/>
            <w:vAlign w:val="center"/>
          </w:tcPr>
          <w:p w:rsidR="00E70436" w:rsidRPr="006F393A" w:rsidRDefault="00E70436" w:rsidP="004A0D51">
            <w:pPr>
              <w:pStyle w:val="Tabletext"/>
            </w:pPr>
          </w:p>
        </w:tc>
        <w:tc>
          <w:tcPr>
            <w:tcW w:w="1078" w:type="dxa"/>
            <w:vMerge/>
            <w:shd w:val="clear" w:color="auto" w:fill="F2F2F2" w:themeFill="background1" w:themeFillShade="F2"/>
            <w:vAlign w:val="center"/>
          </w:tcPr>
          <w:p w:rsidR="00E70436" w:rsidRPr="006F393A" w:rsidRDefault="00E70436" w:rsidP="004A0D51">
            <w:pPr>
              <w:pStyle w:val="Tabletext"/>
            </w:pPr>
          </w:p>
        </w:tc>
        <w:tc>
          <w:tcPr>
            <w:tcW w:w="1148" w:type="dxa"/>
            <w:shd w:val="clear" w:color="auto" w:fill="F2F2F2" w:themeFill="background1" w:themeFillShade="F2"/>
            <w:vAlign w:val="center"/>
          </w:tcPr>
          <w:p w:rsidR="00E70436" w:rsidRPr="006F393A" w:rsidRDefault="00E70436" w:rsidP="004A0D51">
            <w:pPr>
              <w:pStyle w:val="Tabletext"/>
            </w:pPr>
            <w:r w:rsidRPr="006F393A">
              <w:t>12 weeks</w:t>
            </w:r>
          </w:p>
        </w:tc>
        <w:tc>
          <w:tcPr>
            <w:tcW w:w="2211" w:type="dxa"/>
            <w:shd w:val="clear" w:color="auto" w:fill="F2F2F2" w:themeFill="background1" w:themeFillShade="F2"/>
            <w:vAlign w:val="center"/>
          </w:tcPr>
          <w:p w:rsidR="00E70436" w:rsidRPr="006F393A" w:rsidRDefault="00E70436" w:rsidP="004A0D51">
            <w:pPr>
              <w:pStyle w:val="Tabletext"/>
            </w:pPr>
            <w:r w:rsidRPr="006F393A">
              <w:t>ION-3</w:t>
            </w:r>
          </w:p>
        </w:tc>
        <w:tc>
          <w:tcPr>
            <w:tcW w:w="2667" w:type="dxa"/>
            <w:shd w:val="clear" w:color="auto" w:fill="F2F2F2" w:themeFill="background1" w:themeFillShade="F2"/>
            <w:vAlign w:val="center"/>
          </w:tcPr>
          <w:p w:rsidR="00E70436" w:rsidRPr="006F393A" w:rsidRDefault="00E70436" w:rsidP="004A0D51">
            <w:pPr>
              <w:pStyle w:val="Tabletext"/>
              <w:jc w:val="center"/>
            </w:pPr>
            <w:r w:rsidRPr="006F393A">
              <w:rPr>
                <w:color w:val="000000"/>
              </w:rPr>
              <w:t>206/216</w:t>
            </w:r>
            <w:r w:rsidRPr="006F393A">
              <w:rPr>
                <w:color w:val="000000"/>
              </w:rPr>
              <w:br/>
              <w:t>95.4% [91.7, 97.8]</w:t>
            </w:r>
          </w:p>
        </w:tc>
      </w:tr>
      <w:tr w:rsidR="00E70436" w:rsidRPr="006F393A" w:rsidTr="004A0D51">
        <w:trPr>
          <w:trHeight w:val="284"/>
        </w:trPr>
        <w:tc>
          <w:tcPr>
            <w:tcW w:w="8392" w:type="dxa"/>
            <w:gridSpan w:val="5"/>
            <w:shd w:val="clear" w:color="auto" w:fill="D9D9D9" w:themeFill="background1" w:themeFillShade="D9"/>
            <w:vAlign w:val="center"/>
          </w:tcPr>
          <w:p w:rsidR="00E70436" w:rsidRPr="006F393A" w:rsidRDefault="00E70436" w:rsidP="004A0D51">
            <w:pPr>
              <w:pStyle w:val="Tabletext"/>
              <w:rPr>
                <w:b/>
              </w:rPr>
            </w:pPr>
            <w:r w:rsidRPr="006F393A">
              <w:rPr>
                <w:b/>
              </w:rPr>
              <w:t>Treatment naïve, cirrhotic</w:t>
            </w:r>
          </w:p>
        </w:tc>
      </w:tr>
      <w:tr w:rsidR="00E70436" w:rsidRPr="006F393A" w:rsidTr="004A0D51">
        <w:trPr>
          <w:trHeight w:val="284"/>
        </w:trPr>
        <w:tc>
          <w:tcPr>
            <w:tcW w:w="1288" w:type="dxa"/>
            <w:vAlign w:val="center"/>
          </w:tcPr>
          <w:p w:rsidR="00E70436" w:rsidRPr="006F393A" w:rsidRDefault="00E70436" w:rsidP="004A0D51">
            <w:pPr>
              <w:pStyle w:val="Tabletext"/>
            </w:pPr>
            <w:r w:rsidRPr="006F393A">
              <w:t>GT1a</w:t>
            </w:r>
          </w:p>
        </w:tc>
        <w:tc>
          <w:tcPr>
            <w:tcW w:w="1078" w:type="dxa"/>
            <w:vMerge w:val="restart"/>
            <w:vAlign w:val="center"/>
          </w:tcPr>
          <w:p w:rsidR="00E70436" w:rsidRPr="006F393A" w:rsidRDefault="00E70436" w:rsidP="004A0D51">
            <w:pPr>
              <w:pStyle w:val="Tabletext"/>
            </w:pPr>
            <w:proofErr w:type="spellStart"/>
            <w:r w:rsidRPr="006F393A">
              <w:t>Viekira</w:t>
            </w:r>
            <w:proofErr w:type="spellEnd"/>
            <w:r w:rsidRPr="006F393A">
              <w:t xml:space="preserve"> PAK-RBV</w:t>
            </w:r>
          </w:p>
        </w:tc>
        <w:tc>
          <w:tcPr>
            <w:tcW w:w="1148" w:type="dxa"/>
            <w:vAlign w:val="center"/>
          </w:tcPr>
          <w:p w:rsidR="00E70436" w:rsidRPr="006F393A" w:rsidRDefault="00E70436" w:rsidP="004A0D51">
            <w:pPr>
              <w:pStyle w:val="Tabletext"/>
            </w:pPr>
            <w:r w:rsidRPr="006F393A">
              <w:t>12 weeks</w:t>
            </w:r>
          </w:p>
        </w:tc>
        <w:tc>
          <w:tcPr>
            <w:tcW w:w="2211" w:type="dxa"/>
            <w:vAlign w:val="center"/>
          </w:tcPr>
          <w:p w:rsidR="00E70436" w:rsidRPr="006F393A" w:rsidRDefault="00E70436" w:rsidP="004A0D51">
            <w:pPr>
              <w:pStyle w:val="Tabletext"/>
            </w:pPr>
            <w:r w:rsidRPr="006F393A">
              <w:t>Turquoise II (Arm A</w:t>
            </w:r>
            <w:r w:rsidRPr="006F393A">
              <w:rPr>
                <w:vertAlign w:val="superscript"/>
              </w:rPr>
              <w:t>a</w:t>
            </w:r>
            <w:r w:rsidRPr="006F393A">
              <w:t>)</w:t>
            </w:r>
          </w:p>
        </w:tc>
        <w:tc>
          <w:tcPr>
            <w:tcW w:w="2667" w:type="dxa"/>
            <w:vAlign w:val="center"/>
          </w:tcPr>
          <w:p w:rsidR="00E70436" w:rsidRPr="006F393A" w:rsidRDefault="00E70436" w:rsidP="004A0D51">
            <w:pPr>
              <w:pStyle w:val="Tabletext"/>
              <w:jc w:val="center"/>
            </w:pPr>
            <w:r w:rsidRPr="006F393A">
              <w:t>59/64</w:t>
            </w:r>
            <w:r w:rsidRPr="006F393A">
              <w:br/>
              <w:t>92.2% [82.7, 97.4]</w:t>
            </w:r>
          </w:p>
        </w:tc>
      </w:tr>
      <w:tr w:rsidR="00E70436" w:rsidRPr="006F393A" w:rsidTr="004A0D51">
        <w:trPr>
          <w:trHeight w:val="284"/>
        </w:trPr>
        <w:tc>
          <w:tcPr>
            <w:tcW w:w="1288" w:type="dxa"/>
            <w:vAlign w:val="center"/>
          </w:tcPr>
          <w:p w:rsidR="00E70436" w:rsidRPr="006F393A" w:rsidRDefault="00E70436" w:rsidP="004A0D51">
            <w:pPr>
              <w:pStyle w:val="Tabletext"/>
            </w:pPr>
            <w:r w:rsidRPr="006F393A">
              <w:t>GT1b</w:t>
            </w:r>
          </w:p>
        </w:tc>
        <w:tc>
          <w:tcPr>
            <w:tcW w:w="1078" w:type="dxa"/>
            <w:vMerge/>
            <w:vAlign w:val="center"/>
          </w:tcPr>
          <w:p w:rsidR="00E70436" w:rsidRPr="006F393A" w:rsidRDefault="00E70436" w:rsidP="004A0D51">
            <w:pPr>
              <w:pStyle w:val="Tabletext"/>
            </w:pPr>
          </w:p>
        </w:tc>
        <w:tc>
          <w:tcPr>
            <w:tcW w:w="1148" w:type="dxa"/>
            <w:vAlign w:val="center"/>
          </w:tcPr>
          <w:p w:rsidR="00E70436" w:rsidRPr="006F393A" w:rsidRDefault="00E70436" w:rsidP="004A0D51">
            <w:pPr>
              <w:pStyle w:val="Tabletext"/>
            </w:pPr>
            <w:r w:rsidRPr="006F393A">
              <w:t>12 weeks</w:t>
            </w:r>
          </w:p>
        </w:tc>
        <w:tc>
          <w:tcPr>
            <w:tcW w:w="2211" w:type="dxa"/>
            <w:vAlign w:val="center"/>
          </w:tcPr>
          <w:p w:rsidR="00E70436" w:rsidRPr="006F393A" w:rsidRDefault="00E70436" w:rsidP="004A0D51">
            <w:pPr>
              <w:pStyle w:val="Tabletext"/>
            </w:pPr>
            <w:r w:rsidRPr="006F393A">
              <w:t>Turquoise II (Arm A</w:t>
            </w:r>
            <w:r w:rsidRPr="006F393A">
              <w:rPr>
                <w:vertAlign w:val="superscript"/>
              </w:rPr>
              <w:t>a</w:t>
            </w:r>
            <w:r w:rsidRPr="006F393A">
              <w:t>)</w:t>
            </w:r>
          </w:p>
        </w:tc>
        <w:tc>
          <w:tcPr>
            <w:tcW w:w="2667" w:type="dxa"/>
            <w:vAlign w:val="center"/>
          </w:tcPr>
          <w:p w:rsidR="00E70436" w:rsidRPr="006F393A" w:rsidRDefault="00E70436" w:rsidP="004A0D51">
            <w:pPr>
              <w:pStyle w:val="Tabletext"/>
              <w:jc w:val="center"/>
            </w:pPr>
            <w:r w:rsidRPr="006F393A">
              <w:t>22/22</w:t>
            </w:r>
            <w:r w:rsidRPr="006F393A">
              <w:br/>
              <w:t>100% [84.6, 100]</w:t>
            </w:r>
          </w:p>
        </w:tc>
      </w:tr>
      <w:tr w:rsidR="00E70436" w:rsidRPr="006F393A" w:rsidTr="00BF36DD">
        <w:trPr>
          <w:trHeight w:val="284"/>
        </w:trPr>
        <w:tc>
          <w:tcPr>
            <w:tcW w:w="1288" w:type="dxa"/>
            <w:vMerge w:val="restart"/>
            <w:shd w:val="clear" w:color="auto" w:fill="F2F2F2" w:themeFill="background1" w:themeFillShade="F2"/>
            <w:vAlign w:val="center"/>
          </w:tcPr>
          <w:p w:rsidR="00E70436" w:rsidRPr="006F393A" w:rsidRDefault="00E70436" w:rsidP="004A0D51">
            <w:pPr>
              <w:pStyle w:val="Tabletext"/>
            </w:pPr>
            <w:r w:rsidRPr="006F393A">
              <w:t>GT1a/b</w:t>
            </w:r>
            <w:r w:rsidRPr="006F393A">
              <w:rPr>
                <w:vertAlign w:val="superscript"/>
              </w:rPr>
              <w:t>b</w:t>
            </w:r>
          </w:p>
        </w:tc>
        <w:tc>
          <w:tcPr>
            <w:tcW w:w="1078" w:type="dxa"/>
            <w:vMerge w:val="restart"/>
            <w:shd w:val="clear" w:color="auto" w:fill="F2F2F2" w:themeFill="background1" w:themeFillShade="F2"/>
            <w:vAlign w:val="center"/>
          </w:tcPr>
          <w:p w:rsidR="00E70436" w:rsidRPr="006F393A" w:rsidRDefault="00E70436" w:rsidP="004A0D51">
            <w:pPr>
              <w:pStyle w:val="Tabletext"/>
            </w:pPr>
            <w:r w:rsidRPr="006F393A">
              <w:t>LDV/SOF</w:t>
            </w:r>
          </w:p>
        </w:tc>
        <w:tc>
          <w:tcPr>
            <w:tcW w:w="1148" w:type="dxa"/>
            <w:shd w:val="clear" w:color="auto" w:fill="F2F2F2" w:themeFill="background1" w:themeFillShade="F2"/>
            <w:vAlign w:val="center"/>
          </w:tcPr>
          <w:p w:rsidR="00E70436" w:rsidRPr="006F393A" w:rsidRDefault="00E70436" w:rsidP="004A0D51">
            <w:pPr>
              <w:pStyle w:val="Tabletext"/>
            </w:pPr>
            <w:r w:rsidRPr="006F393A">
              <w:t>12 weeks</w:t>
            </w:r>
          </w:p>
        </w:tc>
        <w:tc>
          <w:tcPr>
            <w:tcW w:w="2211" w:type="dxa"/>
            <w:shd w:val="clear" w:color="auto" w:fill="F2F2F2" w:themeFill="background1" w:themeFillShade="F2"/>
            <w:vAlign w:val="center"/>
          </w:tcPr>
          <w:p w:rsidR="00E70436" w:rsidRPr="006F393A" w:rsidRDefault="00E70436" w:rsidP="004A0D51">
            <w:pPr>
              <w:pStyle w:val="Tabletext"/>
            </w:pPr>
            <w:r w:rsidRPr="006F393A">
              <w:t>ION-1</w:t>
            </w:r>
          </w:p>
        </w:tc>
        <w:tc>
          <w:tcPr>
            <w:tcW w:w="2667" w:type="dxa"/>
            <w:shd w:val="clear" w:color="auto" w:fill="F2F2F2" w:themeFill="background1" w:themeFillShade="F2"/>
            <w:vAlign w:val="center"/>
          </w:tcPr>
          <w:p w:rsidR="00E70436" w:rsidRPr="006F393A" w:rsidRDefault="00E70436" w:rsidP="004A0D51">
            <w:pPr>
              <w:pStyle w:val="Tabletext"/>
              <w:jc w:val="center"/>
            </w:pPr>
            <w:r w:rsidRPr="006F393A">
              <w:t>32/33</w:t>
            </w:r>
            <w:r w:rsidRPr="006F393A">
              <w:br/>
              <w:t>97% [84.2, 99.9]</w:t>
            </w:r>
          </w:p>
        </w:tc>
      </w:tr>
      <w:tr w:rsidR="00E70436" w:rsidRPr="006F393A" w:rsidTr="00BF36DD">
        <w:trPr>
          <w:trHeight w:val="284"/>
        </w:trPr>
        <w:tc>
          <w:tcPr>
            <w:tcW w:w="1288" w:type="dxa"/>
            <w:vMerge/>
            <w:shd w:val="clear" w:color="auto" w:fill="F2F2F2" w:themeFill="background1" w:themeFillShade="F2"/>
            <w:vAlign w:val="center"/>
          </w:tcPr>
          <w:p w:rsidR="00E70436" w:rsidRPr="006F393A" w:rsidRDefault="00E70436" w:rsidP="004A0D51">
            <w:pPr>
              <w:pStyle w:val="Tabletext"/>
            </w:pPr>
          </w:p>
        </w:tc>
        <w:tc>
          <w:tcPr>
            <w:tcW w:w="1078" w:type="dxa"/>
            <w:vMerge/>
            <w:shd w:val="clear" w:color="auto" w:fill="F2F2F2" w:themeFill="background1" w:themeFillShade="F2"/>
            <w:vAlign w:val="center"/>
          </w:tcPr>
          <w:p w:rsidR="00E70436" w:rsidRPr="006F393A" w:rsidRDefault="00E70436" w:rsidP="004A0D51">
            <w:pPr>
              <w:pStyle w:val="Tabletext"/>
            </w:pPr>
          </w:p>
        </w:tc>
        <w:tc>
          <w:tcPr>
            <w:tcW w:w="1148" w:type="dxa"/>
            <w:shd w:val="clear" w:color="auto" w:fill="F2F2F2" w:themeFill="background1" w:themeFillShade="F2"/>
            <w:vAlign w:val="center"/>
          </w:tcPr>
          <w:p w:rsidR="00E70436" w:rsidRPr="006F393A" w:rsidRDefault="00E70436" w:rsidP="004A0D51">
            <w:pPr>
              <w:pStyle w:val="Tabletext"/>
            </w:pPr>
            <w:r w:rsidRPr="006F393A">
              <w:t>24 weeks</w:t>
            </w:r>
          </w:p>
        </w:tc>
        <w:tc>
          <w:tcPr>
            <w:tcW w:w="2211" w:type="dxa"/>
            <w:shd w:val="clear" w:color="auto" w:fill="F2F2F2" w:themeFill="background1" w:themeFillShade="F2"/>
            <w:vAlign w:val="center"/>
          </w:tcPr>
          <w:p w:rsidR="00E70436" w:rsidRPr="006F393A" w:rsidRDefault="00E70436" w:rsidP="004A0D51">
            <w:pPr>
              <w:pStyle w:val="Tabletext"/>
            </w:pPr>
            <w:r w:rsidRPr="006F393A">
              <w:t>ION-1</w:t>
            </w:r>
          </w:p>
        </w:tc>
        <w:tc>
          <w:tcPr>
            <w:tcW w:w="2667" w:type="dxa"/>
            <w:shd w:val="clear" w:color="auto" w:fill="F2F2F2" w:themeFill="background1" w:themeFillShade="F2"/>
            <w:vAlign w:val="center"/>
          </w:tcPr>
          <w:p w:rsidR="00E70436" w:rsidRPr="006F393A" w:rsidRDefault="00E70436" w:rsidP="004A0D51">
            <w:pPr>
              <w:pStyle w:val="Tabletext"/>
              <w:jc w:val="center"/>
            </w:pPr>
            <w:r w:rsidRPr="006F393A">
              <w:t>31/32</w:t>
            </w:r>
            <w:r w:rsidRPr="006F393A">
              <w:br/>
              <w:t>96.9% [83.8, 99.9]</w:t>
            </w:r>
          </w:p>
        </w:tc>
      </w:tr>
      <w:tr w:rsidR="00E70436" w:rsidRPr="006F393A" w:rsidTr="004A0D51">
        <w:trPr>
          <w:trHeight w:val="284"/>
        </w:trPr>
        <w:tc>
          <w:tcPr>
            <w:tcW w:w="8392" w:type="dxa"/>
            <w:gridSpan w:val="5"/>
            <w:shd w:val="clear" w:color="auto" w:fill="D9D9D9" w:themeFill="background1" w:themeFillShade="D9"/>
            <w:vAlign w:val="center"/>
          </w:tcPr>
          <w:p w:rsidR="00E70436" w:rsidRPr="006F393A" w:rsidRDefault="00E70436" w:rsidP="004A0D51">
            <w:pPr>
              <w:pStyle w:val="Tabletext"/>
              <w:rPr>
                <w:b/>
              </w:rPr>
            </w:pPr>
            <w:r w:rsidRPr="006F393A">
              <w:rPr>
                <w:b/>
              </w:rPr>
              <w:t>Treatment experienced, non-cirrhotic</w:t>
            </w:r>
          </w:p>
        </w:tc>
      </w:tr>
      <w:tr w:rsidR="00E70436" w:rsidRPr="006F393A" w:rsidTr="004A0D51">
        <w:trPr>
          <w:trHeight w:val="284"/>
        </w:trPr>
        <w:tc>
          <w:tcPr>
            <w:tcW w:w="1288" w:type="dxa"/>
            <w:vMerge w:val="restart"/>
            <w:vAlign w:val="center"/>
          </w:tcPr>
          <w:p w:rsidR="00E70436" w:rsidRPr="006F393A" w:rsidRDefault="00E70436" w:rsidP="004A0D51">
            <w:pPr>
              <w:pStyle w:val="Tabletext"/>
            </w:pPr>
            <w:r w:rsidRPr="006F393A">
              <w:t>GT1a</w:t>
            </w:r>
          </w:p>
        </w:tc>
        <w:tc>
          <w:tcPr>
            <w:tcW w:w="1078" w:type="dxa"/>
            <w:vMerge w:val="restart"/>
            <w:vAlign w:val="center"/>
          </w:tcPr>
          <w:p w:rsidR="00E70436" w:rsidRPr="006F393A" w:rsidRDefault="00E70436" w:rsidP="004A0D51">
            <w:pPr>
              <w:pStyle w:val="Tabletext"/>
            </w:pPr>
            <w:proofErr w:type="spellStart"/>
            <w:r w:rsidRPr="006F393A">
              <w:t>Viekira</w:t>
            </w:r>
            <w:proofErr w:type="spellEnd"/>
            <w:r w:rsidRPr="006F393A">
              <w:t xml:space="preserve"> PAK-RBV</w:t>
            </w:r>
          </w:p>
        </w:tc>
        <w:tc>
          <w:tcPr>
            <w:tcW w:w="1148" w:type="dxa"/>
            <w:vMerge w:val="restart"/>
            <w:vAlign w:val="center"/>
          </w:tcPr>
          <w:p w:rsidR="00E70436" w:rsidRPr="006F393A" w:rsidRDefault="00E70436" w:rsidP="004A0D51">
            <w:pPr>
              <w:pStyle w:val="Tabletext"/>
            </w:pPr>
            <w:r w:rsidRPr="006F393A">
              <w:t>12 weeks</w:t>
            </w:r>
          </w:p>
        </w:tc>
        <w:tc>
          <w:tcPr>
            <w:tcW w:w="2211" w:type="dxa"/>
            <w:vAlign w:val="center"/>
          </w:tcPr>
          <w:p w:rsidR="00E70436" w:rsidRPr="006F393A" w:rsidRDefault="00E70436" w:rsidP="004A0D51">
            <w:pPr>
              <w:pStyle w:val="Tabletext"/>
            </w:pPr>
            <w:r w:rsidRPr="006F393A">
              <w:t>Malachite II (Arm A</w:t>
            </w:r>
            <w:r w:rsidRPr="006F393A">
              <w:rPr>
                <w:vertAlign w:val="superscript"/>
              </w:rPr>
              <w:t>a</w:t>
            </w:r>
            <w:r w:rsidRPr="006F393A">
              <w:t>)</w:t>
            </w:r>
          </w:p>
        </w:tc>
        <w:tc>
          <w:tcPr>
            <w:tcW w:w="2667" w:type="dxa"/>
            <w:vAlign w:val="center"/>
          </w:tcPr>
          <w:p w:rsidR="00E70436" w:rsidRPr="006F393A" w:rsidRDefault="00E70436" w:rsidP="004A0D51">
            <w:pPr>
              <w:pStyle w:val="Tabletext"/>
              <w:jc w:val="center"/>
            </w:pPr>
            <w:r w:rsidRPr="006F393A">
              <w:t>19/19</w:t>
            </w:r>
            <w:r w:rsidRPr="006F393A">
              <w:br/>
              <w:t>100% [82.4, 100]</w:t>
            </w:r>
          </w:p>
        </w:tc>
      </w:tr>
      <w:tr w:rsidR="00E70436" w:rsidRPr="006F393A" w:rsidTr="004A0D51">
        <w:trPr>
          <w:trHeight w:val="284"/>
        </w:trPr>
        <w:tc>
          <w:tcPr>
            <w:tcW w:w="1288" w:type="dxa"/>
            <w:vMerge/>
            <w:vAlign w:val="center"/>
          </w:tcPr>
          <w:p w:rsidR="00E70436" w:rsidRPr="006F393A" w:rsidRDefault="00E70436" w:rsidP="004A0D51">
            <w:pPr>
              <w:pStyle w:val="Tabletext"/>
            </w:pPr>
          </w:p>
        </w:tc>
        <w:tc>
          <w:tcPr>
            <w:tcW w:w="1078" w:type="dxa"/>
            <w:vMerge/>
            <w:vAlign w:val="center"/>
          </w:tcPr>
          <w:p w:rsidR="00E70436" w:rsidRPr="006F393A" w:rsidRDefault="00E70436" w:rsidP="004A0D51">
            <w:pPr>
              <w:pStyle w:val="Tabletext"/>
            </w:pPr>
          </w:p>
        </w:tc>
        <w:tc>
          <w:tcPr>
            <w:tcW w:w="1148" w:type="dxa"/>
            <w:vMerge/>
            <w:vAlign w:val="center"/>
          </w:tcPr>
          <w:p w:rsidR="00E70436" w:rsidRPr="006F393A" w:rsidRDefault="00E70436" w:rsidP="004A0D51">
            <w:pPr>
              <w:pStyle w:val="Tabletext"/>
            </w:pPr>
          </w:p>
        </w:tc>
        <w:tc>
          <w:tcPr>
            <w:tcW w:w="2211" w:type="dxa"/>
            <w:vAlign w:val="center"/>
          </w:tcPr>
          <w:p w:rsidR="00E70436" w:rsidRPr="006F393A" w:rsidRDefault="00E70436" w:rsidP="004A0D51">
            <w:pPr>
              <w:pStyle w:val="Tabletext"/>
            </w:pPr>
            <w:r w:rsidRPr="006F393A">
              <w:t>Sapphire II (Arm A</w:t>
            </w:r>
            <w:r w:rsidRPr="006F393A">
              <w:rPr>
                <w:vertAlign w:val="superscript"/>
              </w:rPr>
              <w:t>a</w:t>
            </w:r>
            <w:r w:rsidRPr="006F393A">
              <w:t>)</w:t>
            </w:r>
          </w:p>
        </w:tc>
        <w:tc>
          <w:tcPr>
            <w:tcW w:w="2667" w:type="dxa"/>
            <w:vAlign w:val="center"/>
          </w:tcPr>
          <w:p w:rsidR="00E70436" w:rsidRPr="006F393A" w:rsidRDefault="00E70436" w:rsidP="004A0D51">
            <w:pPr>
              <w:pStyle w:val="Tabletext"/>
              <w:jc w:val="center"/>
            </w:pPr>
            <w:r w:rsidRPr="006F393A">
              <w:t>166/173</w:t>
            </w:r>
            <w:r w:rsidRPr="006F393A">
              <w:br/>
              <w:t>96% [91.8, 98.4]</w:t>
            </w:r>
          </w:p>
        </w:tc>
      </w:tr>
      <w:tr w:rsidR="00E70436" w:rsidRPr="006F393A" w:rsidTr="004A0D51">
        <w:trPr>
          <w:trHeight w:val="284"/>
        </w:trPr>
        <w:tc>
          <w:tcPr>
            <w:tcW w:w="1288" w:type="dxa"/>
            <w:vAlign w:val="center"/>
          </w:tcPr>
          <w:p w:rsidR="00E70436" w:rsidRPr="006F393A" w:rsidRDefault="00E70436" w:rsidP="004A0D51">
            <w:pPr>
              <w:pStyle w:val="Tabletext"/>
            </w:pPr>
            <w:r w:rsidRPr="006F393A">
              <w:t>GT1b</w:t>
            </w:r>
          </w:p>
        </w:tc>
        <w:tc>
          <w:tcPr>
            <w:tcW w:w="1078" w:type="dxa"/>
            <w:vAlign w:val="center"/>
          </w:tcPr>
          <w:p w:rsidR="00E70436" w:rsidRPr="006F393A" w:rsidRDefault="00E70436" w:rsidP="004A0D51">
            <w:pPr>
              <w:pStyle w:val="Tabletext"/>
            </w:pPr>
            <w:proofErr w:type="spellStart"/>
            <w:r w:rsidRPr="006F393A">
              <w:t>Viekira</w:t>
            </w:r>
            <w:proofErr w:type="spellEnd"/>
            <w:r w:rsidRPr="006F393A">
              <w:t xml:space="preserve"> PAK</w:t>
            </w:r>
          </w:p>
        </w:tc>
        <w:tc>
          <w:tcPr>
            <w:tcW w:w="1148" w:type="dxa"/>
            <w:vAlign w:val="center"/>
          </w:tcPr>
          <w:p w:rsidR="00E70436" w:rsidRPr="006F393A" w:rsidRDefault="00E70436" w:rsidP="004A0D51">
            <w:pPr>
              <w:pStyle w:val="Tabletext"/>
            </w:pPr>
            <w:r w:rsidRPr="006F393A">
              <w:t>12 weeks</w:t>
            </w:r>
          </w:p>
        </w:tc>
        <w:tc>
          <w:tcPr>
            <w:tcW w:w="2211" w:type="dxa"/>
            <w:vAlign w:val="center"/>
          </w:tcPr>
          <w:p w:rsidR="00E70436" w:rsidRPr="006F393A" w:rsidRDefault="00E70436" w:rsidP="004A0D51">
            <w:pPr>
              <w:pStyle w:val="Tabletext"/>
            </w:pPr>
            <w:r w:rsidRPr="006F393A">
              <w:t>Pearl II (Arm 2)</w:t>
            </w:r>
            <w:r w:rsidRPr="006F393A">
              <w:rPr>
                <w:vertAlign w:val="superscript"/>
              </w:rPr>
              <w:t>f</w:t>
            </w:r>
          </w:p>
        </w:tc>
        <w:tc>
          <w:tcPr>
            <w:tcW w:w="2667" w:type="dxa"/>
            <w:vAlign w:val="center"/>
          </w:tcPr>
          <w:p w:rsidR="00E70436" w:rsidRPr="006F393A" w:rsidRDefault="00E70436" w:rsidP="004A0D51">
            <w:pPr>
              <w:pStyle w:val="Tabletext"/>
              <w:jc w:val="center"/>
            </w:pPr>
            <w:r w:rsidRPr="006F393A">
              <w:t>91/91</w:t>
            </w:r>
            <w:r w:rsidRPr="006F393A">
              <w:br/>
              <w:t>100% [96, 100]</w:t>
            </w:r>
          </w:p>
        </w:tc>
      </w:tr>
      <w:tr w:rsidR="00E70436" w:rsidRPr="006F393A" w:rsidTr="00BF36DD">
        <w:trPr>
          <w:trHeight w:val="284"/>
        </w:trPr>
        <w:tc>
          <w:tcPr>
            <w:tcW w:w="1288" w:type="dxa"/>
            <w:vMerge w:val="restart"/>
            <w:shd w:val="clear" w:color="auto" w:fill="F2F2F2" w:themeFill="background1" w:themeFillShade="F2"/>
            <w:vAlign w:val="center"/>
          </w:tcPr>
          <w:p w:rsidR="00E70436" w:rsidRPr="006F393A" w:rsidRDefault="00E70436" w:rsidP="004A0D51">
            <w:pPr>
              <w:pStyle w:val="Tabletext"/>
            </w:pPr>
            <w:proofErr w:type="spellStart"/>
            <w:r w:rsidRPr="006F393A">
              <w:t>GTa</w:t>
            </w:r>
            <w:proofErr w:type="spellEnd"/>
            <w:r w:rsidRPr="006F393A">
              <w:t>/b</w:t>
            </w:r>
            <w:r w:rsidRPr="006F393A">
              <w:rPr>
                <w:vertAlign w:val="superscript"/>
              </w:rPr>
              <w:t>b</w:t>
            </w:r>
          </w:p>
        </w:tc>
        <w:tc>
          <w:tcPr>
            <w:tcW w:w="1078" w:type="dxa"/>
            <w:vMerge w:val="restart"/>
            <w:shd w:val="clear" w:color="auto" w:fill="F2F2F2" w:themeFill="background1" w:themeFillShade="F2"/>
            <w:vAlign w:val="center"/>
          </w:tcPr>
          <w:p w:rsidR="00E70436" w:rsidRPr="006F393A" w:rsidRDefault="00E70436" w:rsidP="004A0D51">
            <w:pPr>
              <w:pStyle w:val="Tabletext"/>
            </w:pPr>
            <w:r w:rsidRPr="006F393A">
              <w:t>LDV/SOF</w:t>
            </w:r>
          </w:p>
        </w:tc>
        <w:tc>
          <w:tcPr>
            <w:tcW w:w="1148" w:type="dxa"/>
            <w:shd w:val="clear" w:color="auto" w:fill="F2F2F2" w:themeFill="background1" w:themeFillShade="F2"/>
            <w:vAlign w:val="center"/>
          </w:tcPr>
          <w:p w:rsidR="00E70436" w:rsidRPr="006F393A" w:rsidRDefault="00E70436" w:rsidP="004A0D51">
            <w:pPr>
              <w:pStyle w:val="Tabletext"/>
            </w:pPr>
            <w:r w:rsidRPr="006F393A">
              <w:t>12 weeks</w:t>
            </w:r>
          </w:p>
        </w:tc>
        <w:tc>
          <w:tcPr>
            <w:tcW w:w="2211" w:type="dxa"/>
            <w:shd w:val="clear" w:color="auto" w:fill="F2F2F2" w:themeFill="background1" w:themeFillShade="F2"/>
            <w:vAlign w:val="center"/>
          </w:tcPr>
          <w:p w:rsidR="00E70436" w:rsidRPr="006F393A" w:rsidRDefault="00E70436" w:rsidP="004A0D51">
            <w:pPr>
              <w:pStyle w:val="Tabletext"/>
            </w:pPr>
            <w:r w:rsidRPr="006F393A">
              <w:t>ION-2</w:t>
            </w:r>
          </w:p>
        </w:tc>
        <w:tc>
          <w:tcPr>
            <w:tcW w:w="2667" w:type="dxa"/>
            <w:shd w:val="clear" w:color="auto" w:fill="F2F2F2" w:themeFill="background1" w:themeFillShade="F2"/>
            <w:vAlign w:val="center"/>
          </w:tcPr>
          <w:p w:rsidR="00E70436" w:rsidRPr="006F393A" w:rsidRDefault="00E70436" w:rsidP="004A0D51">
            <w:pPr>
              <w:pStyle w:val="Tabletext"/>
              <w:jc w:val="center"/>
            </w:pPr>
            <w:r w:rsidRPr="006F393A">
              <w:t>83/87</w:t>
            </w:r>
            <w:r w:rsidRPr="006F393A">
              <w:br/>
              <w:t>95.4% [88.6, 98.7]</w:t>
            </w:r>
          </w:p>
        </w:tc>
      </w:tr>
      <w:tr w:rsidR="00E70436" w:rsidRPr="006F393A" w:rsidTr="00BF36DD">
        <w:trPr>
          <w:trHeight w:val="284"/>
        </w:trPr>
        <w:tc>
          <w:tcPr>
            <w:tcW w:w="1288" w:type="dxa"/>
            <w:vMerge/>
            <w:shd w:val="clear" w:color="auto" w:fill="F2F2F2" w:themeFill="background1" w:themeFillShade="F2"/>
            <w:vAlign w:val="center"/>
          </w:tcPr>
          <w:p w:rsidR="00E70436" w:rsidRPr="006F393A" w:rsidRDefault="00E70436" w:rsidP="004A0D51">
            <w:pPr>
              <w:pStyle w:val="Tabletext"/>
            </w:pPr>
          </w:p>
        </w:tc>
        <w:tc>
          <w:tcPr>
            <w:tcW w:w="1078" w:type="dxa"/>
            <w:vMerge/>
            <w:shd w:val="clear" w:color="auto" w:fill="F2F2F2" w:themeFill="background1" w:themeFillShade="F2"/>
            <w:vAlign w:val="center"/>
          </w:tcPr>
          <w:p w:rsidR="00E70436" w:rsidRPr="006F393A" w:rsidRDefault="00E70436" w:rsidP="004A0D51">
            <w:pPr>
              <w:pStyle w:val="Tabletext"/>
            </w:pPr>
          </w:p>
        </w:tc>
        <w:tc>
          <w:tcPr>
            <w:tcW w:w="1148" w:type="dxa"/>
            <w:shd w:val="clear" w:color="auto" w:fill="F2F2F2" w:themeFill="background1" w:themeFillShade="F2"/>
            <w:vAlign w:val="center"/>
          </w:tcPr>
          <w:p w:rsidR="00E70436" w:rsidRPr="006F393A" w:rsidRDefault="00E70436" w:rsidP="004A0D51">
            <w:pPr>
              <w:pStyle w:val="Tabletext"/>
            </w:pPr>
            <w:r w:rsidRPr="006F393A">
              <w:t>24 weeks</w:t>
            </w:r>
          </w:p>
        </w:tc>
        <w:tc>
          <w:tcPr>
            <w:tcW w:w="2211" w:type="dxa"/>
            <w:shd w:val="clear" w:color="auto" w:fill="F2F2F2" w:themeFill="background1" w:themeFillShade="F2"/>
            <w:vAlign w:val="center"/>
          </w:tcPr>
          <w:p w:rsidR="00E70436" w:rsidRPr="006F393A" w:rsidRDefault="00E70436" w:rsidP="004A0D51">
            <w:pPr>
              <w:pStyle w:val="Tabletext"/>
            </w:pPr>
            <w:r w:rsidRPr="006F393A">
              <w:t>ION-2</w:t>
            </w:r>
          </w:p>
        </w:tc>
        <w:tc>
          <w:tcPr>
            <w:tcW w:w="2667" w:type="dxa"/>
            <w:shd w:val="clear" w:color="auto" w:fill="F2F2F2" w:themeFill="background1" w:themeFillShade="F2"/>
            <w:vAlign w:val="center"/>
          </w:tcPr>
          <w:p w:rsidR="00E70436" w:rsidRPr="006F393A" w:rsidRDefault="00E70436" w:rsidP="004A0D51">
            <w:pPr>
              <w:pStyle w:val="Tabletext"/>
              <w:jc w:val="center"/>
            </w:pPr>
            <w:r w:rsidRPr="006F393A">
              <w:t>86/87</w:t>
            </w:r>
            <w:r w:rsidRPr="006F393A">
              <w:br/>
              <w:t>98.9% [93.8, 100]</w:t>
            </w:r>
          </w:p>
        </w:tc>
      </w:tr>
      <w:tr w:rsidR="00E70436" w:rsidRPr="006F393A" w:rsidTr="004A0D51">
        <w:trPr>
          <w:trHeight w:val="284"/>
        </w:trPr>
        <w:tc>
          <w:tcPr>
            <w:tcW w:w="8392" w:type="dxa"/>
            <w:gridSpan w:val="5"/>
            <w:shd w:val="clear" w:color="auto" w:fill="D9D9D9" w:themeFill="background1" w:themeFillShade="D9"/>
            <w:vAlign w:val="center"/>
          </w:tcPr>
          <w:p w:rsidR="00E70436" w:rsidRPr="006F393A" w:rsidRDefault="00E70436" w:rsidP="004A0D51">
            <w:pPr>
              <w:pStyle w:val="Tabletext"/>
            </w:pPr>
            <w:r w:rsidRPr="006F393A">
              <w:rPr>
                <w:b/>
              </w:rPr>
              <w:t>Treatment experienced, cirrhotic</w:t>
            </w:r>
          </w:p>
        </w:tc>
      </w:tr>
      <w:tr w:rsidR="00E70436" w:rsidRPr="006F393A" w:rsidTr="004A0D51">
        <w:trPr>
          <w:trHeight w:val="284"/>
        </w:trPr>
        <w:tc>
          <w:tcPr>
            <w:tcW w:w="1288" w:type="dxa"/>
            <w:vAlign w:val="center"/>
          </w:tcPr>
          <w:p w:rsidR="00E70436" w:rsidRPr="006F393A" w:rsidRDefault="00E70436" w:rsidP="004A0D51">
            <w:pPr>
              <w:pStyle w:val="Tabletext"/>
            </w:pPr>
            <w:r w:rsidRPr="006F393A">
              <w:t>GT1a</w:t>
            </w:r>
          </w:p>
        </w:tc>
        <w:tc>
          <w:tcPr>
            <w:tcW w:w="1078" w:type="dxa"/>
            <w:vMerge w:val="restart"/>
            <w:vAlign w:val="center"/>
          </w:tcPr>
          <w:p w:rsidR="00E70436" w:rsidRPr="006F393A" w:rsidRDefault="00E70436" w:rsidP="004A0D51">
            <w:pPr>
              <w:pStyle w:val="Tabletext"/>
            </w:pPr>
            <w:proofErr w:type="spellStart"/>
            <w:r w:rsidRPr="006F393A">
              <w:t>Viekira</w:t>
            </w:r>
            <w:proofErr w:type="spellEnd"/>
            <w:r w:rsidRPr="006F393A">
              <w:t xml:space="preserve"> PAK-RBV</w:t>
            </w:r>
          </w:p>
        </w:tc>
        <w:tc>
          <w:tcPr>
            <w:tcW w:w="1148" w:type="dxa"/>
            <w:vAlign w:val="center"/>
          </w:tcPr>
          <w:p w:rsidR="00E70436" w:rsidRPr="006F393A" w:rsidRDefault="00E70436" w:rsidP="004A0D51">
            <w:pPr>
              <w:pStyle w:val="Tabletext"/>
            </w:pPr>
            <w:r w:rsidRPr="006F393A">
              <w:t>12 weeks</w:t>
            </w:r>
          </w:p>
        </w:tc>
        <w:tc>
          <w:tcPr>
            <w:tcW w:w="2211" w:type="dxa"/>
            <w:vAlign w:val="center"/>
          </w:tcPr>
          <w:p w:rsidR="00E70436" w:rsidRPr="006F393A" w:rsidRDefault="00E70436" w:rsidP="004A0D51">
            <w:pPr>
              <w:pStyle w:val="Tabletext"/>
            </w:pPr>
            <w:r w:rsidRPr="006F393A">
              <w:t>Turquoise II (Arm A</w:t>
            </w:r>
            <w:r w:rsidRPr="006F393A">
              <w:rPr>
                <w:vertAlign w:val="superscript"/>
              </w:rPr>
              <w:t>a</w:t>
            </w:r>
            <w:r w:rsidRPr="006F393A">
              <w:t>)</w:t>
            </w:r>
          </w:p>
        </w:tc>
        <w:tc>
          <w:tcPr>
            <w:tcW w:w="2667" w:type="dxa"/>
            <w:vAlign w:val="center"/>
          </w:tcPr>
          <w:p w:rsidR="00E70436" w:rsidRPr="006F393A" w:rsidRDefault="00E70436" w:rsidP="004A0D51">
            <w:pPr>
              <w:pStyle w:val="Tabletext"/>
              <w:jc w:val="center"/>
            </w:pPr>
            <w:r w:rsidRPr="006F393A">
              <w:t>25/26</w:t>
            </w:r>
            <w:r w:rsidRPr="006F393A">
              <w:br/>
              <w:t>96.2% [80.4, 99.9]</w:t>
            </w:r>
          </w:p>
        </w:tc>
      </w:tr>
      <w:tr w:rsidR="00E70436" w:rsidRPr="006F393A" w:rsidTr="004A0D51">
        <w:trPr>
          <w:trHeight w:val="284"/>
        </w:trPr>
        <w:tc>
          <w:tcPr>
            <w:tcW w:w="1288" w:type="dxa"/>
            <w:vAlign w:val="center"/>
          </w:tcPr>
          <w:p w:rsidR="00E70436" w:rsidRPr="006F393A" w:rsidRDefault="00E70436" w:rsidP="004A0D51">
            <w:pPr>
              <w:pStyle w:val="Tabletext"/>
            </w:pPr>
            <w:r w:rsidRPr="006F393A">
              <w:t>GT1b</w:t>
            </w:r>
          </w:p>
        </w:tc>
        <w:tc>
          <w:tcPr>
            <w:tcW w:w="1078" w:type="dxa"/>
            <w:vMerge/>
            <w:vAlign w:val="center"/>
          </w:tcPr>
          <w:p w:rsidR="00E70436" w:rsidRPr="006F393A" w:rsidRDefault="00E70436" w:rsidP="004A0D51">
            <w:pPr>
              <w:pStyle w:val="Tabletext"/>
            </w:pPr>
          </w:p>
        </w:tc>
        <w:tc>
          <w:tcPr>
            <w:tcW w:w="1148" w:type="dxa"/>
            <w:vAlign w:val="center"/>
          </w:tcPr>
          <w:p w:rsidR="00E70436" w:rsidRPr="006F393A" w:rsidRDefault="00E70436" w:rsidP="004A0D51">
            <w:pPr>
              <w:pStyle w:val="Tabletext"/>
            </w:pPr>
            <w:r w:rsidRPr="006F393A">
              <w:t>12 weeks</w:t>
            </w:r>
          </w:p>
        </w:tc>
        <w:tc>
          <w:tcPr>
            <w:tcW w:w="2211" w:type="dxa"/>
            <w:vAlign w:val="center"/>
          </w:tcPr>
          <w:p w:rsidR="00E70436" w:rsidRPr="006F393A" w:rsidRDefault="00E70436" w:rsidP="004A0D51">
            <w:pPr>
              <w:pStyle w:val="Tabletext"/>
            </w:pPr>
            <w:r w:rsidRPr="006F393A">
              <w:t>Turquoise II (Arm A</w:t>
            </w:r>
            <w:r w:rsidRPr="006F393A">
              <w:rPr>
                <w:vertAlign w:val="superscript"/>
              </w:rPr>
              <w:t>a</w:t>
            </w:r>
            <w:r w:rsidRPr="006F393A">
              <w:t>)</w:t>
            </w:r>
          </w:p>
        </w:tc>
        <w:tc>
          <w:tcPr>
            <w:tcW w:w="2667" w:type="dxa"/>
            <w:vAlign w:val="center"/>
          </w:tcPr>
          <w:p w:rsidR="00E70436" w:rsidRPr="006F393A" w:rsidRDefault="00E70436" w:rsidP="004A0D51">
            <w:pPr>
              <w:pStyle w:val="Tabletext"/>
              <w:jc w:val="center"/>
            </w:pPr>
            <w:r w:rsidRPr="006F393A">
              <w:t>45/46</w:t>
            </w:r>
            <w:r w:rsidRPr="006F393A">
              <w:br/>
              <w:t>97.8% [88.5, 99.9]</w:t>
            </w:r>
          </w:p>
        </w:tc>
      </w:tr>
      <w:tr w:rsidR="00E70436" w:rsidRPr="006F393A" w:rsidTr="00BF36DD">
        <w:trPr>
          <w:trHeight w:val="284"/>
        </w:trPr>
        <w:tc>
          <w:tcPr>
            <w:tcW w:w="1288" w:type="dxa"/>
            <w:vMerge w:val="restart"/>
            <w:shd w:val="clear" w:color="auto" w:fill="F2F2F2" w:themeFill="background1" w:themeFillShade="F2"/>
            <w:vAlign w:val="center"/>
          </w:tcPr>
          <w:p w:rsidR="00E70436" w:rsidRPr="006F393A" w:rsidRDefault="00E70436" w:rsidP="004A0D51">
            <w:pPr>
              <w:pStyle w:val="Tabletext"/>
              <w:rPr>
                <w:b/>
              </w:rPr>
            </w:pPr>
            <w:r w:rsidRPr="006F393A">
              <w:t>GT1a/b</w:t>
            </w:r>
            <w:r w:rsidRPr="006F393A">
              <w:rPr>
                <w:vertAlign w:val="superscript"/>
              </w:rPr>
              <w:t>b</w:t>
            </w:r>
          </w:p>
        </w:tc>
        <w:tc>
          <w:tcPr>
            <w:tcW w:w="1078" w:type="dxa"/>
            <w:vMerge w:val="restart"/>
            <w:shd w:val="clear" w:color="auto" w:fill="F2F2F2" w:themeFill="background1" w:themeFillShade="F2"/>
            <w:vAlign w:val="center"/>
          </w:tcPr>
          <w:p w:rsidR="00E70436" w:rsidRPr="006F393A" w:rsidRDefault="00E70436" w:rsidP="004A0D51">
            <w:pPr>
              <w:pStyle w:val="Tabletext"/>
            </w:pPr>
            <w:r w:rsidRPr="006F393A">
              <w:t>LDV/SOF</w:t>
            </w:r>
          </w:p>
        </w:tc>
        <w:tc>
          <w:tcPr>
            <w:tcW w:w="1148" w:type="dxa"/>
            <w:shd w:val="clear" w:color="auto" w:fill="F2F2F2" w:themeFill="background1" w:themeFillShade="F2"/>
            <w:vAlign w:val="center"/>
          </w:tcPr>
          <w:p w:rsidR="00E70436" w:rsidRPr="006F393A" w:rsidRDefault="00E70436" w:rsidP="004A0D51">
            <w:pPr>
              <w:pStyle w:val="Tabletext"/>
            </w:pPr>
            <w:r w:rsidRPr="006F393A">
              <w:t>12 weeks</w:t>
            </w:r>
          </w:p>
        </w:tc>
        <w:tc>
          <w:tcPr>
            <w:tcW w:w="2211" w:type="dxa"/>
            <w:shd w:val="clear" w:color="auto" w:fill="F2F2F2" w:themeFill="background1" w:themeFillShade="F2"/>
            <w:vAlign w:val="center"/>
          </w:tcPr>
          <w:p w:rsidR="00E70436" w:rsidRPr="006F393A" w:rsidRDefault="00E70436" w:rsidP="004A0D51">
            <w:pPr>
              <w:pStyle w:val="Tabletext"/>
            </w:pPr>
            <w:r w:rsidRPr="006F393A">
              <w:t>ION-2</w:t>
            </w:r>
          </w:p>
        </w:tc>
        <w:tc>
          <w:tcPr>
            <w:tcW w:w="2667" w:type="dxa"/>
            <w:shd w:val="clear" w:color="auto" w:fill="F2F2F2" w:themeFill="background1" w:themeFillShade="F2"/>
            <w:vAlign w:val="center"/>
          </w:tcPr>
          <w:p w:rsidR="00E70436" w:rsidRPr="006F393A" w:rsidRDefault="00E70436" w:rsidP="004A0D51">
            <w:pPr>
              <w:pStyle w:val="Tabletext"/>
              <w:jc w:val="center"/>
            </w:pPr>
            <w:r w:rsidRPr="006F393A">
              <w:t>19/22</w:t>
            </w:r>
            <w:r w:rsidRPr="006F393A">
              <w:br/>
              <w:t>86.4% [65.1, 97.1]</w:t>
            </w:r>
          </w:p>
        </w:tc>
      </w:tr>
      <w:tr w:rsidR="00E70436" w:rsidRPr="006F393A" w:rsidTr="00BF36DD">
        <w:trPr>
          <w:trHeight w:val="284"/>
        </w:trPr>
        <w:tc>
          <w:tcPr>
            <w:tcW w:w="1288" w:type="dxa"/>
            <w:vMerge/>
            <w:shd w:val="clear" w:color="auto" w:fill="F2F2F2" w:themeFill="background1" w:themeFillShade="F2"/>
            <w:vAlign w:val="center"/>
          </w:tcPr>
          <w:p w:rsidR="00E70436" w:rsidRPr="006F393A" w:rsidRDefault="00E70436" w:rsidP="004A0D51">
            <w:pPr>
              <w:pStyle w:val="Tabletext"/>
            </w:pPr>
          </w:p>
        </w:tc>
        <w:tc>
          <w:tcPr>
            <w:tcW w:w="1078" w:type="dxa"/>
            <w:vMerge/>
            <w:shd w:val="clear" w:color="auto" w:fill="F2F2F2" w:themeFill="background1" w:themeFillShade="F2"/>
            <w:vAlign w:val="center"/>
          </w:tcPr>
          <w:p w:rsidR="00E70436" w:rsidRPr="006F393A" w:rsidRDefault="00E70436" w:rsidP="004A0D51">
            <w:pPr>
              <w:pStyle w:val="Tabletext"/>
            </w:pPr>
          </w:p>
        </w:tc>
        <w:tc>
          <w:tcPr>
            <w:tcW w:w="1148" w:type="dxa"/>
            <w:shd w:val="clear" w:color="auto" w:fill="F2F2F2" w:themeFill="background1" w:themeFillShade="F2"/>
            <w:vAlign w:val="center"/>
          </w:tcPr>
          <w:p w:rsidR="00E70436" w:rsidRPr="006F393A" w:rsidRDefault="00E70436" w:rsidP="004A0D51">
            <w:pPr>
              <w:pStyle w:val="Tabletext"/>
            </w:pPr>
            <w:r w:rsidRPr="006F393A">
              <w:t>24 weeks</w:t>
            </w:r>
          </w:p>
        </w:tc>
        <w:tc>
          <w:tcPr>
            <w:tcW w:w="2211" w:type="dxa"/>
            <w:shd w:val="clear" w:color="auto" w:fill="F2F2F2" w:themeFill="background1" w:themeFillShade="F2"/>
            <w:vAlign w:val="center"/>
          </w:tcPr>
          <w:p w:rsidR="00E70436" w:rsidRPr="006F393A" w:rsidRDefault="00E70436" w:rsidP="004A0D51">
            <w:pPr>
              <w:pStyle w:val="Tabletext"/>
            </w:pPr>
            <w:r w:rsidRPr="006F393A">
              <w:t>ION-2</w:t>
            </w:r>
          </w:p>
        </w:tc>
        <w:tc>
          <w:tcPr>
            <w:tcW w:w="2667" w:type="dxa"/>
            <w:shd w:val="clear" w:color="auto" w:fill="F2F2F2" w:themeFill="background1" w:themeFillShade="F2"/>
            <w:vAlign w:val="center"/>
          </w:tcPr>
          <w:p w:rsidR="00E70436" w:rsidRPr="006F393A" w:rsidRDefault="00E70436" w:rsidP="004A0D51">
            <w:pPr>
              <w:pStyle w:val="Tabletext"/>
              <w:jc w:val="center"/>
            </w:pPr>
            <w:r w:rsidRPr="006F393A">
              <w:t>22/22</w:t>
            </w:r>
            <w:r w:rsidRPr="006F393A">
              <w:br/>
              <w:t>100% [84.6, 100]</w:t>
            </w:r>
          </w:p>
        </w:tc>
      </w:tr>
      <w:tr w:rsidR="00E70436" w:rsidRPr="006F393A" w:rsidTr="004A0D51">
        <w:trPr>
          <w:trHeight w:val="284"/>
        </w:trPr>
        <w:tc>
          <w:tcPr>
            <w:tcW w:w="8392" w:type="dxa"/>
            <w:gridSpan w:val="5"/>
            <w:shd w:val="clear" w:color="auto" w:fill="D9D9D9" w:themeFill="background1" w:themeFillShade="D9"/>
            <w:vAlign w:val="center"/>
          </w:tcPr>
          <w:p w:rsidR="00E70436" w:rsidRPr="006F393A" w:rsidRDefault="00E70436" w:rsidP="004A0D51">
            <w:pPr>
              <w:pStyle w:val="Tabletext"/>
            </w:pPr>
            <w:r w:rsidRPr="006F393A">
              <w:rPr>
                <w:b/>
              </w:rPr>
              <w:t>Treatment experienced, cirrhotic, null responders</w:t>
            </w:r>
          </w:p>
        </w:tc>
      </w:tr>
      <w:tr w:rsidR="00E70436" w:rsidRPr="006F393A" w:rsidTr="004A0D51">
        <w:trPr>
          <w:trHeight w:val="284"/>
        </w:trPr>
        <w:tc>
          <w:tcPr>
            <w:tcW w:w="1288" w:type="dxa"/>
            <w:vAlign w:val="center"/>
          </w:tcPr>
          <w:p w:rsidR="00E70436" w:rsidRPr="006F393A" w:rsidRDefault="00E70436" w:rsidP="004A0D51">
            <w:pPr>
              <w:pStyle w:val="Tabletext"/>
            </w:pPr>
            <w:r w:rsidRPr="006F393A">
              <w:t>GT1a (null responders)</w:t>
            </w:r>
          </w:p>
        </w:tc>
        <w:tc>
          <w:tcPr>
            <w:tcW w:w="1078" w:type="dxa"/>
            <w:vAlign w:val="center"/>
          </w:tcPr>
          <w:p w:rsidR="00E70436" w:rsidRPr="006F393A" w:rsidRDefault="00E70436" w:rsidP="004A0D51">
            <w:pPr>
              <w:pStyle w:val="Tabletext"/>
            </w:pPr>
            <w:proofErr w:type="spellStart"/>
            <w:r w:rsidRPr="006F393A">
              <w:t>Viekira</w:t>
            </w:r>
            <w:proofErr w:type="spellEnd"/>
            <w:r w:rsidRPr="006F393A">
              <w:t xml:space="preserve"> PAK-RBV</w:t>
            </w:r>
          </w:p>
        </w:tc>
        <w:tc>
          <w:tcPr>
            <w:tcW w:w="1148" w:type="dxa"/>
            <w:vAlign w:val="center"/>
          </w:tcPr>
          <w:p w:rsidR="00E70436" w:rsidRPr="006F393A" w:rsidRDefault="00E70436" w:rsidP="004A0D51">
            <w:pPr>
              <w:pStyle w:val="Tabletext"/>
            </w:pPr>
            <w:r w:rsidRPr="006F393A">
              <w:t>24 weeks</w:t>
            </w:r>
          </w:p>
        </w:tc>
        <w:tc>
          <w:tcPr>
            <w:tcW w:w="2211" w:type="dxa"/>
            <w:vAlign w:val="center"/>
          </w:tcPr>
          <w:p w:rsidR="00E70436" w:rsidRPr="006F393A" w:rsidRDefault="00E70436" w:rsidP="004A0D51">
            <w:pPr>
              <w:pStyle w:val="Tabletext"/>
            </w:pPr>
            <w:r w:rsidRPr="006F393A">
              <w:t>Turquoise II (Arm B</w:t>
            </w:r>
            <w:r w:rsidRPr="006F393A">
              <w:rPr>
                <w:vertAlign w:val="superscript"/>
              </w:rPr>
              <w:t>a</w:t>
            </w:r>
            <w:r w:rsidRPr="006F393A">
              <w:t>)</w:t>
            </w:r>
          </w:p>
        </w:tc>
        <w:tc>
          <w:tcPr>
            <w:tcW w:w="2667" w:type="dxa"/>
            <w:vAlign w:val="center"/>
          </w:tcPr>
          <w:p w:rsidR="00E70436" w:rsidRPr="006F393A" w:rsidRDefault="00E70436" w:rsidP="004A0D51">
            <w:pPr>
              <w:pStyle w:val="Tabletext"/>
              <w:jc w:val="center"/>
            </w:pPr>
            <w:r w:rsidRPr="006F393A">
              <w:t>39/42</w:t>
            </w:r>
            <w:r w:rsidRPr="006F393A">
              <w:br/>
              <w:t>92.9% [80.5, 98.5]</w:t>
            </w:r>
          </w:p>
        </w:tc>
      </w:tr>
    </w:tbl>
    <w:p w:rsidR="00E70436" w:rsidRPr="006F393A" w:rsidRDefault="00E70436" w:rsidP="00E70436">
      <w:pPr>
        <w:pStyle w:val="TableFooter"/>
      </w:pPr>
      <w:r w:rsidRPr="006F393A">
        <w:tab/>
      </w:r>
      <w:proofErr w:type="spellStart"/>
      <w:proofErr w:type="gramStart"/>
      <w:r w:rsidRPr="006F393A">
        <w:rPr>
          <w:vertAlign w:val="superscript"/>
        </w:rPr>
        <w:t>a</w:t>
      </w:r>
      <w:r w:rsidRPr="006F393A">
        <w:t>The</w:t>
      </w:r>
      <w:proofErr w:type="spellEnd"/>
      <w:proofErr w:type="gramEnd"/>
      <w:r w:rsidRPr="006F393A">
        <w:t xml:space="preserve"> SVR rate is generated from a subgroup of a trial arm.</w:t>
      </w:r>
    </w:p>
    <w:p w:rsidR="00E70436" w:rsidRPr="006F393A" w:rsidRDefault="00E70436" w:rsidP="00E70436">
      <w:pPr>
        <w:pStyle w:val="TableFooter"/>
        <w:ind w:left="720"/>
      </w:pPr>
      <w:proofErr w:type="spellStart"/>
      <w:proofErr w:type="gramStart"/>
      <w:r w:rsidRPr="006F393A">
        <w:rPr>
          <w:vertAlign w:val="superscript"/>
        </w:rPr>
        <w:t>b</w:t>
      </w:r>
      <w:r w:rsidRPr="006F393A">
        <w:t>SVR</w:t>
      </w:r>
      <w:proofErr w:type="spellEnd"/>
      <w:proofErr w:type="gramEnd"/>
      <w:r w:rsidRPr="006F393A">
        <w:t xml:space="preserve"> results for ION studies cannot be separated by genotype, and treatment experience and cirrhotic status, therefore, results have been presented by treatment experience and cirrhotic status only.</w:t>
      </w:r>
      <w:r w:rsidR="00BD66D9" w:rsidRPr="006F393A">
        <w:t xml:space="preserve"> </w:t>
      </w:r>
      <w:r w:rsidRPr="006F393A">
        <w:t>A breakdown by genotype is possible for ION-3 (as this trial only enrolled treatment naïve, non-cirrhotic patients) and is available in Table B-79, p325 of the submission.</w:t>
      </w:r>
    </w:p>
    <w:p w:rsidR="00E70436" w:rsidRPr="006F393A" w:rsidRDefault="00E70436" w:rsidP="00E70436">
      <w:pPr>
        <w:pStyle w:val="TableFooter"/>
        <w:ind w:left="720"/>
      </w:pPr>
      <w:proofErr w:type="spellStart"/>
      <w:proofErr w:type="gramStart"/>
      <w:r w:rsidRPr="006F393A">
        <w:rPr>
          <w:vertAlign w:val="superscript"/>
        </w:rPr>
        <w:t>c</w:t>
      </w:r>
      <w:r w:rsidRPr="006F393A">
        <w:t>SVR</w:t>
      </w:r>
      <w:proofErr w:type="spellEnd"/>
      <w:proofErr w:type="gramEnd"/>
      <w:r w:rsidRPr="006F393A">
        <w:t xml:space="preserve"> rates for the </w:t>
      </w:r>
      <w:proofErr w:type="spellStart"/>
      <w:r w:rsidR="00BD66D9" w:rsidRPr="006F393A">
        <w:t>Viekira</w:t>
      </w:r>
      <w:proofErr w:type="spellEnd"/>
      <w:r w:rsidR="00BD66D9" w:rsidRPr="006F393A">
        <w:t xml:space="preserve"> PAK / </w:t>
      </w:r>
      <w:proofErr w:type="spellStart"/>
      <w:r w:rsidR="00BD66D9" w:rsidRPr="006F393A">
        <w:t>Viekira</w:t>
      </w:r>
      <w:proofErr w:type="spellEnd"/>
      <w:r w:rsidR="00BD66D9" w:rsidRPr="006F393A">
        <w:t xml:space="preserve"> PAK-RBV</w:t>
      </w:r>
      <w:r w:rsidRPr="006F393A">
        <w:t xml:space="preserve"> studies were recalculated during the evaluation from the provided study CSRs.</w:t>
      </w:r>
      <w:r w:rsidR="00BD66D9" w:rsidRPr="006F393A">
        <w:t xml:space="preserve"> </w:t>
      </w:r>
      <w:r w:rsidRPr="006F393A">
        <w:t>Exact confidence intervals were calculated using the confidence intervals for proportions command in Stata® 13.1.</w:t>
      </w:r>
    </w:p>
    <w:p w:rsidR="00E70436" w:rsidRPr="006F393A" w:rsidRDefault="00E70436" w:rsidP="00E70436">
      <w:pPr>
        <w:pStyle w:val="TableFooter"/>
        <w:ind w:left="720"/>
      </w:pPr>
      <w:proofErr w:type="spellStart"/>
      <w:proofErr w:type="gramStart"/>
      <w:r w:rsidRPr="006F393A">
        <w:rPr>
          <w:vertAlign w:val="superscript"/>
        </w:rPr>
        <w:t>d</w:t>
      </w:r>
      <w:r w:rsidRPr="006F393A">
        <w:t>The</w:t>
      </w:r>
      <w:proofErr w:type="spellEnd"/>
      <w:proofErr w:type="gramEnd"/>
      <w:r w:rsidRPr="006F393A">
        <w:t xml:space="preserve"> proportion of patients achieving SVR for Pearl III are presented in the submission as 209/209, however the provided CSR reports 207/209 with 2 missing SVRs.</w:t>
      </w:r>
    </w:p>
    <w:p w:rsidR="00E70436" w:rsidRPr="006F393A" w:rsidRDefault="00E70436" w:rsidP="00E70436">
      <w:pPr>
        <w:pStyle w:val="TableFooter"/>
        <w:ind w:left="720"/>
      </w:pPr>
      <w:proofErr w:type="spellStart"/>
      <w:proofErr w:type="gramStart"/>
      <w:r w:rsidRPr="006F393A">
        <w:rPr>
          <w:vertAlign w:val="superscript"/>
        </w:rPr>
        <w:t>e</w:t>
      </w:r>
      <w:r w:rsidRPr="006F393A">
        <w:t>The</w:t>
      </w:r>
      <w:proofErr w:type="spellEnd"/>
      <w:proofErr w:type="gramEnd"/>
      <w:r w:rsidRPr="006F393A">
        <w:t xml:space="preserve"> proportion of patients achieving SVR for Sapphire I are presented in the submission as 308/322, however the provided CSR reports 307/322.</w:t>
      </w:r>
    </w:p>
    <w:p w:rsidR="00E70436" w:rsidRPr="006F393A" w:rsidRDefault="00E70436" w:rsidP="00E70436">
      <w:pPr>
        <w:pStyle w:val="TableFooter"/>
        <w:ind w:left="720"/>
      </w:pPr>
      <w:proofErr w:type="gramStart"/>
      <w:r w:rsidRPr="006F393A">
        <w:rPr>
          <w:vertAlign w:val="superscript"/>
        </w:rPr>
        <w:t>f</w:t>
      </w:r>
      <w:r w:rsidRPr="006F393A">
        <w:t>95</w:t>
      </w:r>
      <w:proofErr w:type="gramEnd"/>
      <w:r w:rsidRPr="006F393A">
        <w:t xml:space="preserve"> patients were initially randomised to the </w:t>
      </w:r>
      <w:proofErr w:type="spellStart"/>
      <w:r w:rsidRPr="006F393A">
        <w:t>Viekira</w:t>
      </w:r>
      <w:proofErr w:type="spellEnd"/>
      <w:r w:rsidRPr="006F393A">
        <w:t xml:space="preserve"> PAK arm in Pearl II (Arm 2), however, four were excluded from the efficacy analysis as they were randomised prior to a substantial protocol amendment which resulted in the use of </w:t>
      </w:r>
      <w:proofErr w:type="spellStart"/>
      <w:r w:rsidRPr="006F393A">
        <w:t>paritaprevir</w:t>
      </w:r>
      <w:proofErr w:type="spellEnd"/>
      <w:r w:rsidRPr="006F393A">
        <w:t>/ritonavir/</w:t>
      </w:r>
      <w:proofErr w:type="spellStart"/>
      <w:r w:rsidRPr="006F393A">
        <w:t>ombitasvir</w:t>
      </w:r>
      <w:proofErr w:type="spellEnd"/>
      <w:r w:rsidRPr="006F393A">
        <w:t xml:space="preserve"> fixed dose combination and an adjustment of the dose for </w:t>
      </w:r>
      <w:proofErr w:type="spellStart"/>
      <w:r w:rsidRPr="006F393A">
        <w:t>dasabuvir</w:t>
      </w:r>
      <w:proofErr w:type="spellEnd"/>
      <w:r w:rsidRPr="006F393A">
        <w:t>.</w:t>
      </w:r>
      <w:r w:rsidR="00BD66D9" w:rsidRPr="006F393A">
        <w:t xml:space="preserve"> </w:t>
      </w:r>
      <w:r w:rsidRPr="006F393A">
        <w:t>The safety analysis included all randomised patients.</w:t>
      </w:r>
    </w:p>
    <w:p w:rsidR="00E70436" w:rsidRPr="006F393A" w:rsidRDefault="00E70436" w:rsidP="00E70436">
      <w:pPr>
        <w:pStyle w:val="TableFooter"/>
        <w:ind w:left="720"/>
      </w:pPr>
      <w:r w:rsidRPr="006F393A">
        <w:t>Sources: Table 18, p174 of the Turquoise II CSR; Table 15, p136 of the Malachite I CSR; Table 14, p124 of the Malachite II CSR; Table 19, p187 of the Sapphire I CSR; Table 20, p198 of the Sapphire II CSR; Table 14, p172 of the Pearl II CSR; Table 15, p153 of the Pearl III CSR; Table 15, p149 of the Pearl IV CSR; Table B-79, p325 of the submission; Table B-80, p327 of the submission; Table B-83, p330 of the submission.</w:t>
      </w:r>
    </w:p>
    <w:p w:rsidR="00E70436" w:rsidRPr="006F393A" w:rsidRDefault="00E70436" w:rsidP="00E70436"/>
    <w:p w:rsidR="00BF36DD" w:rsidRPr="006F393A" w:rsidRDefault="00BF36DD" w:rsidP="00997EDA">
      <w:pPr>
        <w:pStyle w:val="ListParagraph"/>
        <w:widowControl/>
        <w:numPr>
          <w:ilvl w:val="1"/>
          <w:numId w:val="1"/>
        </w:numPr>
        <w:rPr>
          <w:szCs w:val="22"/>
        </w:rPr>
      </w:pPr>
      <w:r w:rsidRPr="006F393A">
        <w:rPr>
          <w:szCs w:val="22"/>
        </w:rPr>
        <w:t>When there was more than one study providing data for a particular population, the results were pooled and have been presented below.</w:t>
      </w:r>
    </w:p>
    <w:p w:rsidR="00E70436" w:rsidRPr="006F393A" w:rsidRDefault="00E70436" w:rsidP="00E70436">
      <w:pPr>
        <w:pStyle w:val="ListParagraph"/>
        <w:widowControl/>
        <w:rPr>
          <w:szCs w:val="22"/>
        </w:rPr>
      </w:pPr>
    </w:p>
    <w:p w:rsidR="009701B0" w:rsidRDefault="009701B0">
      <w:pPr>
        <w:widowControl/>
        <w:jc w:val="left"/>
        <w:rPr>
          <w:rFonts w:ascii="Arial Narrow" w:hAnsi="Arial Narrow"/>
          <w:b/>
          <w:sz w:val="20"/>
        </w:rPr>
      </w:pPr>
      <w:r>
        <w:br w:type="page"/>
      </w:r>
    </w:p>
    <w:p w:rsidR="00E70436" w:rsidRPr="006F393A" w:rsidRDefault="00E70436" w:rsidP="00E70436">
      <w:pPr>
        <w:pStyle w:val="TableHeader"/>
        <w:keepNext/>
        <w:ind w:left="720"/>
      </w:pPr>
      <w:r w:rsidRPr="006F393A">
        <w:t xml:space="preserve">Table </w:t>
      </w:r>
      <w:r w:rsidR="007B6A5B" w:rsidRPr="006F393A">
        <w:t>6</w:t>
      </w:r>
      <w:r w:rsidRPr="006F393A">
        <w:t xml:space="preserve">: Pooled sustained </w:t>
      </w:r>
      <w:proofErr w:type="spellStart"/>
      <w:r w:rsidRPr="006F393A">
        <w:t>virologic</w:t>
      </w:r>
      <w:proofErr w:type="spellEnd"/>
      <w:r w:rsidRPr="006F393A">
        <w:t xml:space="preserve"> response </w:t>
      </w:r>
      <w:r w:rsidR="00BF36DD" w:rsidRPr="006F393A">
        <w:t xml:space="preserve">(SVR12) </w:t>
      </w:r>
      <w:r w:rsidRPr="006F393A">
        <w:t xml:space="preserve">for genotype, cirrhotic status and treatment experience for </w:t>
      </w:r>
      <w:proofErr w:type="spellStart"/>
      <w:r w:rsidRPr="006F393A">
        <w:t>Viekira</w:t>
      </w:r>
      <w:proofErr w:type="spellEnd"/>
      <w:r w:rsidRPr="006F393A">
        <w:t xml:space="preserve"> PAK / </w:t>
      </w:r>
      <w:proofErr w:type="spellStart"/>
      <w:r w:rsidRPr="006F393A">
        <w:t>Viekira</w:t>
      </w:r>
      <w:proofErr w:type="spellEnd"/>
      <w:r w:rsidRPr="006F393A">
        <w:t xml:space="preserve"> PAK-RBV and LDV/SOF</w:t>
      </w:r>
    </w:p>
    <w:tbl>
      <w:tblPr>
        <w:tblStyle w:val="TableGrid"/>
        <w:tblW w:w="4550" w:type="pct"/>
        <w:tblInd w:w="822" w:type="dxa"/>
        <w:tblLook w:val="04A0" w:firstRow="1" w:lastRow="0" w:firstColumn="1" w:lastColumn="0" w:noHBand="0" w:noVBand="1"/>
        <w:tblCaption w:val="Table 6: Pooled sustained virologic response (SVR12) for genotype, cirrhotic status and treatment experience for Viekira PAK / Viekira PAK-RBV and LDV/SOF"/>
        <w:tblDescription w:val="This table describes the pooled sustained virologic response (SVR12) for genotype, cirrhotic status and treatment experience for Viekira PAK / Viekira PAK-RBV and LDV/SOF"/>
      </w:tblPr>
      <w:tblGrid>
        <w:gridCol w:w="1672"/>
        <w:gridCol w:w="1692"/>
        <w:gridCol w:w="1688"/>
        <w:gridCol w:w="1688"/>
        <w:gridCol w:w="1670"/>
      </w:tblGrid>
      <w:tr w:rsidR="00875589" w:rsidRPr="006F393A" w:rsidTr="0028796E">
        <w:trPr>
          <w:trHeight w:val="284"/>
          <w:tblHeader/>
        </w:trPr>
        <w:tc>
          <w:tcPr>
            <w:tcW w:w="1849" w:type="dxa"/>
            <w:shd w:val="clear" w:color="auto" w:fill="D9D9D9" w:themeFill="background1" w:themeFillShade="D9"/>
            <w:vAlign w:val="center"/>
          </w:tcPr>
          <w:p w:rsidR="00ED3017" w:rsidRPr="006F393A" w:rsidRDefault="00ED3017" w:rsidP="003A0024">
            <w:pPr>
              <w:pStyle w:val="TableText0"/>
              <w:keepNext w:val="0"/>
              <w:widowControl w:val="0"/>
              <w:rPr>
                <w:b/>
              </w:rPr>
            </w:pPr>
            <w:r w:rsidRPr="006F393A">
              <w:rPr>
                <w:b/>
              </w:rPr>
              <w:t>Cirrhosis</w:t>
            </w:r>
          </w:p>
        </w:tc>
        <w:tc>
          <w:tcPr>
            <w:tcW w:w="1849" w:type="dxa"/>
            <w:shd w:val="clear" w:color="auto" w:fill="D9D9D9" w:themeFill="background1" w:themeFillShade="D9"/>
            <w:vAlign w:val="center"/>
          </w:tcPr>
          <w:p w:rsidR="00ED3017" w:rsidRPr="006F393A" w:rsidRDefault="00ED3017" w:rsidP="003A0024">
            <w:pPr>
              <w:pStyle w:val="TableText0"/>
              <w:keepNext w:val="0"/>
              <w:widowControl w:val="0"/>
              <w:rPr>
                <w:b/>
              </w:rPr>
            </w:pPr>
            <w:r w:rsidRPr="006F393A">
              <w:rPr>
                <w:b/>
              </w:rPr>
              <w:t>Genotype</w:t>
            </w:r>
          </w:p>
        </w:tc>
        <w:tc>
          <w:tcPr>
            <w:tcW w:w="1848" w:type="dxa"/>
            <w:shd w:val="clear" w:color="auto" w:fill="D9D9D9" w:themeFill="background1" w:themeFillShade="D9"/>
            <w:vAlign w:val="center"/>
          </w:tcPr>
          <w:p w:rsidR="00ED3017" w:rsidRPr="006F393A" w:rsidRDefault="00ED3017" w:rsidP="003A0024">
            <w:pPr>
              <w:pStyle w:val="TableText0"/>
              <w:keepNext w:val="0"/>
              <w:widowControl w:val="0"/>
              <w:rPr>
                <w:b/>
              </w:rPr>
            </w:pPr>
            <w:proofErr w:type="spellStart"/>
            <w:r w:rsidRPr="006F393A">
              <w:rPr>
                <w:b/>
              </w:rPr>
              <w:t>Viekira</w:t>
            </w:r>
            <w:proofErr w:type="spellEnd"/>
            <w:r w:rsidRPr="006F393A">
              <w:rPr>
                <w:b/>
              </w:rPr>
              <w:t xml:space="preserve"> PAK±RBV</w:t>
            </w:r>
          </w:p>
          <w:p w:rsidR="00ED3017" w:rsidRPr="006F393A" w:rsidRDefault="00ED3017" w:rsidP="003A0024">
            <w:pPr>
              <w:pStyle w:val="TableText0"/>
              <w:keepNext w:val="0"/>
              <w:widowControl w:val="0"/>
              <w:rPr>
                <w:b/>
              </w:rPr>
            </w:pPr>
            <w:proofErr w:type="spellStart"/>
            <w:r w:rsidRPr="006F393A">
              <w:rPr>
                <w:b/>
              </w:rPr>
              <w:t>SVR</w:t>
            </w:r>
            <w:r w:rsidRPr="006F393A">
              <w:rPr>
                <w:b/>
                <w:vertAlign w:val="superscript"/>
              </w:rPr>
              <w:t>d</w:t>
            </w:r>
            <w:proofErr w:type="spellEnd"/>
          </w:p>
          <w:p w:rsidR="00ED3017" w:rsidRPr="006F393A" w:rsidRDefault="00ED3017" w:rsidP="003A0024">
            <w:pPr>
              <w:pStyle w:val="TableText0"/>
              <w:keepNext w:val="0"/>
              <w:widowControl w:val="0"/>
              <w:rPr>
                <w:b/>
              </w:rPr>
            </w:pPr>
            <w:r w:rsidRPr="006F393A">
              <w:rPr>
                <w:b/>
              </w:rPr>
              <w:t>n/N (k arms)</w:t>
            </w:r>
          </w:p>
          <w:p w:rsidR="00ED3017" w:rsidRPr="006F393A" w:rsidRDefault="00ED3017" w:rsidP="003A0024">
            <w:pPr>
              <w:pStyle w:val="TableText0"/>
              <w:keepNext w:val="0"/>
              <w:widowControl w:val="0"/>
              <w:rPr>
                <w:b/>
              </w:rPr>
            </w:pPr>
            <w:r w:rsidRPr="006F393A">
              <w:rPr>
                <w:b/>
              </w:rPr>
              <w:t>% [95% CI]</w:t>
            </w:r>
          </w:p>
        </w:tc>
        <w:tc>
          <w:tcPr>
            <w:tcW w:w="1848" w:type="dxa"/>
            <w:shd w:val="clear" w:color="auto" w:fill="D9D9D9" w:themeFill="background1" w:themeFillShade="D9"/>
            <w:vAlign w:val="center"/>
          </w:tcPr>
          <w:p w:rsidR="00ED3017" w:rsidRPr="006F393A" w:rsidRDefault="00ED3017" w:rsidP="003A0024">
            <w:pPr>
              <w:pStyle w:val="TableText0"/>
              <w:keepNext w:val="0"/>
              <w:widowControl w:val="0"/>
              <w:rPr>
                <w:b/>
              </w:rPr>
            </w:pPr>
            <w:proofErr w:type="spellStart"/>
            <w:r w:rsidRPr="006F393A">
              <w:rPr>
                <w:b/>
              </w:rPr>
              <w:t>Viekira</w:t>
            </w:r>
            <w:proofErr w:type="spellEnd"/>
            <w:r w:rsidRPr="006F393A">
              <w:rPr>
                <w:b/>
              </w:rPr>
              <w:t xml:space="preserve"> PAK±RBV</w:t>
            </w:r>
          </w:p>
          <w:p w:rsidR="00ED3017" w:rsidRPr="006F393A" w:rsidRDefault="00ED3017" w:rsidP="003A0024">
            <w:pPr>
              <w:pStyle w:val="TableText0"/>
              <w:keepNext w:val="0"/>
              <w:widowControl w:val="0"/>
              <w:rPr>
                <w:b/>
                <w:vertAlign w:val="superscript"/>
              </w:rPr>
            </w:pPr>
            <w:r w:rsidRPr="006F393A">
              <w:rPr>
                <w:b/>
              </w:rPr>
              <w:t>SVR pooled for GT1</w:t>
            </w:r>
            <w:r w:rsidRPr="006F393A">
              <w:rPr>
                <w:b/>
                <w:vertAlign w:val="superscript"/>
              </w:rPr>
              <w:t>bd</w:t>
            </w:r>
          </w:p>
          <w:p w:rsidR="00ED3017" w:rsidRPr="006F393A" w:rsidRDefault="00ED3017" w:rsidP="003A0024">
            <w:pPr>
              <w:pStyle w:val="TableText0"/>
              <w:keepNext w:val="0"/>
              <w:widowControl w:val="0"/>
              <w:rPr>
                <w:b/>
              </w:rPr>
            </w:pPr>
            <w:r w:rsidRPr="006F393A">
              <w:rPr>
                <w:b/>
              </w:rPr>
              <w:t>n/N (k arms)</w:t>
            </w:r>
          </w:p>
          <w:p w:rsidR="00ED3017" w:rsidRPr="006F393A" w:rsidRDefault="00ED3017" w:rsidP="003A0024">
            <w:pPr>
              <w:pStyle w:val="TableText0"/>
              <w:keepNext w:val="0"/>
              <w:widowControl w:val="0"/>
              <w:rPr>
                <w:b/>
              </w:rPr>
            </w:pPr>
            <w:r w:rsidRPr="006F393A">
              <w:rPr>
                <w:b/>
              </w:rPr>
              <w:t>% [95% CI]</w:t>
            </w:r>
          </w:p>
        </w:tc>
        <w:tc>
          <w:tcPr>
            <w:tcW w:w="1848" w:type="dxa"/>
            <w:shd w:val="clear" w:color="auto" w:fill="D9D9D9" w:themeFill="background1" w:themeFillShade="D9"/>
            <w:vAlign w:val="center"/>
          </w:tcPr>
          <w:p w:rsidR="00ED3017" w:rsidRPr="006F393A" w:rsidRDefault="00ED3017" w:rsidP="003A0024">
            <w:pPr>
              <w:pStyle w:val="TableText0"/>
              <w:keepNext w:val="0"/>
              <w:widowControl w:val="0"/>
              <w:rPr>
                <w:b/>
                <w:vertAlign w:val="superscript"/>
              </w:rPr>
            </w:pPr>
            <w:r w:rsidRPr="006F393A">
              <w:rPr>
                <w:b/>
              </w:rPr>
              <w:t>LDV/SOF</w:t>
            </w:r>
          </w:p>
          <w:p w:rsidR="00ED3017" w:rsidRPr="006F393A" w:rsidRDefault="00ED3017" w:rsidP="003A0024">
            <w:pPr>
              <w:pStyle w:val="TableText0"/>
              <w:keepNext w:val="0"/>
              <w:widowControl w:val="0"/>
              <w:rPr>
                <w:b/>
              </w:rPr>
            </w:pPr>
            <w:proofErr w:type="spellStart"/>
            <w:r w:rsidRPr="006F393A">
              <w:rPr>
                <w:b/>
              </w:rPr>
              <w:t>SVR</w:t>
            </w:r>
            <w:r w:rsidRPr="006F393A">
              <w:rPr>
                <w:b/>
                <w:vertAlign w:val="superscript"/>
              </w:rPr>
              <w:t>d</w:t>
            </w:r>
            <w:proofErr w:type="spellEnd"/>
          </w:p>
          <w:p w:rsidR="00ED3017" w:rsidRPr="006F393A" w:rsidRDefault="00ED3017" w:rsidP="003A0024">
            <w:pPr>
              <w:pStyle w:val="TableText0"/>
              <w:keepNext w:val="0"/>
              <w:widowControl w:val="0"/>
              <w:rPr>
                <w:b/>
              </w:rPr>
            </w:pPr>
            <w:r w:rsidRPr="006F393A">
              <w:rPr>
                <w:b/>
              </w:rPr>
              <w:t>n/N (k arms)</w:t>
            </w:r>
          </w:p>
          <w:p w:rsidR="00ED3017" w:rsidRPr="006F393A" w:rsidRDefault="00ED3017" w:rsidP="003A0024">
            <w:pPr>
              <w:pStyle w:val="TableText0"/>
              <w:keepNext w:val="0"/>
              <w:widowControl w:val="0"/>
              <w:rPr>
                <w:b/>
              </w:rPr>
            </w:pPr>
            <w:r w:rsidRPr="006F393A">
              <w:rPr>
                <w:b/>
              </w:rPr>
              <w:t>% [95% CI]</w:t>
            </w:r>
          </w:p>
        </w:tc>
      </w:tr>
      <w:tr w:rsidR="00ED3017" w:rsidRPr="006F393A" w:rsidTr="00ED3017">
        <w:trPr>
          <w:trHeight w:val="284"/>
        </w:trPr>
        <w:tc>
          <w:tcPr>
            <w:tcW w:w="9242" w:type="dxa"/>
            <w:gridSpan w:val="5"/>
            <w:shd w:val="clear" w:color="auto" w:fill="D9D9D9" w:themeFill="background1" w:themeFillShade="D9"/>
            <w:vAlign w:val="center"/>
          </w:tcPr>
          <w:p w:rsidR="00ED3017" w:rsidRPr="006F393A" w:rsidRDefault="00ED3017" w:rsidP="003A0024">
            <w:pPr>
              <w:pStyle w:val="TableText0"/>
              <w:keepNext w:val="0"/>
              <w:widowControl w:val="0"/>
              <w:rPr>
                <w:b/>
              </w:rPr>
            </w:pPr>
            <w:r w:rsidRPr="006F393A">
              <w:rPr>
                <w:b/>
              </w:rPr>
              <w:t>Treatment Naïve</w:t>
            </w:r>
          </w:p>
        </w:tc>
      </w:tr>
      <w:tr w:rsidR="00ED3017" w:rsidRPr="006F393A" w:rsidTr="005431B4">
        <w:trPr>
          <w:trHeight w:val="284"/>
        </w:trPr>
        <w:tc>
          <w:tcPr>
            <w:tcW w:w="1849" w:type="dxa"/>
            <w:vMerge w:val="restart"/>
            <w:vAlign w:val="center"/>
          </w:tcPr>
          <w:p w:rsidR="00ED3017" w:rsidRPr="006F393A" w:rsidRDefault="00ED3017" w:rsidP="003A0024">
            <w:pPr>
              <w:pStyle w:val="TableText0"/>
              <w:keepNext w:val="0"/>
              <w:widowControl w:val="0"/>
            </w:pPr>
            <w:r w:rsidRPr="006F393A">
              <w:t>Non-cirrhotic</w:t>
            </w:r>
          </w:p>
        </w:tc>
        <w:tc>
          <w:tcPr>
            <w:tcW w:w="1849" w:type="dxa"/>
            <w:vAlign w:val="center"/>
          </w:tcPr>
          <w:p w:rsidR="00ED3017" w:rsidRPr="006F393A" w:rsidRDefault="00ED3017" w:rsidP="003A0024">
            <w:pPr>
              <w:pStyle w:val="TableText0"/>
              <w:keepNext w:val="0"/>
              <w:widowControl w:val="0"/>
            </w:pPr>
            <w:r w:rsidRPr="006F393A">
              <w:t>GT1a</w:t>
            </w:r>
          </w:p>
        </w:tc>
        <w:tc>
          <w:tcPr>
            <w:tcW w:w="1848" w:type="dxa"/>
            <w:shd w:val="clear" w:color="auto" w:fill="auto"/>
            <w:vAlign w:val="center"/>
          </w:tcPr>
          <w:p w:rsidR="00ED3017" w:rsidRPr="006F393A" w:rsidRDefault="00ED3017" w:rsidP="003A0024">
            <w:pPr>
              <w:pStyle w:val="TableText0"/>
              <w:keepNext w:val="0"/>
              <w:widowControl w:val="0"/>
              <w:jc w:val="center"/>
            </w:pPr>
            <w:r w:rsidRPr="006F393A">
              <w:t>471/491 (3)</w:t>
            </w:r>
            <w:r w:rsidRPr="006F393A">
              <w:br/>
              <w:t>96.1% [94.1, 97.7]</w:t>
            </w:r>
          </w:p>
        </w:tc>
        <w:tc>
          <w:tcPr>
            <w:tcW w:w="1848" w:type="dxa"/>
            <w:vMerge w:val="restart"/>
            <w:shd w:val="clear" w:color="auto" w:fill="auto"/>
            <w:vAlign w:val="center"/>
          </w:tcPr>
          <w:p w:rsidR="00ED3017" w:rsidRPr="006F393A" w:rsidRDefault="00ED3017" w:rsidP="003A0024">
            <w:pPr>
              <w:pStyle w:val="TableText0"/>
              <w:keepNext w:val="0"/>
              <w:widowControl w:val="0"/>
              <w:jc w:val="center"/>
            </w:pPr>
            <w:r w:rsidRPr="006F393A">
              <w:t>761/783</w:t>
            </w:r>
            <w:r w:rsidRPr="006F393A">
              <w:br/>
              <w:t>97.9% [94.8, 99.8]</w:t>
            </w:r>
          </w:p>
          <w:p w:rsidR="00ED3017" w:rsidRPr="006F393A" w:rsidRDefault="00ED3017" w:rsidP="003A0024">
            <w:pPr>
              <w:pStyle w:val="TableText0"/>
              <w:keepNext w:val="0"/>
              <w:widowControl w:val="0"/>
              <w:jc w:val="center"/>
            </w:pPr>
            <w:r w:rsidRPr="006F393A">
              <w:t>(63% GT1a)</w:t>
            </w:r>
          </w:p>
        </w:tc>
        <w:tc>
          <w:tcPr>
            <w:tcW w:w="1848" w:type="dxa"/>
            <w:vMerge w:val="restart"/>
            <w:shd w:val="clear" w:color="auto" w:fill="auto"/>
            <w:vAlign w:val="center"/>
          </w:tcPr>
          <w:p w:rsidR="00ED3017" w:rsidRPr="006F393A" w:rsidRDefault="00ED3017" w:rsidP="003A0024">
            <w:pPr>
              <w:pStyle w:val="TableText0"/>
              <w:keepNext w:val="0"/>
              <w:widowControl w:val="0"/>
              <w:jc w:val="center"/>
            </w:pPr>
            <w:r w:rsidRPr="006F393A">
              <w:t>768/792 (4)</w:t>
            </w:r>
            <w:r w:rsidRPr="006F393A">
              <w:br/>
              <w:t>98% [94, 99.9]</w:t>
            </w:r>
          </w:p>
        </w:tc>
      </w:tr>
      <w:tr w:rsidR="00ED3017" w:rsidRPr="006F393A" w:rsidTr="005431B4">
        <w:trPr>
          <w:trHeight w:val="284"/>
        </w:trPr>
        <w:tc>
          <w:tcPr>
            <w:tcW w:w="1849" w:type="dxa"/>
            <w:vMerge/>
            <w:vAlign w:val="center"/>
          </w:tcPr>
          <w:p w:rsidR="00ED3017" w:rsidRPr="006F393A" w:rsidRDefault="00ED3017" w:rsidP="003A0024">
            <w:pPr>
              <w:pStyle w:val="TableText0"/>
              <w:keepNext w:val="0"/>
              <w:widowControl w:val="0"/>
            </w:pPr>
          </w:p>
        </w:tc>
        <w:tc>
          <w:tcPr>
            <w:tcW w:w="1849" w:type="dxa"/>
            <w:vAlign w:val="center"/>
          </w:tcPr>
          <w:p w:rsidR="00ED3017" w:rsidRPr="006F393A" w:rsidRDefault="00ED3017" w:rsidP="003A0024">
            <w:pPr>
              <w:pStyle w:val="TableText0"/>
              <w:keepNext w:val="0"/>
              <w:widowControl w:val="0"/>
            </w:pPr>
            <w:r w:rsidRPr="006F393A">
              <w:t>GT1b</w:t>
            </w:r>
          </w:p>
        </w:tc>
        <w:tc>
          <w:tcPr>
            <w:tcW w:w="1848" w:type="dxa"/>
            <w:shd w:val="clear" w:color="auto" w:fill="auto"/>
            <w:vAlign w:val="center"/>
          </w:tcPr>
          <w:p w:rsidR="00ED3017" w:rsidRPr="006F393A" w:rsidRDefault="00ED3017" w:rsidP="003A0024">
            <w:pPr>
              <w:pStyle w:val="TableText0"/>
              <w:keepNext w:val="0"/>
              <w:widowControl w:val="0"/>
              <w:jc w:val="center"/>
            </w:pPr>
            <w:r w:rsidRPr="006F393A">
              <w:t>290/292 (2)</w:t>
            </w:r>
            <w:r w:rsidRPr="006F393A">
              <w:br/>
              <w:t>99.4% [95.1, 100]</w:t>
            </w:r>
          </w:p>
        </w:tc>
        <w:tc>
          <w:tcPr>
            <w:tcW w:w="1848" w:type="dxa"/>
            <w:vMerge/>
            <w:shd w:val="clear" w:color="auto" w:fill="auto"/>
            <w:vAlign w:val="center"/>
          </w:tcPr>
          <w:p w:rsidR="00ED3017" w:rsidRPr="006F393A" w:rsidRDefault="00ED3017" w:rsidP="003A0024">
            <w:pPr>
              <w:pStyle w:val="TableText0"/>
              <w:keepNext w:val="0"/>
              <w:widowControl w:val="0"/>
              <w:jc w:val="center"/>
            </w:pPr>
          </w:p>
        </w:tc>
        <w:tc>
          <w:tcPr>
            <w:tcW w:w="1848" w:type="dxa"/>
            <w:vMerge/>
            <w:shd w:val="clear" w:color="auto" w:fill="auto"/>
            <w:vAlign w:val="center"/>
          </w:tcPr>
          <w:p w:rsidR="00ED3017" w:rsidRPr="006F393A" w:rsidRDefault="00ED3017" w:rsidP="003A0024">
            <w:pPr>
              <w:pStyle w:val="TableText0"/>
              <w:keepNext w:val="0"/>
              <w:widowControl w:val="0"/>
              <w:jc w:val="center"/>
            </w:pPr>
          </w:p>
        </w:tc>
      </w:tr>
      <w:tr w:rsidR="00ED3017" w:rsidRPr="006F393A" w:rsidTr="005431B4">
        <w:trPr>
          <w:trHeight w:val="284"/>
        </w:trPr>
        <w:tc>
          <w:tcPr>
            <w:tcW w:w="1849" w:type="dxa"/>
            <w:vMerge w:val="restart"/>
            <w:vAlign w:val="center"/>
          </w:tcPr>
          <w:p w:rsidR="00ED3017" w:rsidRPr="006F393A" w:rsidRDefault="00ED3017" w:rsidP="003A0024">
            <w:pPr>
              <w:pStyle w:val="TableText0"/>
              <w:keepNext w:val="0"/>
              <w:widowControl w:val="0"/>
            </w:pPr>
            <w:r w:rsidRPr="006F393A">
              <w:t>Cirrhotic</w:t>
            </w:r>
          </w:p>
        </w:tc>
        <w:tc>
          <w:tcPr>
            <w:tcW w:w="1849" w:type="dxa"/>
            <w:vAlign w:val="center"/>
          </w:tcPr>
          <w:p w:rsidR="00ED3017" w:rsidRPr="006F393A" w:rsidRDefault="00ED3017" w:rsidP="003A0024">
            <w:pPr>
              <w:pStyle w:val="TableText0"/>
              <w:keepNext w:val="0"/>
              <w:widowControl w:val="0"/>
            </w:pPr>
            <w:r w:rsidRPr="006F393A">
              <w:t>GT1a</w:t>
            </w:r>
          </w:p>
        </w:tc>
        <w:tc>
          <w:tcPr>
            <w:tcW w:w="1848" w:type="dxa"/>
            <w:shd w:val="clear" w:color="auto" w:fill="auto"/>
            <w:vAlign w:val="center"/>
          </w:tcPr>
          <w:p w:rsidR="00ED3017" w:rsidRPr="006F393A" w:rsidRDefault="00ED3017" w:rsidP="003A0024">
            <w:pPr>
              <w:pStyle w:val="TableText0"/>
              <w:keepNext w:val="0"/>
              <w:widowControl w:val="0"/>
              <w:jc w:val="center"/>
              <w:rPr>
                <w:rFonts w:ascii="Calibri" w:hAnsi="Calibri"/>
                <w:color w:val="000000"/>
                <w:szCs w:val="22"/>
              </w:rPr>
            </w:pPr>
            <w:r w:rsidRPr="006F393A">
              <w:t>59/64 (1)</w:t>
            </w:r>
            <w:r w:rsidRPr="006F393A">
              <w:br/>
              <w:t>92.2% [82.7, 97.4]</w:t>
            </w:r>
          </w:p>
        </w:tc>
        <w:tc>
          <w:tcPr>
            <w:tcW w:w="1848" w:type="dxa"/>
            <w:vMerge w:val="restart"/>
            <w:shd w:val="clear" w:color="auto" w:fill="auto"/>
            <w:vAlign w:val="center"/>
          </w:tcPr>
          <w:p w:rsidR="00ED3017" w:rsidRPr="006F393A" w:rsidRDefault="00ED3017" w:rsidP="003A0024">
            <w:pPr>
              <w:pStyle w:val="TableText0"/>
              <w:keepNext w:val="0"/>
              <w:widowControl w:val="0"/>
              <w:jc w:val="center"/>
            </w:pPr>
            <w:r w:rsidRPr="006F393A">
              <w:t>81/86 (1)</w:t>
            </w:r>
            <w:r w:rsidRPr="006F393A">
              <w:br/>
              <w:t>94.2% [87.1, 97.5]</w:t>
            </w:r>
          </w:p>
          <w:p w:rsidR="00ED3017" w:rsidRPr="006F393A" w:rsidRDefault="00ED3017" w:rsidP="003A0024">
            <w:pPr>
              <w:pStyle w:val="TableText0"/>
              <w:keepNext w:val="0"/>
              <w:widowControl w:val="0"/>
              <w:jc w:val="center"/>
            </w:pPr>
            <w:r w:rsidRPr="006F393A">
              <w:t>(74% GT1a)</w:t>
            </w:r>
          </w:p>
        </w:tc>
        <w:tc>
          <w:tcPr>
            <w:tcW w:w="1848" w:type="dxa"/>
            <w:vMerge w:val="restart"/>
            <w:shd w:val="clear" w:color="auto" w:fill="auto"/>
            <w:vAlign w:val="center"/>
          </w:tcPr>
          <w:p w:rsidR="00ED3017" w:rsidRPr="006F393A" w:rsidRDefault="00ED3017" w:rsidP="003A0024">
            <w:pPr>
              <w:pStyle w:val="TableText0"/>
              <w:keepNext w:val="0"/>
              <w:widowControl w:val="0"/>
              <w:jc w:val="center"/>
            </w:pPr>
            <w:r w:rsidRPr="006F393A">
              <w:t>63/65 (2)</w:t>
            </w:r>
            <w:r w:rsidRPr="006F393A">
              <w:br/>
              <w:t>96.9% [90.6, 100]</w:t>
            </w:r>
          </w:p>
        </w:tc>
      </w:tr>
      <w:tr w:rsidR="00ED3017" w:rsidRPr="006F393A" w:rsidTr="005431B4">
        <w:trPr>
          <w:trHeight w:val="284"/>
        </w:trPr>
        <w:tc>
          <w:tcPr>
            <w:tcW w:w="1849" w:type="dxa"/>
            <w:vMerge/>
            <w:vAlign w:val="center"/>
          </w:tcPr>
          <w:p w:rsidR="00ED3017" w:rsidRPr="006F393A" w:rsidRDefault="00ED3017" w:rsidP="003A0024">
            <w:pPr>
              <w:pStyle w:val="TableText0"/>
              <w:keepNext w:val="0"/>
              <w:widowControl w:val="0"/>
              <w:rPr>
                <w:b/>
              </w:rPr>
            </w:pPr>
          </w:p>
        </w:tc>
        <w:tc>
          <w:tcPr>
            <w:tcW w:w="1849" w:type="dxa"/>
            <w:vAlign w:val="center"/>
          </w:tcPr>
          <w:p w:rsidR="00ED3017" w:rsidRPr="006F393A" w:rsidRDefault="00ED3017" w:rsidP="003A0024">
            <w:pPr>
              <w:pStyle w:val="TableText0"/>
              <w:keepNext w:val="0"/>
              <w:widowControl w:val="0"/>
            </w:pPr>
            <w:r w:rsidRPr="006F393A">
              <w:t>GT1b</w:t>
            </w:r>
          </w:p>
        </w:tc>
        <w:tc>
          <w:tcPr>
            <w:tcW w:w="1848" w:type="dxa"/>
            <w:shd w:val="clear" w:color="auto" w:fill="auto"/>
            <w:vAlign w:val="center"/>
          </w:tcPr>
          <w:p w:rsidR="00ED3017" w:rsidRPr="006F393A" w:rsidRDefault="00ED3017" w:rsidP="003A0024">
            <w:pPr>
              <w:pStyle w:val="TableText0"/>
              <w:keepNext w:val="0"/>
              <w:widowControl w:val="0"/>
              <w:jc w:val="center"/>
            </w:pPr>
            <w:r w:rsidRPr="006F393A">
              <w:t>22/22 (1)</w:t>
            </w:r>
            <w:r w:rsidRPr="006F393A">
              <w:br/>
              <w:t>100% [84.6, 100]</w:t>
            </w:r>
          </w:p>
        </w:tc>
        <w:tc>
          <w:tcPr>
            <w:tcW w:w="1848" w:type="dxa"/>
            <w:vMerge/>
            <w:shd w:val="clear" w:color="auto" w:fill="E5DFEC" w:themeFill="accent4" w:themeFillTint="33"/>
            <w:vAlign w:val="center"/>
          </w:tcPr>
          <w:p w:rsidR="00ED3017" w:rsidRPr="006F393A" w:rsidRDefault="00ED3017" w:rsidP="003A0024">
            <w:pPr>
              <w:pStyle w:val="TableText0"/>
              <w:keepNext w:val="0"/>
              <w:widowControl w:val="0"/>
            </w:pPr>
          </w:p>
        </w:tc>
        <w:tc>
          <w:tcPr>
            <w:tcW w:w="1848" w:type="dxa"/>
            <w:vMerge/>
            <w:shd w:val="clear" w:color="auto" w:fill="E5DFEC" w:themeFill="accent4" w:themeFillTint="33"/>
            <w:vAlign w:val="center"/>
          </w:tcPr>
          <w:p w:rsidR="00ED3017" w:rsidRPr="006F393A" w:rsidRDefault="00ED3017" w:rsidP="003A0024">
            <w:pPr>
              <w:pStyle w:val="TableText0"/>
              <w:keepNext w:val="0"/>
              <w:widowControl w:val="0"/>
            </w:pPr>
          </w:p>
        </w:tc>
      </w:tr>
      <w:tr w:rsidR="00ED3017" w:rsidRPr="006F393A" w:rsidTr="00ED3017">
        <w:trPr>
          <w:trHeight w:val="284"/>
        </w:trPr>
        <w:tc>
          <w:tcPr>
            <w:tcW w:w="9242" w:type="dxa"/>
            <w:gridSpan w:val="5"/>
            <w:shd w:val="clear" w:color="auto" w:fill="D9D9D9" w:themeFill="background1" w:themeFillShade="D9"/>
            <w:vAlign w:val="center"/>
          </w:tcPr>
          <w:p w:rsidR="00ED3017" w:rsidRPr="006F393A" w:rsidRDefault="00ED3017" w:rsidP="003A0024">
            <w:pPr>
              <w:pStyle w:val="TableText0"/>
              <w:keepNext w:val="0"/>
              <w:widowControl w:val="0"/>
              <w:rPr>
                <w:b/>
              </w:rPr>
            </w:pPr>
            <w:r w:rsidRPr="006F393A">
              <w:rPr>
                <w:b/>
              </w:rPr>
              <w:t>Treatment Experienced</w:t>
            </w:r>
          </w:p>
        </w:tc>
      </w:tr>
      <w:tr w:rsidR="00ED3017" w:rsidRPr="006F393A" w:rsidTr="005431B4">
        <w:trPr>
          <w:trHeight w:val="284"/>
        </w:trPr>
        <w:tc>
          <w:tcPr>
            <w:tcW w:w="1849" w:type="dxa"/>
            <w:vMerge w:val="restart"/>
            <w:vAlign w:val="center"/>
          </w:tcPr>
          <w:p w:rsidR="00ED3017" w:rsidRPr="006F393A" w:rsidRDefault="00ED3017" w:rsidP="003A0024">
            <w:pPr>
              <w:pStyle w:val="TableText0"/>
              <w:keepNext w:val="0"/>
              <w:widowControl w:val="0"/>
            </w:pPr>
            <w:r w:rsidRPr="006F393A">
              <w:t>Non-cirrhotic</w:t>
            </w:r>
          </w:p>
        </w:tc>
        <w:tc>
          <w:tcPr>
            <w:tcW w:w="1849" w:type="dxa"/>
            <w:vAlign w:val="center"/>
          </w:tcPr>
          <w:p w:rsidR="00ED3017" w:rsidRPr="006F393A" w:rsidRDefault="00ED3017" w:rsidP="003A0024">
            <w:pPr>
              <w:pStyle w:val="TableText0"/>
              <w:keepNext w:val="0"/>
              <w:widowControl w:val="0"/>
            </w:pPr>
            <w:r w:rsidRPr="006F393A">
              <w:t>GT1a</w:t>
            </w:r>
          </w:p>
        </w:tc>
        <w:tc>
          <w:tcPr>
            <w:tcW w:w="1848" w:type="dxa"/>
            <w:shd w:val="clear" w:color="auto" w:fill="auto"/>
            <w:vAlign w:val="center"/>
          </w:tcPr>
          <w:p w:rsidR="00ED3017" w:rsidRPr="006F393A" w:rsidRDefault="00ED3017" w:rsidP="003A0024">
            <w:pPr>
              <w:pStyle w:val="TableText0"/>
              <w:keepNext w:val="0"/>
              <w:widowControl w:val="0"/>
              <w:jc w:val="center"/>
            </w:pPr>
            <w:r w:rsidRPr="006F393A">
              <w:t>185/192 (2)</w:t>
            </w:r>
            <w:r w:rsidRPr="006F393A">
              <w:br/>
              <w:t>97.3% [94.1, 99.5]</w:t>
            </w:r>
          </w:p>
        </w:tc>
        <w:tc>
          <w:tcPr>
            <w:tcW w:w="1848" w:type="dxa"/>
            <w:vMerge w:val="restart"/>
            <w:shd w:val="clear" w:color="auto" w:fill="auto"/>
            <w:vAlign w:val="center"/>
          </w:tcPr>
          <w:p w:rsidR="00ED3017" w:rsidRPr="006F393A" w:rsidRDefault="00ED3017" w:rsidP="003A0024">
            <w:pPr>
              <w:pStyle w:val="TableText0"/>
              <w:keepNext w:val="0"/>
              <w:widowControl w:val="0"/>
              <w:jc w:val="center"/>
            </w:pPr>
            <w:r w:rsidRPr="006F393A">
              <w:t>276/283</w:t>
            </w:r>
            <w:r w:rsidRPr="006F393A">
              <w:br/>
              <w:t>99.2% [94.9, 100]</w:t>
            </w:r>
          </w:p>
          <w:p w:rsidR="00ED3017" w:rsidRPr="006F393A" w:rsidRDefault="00ED3017" w:rsidP="003A0024">
            <w:pPr>
              <w:pStyle w:val="TableText0"/>
              <w:keepNext w:val="0"/>
              <w:widowControl w:val="0"/>
              <w:jc w:val="center"/>
            </w:pPr>
            <w:r w:rsidRPr="006F393A">
              <w:t>(68% GT1a)</w:t>
            </w:r>
          </w:p>
        </w:tc>
        <w:tc>
          <w:tcPr>
            <w:tcW w:w="1848" w:type="dxa"/>
            <w:vMerge w:val="restart"/>
            <w:shd w:val="clear" w:color="auto" w:fill="auto"/>
            <w:vAlign w:val="center"/>
          </w:tcPr>
          <w:p w:rsidR="00ED3017" w:rsidRPr="006F393A" w:rsidRDefault="00ED3017" w:rsidP="003A0024">
            <w:pPr>
              <w:pStyle w:val="TableText0"/>
              <w:keepNext w:val="0"/>
              <w:widowControl w:val="0"/>
              <w:jc w:val="center"/>
            </w:pPr>
            <w:r w:rsidRPr="006F393A">
              <w:t>169/174 (2)</w:t>
            </w:r>
            <w:r w:rsidRPr="006F393A">
              <w:br/>
              <w:t>97.4% [93.1, 99.8]</w:t>
            </w:r>
          </w:p>
        </w:tc>
      </w:tr>
      <w:tr w:rsidR="00ED3017" w:rsidRPr="006F393A" w:rsidTr="005431B4">
        <w:trPr>
          <w:trHeight w:val="284"/>
        </w:trPr>
        <w:tc>
          <w:tcPr>
            <w:tcW w:w="1849" w:type="dxa"/>
            <w:vMerge/>
            <w:vAlign w:val="center"/>
          </w:tcPr>
          <w:p w:rsidR="00ED3017" w:rsidRPr="006F393A" w:rsidRDefault="00ED3017" w:rsidP="003A0024">
            <w:pPr>
              <w:pStyle w:val="TableText0"/>
              <w:keepNext w:val="0"/>
              <w:widowControl w:val="0"/>
            </w:pPr>
          </w:p>
        </w:tc>
        <w:tc>
          <w:tcPr>
            <w:tcW w:w="1849" w:type="dxa"/>
            <w:vAlign w:val="center"/>
          </w:tcPr>
          <w:p w:rsidR="00ED3017" w:rsidRPr="006F393A" w:rsidRDefault="00ED3017" w:rsidP="003A0024">
            <w:pPr>
              <w:pStyle w:val="TableText0"/>
              <w:keepNext w:val="0"/>
              <w:widowControl w:val="0"/>
            </w:pPr>
            <w:r w:rsidRPr="006F393A">
              <w:t>GT1b</w:t>
            </w:r>
          </w:p>
        </w:tc>
        <w:tc>
          <w:tcPr>
            <w:tcW w:w="1848" w:type="dxa"/>
            <w:shd w:val="clear" w:color="auto" w:fill="auto"/>
            <w:vAlign w:val="center"/>
          </w:tcPr>
          <w:p w:rsidR="00ED3017" w:rsidRPr="006F393A" w:rsidRDefault="00ED3017" w:rsidP="003A0024">
            <w:pPr>
              <w:pStyle w:val="TableText0"/>
              <w:keepNext w:val="0"/>
              <w:widowControl w:val="0"/>
              <w:jc w:val="center"/>
            </w:pPr>
            <w:r w:rsidRPr="006F393A">
              <w:t>91/91 (1)</w:t>
            </w:r>
            <w:r w:rsidRPr="006F393A">
              <w:br/>
              <w:t>100% [96, 100]</w:t>
            </w:r>
          </w:p>
        </w:tc>
        <w:tc>
          <w:tcPr>
            <w:tcW w:w="1848" w:type="dxa"/>
            <w:vMerge/>
            <w:shd w:val="clear" w:color="auto" w:fill="auto"/>
            <w:vAlign w:val="center"/>
          </w:tcPr>
          <w:p w:rsidR="00ED3017" w:rsidRPr="006F393A" w:rsidRDefault="00ED3017" w:rsidP="003A0024">
            <w:pPr>
              <w:pStyle w:val="TableText0"/>
              <w:keepNext w:val="0"/>
              <w:widowControl w:val="0"/>
              <w:jc w:val="center"/>
            </w:pPr>
          </w:p>
        </w:tc>
        <w:tc>
          <w:tcPr>
            <w:tcW w:w="1848" w:type="dxa"/>
            <w:vMerge/>
            <w:shd w:val="clear" w:color="auto" w:fill="auto"/>
            <w:vAlign w:val="center"/>
          </w:tcPr>
          <w:p w:rsidR="00ED3017" w:rsidRPr="006F393A" w:rsidRDefault="00ED3017" w:rsidP="003A0024">
            <w:pPr>
              <w:pStyle w:val="TableText0"/>
              <w:keepNext w:val="0"/>
              <w:widowControl w:val="0"/>
              <w:jc w:val="center"/>
            </w:pPr>
          </w:p>
        </w:tc>
      </w:tr>
      <w:tr w:rsidR="00ED3017" w:rsidRPr="006F393A" w:rsidTr="005431B4">
        <w:trPr>
          <w:trHeight w:val="284"/>
        </w:trPr>
        <w:tc>
          <w:tcPr>
            <w:tcW w:w="1849" w:type="dxa"/>
            <w:vMerge w:val="restart"/>
            <w:vAlign w:val="center"/>
          </w:tcPr>
          <w:p w:rsidR="00ED3017" w:rsidRPr="006F393A" w:rsidRDefault="00ED3017" w:rsidP="003A0024">
            <w:pPr>
              <w:pStyle w:val="TableText0"/>
              <w:keepNext w:val="0"/>
              <w:widowControl w:val="0"/>
            </w:pPr>
            <w:r w:rsidRPr="006F393A">
              <w:t>Cirrhotic</w:t>
            </w:r>
          </w:p>
        </w:tc>
        <w:tc>
          <w:tcPr>
            <w:tcW w:w="1849" w:type="dxa"/>
            <w:vAlign w:val="center"/>
          </w:tcPr>
          <w:p w:rsidR="00ED3017" w:rsidRPr="006F393A" w:rsidRDefault="00ED3017" w:rsidP="003A0024">
            <w:pPr>
              <w:pStyle w:val="TableText0"/>
              <w:keepNext w:val="0"/>
              <w:widowControl w:val="0"/>
            </w:pPr>
            <w:r w:rsidRPr="006F393A">
              <w:t>GT1a</w:t>
            </w:r>
          </w:p>
        </w:tc>
        <w:tc>
          <w:tcPr>
            <w:tcW w:w="1848" w:type="dxa"/>
            <w:shd w:val="clear" w:color="auto" w:fill="auto"/>
            <w:vAlign w:val="center"/>
          </w:tcPr>
          <w:p w:rsidR="00ED3017" w:rsidRPr="006F393A" w:rsidRDefault="00ED3017" w:rsidP="003A0024">
            <w:pPr>
              <w:pStyle w:val="TableText0"/>
              <w:keepNext w:val="0"/>
              <w:widowControl w:val="0"/>
              <w:jc w:val="center"/>
            </w:pPr>
            <w:r w:rsidRPr="006F393A">
              <w:t>25/26 (1)</w:t>
            </w:r>
            <w:r w:rsidRPr="006F393A">
              <w:br/>
              <w:t>96.2% [80.4, 99.9]</w:t>
            </w:r>
          </w:p>
        </w:tc>
        <w:tc>
          <w:tcPr>
            <w:tcW w:w="1848" w:type="dxa"/>
            <w:vMerge w:val="restart"/>
            <w:shd w:val="clear" w:color="auto" w:fill="auto"/>
            <w:vAlign w:val="center"/>
          </w:tcPr>
          <w:p w:rsidR="00ED3017" w:rsidRPr="006F393A" w:rsidRDefault="00ED3017" w:rsidP="003A0024">
            <w:pPr>
              <w:pStyle w:val="TableText0"/>
              <w:keepNext w:val="0"/>
              <w:widowControl w:val="0"/>
              <w:jc w:val="center"/>
            </w:pPr>
            <w:r w:rsidRPr="006F393A">
              <w:t>109/114 (2)</w:t>
            </w:r>
            <w:r w:rsidRPr="006F393A">
              <w:br/>
              <w:t>95.8% [90.6, 99.2]</w:t>
            </w:r>
          </w:p>
          <w:p w:rsidR="00ED3017" w:rsidRPr="006F393A" w:rsidRDefault="00ED3017" w:rsidP="003A0024">
            <w:pPr>
              <w:pStyle w:val="TableText0"/>
              <w:keepNext w:val="0"/>
              <w:widowControl w:val="0"/>
              <w:jc w:val="center"/>
            </w:pPr>
            <w:r w:rsidRPr="006F393A">
              <w:t>(60% GT1a)</w:t>
            </w:r>
          </w:p>
        </w:tc>
        <w:tc>
          <w:tcPr>
            <w:tcW w:w="1848" w:type="dxa"/>
            <w:vMerge w:val="restart"/>
            <w:shd w:val="clear" w:color="auto" w:fill="auto"/>
            <w:vAlign w:val="center"/>
          </w:tcPr>
          <w:p w:rsidR="00ED3017" w:rsidRPr="006F393A" w:rsidRDefault="00ED3017" w:rsidP="003A0024">
            <w:pPr>
              <w:pStyle w:val="TableText0"/>
              <w:keepNext w:val="0"/>
              <w:widowControl w:val="0"/>
              <w:jc w:val="center"/>
            </w:pPr>
            <w:r w:rsidRPr="006F393A">
              <w:t>41/44 (2)</w:t>
            </w:r>
            <w:r w:rsidRPr="006F393A">
              <w:br/>
              <w:t>95.6% [74.5, 100]</w:t>
            </w:r>
            <w:r w:rsidRPr="006F393A">
              <w:rPr>
                <w:vertAlign w:val="superscript"/>
              </w:rPr>
              <w:t>c</w:t>
            </w:r>
          </w:p>
        </w:tc>
      </w:tr>
      <w:tr w:rsidR="00ED3017" w:rsidRPr="006F393A" w:rsidTr="005431B4">
        <w:trPr>
          <w:trHeight w:val="284"/>
        </w:trPr>
        <w:tc>
          <w:tcPr>
            <w:tcW w:w="1849" w:type="dxa"/>
            <w:vMerge/>
            <w:vAlign w:val="center"/>
          </w:tcPr>
          <w:p w:rsidR="00ED3017" w:rsidRPr="006F393A" w:rsidRDefault="00ED3017" w:rsidP="003A0024">
            <w:pPr>
              <w:pStyle w:val="TableText0"/>
              <w:keepNext w:val="0"/>
              <w:widowControl w:val="0"/>
              <w:rPr>
                <w:b/>
              </w:rPr>
            </w:pPr>
          </w:p>
        </w:tc>
        <w:tc>
          <w:tcPr>
            <w:tcW w:w="1849" w:type="dxa"/>
            <w:vAlign w:val="center"/>
          </w:tcPr>
          <w:p w:rsidR="00ED3017" w:rsidRPr="006F393A" w:rsidRDefault="00ED3017" w:rsidP="003A0024">
            <w:pPr>
              <w:pStyle w:val="TableText0"/>
              <w:keepNext w:val="0"/>
              <w:widowControl w:val="0"/>
            </w:pPr>
            <w:r w:rsidRPr="006F393A">
              <w:t>GT1b</w:t>
            </w:r>
          </w:p>
        </w:tc>
        <w:tc>
          <w:tcPr>
            <w:tcW w:w="1848" w:type="dxa"/>
            <w:shd w:val="clear" w:color="auto" w:fill="auto"/>
            <w:vAlign w:val="center"/>
          </w:tcPr>
          <w:p w:rsidR="00ED3017" w:rsidRPr="006F393A" w:rsidRDefault="00ED3017" w:rsidP="003A0024">
            <w:pPr>
              <w:pStyle w:val="TableText0"/>
              <w:keepNext w:val="0"/>
              <w:widowControl w:val="0"/>
              <w:jc w:val="center"/>
            </w:pPr>
            <w:r w:rsidRPr="006F393A">
              <w:t>45/46 (1)</w:t>
            </w:r>
            <w:r w:rsidRPr="006F393A">
              <w:br/>
              <w:t>97.8% [88.5, 99.9]</w:t>
            </w:r>
          </w:p>
        </w:tc>
        <w:tc>
          <w:tcPr>
            <w:tcW w:w="1848" w:type="dxa"/>
            <w:vMerge/>
            <w:shd w:val="clear" w:color="auto" w:fill="auto"/>
            <w:vAlign w:val="center"/>
          </w:tcPr>
          <w:p w:rsidR="00ED3017" w:rsidRPr="006F393A" w:rsidRDefault="00ED3017" w:rsidP="003A0024">
            <w:pPr>
              <w:pStyle w:val="TableText0"/>
              <w:keepNext w:val="0"/>
              <w:widowControl w:val="0"/>
              <w:jc w:val="center"/>
            </w:pPr>
          </w:p>
        </w:tc>
        <w:tc>
          <w:tcPr>
            <w:tcW w:w="1848" w:type="dxa"/>
            <w:vMerge/>
            <w:shd w:val="clear" w:color="auto" w:fill="auto"/>
            <w:vAlign w:val="center"/>
          </w:tcPr>
          <w:p w:rsidR="00ED3017" w:rsidRPr="006F393A" w:rsidRDefault="00ED3017" w:rsidP="003A0024">
            <w:pPr>
              <w:pStyle w:val="TableText0"/>
              <w:keepNext w:val="0"/>
              <w:widowControl w:val="0"/>
            </w:pPr>
          </w:p>
        </w:tc>
      </w:tr>
      <w:tr w:rsidR="00ED3017" w:rsidRPr="006F393A" w:rsidTr="00D6629A">
        <w:trPr>
          <w:trHeight w:val="287"/>
        </w:trPr>
        <w:tc>
          <w:tcPr>
            <w:tcW w:w="1849" w:type="dxa"/>
            <w:vMerge/>
            <w:vAlign w:val="center"/>
          </w:tcPr>
          <w:p w:rsidR="00ED3017" w:rsidRPr="006F393A" w:rsidRDefault="00ED3017" w:rsidP="003A0024">
            <w:pPr>
              <w:pStyle w:val="TableText0"/>
              <w:keepNext w:val="0"/>
              <w:widowControl w:val="0"/>
            </w:pPr>
          </w:p>
        </w:tc>
        <w:tc>
          <w:tcPr>
            <w:tcW w:w="1849" w:type="dxa"/>
            <w:vAlign w:val="center"/>
          </w:tcPr>
          <w:p w:rsidR="00ED3017" w:rsidRPr="006F393A" w:rsidRDefault="00ED3017" w:rsidP="003A0024">
            <w:pPr>
              <w:pStyle w:val="TableText0"/>
              <w:keepNext w:val="0"/>
              <w:widowControl w:val="0"/>
            </w:pPr>
            <w:r w:rsidRPr="006F393A">
              <w:t>GT1a – non-responders</w:t>
            </w:r>
          </w:p>
        </w:tc>
        <w:tc>
          <w:tcPr>
            <w:tcW w:w="1848" w:type="dxa"/>
            <w:shd w:val="clear" w:color="auto" w:fill="auto"/>
            <w:vAlign w:val="center"/>
          </w:tcPr>
          <w:p w:rsidR="00ED3017" w:rsidRPr="006F393A" w:rsidRDefault="00ED3017" w:rsidP="003A0024">
            <w:pPr>
              <w:pStyle w:val="TableText0"/>
              <w:keepNext w:val="0"/>
              <w:widowControl w:val="0"/>
              <w:jc w:val="center"/>
            </w:pPr>
            <w:r w:rsidRPr="006F393A">
              <w:t>39/42 (1)</w:t>
            </w:r>
            <w:r w:rsidRPr="006F393A">
              <w:br/>
              <w:t>92.9% [80.5, 98.5]</w:t>
            </w:r>
          </w:p>
        </w:tc>
        <w:tc>
          <w:tcPr>
            <w:tcW w:w="1848" w:type="dxa"/>
            <w:vMerge/>
            <w:shd w:val="clear" w:color="auto" w:fill="auto"/>
            <w:vAlign w:val="center"/>
          </w:tcPr>
          <w:p w:rsidR="00ED3017" w:rsidRPr="006F393A" w:rsidRDefault="00ED3017" w:rsidP="003A0024">
            <w:pPr>
              <w:pStyle w:val="TableText0"/>
              <w:keepNext w:val="0"/>
              <w:widowControl w:val="0"/>
              <w:jc w:val="center"/>
            </w:pPr>
          </w:p>
        </w:tc>
        <w:tc>
          <w:tcPr>
            <w:tcW w:w="1848" w:type="dxa"/>
            <w:shd w:val="clear" w:color="auto" w:fill="auto"/>
            <w:vAlign w:val="center"/>
          </w:tcPr>
          <w:p w:rsidR="00ED3017" w:rsidRPr="006F393A" w:rsidRDefault="00ED3017" w:rsidP="003A0024">
            <w:pPr>
              <w:pStyle w:val="TableText0"/>
              <w:keepNext w:val="0"/>
              <w:widowControl w:val="0"/>
              <w:jc w:val="center"/>
            </w:pPr>
          </w:p>
        </w:tc>
      </w:tr>
    </w:tbl>
    <w:p w:rsidR="00E70436" w:rsidRPr="006F393A" w:rsidRDefault="00E70436" w:rsidP="00ED3017">
      <w:pPr>
        <w:pStyle w:val="TableFooter"/>
        <w:ind w:left="720"/>
      </w:pPr>
      <w:r w:rsidRPr="006F393A">
        <w:t xml:space="preserve">GT1a = genotype 1a; GT1b = genotype 1b; SVR = sustained </w:t>
      </w:r>
      <w:proofErr w:type="spellStart"/>
      <w:r w:rsidRPr="006F393A">
        <w:t>virologic</w:t>
      </w:r>
      <w:proofErr w:type="spellEnd"/>
      <w:r w:rsidRPr="006F393A">
        <w:t xml:space="preserve"> response; LDV/SOF = </w:t>
      </w:r>
      <w:proofErr w:type="spellStart"/>
      <w:r w:rsidRPr="006F393A">
        <w:t>ledipasvir</w:t>
      </w:r>
      <w:proofErr w:type="spellEnd"/>
      <w:r w:rsidRPr="006F393A">
        <w:t>/</w:t>
      </w:r>
      <w:proofErr w:type="spellStart"/>
      <w:r w:rsidRPr="006F393A">
        <w:t>sofosbuvir</w:t>
      </w:r>
      <w:proofErr w:type="spellEnd"/>
      <w:r w:rsidRPr="006F393A">
        <w:t xml:space="preserve">, </w:t>
      </w:r>
      <w:r w:rsidR="008046A6" w:rsidRPr="006F393A">
        <w:t xml:space="preserve">CI = confidence interval; </w:t>
      </w:r>
      <w:r w:rsidRPr="006F393A">
        <w:t>NA = not applicable.</w:t>
      </w:r>
    </w:p>
    <w:p w:rsidR="00E70436" w:rsidRPr="006F393A" w:rsidRDefault="00E70436" w:rsidP="00E70436">
      <w:pPr>
        <w:pStyle w:val="TableFooter"/>
        <w:ind w:left="720"/>
      </w:pPr>
      <w:proofErr w:type="spellStart"/>
      <w:proofErr w:type="gramStart"/>
      <w:r w:rsidRPr="006F393A">
        <w:rPr>
          <w:vertAlign w:val="superscript"/>
        </w:rPr>
        <w:t>a</w:t>
      </w:r>
      <w:r w:rsidRPr="006F393A">
        <w:t>The</w:t>
      </w:r>
      <w:proofErr w:type="spellEnd"/>
      <w:proofErr w:type="gramEnd"/>
      <w:r w:rsidRPr="006F393A">
        <w:t xml:space="preserve"> SVR rate for ION-2 null responders is generated by pooling the 12 weeks and 24 weeks LDV/SOF arms for null responders (supplementary appendix to </w:t>
      </w:r>
      <w:proofErr w:type="spellStart"/>
      <w:r w:rsidRPr="006F393A">
        <w:t>Afdhal</w:t>
      </w:r>
      <w:proofErr w:type="spellEnd"/>
      <w:r w:rsidRPr="006F393A">
        <w:t xml:space="preserve"> et al 2014</w:t>
      </w:r>
      <w:r w:rsidR="009A77A4" w:rsidRPr="006F393A">
        <w:rPr>
          <w:noProof/>
          <w:vertAlign w:val="superscript"/>
        </w:rPr>
        <w:t>33</w:t>
      </w:r>
      <w:r w:rsidRPr="006F393A">
        <w:t>).</w:t>
      </w:r>
      <w:r w:rsidR="00BD66D9" w:rsidRPr="006F393A">
        <w:t xml:space="preserve"> </w:t>
      </w:r>
      <w:r w:rsidRPr="006F393A">
        <w:t xml:space="preserve">These arms contain non-cirrhotic and cirrhotic </w:t>
      </w:r>
      <w:proofErr w:type="gramStart"/>
      <w:r w:rsidRPr="006F393A">
        <w:t>patients,</w:t>
      </w:r>
      <w:proofErr w:type="gramEnd"/>
      <w:r w:rsidRPr="006F393A">
        <w:t xml:space="preserve"> and patients of both genotypes, and therefore likely overestimates the SVR rate in GT1a, cirrhotic patients who were non-responders to prior treatment.</w:t>
      </w:r>
    </w:p>
    <w:p w:rsidR="00E70436" w:rsidRPr="006F393A" w:rsidRDefault="00E70436" w:rsidP="00E70436">
      <w:pPr>
        <w:pStyle w:val="TableFooter"/>
        <w:ind w:left="720"/>
      </w:pPr>
      <w:proofErr w:type="spellStart"/>
      <w:proofErr w:type="gramStart"/>
      <w:r w:rsidRPr="006F393A">
        <w:rPr>
          <w:vertAlign w:val="superscript"/>
        </w:rPr>
        <w:t>b</w:t>
      </w:r>
      <w:r w:rsidRPr="006F393A">
        <w:t>The</w:t>
      </w:r>
      <w:proofErr w:type="spellEnd"/>
      <w:proofErr w:type="gramEnd"/>
      <w:r w:rsidRPr="006F393A">
        <w:t xml:space="preserve"> SVR rates are unable to be extracted from ION-1 and ION-2 by cirrhotic status and genotype.</w:t>
      </w:r>
      <w:r w:rsidR="00BD66D9" w:rsidRPr="006F393A">
        <w:t xml:space="preserve"> </w:t>
      </w:r>
      <w:r w:rsidRPr="006F393A">
        <w:t xml:space="preserve">To make a comparison of </w:t>
      </w:r>
      <w:proofErr w:type="spellStart"/>
      <w:r w:rsidRPr="006F393A">
        <w:t>Viekira</w:t>
      </w:r>
      <w:proofErr w:type="spellEnd"/>
      <w:r w:rsidRPr="006F393A">
        <w:t xml:space="preserve"> PAK / </w:t>
      </w:r>
      <w:proofErr w:type="spellStart"/>
      <w:r w:rsidRPr="006F393A">
        <w:t>Viekira</w:t>
      </w:r>
      <w:proofErr w:type="spellEnd"/>
      <w:r w:rsidRPr="006F393A">
        <w:t xml:space="preserve"> PAK-RBV with LDV/SOF, the results for genotype 1a and genotype 1b in the </w:t>
      </w:r>
      <w:proofErr w:type="spellStart"/>
      <w:r w:rsidRPr="006F393A">
        <w:t>Viekira</w:t>
      </w:r>
      <w:proofErr w:type="spellEnd"/>
      <w:r w:rsidRPr="006F393A">
        <w:t xml:space="preserve"> PAK / </w:t>
      </w:r>
      <w:proofErr w:type="spellStart"/>
      <w:r w:rsidRPr="006F393A">
        <w:t>Viekira</w:t>
      </w:r>
      <w:proofErr w:type="spellEnd"/>
      <w:r w:rsidRPr="006F393A">
        <w:t xml:space="preserve"> PAK-RBV studies have been pooled.</w:t>
      </w:r>
      <w:r w:rsidR="00BD66D9" w:rsidRPr="006F393A">
        <w:t xml:space="preserve"> </w:t>
      </w:r>
      <w:r w:rsidRPr="006F393A">
        <w:t>The proportion of patients with genotype 1a in the relevant arms of the LDV/SOF studies are: ION-1, 68.4%; ION-2, 78.4%; ION-3, 79.7%.</w:t>
      </w:r>
    </w:p>
    <w:p w:rsidR="00E70436" w:rsidRPr="006F393A" w:rsidRDefault="00E70436" w:rsidP="00E70436">
      <w:pPr>
        <w:pStyle w:val="TableFooter"/>
        <w:ind w:left="720"/>
      </w:pPr>
      <w:proofErr w:type="spellStart"/>
      <w:proofErr w:type="gramStart"/>
      <w:r w:rsidRPr="006F393A">
        <w:rPr>
          <w:vertAlign w:val="superscript"/>
        </w:rPr>
        <w:t>c</w:t>
      </w:r>
      <w:r w:rsidRPr="006F393A">
        <w:t>The</w:t>
      </w:r>
      <w:proofErr w:type="spellEnd"/>
      <w:proofErr w:type="gramEnd"/>
      <w:r w:rsidRPr="006F393A">
        <w:t xml:space="preserve"> estimate for treatment experienced, cirrhotic patients from ION-2 contains some patients who are non-responders, and may be expected to have a lower response rate to LDV/SOF.</w:t>
      </w:r>
      <w:r w:rsidR="00BD66D9" w:rsidRPr="006F393A">
        <w:t xml:space="preserve"> </w:t>
      </w:r>
      <w:r w:rsidRPr="006F393A">
        <w:t xml:space="preserve">These patients have been excluded from Arm </w:t>
      </w:r>
      <w:proofErr w:type="gramStart"/>
      <w:r w:rsidRPr="006F393A">
        <w:t>A</w:t>
      </w:r>
      <w:proofErr w:type="gramEnd"/>
      <w:r w:rsidRPr="006F393A">
        <w:t xml:space="preserve"> of Turquoise II.</w:t>
      </w:r>
    </w:p>
    <w:p w:rsidR="00E70436" w:rsidRPr="006F393A" w:rsidRDefault="00E70436" w:rsidP="00E70436">
      <w:pPr>
        <w:pStyle w:val="TableFooter"/>
        <w:ind w:left="720"/>
      </w:pPr>
      <w:proofErr w:type="spellStart"/>
      <w:proofErr w:type="gramStart"/>
      <w:r w:rsidRPr="006F393A">
        <w:rPr>
          <w:vertAlign w:val="superscript"/>
        </w:rPr>
        <w:t>d</w:t>
      </w:r>
      <w:r w:rsidRPr="006F393A">
        <w:t>SVR</w:t>
      </w:r>
      <w:proofErr w:type="spellEnd"/>
      <w:proofErr w:type="gramEnd"/>
      <w:r w:rsidRPr="006F393A">
        <w:t xml:space="preserve"> rates for the </w:t>
      </w:r>
      <w:proofErr w:type="spellStart"/>
      <w:r w:rsidRPr="006F393A">
        <w:t>Viekira</w:t>
      </w:r>
      <w:proofErr w:type="spellEnd"/>
      <w:r w:rsidRPr="006F393A">
        <w:t xml:space="preserve"> PAK / </w:t>
      </w:r>
      <w:proofErr w:type="spellStart"/>
      <w:r w:rsidRPr="006F393A">
        <w:t>Viekira</w:t>
      </w:r>
      <w:proofErr w:type="spellEnd"/>
      <w:r w:rsidRPr="006F393A">
        <w:t xml:space="preserve"> PAK-RBV studies</w:t>
      </w:r>
      <w:r w:rsidR="00BD66D9" w:rsidRPr="006F393A">
        <w:t xml:space="preserve"> </w:t>
      </w:r>
      <w:r w:rsidRPr="006F393A">
        <w:t>and the ION studies were recalculated during the evaluation from the provided study CSRs</w:t>
      </w:r>
      <w:r w:rsidR="00D6629A" w:rsidRPr="006F393A">
        <w:t xml:space="preserve"> and publications</w:t>
      </w:r>
      <w:r w:rsidRPr="006F393A">
        <w:t>.</w:t>
      </w:r>
      <w:r w:rsidR="00BD66D9" w:rsidRPr="006F393A">
        <w:t xml:space="preserve"> </w:t>
      </w:r>
      <w:r w:rsidR="00D6629A" w:rsidRPr="006F393A">
        <w:t>When only a group contained data from only one source (one arm), e</w:t>
      </w:r>
      <w:r w:rsidRPr="006F393A">
        <w:t>xact confidence intervals were calculated using the confidence intervals for proportions command in Stata® 13.1.</w:t>
      </w:r>
      <w:r w:rsidR="00D6629A" w:rsidRPr="006F393A">
        <w:t xml:space="preserve">  When multiple arms were used to generate a pooled estimate, this was performed using a random effects meta-analysis of proportions, with exact confidence intervals and adjusted using the Freeman-</w:t>
      </w:r>
      <w:proofErr w:type="spellStart"/>
      <w:r w:rsidR="00D6629A" w:rsidRPr="006F393A">
        <w:t>Tukey</w:t>
      </w:r>
      <w:proofErr w:type="spellEnd"/>
      <w:r w:rsidR="00D6629A" w:rsidRPr="006F393A">
        <w:t xml:space="preserve"> transformation in Stata® 13.1.</w:t>
      </w:r>
    </w:p>
    <w:p w:rsidR="00E70436" w:rsidRPr="006F393A" w:rsidRDefault="00E70436" w:rsidP="00E70436">
      <w:pPr>
        <w:pStyle w:val="TableFooter"/>
        <w:ind w:left="720"/>
      </w:pPr>
      <w:r w:rsidRPr="006F393A">
        <w:t>Source: generated during the evaluation from Table 18, p174 of the Turquoise II CSR; Table 15, p136 of the Malachite I CSR; Table 14, p124 of the Malachite II CSR; Table 19, p187 of the Sapphire I CSR; Table 20, p198 of the Sapphire II CSR; Table 14, p172 of the Pearl II CSR; Table 15, p153 of the Pearl III CSR; Table 15, p149 of the Pearl IV CSR; Table B-79, p325 of the submission; Table B-80, p327 of the submission; Table B-83, p330 of the submission.</w:t>
      </w:r>
    </w:p>
    <w:p w:rsidR="00E70436" w:rsidRPr="006F393A" w:rsidRDefault="009701B0" w:rsidP="009701B0">
      <w:pPr>
        <w:widowControl/>
        <w:jc w:val="left"/>
      </w:pPr>
      <w:r>
        <w:br w:type="page"/>
      </w:r>
    </w:p>
    <w:p w:rsidR="00E70436" w:rsidRPr="006F393A" w:rsidRDefault="00E70436" w:rsidP="00997EDA">
      <w:pPr>
        <w:pStyle w:val="ListParagraph"/>
        <w:widowControl/>
        <w:numPr>
          <w:ilvl w:val="1"/>
          <w:numId w:val="1"/>
        </w:numPr>
        <w:rPr>
          <w:szCs w:val="22"/>
        </w:rPr>
      </w:pPr>
      <w:r w:rsidRPr="006F393A">
        <w:rPr>
          <w:szCs w:val="22"/>
        </w:rPr>
        <w:t xml:space="preserve">SVR rates for </w:t>
      </w:r>
      <w:proofErr w:type="spellStart"/>
      <w:r w:rsidRPr="006F393A">
        <w:rPr>
          <w:szCs w:val="22"/>
        </w:rPr>
        <w:t>Viekira</w:t>
      </w:r>
      <w:proofErr w:type="spellEnd"/>
      <w:r w:rsidRPr="006F393A">
        <w:rPr>
          <w:szCs w:val="22"/>
        </w:rPr>
        <w:t xml:space="preserve"> PAK / </w:t>
      </w:r>
      <w:proofErr w:type="spellStart"/>
      <w:r w:rsidRPr="006F393A">
        <w:rPr>
          <w:szCs w:val="22"/>
        </w:rPr>
        <w:t>Viekira</w:t>
      </w:r>
      <w:proofErr w:type="spellEnd"/>
      <w:r w:rsidRPr="006F393A">
        <w:rPr>
          <w:szCs w:val="22"/>
        </w:rPr>
        <w:t xml:space="preserve"> PAK-RBV are high and exceed 95% in all groups relevant to the proposed listing with the following two exceptions:</w:t>
      </w:r>
    </w:p>
    <w:p w:rsidR="00E70436" w:rsidRPr="006F393A" w:rsidRDefault="00E70436" w:rsidP="00997EDA">
      <w:pPr>
        <w:pStyle w:val="ListParagraph"/>
        <w:widowControl/>
        <w:numPr>
          <w:ilvl w:val="0"/>
          <w:numId w:val="5"/>
        </w:numPr>
        <w:rPr>
          <w:szCs w:val="22"/>
        </w:rPr>
      </w:pPr>
      <w:r w:rsidRPr="006F393A">
        <w:rPr>
          <w:szCs w:val="22"/>
        </w:rPr>
        <w:t xml:space="preserve">Treatment naïve, genotype 1a, cirrhotic patients – a subgroup of Arm </w:t>
      </w:r>
      <w:proofErr w:type="gramStart"/>
      <w:r w:rsidRPr="006F393A">
        <w:rPr>
          <w:szCs w:val="22"/>
        </w:rPr>
        <w:t>A</w:t>
      </w:r>
      <w:proofErr w:type="gramEnd"/>
      <w:r w:rsidRPr="006F393A">
        <w:rPr>
          <w:szCs w:val="22"/>
        </w:rPr>
        <w:t xml:space="preserve"> in Turquoise II, SVR rate is 9</w:t>
      </w:r>
      <w:r w:rsidR="0035718D" w:rsidRPr="006F393A">
        <w:rPr>
          <w:szCs w:val="22"/>
        </w:rPr>
        <w:t>2</w:t>
      </w:r>
      <w:r w:rsidRPr="006F393A">
        <w:rPr>
          <w:szCs w:val="22"/>
        </w:rPr>
        <w:t>.2%.</w:t>
      </w:r>
    </w:p>
    <w:p w:rsidR="00E70436" w:rsidRPr="006F393A" w:rsidRDefault="00E70436" w:rsidP="00997EDA">
      <w:pPr>
        <w:pStyle w:val="ListParagraph"/>
        <w:widowControl/>
        <w:numPr>
          <w:ilvl w:val="0"/>
          <w:numId w:val="5"/>
        </w:numPr>
        <w:rPr>
          <w:szCs w:val="22"/>
        </w:rPr>
      </w:pPr>
      <w:r w:rsidRPr="006F393A">
        <w:rPr>
          <w:szCs w:val="22"/>
        </w:rPr>
        <w:t>Treatment experienced, non-responders, genotype 1a, cirrhotic patients – a subgroup of Arm B in Turquoise II, SVR rate is 92.9%.</w:t>
      </w:r>
    </w:p>
    <w:p w:rsidR="00E70436" w:rsidRPr="006F393A" w:rsidRDefault="00E70436" w:rsidP="00E70436"/>
    <w:p w:rsidR="00F20E05" w:rsidRPr="006F393A" w:rsidRDefault="00E70436" w:rsidP="00997EDA">
      <w:pPr>
        <w:pStyle w:val="ListParagraph"/>
        <w:widowControl/>
        <w:numPr>
          <w:ilvl w:val="1"/>
          <w:numId w:val="1"/>
        </w:numPr>
        <w:rPr>
          <w:szCs w:val="22"/>
        </w:rPr>
      </w:pPr>
      <w:r w:rsidRPr="006F393A">
        <w:t xml:space="preserve">The SVR rates for </w:t>
      </w:r>
      <w:proofErr w:type="spellStart"/>
      <w:r w:rsidR="00BD66D9" w:rsidRPr="006F393A">
        <w:t>Viekira</w:t>
      </w:r>
      <w:proofErr w:type="spellEnd"/>
      <w:r w:rsidR="00BD66D9" w:rsidRPr="006F393A">
        <w:t xml:space="preserve"> PAK / </w:t>
      </w:r>
      <w:proofErr w:type="spellStart"/>
      <w:r w:rsidR="00BD66D9" w:rsidRPr="006F393A">
        <w:t>Viekira</w:t>
      </w:r>
      <w:proofErr w:type="spellEnd"/>
      <w:r w:rsidR="00BD66D9" w:rsidRPr="006F393A">
        <w:t xml:space="preserve"> PAK-RBV</w:t>
      </w:r>
      <w:r w:rsidRPr="006F393A">
        <w:t xml:space="preserve"> were similar to those observed for LDV/SOF for similar patient groups, although bias and confounding cannot be ruled out due to the nature of</w:t>
      </w:r>
      <w:r w:rsidR="00BF36DD" w:rsidRPr="006F393A">
        <w:t xml:space="preserve"> the</w:t>
      </w:r>
      <w:r w:rsidRPr="006F393A">
        <w:t xml:space="preserve"> unadjusted indirect comparison.</w:t>
      </w:r>
      <w:r w:rsidR="00BD66D9" w:rsidRPr="006F393A">
        <w:t xml:space="preserve"> </w:t>
      </w:r>
      <w:r w:rsidRPr="006F393A">
        <w:t xml:space="preserve">Therefore the </w:t>
      </w:r>
      <w:r w:rsidR="00BB6FB4" w:rsidRPr="006F393A">
        <w:t xml:space="preserve">magnitude of any </w:t>
      </w:r>
      <w:r w:rsidRPr="006F393A">
        <w:t xml:space="preserve">relative treatment effect </w:t>
      </w:r>
      <w:r w:rsidR="00BB6FB4" w:rsidRPr="006F393A">
        <w:t xml:space="preserve">differences </w:t>
      </w:r>
      <w:r w:rsidRPr="006F393A">
        <w:t xml:space="preserve">of </w:t>
      </w:r>
      <w:proofErr w:type="spellStart"/>
      <w:r w:rsidR="00BD66D9" w:rsidRPr="006F393A">
        <w:t>Viekira</w:t>
      </w:r>
      <w:proofErr w:type="spellEnd"/>
      <w:r w:rsidR="00BD66D9" w:rsidRPr="006F393A">
        <w:t xml:space="preserve"> PAK / </w:t>
      </w:r>
      <w:proofErr w:type="spellStart"/>
      <w:r w:rsidR="00BD66D9" w:rsidRPr="006F393A">
        <w:t>Viekira</w:t>
      </w:r>
      <w:proofErr w:type="spellEnd"/>
      <w:r w:rsidR="00BD66D9" w:rsidRPr="006F393A">
        <w:t xml:space="preserve"> PAK-RBV</w:t>
      </w:r>
      <w:r w:rsidRPr="006F393A">
        <w:t xml:space="preserve"> versus LDV/SOF cannot be established.</w:t>
      </w:r>
      <w:r w:rsidR="00F20E05" w:rsidRPr="006F393A">
        <w:t xml:space="preserve"> </w:t>
      </w:r>
    </w:p>
    <w:p w:rsidR="00F20E05" w:rsidRPr="006F393A" w:rsidRDefault="00F20E05" w:rsidP="00F20E05">
      <w:pPr>
        <w:pStyle w:val="PBACHeading1"/>
        <w:numPr>
          <w:ilvl w:val="0"/>
          <w:numId w:val="0"/>
        </w:numPr>
        <w:ind w:left="720" w:hanging="720"/>
      </w:pPr>
    </w:p>
    <w:p w:rsidR="00013746" w:rsidRPr="006F393A" w:rsidRDefault="00013746" w:rsidP="00997EDA">
      <w:pPr>
        <w:pStyle w:val="ListParagraph"/>
        <w:widowControl/>
        <w:numPr>
          <w:ilvl w:val="1"/>
          <w:numId w:val="1"/>
        </w:numPr>
        <w:rPr>
          <w:szCs w:val="22"/>
        </w:rPr>
      </w:pPr>
      <w:r w:rsidRPr="006F393A">
        <w:rPr>
          <w:szCs w:val="22"/>
        </w:rPr>
        <w:t xml:space="preserve">The ESC noted that </w:t>
      </w:r>
      <w:r w:rsidR="00F20E05" w:rsidRPr="006F393A">
        <w:rPr>
          <w:szCs w:val="22"/>
        </w:rPr>
        <w:t>G</w:t>
      </w:r>
      <w:r w:rsidRPr="006F393A">
        <w:rPr>
          <w:szCs w:val="22"/>
        </w:rPr>
        <w:t>T1a-specific SVR estimates are not available for LDV/SOF and might be lower than the pooled GT1a&amp;GT1b SVR rates reported.</w:t>
      </w:r>
    </w:p>
    <w:p w:rsidR="00B07C42" w:rsidRPr="006F393A" w:rsidRDefault="00B07C42" w:rsidP="00E70436">
      <w:pPr>
        <w:pStyle w:val="Heading2"/>
        <w:rPr>
          <w:i/>
        </w:rPr>
      </w:pPr>
      <w:bookmarkStart w:id="10" w:name="_Toc419383690"/>
    </w:p>
    <w:p w:rsidR="00E70436" w:rsidRPr="006F393A" w:rsidRDefault="00E70436" w:rsidP="00E70436">
      <w:pPr>
        <w:pStyle w:val="Heading2"/>
        <w:rPr>
          <w:i/>
        </w:rPr>
      </w:pPr>
      <w:r w:rsidRPr="006F393A">
        <w:rPr>
          <w:i/>
        </w:rPr>
        <w:t>Comparative harms</w:t>
      </w:r>
      <w:bookmarkEnd w:id="10"/>
    </w:p>
    <w:p w:rsidR="00E70436" w:rsidRPr="006F393A" w:rsidRDefault="00E70436" w:rsidP="00E70436">
      <w:pPr>
        <w:ind w:left="720" w:hanging="720"/>
        <w:rPr>
          <w:szCs w:val="22"/>
        </w:rPr>
      </w:pPr>
    </w:p>
    <w:p w:rsidR="007B6A5B" w:rsidRPr="006F393A" w:rsidRDefault="00E70436" w:rsidP="00997EDA">
      <w:pPr>
        <w:pStyle w:val="ListParagraph"/>
        <w:widowControl/>
        <w:numPr>
          <w:ilvl w:val="1"/>
          <w:numId w:val="1"/>
        </w:numPr>
      </w:pPr>
      <w:r w:rsidRPr="006F393A">
        <w:t xml:space="preserve">The safety data of </w:t>
      </w:r>
      <w:proofErr w:type="spellStart"/>
      <w:r w:rsidRPr="006F393A">
        <w:t>Viekira</w:t>
      </w:r>
      <w:proofErr w:type="spellEnd"/>
      <w:r w:rsidRPr="006F393A">
        <w:t xml:space="preserve"> PAK-RBV from the placebo-controlled trials of Sapphire I and Sapphire II are summarised below. Adverse events (AEs) were common in the placebo arm of the studies (73% – 82%) and slightly more common in the </w:t>
      </w:r>
      <w:proofErr w:type="spellStart"/>
      <w:r w:rsidRPr="006F393A">
        <w:t>Viekira</w:t>
      </w:r>
      <w:proofErr w:type="spellEnd"/>
      <w:r w:rsidRPr="006F393A">
        <w:t xml:space="preserve"> PAK-RBV arms (88% – 91%).</w:t>
      </w:r>
      <w:r w:rsidR="00BD66D9" w:rsidRPr="006F393A">
        <w:t xml:space="preserve"> </w:t>
      </w:r>
      <w:r w:rsidRPr="006F393A">
        <w:t xml:space="preserve">However, serious adverse events were uncommon and occurred in 16 of 770 patients who received </w:t>
      </w:r>
      <w:proofErr w:type="spellStart"/>
      <w:r w:rsidRPr="006F393A">
        <w:t>Viekira</w:t>
      </w:r>
      <w:proofErr w:type="spellEnd"/>
      <w:r w:rsidRPr="006F393A">
        <w:t xml:space="preserve"> PAK-RBV, with 55 patients needing to be treated with </w:t>
      </w:r>
      <w:proofErr w:type="spellStart"/>
      <w:r w:rsidRPr="006F393A">
        <w:t>Viekira</w:t>
      </w:r>
      <w:proofErr w:type="spellEnd"/>
      <w:r w:rsidRPr="006F393A">
        <w:t xml:space="preserve"> PAK-RBV to experience one additional serious adverse event.</w:t>
      </w:r>
      <w:r w:rsidR="00BD66D9" w:rsidRPr="006F393A">
        <w:t xml:space="preserve"> </w:t>
      </w:r>
      <w:r w:rsidRPr="006F393A">
        <w:t xml:space="preserve">Discontinuations </w:t>
      </w:r>
      <w:r w:rsidR="008046A6" w:rsidRPr="006F393A">
        <w:t xml:space="preserve">among patients treated with </w:t>
      </w:r>
      <w:proofErr w:type="spellStart"/>
      <w:r w:rsidR="008046A6" w:rsidRPr="006F393A">
        <w:t>Viekira</w:t>
      </w:r>
      <w:proofErr w:type="spellEnd"/>
      <w:r w:rsidR="008046A6" w:rsidRPr="006F393A">
        <w:t xml:space="preserve"> PAK-RBV </w:t>
      </w:r>
      <w:r w:rsidRPr="006F393A">
        <w:t>were uncommon and occurred in 7 of 770 patients (&lt;1%).</w:t>
      </w:r>
    </w:p>
    <w:p w:rsidR="00E70436" w:rsidRPr="006F393A" w:rsidRDefault="00E70436" w:rsidP="00E70436">
      <w:pPr>
        <w:pStyle w:val="ListParagraph"/>
        <w:widowControl/>
        <w:rPr>
          <w:szCs w:val="22"/>
        </w:rPr>
      </w:pPr>
    </w:p>
    <w:p w:rsidR="00E70436" w:rsidRPr="006F393A" w:rsidRDefault="00E70436" w:rsidP="0012444B">
      <w:pPr>
        <w:pStyle w:val="TableHeader"/>
        <w:keepNext/>
        <w:ind w:firstLine="720"/>
      </w:pPr>
      <w:r w:rsidRPr="006F393A">
        <w:t xml:space="preserve">Table </w:t>
      </w:r>
      <w:r w:rsidR="007B6A5B" w:rsidRPr="006F393A">
        <w:t>7</w:t>
      </w:r>
      <w:r w:rsidRPr="006F393A">
        <w:t>: Summary of key safety results from Sapphire I and Sapphire II.</w:t>
      </w:r>
    </w:p>
    <w:tbl>
      <w:tblPr>
        <w:tblStyle w:val="TableGrid"/>
        <w:tblW w:w="0" w:type="auto"/>
        <w:tblInd w:w="836" w:type="dxa"/>
        <w:tblLook w:val="04A0" w:firstRow="1" w:lastRow="0" w:firstColumn="1" w:lastColumn="0" w:noHBand="0" w:noVBand="1"/>
        <w:tblCaption w:val="Table 7: Summary of key safety results from Sapphire I and Sapphire II."/>
        <w:tblDescription w:val="This table describes the key safety results from Sapphire I and Sapphire II."/>
      </w:tblPr>
      <w:tblGrid>
        <w:gridCol w:w="1966"/>
        <w:gridCol w:w="1610"/>
        <w:gridCol w:w="1610"/>
        <w:gridCol w:w="1610"/>
        <w:gridCol w:w="1610"/>
      </w:tblGrid>
      <w:tr w:rsidR="00E72E5A" w:rsidRPr="006F393A" w:rsidTr="0028796E">
        <w:trPr>
          <w:tblHeader/>
        </w:trPr>
        <w:tc>
          <w:tcPr>
            <w:tcW w:w="1966" w:type="dxa"/>
            <w:vMerge w:val="restart"/>
          </w:tcPr>
          <w:p w:rsidR="00E72E5A" w:rsidRPr="006F393A" w:rsidRDefault="00E72E5A" w:rsidP="0012444B">
            <w:pPr>
              <w:pStyle w:val="TableText0"/>
              <w:widowControl w:val="0"/>
              <w:rPr>
                <w:b/>
              </w:rPr>
            </w:pPr>
          </w:p>
        </w:tc>
        <w:tc>
          <w:tcPr>
            <w:tcW w:w="3220" w:type="dxa"/>
            <w:gridSpan w:val="2"/>
            <w:vAlign w:val="bottom"/>
          </w:tcPr>
          <w:p w:rsidR="00E72E5A" w:rsidRPr="006F393A" w:rsidRDefault="00E72E5A" w:rsidP="0012444B">
            <w:pPr>
              <w:pStyle w:val="TableText0"/>
              <w:widowControl w:val="0"/>
              <w:jc w:val="center"/>
              <w:rPr>
                <w:b/>
              </w:rPr>
            </w:pPr>
            <w:r w:rsidRPr="006F393A">
              <w:rPr>
                <w:b/>
              </w:rPr>
              <w:t>Sapphire I</w:t>
            </w:r>
          </w:p>
        </w:tc>
        <w:tc>
          <w:tcPr>
            <w:tcW w:w="3220" w:type="dxa"/>
            <w:gridSpan w:val="2"/>
            <w:vAlign w:val="bottom"/>
          </w:tcPr>
          <w:p w:rsidR="00E72E5A" w:rsidRPr="006F393A" w:rsidRDefault="00E72E5A" w:rsidP="0012444B">
            <w:pPr>
              <w:pStyle w:val="TableText0"/>
              <w:widowControl w:val="0"/>
              <w:jc w:val="center"/>
              <w:rPr>
                <w:b/>
              </w:rPr>
            </w:pPr>
            <w:r w:rsidRPr="006F393A">
              <w:rPr>
                <w:b/>
              </w:rPr>
              <w:t>Sapphire II</w:t>
            </w:r>
          </w:p>
        </w:tc>
      </w:tr>
      <w:tr w:rsidR="00E72E5A" w:rsidRPr="006F393A" w:rsidTr="0028796E">
        <w:trPr>
          <w:tblHeader/>
        </w:trPr>
        <w:tc>
          <w:tcPr>
            <w:tcW w:w="1966" w:type="dxa"/>
            <w:vMerge/>
          </w:tcPr>
          <w:p w:rsidR="00E72E5A" w:rsidRPr="006F393A" w:rsidRDefault="00E72E5A" w:rsidP="0012444B">
            <w:pPr>
              <w:pStyle w:val="TableText0"/>
              <w:widowControl w:val="0"/>
              <w:rPr>
                <w:b/>
              </w:rPr>
            </w:pPr>
          </w:p>
        </w:tc>
        <w:tc>
          <w:tcPr>
            <w:tcW w:w="1610" w:type="dxa"/>
            <w:vAlign w:val="bottom"/>
          </w:tcPr>
          <w:p w:rsidR="00E72E5A" w:rsidRPr="006F393A" w:rsidRDefault="00E72E5A" w:rsidP="0012444B">
            <w:pPr>
              <w:pStyle w:val="TableText0"/>
              <w:widowControl w:val="0"/>
              <w:jc w:val="center"/>
              <w:rPr>
                <w:b/>
              </w:rPr>
            </w:pPr>
            <w:proofErr w:type="spellStart"/>
            <w:r w:rsidRPr="006F393A">
              <w:rPr>
                <w:b/>
              </w:rPr>
              <w:t>Viekira</w:t>
            </w:r>
            <w:proofErr w:type="spellEnd"/>
            <w:r w:rsidRPr="006F393A">
              <w:rPr>
                <w:b/>
              </w:rPr>
              <w:t xml:space="preserve"> PAK-RBV</w:t>
            </w:r>
          </w:p>
          <w:p w:rsidR="00E72E5A" w:rsidRPr="006F393A" w:rsidRDefault="00E72E5A" w:rsidP="0012444B">
            <w:pPr>
              <w:pStyle w:val="TableText0"/>
              <w:widowControl w:val="0"/>
              <w:jc w:val="center"/>
              <w:rPr>
                <w:b/>
              </w:rPr>
            </w:pPr>
            <w:r w:rsidRPr="006F393A">
              <w:rPr>
                <w:b/>
              </w:rPr>
              <w:t>N=473</w:t>
            </w:r>
          </w:p>
        </w:tc>
        <w:tc>
          <w:tcPr>
            <w:tcW w:w="1610" w:type="dxa"/>
            <w:vAlign w:val="bottom"/>
          </w:tcPr>
          <w:p w:rsidR="00E72E5A" w:rsidRPr="006F393A" w:rsidRDefault="00E72E5A" w:rsidP="0012444B">
            <w:pPr>
              <w:pStyle w:val="TableText0"/>
              <w:widowControl w:val="0"/>
              <w:jc w:val="center"/>
              <w:rPr>
                <w:b/>
              </w:rPr>
            </w:pPr>
            <w:r w:rsidRPr="006F393A">
              <w:rPr>
                <w:b/>
              </w:rPr>
              <w:t>Placebo</w:t>
            </w:r>
          </w:p>
          <w:p w:rsidR="00E72E5A" w:rsidRPr="006F393A" w:rsidRDefault="00E72E5A" w:rsidP="0012444B">
            <w:pPr>
              <w:pStyle w:val="TableText0"/>
              <w:widowControl w:val="0"/>
              <w:jc w:val="center"/>
              <w:rPr>
                <w:b/>
              </w:rPr>
            </w:pPr>
            <w:r w:rsidRPr="006F393A">
              <w:rPr>
                <w:b/>
              </w:rPr>
              <w:t>N=158</w:t>
            </w:r>
          </w:p>
        </w:tc>
        <w:tc>
          <w:tcPr>
            <w:tcW w:w="1610" w:type="dxa"/>
            <w:vAlign w:val="bottom"/>
          </w:tcPr>
          <w:p w:rsidR="00E72E5A" w:rsidRPr="006F393A" w:rsidRDefault="00E72E5A" w:rsidP="0012444B">
            <w:pPr>
              <w:pStyle w:val="TableText0"/>
              <w:widowControl w:val="0"/>
              <w:jc w:val="center"/>
              <w:rPr>
                <w:b/>
              </w:rPr>
            </w:pPr>
            <w:proofErr w:type="spellStart"/>
            <w:r w:rsidRPr="006F393A">
              <w:rPr>
                <w:b/>
              </w:rPr>
              <w:t>Viekira</w:t>
            </w:r>
            <w:proofErr w:type="spellEnd"/>
            <w:r w:rsidRPr="006F393A">
              <w:rPr>
                <w:b/>
              </w:rPr>
              <w:t xml:space="preserve"> PAK-RBV</w:t>
            </w:r>
          </w:p>
          <w:p w:rsidR="00E72E5A" w:rsidRPr="006F393A" w:rsidRDefault="00E72E5A" w:rsidP="0012444B">
            <w:pPr>
              <w:pStyle w:val="TableText0"/>
              <w:widowControl w:val="0"/>
              <w:jc w:val="center"/>
              <w:rPr>
                <w:b/>
              </w:rPr>
            </w:pPr>
            <w:r w:rsidRPr="006F393A">
              <w:rPr>
                <w:b/>
              </w:rPr>
              <w:t>N=297</w:t>
            </w:r>
          </w:p>
        </w:tc>
        <w:tc>
          <w:tcPr>
            <w:tcW w:w="1610" w:type="dxa"/>
            <w:vAlign w:val="bottom"/>
          </w:tcPr>
          <w:p w:rsidR="00E72E5A" w:rsidRPr="006F393A" w:rsidRDefault="00E72E5A" w:rsidP="0012444B">
            <w:pPr>
              <w:pStyle w:val="TableText0"/>
              <w:widowControl w:val="0"/>
              <w:jc w:val="center"/>
              <w:rPr>
                <w:b/>
              </w:rPr>
            </w:pPr>
            <w:r w:rsidRPr="006F393A">
              <w:rPr>
                <w:b/>
              </w:rPr>
              <w:t>Placebo</w:t>
            </w:r>
          </w:p>
          <w:p w:rsidR="00E72E5A" w:rsidRPr="006F393A" w:rsidRDefault="00E72E5A" w:rsidP="0012444B">
            <w:pPr>
              <w:pStyle w:val="TableText0"/>
              <w:widowControl w:val="0"/>
              <w:jc w:val="center"/>
              <w:rPr>
                <w:b/>
              </w:rPr>
            </w:pPr>
            <w:r w:rsidRPr="006F393A">
              <w:rPr>
                <w:b/>
              </w:rPr>
              <w:t>N=97</w:t>
            </w:r>
          </w:p>
        </w:tc>
      </w:tr>
      <w:tr w:rsidR="00E72E5A" w:rsidRPr="006F393A" w:rsidTr="0028796E">
        <w:trPr>
          <w:tblHeader/>
        </w:trPr>
        <w:tc>
          <w:tcPr>
            <w:tcW w:w="1966" w:type="dxa"/>
            <w:vMerge/>
          </w:tcPr>
          <w:p w:rsidR="00E72E5A" w:rsidRPr="006F393A" w:rsidRDefault="00E72E5A" w:rsidP="0012444B">
            <w:pPr>
              <w:pStyle w:val="TableText0"/>
              <w:widowControl w:val="0"/>
            </w:pPr>
          </w:p>
        </w:tc>
        <w:tc>
          <w:tcPr>
            <w:tcW w:w="1610" w:type="dxa"/>
            <w:vAlign w:val="bottom"/>
          </w:tcPr>
          <w:p w:rsidR="00E72E5A" w:rsidRPr="006F393A" w:rsidRDefault="00E72E5A" w:rsidP="0012444B">
            <w:pPr>
              <w:pStyle w:val="TableText0"/>
              <w:widowControl w:val="0"/>
              <w:jc w:val="center"/>
              <w:rPr>
                <w:b/>
              </w:rPr>
            </w:pPr>
            <w:proofErr w:type="gramStart"/>
            <w:r w:rsidRPr="006F393A">
              <w:rPr>
                <w:b/>
              </w:rPr>
              <w:t>n</w:t>
            </w:r>
            <w:proofErr w:type="gramEnd"/>
            <w:r w:rsidRPr="006F393A">
              <w:rPr>
                <w:b/>
              </w:rPr>
              <w:t xml:space="preserve"> (%)</w:t>
            </w:r>
          </w:p>
        </w:tc>
        <w:tc>
          <w:tcPr>
            <w:tcW w:w="1610" w:type="dxa"/>
            <w:vAlign w:val="bottom"/>
          </w:tcPr>
          <w:p w:rsidR="00E72E5A" w:rsidRPr="006F393A" w:rsidRDefault="00E72E5A" w:rsidP="0012444B">
            <w:pPr>
              <w:pStyle w:val="TableText0"/>
              <w:widowControl w:val="0"/>
              <w:jc w:val="center"/>
              <w:rPr>
                <w:b/>
              </w:rPr>
            </w:pPr>
            <w:proofErr w:type="gramStart"/>
            <w:r w:rsidRPr="006F393A">
              <w:rPr>
                <w:b/>
              </w:rPr>
              <w:t>n</w:t>
            </w:r>
            <w:proofErr w:type="gramEnd"/>
            <w:r w:rsidRPr="006F393A">
              <w:rPr>
                <w:b/>
              </w:rPr>
              <w:t xml:space="preserve"> (%)</w:t>
            </w:r>
          </w:p>
        </w:tc>
        <w:tc>
          <w:tcPr>
            <w:tcW w:w="1610" w:type="dxa"/>
            <w:vAlign w:val="bottom"/>
          </w:tcPr>
          <w:p w:rsidR="00E72E5A" w:rsidRPr="006F393A" w:rsidRDefault="00E72E5A" w:rsidP="0012444B">
            <w:pPr>
              <w:pStyle w:val="TableText0"/>
              <w:widowControl w:val="0"/>
              <w:jc w:val="center"/>
              <w:rPr>
                <w:b/>
              </w:rPr>
            </w:pPr>
            <w:proofErr w:type="gramStart"/>
            <w:r w:rsidRPr="006F393A">
              <w:rPr>
                <w:b/>
              </w:rPr>
              <w:t>n</w:t>
            </w:r>
            <w:proofErr w:type="gramEnd"/>
            <w:r w:rsidRPr="006F393A">
              <w:rPr>
                <w:b/>
              </w:rPr>
              <w:t xml:space="preserve"> (%)</w:t>
            </w:r>
          </w:p>
        </w:tc>
        <w:tc>
          <w:tcPr>
            <w:tcW w:w="1610" w:type="dxa"/>
            <w:vAlign w:val="bottom"/>
          </w:tcPr>
          <w:p w:rsidR="00E72E5A" w:rsidRPr="006F393A" w:rsidRDefault="00E72E5A" w:rsidP="0012444B">
            <w:pPr>
              <w:pStyle w:val="TableText0"/>
              <w:widowControl w:val="0"/>
              <w:jc w:val="center"/>
              <w:rPr>
                <w:b/>
              </w:rPr>
            </w:pPr>
            <w:proofErr w:type="gramStart"/>
            <w:r w:rsidRPr="006F393A">
              <w:rPr>
                <w:b/>
              </w:rPr>
              <w:t>n</w:t>
            </w:r>
            <w:proofErr w:type="gramEnd"/>
            <w:r w:rsidRPr="006F393A">
              <w:rPr>
                <w:b/>
              </w:rPr>
              <w:t xml:space="preserve"> (%)</w:t>
            </w:r>
          </w:p>
        </w:tc>
      </w:tr>
      <w:tr w:rsidR="00E70436" w:rsidRPr="006F393A" w:rsidTr="004A0D51">
        <w:tc>
          <w:tcPr>
            <w:tcW w:w="1966" w:type="dxa"/>
            <w:vAlign w:val="bottom"/>
          </w:tcPr>
          <w:p w:rsidR="00E70436" w:rsidRPr="006F393A" w:rsidRDefault="00E70436" w:rsidP="0012444B">
            <w:pPr>
              <w:pStyle w:val="TableText0"/>
              <w:widowControl w:val="0"/>
            </w:pPr>
            <w:r w:rsidRPr="006F393A">
              <w:t>Median treatment duration</w:t>
            </w:r>
          </w:p>
        </w:tc>
        <w:tc>
          <w:tcPr>
            <w:tcW w:w="1610" w:type="dxa"/>
            <w:vAlign w:val="bottom"/>
          </w:tcPr>
          <w:p w:rsidR="00E70436" w:rsidRPr="006F393A" w:rsidRDefault="00E70436" w:rsidP="0012444B">
            <w:pPr>
              <w:pStyle w:val="TableText0"/>
              <w:widowControl w:val="0"/>
              <w:jc w:val="center"/>
            </w:pPr>
            <w:r w:rsidRPr="006F393A">
              <w:t>84 days</w:t>
            </w:r>
          </w:p>
        </w:tc>
        <w:tc>
          <w:tcPr>
            <w:tcW w:w="1610" w:type="dxa"/>
            <w:vAlign w:val="bottom"/>
          </w:tcPr>
          <w:p w:rsidR="00E70436" w:rsidRPr="006F393A" w:rsidRDefault="00E70436" w:rsidP="0012444B">
            <w:pPr>
              <w:pStyle w:val="TableText0"/>
              <w:widowControl w:val="0"/>
              <w:jc w:val="center"/>
            </w:pPr>
            <w:r w:rsidRPr="006F393A">
              <w:t>84 days</w:t>
            </w:r>
          </w:p>
        </w:tc>
        <w:tc>
          <w:tcPr>
            <w:tcW w:w="1610" w:type="dxa"/>
            <w:vAlign w:val="bottom"/>
          </w:tcPr>
          <w:p w:rsidR="00E70436" w:rsidRPr="006F393A" w:rsidRDefault="00E70436" w:rsidP="0012444B">
            <w:pPr>
              <w:pStyle w:val="TableText0"/>
              <w:widowControl w:val="0"/>
              <w:jc w:val="center"/>
            </w:pPr>
            <w:r w:rsidRPr="006F393A">
              <w:t>84 days</w:t>
            </w:r>
          </w:p>
        </w:tc>
        <w:tc>
          <w:tcPr>
            <w:tcW w:w="1610" w:type="dxa"/>
            <w:vAlign w:val="bottom"/>
          </w:tcPr>
          <w:p w:rsidR="00E70436" w:rsidRPr="006F393A" w:rsidRDefault="00E70436" w:rsidP="0012444B">
            <w:pPr>
              <w:pStyle w:val="TableText0"/>
              <w:widowControl w:val="0"/>
              <w:jc w:val="center"/>
            </w:pPr>
            <w:r w:rsidRPr="006F393A">
              <w:t>85 days</w:t>
            </w:r>
          </w:p>
        </w:tc>
      </w:tr>
      <w:tr w:rsidR="00E70436" w:rsidRPr="006F393A" w:rsidTr="004A0D51">
        <w:tc>
          <w:tcPr>
            <w:tcW w:w="1966" w:type="dxa"/>
            <w:vAlign w:val="bottom"/>
          </w:tcPr>
          <w:p w:rsidR="00E70436" w:rsidRPr="006F393A" w:rsidRDefault="00E70436" w:rsidP="0012444B">
            <w:pPr>
              <w:pStyle w:val="TableText0"/>
              <w:widowControl w:val="0"/>
            </w:pPr>
            <w:r w:rsidRPr="006F393A">
              <w:t>Proportion of patients receiving at least 75 days of treatment</w:t>
            </w:r>
          </w:p>
        </w:tc>
        <w:tc>
          <w:tcPr>
            <w:tcW w:w="1610" w:type="dxa"/>
            <w:vAlign w:val="bottom"/>
          </w:tcPr>
          <w:p w:rsidR="00E70436" w:rsidRPr="006F393A" w:rsidRDefault="00E70436" w:rsidP="0012444B">
            <w:pPr>
              <w:pStyle w:val="TableText0"/>
              <w:widowControl w:val="0"/>
              <w:jc w:val="center"/>
            </w:pPr>
            <w:r w:rsidRPr="006F393A">
              <w:t>464 (98.1)</w:t>
            </w:r>
          </w:p>
        </w:tc>
        <w:tc>
          <w:tcPr>
            <w:tcW w:w="1610" w:type="dxa"/>
            <w:vAlign w:val="bottom"/>
          </w:tcPr>
          <w:p w:rsidR="00E70436" w:rsidRPr="006F393A" w:rsidRDefault="00E70436" w:rsidP="0012444B">
            <w:pPr>
              <w:pStyle w:val="TableText0"/>
              <w:widowControl w:val="0"/>
              <w:jc w:val="center"/>
            </w:pPr>
            <w:r w:rsidRPr="006F393A">
              <w:t>157 (99.4)</w:t>
            </w:r>
          </w:p>
        </w:tc>
        <w:tc>
          <w:tcPr>
            <w:tcW w:w="1610" w:type="dxa"/>
            <w:vAlign w:val="bottom"/>
          </w:tcPr>
          <w:p w:rsidR="00E70436" w:rsidRPr="006F393A" w:rsidRDefault="00E70436" w:rsidP="0012444B">
            <w:pPr>
              <w:pStyle w:val="TableText0"/>
              <w:widowControl w:val="0"/>
              <w:jc w:val="center"/>
            </w:pPr>
            <w:r w:rsidRPr="006F393A">
              <w:t>293 (98.7)</w:t>
            </w:r>
          </w:p>
        </w:tc>
        <w:tc>
          <w:tcPr>
            <w:tcW w:w="1610" w:type="dxa"/>
            <w:vAlign w:val="bottom"/>
          </w:tcPr>
          <w:p w:rsidR="00E70436" w:rsidRPr="006F393A" w:rsidRDefault="00E70436" w:rsidP="0012444B">
            <w:pPr>
              <w:pStyle w:val="TableText0"/>
              <w:widowControl w:val="0"/>
              <w:jc w:val="center"/>
            </w:pPr>
            <w:r w:rsidRPr="006F393A">
              <w:t>95 (97.9)</w:t>
            </w:r>
          </w:p>
        </w:tc>
      </w:tr>
      <w:tr w:rsidR="00E70436" w:rsidRPr="006F393A" w:rsidTr="004A0D51">
        <w:tc>
          <w:tcPr>
            <w:tcW w:w="1966" w:type="dxa"/>
            <w:vAlign w:val="bottom"/>
          </w:tcPr>
          <w:p w:rsidR="00E70436" w:rsidRPr="006F393A" w:rsidRDefault="00E70436" w:rsidP="0012444B">
            <w:pPr>
              <w:pStyle w:val="TableText0"/>
              <w:widowControl w:val="0"/>
            </w:pPr>
            <w:r w:rsidRPr="006F393A">
              <w:t>Any AE</w:t>
            </w:r>
          </w:p>
        </w:tc>
        <w:tc>
          <w:tcPr>
            <w:tcW w:w="1610" w:type="dxa"/>
            <w:vAlign w:val="bottom"/>
          </w:tcPr>
          <w:p w:rsidR="00E70436" w:rsidRPr="006F393A" w:rsidRDefault="00E70436" w:rsidP="0012444B">
            <w:pPr>
              <w:pStyle w:val="TableText0"/>
              <w:widowControl w:val="0"/>
              <w:jc w:val="center"/>
            </w:pPr>
            <w:r w:rsidRPr="006F393A">
              <w:t>414 (87.5)</w:t>
            </w:r>
          </w:p>
        </w:tc>
        <w:tc>
          <w:tcPr>
            <w:tcW w:w="1610" w:type="dxa"/>
            <w:vAlign w:val="bottom"/>
          </w:tcPr>
          <w:p w:rsidR="00E70436" w:rsidRPr="006F393A" w:rsidRDefault="00E70436" w:rsidP="0012444B">
            <w:pPr>
              <w:pStyle w:val="TableText0"/>
              <w:widowControl w:val="0"/>
              <w:jc w:val="center"/>
            </w:pPr>
            <w:r w:rsidRPr="006F393A">
              <w:t>116 (73.4)</w:t>
            </w:r>
          </w:p>
        </w:tc>
        <w:tc>
          <w:tcPr>
            <w:tcW w:w="1610" w:type="dxa"/>
            <w:vAlign w:val="bottom"/>
          </w:tcPr>
          <w:p w:rsidR="00E70436" w:rsidRPr="006F393A" w:rsidRDefault="00E70436" w:rsidP="0012444B">
            <w:pPr>
              <w:pStyle w:val="TableText0"/>
              <w:widowControl w:val="0"/>
              <w:jc w:val="center"/>
            </w:pPr>
            <w:r w:rsidRPr="006F393A">
              <w:t>271 (91.2)</w:t>
            </w:r>
          </w:p>
        </w:tc>
        <w:tc>
          <w:tcPr>
            <w:tcW w:w="1610" w:type="dxa"/>
            <w:vAlign w:val="bottom"/>
          </w:tcPr>
          <w:p w:rsidR="00E70436" w:rsidRPr="006F393A" w:rsidRDefault="00E70436" w:rsidP="0012444B">
            <w:pPr>
              <w:pStyle w:val="TableText0"/>
              <w:widowControl w:val="0"/>
              <w:jc w:val="center"/>
            </w:pPr>
            <w:r w:rsidRPr="006F393A">
              <w:t>80 (82.5)</w:t>
            </w:r>
          </w:p>
        </w:tc>
      </w:tr>
      <w:tr w:rsidR="00E70436" w:rsidRPr="006F393A" w:rsidTr="004A0D51">
        <w:tc>
          <w:tcPr>
            <w:tcW w:w="1966" w:type="dxa"/>
            <w:vAlign w:val="bottom"/>
          </w:tcPr>
          <w:p w:rsidR="00E70436" w:rsidRPr="006F393A" w:rsidRDefault="00E70436" w:rsidP="0012444B">
            <w:pPr>
              <w:pStyle w:val="TableText0"/>
              <w:widowControl w:val="0"/>
            </w:pPr>
            <w:r w:rsidRPr="006F393A">
              <w:t>Any Severe AE</w:t>
            </w:r>
          </w:p>
        </w:tc>
        <w:tc>
          <w:tcPr>
            <w:tcW w:w="1610" w:type="dxa"/>
            <w:vAlign w:val="bottom"/>
          </w:tcPr>
          <w:p w:rsidR="00E70436" w:rsidRPr="006F393A" w:rsidRDefault="00E70436" w:rsidP="0012444B">
            <w:pPr>
              <w:pStyle w:val="TableText0"/>
              <w:widowControl w:val="0"/>
              <w:jc w:val="center"/>
            </w:pPr>
            <w:r w:rsidRPr="006F393A">
              <w:t>20 (4.2)</w:t>
            </w:r>
          </w:p>
        </w:tc>
        <w:tc>
          <w:tcPr>
            <w:tcW w:w="1610" w:type="dxa"/>
            <w:vAlign w:val="bottom"/>
          </w:tcPr>
          <w:p w:rsidR="00E70436" w:rsidRPr="006F393A" w:rsidRDefault="00E70436" w:rsidP="0012444B">
            <w:pPr>
              <w:pStyle w:val="TableText0"/>
              <w:widowControl w:val="0"/>
              <w:jc w:val="center"/>
            </w:pPr>
            <w:r w:rsidRPr="006F393A">
              <w:t>1 (0.6)</w:t>
            </w:r>
          </w:p>
        </w:tc>
        <w:tc>
          <w:tcPr>
            <w:tcW w:w="1610" w:type="dxa"/>
            <w:vAlign w:val="bottom"/>
          </w:tcPr>
          <w:p w:rsidR="00E70436" w:rsidRPr="006F393A" w:rsidRDefault="00E70436" w:rsidP="0012444B">
            <w:pPr>
              <w:pStyle w:val="TableText0"/>
              <w:widowControl w:val="0"/>
              <w:jc w:val="center"/>
            </w:pPr>
            <w:r w:rsidRPr="006F393A">
              <w:t>7 (2.4)</w:t>
            </w:r>
          </w:p>
        </w:tc>
        <w:tc>
          <w:tcPr>
            <w:tcW w:w="1610" w:type="dxa"/>
            <w:vAlign w:val="bottom"/>
          </w:tcPr>
          <w:p w:rsidR="00E70436" w:rsidRPr="006F393A" w:rsidRDefault="00E70436" w:rsidP="0012444B">
            <w:pPr>
              <w:pStyle w:val="TableText0"/>
              <w:widowControl w:val="0"/>
              <w:jc w:val="center"/>
            </w:pPr>
            <w:r w:rsidRPr="006F393A">
              <w:t>0</w:t>
            </w:r>
          </w:p>
        </w:tc>
      </w:tr>
      <w:tr w:rsidR="00E70436" w:rsidRPr="006F393A" w:rsidTr="004A0D51">
        <w:tc>
          <w:tcPr>
            <w:tcW w:w="1966" w:type="dxa"/>
            <w:vAlign w:val="bottom"/>
          </w:tcPr>
          <w:p w:rsidR="00E70436" w:rsidRPr="006F393A" w:rsidRDefault="00E70436" w:rsidP="0012444B">
            <w:pPr>
              <w:pStyle w:val="TableText0"/>
              <w:widowControl w:val="0"/>
            </w:pPr>
            <w:r w:rsidRPr="006F393A">
              <w:t>Any SAE</w:t>
            </w:r>
          </w:p>
        </w:tc>
        <w:tc>
          <w:tcPr>
            <w:tcW w:w="1610" w:type="dxa"/>
            <w:vAlign w:val="bottom"/>
          </w:tcPr>
          <w:p w:rsidR="00E70436" w:rsidRPr="006F393A" w:rsidRDefault="00E70436" w:rsidP="0012444B">
            <w:pPr>
              <w:pStyle w:val="TableText0"/>
              <w:widowControl w:val="0"/>
              <w:jc w:val="center"/>
            </w:pPr>
            <w:r w:rsidRPr="006F393A">
              <w:t>10 (2.1)</w:t>
            </w:r>
          </w:p>
        </w:tc>
        <w:tc>
          <w:tcPr>
            <w:tcW w:w="1610" w:type="dxa"/>
            <w:vAlign w:val="bottom"/>
          </w:tcPr>
          <w:p w:rsidR="00E70436" w:rsidRPr="006F393A" w:rsidRDefault="00E70436" w:rsidP="0012444B">
            <w:pPr>
              <w:pStyle w:val="TableText0"/>
              <w:widowControl w:val="0"/>
              <w:jc w:val="center"/>
            </w:pPr>
            <w:r w:rsidRPr="006F393A">
              <w:t>0</w:t>
            </w:r>
          </w:p>
        </w:tc>
        <w:tc>
          <w:tcPr>
            <w:tcW w:w="1610" w:type="dxa"/>
            <w:vAlign w:val="bottom"/>
          </w:tcPr>
          <w:p w:rsidR="00E70436" w:rsidRPr="006F393A" w:rsidRDefault="00E70436" w:rsidP="0012444B">
            <w:pPr>
              <w:pStyle w:val="TableText0"/>
              <w:widowControl w:val="0"/>
              <w:jc w:val="center"/>
            </w:pPr>
            <w:r w:rsidRPr="006F393A">
              <w:t>6 (2.0)</w:t>
            </w:r>
          </w:p>
        </w:tc>
        <w:tc>
          <w:tcPr>
            <w:tcW w:w="1610" w:type="dxa"/>
            <w:vAlign w:val="bottom"/>
          </w:tcPr>
          <w:p w:rsidR="00E70436" w:rsidRPr="006F393A" w:rsidRDefault="00E70436" w:rsidP="0012444B">
            <w:pPr>
              <w:pStyle w:val="TableText0"/>
              <w:widowControl w:val="0"/>
              <w:jc w:val="center"/>
            </w:pPr>
            <w:r w:rsidRPr="006F393A">
              <w:t>1 (1.0)</w:t>
            </w:r>
          </w:p>
        </w:tc>
      </w:tr>
      <w:tr w:rsidR="00E70436" w:rsidRPr="006F393A" w:rsidTr="004A0D51">
        <w:tc>
          <w:tcPr>
            <w:tcW w:w="1966" w:type="dxa"/>
            <w:vAlign w:val="bottom"/>
          </w:tcPr>
          <w:p w:rsidR="00E70436" w:rsidRPr="006F393A" w:rsidRDefault="00E70436" w:rsidP="0012444B">
            <w:pPr>
              <w:pStyle w:val="TableText0"/>
              <w:widowControl w:val="0"/>
            </w:pPr>
            <w:r w:rsidRPr="006F393A">
              <w:t>AE leading to discontinuation of study treatment</w:t>
            </w:r>
          </w:p>
        </w:tc>
        <w:tc>
          <w:tcPr>
            <w:tcW w:w="1610" w:type="dxa"/>
            <w:vAlign w:val="bottom"/>
          </w:tcPr>
          <w:p w:rsidR="00E70436" w:rsidRPr="006F393A" w:rsidRDefault="00E70436" w:rsidP="0012444B">
            <w:pPr>
              <w:pStyle w:val="TableText0"/>
              <w:widowControl w:val="0"/>
              <w:jc w:val="center"/>
            </w:pPr>
            <w:r w:rsidRPr="006F393A">
              <w:t>3 (0.6)</w:t>
            </w:r>
          </w:p>
        </w:tc>
        <w:tc>
          <w:tcPr>
            <w:tcW w:w="1610" w:type="dxa"/>
            <w:vAlign w:val="bottom"/>
          </w:tcPr>
          <w:p w:rsidR="00E70436" w:rsidRPr="006F393A" w:rsidRDefault="00E70436" w:rsidP="0012444B">
            <w:pPr>
              <w:pStyle w:val="TableText0"/>
              <w:widowControl w:val="0"/>
              <w:jc w:val="center"/>
            </w:pPr>
            <w:r w:rsidRPr="006F393A">
              <w:t>1 (0.6)</w:t>
            </w:r>
          </w:p>
        </w:tc>
        <w:tc>
          <w:tcPr>
            <w:tcW w:w="1610" w:type="dxa"/>
            <w:vAlign w:val="bottom"/>
          </w:tcPr>
          <w:p w:rsidR="00E70436" w:rsidRPr="006F393A" w:rsidRDefault="00E70436" w:rsidP="0012444B">
            <w:pPr>
              <w:pStyle w:val="TableText0"/>
              <w:widowControl w:val="0"/>
              <w:jc w:val="center"/>
            </w:pPr>
            <w:r w:rsidRPr="006F393A">
              <w:t>3 (1.0)</w:t>
            </w:r>
          </w:p>
        </w:tc>
        <w:tc>
          <w:tcPr>
            <w:tcW w:w="1610" w:type="dxa"/>
            <w:vAlign w:val="bottom"/>
          </w:tcPr>
          <w:p w:rsidR="00E70436" w:rsidRPr="006F393A" w:rsidRDefault="00E70436" w:rsidP="0012444B">
            <w:pPr>
              <w:pStyle w:val="TableText0"/>
              <w:widowControl w:val="0"/>
              <w:jc w:val="center"/>
            </w:pPr>
            <w:r w:rsidRPr="006F393A">
              <w:t>0</w:t>
            </w:r>
          </w:p>
        </w:tc>
      </w:tr>
      <w:tr w:rsidR="00E70436" w:rsidRPr="006F393A" w:rsidTr="004A0D51">
        <w:tc>
          <w:tcPr>
            <w:tcW w:w="1966" w:type="dxa"/>
            <w:vAlign w:val="bottom"/>
          </w:tcPr>
          <w:p w:rsidR="00E70436" w:rsidRPr="006F393A" w:rsidRDefault="00E70436" w:rsidP="0012444B">
            <w:pPr>
              <w:pStyle w:val="TableText0"/>
              <w:widowControl w:val="0"/>
            </w:pPr>
            <w:r w:rsidRPr="006F393A">
              <w:t>AE leading to interruption of study drug</w:t>
            </w:r>
          </w:p>
        </w:tc>
        <w:tc>
          <w:tcPr>
            <w:tcW w:w="1610" w:type="dxa"/>
            <w:vAlign w:val="bottom"/>
          </w:tcPr>
          <w:p w:rsidR="00E70436" w:rsidRPr="006F393A" w:rsidRDefault="00E70436" w:rsidP="0012444B">
            <w:pPr>
              <w:pStyle w:val="TableText0"/>
              <w:widowControl w:val="0"/>
              <w:jc w:val="center"/>
            </w:pPr>
            <w:r w:rsidRPr="006F393A">
              <w:t>4 (0.8)</w:t>
            </w:r>
          </w:p>
        </w:tc>
        <w:tc>
          <w:tcPr>
            <w:tcW w:w="1610" w:type="dxa"/>
            <w:vAlign w:val="bottom"/>
          </w:tcPr>
          <w:p w:rsidR="00E70436" w:rsidRPr="006F393A" w:rsidRDefault="00E70436" w:rsidP="0012444B">
            <w:pPr>
              <w:pStyle w:val="TableText0"/>
              <w:widowControl w:val="0"/>
              <w:jc w:val="center"/>
            </w:pPr>
            <w:r w:rsidRPr="006F393A">
              <w:t>0</w:t>
            </w:r>
          </w:p>
        </w:tc>
        <w:tc>
          <w:tcPr>
            <w:tcW w:w="1610" w:type="dxa"/>
            <w:vAlign w:val="bottom"/>
          </w:tcPr>
          <w:p w:rsidR="00E70436" w:rsidRPr="006F393A" w:rsidRDefault="00E70436" w:rsidP="0012444B">
            <w:pPr>
              <w:pStyle w:val="TableText0"/>
              <w:widowControl w:val="0"/>
              <w:jc w:val="center"/>
            </w:pPr>
            <w:r w:rsidRPr="006F393A">
              <w:t>3 (1.0)</w:t>
            </w:r>
          </w:p>
        </w:tc>
        <w:tc>
          <w:tcPr>
            <w:tcW w:w="1610" w:type="dxa"/>
            <w:vAlign w:val="bottom"/>
          </w:tcPr>
          <w:p w:rsidR="00E70436" w:rsidRPr="006F393A" w:rsidRDefault="00E70436" w:rsidP="0012444B">
            <w:pPr>
              <w:pStyle w:val="TableText0"/>
              <w:widowControl w:val="0"/>
              <w:jc w:val="center"/>
            </w:pPr>
            <w:r w:rsidRPr="006F393A">
              <w:t>0</w:t>
            </w:r>
          </w:p>
        </w:tc>
      </w:tr>
    </w:tbl>
    <w:p w:rsidR="009701B0" w:rsidRDefault="009701B0" w:rsidP="0012444B">
      <w:pPr>
        <w:keepNext/>
      </w:pPr>
      <w:r>
        <w:br w:type="page"/>
      </w:r>
    </w:p>
    <w:tbl>
      <w:tblPr>
        <w:tblStyle w:val="TableGrid"/>
        <w:tblW w:w="0" w:type="auto"/>
        <w:tblInd w:w="836" w:type="dxa"/>
        <w:tblLook w:val="04A0" w:firstRow="1" w:lastRow="0" w:firstColumn="1" w:lastColumn="0" w:noHBand="0" w:noVBand="1"/>
        <w:tblCaption w:val="Table 7: Summary of key safety results from Sapphire I and Sapphire II."/>
        <w:tblDescription w:val="This table describes the key safety results from Sapphire I and Sapphire II."/>
      </w:tblPr>
      <w:tblGrid>
        <w:gridCol w:w="1966"/>
        <w:gridCol w:w="1610"/>
        <w:gridCol w:w="1610"/>
        <w:gridCol w:w="1610"/>
        <w:gridCol w:w="1610"/>
      </w:tblGrid>
      <w:tr w:rsidR="00E70436" w:rsidRPr="006F393A" w:rsidTr="0028796E">
        <w:trPr>
          <w:tblHeader/>
        </w:trPr>
        <w:tc>
          <w:tcPr>
            <w:tcW w:w="1966" w:type="dxa"/>
            <w:vAlign w:val="bottom"/>
          </w:tcPr>
          <w:p w:rsidR="00E70436" w:rsidRPr="006F393A" w:rsidRDefault="00E70436" w:rsidP="0012444B">
            <w:pPr>
              <w:pStyle w:val="TableText0"/>
              <w:widowControl w:val="0"/>
            </w:pPr>
            <w:r w:rsidRPr="006F393A">
              <w:t>AE leading to RBV dose modifications</w:t>
            </w:r>
          </w:p>
        </w:tc>
        <w:tc>
          <w:tcPr>
            <w:tcW w:w="1610" w:type="dxa"/>
            <w:vAlign w:val="bottom"/>
          </w:tcPr>
          <w:p w:rsidR="00E70436" w:rsidRPr="006F393A" w:rsidRDefault="00E70436" w:rsidP="0012444B">
            <w:pPr>
              <w:pStyle w:val="TableText0"/>
              <w:widowControl w:val="0"/>
              <w:jc w:val="center"/>
            </w:pPr>
            <w:r w:rsidRPr="006F393A">
              <w:t>26 (5.5)</w:t>
            </w:r>
          </w:p>
        </w:tc>
        <w:tc>
          <w:tcPr>
            <w:tcW w:w="1610" w:type="dxa"/>
            <w:vAlign w:val="bottom"/>
          </w:tcPr>
          <w:p w:rsidR="00E70436" w:rsidRPr="006F393A" w:rsidRDefault="00E70436" w:rsidP="0012444B">
            <w:pPr>
              <w:pStyle w:val="TableText0"/>
              <w:widowControl w:val="0"/>
              <w:jc w:val="center"/>
            </w:pPr>
            <w:r w:rsidRPr="006F393A">
              <w:t>0</w:t>
            </w:r>
          </w:p>
        </w:tc>
        <w:tc>
          <w:tcPr>
            <w:tcW w:w="1610" w:type="dxa"/>
            <w:vAlign w:val="bottom"/>
          </w:tcPr>
          <w:p w:rsidR="00E70436" w:rsidRPr="006F393A" w:rsidRDefault="00E70436" w:rsidP="0012444B">
            <w:pPr>
              <w:pStyle w:val="TableText0"/>
              <w:widowControl w:val="0"/>
              <w:jc w:val="center"/>
            </w:pPr>
            <w:r w:rsidRPr="006F393A">
              <w:t>19 (6.4)</w:t>
            </w:r>
          </w:p>
        </w:tc>
        <w:tc>
          <w:tcPr>
            <w:tcW w:w="1610" w:type="dxa"/>
            <w:vAlign w:val="bottom"/>
          </w:tcPr>
          <w:p w:rsidR="00E70436" w:rsidRPr="006F393A" w:rsidRDefault="00E70436" w:rsidP="0012444B">
            <w:pPr>
              <w:pStyle w:val="TableText0"/>
              <w:widowControl w:val="0"/>
              <w:jc w:val="center"/>
            </w:pPr>
            <w:r w:rsidRPr="006F393A">
              <w:t>1 (1.0)</w:t>
            </w:r>
          </w:p>
        </w:tc>
      </w:tr>
      <w:tr w:rsidR="00E70436" w:rsidRPr="006F393A" w:rsidTr="0028796E">
        <w:tc>
          <w:tcPr>
            <w:tcW w:w="1966" w:type="dxa"/>
            <w:vAlign w:val="bottom"/>
          </w:tcPr>
          <w:p w:rsidR="00E70436" w:rsidRPr="006F393A" w:rsidRDefault="00E70436" w:rsidP="0012444B">
            <w:pPr>
              <w:pStyle w:val="TableText0"/>
              <w:widowControl w:val="0"/>
            </w:pPr>
            <w:proofErr w:type="spellStart"/>
            <w:r w:rsidRPr="006F393A">
              <w:t>Death</w:t>
            </w:r>
            <w:r w:rsidRPr="006F393A">
              <w:rPr>
                <w:vertAlign w:val="superscript"/>
              </w:rPr>
              <w:t>a</w:t>
            </w:r>
            <w:proofErr w:type="spellEnd"/>
          </w:p>
        </w:tc>
        <w:tc>
          <w:tcPr>
            <w:tcW w:w="1610" w:type="dxa"/>
            <w:vAlign w:val="bottom"/>
          </w:tcPr>
          <w:p w:rsidR="00E70436" w:rsidRPr="006F393A" w:rsidRDefault="00E70436" w:rsidP="0012444B">
            <w:pPr>
              <w:pStyle w:val="TableText0"/>
              <w:widowControl w:val="0"/>
              <w:jc w:val="center"/>
            </w:pPr>
            <w:r w:rsidRPr="006F393A">
              <w:t>1 (0.2)</w:t>
            </w:r>
          </w:p>
        </w:tc>
        <w:tc>
          <w:tcPr>
            <w:tcW w:w="1610" w:type="dxa"/>
            <w:vAlign w:val="bottom"/>
          </w:tcPr>
          <w:p w:rsidR="00E70436" w:rsidRPr="006F393A" w:rsidRDefault="00E70436" w:rsidP="0012444B">
            <w:pPr>
              <w:pStyle w:val="TableText0"/>
              <w:widowControl w:val="0"/>
              <w:jc w:val="center"/>
            </w:pPr>
            <w:r w:rsidRPr="006F393A">
              <w:t>0</w:t>
            </w:r>
          </w:p>
        </w:tc>
        <w:tc>
          <w:tcPr>
            <w:tcW w:w="1610" w:type="dxa"/>
            <w:vAlign w:val="bottom"/>
          </w:tcPr>
          <w:p w:rsidR="00E70436" w:rsidRPr="006F393A" w:rsidRDefault="00E70436" w:rsidP="0012444B">
            <w:pPr>
              <w:pStyle w:val="TableText0"/>
              <w:widowControl w:val="0"/>
              <w:jc w:val="center"/>
            </w:pPr>
            <w:r w:rsidRPr="006F393A">
              <w:t>0</w:t>
            </w:r>
          </w:p>
        </w:tc>
        <w:tc>
          <w:tcPr>
            <w:tcW w:w="1610" w:type="dxa"/>
            <w:vAlign w:val="bottom"/>
          </w:tcPr>
          <w:p w:rsidR="00E70436" w:rsidRPr="006F393A" w:rsidRDefault="00E70436" w:rsidP="0012444B">
            <w:pPr>
              <w:pStyle w:val="TableText0"/>
              <w:widowControl w:val="0"/>
              <w:jc w:val="center"/>
            </w:pPr>
            <w:r w:rsidRPr="006F393A">
              <w:t>0</w:t>
            </w:r>
          </w:p>
        </w:tc>
      </w:tr>
    </w:tbl>
    <w:p w:rsidR="00E70436" w:rsidRPr="006F393A" w:rsidRDefault="00E70436" w:rsidP="0012444B">
      <w:pPr>
        <w:pStyle w:val="TableFooter"/>
        <w:keepNext/>
      </w:pPr>
      <w:r w:rsidRPr="006F393A">
        <w:tab/>
        <w:t>AE = adverse event; SAE = serious adverse event; RBV = ribavirin.</w:t>
      </w:r>
    </w:p>
    <w:p w:rsidR="00E70436" w:rsidRPr="006F393A" w:rsidRDefault="00E70436" w:rsidP="0012444B">
      <w:pPr>
        <w:pStyle w:val="TableFooter"/>
        <w:keepNext/>
      </w:pPr>
      <w:r w:rsidRPr="006F393A">
        <w:tab/>
      </w:r>
      <w:proofErr w:type="spellStart"/>
      <w:proofErr w:type="gramStart"/>
      <w:r w:rsidRPr="006F393A">
        <w:rPr>
          <w:vertAlign w:val="superscript"/>
        </w:rPr>
        <w:t>a</w:t>
      </w:r>
      <w:proofErr w:type="spellEnd"/>
      <w:proofErr w:type="gramEnd"/>
      <w:r w:rsidRPr="006F393A">
        <w:rPr>
          <w:vertAlign w:val="superscript"/>
        </w:rPr>
        <w:t xml:space="preserve"> </w:t>
      </w:r>
      <w:r w:rsidRPr="006F393A">
        <w:t>Including non-treatment emergent adverse events.</w:t>
      </w:r>
    </w:p>
    <w:p w:rsidR="00E70436" w:rsidRPr="006F393A" w:rsidRDefault="00E70436" w:rsidP="00E70436">
      <w:pPr>
        <w:pStyle w:val="TableFooter"/>
        <w:ind w:firstLine="720"/>
      </w:pPr>
      <w:r w:rsidRPr="006F393A">
        <w:t xml:space="preserve">Source: Table B-59, p267 of the submission, Table 32, p222 of the Sapphire I CSR and Table 32, p230 of the Sapphire II CSR. </w:t>
      </w:r>
    </w:p>
    <w:p w:rsidR="00E70436" w:rsidRPr="006F393A" w:rsidRDefault="00E70436" w:rsidP="00E70436">
      <w:pPr>
        <w:pStyle w:val="ListParagraph"/>
        <w:widowControl/>
        <w:rPr>
          <w:szCs w:val="22"/>
        </w:rPr>
      </w:pPr>
    </w:p>
    <w:p w:rsidR="00E70436" w:rsidRPr="006F393A" w:rsidRDefault="00E70436" w:rsidP="00997EDA">
      <w:pPr>
        <w:pStyle w:val="ListParagraph"/>
        <w:widowControl/>
        <w:numPr>
          <w:ilvl w:val="1"/>
          <w:numId w:val="1"/>
        </w:numPr>
        <w:rPr>
          <w:szCs w:val="22"/>
        </w:rPr>
      </w:pPr>
      <w:r w:rsidRPr="006F393A">
        <w:t xml:space="preserve">The respective safety data of </w:t>
      </w:r>
      <w:proofErr w:type="spellStart"/>
      <w:r w:rsidRPr="006F393A">
        <w:t>Viekira</w:t>
      </w:r>
      <w:proofErr w:type="spellEnd"/>
      <w:r w:rsidRPr="006F393A">
        <w:t xml:space="preserve"> PAK and </w:t>
      </w:r>
      <w:proofErr w:type="spellStart"/>
      <w:r w:rsidRPr="006F393A">
        <w:t>Viekira</w:t>
      </w:r>
      <w:proofErr w:type="spellEnd"/>
      <w:r w:rsidRPr="006F393A">
        <w:t xml:space="preserve"> PAK-RBV and their comparison with LDV/SOF are summarised below. Treatment discontinuations were uncommon across all of the trials.</w:t>
      </w:r>
      <w:r w:rsidR="00BD66D9" w:rsidRPr="006F393A">
        <w:t xml:space="preserve"> </w:t>
      </w:r>
      <w:r w:rsidRPr="006F393A">
        <w:t xml:space="preserve">Serious adverse events rates were similar for patients receiving </w:t>
      </w:r>
      <w:proofErr w:type="spellStart"/>
      <w:r w:rsidR="00BD66D9" w:rsidRPr="006F393A">
        <w:t>Viekira</w:t>
      </w:r>
      <w:proofErr w:type="spellEnd"/>
      <w:r w:rsidR="00BD66D9" w:rsidRPr="006F393A">
        <w:t xml:space="preserve"> PAK / </w:t>
      </w:r>
      <w:proofErr w:type="spellStart"/>
      <w:r w:rsidR="00BD66D9" w:rsidRPr="006F393A">
        <w:t>Viekira</w:t>
      </w:r>
      <w:proofErr w:type="spellEnd"/>
      <w:r w:rsidR="00BD66D9" w:rsidRPr="006F393A">
        <w:t xml:space="preserve"> PAK-RBV</w:t>
      </w:r>
      <w:r w:rsidRPr="006F393A">
        <w:t xml:space="preserve"> or LDV/SOF.</w:t>
      </w:r>
    </w:p>
    <w:p w:rsidR="00E70436" w:rsidRPr="006F393A" w:rsidRDefault="00E70436" w:rsidP="00E70436">
      <w:pPr>
        <w:pStyle w:val="ListParagraph"/>
        <w:widowControl/>
      </w:pPr>
    </w:p>
    <w:p w:rsidR="00E70436" w:rsidRPr="006F393A" w:rsidRDefault="00E70436" w:rsidP="00E70436">
      <w:pPr>
        <w:pStyle w:val="ListParagraph"/>
        <w:widowControl/>
        <w:rPr>
          <w:rStyle w:val="CommentReference"/>
        </w:rPr>
      </w:pPr>
      <w:r w:rsidRPr="006F393A">
        <w:rPr>
          <w:rStyle w:val="CommentReference"/>
        </w:rPr>
        <w:t xml:space="preserve">Table </w:t>
      </w:r>
      <w:r w:rsidR="007B6A5B" w:rsidRPr="006F393A">
        <w:rPr>
          <w:rStyle w:val="CommentReference"/>
        </w:rPr>
        <w:t>8</w:t>
      </w:r>
      <w:r w:rsidRPr="006F393A">
        <w:rPr>
          <w:rStyle w:val="CommentReference"/>
        </w:rPr>
        <w:t xml:space="preserve">: Summary of key adverse events for </w:t>
      </w:r>
      <w:proofErr w:type="spellStart"/>
      <w:r w:rsidRPr="006F393A">
        <w:rPr>
          <w:rStyle w:val="CommentReference"/>
        </w:rPr>
        <w:t>Viekira</w:t>
      </w:r>
      <w:proofErr w:type="spellEnd"/>
      <w:r w:rsidRPr="006F393A">
        <w:rPr>
          <w:rStyle w:val="CommentReference"/>
        </w:rPr>
        <w:t xml:space="preserve"> PAK, </w:t>
      </w:r>
      <w:proofErr w:type="spellStart"/>
      <w:r w:rsidRPr="006F393A">
        <w:rPr>
          <w:rStyle w:val="CommentReference"/>
        </w:rPr>
        <w:t>Viekira</w:t>
      </w:r>
      <w:proofErr w:type="spellEnd"/>
      <w:r w:rsidRPr="006F393A">
        <w:rPr>
          <w:rStyle w:val="CommentReference"/>
        </w:rPr>
        <w:t xml:space="preserve"> PAK-RBV and LDV/SOF</w:t>
      </w:r>
    </w:p>
    <w:tbl>
      <w:tblPr>
        <w:tblStyle w:val="TableGrid"/>
        <w:tblW w:w="0" w:type="auto"/>
        <w:tblInd w:w="836" w:type="dxa"/>
        <w:tblLook w:val="04A0" w:firstRow="1" w:lastRow="0" w:firstColumn="1" w:lastColumn="0" w:noHBand="0" w:noVBand="1"/>
        <w:tblCaption w:val="Table 8: Summary of key adverse events for Viekira PAK, Viekira PAK-RBV and LDV/SOF"/>
        <w:tblDescription w:val="This table describes the key adverse events for Viekira PAK, Viekira PAK-RBV and LDV/SOF"/>
      </w:tblPr>
      <w:tblGrid>
        <w:gridCol w:w="1966"/>
        <w:gridCol w:w="1134"/>
        <w:gridCol w:w="1559"/>
        <w:gridCol w:w="1843"/>
        <w:gridCol w:w="1904"/>
      </w:tblGrid>
      <w:tr w:rsidR="001B1E9D" w:rsidRPr="006F393A" w:rsidTr="0028796E">
        <w:trPr>
          <w:tblHeader/>
        </w:trPr>
        <w:tc>
          <w:tcPr>
            <w:tcW w:w="1966" w:type="dxa"/>
            <w:vMerge w:val="restart"/>
          </w:tcPr>
          <w:p w:rsidR="001B1E9D" w:rsidRPr="006F393A" w:rsidRDefault="001B1E9D" w:rsidP="004A0D51">
            <w:pPr>
              <w:pStyle w:val="TableText0"/>
              <w:rPr>
                <w:b/>
              </w:rPr>
            </w:pPr>
          </w:p>
        </w:tc>
        <w:tc>
          <w:tcPr>
            <w:tcW w:w="4536" w:type="dxa"/>
            <w:gridSpan w:val="3"/>
            <w:vAlign w:val="bottom"/>
          </w:tcPr>
          <w:p w:rsidR="001B1E9D" w:rsidRPr="006F393A" w:rsidRDefault="001B1E9D" w:rsidP="004A0D51">
            <w:pPr>
              <w:pStyle w:val="TableText0"/>
              <w:rPr>
                <w:b/>
              </w:rPr>
            </w:pPr>
            <w:r w:rsidRPr="006F393A">
              <w:rPr>
                <w:b/>
              </w:rPr>
              <w:t>Malachite I, Malachite II, Pearl II, Pearl III, Pearl IV, Sapphire I, Sapphire II, Turquoise II</w:t>
            </w:r>
          </w:p>
        </w:tc>
        <w:tc>
          <w:tcPr>
            <w:tcW w:w="1904" w:type="dxa"/>
            <w:shd w:val="clear" w:color="auto" w:fill="F2F2F2" w:themeFill="background1" w:themeFillShade="F2"/>
          </w:tcPr>
          <w:p w:rsidR="001B1E9D" w:rsidRPr="006F393A" w:rsidRDefault="001B1E9D" w:rsidP="004A0D51">
            <w:pPr>
              <w:pStyle w:val="TableText0"/>
              <w:rPr>
                <w:b/>
              </w:rPr>
            </w:pPr>
            <w:r w:rsidRPr="006F393A">
              <w:rPr>
                <w:b/>
              </w:rPr>
              <w:t>ION-1, ION-2, ION-3</w:t>
            </w:r>
          </w:p>
        </w:tc>
      </w:tr>
      <w:tr w:rsidR="001B1E9D" w:rsidRPr="006F393A" w:rsidTr="0028796E">
        <w:trPr>
          <w:tblHeader/>
        </w:trPr>
        <w:tc>
          <w:tcPr>
            <w:tcW w:w="1966" w:type="dxa"/>
            <w:vMerge/>
          </w:tcPr>
          <w:p w:rsidR="001B1E9D" w:rsidRPr="006F393A" w:rsidRDefault="001B1E9D" w:rsidP="004A0D51">
            <w:pPr>
              <w:pStyle w:val="TableText0"/>
            </w:pPr>
          </w:p>
        </w:tc>
        <w:tc>
          <w:tcPr>
            <w:tcW w:w="1134" w:type="dxa"/>
            <w:vAlign w:val="bottom"/>
          </w:tcPr>
          <w:p w:rsidR="001B1E9D" w:rsidRPr="006F393A" w:rsidRDefault="001B1E9D" w:rsidP="004A0D51">
            <w:pPr>
              <w:pStyle w:val="TableText0"/>
              <w:jc w:val="center"/>
              <w:rPr>
                <w:b/>
              </w:rPr>
            </w:pPr>
            <w:proofErr w:type="spellStart"/>
            <w:r w:rsidRPr="006F393A">
              <w:rPr>
                <w:b/>
              </w:rPr>
              <w:t>Viekira</w:t>
            </w:r>
            <w:proofErr w:type="spellEnd"/>
            <w:r w:rsidRPr="006F393A">
              <w:rPr>
                <w:b/>
              </w:rPr>
              <w:t xml:space="preserve"> PAK</w:t>
            </w:r>
          </w:p>
          <w:p w:rsidR="001B1E9D" w:rsidRPr="006F393A" w:rsidRDefault="001B1E9D" w:rsidP="004A0D51">
            <w:pPr>
              <w:pStyle w:val="TableText0"/>
              <w:jc w:val="center"/>
              <w:rPr>
                <w:b/>
              </w:rPr>
            </w:pPr>
            <w:r w:rsidRPr="006F393A">
              <w:rPr>
                <w:b/>
              </w:rPr>
              <w:t>N=592</w:t>
            </w:r>
          </w:p>
        </w:tc>
        <w:tc>
          <w:tcPr>
            <w:tcW w:w="1559" w:type="dxa"/>
            <w:vAlign w:val="bottom"/>
          </w:tcPr>
          <w:p w:rsidR="001B1E9D" w:rsidRPr="006F393A" w:rsidRDefault="001B1E9D" w:rsidP="004A0D51">
            <w:pPr>
              <w:pStyle w:val="TableText0"/>
              <w:jc w:val="center"/>
              <w:rPr>
                <w:b/>
              </w:rPr>
            </w:pPr>
            <w:proofErr w:type="spellStart"/>
            <w:r w:rsidRPr="006F393A">
              <w:rPr>
                <w:b/>
              </w:rPr>
              <w:t>Viekira</w:t>
            </w:r>
            <w:proofErr w:type="spellEnd"/>
            <w:r w:rsidRPr="006F393A">
              <w:rPr>
                <w:b/>
              </w:rPr>
              <w:t xml:space="preserve"> PAK-RBV</w:t>
            </w:r>
          </w:p>
          <w:p w:rsidR="001B1E9D" w:rsidRPr="006F393A" w:rsidRDefault="001B1E9D" w:rsidP="004A0D51">
            <w:pPr>
              <w:pStyle w:val="TableText0"/>
              <w:jc w:val="center"/>
              <w:rPr>
                <w:b/>
              </w:rPr>
            </w:pPr>
            <w:r w:rsidRPr="006F393A">
              <w:rPr>
                <w:b/>
              </w:rPr>
              <w:t>N=1805</w:t>
            </w:r>
          </w:p>
        </w:tc>
        <w:tc>
          <w:tcPr>
            <w:tcW w:w="1843" w:type="dxa"/>
          </w:tcPr>
          <w:p w:rsidR="001B1E9D" w:rsidRPr="006F393A" w:rsidRDefault="001B1E9D" w:rsidP="004A0D51">
            <w:pPr>
              <w:pStyle w:val="TableText0"/>
              <w:jc w:val="center"/>
              <w:rPr>
                <w:b/>
              </w:rPr>
            </w:pPr>
            <w:proofErr w:type="spellStart"/>
            <w:r w:rsidRPr="006F393A">
              <w:rPr>
                <w:b/>
              </w:rPr>
              <w:t>Viekira</w:t>
            </w:r>
            <w:proofErr w:type="spellEnd"/>
            <w:r w:rsidRPr="006F393A">
              <w:rPr>
                <w:b/>
              </w:rPr>
              <w:t xml:space="preserve"> PAK +/- RBV</w:t>
            </w:r>
          </w:p>
          <w:p w:rsidR="001B1E9D" w:rsidRPr="006F393A" w:rsidRDefault="001B1E9D" w:rsidP="004A0D51">
            <w:pPr>
              <w:pStyle w:val="TableText0"/>
              <w:jc w:val="center"/>
              <w:rPr>
                <w:b/>
              </w:rPr>
            </w:pPr>
            <w:r w:rsidRPr="006F393A">
              <w:rPr>
                <w:b/>
              </w:rPr>
              <w:t>N=2397</w:t>
            </w:r>
          </w:p>
        </w:tc>
        <w:tc>
          <w:tcPr>
            <w:tcW w:w="1904" w:type="dxa"/>
            <w:shd w:val="clear" w:color="auto" w:fill="F2F2F2" w:themeFill="background1" w:themeFillShade="F2"/>
          </w:tcPr>
          <w:p w:rsidR="001B1E9D" w:rsidRPr="006F393A" w:rsidRDefault="001B1E9D" w:rsidP="004A0D51">
            <w:pPr>
              <w:pStyle w:val="TableText0"/>
              <w:jc w:val="center"/>
              <w:rPr>
                <w:b/>
              </w:rPr>
            </w:pPr>
            <w:r w:rsidRPr="006F393A">
              <w:rPr>
                <w:b/>
              </w:rPr>
              <w:t>LDV/SOF</w:t>
            </w:r>
          </w:p>
          <w:p w:rsidR="001B1E9D" w:rsidRPr="006F393A" w:rsidRDefault="001B1E9D" w:rsidP="004A0D51">
            <w:pPr>
              <w:pStyle w:val="TableText0"/>
              <w:jc w:val="center"/>
              <w:rPr>
                <w:b/>
              </w:rPr>
            </w:pPr>
            <w:r w:rsidRPr="006F393A">
              <w:rPr>
                <w:b/>
              </w:rPr>
              <w:t>N=1080</w:t>
            </w:r>
          </w:p>
        </w:tc>
      </w:tr>
      <w:tr w:rsidR="001B1E9D" w:rsidRPr="006F393A" w:rsidTr="0028796E">
        <w:trPr>
          <w:tblHeader/>
        </w:trPr>
        <w:tc>
          <w:tcPr>
            <w:tcW w:w="1966" w:type="dxa"/>
            <w:vMerge/>
          </w:tcPr>
          <w:p w:rsidR="001B1E9D" w:rsidRPr="006F393A" w:rsidRDefault="001B1E9D" w:rsidP="004A0D51">
            <w:pPr>
              <w:pStyle w:val="TableText0"/>
            </w:pPr>
          </w:p>
        </w:tc>
        <w:tc>
          <w:tcPr>
            <w:tcW w:w="1134" w:type="dxa"/>
            <w:vAlign w:val="bottom"/>
          </w:tcPr>
          <w:p w:rsidR="001B1E9D" w:rsidRPr="006F393A" w:rsidRDefault="001B1E9D" w:rsidP="004A0D51">
            <w:pPr>
              <w:pStyle w:val="TableText0"/>
              <w:jc w:val="center"/>
              <w:rPr>
                <w:b/>
              </w:rPr>
            </w:pPr>
            <w:proofErr w:type="gramStart"/>
            <w:r w:rsidRPr="006F393A">
              <w:rPr>
                <w:b/>
              </w:rPr>
              <w:t>n</w:t>
            </w:r>
            <w:proofErr w:type="gramEnd"/>
            <w:r w:rsidRPr="006F393A">
              <w:rPr>
                <w:b/>
              </w:rPr>
              <w:t xml:space="preserve"> (%)</w:t>
            </w:r>
          </w:p>
        </w:tc>
        <w:tc>
          <w:tcPr>
            <w:tcW w:w="1559" w:type="dxa"/>
            <w:vAlign w:val="bottom"/>
          </w:tcPr>
          <w:p w:rsidR="001B1E9D" w:rsidRPr="006F393A" w:rsidRDefault="001B1E9D" w:rsidP="004A0D51">
            <w:pPr>
              <w:pStyle w:val="TableText0"/>
              <w:jc w:val="center"/>
              <w:rPr>
                <w:b/>
              </w:rPr>
            </w:pPr>
            <w:proofErr w:type="gramStart"/>
            <w:r w:rsidRPr="006F393A">
              <w:rPr>
                <w:b/>
              </w:rPr>
              <w:t>n</w:t>
            </w:r>
            <w:proofErr w:type="gramEnd"/>
            <w:r w:rsidRPr="006F393A">
              <w:rPr>
                <w:b/>
              </w:rPr>
              <w:t xml:space="preserve"> (%)</w:t>
            </w:r>
          </w:p>
        </w:tc>
        <w:tc>
          <w:tcPr>
            <w:tcW w:w="1843" w:type="dxa"/>
            <w:vAlign w:val="bottom"/>
          </w:tcPr>
          <w:p w:rsidR="001B1E9D" w:rsidRPr="006F393A" w:rsidRDefault="001B1E9D" w:rsidP="004A0D51">
            <w:pPr>
              <w:pStyle w:val="TableText0"/>
              <w:jc w:val="center"/>
              <w:rPr>
                <w:b/>
              </w:rPr>
            </w:pPr>
            <w:proofErr w:type="gramStart"/>
            <w:r w:rsidRPr="006F393A">
              <w:rPr>
                <w:b/>
              </w:rPr>
              <w:t>n</w:t>
            </w:r>
            <w:proofErr w:type="gramEnd"/>
            <w:r w:rsidRPr="006F393A">
              <w:rPr>
                <w:b/>
              </w:rPr>
              <w:t xml:space="preserve"> (%)</w:t>
            </w:r>
          </w:p>
        </w:tc>
        <w:tc>
          <w:tcPr>
            <w:tcW w:w="1904" w:type="dxa"/>
            <w:shd w:val="clear" w:color="auto" w:fill="F2F2F2" w:themeFill="background1" w:themeFillShade="F2"/>
            <w:vAlign w:val="bottom"/>
          </w:tcPr>
          <w:p w:rsidR="001B1E9D" w:rsidRPr="006F393A" w:rsidRDefault="001B1E9D" w:rsidP="004A0D51">
            <w:pPr>
              <w:pStyle w:val="TableText0"/>
              <w:jc w:val="center"/>
              <w:rPr>
                <w:b/>
              </w:rPr>
            </w:pPr>
            <w:proofErr w:type="gramStart"/>
            <w:r w:rsidRPr="006F393A">
              <w:rPr>
                <w:b/>
              </w:rPr>
              <w:t>n</w:t>
            </w:r>
            <w:proofErr w:type="gramEnd"/>
            <w:r w:rsidRPr="006F393A">
              <w:rPr>
                <w:b/>
              </w:rPr>
              <w:t xml:space="preserve"> (%)</w:t>
            </w:r>
          </w:p>
        </w:tc>
      </w:tr>
      <w:tr w:rsidR="00E70436" w:rsidRPr="006F393A" w:rsidTr="00BF36DD">
        <w:tc>
          <w:tcPr>
            <w:tcW w:w="1966" w:type="dxa"/>
            <w:vAlign w:val="bottom"/>
          </w:tcPr>
          <w:p w:rsidR="00E70436" w:rsidRPr="006F393A" w:rsidRDefault="00E70436" w:rsidP="004A0D51">
            <w:pPr>
              <w:pStyle w:val="TableText0"/>
            </w:pPr>
            <w:r w:rsidRPr="006F393A">
              <w:t>Any AE</w:t>
            </w:r>
          </w:p>
        </w:tc>
        <w:tc>
          <w:tcPr>
            <w:tcW w:w="1134" w:type="dxa"/>
            <w:vAlign w:val="bottom"/>
          </w:tcPr>
          <w:p w:rsidR="00E70436" w:rsidRPr="006F393A" w:rsidRDefault="00E70436" w:rsidP="004A0D51">
            <w:pPr>
              <w:pStyle w:val="TableText0"/>
              <w:jc w:val="center"/>
            </w:pPr>
            <w:r w:rsidRPr="006F393A">
              <w:t>424 (71.6)</w:t>
            </w:r>
          </w:p>
        </w:tc>
        <w:tc>
          <w:tcPr>
            <w:tcW w:w="1559" w:type="dxa"/>
            <w:vAlign w:val="bottom"/>
          </w:tcPr>
          <w:p w:rsidR="00E70436" w:rsidRPr="006F393A" w:rsidRDefault="00E70436" w:rsidP="004A0D51">
            <w:pPr>
              <w:pStyle w:val="TableText0"/>
              <w:jc w:val="center"/>
            </w:pPr>
            <w:r w:rsidRPr="006F393A">
              <w:t>1542 (85.4)</w:t>
            </w:r>
          </w:p>
        </w:tc>
        <w:tc>
          <w:tcPr>
            <w:tcW w:w="1843" w:type="dxa"/>
            <w:vAlign w:val="bottom"/>
          </w:tcPr>
          <w:p w:rsidR="00E70436" w:rsidRPr="006F393A" w:rsidRDefault="00E70436" w:rsidP="004A0D51">
            <w:pPr>
              <w:pStyle w:val="TableText0"/>
              <w:jc w:val="center"/>
            </w:pPr>
            <w:r w:rsidRPr="006F393A">
              <w:t>1966 (82)</w:t>
            </w:r>
          </w:p>
        </w:tc>
        <w:tc>
          <w:tcPr>
            <w:tcW w:w="1904" w:type="dxa"/>
            <w:shd w:val="clear" w:color="auto" w:fill="F2F2F2" w:themeFill="background1" w:themeFillShade="F2"/>
            <w:vAlign w:val="bottom"/>
          </w:tcPr>
          <w:p w:rsidR="00E70436" w:rsidRPr="006F393A" w:rsidRDefault="00E70436" w:rsidP="004A0D51">
            <w:pPr>
              <w:pStyle w:val="TableText0"/>
              <w:jc w:val="center"/>
            </w:pPr>
            <w:r w:rsidRPr="006F393A">
              <w:t>806 (74.6)</w:t>
            </w:r>
          </w:p>
        </w:tc>
      </w:tr>
      <w:tr w:rsidR="00E70436" w:rsidRPr="006F393A" w:rsidTr="00BF36DD">
        <w:tc>
          <w:tcPr>
            <w:tcW w:w="1966" w:type="dxa"/>
            <w:vAlign w:val="bottom"/>
          </w:tcPr>
          <w:p w:rsidR="00E70436" w:rsidRPr="006F393A" w:rsidRDefault="00E70436" w:rsidP="004A0D51">
            <w:pPr>
              <w:pStyle w:val="TableText0"/>
            </w:pPr>
            <w:r w:rsidRPr="006F393A">
              <w:t>Any SAE</w:t>
            </w:r>
          </w:p>
        </w:tc>
        <w:tc>
          <w:tcPr>
            <w:tcW w:w="1134" w:type="dxa"/>
            <w:vAlign w:val="bottom"/>
          </w:tcPr>
          <w:p w:rsidR="00E70436" w:rsidRPr="006F393A" w:rsidRDefault="00E70436" w:rsidP="004A0D51">
            <w:pPr>
              <w:pStyle w:val="TableText0"/>
              <w:jc w:val="center"/>
            </w:pPr>
            <w:r w:rsidRPr="006F393A">
              <w:t>7 (1.2)</w:t>
            </w:r>
          </w:p>
        </w:tc>
        <w:tc>
          <w:tcPr>
            <w:tcW w:w="1559" w:type="dxa"/>
            <w:vAlign w:val="bottom"/>
          </w:tcPr>
          <w:p w:rsidR="00E70436" w:rsidRPr="006F393A" w:rsidRDefault="00E70436" w:rsidP="004A0D51">
            <w:pPr>
              <w:pStyle w:val="TableText0"/>
              <w:jc w:val="center"/>
            </w:pPr>
            <w:r w:rsidRPr="006F393A">
              <w:t>48 (2.7)</w:t>
            </w:r>
          </w:p>
        </w:tc>
        <w:tc>
          <w:tcPr>
            <w:tcW w:w="1843" w:type="dxa"/>
            <w:vAlign w:val="bottom"/>
          </w:tcPr>
          <w:p w:rsidR="00E70436" w:rsidRPr="006F393A" w:rsidRDefault="00E70436" w:rsidP="004A0D51">
            <w:pPr>
              <w:pStyle w:val="TableText0"/>
              <w:jc w:val="center"/>
            </w:pPr>
            <w:r w:rsidRPr="006F393A">
              <w:t>55 (2.3)</w:t>
            </w:r>
          </w:p>
        </w:tc>
        <w:tc>
          <w:tcPr>
            <w:tcW w:w="1904" w:type="dxa"/>
            <w:shd w:val="clear" w:color="auto" w:fill="F2F2F2" w:themeFill="background1" w:themeFillShade="F2"/>
            <w:vAlign w:val="bottom"/>
          </w:tcPr>
          <w:p w:rsidR="00E70436" w:rsidRPr="006F393A" w:rsidRDefault="00E70436" w:rsidP="004A0D51">
            <w:pPr>
              <w:pStyle w:val="TableText0"/>
              <w:jc w:val="center"/>
            </w:pPr>
            <w:r w:rsidRPr="006F393A">
              <w:t>34 (3.1)</w:t>
            </w:r>
          </w:p>
        </w:tc>
      </w:tr>
      <w:tr w:rsidR="00E70436" w:rsidRPr="006F393A" w:rsidTr="00BF36DD">
        <w:tc>
          <w:tcPr>
            <w:tcW w:w="1966" w:type="dxa"/>
            <w:vAlign w:val="bottom"/>
          </w:tcPr>
          <w:p w:rsidR="00E70436" w:rsidRPr="006F393A" w:rsidRDefault="00E70436" w:rsidP="004A0D51">
            <w:pPr>
              <w:pStyle w:val="TableText0"/>
            </w:pPr>
            <w:r w:rsidRPr="006F393A">
              <w:t>AE to leading to discontinuation of study treatment</w:t>
            </w:r>
          </w:p>
        </w:tc>
        <w:tc>
          <w:tcPr>
            <w:tcW w:w="1134" w:type="dxa"/>
            <w:vAlign w:val="bottom"/>
          </w:tcPr>
          <w:p w:rsidR="00E70436" w:rsidRPr="006F393A" w:rsidRDefault="00E70436" w:rsidP="004A0D51">
            <w:pPr>
              <w:pStyle w:val="TableText0"/>
              <w:jc w:val="center"/>
            </w:pPr>
            <w:r w:rsidRPr="006F393A">
              <w:t>2 (0.3)</w:t>
            </w:r>
          </w:p>
        </w:tc>
        <w:tc>
          <w:tcPr>
            <w:tcW w:w="1559" w:type="dxa"/>
            <w:vAlign w:val="bottom"/>
          </w:tcPr>
          <w:p w:rsidR="00E70436" w:rsidRPr="006F393A" w:rsidRDefault="00E70436" w:rsidP="004A0D51">
            <w:pPr>
              <w:pStyle w:val="TableText0"/>
              <w:jc w:val="center"/>
            </w:pPr>
            <w:r w:rsidRPr="006F393A">
              <w:t>17 (0.9)</w:t>
            </w:r>
          </w:p>
        </w:tc>
        <w:tc>
          <w:tcPr>
            <w:tcW w:w="1843" w:type="dxa"/>
            <w:vAlign w:val="bottom"/>
          </w:tcPr>
          <w:p w:rsidR="00E70436" w:rsidRPr="006F393A" w:rsidRDefault="00E70436" w:rsidP="004A0D51">
            <w:pPr>
              <w:pStyle w:val="TableText0"/>
              <w:jc w:val="center"/>
            </w:pPr>
            <w:r w:rsidRPr="006F393A">
              <w:t>19 (0.8)</w:t>
            </w:r>
          </w:p>
        </w:tc>
        <w:tc>
          <w:tcPr>
            <w:tcW w:w="1904" w:type="dxa"/>
            <w:shd w:val="clear" w:color="auto" w:fill="F2F2F2" w:themeFill="background1" w:themeFillShade="F2"/>
            <w:vAlign w:val="bottom"/>
          </w:tcPr>
          <w:p w:rsidR="00E70436" w:rsidRPr="006F393A" w:rsidRDefault="00E70436" w:rsidP="004A0D51">
            <w:pPr>
              <w:pStyle w:val="TableText0"/>
              <w:jc w:val="center"/>
            </w:pPr>
            <w:r w:rsidRPr="006F393A">
              <w:t>6 (0.6)</w:t>
            </w:r>
          </w:p>
        </w:tc>
      </w:tr>
      <w:tr w:rsidR="00E70436" w:rsidRPr="006F393A" w:rsidTr="00BF36DD">
        <w:tc>
          <w:tcPr>
            <w:tcW w:w="1966" w:type="dxa"/>
            <w:vAlign w:val="bottom"/>
          </w:tcPr>
          <w:p w:rsidR="00E70436" w:rsidRPr="006F393A" w:rsidRDefault="00BF36DD" w:rsidP="004A0D51">
            <w:pPr>
              <w:pStyle w:val="TableText0"/>
            </w:pPr>
            <w:r w:rsidRPr="006F393A">
              <w:t>Deaths</w:t>
            </w:r>
          </w:p>
        </w:tc>
        <w:tc>
          <w:tcPr>
            <w:tcW w:w="1134" w:type="dxa"/>
            <w:vAlign w:val="bottom"/>
          </w:tcPr>
          <w:p w:rsidR="00E70436" w:rsidRPr="006F393A" w:rsidRDefault="00E70436" w:rsidP="004A0D51">
            <w:pPr>
              <w:pStyle w:val="TableText0"/>
              <w:jc w:val="center"/>
            </w:pPr>
            <w:r w:rsidRPr="006F393A">
              <w:t>0 (0)</w:t>
            </w:r>
          </w:p>
        </w:tc>
        <w:tc>
          <w:tcPr>
            <w:tcW w:w="1559" w:type="dxa"/>
            <w:vAlign w:val="bottom"/>
          </w:tcPr>
          <w:p w:rsidR="00E70436" w:rsidRPr="006F393A" w:rsidRDefault="00E70436" w:rsidP="004A0D51">
            <w:pPr>
              <w:pStyle w:val="TableText0"/>
              <w:jc w:val="center"/>
            </w:pPr>
            <w:r w:rsidRPr="006F393A">
              <w:t>5 (0.3)</w:t>
            </w:r>
          </w:p>
        </w:tc>
        <w:tc>
          <w:tcPr>
            <w:tcW w:w="1843" w:type="dxa"/>
            <w:vAlign w:val="bottom"/>
          </w:tcPr>
          <w:p w:rsidR="00E70436" w:rsidRPr="006F393A" w:rsidRDefault="00E70436" w:rsidP="004A0D51">
            <w:pPr>
              <w:pStyle w:val="TableText0"/>
              <w:jc w:val="center"/>
            </w:pPr>
            <w:r w:rsidRPr="006F393A">
              <w:t>5 (0.2)</w:t>
            </w:r>
          </w:p>
        </w:tc>
        <w:tc>
          <w:tcPr>
            <w:tcW w:w="1904" w:type="dxa"/>
            <w:shd w:val="clear" w:color="auto" w:fill="F2F2F2" w:themeFill="background1" w:themeFillShade="F2"/>
            <w:vAlign w:val="bottom"/>
          </w:tcPr>
          <w:p w:rsidR="00E70436" w:rsidRPr="006F393A" w:rsidRDefault="00E70436" w:rsidP="004A0D51">
            <w:pPr>
              <w:pStyle w:val="TableText0"/>
              <w:jc w:val="center"/>
            </w:pPr>
            <w:r w:rsidRPr="006F393A">
              <w:t>0 (0)</w:t>
            </w:r>
          </w:p>
        </w:tc>
      </w:tr>
    </w:tbl>
    <w:p w:rsidR="00E70436" w:rsidRPr="006F393A" w:rsidRDefault="00E70436" w:rsidP="00E70436">
      <w:pPr>
        <w:pStyle w:val="TableFooter"/>
        <w:ind w:firstLine="720"/>
      </w:pPr>
      <w:r w:rsidRPr="006F393A">
        <w:t xml:space="preserve">AE = adverse event; SAE = serious adverse event; RBV = ribavirin; LDV/SOF = </w:t>
      </w:r>
      <w:proofErr w:type="spellStart"/>
      <w:r w:rsidRPr="006F393A">
        <w:t>ledipasvir</w:t>
      </w:r>
      <w:proofErr w:type="spellEnd"/>
      <w:r w:rsidRPr="006F393A">
        <w:t>/</w:t>
      </w:r>
      <w:proofErr w:type="spellStart"/>
      <w:r w:rsidRPr="006F393A">
        <w:t>sofosbuvir</w:t>
      </w:r>
      <w:proofErr w:type="spellEnd"/>
      <w:r w:rsidRPr="006F393A">
        <w:t>.</w:t>
      </w:r>
    </w:p>
    <w:p w:rsidR="00E03F46" w:rsidRPr="009701B0" w:rsidRDefault="00E70436" w:rsidP="009701B0">
      <w:pPr>
        <w:pStyle w:val="TableFooter"/>
        <w:ind w:left="709"/>
      </w:pPr>
      <w:r w:rsidRPr="006F393A">
        <w:t>Source: Table B-34, p208; Table B-36, p216; Table B-60, p273; Table B-85, p333; Table B-87, p336; Table B-89, p338 of the submission.</w:t>
      </w:r>
      <w:bookmarkStart w:id="11" w:name="_Toc419383691"/>
    </w:p>
    <w:p w:rsidR="00924A6D" w:rsidRPr="006F393A" w:rsidRDefault="00924A6D" w:rsidP="00E70436">
      <w:pPr>
        <w:pStyle w:val="Heading2"/>
        <w:rPr>
          <w:i/>
        </w:rPr>
      </w:pPr>
    </w:p>
    <w:p w:rsidR="00E70436" w:rsidRPr="006F393A" w:rsidRDefault="00E70436" w:rsidP="00E70436">
      <w:pPr>
        <w:pStyle w:val="Heading2"/>
        <w:rPr>
          <w:i/>
          <w:szCs w:val="22"/>
        </w:rPr>
      </w:pPr>
      <w:r w:rsidRPr="006F393A">
        <w:rPr>
          <w:i/>
        </w:rPr>
        <w:t>Benefits/harms</w:t>
      </w:r>
      <w:bookmarkEnd w:id="11"/>
    </w:p>
    <w:p w:rsidR="00E70436" w:rsidRPr="006F393A" w:rsidRDefault="00E70436" w:rsidP="00E70436">
      <w:pPr>
        <w:pStyle w:val="ListParagraph"/>
        <w:ind w:left="0"/>
        <w:rPr>
          <w:szCs w:val="22"/>
        </w:rPr>
      </w:pPr>
    </w:p>
    <w:p w:rsidR="00E70436" w:rsidRPr="006F393A" w:rsidRDefault="00E70436" w:rsidP="00997EDA">
      <w:pPr>
        <w:pStyle w:val="ListParagraph"/>
        <w:widowControl/>
        <w:numPr>
          <w:ilvl w:val="1"/>
          <w:numId w:val="1"/>
        </w:numPr>
        <w:rPr>
          <w:szCs w:val="22"/>
        </w:rPr>
      </w:pPr>
      <w:r w:rsidRPr="006F393A">
        <w:rPr>
          <w:szCs w:val="22"/>
        </w:rPr>
        <w:t xml:space="preserve">A summary of the comparative benefits and harms for </w:t>
      </w:r>
      <w:proofErr w:type="spellStart"/>
      <w:r w:rsidR="00BD66D9" w:rsidRPr="006F393A">
        <w:rPr>
          <w:szCs w:val="22"/>
        </w:rPr>
        <w:t>Viekira</w:t>
      </w:r>
      <w:proofErr w:type="spellEnd"/>
      <w:r w:rsidR="00BD66D9" w:rsidRPr="006F393A">
        <w:rPr>
          <w:szCs w:val="22"/>
        </w:rPr>
        <w:t xml:space="preserve"> PAK / </w:t>
      </w:r>
      <w:proofErr w:type="spellStart"/>
      <w:r w:rsidR="00BD66D9" w:rsidRPr="006F393A">
        <w:rPr>
          <w:szCs w:val="22"/>
        </w:rPr>
        <w:t>Viekira</w:t>
      </w:r>
      <w:proofErr w:type="spellEnd"/>
      <w:r w:rsidR="00BD66D9" w:rsidRPr="006F393A">
        <w:rPr>
          <w:szCs w:val="22"/>
        </w:rPr>
        <w:t xml:space="preserve"> PAK-RBV</w:t>
      </w:r>
      <w:r w:rsidRPr="006F393A">
        <w:rPr>
          <w:szCs w:val="22"/>
        </w:rPr>
        <w:t xml:space="preserve"> versus ‘no treatment’ is presented in</w:t>
      </w:r>
      <w:r w:rsidR="00DE6D45" w:rsidRPr="006F393A">
        <w:rPr>
          <w:szCs w:val="22"/>
        </w:rPr>
        <w:t xml:space="preserve"> below</w:t>
      </w:r>
      <w:r w:rsidRPr="006F393A">
        <w:rPr>
          <w:szCs w:val="22"/>
        </w:rPr>
        <w:t xml:space="preserve">, based on the evidence provided in the submission. </w:t>
      </w:r>
    </w:p>
    <w:p w:rsidR="00E70436" w:rsidRPr="006F393A" w:rsidRDefault="00E70436" w:rsidP="00E70436"/>
    <w:p w:rsidR="00E70436" w:rsidRPr="006F393A" w:rsidRDefault="00E70436" w:rsidP="00AC5916">
      <w:pPr>
        <w:pStyle w:val="TableHeader"/>
        <w:ind w:left="709"/>
      </w:pPr>
      <w:r w:rsidRPr="006F393A">
        <w:t>Table</w:t>
      </w:r>
      <w:r w:rsidR="007B6A5B" w:rsidRPr="006F393A">
        <w:t xml:space="preserve"> 9</w:t>
      </w:r>
      <w:r w:rsidRPr="006F393A">
        <w:t xml:space="preserve">: The benefit/harm of </w:t>
      </w:r>
      <w:proofErr w:type="spellStart"/>
      <w:r w:rsidR="00BD66D9" w:rsidRPr="006F393A">
        <w:t>Viekira</w:t>
      </w:r>
      <w:proofErr w:type="spellEnd"/>
      <w:r w:rsidR="00BD66D9" w:rsidRPr="006F393A">
        <w:t xml:space="preserve"> PAK / </w:t>
      </w:r>
      <w:proofErr w:type="spellStart"/>
      <w:r w:rsidR="00BD66D9" w:rsidRPr="006F393A">
        <w:t>Viekira</w:t>
      </w:r>
      <w:proofErr w:type="spellEnd"/>
      <w:r w:rsidR="00BD66D9" w:rsidRPr="006F393A">
        <w:t xml:space="preserve"> PAK-RBV</w:t>
      </w:r>
      <w:r w:rsidRPr="006F393A">
        <w:t xml:space="preserve"> compared with no treatment</w:t>
      </w:r>
    </w:p>
    <w:tbl>
      <w:tblPr>
        <w:tblStyle w:val="TableGrid"/>
        <w:tblW w:w="0" w:type="auto"/>
        <w:tblInd w:w="817" w:type="dxa"/>
        <w:tblLook w:val="04A0" w:firstRow="1" w:lastRow="0" w:firstColumn="1" w:lastColumn="0" w:noHBand="0" w:noVBand="1"/>
        <w:tblCaption w:val="Table 9: The benefit/harm of Viekira PAK / Viekira PAK-RBV compared with no treatment"/>
        <w:tblDescription w:val="This table describes the benefits and harms of Viekira PAK / Viekira PAK-RBV compared with no treatment"/>
      </w:tblPr>
      <w:tblGrid>
        <w:gridCol w:w="900"/>
        <w:gridCol w:w="62"/>
        <w:gridCol w:w="1059"/>
        <w:gridCol w:w="2479"/>
        <w:gridCol w:w="3925"/>
      </w:tblGrid>
      <w:tr w:rsidR="00E70436" w:rsidRPr="006F393A" w:rsidTr="004A0D51">
        <w:trPr>
          <w:tblHeader/>
        </w:trPr>
        <w:tc>
          <w:tcPr>
            <w:tcW w:w="2021" w:type="dxa"/>
            <w:gridSpan w:val="3"/>
          </w:tcPr>
          <w:p w:rsidR="00E70436" w:rsidRPr="006F393A" w:rsidRDefault="00E70436" w:rsidP="004A0D51">
            <w:pPr>
              <w:widowControl/>
              <w:rPr>
                <w:rFonts w:ascii="Arial Narrow" w:hAnsi="Arial Narrow"/>
                <w:b/>
                <w:snapToGrid/>
                <w:sz w:val="20"/>
                <w:lang w:eastAsia="en-AU"/>
              </w:rPr>
            </w:pPr>
            <w:r w:rsidRPr="006F393A">
              <w:rPr>
                <w:rFonts w:ascii="Arial Narrow" w:hAnsi="Arial Narrow"/>
                <w:b/>
                <w:snapToGrid/>
                <w:sz w:val="20"/>
                <w:lang w:eastAsia="en-AU"/>
              </w:rPr>
              <w:t>Patient group</w:t>
            </w:r>
          </w:p>
        </w:tc>
        <w:tc>
          <w:tcPr>
            <w:tcW w:w="2479" w:type="dxa"/>
          </w:tcPr>
          <w:p w:rsidR="00E70436" w:rsidRPr="006F393A" w:rsidRDefault="00E70436" w:rsidP="004A0D51">
            <w:pPr>
              <w:widowControl/>
              <w:rPr>
                <w:rFonts w:ascii="Arial Narrow" w:hAnsi="Arial Narrow"/>
                <w:b/>
                <w:snapToGrid/>
                <w:sz w:val="20"/>
                <w:lang w:eastAsia="en-AU"/>
              </w:rPr>
            </w:pPr>
            <w:r w:rsidRPr="006F393A">
              <w:rPr>
                <w:rFonts w:ascii="Arial Narrow" w:hAnsi="Arial Narrow"/>
                <w:b/>
                <w:snapToGrid/>
                <w:sz w:val="20"/>
                <w:lang w:eastAsia="en-AU"/>
              </w:rPr>
              <w:t>Comparison</w:t>
            </w:r>
          </w:p>
        </w:tc>
        <w:tc>
          <w:tcPr>
            <w:tcW w:w="3925" w:type="dxa"/>
          </w:tcPr>
          <w:p w:rsidR="00E70436" w:rsidRPr="006F393A" w:rsidRDefault="00E70436" w:rsidP="004A0D51">
            <w:pPr>
              <w:widowControl/>
              <w:rPr>
                <w:rFonts w:ascii="Arial Narrow" w:hAnsi="Arial Narrow"/>
                <w:b/>
                <w:snapToGrid/>
                <w:sz w:val="20"/>
                <w:lang w:eastAsia="en-AU"/>
              </w:rPr>
            </w:pPr>
            <w:r w:rsidRPr="006F393A">
              <w:rPr>
                <w:rFonts w:ascii="Arial Narrow" w:hAnsi="Arial Narrow"/>
                <w:b/>
                <w:snapToGrid/>
                <w:sz w:val="20"/>
                <w:lang w:eastAsia="en-AU"/>
              </w:rPr>
              <w:t>Benefits/harms</w:t>
            </w:r>
            <w:r w:rsidR="008046A6" w:rsidRPr="006F393A">
              <w:rPr>
                <w:rFonts w:ascii="Arial Narrow" w:hAnsi="Arial Narrow"/>
                <w:b/>
                <w:snapToGrid/>
                <w:sz w:val="20"/>
                <w:lang w:eastAsia="en-AU"/>
              </w:rPr>
              <w:t>**</w:t>
            </w:r>
          </w:p>
        </w:tc>
      </w:tr>
      <w:tr w:rsidR="00E70436" w:rsidRPr="006F393A" w:rsidTr="004A0D51">
        <w:tc>
          <w:tcPr>
            <w:tcW w:w="8425" w:type="dxa"/>
            <w:gridSpan w:val="5"/>
          </w:tcPr>
          <w:p w:rsidR="00E70436" w:rsidRPr="006F393A" w:rsidRDefault="00E70436" w:rsidP="004A0D51">
            <w:pPr>
              <w:widowControl/>
              <w:rPr>
                <w:rFonts w:ascii="Arial Narrow" w:hAnsi="Arial Narrow"/>
                <w:b/>
                <w:snapToGrid/>
                <w:sz w:val="20"/>
                <w:lang w:eastAsia="en-AU"/>
              </w:rPr>
            </w:pPr>
            <w:r w:rsidRPr="006F393A">
              <w:rPr>
                <w:rFonts w:ascii="Arial Narrow" w:hAnsi="Arial Narrow"/>
                <w:b/>
                <w:snapToGrid/>
                <w:sz w:val="20"/>
                <w:lang w:eastAsia="en-AU"/>
              </w:rPr>
              <w:t>Treatment-naïve</w:t>
            </w:r>
          </w:p>
        </w:tc>
      </w:tr>
      <w:tr w:rsidR="00BF36DD" w:rsidRPr="006F393A" w:rsidTr="004A0D51">
        <w:trPr>
          <w:trHeight w:val="368"/>
        </w:trPr>
        <w:tc>
          <w:tcPr>
            <w:tcW w:w="962" w:type="dxa"/>
            <w:gridSpan w:val="2"/>
            <w:vMerge w:val="restart"/>
          </w:tcPr>
          <w:p w:rsidR="00BF36DD" w:rsidRPr="006F393A" w:rsidRDefault="00BF36DD" w:rsidP="004A0D51">
            <w:pPr>
              <w:widowControl/>
              <w:jc w:val="left"/>
              <w:rPr>
                <w:rFonts w:ascii="Arial Narrow" w:hAnsi="Arial Narrow"/>
                <w:b/>
                <w:snapToGrid/>
                <w:sz w:val="20"/>
                <w:lang w:eastAsia="en-AU"/>
              </w:rPr>
            </w:pPr>
            <w:r w:rsidRPr="006F393A">
              <w:rPr>
                <w:rFonts w:ascii="Arial Narrow" w:hAnsi="Arial Narrow"/>
                <w:b/>
                <w:snapToGrid/>
                <w:sz w:val="20"/>
                <w:lang w:eastAsia="en-AU"/>
              </w:rPr>
              <w:t>Non-cirrhotic</w:t>
            </w:r>
          </w:p>
        </w:tc>
        <w:tc>
          <w:tcPr>
            <w:tcW w:w="1059" w:type="dxa"/>
          </w:tcPr>
          <w:p w:rsidR="00BF36DD" w:rsidRPr="006F393A" w:rsidRDefault="00BF36DD" w:rsidP="004A0D51">
            <w:pPr>
              <w:widowControl/>
              <w:jc w:val="left"/>
              <w:rPr>
                <w:rFonts w:ascii="Arial Narrow" w:hAnsi="Arial Narrow"/>
                <w:b/>
                <w:snapToGrid/>
                <w:sz w:val="20"/>
                <w:lang w:eastAsia="en-AU"/>
              </w:rPr>
            </w:pPr>
            <w:r w:rsidRPr="006F393A">
              <w:rPr>
                <w:rFonts w:ascii="Arial Narrow" w:hAnsi="Arial Narrow"/>
                <w:b/>
                <w:snapToGrid/>
                <w:sz w:val="20"/>
                <w:lang w:eastAsia="en-AU"/>
              </w:rPr>
              <w:t>GT1a</w:t>
            </w:r>
          </w:p>
        </w:tc>
        <w:tc>
          <w:tcPr>
            <w:tcW w:w="2479" w:type="dxa"/>
          </w:tcPr>
          <w:p w:rsidR="00BF36DD" w:rsidRPr="006F393A" w:rsidRDefault="00BF36DD" w:rsidP="004A0D51">
            <w:pPr>
              <w:widowControl/>
              <w:jc w:val="left"/>
              <w:rPr>
                <w:rFonts w:ascii="Arial Narrow" w:hAnsi="Arial Narrow"/>
                <w:snapToGrid/>
                <w:sz w:val="20"/>
                <w:lang w:eastAsia="en-AU"/>
              </w:rPr>
            </w:pPr>
            <w:r w:rsidRPr="006F393A">
              <w:rPr>
                <w:rFonts w:ascii="Arial Narrow" w:hAnsi="Arial Narrow"/>
                <w:snapToGrid/>
                <w:sz w:val="20"/>
                <w:lang w:eastAsia="en-AU"/>
              </w:rPr>
              <w:t xml:space="preserve">for every 100 patients treated with </w:t>
            </w:r>
            <w:proofErr w:type="spellStart"/>
            <w:r w:rsidRPr="006F393A">
              <w:rPr>
                <w:rFonts w:ascii="Arial Narrow" w:hAnsi="Arial Narrow"/>
                <w:snapToGrid/>
                <w:sz w:val="20"/>
                <w:lang w:eastAsia="en-AU"/>
              </w:rPr>
              <w:t>Viekira</w:t>
            </w:r>
            <w:proofErr w:type="spellEnd"/>
            <w:r w:rsidRPr="006F393A">
              <w:rPr>
                <w:rFonts w:ascii="Arial Narrow" w:hAnsi="Arial Narrow"/>
                <w:snapToGrid/>
                <w:sz w:val="20"/>
                <w:lang w:eastAsia="en-AU"/>
              </w:rPr>
              <w:t xml:space="preserve"> PAK-RBV for 12 weeks in comparison to receiving </w:t>
            </w:r>
            <w:r w:rsidRPr="006F393A">
              <w:rPr>
                <w:rFonts w:ascii="Arial Narrow" w:hAnsi="Arial Narrow"/>
                <w:snapToGrid/>
                <w:sz w:val="20"/>
                <w:u w:val="single"/>
                <w:lang w:eastAsia="en-AU"/>
              </w:rPr>
              <w:t>no treatment</w:t>
            </w:r>
          </w:p>
        </w:tc>
        <w:tc>
          <w:tcPr>
            <w:tcW w:w="3925" w:type="dxa"/>
          </w:tcPr>
          <w:p w:rsidR="00BF36DD" w:rsidRPr="006F393A" w:rsidRDefault="00BF36DD" w:rsidP="00997EDA">
            <w:pPr>
              <w:widowControl/>
              <w:numPr>
                <w:ilvl w:val="0"/>
                <w:numId w:val="2"/>
              </w:numPr>
              <w:ind w:left="218" w:hanging="142"/>
              <w:contextualSpacing/>
              <w:jc w:val="left"/>
              <w:rPr>
                <w:rFonts w:ascii="Arial Narrow" w:hAnsi="Arial Narrow"/>
                <w:snapToGrid/>
                <w:sz w:val="20"/>
                <w:lang w:eastAsia="en-AU"/>
              </w:rPr>
            </w:pPr>
            <w:r w:rsidRPr="006F393A">
              <w:rPr>
                <w:rFonts w:ascii="Arial Narrow" w:hAnsi="Arial Narrow"/>
                <w:snapToGrid/>
                <w:sz w:val="20"/>
                <w:lang w:eastAsia="en-AU"/>
              </w:rPr>
              <w:t>Approximately 96 additional patients would be expected to achieve an SVR; and</w:t>
            </w:r>
          </w:p>
          <w:p w:rsidR="00BF36DD" w:rsidRPr="006F393A" w:rsidRDefault="00BF36DD" w:rsidP="00997EDA">
            <w:pPr>
              <w:widowControl/>
              <w:numPr>
                <w:ilvl w:val="0"/>
                <w:numId w:val="2"/>
              </w:numPr>
              <w:ind w:left="218" w:hanging="142"/>
              <w:contextualSpacing/>
              <w:jc w:val="left"/>
              <w:rPr>
                <w:rFonts w:ascii="Arial Narrow" w:hAnsi="Arial Narrow"/>
                <w:snapToGrid/>
                <w:sz w:val="20"/>
                <w:lang w:eastAsia="en-AU"/>
              </w:rPr>
            </w:pPr>
            <w:r w:rsidRPr="006F393A">
              <w:rPr>
                <w:rFonts w:ascii="Arial Narrow" w:hAnsi="Arial Narrow"/>
                <w:snapToGrid/>
                <w:sz w:val="20"/>
                <w:lang w:eastAsia="en-AU"/>
              </w:rPr>
              <w:t>Approximately 2 additional patients would experience a serious adverse event.</w:t>
            </w:r>
          </w:p>
        </w:tc>
      </w:tr>
      <w:tr w:rsidR="00BF36DD" w:rsidRPr="006F393A" w:rsidTr="004A0D51">
        <w:trPr>
          <w:trHeight w:val="367"/>
        </w:trPr>
        <w:tc>
          <w:tcPr>
            <w:tcW w:w="962" w:type="dxa"/>
            <w:gridSpan w:val="2"/>
            <w:vMerge/>
          </w:tcPr>
          <w:p w:rsidR="00BF36DD" w:rsidRPr="006F393A" w:rsidRDefault="00BF36DD" w:rsidP="004A0D51">
            <w:pPr>
              <w:widowControl/>
              <w:jc w:val="left"/>
              <w:rPr>
                <w:rFonts w:ascii="Arial Narrow" w:hAnsi="Arial Narrow"/>
                <w:b/>
                <w:snapToGrid/>
                <w:sz w:val="20"/>
                <w:lang w:eastAsia="en-AU"/>
              </w:rPr>
            </w:pPr>
          </w:p>
        </w:tc>
        <w:tc>
          <w:tcPr>
            <w:tcW w:w="1059" w:type="dxa"/>
          </w:tcPr>
          <w:p w:rsidR="00BF36DD" w:rsidRPr="006F393A" w:rsidRDefault="00BF36DD" w:rsidP="004A0D51">
            <w:pPr>
              <w:widowControl/>
              <w:jc w:val="left"/>
              <w:rPr>
                <w:rFonts w:ascii="Arial Narrow" w:hAnsi="Arial Narrow"/>
                <w:b/>
                <w:snapToGrid/>
                <w:sz w:val="20"/>
                <w:lang w:eastAsia="en-AU"/>
              </w:rPr>
            </w:pPr>
            <w:r w:rsidRPr="006F393A">
              <w:rPr>
                <w:rFonts w:ascii="Arial Narrow" w:hAnsi="Arial Narrow"/>
                <w:b/>
                <w:snapToGrid/>
                <w:sz w:val="20"/>
                <w:lang w:eastAsia="en-AU"/>
              </w:rPr>
              <w:t>GT1b</w:t>
            </w:r>
          </w:p>
        </w:tc>
        <w:tc>
          <w:tcPr>
            <w:tcW w:w="2479" w:type="dxa"/>
          </w:tcPr>
          <w:p w:rsidR="00BF36DD" w:rsidRPr="006F393A" w:rsidRDefault="00BF36DD" w:rsidP="004A0D51">
            <w:pPr>
              <w:widowControl/>
              <w:jc w:val="left"/>
              <w:rPr>
                <w:rFonts w:ascii="Arial Narrow" w:hAnsi="Arial Narrow"/>
                <w:snapToGrid/>
                <w:sz w:val="20"/>
                <w:lang w:eastAsia="en-AU"/>
              </w:rPr>
            </w:pPr>
            <w:r w:rsidRPr="006F393A">
              <w:rPr>
                <w:rFonts w:ascii="Arial Narrow" w:hAnsi="Arial Narrow"/>
                <w:snapToGrid/>
                <w:sz w:val="20"/>
                <w:lang w:eastAsia="en-AU"/>
              </w:rPr>
              <w:t xml:space="preserve">for every 100 patients treated with </w:t>
            </w:r>
            <w:proofErr w:type="spellStart"/>
            <w:r w:rsidRPr="006F393A">
              <w:rPr>
                <w:rFonts w:ascii="Arial Narrow" w:hAnsi="Arial Narrow"/>
                <w:snapToGrid/>
                <w:sz w:val="20"/>
                <w:lang w:eastAsia="en-AU"/>
              </w:rPr>
              <w:t>Viekira</w:t>
            </w:r>
            <w:proofErr w:type="spellEnd"/>
            <w:r w:rsidRPr="006F393A">
              <w:rPr>
                <w:rFonts w:ascii="Arial Narrow" w:hAnsi="Arial Narrow"/>
                <w:snapToGrid/>
                <w:sz w:val="20"/>
                <w:lang w:eastAsia="en-AU"/>
              </w:rPr>
              <w:t xml:space="preserve"> PAK for 12 weeks in comparison to receiving </w:t>
            </w:r>
            <w:r w:rsidRPr="006F393A">
              <w:rPr>
                <w:rFonts w:ascii="Arial Narrow" w:hAnsi="Arial Narrow"/>
                <w:snapToGrid/>
                <w:sz w:val="20"/>
                <w:u w:val="single"/>
                <w:lang w:eastAsia="en-AU"/>
              </w:rPr>
              <w:t>no treatment</w:t>
            </w:r>
          </w:p>
        </w:tc>
        <w:tc>
          <w:tcPr>
            <w:tcW w:w="3925" w:type="dxa"/>
          </w:tcPr>
          <w:p w:rsidR="00BF36DD" w:rsidRPr="006F393A" w:rsidRDefault="00BF36DD" w:rsidP="00997EDA">
            <w:pPr>
              <w:widowControl/>
              <w:numPr>
                <w:ilvl w:val="0"/>
                <w:numId w:val="2"/>
              </w:numPr>
              <w:ind w:left="218" w:hanging="142"/>
              <w:contextualSpacing/>
              <w:jc w:val="left"/>
              <w:rPr>
                <w:rFonts w:ascii="Arial Narrow" w:hAnsi="Arial Narrow"/>
                <w:snapToGrid/>
                <w:sz w:val="20"/>
                <w:lang w:eastAsia="en-AU"/>
              </w:rPr>
            </w:pPr>
            <w:r w:rsidRPr="006F393A">
              <w:rPr>
                <w:rFonts w:ascii="Arial Narrow" w:hAnsi="Arial Narrow"/>
                <w:snapToGrid/>
                <w:sz w:val="20"/>
                <w:lang w:eastAsia="en-AU"/>
              </w:rPr>
              <w:t>Approximately 99 additional patients would be expected to achieve an SVR; and</w:t>
            </w:r>
          </w:p>
          <w:p w:rsidR="00BF36DD" w:rsidRPr="006F393A" w:rsidRDefault="00BF36DD" w:rsidP="00997EDA">
            <w:pPr>
              <w:widowControl/>
              <w:numPr>
                <w:ilvl w:val="0"/>
                <w:numId w:val="2"/>
              </w:numPr>
              <w:ind w:left="218" w:hanging="142"/>
              <w:contextualSpacing/>
              <w:jc w:val="left"/>
              <w:rPr>
                <w:rFonts w:ascii="Arial Narrow" w:hAnsi="Arial Narrow"/>
                <w:snapToGrid/>
                <w:sz w:val="20"/>
                <w:lang w:eastAsia="en-AU"/>
              </w:rPr>
            </w:pPr>
            <w:r w:rsidRPr="006F393A">
              <w:rPr>
                <w:rFonts w:ascii="Arial Narrow" w:hAnsi="Arial Narrow"/>
                <w:snapToGrid/>
                <w:sz w:val="20"/>
                <w:lang w:eastAsia="en-AU"/>
              </w:rPr>
              <w:t>Approximately 1 additional patient would experience a serious adverse event.</w:t>
            </w:r>
          </w:p>
        </w:tc>
      </w:tr>
      <w:tr w:rsidR="00BF36DD" w:rsidRPr="006F393A" w:rsidTr="004A0D51">
        <w:trPr>
          <w:trHeight w:val="408"/>
        </w:trPr>
        <w:tc>
          <w:tcPr>
            <w:tcW w:w="962" w:type="dxa"/>
            <w:gridSpan w:val="2"/>
            <w:vMerge w:val="restart"/>
          </w:tcPr>
          <w:p w:rsidR="00BF36DD" w:rsidRPr="006F393A" w:rsidRDefault="00BF36DD" w:rsidP="004A0D51">
            <w:pPr>
              <w:keepNext/>
              <w:keepLines/>
              <w:widowControl/>
              <w:spacing w:before="200"/>
              <w:jc w:val="left"/>
              <w:outlineLvl w:val="2"/>
              <w:rPr>
                <w:rFonts w:ascii="Arial Narrow" w:eastAsiaTheme="majorEastAsia" w:hAnsi="Arial Narrow"/>
                <w:b/>
                <w:bCs/>
                <w:snapToGrid/>
                <w:sz w:val="20"/>
                <w:lang w:eastAsia="en-AU"/>
              </w:rPr>
            </w:pPr>
            <w:r w:rsidRPr="006F393A">
              <w:rPr>
                <w:rFonts w:ascii="Arial Narrow" w:eastAsiaTheme="majorEastAsia" w:hAnsi="Arial Narrow"/>
                <w:b/>
                <w:bCs/>
                <w:snapToGrid/>
                <w:sz w:val="20"/>
                <w:lang w:eastAsia="en-AU"/>
              </w:rPr>
              <w:t>Cirrhotic</w:t>
            </w:r>
          </w:p>
        </w:tc>
        <w:tc>
          <w:tcPr>
            <w:tcW w:w="1059" w:type="dxa"/>
          </w:tcPr>
          <w:p w:rsidR="00BF36DD" w:rsidRPr="006F393A" w:rsidRDefault="00BF36DD" w:rsidP="004A0D51">
            <w:pPr>
              <w:keepNext/>
              <w:keepLines/>
              <w:widowControl/>
              <w:spacing w:before="200"/>
              <w:jc w:val="left"/>
              <w:outlineLvl w:val="2"/>
              <w:rPr>
                <w:rFonts w:ascii="Arial Narrow" w:eastAsiaTheme="majorEastAsia" w:hAnsi="Arial Narrow"/>
                <w:b/>
                <w:bCs/>
                <w:snapToGrid/>
                <w:sz w:val="20"/>
                <w:lang w:eastAsia="en-AU"/>
              </w:rPr>
            </w:pPr>
            <w:r w:rsidRPr="006F393A">
              <w:rPr>
                <w:rFonts w:ascii="Arial Narrow" w:eastAsiaTheme="majorEastAsia" w:hAnsi="Arial Narrow"/>
                <w:b/>
                <w:bCs/>
                <w:snapToGrid/>
                <w:sz w:val="20"/>
                <w:lang w:eastAsia="en-AU"/>
              </w:rPr>
              <w:t>GT1a</w:t>
            </w:r>
          </w:p>
        </w:tc>
        <w:tc>
          <w:tcPr>
            <w:tcW w:w="2479" w:type="dxa"/>
          </w:tcPr>
          <w:p w:rsidR="00BF36DD" w:rsidRPr="006F393A" w:rsidRDefault="00BF36DD" w:rsidP="004A0D51">
            <w:pPr>
              <w:widowControl/>
              <w:rPr>
                <w:rFonts w:ascii="Arial Narrow" w:hAnsi="Arial Narrow"/>
                <w:snapToGrid/>
                <w:sz w:val="20"/>
                <w:lang w:eastAsia="en-AU"/>
              </w:rPr>
            </w:pPr>
            <w:r w:rsidRPr="006F393A">
              <w:rPr>
                <w:rFonts w:ascii="Arial Narrow" w:hAnsi="Arial Narrow"/>
                <w:snapToGrid/>
                <w:sz w:val="20"/>
                <w:lang w:eastAsia="en-AU"/>
              </w:rPr>
              <w:t xml:space="preserve">for every 100 patients treated with </w:t>
            </w:r>
            <w:proofErr w:type="spellStart"/>
            <w:r w:rsidRPr="006F393A">
              <w:rPr>
                <w:rFonts w:ascii="Arial Narrow" w:hAnsi="Arial Narrow"/>
                <w:snapToGrid/>
                <w:sz w:val="20"/>
                <w:lang w:eastAsia="en-AU"/>
              </w:rPr>
              <w:t>Viekira</w:t>
            </w:r>
            <w:proofErr w:type="spellEnd"/>
            <w:r w:rsidRPr="006F393A">
              <w:rPr>
                <w:rFonts w:ascii="Arial Narrow" w:hAnsi="Arial Narrow"/>
                <w:snapToGrid/>
                <w:sz w:val="20"/>
                <w:lang w:eastAsia="en-AU"/>
              </w:rPr>
              <w:t xml:space="preserve"> PAK-RBV for 12 weeks in comparison to receiving </w:t>
            </w:r>
            <w:r w:rsidRPr="006F393A">
              <w:rPr>
                <w:rFonts w:ascii="Arial Narrow" w:hAnsi="Arial Narrow"/>
                <w:snapToGrid/>
                <w:sz w:val="20"/>
                <w:u w:val="single"/>
                <w:lang w:eastAsia="en-AU"/>
              </w:rPr>
              <w:t>no treatment</w:t>
            </w:r>
          </w:p>
        </w:tc>
        <w:tc>
          <w:tcPr>
            <w:tcW w:w="3925" w:type="dxa"/>
          </w:tcPr>
          <w:p w:rsidR="00BF36DD" w:rsidRPr="006F393A" w:rsidRDefault="00BF36DD" w:rsidP="00997EDA">
            <w:pPr>
              <w:widowControl/>
              <w:numPr>
                <w:ilvl w:val="0"/>
                <w:numId w:val="2"/>
              </w:numPr>
              <w:ind w:left="218" w:hanging="142"/>
              <w:contextualSpacing/>
              <w:jc w:val="left"/>
              <w:rPr>
                <w:rFonts w:ascii="Arial Narrow" w:hAnsi="Arial Narrow"/>
                <w:snapToGrid/>
                <w:sz w:val="20"/>
                <w:lang w:eastAsia="en-AU"/>
              </w:rPr>
            </w:pPr>
            <w:r w:rsidRPr="006F393A">
              <w:rPr>
                <w:rFonts w:ascii="Arial Narrow" w:hAnsi="Arial Narrow"/>
                <w:snapToGrid/>
                <w:sz w:val="20"/>
                <w:lang w:eastAsia="en-AU"/>
              </w:rPr>
              <w:t xml:space="preserve">Approximately 93 additional patients would be expected to achieve SVR; and </w:t>
            </w:r>
          </w:p>
          <w:p w:rsidR="00BF36DD" w:rsidRPr="006F393A" w:rsidRDefault="00BF36DD" w:rsidP="00997EDA">
            <w:pPr>
              <w:widowControl/>
              <w:numPr>
                <w:ilvl w:val="0"/>
                <w:numId w:val="2"/>
              </w:numPr>
              <w:ind w:left="218" w:hanging="142"/>
              <w:contextualSpacing/>
              <w:jc w:val="left"/>
              <w:rPr>
                <w:rFonts w:ascii="Arial Narrow" w:hAnsi="Arial Narrow"/>
                <w:snapToGrid/>
                <w:sz w:val="20"/>
                <w:lang w:eastAsia="en-AU"/>
              </w:rPr>
            </w:pPr>
            <w:r w:rsidRPr="006F393A">
              <w:rPr>
                <w:rFonts w:ascii="Arial Narrow" w:hAnsi="Arial Narrow"/>
                <w:snapToGrid/>
                <w:sz w:val="20"/>
                <w:lang w:eastAsia="en-AU"/>
              </w:rPr>
              <w:t>Approximately 2 additional patients would experience a serious adverse event.</w:t>
            </w:r>
          </w:p>
        </w:tc>
      </w:tr>
      <w:tr w:rsidR="00BF36DD" w:rsidRPr="006F393A" w:rsidTr="004A0D51">
        <w:trPr>
          <w:trHeight w:val="408"/>
        </w:trPr>
        <w:tc>
          <w:tcPr>
            <w:tcW w:w="962" w:type="dxa"/>
            <w:gridSpan w:val="2"/>
            <w:vMerge/>
          </w:tcPr>
          <w:p w:rsidR="00BF36DD" w:rsidRPr="006F393A" w:rsidRDefault="00BF36DD" w:rsidP="004A0D51">
            <w:pPr>
              <w:keepNext/>
              <w:keepLines/>
              <w:widowControl/>
              <w:spacing w:before="200"/>
              <w:jc w:val="left"/>
              <w:outlineLvl w:val="2"/>
              <w:rPr>
                <w:rFonts w:ascii="Arial Narrow" w:eastAsiaTheme="majorEastAsia" w:hAnsi="Arial Narrow"/>
                <w:b/>
                <w:bCs/>
                <w:snapToGrid/>
                <w:sz w:val="20"/>
                <w:lang w:eastAsia="en-AU"/>
              </w:rPr>
            </w:pPr>
          </w:p>
        </w:tc>
        <w:tc>
          <w:tcPr>
            <w:tcW w:w="1059" w:type="dxa"/>
          </w:tcPr>
          <w:p w:rsidR="00BF36DD" w:rsidRPr="006F393A" w:rsidRDefault="00BF36DD" w:rsidP="004A0D51">
            <w:pPr>
              <w:keepNext/>
              <w:keepLines/>
              <w:widowControl/>
              <w:spacing w:before="200"/>
              <w:jc w:val="left"/>
              <w:outlineLvl w:val="2"/>
              <w:rPr>
                <w:rFonts w:ascii="Arial Narrow" w:eastAsiaTheme="majorEastAsia" w:hAnsi="Arial Narrow"/>
                <w:b/>
                <w:bCs/>
                <w:snapToGrid/>
                <w:sz w:val="20"/>
                <w:lang w:eastAsia="en-AU"/>
              </w:rPr>
            </w:pPr>
            <w:r w:rsidRPr="006F393A">
              <w:rPr>
                <w:rFonts w:ascii="Arial Narrow" w:eastAsiaTheme="majorEastAsia" w:hAnsi="Arial Narrow"/>
                <w:b/>
                <w:bCs/>
                <w:snapToGrid/>
                <w:sz w:val="20"/>
                <w:lang w:eastAsia="en-AU"/>
              </w:rPr>
              <w:t>GT1b</w:t>
            </w:r>
          </w:p>
        </w:tc>
        <w:tc>
          <w:tcPr>
            <w:tcW w:w="2479" w:type="dxa"/>
          </w:tcPr>
          <w:p w:rsidR="00BF36DD" w:rsidRPr="006F393A" w:rsidRDefault="00BF36DD" w:rsidP="004A0D51">
            <w:pPr>
              <w:widowControl/>
              <w:rPr>
                <w:rFonts w:ascii="Arial Narrow" w:hAnsi="Arial Narrow"/>
                <w:snapToGrid/>
                <w:sz w:val="20"/>
                <w:lang w:eastAsia="en-AU"/>
              </w:rPr>
            </w:pPr>
            <w:r w:rsidRPr="006F393A">
              <w:rPr>
                <w:rFonts w:ascii="Arial Narrow" w:hAnsi="Arial Narrow"/>
                <w:snapToGrid/>
                <w:sz w:val="20"/>
                <w:lang w:eastAsia="en-AU"/>
              </w:rPr>
              <w:t xml:space="preserve">for every 100 patients treated with </w:t>
            </w:r>
            <w:proofErr w:type="spellStart"/>
            <w:r w:rsidRPr="006F393A">
              <w:rPr>
                <w:rFonts w:ascii="Arial Narrow" w:hAnsi="Arial Narrow"/>
                <w:snapToGrid/>
                <w:sz w:val="20"/>
                <w:lang w:eastAsia="en-AU"/>
              </w:rPr>
              <w:t>Viekira</w:t>
            </w:r>
            <w:proofErr w:type="spellEnd"/>
            <w:r w:rsidRPr="006F393A">
              <w:rPr>
                <w:rFonts w:ascii="Arial Narrow" w:hAnsi="Arial Narrow"/>
                <w:snapToGrid/>
                <w:sz w:val="20"/>
                <w:lang w:eastAsia="en-AU"/>
              </w:rPr>
              <w:t xml:space="preserve"> PAK-RBV for 12 weeks in comparison to receiving </w:t>
            </w:r>
            <w:r w:rsidRPr="006F393A">
              <w:rPr>
                <w:rFonts w:ascii="Arial Narrow" w:hAnsi="Arial Narrow"/>
                <w:snapToGrid/>
                <w:sz w:val="20"/>
                <w:u w:val="single"/>
                <w:lang w:eastAsia="en-AU"/>
              </w:rPr>
              <w:t>no treatment</w:t>
            </w:r>
          </w:p>
        </w:tc>
        <w:tc>
          <w:tcPr>
            <w:tcW w:w="3925" w:type="dxa"/>
          </w:tcPr>
          <w:p w:rsidR="00BF36DD" w:rsidRPr="006F393A" w:rsidRDefault="00BF36DD" w:rsidP="00997EDA">
            <w:pPr>
              <w:widowControl/>
              <w:numPr>
                <w:ilvl w:val="0"/>
                <w:numId w:val="2"/>
              </w:numPr>
              <w:ind w:left="218" w:hanging="142"/>
              <w:contextualSpacing/>
              <w:jc w:val="left"/>
              <w:rPr>
                <w:rFonts w:ascii="Arial Narrow" w:hAnsi="Arial Narrow"/>
                <w:snapToGrid/>
                <w:sz w:val="20"/>
                <w:lang w:eastAsia="en-AU"/>
              </w:rPr>
            </w:pPr>
            <w:r w:rsidRPr="006F393A">
              <w:rPr>
                <w:rFonts w:ascii="Arial Narrow" w:hAnsi="Arial Narrow"/>
                <w:snapToGrid/>
                <w:sz w:val="20"/>
                <w:lang w:eastAsia="en-AU"/>
              </w:rPr>
              <w:t xml:space="preserve">Approximately 100 additional patients would be expected to achieve SVR; and </w:t>
            </w:r>
          </w:p>
          <w:p w:rsidR="00BF36DD" w:rsidRPr="006F393A" w:rsidRDefault="00BF36DD" w:rsidP="00997EDA">
            <w:pPr>
              <w:widowControl/>
              <w:numPr>
                <w:ilvl w:val="0"/>
                <w:numId w:val="2"/>
              </w:numPr>
              <w:ind w:left="218" w:hanging="142"/>
              <w:contextualSpacing/>
              <w:jc w:val="left"/>
              <w:rPr>
                <w:rFonts w:ascii="Arial Narrow" w:hAnsi="Arial Narrow"/>
                <w:snapToGrid/>
                <w:sz w:val="20"/>
                <w:lang w:eastAsia="en-AU"/>
              </w:rPr>
            </w:pPr>
            <w:r w:rsidRPr="006F393A">
              <w:rPr>
                <w:rFonts w:ascii="Arial Narrow" w:hAnsi="Arial Narrow"/>
                <w:snapToGrid/>
                <w:sz w:val="20"/>
                <w:lang w:eastAsia="en-AU"/>
              </w:rPr>
              <w:t>Approximately 2 additional patients would experience a serious adverse event.</w:t>
            </w:r>
          </w:p>
        </w:tc>
      </w:tr>
      <w:tr w:rsidR="00E70436" w:rsidRPr="006F393A" w:rsidTr="004A0D51">
        <w:tc>
          <w:tcPr>
            <w:tcW w:w="8425" w:type="dxa"/>
            <w:gridSpan w:val="5"/>
          </w:tcPr>
          <w:p w:rsidR="00E70436" w:rsidRPr="006F393A" w:rsidRDefault="00E70436" w:rsidP="004A0D51">
            <w:pPr>
              <w:widowControl/>
              <w:contextualSpacing/>
              <w:jc w:val="left"/>
              <w:rPr>
                <w:rFonts w:ascii="Arial Narrow" w:hAnsi="Arial Narrow"/>
                <w:snapToGrid/>
                <w:sz w:val="20"/>
                <w:lang w:eastAsia="en-AU"/>
              </w:rPr>
            </w:pPr>
            <w:r w:rsidRPr="006F393A">
              <w:rPr>
                <w:rFonts w:ascii="Arial Narrow" w:hAnsi="Arial Narrow"/>
                <w:b/>
                <w:snapToGrid/>
                <w:sz w:val="20"/>
                <w:lang w:eastAsia="en-AU"/>
              </w:rPr>
              <w:t>Treatment-experienced</w:t>
            </w:r>
          </w:p>
        </w:tc>
      </w:tr>
      <w:tr w:rsidR="00BF36DD" w:rsidRPr="006F393A" w:rsidTr="004A0D51">
        <w:trPr>
          <w:trHeight w:val="307"/>
        </w:trPr>
        <w:tc>
          <w:tcPr>
            <w:tcW w:w="900" w:type="dxa"/>
            <w:vMerge w:val="restart"/>
          </w:tcPr>
          <w:p w:rsidR="00BF36DD" w:rsidRPr="006F393A" w:rsidRDefault="00BF36DD" w:rsidP="004A0D51">
            <w:pPr>
              <w:keepNext/>
              <w:keepLines/>
              <w:widowControl/>
              <w:spacing w:before="200"/>
              <w:jc w:val="left"/>
              <w:outlineLvl w:val="2"/>
              <w:rPr>
                <w:rFonts w:ascii="Arial Narrow" w:hAnsi="Arial Narrow"/>
                <w:b/>
                <w:snapToGrid/>
                <w:sz w:val="20"/>
                <w:lang w:eastAsia="en-AU"/>
              </w:rPr>
            </w:pPr>
            <w:r w:rsidRPr="006F393A">
              <w:rPr>
                <w:rFonts w:ascii="Arial Narrow" w:hAnsi="Arial Narrow"/>
                <w:b/>
                <w:snapToGrid/>
                <w:sz w:val="20"/>
                <w:lang w:eastAsia="en-AU"/>
              </w:rPr>
              <w:t>Non-cirrhotic</w:t>
            </w:r>
          </w:p>
        </w:tc>
        <w:tc>
          <w:tcPr>
            <w:tcW w:w="1121" w:type="dxa"/>
            <w:gridSpan w:val="2"/>
          </w:tcPr>
          <w:p w:rsidR="00BF36DD" w:rsidRPr="006F393A" w:rsidRDefault="00BF36DD" w:rsidP="004A0D51">
            <w:pPr>
              <w:keepNext/>
              <w:keepLines/>
              <w:widowControl/>
              <w:spacing w:before="200"/>
              <w:jc w:val="left"/>
              <w:outlineLvl w:val="2"/>
              <w:rPr>
                <w:rFonts w:ascii="Arial Narrow" w:hAnsi="Arial Narrow"/>
                <w:b/>
                <w:snapToGrid/>
                <w:sz w:val="20"/>
                <w:lang w:eastAsia="en-AU"/>
              </w:rPr>
            </w:pPr>
            <w:r w:rsidRPr="006F393A">
              <w:rPr>
                <w:rFonts w:ascii="Arial Narrow" w:hAnsi="Arial Narrow"/>
                <w:b/>
                <w:snapToGrid/>
                <w:sz w:val="20"/>
                <w:lang w:eastAsia="en-AU"/>
              </w:rPr>
              <w:t>GT1a</w:t>
            </w:r>
          </w:p>
        </w:tc>
        <w:tc>
          <w:tcPr>
            <w:tcW w:w="2479" w:type="dxa"/>
          </w:tcPr>
          <w:p w:rsidR="00BF36DD" w:rsidRPr="006F393A" w:rsidRDefault="00BF36DD" w:rsidP="004A0D51">
            <w:pPr>
              <w:widowControl/>
              <w:rPr>
                <w:rFonts w:ascii="Arial Narrow" w:hAnsi="Arial Narrow"/>
                <w:snapToGrid/>
                <w:sz w:val="20"/>
                <w:lang w:eastAsia="en-AU"/>
              </w:rPr>
            </w:pPr>
            <w:r w:rsidRPr="006F393A">
              <w:rPr>
                <w:rFonts w:ascii="Arial Narrow" w:hAnsi="Arial Narrow"/>
                <w:snapToGrid/>
                <w:sz w:val="20"/>
                <w:lang w:eastAsia="en-AU"/>
              </w:rPr>
              <w:t xml:space="preserve">for every 100 patients treated with </w:t>
            </w:r>
            <w:proofErr w:type="spellStart"/>
            <w:r w:rsidRPr="006F393A">
              <w:rPr>
                <w:rFonts w:ascii="Arial Narrow" w:hAnsi="Arial Narrow"/>
                <w:snapToGrid/>
                <w:sz w:val="20"/>
                <w:lang w:eastAsia="en-AU"/>
              </w:rPr>
              <w:t>Viekira</w:t>
            </w:r>
            <w:proofErr w:type="spellEnd"/>
            <w:r w:rsidRPr="006F393A">
              <w:rPr>
                <w:rFonts w:ascii="Arial Narrow" w:hAnsi="Arial Narrow"/>
                <w:snapToGrid/>
                <w:sz w:val="20"/>
                <w:lang w:eastAsia="en-AU"/>
              </w:rPr>
              <w:t xml:space="preserve"> PAK-RBV for 12 weeks in comparison to receiving </w:t>
            </w:r>
            <w:r w:rsidRPr="006F393A">
              <w:rPr>
                <w:rFonts w:ascii="Arial Narrow" w:hAnsi="Arial Narrow"/>
                <w:snapToGrid/>
                <w:sz w:val="20"/>
                <w:u w:val="single"/>
                <w:lang w:eastAsia="en-AU"/>
              </w:rPr>
              <w:t>no treatment</w:t>
            </w:r>
          </w:p>
        </w:tc>
        <w:tc>
          <w:tcPr>
            <w:tcW w:w="3925" w:type="dxa"/>
          </w:tcPr>
          <w:p w:rsidR="00BF36DD" w:rsidRPr="006F393A" w:rsidRDefault="00BF36DD" w:rsidP="00997EDA">
            <w:pPr>
              <w:widowControl/>
              <w:numPr>
                <w:ilvl w:val="0"/>
                <w:numId w:val="2"/>
              </w:numPr>
              <w:ind w:left="218" w:hanging="142"/>
              <w:contextualSpacing/>
              <w:jc w:val="left"/>
              <w:rPr>
                <w:rFonts w:ascii="Arial Narrow" w:hAnsi="Arial Narrow"/>
                <w:snapToGrid/>
                <w:sz w:val="20"/>
                <w:lang w:eastAsia="en-AU"/>
              </w:rPr>
            </w:pPr>
            <w:r w:rsidRPr="006F393A">
              <w:rPr>
                <w:rFonts w:ascii="Arial Narrow" w:hAnsi="Arial Narrow"/>
                <w:snapToGrid/>
                <w:sz w:val="20"/>
                <w:lang w:eastAsia="en-AU"/>
              </w:rPr>
              <w:t>Approximately 95 additional patients would be expected to achieve an SVR, and</w:t>
            </w:r>
          </w:p>
          <w:p w:rsidR="00BF36DD" w:rsidRPr="006F393A" w:rsidRDefault="00BF36DD" w:rsidP="00997EDA">
            <w:pPr>
              <w:widowControl/>
              <w:numPr>
                <w:ilvl w:val="0"/>
                <w:numId w:val="2"/>
              </w:numPr>
              <w:ind w:left="218" w:hanging="142"/>
              <w:contextualSpacing/>
              <w:jc w:val="left"/>
              <w:rPr>
                <w:rFonts w:ascii="Arial Narrow" w:hAnsi="Arial Narrow"/>
                <w:snapToGrid/>
                <w:sz w:val="20"/>
                <w:lang w:eastAsia="en-AU"/>
              </w:rPr>
            </w:pPr>
            <w:r w:rsidRPr="006F393A">
              <w:rPr>
                <w:rFonts w:ascii="Arial Narrow" w:hAnsi="Arial Narrow"/>
                <w:snapToGrid/>
                <w:sz w:val="20"/>
                <w:lang w:eastAsia="en-AU"/>
              </w:rPr>
              <w:t>Approximately 2 additional patients would experience a serious adverse event.</w:t>
            </w:r>
          </w:p>
        </w:tc>
      </w:tr>
      <w:tr w:rsidR="00BF36DD" w:rsidRPr="006F393A" w:rsidTr="004A0D51">
        <w:trPr>
          <w:trHeight w:val="307"/>
        </w:trPr>
        <w:tc>
          <w:tcPr>
            <w:tcW w:w="900" w:type="dxa"/>
            <w:vMerge/>
          </w:tcPr>
          <w:p w:rsidR="00BF36DD" w:rsidRPr="006F393A" w:rsidRDefault="00BF36DD" w:rsidP="004A0D51">
            <w:pPr>
              <w:keepNext/>
              <w:keepLines/>
              <w:widowControl/>
              <w:spacing w:before="200"/>
              <w:jc w:val="left"/>
              <w:outlineLvl w:val="2"/>
              <w:rPr>
                <w:rFonts w:ascii="Arial Narrow" w:hAnsi="Arial Narrow"/>
                <w:b/>
                <w:snapToGrid/>
                <w:sz w:val="20"/>
                <w:lang w:eastAsia="en-AU"/>
              </w:rPr>
            </w:pPr>
          </w:p>
        </w:tc>
        <w:tc>
          <w:tcPr>
            <w:tcW w:w="1121" w:type="dxa"/>
            <w:gridSpan w:val="2"/>
          </w:tcPr>
          <w:p w:rsidR="00BF36DD" w:rsidRPr="006F393A" w:rsidRDefault="00BF36DD" w:rsidP="004A0D51">
            <w:pPr>
              <w:keepNext/>
              <w:keepLines/>
              <w:widowControl/>
              <w:spacing w:before="200"/>
              <w:jc w:val="left"/>
              <w:outlineLvl w:val="2"/>
              <w:rPr>
                <w:rFonts w:ascii="Arial Narrow" w:hAnsi="Arial Narrow"/>
                <w:b/>
                <w:snapToGrid/>
                <w:sz w:val="20"/>
                <w:lang w:eastAsia="en-AU"/>
              </w:rPr>
            </w:pPr>
            <w:r w:rsidRPr="006F393A">
              <w:rPr>
                <w:rFonts w:ascii="Arial Narrow" w:hAnsi="Arial Narrow"/>
                <w:b/>
                <w:snapToGrid/>
                <w:sz w:val="20"/>
                <w:lang w:eastAsia="en-AU"/>
              </w:rPr>
              <w:t>GT1b</w:t>
            </w:r>
          </w:p>
        </w:tc>
        <w:tc>
          <w:tcPr>
            <w:tcW w:w="2479" w:type="dxa"/>
          </w:tcPr>
          <w:p w:rsidR="00BF36DD" w:rsidRPr="006F393A" w:rsidRDefault="00BF36DD" w:rsidP="004A0D51">
            <w:pPr>
              <w:widowControl/>
              <w:jc w:val="left"/>
              <w:rPr>
                <w:rFonts w:ascii="Arial Narrow" w:hAnsi="Arial Narrow"/>
                <w:snapToGrid/>
                <w:sz w:val="20"/>
                <w:lang w:eastAsia="en-AU"/>
              </w:rPr>
            </w:pPr>
            <w:r w:rsidRPr="006F393A">
              <w:rPr>
                <w:rFonts w:ascii="Arial Narrow" w:hAnsi="Arial Narrow"/>
                <w:snapToGrid/>
                <w:sz w:val="20"/>
                <w:lang w:eastAsia="en-AU"/>
              </w:rPr>
              <w:t xml:space="preserve">for every 100 patients treated with </w:t>
            </w:r>
            <w:proofErr w:type="spellStart"/>
            <w:r w:rsidRPr="006F393A">
              <w:rPr>
                <w:rFonts w:ascii="Arial Narrow" w:hAnsi="Arial Narrow"/>
                <w:snapToGrid/>
                <w:sz w:val="20"/>
                <w:lang w:eastAsia="en-AU"/>
              </w:rPr>
              <w:t>Viekira</w:t>
            </w:r>
            <w:proofErr w:type="spellEnd"/>
            <w:r w:rsidRPr="006F393A">
              <w:rPr>
                <w:rFonts w:ascii="Arial Narrow" w:hAnsi="Arial Narrow"/>
                <w:snapToGrid/>
                <w:sz w:val="20"/>
                <w:lang w:eastAsia="en-AU"/>
              </w:rPr>
              <w:t xml:space="preserve"> PAK for 12 weeks in comparison to receiving </w:t>
            </w:r>
            <w:r w:rsidRPr="006F393A">
              <w:rPr>
                <w:rFonts w:ascii="Arial Narrow" w:hAnsi="Arial Narrow"/>
                <w:snapToGrid/>
                <w:sz w:val="20"/>
                <w:u w:val="single"/>
                <w:lang w:eastAsia="en-AU"/>
              </w:rPr>
              <w:t>no treatment</w:t>
            </w:r>
          </w:p>
        </w:tc>
        <w:tc>
          <w:tcPr>
            <w:tcW w:w="3925" w:type="dxa"/>
          </w:tcPr>
          <w:p w:rsidR="00BF36DD" w:rsidRPr="006F393A" w:rsidRDefault="00BF36DD" w:rsidP="00997EDA">
            <w:pPr>
              <w:widowControl/>
              <w:numPr>
                <w:ilvl w:val="0"/>
                <w:numId w:val="2"/>
              </w:numPr>
              <w:ind w:left="218" w:hanging="142"/>
              <w:contextualSpacing/>
              <w:jc w:val="left"/>
              <w:rPr>
                <w:rFonts w:ascii="Arial Narrow" w:hAnsi="Arial Narrow"/>
                <w:snapToGrid/>
                <w:sz w:val="20"/>
                <w:lang w:eastAsia="en-AU"/>
              </w:rPr>
            </w:pPr>
            <w:r w:rsidRPr="006F393A">
              <w:rPr>
                <w:rFonts w:ascii="Arial Narrow" w:hAnsi="Arial Narrow"/>
                <w:snapToGrid/>
                <w:sz w:val="20"/>
                <w:lang w:eastAsia="en-AU"/>
              </w:rPr>
              <w:t>Approximately 100 additional patients would be expected to achieve an SVR, and</w:t>
            </w:r>
          </w:p>
          <w:p w:rsidR="00BF36DD" w:rsidRPr="006F393A" w:rsidRDefault="00BF36DD" w:rsidP="00997EDA">
            <w:pPr>
              <w:widowControl/>
              <w:numPr>
                <w:ilvl w:val="0"/>
                <w:numId w:val="2"/>
              </w:numPr>
              <w:ind w:left="218" w:hanging="142"/>
              <w:contextualSpacing/>
              <w:jc w:val="left"/>
              <w:rPr>
                <w:rFonts w:ascii="Arial Narrow" w:hAnsi="Arial Narrow"/>
                <w:snapToGrid/>
                <w:sz w:val="20"/>
                <w:lang w:eastAsia="en-AU"/>
              </w:rPr>
            </w:pPr>
            <w:r w:rsidRPr="006F393A">
              <w:rPr>
                <w:rFonts w:ascii="Arial Narrow" w:hAnsi="Arial Narrow"/>
                <w:snapToGrid/>
                <w:sz w:val="20"/>
                <w:lang w:eastAsia="en-AU"/>
              </w:rPr>
              <w:t>Approximately 1 additional patient would experience a serious adverse event.</w:t>
            </w:r>
          </w:p>
        </w:tc>
      </w:tr>
      <w:tr w:rsidR="00BF36DD" w:rsidRPr="006F393A" w:rsidTr="004A0D51">
        <w:trPr>
          <w:trHeight w:val="146"/>
        </w:trPr>
        <w:tc>
          <w:tcPr>
            <w:tcW w:w="900" w:type="dxa"/>
            <w:vMerge w:val="restart"/>
          </w:tcPr>
          <w:p w:rsidR="00BF36DD" w:rsidRPr="006F393A" w:rsidRDefault="00BF36DD" w:rsidP="004A0D51">
            <w:pPr>
              <w:keepNext/>
              <w:keepLines/>
              <w:widowControl/>
              <w:spacing w:before="200"/>
              <w:jc w:val="left"/>
              <w:outlineLvl w:val="2"/>
              <w:rPr>
                <w:rFonts w:ascii="Arial Narrow" w:hAnsi="Arial Narrow"/>
                <w:b/>
                <w:snapToGrid/>
                <w:sz w:val="20"/>
                <w:lang w:eastAsia="en-AU"/>
              </w:rPr>
            </w:pPr>
            <w:r w:rsidRPr="006F393A">
              <w:rPr>
                <w:rFonts w:ascii="Arial Narrow" w:hAnsi="Arial Narrow"/>
                <w:b/>
                <w:snapToGrid/>
                <w:sz w:val="20"/>
                <w:lang w:eastAsia="en-AU"/>
              </w:rPr>
              <w:t>Cirrhotic</w:t>
            </w:r>
          </w:p>
        </w:tc>
        <w:tc>
          <w:tcPr>
            <w:tcW w:w="1121" w:type="dxa"/>
            <w:gridSpan w:val="2"/>
          </w:tcPr>
          <w:p w:rsidR="00BF36DD" w:rsidRPr="006F393A" w:rsidRDefault="00BF36DD" w:rsidP="004A0D51">
            <w:pPr>
              <w:keepNext/>
              <w:keepLines/>
              <w:widowControl/>
              <w:spacing w:before="200"/>
              <w:jc w:val="left"/>
              <w:outlineLvl w:val="2"/>
              <w:rPr>
                <w:rFonts w:ascii="Arial Narrow" w:hAnsi="Arial Narrow"/>
                <w:b/>
                <w:snapToGrid/>
                <w:sz w:val="20"/>
                <w:lang w:eastAsia="en-AU"/>
              </w:rPr>
            </w:pPr>
            <w:r w:rsidRPr="006F393A">
              <w:rPr>
                <w:rFonts w:ascii="Arial Narrow" w:hAnsi="Arial Narrow"/>
                <w:b/>
                <w:snapToGrid/>
                <w:sz w:val="20"/>
                <w:lang w:eastAsia="en-AU"/>
              </w:rPr>
              <w:t>GT1a*</w:t>
            </w:r>
          </w:p>
        </w:tc>
        <w:tc>
          <w:tcPr>
            <w:tcW w:w="2479" w:type="dxa"/>
          </w:tcPr>
          <w:p w:rsidR="00BF36DD" w:rsidRPr="006F393A" w:rsidRDefault="00BF36DD" w:rsidP="004A0D51">
            <w:pPr>
              <w:widowControl/>
              <w:jc w:val="left"/>
              <w:rPr>
                <w:rFonts w:ascii="Arial Narrow" w:hAnsi="Arial Narrow"/>
                <w:snapToGrid/>
                <w:sz w:val="20"/>
                <w:lang w:eastAsia="en-AU"/>
              </w:rPr>
            </w:pPr>
            <w:r w:rsidRPr="006F393A">
              <w:rPr>
                <w:rFonts w:ascii="Arial Narrow" w:hAnsi="Arial Narrow"/>
                <w:snapToGrid/>
                <w:sz w:val="20"/>
                <w:lang w:eastAsia="en-AU"/>
              </w:rPr>
              <w:t xml:space="preserve">for every 100 patients treated with </w:t>
            </w:r>
            <w:proofErr w:type="spellStart"/>
            <w:r w:rsidRPr="006F393A">
              <w:rPr>
                <w:rFonts w:ascii="Arial Narrow" w:hAnsi="Arial Narrow"/>
                <w:snapToGrid/>
                <w:sz w:val="20"/>
                <w:lang w:eastAsia="en-AU"/>
              </w:rPr>
              <w:t>Viekira</w:t>
            </w:r>
            <w:proofErr w:type="spellEnd"/>
            <w:r w:rsidRPr="006F393A">
              <w:rPr>
                <w:rFonts w:ascii="Arial Narrow" w:hAnsi="Arial Narrow"/>
                <w:snapToGrid/>
                <w:sz w:val="20"/>
                <w:lang w:eastAsia="en-AU"/>
              </w:rPr>
              <w:t xml:space="preserve"> PAK-RBV for 12 weeks in comparison to receiving </w:t>
            </w:r>
            <w:r w:rsidRPr="006F393A">
              <w:rPr>
                <w:rFonts w:ascii="Arial Narrow" w:hAnsi="Arial Narrow"/>
                <w:snapToGrid/>
                <w:sz w:val="20"/>
                <w:u w:val="single"/>
                <w:lang w:eastAsia="en-AU"/>
              </w:rPr>
              <w:t>no treatment</w:t>
            </w:r>
          </w:p>
        </w:tc>
        <w:tc>
          <w:tcPr>
            <w:tcW w:w="3925" w:type="dxa"/>
          </w:tcPr>
          <w:p w:rsidR="00BF36DD" w:rsidRPr="006F393A" w:rsidRDefault="00BF36DD" w:rsidP="00997EDA">
            <w:pPr>
              <w:widowControl/>
              <w:numPr>
                <w:ilvl w:val="0"/>
                <w:numId w:val="2"/>
              </w:numPr>
              <w:ind w:left="218" w:hanging="142"/>
              <w:contextualSpacing/>
              <w:jc w:val="left"/>
              <w:rPr>
                <w:rFonts w:ascii="Arial Narrow" w:hAnsi="Arial Narrow"/>
                <w:snapToGrid/>
                <w:sz w:val="20"/>
                <w:lang w:eastAsia="en-AU"/>
              </w:rPr>
            </w:pPr>
            <w:r w:rsidRPr="006F393A">
              <w:rPr>
                <w:rFonts w:ascii="Arial Narrow" w:hAnsi="Arial Narrow"/>
                <w:snapToGrid/>
                <w:sz w:val="20"/>
                <w:lang w:eastAsia="en-AU"/>
              </w:rPr>
              <w:t>Approximately 96 additional patients would be expected to achieve an SVR, and</w:t>
            </w:r>
          </w:p>
          <w:p w:rsidR="00BF36DD" w:rsidRPr="006F393A" w:rsidRDefault="00BF36DD" w:rsidP="00997EDA">
            <w:pPr>
              <w:widowControl/>
              <w:numPr>
                <w:ilvl w:val="0"/>
                <w:numId w:val="2"/>
              </w:numPr>
              <w:ind w:left="218" w:hanging="142"/>
              <w:contextualSpacing/>
              <w:jc w:val="left"/>
              <w:rPr>
                <w:rFonts w:ascii="Arial Narrow" w:hAnsi="Arial Narrow"/>
                <w:snapToGrid/>
                <w:sz w:val="20"/>
                <w:lang w:eastAsia="en-AU"/>
              </w:rPr>
            </w:pPr>
            <w:r w:rsidRPr="006F393A">
              <w:rPr>
                <w:rFonts w:ascii="Arial Narrow" w:hAnsi="Arial Narrow"/>
                <w:snapToGrid/>
                <w:sz w:val="20"/>
                <w:lang w:eastAsia="en-AU"/>
              </w:rPr>
              <w:t>Approximately 2 additional patients would experience a serious adverse event</w:t>
            </w:r>
          </w:p>
        </w:tc>
      </w:tr>
      <w:tr w:rsidR="00BF36DD" w:rsidRPr="006F393A" w:rsidTr="004A0D51">
        <w:trPr>
          <w:trHeight w:val="146"/>
        </w:trPr>
        <w:tc>
          <w:tcPr>
            <w:tcW w:w="900" w:type="dxa"/>
            <w:vMerge/>
          </w:tcPr>
          <w:p w:rsidR="00BF36DD" w:rsidRPr="006F393A" w:rsidRDefault="00BF36DD" w:rsidP="004A0D51">
            <w:pPr>
              <w:keepNext/>
              <w:keepLines/>
              <w:widowControl/>
              <w:spacing w:before="200"/>
              <w:jc w:val="left"/>
              <w:outlineLvl w:val="2"/>
              <w:rPr>
                <w:rFonts w:ascii="Arial Narrow" w:hAnsi="Arial Narrow"/>
                <w:b/>
                <w:snapToGrid/>
                <w:sz w:val="20"/>
                <w:lang w:eastAsia="en-AU"/>
              </w:rPr>
            </w:pPr>
          </w:p>
        </w:tc>
        <w:tc>
          <w:tcPr>
            <w:tcW w:w="1121" w:type="dxa"/>
            <w:gridSpan w:val="2"/>
          </w:tcPr>
          <w:p w:rsidR="00BF36DD" w:rsidRPr="006F393A" w:rsidRDefault="00BF36DD" w:rsidP="004A0D51">
            <w:pPr>
              <w:keepNext/>
              <w:keepLines/>
              <w:widowControl/>
              <w:spacing w:before="200"/>
              <w:jc w:val="left"/>
              <w:outlineLvl w:val="2"/>
              <w:rPr>
                <w:rFonts w:ascii="Arial Narrow" w:hAnsi="Arial Narrow"/>
                <w:b/>
                <w:snapToGrid/>
                <w:sz w:val="20"/>
                <w:lang w:eastAsia="en-AU"/>
              </w:rPr>
            </w:pPr>
            <w:r w:rsidRPr="006F393A">
              <w:rPr>
                <w:rFonts w:ascii="Arial Narrow" w:hAnsi="Arial Narrow"/>
                <w:b/>
                <w:snapToGrid/>
                <w:sz w:val="20"/>
                <w:lang w:eastAsia="en-AU"/>
              </w:rPr>
              <w:t>GT1b</w:t>
            </w:r>
          </w:p>
        </w:tc>
        <w:tc>
          <w:tcPr>
            <w:tcW w:w="2479" w:type="dxa"/>
          </w:tcPr>
          <w:p w:rsidR="00BF36DD" w:rsidRPr="006F393A" w:rsidRDefault="00BF36DD" w:rsidP="004A0D51">
            <w:pPr>
              <w:widowControl/>
              <w:jc w:val="left"/>
              <w:rPr>
                <w:rFonts w:ascii="Arial Narrow" w:hAnsi="Arial Narrow"/>
                <w:snapToGrid/>
                <w:sz w:val="20"/>
                <w:lang w:eastAsia="en-AU"/>
              </w:rPr>
            </w:pPr>
            <w:r w:rsidRPr="006F393A">
              <w:rPr>
                <w:rFonts w:ascii="Arial Narrow" w:hAnsi="Arial Narrow"/>
                <w:snapToGrid/>
                <w:sz w:val="20"/>
                <w:lang w:eastAsia="en-AU"/>
              </w:rPr>
              <w:t xml:space="preserve">for every 100 patients treated with </w:t>
            </w:r>
            <w:proofErr w:type="spellStart"/>
            <w:r w:rsidRPr="006F393A">
              <w:rPr>
                <w:rFonts w:ascii="Arial Narrow" w:hAnsi="Arial Narrow"/>
                <w:snapToGrid/>
                <w:sz w:val="20"/>
                <w:lang w:eastAsia="en-AU"/>
              </w:rPr>
              <w:t>Viekira</w:t>
            </w:r>
            <w:proofErr w:type="spellEnd"/>
            <w:r w:rsidRPr="006F393A">
              <w:rPr>
                <w:rFonts w:ascii="Arial Narrow" w:hAnsi="Arial Narrow"/>
                <w:snapToGrid/>
                <w:sz w:val="20"/>
                <w:lang w:eastAsia="en-AU"/>
              </w:rPr>
              <w:t xml:space="preserve"> PAK-RBV for 12 weeks in comparison to receiving </w:t>
            </w:r>
            <w:r w:rsidRPr="006F393A">
              <w:rPr>
                <w:rFonts w:ascii="Arial Narrow" w:hAnsi="Arial Narrow"/>
                <w:snapToGrid/>
                <w:sz w:val="20"/>
                <w:u w:val="single"/>
                <w:lang w:eastAsia="en-AU"/>
              </w:rPr>
              <w:t>no treatment</w:t>
            </w:r>
          </w:p>
        </w:tc>
        <w:tc>
          <w:tcPr>
            <w:tcW w:w="3925" w:type="dxa"/>
          </w:tcPr>
          <w:p w:rsidR="00BF36DD" w:rsidRPr="006F393A" w:rsidRDefault="00BF36DD" w:rsidP="00997EDA">
            <w:pPr>
              <w:widowControl/>
              <w:numPr>
                <w:ilvl w:val="0"/>
                <w:numId w:val="2"/>
              </w:numPr>
              <w:ind w:left="218" w:hanging="142"/>
              <w:contextualSpacing/>
              <w:jc w:val="left"/>
              <w:rPr>
                <w:rFonts w:ascii="Arial Narrow" w:hAnsi="Arial Narrow"/>
                <w:snapToGrid/>
                <w:sz w:val="20"/>
                <w:lang w:eastAsia="en-AU"/>
              </w:rPr>
            </w:pPr>
            <w:r w:rsidRPr="006F393A">
              <w:rPr>
                <w:rFonts w:ascii="Arial Narrow" w:hAnsi="Arial Narrow"/>
                <w:snapToGrid/>
                <w:sz w:val="20"/>
                <w:lang w:eastAsia="en-AU"/>
              </w:rPr>
              <w:t>Approximately 98 additional patients would be expected to achieve an SVR, and</w:t>
            </w:r>
          </w:p>
          <w:p w:rsidR="00BF36DD" w:rsidRPr="006F393A" w:rsidRDefault="00BF36DD" w:rsidP="00997EDA">
            <w:pPr>
              <w:widowControl/>
              <w:numPr>
                <w:ilvl w:val="0"/>
                <w:numId w:val="2"/>
              </w:numPr>
              <w:ind w:left="218" w:hanging="142"/>
              <w:contextualSpacing/>
              <w:jc w:val="left"/>
              <w:rPr>
                <w:rFonts w:ascii="Arial Narrow" w:hAnsi="Arial Narrow"/>
                <w:snapToGrid/>
                <w:sz w:val="20"/>
                <w:lang w:eastAsia="en-AU"/>
              </w:rPr>
            </w:pPr>
            <w:r w:rsidRPr="006F393A">
              <w:rPr>
                <w:rFonts w:ascii="Arial Narrow" w:hAnsi="Arial Narrow"/>
                <w:snapToGrid/>
                <w:sz w:val="20"/>
                <w:lang w:eastAsia="en-AU"/>
              </w:rPr>
              <w:t>Approximately 2 additional patients would experience a serious adverse event.</w:t>
            </w:r>
          </w:p>
        </w:tc>
      </w:tr>
      <w:tr w:rsidR="00BF36DD" w:rsidRPr="006F393A" w:rsidTr="004A0D51">
        <w:trPr>
          <w:trHeight w:val="146"/>
        </w:trPr>
        <w:tc>
          <w:tcPr>
            <w:tcW w:w="900" w:type="dxa"/>
            <w:vMerge/>
          </w:tcPr>
          <w:p w:rsidR="00BF36DD" w:rsidRPr="006F393A" w:rsidRDefault="00BF36DD" w:rsidP="004A0D51">
            <w:pPr>
              <w:keepNext/>
              <w:keepLines/>
              <w:widowControl/>
              <w:spacing w:before="200"/>
              <w:jc w:val="left"/>
              <w:outlineLvl w:val="2"/>
              <w:rPr>
                <w:rFonts w:ascii="Arial Narrow" w:hAnsi="Arial Narrow"/>
                <w:b/>
                <w:snapToGrid/>
                <w:sz w:val="20"/>
                <w:lang w:eastAsia="en-AU"/>
              </w:rPr>
            </w:pPr>
          </w:p>
        </w:tc>
        <w:tc>
          <w:tcPr>
            <w:tcW w:w="1121" w:type="dxa"/>
            <w:gridSpan w:val="2"/>
          </w:tcPr>
          <w:p w:rsidR="00BF36DD" w:rsidRPr="006F393A" w:rsidRDefault="00BF36DD" w:rsidP="004A0D51">
            <w:pPr>
              <w:keepNext/>
              <w:keepLines/>
              <w:widowControl/>
              <w:spacing w:before="200"/>
              <w:jc w:val="left"/>
              <w:outlineLvl w:val="2"/>
              <w:rPr>
                <w:rFonts w:ascii="Arial Narrow" w:hAnsi="Arial Narrow"/>
                <w:b/>
                <w:snapToGrid/>
                <w:sz w:val="20"/>
                <w:lang w:eastAsia="en-AU"/>
              </w:rPr>
            </w:pPr>
            <w:r w:rsidRPr="006F393A">
              <w:rPr>
                <w:rFonts w:ascii="Arial Narrow" w:hAnsi="Arial Narrow"/>
                <w:b/>
                <w:snapToGrid/>
                <w:sz w:val="20"/>
                <w:lang w:eastAsia="en-AU"/>
              </w:rPr>
              <w:t>GT1a prior null responders</w:t>
            </w:r>
          </w:p>
        </w:tc>
        <w:tc>
          <w:tcPr>
            <w:tcW w:w="2479" w:type="dxa"/>
          </w:tcPr>
          <w:p w:rsidR="00BF36DD" w:rsidRPr="006F393A" w:rsidRDefault="00BF36DD" w:rsidP="004A0D51">
            <w:pPr>
              <w:widowControl/>
              <w:jc w:val="left"/>
              <w:rPr>
                <w:rFonts w:ascii="Arial Narrow" w:hAnsi="Arial Narrow"/>
                <w:snapToGrid/>
                <w:sz w:val="20"/>
                <w:lang w:eastAsia="en-AU"/>
              </w:rPr>
            </w:pPr>
            <w:r w:rsidRPr="006F393A">
              <w:rPr>
                <w:rFonts w:ascii="Arial Narrow" w:hAnsi="Arial Narrow"/>
                <w:snapToGrid/>
                <w:sz w:val="20"/>
                <w:lang w:eastAsia="en-AU"/>
              </w:rPr>
              <w:t xml:space="preserve">for every 100 patients treated with </w:t>
            </w:r>
            <w:proofErr w:type="spellStart"/>
            <w:r w:rsidRPr="006F393A">
              <w:rPr>
                <w:rFonts w:ascii="Arial Narrow" w:hAnsi="Arial Narrow"/>
                <w:snapToGrid/>
                <w:sz w:val="20"/>
                <w:lang w:eastAsia="en-AU"/>
              </w:rPr>
              <w:t>Viekira</w:t>
            </w:r>
            <w:proofErr w:type="spellEnd"/>
            <w:r w:rsidRPr="006F393A">
              <w:rPr>
                <w:rFonts w:ascii="Arial Narrow" w:hAnsi="Arial Narrow"/>
                <w:snapToGrid/>
                <w:sz w:val="20"/>
                <w:lang w:eastAsia="en-AU"/>
              </w:rPr>
              <w:t xml:space="preserve"> PAK-RBV for 24 weeks in comparison to receiving </w:t>
            </w:r>
            <w:r w:rsidRPr="006F393A">
              <w:rPr>
                <w:rFonts w:ascii="Arial Narrow" w:hAnsi="Arial Narrow"/>
                <w:snapToGrid/>
                <w:sz w:val="20"/>
                <w:u w:val="single"/>
                <w:lang w:eastAsia="en-AU"/>
              </w:rPr>
              <w:t>no treatment</w:t>
            </w:r>
          </w:p>
        </w:tc>
        <w:tc>
          <w:tcPr>
            <w:tcW w:w="3925" w:type="dxa"/>
          </w:tcPr>
          <w:p w:rsidR="00BF36DD" w:rsidRPr="006F393A" w:rsidRDefault="00BF36DD" w:rsidP="00997EDA">
            <w:pPr>
              <w:widowControl/>
              <w:numPr>
                <w:ilvl w:val="0"/>
                <w:numId w:val="2"/>
              </w:numPr>
              <w:ind w:left="218" w:hanging="142"/>
              <w:contextualSpacing/>
              <w:jc w:val="left"/>
              <w:rPr>
                <w:rFonts w:ascii="Arial Narrow" w:hAnsi="Arial Narrow"/>
                <w:snapToGrid/>
                <w:sz w:val="20"/>
                <w:lang w:eastAsia="en-AU"/>
              </w:rPr>
            </w:pPr>
            <w:r w:rsidRPr="006F393A">
              <w:rPr>
                <w:rFonts w:ascii="Arial Narrow" w:hAnsi="Arial Narrow"/>
                <w:snapToGrid/>
                <w:sz w:val="20"/>
                <w:lang w:eastAsia="en-AU"/>
              </w:rPr>
              <w:t>Approximately 93 additional patients would be expected to achieve an SVR, and</w:t>
            </w:r>
          </w:p>
          <w:p w:rsidR="00BF36DD" w:rsidRPr="006F393A" w:rsidRDefault="00BF36DD" w:rsidP="00997EDA">
            <w:pPr>
              <w:widowControl/>
              <w:numPr>
                <w:ilvl w:val="0"/>
                <w:numId w:val="2"/>
              </w:numPr>
              <w:ind w:left="218" w:hanging="142"/>
              <w:contextualSpacing/>
              <w:jc w:val="left"/>
              <w:rPr>
                <w:rFonts w:ascii="Arial Narrow" w:hAnsi="Arial Narrow"/>
                <w:snapToGrid/>
                <w:sz w:val="20"/>
                <w:lang w:eastAsia="en-AU"/>
              </w:rPr>
            </w:pPr>
            <w:r w:rsidRPr="006F393A">
              <w:rPr>
                <w:rFonts w:ascii="Arial Narrow" w:hAnsi="Arial Narrow"/>
                <w:snapToGrid/>
                <w:sz w:val="20"/>
                <w:lang w:eastAsia="en-AU"/>
              </w:rPr>
              <w:t>Approximately 2 additional patients would experience a serious adverse event.</w:t>
            </w:r>
          </w:p>
        </w:tc>
      </w:tr>
    </w:tbl>
    <w:p w:rsidR="00E70436" w:rsidRPr="006F393A" w:rsidRDefault="00E70436" w:rsidP="00E70436">
      <w:pPr>
        <w:pStyle w:val="TableFooter"/>
        <w:ind w:firstLine="720"/>
      </w:pPr>
      <w:r w:rsidRPr="006F393A">
        <w:t>*except those who are null responders to prior treatments.</w:t>
      </w:r>
    </w:p>
    <w:p w:rsidR="00B8478D" w:rsidRPr="006F393A" w:rsidRDefault="008046A6" w:rsidP="008D34E1">
      <w:pPr>
        <w:pStyle w:val="TableFooter"/>
        <w:ind w:left="720"/>
      </w:pPr>
      <w:r w:rsidRPr="006F393A">
        <w:rPr>
          <w:i/>
        </w:rPr>
        <w:t xml:space="preserve">** </w:t>
      </w:r>
      <w:r w:rsidRPr="006F393A">
        <w:t xml:space="preserve">Harm </w:t>
      </w:r>
      <w:r w:rsidR="006066CA" w:rsidRPr="006F393A">
        <w:t xml:space="preserve">of </w:t>
      </w:r>
      <w:proofErr w:type="spellStart"/>
      <w:r w:rsidR="00BD66D9" w:rsidRPr="006F393A">
        <w:t>Viekira</w:t>
      </w:r>
      <w:proofErr w:type="spellEnd"/>
      <w:r w:rsidR="00BD66D9" w:rsidRPr="006F393A">
        <w:t xml:space="preserve"> PAK / </w:t>
      </w:r>
      <w:proofErr w:type="spellStart"/>
      <w:r w:rsidR="00BD66D9" w:rsidRPr="006F393A">
        <w:t>Viekira</w:t>
      </w:r>
      <w:proofErr w:type="spellEnd"/>
      <w:r w:rsidR="00BD66D9" w:rsidRPr="006F393A">
        <w:t xml:space="preserve"> PAK-RBV</w:t>
      </w:r>
      <w:r w:rsidR="006066CA" w:rsidRPr="006F393A">
        <w:t xml:space="preserve"> </w:t>
      </w:r>
      <w:r w:rsidRPr="006F393A">
        <w:t xml:space="preserve">was based on </w:t>
      </w:r>
      <w:r w:rsidR="006066CA" w:rsidRPr="006F393A">
        <w:t>pooled data of placebo-controlled trials of Sapphire I and Sapphire II</w:t>
      </w:r>
      <w:r w:rsidR="00B8478D" w:rsidRPr="006F393A">
        <w:t>.</w:t>
      </w:r>
      <w:r w:rsidR="008D34E1" w:rsidRPr="006F393A">
        <w:t xml:space="preserve"> Given that the adverse event rates were similar across the 12 weeks and 24 weeks of </w:t>
      </w:r>
      <w:proofErr w:type="spellStart"/>
      <w:r w:rsidR="008D34E1" w:rsidRPr="006F393A">
        <w:t>Viekira</w:t>
      </w:r>
      <w:proofErr w:type="spellEnd"/>
      <w:r w:rsidR="008D34E1" w:rsidRPr="006F393A">
        <w:t xml:space="preserve"> PAK-RBV arms in Turquoise II randomised patients, safety data for 24 weeks treatment with </w:t>
      </w:r>
      <w:proofErr w:type="spellStart"/>
      <w:r w:rsidR="008D34E1" w:rsidRPr="006F393A">
        <w:t>Viekira</w:t>
      </w:r>
      <w:proofErr w:type="spellEnd"/>
      <w:r w:rsidR="008D34E1" w:rsidRPr="006F393A">
        <w:t xml:space="preserve"> PAK-RBV among the GT1a patients who are prior null responders were </w:t>
      </w:r>
      <w:r w:rsidR="006066CA" w:rsidRPr="006F393A">
        <w:t xml:space="preserve">assumed to be the same as that of 12 weeks treatment with </w:t>
      </w:r>
      <w:proofErr w:type="spellStart"/>
      <w:r w:rsidR="006066CA" w:rsidRPr="006F393A">
        <w:t>Viekira</w:t>
      </w:r>
      <w:proofErr w:type="spellEnd"/>
      <w:r w:rsidR="006066CA" w:rsidRPr="006F393A">
        <w:t xml:space="preserve"> PAK-RBV and </w:t>
      </w:r>
      <w:r w:rsidR="008D34E1" w:rsidRPr="006F393A">
        <w:t xml:space="preserve">also sourced from pooled </w:t>
      </w:r>
      <w:r w:rsidR="006066CA" w:rsidRPr="006F393A">
        <w:t>data of Sapphire I and Sapphire II</w:t>
      </w:r>
      <w:r w:rsidR="008D34E1" w:rsidRPr="006F393A">
        <w:t xml:space="preserve">. </w:t>
      </w:r>
      <w:r w:rsidR="006066CA" w:rsidRPr="006F393A">
        <w:t xml:space="preserve">There were no placebo-controlled trials of </w:t>
      </w:r>
      <w:proofErr w:type="spellStart"/>
      <w:r w:rsidR="006066CA" w:rsidRPr="006F393A">
        <w:t>Viekira</w:t>
      </w:r>
      <w:proofErr w:type="spellEnd"/>
      <w:r w:rsidR="006066CA" w:rsidRPr="006F393A">
        <w:t xml:space="preserve"> PAK without RBV. Safety data for </w:t>
      </w:r>
      <w:proofErr w:type="spellStart"/>
      <w:r w:rsidR="006066CA" w:rsidRPr="006F393A">
        <w:t>Viekira</w:t>
      </w:r>
      <w:proofErr w:type="spellEnd"/>
      <w:r w:rsidR="006066CA" w:rsidRPr="006F393A">
        <w:t xml:space="preserve"> PAK without RBV were based on data presented in Table 6 above, assuming that there was no serious adverse event.</w:t>
      </w:r>
    </w:p>
    <w:p w:rsidR="00E70436" w:rsidRPr="006F393A" w:rsidRDefault="00E70436" w:rsidP="00E70436">
      <w:pPr>
        <w:pStyle w:val="TableFooter"/>
        <w:ind w:firstLine="720"/>
      </w:pPr>
      <w:r w:rsidRPr="006F393A">
        <w:t xml:space="preserve">GT = genotype; SVR = sustained </w:t>
      </w:r>
      <w:proofErr w:type="spellStart"/>
      <w:r w:rsidRPr="006F393A">
        <w:t>virologic</w:t>
      </w:r>
      <w:proofErr w:type="spellEnd"/>
      <w:r w:rsidRPr="006F393A">
        <w:t xml:space="preserve"> response.</w:t>
      </w:r>
    </w:p>
    <w:p w:rsidR="00E70436" w:rsidRPr="006F393A" w:rsidRDefault="00E70436" w:rsidP="00E70436">
      <w:pPr>
        <w:pStyle w:val="TableFooter"/>
        <w:ind w:firstLine="720"/>
        <w:rPr>
          <w:szCs w:val="22"/>
        </w:rPr>
      </w:pPr>
      <w:r w:rsidRPr="006F393A">
        <w:t>Source: Compiled during the evaluation</w:t>
      </w:r>
    </w:p>
    <w:p w:rsidR="00E03F46" w:rsidRPr="006F393A" w:rsidRDefault="00E03F46">
      <w:pPr>
        <w:widowControl/>
        <w:jc w:val="left"/>
      </w:pPr>
    </w:p>
    <w:p w:rsidR="00E70436" w:rsidRPr="006F393A" w:rsidRDefault="00E70436" w:rsidP="00E70436">
      <w:pPr>
        <w:pStyle w:val="Heading2"/>
        <w:rPr>
          <w:szCs w:val="22"/>
        </w:rPr>
      </w:pPr>
      <w:bookmarkStart w:id="12" w:name="_Toc419383692"/>
      <w:r w:rsidRPr="006F393A">
        <w:rPr>
          <w:i/>
        </w:rPr>
        <w:t>Clinical claim</w:t>
      </w:r>
      <w:bookmarkEnd w:id="12"/>
    </w:p>
    <w:p w:rsidR="00E70436" w:rsidRPr="006F393A" w:rsidRDefault="00E70436" w:rsidP="00E70436">
      <w:pPr>
        <w:widowControl/>
        <w:rPr>
          <w:szCs w:val="22"/>
        </w:rPr>
      </w:pPr>
    </w:p>
    <w:p w:rsidR="00E70436" w:rsidRPr="006F393A" w:rsidRDefault="00E70436" w:rsidP="00997EDA">
      <w:pPr>
        <w:pStyle w:val="ListParagraph"/>
        <w:widowControl/>
        <w:numPr>
          <w:ilvl w:val="1"/>
          <w:numId w:val="1"/>
        </w:numPr>
        <w:rPr>
          <w:i/>
          <w:szCs w:val="22"/>
        </w:rPr>
      </w:pPr>
      <w:r w:rsidRPr="006F393A">
        <w:t xml:space="preserve">The submission described </w:t>
      </w:r>
      <w:proofErr w:type="spellStart"/>
      <w:r w:rsidR="00BD66D9" w:rsidRPr="006F393A">
        <w:t>Viekira</w:t>
      </w:r>
      <w:proofErr w:type="spellEnd"/>
      <w:r w:rsidR="00BD66D9" w:rsidRPr="006F393A">
        <w:t xml:space="preserve"> PAK / </w:t>
      </w:r>
      <w:proofErr w:type="spellStart"/>
      <w:r w:rsidR="00BD66D9" w:rsidRPr="006F393A">
        <w:t>Viekira</w:t>
      </w:r>
      <w:proofErr w:type="spellEnd"/>
      <w:r w:rsidR="00BD66D9" w:rsidRPr="006F393A">
        <w:t xml:space="preserve"> PAK-RBV</w:t>
      </w:r>
      <w:r w:rsidRPr="006F393A">
        <w:t xml:space="preserve"> as superior in terms of efficacy and inferior in terms of safety compared with no treatment</w:t>
      </w:r>
      <w:r w:rsidR="00C23249" w:rsidRPr="006F393A">
        <w:t>.</w:t>
      </w:r>
    </w:p>
    <w:p w:rsidR="00C23249" w:rsidRPr="006F393A" w:rsidRDefault="00C23249" w:rsidP="00C23249">
      <w:pPr>
        <w:pStyle w:val="ListParagraph"/>
        <w:widowControl/>
        <w:rPr>
          <w:i/>
          <w:szCs w:val="22"/>
        </w:rPr>
      </w:pPr>
    </w:p>
    <w:p w:rsidR="00E70436" w:rsidRPr="006F393A" w:rsidRDefault="00E70436" w:rsidP="00997EDA">
      <w:pPr>
        <w:pStyle w:val="ListParagraph"/>
        <w:widowControl/>
        <w:numPr>
          <w:ilvl w:val="1"/>
          <w:numId w:val="1"/>
        </w:numPr>
        <w:rPr>
          <w:szCs w:val="22"/>
        </w:rPr>
      </w:pPr>
      <w:r w:rsidRPr="006F393A">
        <w:t xml:space="preserve">The submission described </w:t>
      </w:r>
      <w:proofErr w:type="spellStart"/>
      <w:r w:rsidR="00BD66D9" w:rsidRPr="006F393A">
        <w:t>Viekira</w:t>
      </w:r>
      <w:proofErr w:type="spellEnd"/>
      <w:r w:rsidR="00BD66D9" w:rsidRPr="006F393A">
        <w:t xml:space="preserve"> PAK / </w:t>
      </w:r>
      <w:proofErr w:type="spellStart"/>
      <w:r w:rsidR="00BD66D9" w:rsidRPr="006F393A">
        <w:t>Viekira</w:t>
      </w:r>
      <w:proofErr w:type="spellEnd"/>
      <w:r w:rsidR="00BD66D9" w:rsidRPr="006F393A">
        <w:t xml:space="preserve"> PAK-RBV</w:t>
      </w:r>
      <w:r w:rsidRPr="006F393A">
        <w:t xml:space="preserve"> as equivalent in terms of efficacy and safety to LDV/SOF. The submission’s claim </w:t>
      </w:r>
      <w:r w:rsidR="00D265BC" w:rsidRPr="006F393A">
        <w:t xml:space="preserve">appeared </w:t>
      </w:r>
      <w:r w:rsidRPr="006F393A">
        <w:t>reasonable</w:t>
      </w:r>
      <w:r w:rsidR="00DC7698" w:rsidRPr="006F393A">
        <w:t xml:space="preserve"> within similar populations</w:t>
      </w:r>
      <w:r w:rsidRPr="006F393A">
        <w:t>, although the magnitude of differences in terms of SVR rates or rates of adverse events was uncertain due to reliance on the single arm trials.</w:t>
      </w:r>
      <w:r w:rsidR="00BD66D9" w:rsidRPr="006F393A">
        <w:t xml:space="preserve"> </w:t>
      </w:r>
      <w:r w:rsidR="00DC7698" w:rsidRPr="006F393A">
        <w:t xml:space="preserve">There are differences in the safety profile of the drugs as well as the potential for safety issues. </w:t>
      </w:r>
      <w:r w:rsidRPr="006F393A">
        <w:t xml:space="preserve">Patients on concomitant medications that are contraindicated with </w:t>
      </w:r>
      <w:proofErr w:type="spellStart"/>
      <w:r w:rsidRPr="006F393A">
        <w:t>Viekira</w:t>
      </w:r>
      <w:proofErr w:type="spellEnd"/>
      <w:r w:rsidRPr="006F393A">
        <w:t xml:space="preserve"> PAK / </w:t>
      </w:r>
      <w:proofErr w:type="spellStart"/>
      <w:r w:rsidRPr="006F393A">
        <w:t>Viekira</w:t>
      </w:r>
      <w:proofErr w:type="spellEnd"/>
      <w:r w:rsidRPr="006F393A">
        <w:t xml:space="preserve"> PAK-RBV were excluded from the </w:t>
      </w:r>
      <w:proofErr w:type="spellStart"/>
      <w:r w:rsidRPr="006F393A">
        <w:t>Viekira</w:t>
      </w:r>
      <w:proofErr w:type="spellEnd"/>
      <w:r w:rsidRPr="006F393A">
        <w:t xml:space="preserve"> PAK / </w:t>
      </w:r>
      <w:proofErr w:type="spellStart"/>
      <w:r w:rsidRPr="006F393A">
        <w:t>Viekira</w:t>
      </w:r>
      <w:proofErr w:type="spellEnd"/>
      <w:r w:rsidRPr="006F393A">
        <w:t xml:space="preserve"> PAK-RBV trials, although were permitted to be treated in the LDV/SOF trials.</w:t>
      </w:r>
      <w:r w:rsidR="00BD66D9" w:rsidRPr="006F393A">
        <w:t xml:space="preserve"> </w:t>
      </w:r>
      <w:r w:rsidRPr="006F393A">
        <w:t xml:space="preserve">Therefore, the population able to be treated with LDV/SOF </w:t>
      </w:r>
      <w:r w:rsidR="00E8612F" w:rsidRPr="006F393A">
        <w:t xml:space="preserve">might </w:t>
      </w:r>
      <w:r w:rsidRPr="006F393A">
        <w:t>be broader.</w:t>
      </w:r>
    </w:p>
    <w:p w:rsidR="00DE4B6F" w:rsidRPr="006F393A" w:rsidRDefault="00DE4B6F" w:rsidP="00DE4B6F">
      <w:pPr>
        <w:pStyle w:val="ListParagraph"/>
        <w:rPr>
          <w:szCs w:val="22"/>
        </w:rPr>
      </w:pPr>
    </w:p>
    <w:p w:rsidR="004479C2" w:rsidRPr="006F393A" w:rsidRDefault="00DE4B6F" w:rsidP="00997EDA">
      <w:pPr>
        <w:pStyle w:val="ListParagraph"/>
        <w:widowControl/>
        <w:numPr>
          <w:ilvl w:val="1"/>
          <w:numId w:val="1"/>
        </w:numPr>
        <w:rPr>
          <w:szCs w:val="22"/>
        </w:rPr>
      </w:pPr>
      <w:r w:rsidRPr="006F393A">
        <w:rPr>
          <w:szCs w:val="22"/>
        </w:rPr>
        <w:t>The</w:t>
      </w:r>
      <w:r w:rsidR="00C23249" w:rsidRPr="006F393A">
        <w:rPr>
          <w:szCs w:val="22"/>
        </w:rPr>
        <w:t xml:space="preserve"> PBAC agreed with the</w:t>
      </w:r>
      <w:r w:rsidRPr="006F393A">
        <w:rPr>
          <w:szCs w:val="22"/>
        </w:rPr>
        <w:t xml:space="preserve"> ESC</w:t>
      </w:r>
      <w:r w:rsidR="00C23249" w:rsidRPr="006F393A">
        <w:rPr>
          <w:szCs w:val="22"/>
        </w:rPr>
        <w:t xml:space="preserve"> and</w:t>
      </w:r>
      <w:r w:rsidRPr="006F393A">
        <w:rPr>
          <w:szCs w:val="22"/>
        </w:rPr>
        <w:t xml:space="preserve"> considered that the clinical claim</w:t>
      </w:r>
      <w:r w:rsidR="009E5468" w:rsidRPr="006F393A">
        <w:rPr>
          <w:szCs w:val="22"/>
        </w:rPr>
        <w:t>s</w:t>
      </w:r>
      <w:r w:rsidRPr="006F393A">
        <w:rPr>
          <w:szCs w:val="22"/>
        </w:rPr>
        <w:t xml:space="preserve"> in the submission were reasonable.</w:t>
      </w:r>
    </w:p>
    <w:p w:rsidR="00C23249" w:rsidRPr="006F393A" w:rsidRDefault="00C23249" w:rsidP="00C23249">
      <w:pPr>
        <w:pStyle w:val="ListParagraph"/>
        <w:rPr>
          <w:szCs w:val="22"/>
        </w:rPr>
      </w:pPr>
    </w:p>
    <w:p w:rsidR="00C23249" w:rsidRPr="009701B0" w:rsidRDefault="00C23249" w:rsidP="004F2ED3">
      <w:pPr>
        <w:pStyle w:val="ListParagraph"/>
        <w:widowControl/>
        <w:numPr>
          <w:ilvl w:val="1"/>
          <w:numId w:val="1"/>
        </w:numPr>
        <w:rPr>
          <w:i/>
          <w:szCs w:val="22"/>
        </w:rPr>
      </w:pPr>
      <w:r w:rsidRPr="006F393A">
        <w:rPr>
          <w:bCs/>
          <w:szCs w:val="22"/>
        </w:rPr>
        <w:t xml:space="preserve">The PBAC recalled that </w:t>
      </w:r>
      <w:proofErr w:type="spellStart"/>
      <w:r w:rsidR="00855437" w:rsidRPr="006F393A">
        <w:rPr>
          <w:bCs/>
          <w:szCs w:val="22"/>
        </w:rPr>
        <w:t>ledipasvir</w:t>
      </w:r>
      <w:proofErr w:type="spellEnd"/>
      <w:r w:rsidR="00855437" w:rsidRPr="006F393A">
        <w:rPr>
          <w:bCs/>
          <w:szCs w:val="22"/>
        </w:rPr>
        <w:t xml:space="preserve">/ </w:t>
      </w:r>
      <w:proofErr w:type="spellStart"/>
      <w:r w:rsidR="00855437" w:rsidRPr="006F393A">
        <w:rPr>
          <w:bCs/>
          <w:szCs w:val="22"/>
        </w:rPr>
        <w:t>sofosbuvir</w:t>
      </w:r>
      <w:proofErr w:type="spellEnd"/>
      <w:r w:rsidR="00855437" w:rsidRPr="006F393A">
        <w:rPr>
          <w:bCs/>
          <w:szCs w:val="22"/>
        </w:rPr>
        <w:t xml:space="preserve"> </w:t>
      </w:r>
      <w:r w:rsidR="00855437" w:rsidRPr="006F393A">
        <w:rPr>
          <w:szCs w:val="22"/>
        </w:rPr>
        <w:t xml:space="preserve">was recommended for the treatment of Genotype 1 </w:t>
      </w:r>
      <w:r w:rsidR="007270E5" w:rsidRPr="006F393A">
        <w:rPr>
          <w:szCs w:val="22"/>
        </w:rPr>
        <w:t>CHC</w:t>
      </w:r>
      <w:r w:rsidR="00855437" w:rsidRPr="006F393A">
        <w:rPr>
          <w:szCs w:val="22"/>
        </w:rPr>
        <w:t xml:space="preserve"> patients and that </w:t>
      </w:r>
      <w:proofErr w:type="spellStart"/>
      <w:r w:rsidR="000B6BDA" w:rsidRPr="006F393A">
        <w:rPr>
          <w:szCs w:val="22"/>
        </w:rPr>
        <w:t>daclatasvir</w:t>
      </w:r>
      <w:proofErr w:type="spellEnd"/>
      <w:r w:rsidRPr="006F393A">
        <w:rPr>
          <w:szCs w:val="22"/>
        </w:rPr>
        <w:t xml:space="preserve"> in combination with </w:t>
      </w:r>
      <w:proofErr w:type="spellStart"/>
      <w:r w:rsidRPr="006F393A">
        <w:rPr>
          <w:szCs w:val="22"/>
        </w:rPr>
        <w:t>sofosbuvir</w:t>
      </w:r>
      <w:proofErr w:type="spellEnd"/>
      <w:r w:rsidRPr="006F393A">
        <w:rPr>
          <w:szCs w:val="22"/>
        </w:rPr>
        <w:t xml:space="preserve"> was recommen</w:t>
      </w:r>
      <w:r w:rsidR="00674E1F" w:rsidRPr="006F393A">
        <w:rPr>
          <w:szCs w:val="22"/>
        </w:rPr>
        <w:t>d</w:t>
      </w:r>
      <w:r w:rsidRPr="006F393A">
        <w:rPr>
          <w:szCs w:val="22"/>
        </w:rPr>
        <w:t xml:space="preserve">ed for the treatment of Genotype 1 </w:t>
      </w:r>
      <w:r w:rsidR="007270E5" w:rsidRPr="006F393A">
        <w:rPr>
          <w:szCs w:val="22"/>
        </w:rPr>
        <w:t>CHC</w:t>
      </w:r>
      <w:r w:rsidRPr="006F393A">
        <w:rPr>
          <w:szCs w:val="22"/>
        </w:rPr>
        <w:t xml:space="preserve"> in treatment naïve non-cirrhotic patients. The PBAC considered the evidence provided in the submission available in the public domain support the claim that </w:t>
      </w:r>
      <w:proofErr w:type="spellStart"/>
      <w:r w:rsidRPr="006F393A">
        <w:t>Viekira</w:t>
      </w:r>
      <w:proofErr w:type="spellEnd"/>
      <w:r w:rsidRPr="006F393A">
        <w:t xml:space="preserve"> PAK / </w:t>
      </w:r>
      <w:proofErr w:type="spellStart"/>
      <w:r w:rsidRPr="006F393A">
        <w:t>Viekira</w:t>
      </w:r>
      <w:proofErr w:type="spellEnd"/>
      <w:r w:rsidRPr="006F393A">
        <w:t xml:space="preserve"> PAK-RBV equivalent in terms of efficacy and safety to </w:t>
      </w:r>
      <w:proofErr w:type="spellStart"/>
      <w:r w:rsidR="00855437" w:rsidRPr="006F393A">
        <w:t>ledipasvir</w:t>
      </w:r>
      <w:proofErr w:type="spellEnd"/>
      <w:r w:rsidR="00855437" w:rsidRPr="006F393A">
        <w:t xml:space="preserve">/ </w:t>
      </w:r>
      <w:proofErr w:type="spellStart"/>
      <w:r w:rsidR="00855437" w:rsidRPr="006F393A">
        <w:t>sofosbuvir</w:t>
      </w:r>
      <w:proofErr w:type="spellEnd"/>
      <w:r w:rsidR="00855437" w:rsidRPr="006F393A">
        <w:t xml:space="preserve"> in </w:t>
      </w:r>
      <w:r w:rsidR="00855437" w:rsidRPr="006F393A">
        <w:rPr>
          <w:szCs w:val="22"/>
        </w:rPr>
        <w:t>Genotype 1 naïve and experienced chronic hepatitis C (CHC) patients</w:t>
      </w:r>
      <w:r w:rsidR="007270E5" w:rsidRPr="006F393A">
        <w:rPr>
          <w:szCs w:val="22"/>
        </w:rPr>
        <w:t xml:space="preserve"> and</w:t>
      </w:r>
      <w:r w:rsidR="00855437" w:rsidRPr="006F393A">
        <w:rPr>
          <w:szCs w:val="22"/>
        </w:rPr>
        <w:t xml:space="preserve"> </w:t>
      </w:r>
      <w:proofErr w:type="spellStart"/>
      <w:r w:rsidR="000B6BDA" w:rsidRPr="006F393A">
        <w:rPr>
          <w:szCs w:val="22"/>
        </w:rPr>
        <w:t>daclatasvir</w:t>
      </w:r>
      <w:proofErr w:type="spellEnd"/>
      <w:r w:rsidRPr="006F393A">
        <w:rPr>
          <w:szCs w:val="22"/>
        </w:rPr>
        <w:t xml:space="preserve"> in combination with </w:t>
      </w:r>
      <w:proofErr w:type="spellStart"/>
      <w:r w:rsidRPr="006F393A">
        <w:rPr>
          <w:szCs w:val="22"/>
        </w:rPr>
        <w:t>sofosbuvir</w:t>
      </w:r>
      <w:proofErr w:type="spellEnd"/>
      <w:r w:rsidRPr="006F393A">
        <w:rPr>
          <w:szCs w:val="22"/>
        </w:rPr>
        <w:t xml:space="preserve"> in </w:t>
      </w:r>
      <w:r w:rsidR="007270E5" w:rsidRPr="006F393A">
        <w:rPr>
          <w:szCs w:val="22"/>
        </w:rPr>
        <w:t>in Genotype 1 treatment naïve non-cirrhotic patients</w:t>
      </w:r>
      <w:r w:rsidRPr="006F393A">
        <w:rPr>
          <w:szCs w:val="22"/>
        </w:rPr>
        <w:t xml:space="preserve">. </w:t>
      </w:r>
    </w:p>
    <w:p w:rsidR="00E70436" w:rsidRPr="006F393A" w:rsidRDefault="00E70436" w:rsidP="00E70436">
      <w:pPr>
        <w:ind w:left="720" w:hanging="720"/>
        <w:rPr>
          <w:szCs w:val="22"/>
        </w:rPr>
      </w:pPr>
    </w:p>
    <w:p w:rsidR="006A7F63" w:rsidRPr="006F393A" w:rsidRDefault="006A7F63" w:rsidP="006A7F63">
      <w:pPr>
        <w:pStyle w:val="Heading2"/>
        <w:rPr>
          <w:i/>
        </w:rPr>
      </w:pPr>
      <w:bookmarkStart w:id="13" w:name="_Toc417049821"/>
      <w:bookmarkStart w:id="14" w:name="_Toc419383693"/>
      <w:r w:rsidRPr="006F393A">
        <w:rPr>
          <w:i/>
        </w:rPr>
        <w:t>Economic analysis</w:t>
      </w:r>
      <w:bookmarkEnd w:id="13"/>
      <w:bookmarkEnd w:id="14"/>
      <w:r w:rsidRPr="006F393A">
        <w:rPr>
          <w:i/>
        </w:rPr>
        <w:t xml:space="preserve"> </w:t>
      </w:r>
    </w:p>
    <w:p w:rsidR="006A7F63" w:rsidRPr="006F393A" w:rsidRDefault="006A7F63" w:rsidP="006A7F63">
      <w:pPr>
        <w:widowControl/>
        <w:rPr>
          <w:szCs w:val="22"/>
        </w:rPr>
      </w:pPr>
    </w:p>
    <w:p w:rsidR="006A7F63" w:rsidRPr="006F393A" w:rsidRDefault="00734052" w:rsidP="00997EDA">
      <w:pPr>
        <w:pStyle w:val="ListParagraph"/>
        <w:widowControl/>
        <w:numPr>
          <w:ilvl w:val="1"/>
          <w:numId w:val="1"/>
        </w:numPr>
        <w:rPr>
          <w:szCs w:val="22"/>
        </w:rPr>
      </w:pPr>
      <w:r w:rsidRPr="006F393A">
        <w:rPr>
          <w:szCs w:val="22"/>
        </w:rPr>
        <w:t xml:space="preserve">Given the rapidly changing treatment landscape for genotype 1 (GT1) CHC, the sponsor indicated that they </w:t>
      </w:r>
      <w:r w:rsidR="00855CDB" w:rsidRPr="006F393A">
        <w:rPr>
          <w:szCs w:val="22"/>
        </w:rPr>
        <w:t xml:space="preserve">were </w:t>
      </w:r>
      <w:r w:rsidRPr="006F393A">
        <w:rPr>
          <w:szCs w:val="22"/>
        </w:rPr>
        <w:t>willing to accept a price on a cost</w:t>
      </w:r>
      <w:r w:rsidR="00EB6E75" w:rsidRPr="006F393A">
        <w:rPr>
          <w:szCs w:val="22"/>
        </w:rPr>
        <w:noBreakHyphen/>
      </w:r>
      <w:r w:rsidRPr="006F393A">
        <w:rPr>
          <w:szCs w:val="22"/>
        </w:rPr>
        <w:t>minimisation basis compared with LDV/SOF, should PBAC recommend LDV/SOF for PBS listing at the March 2015 meeting.</w:t>
      </w:r>
      <w:r w:rsidR="00341649" w:rsidRPr="006F393A">
        <w:rPr>
          <w:szCs w:val="22"/>
        </w:rPr>
        <w:t xml:space="preserve"> </w:t>
      </w:r>
      <w:r w:rsidR="00F20E05" w:rsidRPr="006F393A">
        <w:rPr>
          <w:szCs w:val="22"/>
        </w:rPr>
        <w:t xml:space="preserve">As </w:t>
      </w:r>
      <w:r w:rsidR="00341649" w:rsidRPr="006F393A">
        <w:rPr>
          <w:szCs w:val="22"/>
        </w:rPr>
        <w:t>LDV/SOF was recommended at the March 2015 meeting</w:t>
      </w:r>
      <w:r w:rsidR="00F20E05" w:rsidRPr="006F393A">
        <w:rPr>
          <w:szCs w:val="22"/>
        </w:rPr>
        <w:t xml:space="preserve">, </w:t>
      </w:r>
      <w:r w:rsidR="00F20E05" w:rsidRPr="006F393A">
        <w:t xml:space="preserve">the ESC considered that a listing of </w:t>
      </w:r>
      <w:proofErr w:type="spellStart"/>
      <w:r w:rsidR="00F20E05" w:rsidRPr="006F393A">
        <w:t>Viekira</w:t>
      </w:r>
      <w:proofErr w:type="spellEnd"/>
      <w:r w:rsidR="00F20E05" w:rsidRPr="006F393A">
        <w:t xml:space="preserve"> PAK / </w:t>
      </w:r>
      <w:proofErr w:type="spellStart"/>
      <w:r w:rsidR="00F20E05" w:rsidRPr="006F393A">
        <w:t>Viekira</w:t>
      </w:r>
      <w:proofErr w:type="spellEnd"/>
      <w:r w:rsidR="00F20E05" w:rsidRPr="006F393A">
        <w:t xml:space="preserve"> PAK-RBV on a cost-minimisation basis to </w:t>
      </w:r>
      <w:r w:rsidR="00F20E05" w:rsidRPr="006F393A">
        <w:rPr>
          <w:szCs w:val="22"/>
        </w:rPr>
        <w:t>other IFN-free treatments</w:t>
      </w:r>
      <w:r w:rsidR="00F20E05" w:rsidRPr="006F393A">
        <w:t xml:space="preserve"> was supported by the </w:t>
      </w:r>
      <w:r w:rsidR="00DE4B6F" w:rsidRPr="006F393A">
        <w:t xml:space="preserve">available </w:t>
      </w:r>
      <w:r w:rsidR="00F20E05" w:rsidRPr="006F393A">
        <w:t>clinical evidence.</w:t>
      </w:r>
    </w:p>
    <w:p w:rsidR="001B1E9D" w:rsidRPr="006F393A" w:rsidRDefault="001B1E9D" w:rsidP="001B1E9D">
      <w:pPr>
        <w:pStyle w:val="ListParagraph"/>
        <w:widowControl/>
        <w:rPr>
          <w:szCs w:val="22"/>
        </w:rPr>
      </w:pPr>
    </w:p>
    <w:p w:rsidR="006A7F63" w:rsidRPr="006F393A" w:rsidRDefault="006A7F63" w:rsidP="00997EDA">
      <w:pPr>
        <w:pStyle w:val="ListParagraph"/>
        <w:widowControl/>
        <w:numPr>
          <w:ilvl w:val="1"/>
          <w:numId w:val="1"/>
        </w:numPr>
        <w:rPr>
          <w:szCs w:val="22"/>
        </w:rPr>
      </w:pPr>
      <w:r w:rsidRPr="006F393A">
        <w:rPr>
          <w:szCs w:val="22"/>
        </w:rPr>
        <w:t xml:space="preserve">The submission presented a modelled cost-utility analysis of </w:t>
      </w:r>
      <w:proofErr w:type="spellStart"/>
      <w:r w:rsidR="00BD66D9" w:rsidRPr="006F393A">
        <w:rPr>
          <w:szCs w:val="22"/>
        </w:rPr>
        <w:t>Viekira</w:t>
      </w:r>
      <w:proofErr w:type="spellEnd"/>
      <w:r w:rsidR="00BD66D9" w:rsidRPr="006F393A">
        <w:rPr>
          <w:szCs w:val="22"/>
        </w:rPr>
        <w:t xml:space="preserve"> PAK / </w:t>
      </w:r>
      <w:proofErr w:type="spellStart"/>
      <w:r w:rsidR="00BD66D9" w:rsidRPr="006F393A">
        <w:rPr>
          <w:szCs w:val="22"/>
        </w:rPr>
        <w:t>Viekira</w:t>
      </w:r>
      <w:proofErr w:type="spellEnd"/>
      <w:r w:rsidR="00BD66D9" w:rsidRPr="006F393A">
        <w:rPr>
          <w:szCs w:val="22"/>
        </w:rPr>
        <w:t xml:space="preserve"> PAK-RBV</w:t>
      </w:r>
      <w:r w:rsidRPr="006F393A">
        <w:rPr>
          <w:szCs w:val="22"/>
        </w:rPr>
        <w:t xml:space="preserve"> </w:t>
      </w:r>
      <w:r w:rsidR="000971BC" w:rsidRPr="006F393A">
        <w:rPr>
          <w:szCs w:val="22"/>
        </w:rPr>
        <w:t xml:space="preserve">relative to a mixed </w:t>
      </w:r>
      <w:r w:rsidRPr="006F393A">
        <w:rPr>
          <w:szCs w:val="22"/>
        </w:rPr>
        <w:t>compar</w:t>
      </w:r>
      <w:r w:rsidR="000971BC" w:rsidRPr="006F393A">
        <w:rPr>
          <w:szCs w:val="22"/>
        </w:rPr>
        <w:t>ator</w:t>
      </w:r>
      <w:r w:rsidRPr="006F393A">
        <w:rPr>
          <w:szCs w:val="22"/>
        </w:rPr>
        <w:t xml:space="preserve"> of no treatment and protease inhibitor plus PR. The </w:t>
      </w:r>
      <w:r w:rsidR="00472F9E" w:rsidRPr="006F393A">
        <w:rPr>
          <w:szCs w:val="22"/>
        </w:rPr>
        <w:t xml:space="preserve">evaluation </w:t>
      </w:r>
      <w:r w:rsidRPr="006F393A">
        <w:rPr>
          <w:szCs w:val="22"/>
        </w:rPr>
        <w:t xml:space="preserve">presented </w:t>
      </w:r>
      <w:r w:rsidR="00341649" w:rsidRPr="006F393A">
        <w:rPr>
          <w:szCs w:val="22"/>
        </w:rPr>
        <w:t xml:space="preserve">a </w:t>
      </w:r>
      <w:r w:rsidRPr="006F393A">
        <w:rPr>
          <w:szCs w:val="22"/>
        </w:rPr>
        <w:t>cost-</w:t>
      </w:r>
      <w:r w:rsidR="00341649" w:rsidRPr="006F393A">
        <w:rPr>
          <w:szCs w:val="22"/>
        </w:rPr>
        <w:t>utility</w:t>
      </w:r>
      <w:r w:rsidRPr="006F393A">
        <w:rPr>
          <w:szCs w:val="22"/>
        </w:rPr>
        <w:t xml:space="preserve"> analysis of </w:t>
      </w:r>
      <w:proofErr w:type="spellStart"/>
      <w:r w:rsidR="00BD66D9" w:rsidRPr="006F393A">
        <w:rPr>
          <w:szCs w:val="22"/>
        </w:rPr>
        <w:t>Viekira</w:t>
      </w:r>
      <w:proofErr w:type="spellEnd"/>
      <w:r w:rsidR="00BD66D9" w:rsidRPr="006F393A">
        <w:rPr>
          <w:szCs w:val="22"/>
        </w:rPr>
        <w:t xml:space="preserve"> PAK / </w:t>
      </w:r>
      <w:proofErr w:type="spellStart"/>
      <w:r w:rsidR="00BD66D9" w:rsidRPr="006F393A">
        <w:rPr>
          <w:szCs w:val="22"/>
        </w:rPr>
        <w:t>Viekira</w:t>
      </w:r>
      <w:proofErr w:type="spellEnd"/>
      <w:r w:rsidR="00BD66D9" w:rsidRPr="006F393A">
        <w:rPr>
          <w:szCs w:val="22"/>
        </w:rPr>
        <w:t xml:space="preserve"> PAK-RBV</w:t>
      </w:r>
      <w:r w:rsidRPr="006F393A">
        <w:rPr>
          <w:szCs w:val="22"/>
        </w:rPr>
        <w:t xml:space="preserve"> versus no treatment</w:t>
      </w:r>
      <w:r w:rsidR="00A73F6D" w:rsidRPr="006F393A">
        <w:rPr>
          <w:szCs w:val="22"/>
        </w:rPr>
        <w:t>, consistent with previous considerations by the PBAC</w:t>
      </w:r>
      <w:r w:rsidR="00B864BA" w:rsidRPr="006F393A">
        <w:rPr>
          <w:szCs w:val="22"/>
        </w:rPr>
        <w:t>.</w:t>
      </w:r>
      <w:r w:rsidRPr="006F393A">
        <w:rPr>
          <w:szCs w:val="22"/>
        </w:rPr>
        <w:t xml:space="preserve"> </w:t>
      </w:r>
    </w:p>
    <w:p w:rsidR="00043ACF" w:rsidRPr="006F393A" w:rsidRDefault="00043ACF" w:rsidP="00043ACF">
      <w:pPr>
        <w:pStyle w:val="PBACHeading1"/>
        <w:numPr>
          <w:ilvl w:val="0"/>
          <w:numId w:val="0"/>
        </w:numPr>
      </w:pPr>
    </w:p>
    <w:p w:rsidR="006A7F63" w:rsidRPr="006F393A" w:rsidRDefault="006A7F63" w:rsidP="00997EDA">
      <w:pPr>
        <w:pStyle w:val="ListParagraph"/>
        <w:widowControl/>
        <w:numPr>
          <w:ilvl w:val="1"/>
          <w:numId w:val="1"/>
        </w:numPr>
        <w:rPr>
          <w:szCs w:val="22"/>
        </w:rPr>
      </w:pPr>
      <w:r w:rsidRPr="006F393A">
        <w:rPr>
          <w:szCs w:val="22"/>
        </w:rPr>
        <w:t>The economic model was structured as a Markov state-transition model, with 13</w:t>
      </w:r>
      <w:r w:rsidR="00EB6E75" w:rsidRPr="006F393A">
        <w:rPr>
          <w:szCs w:val="22"/>
        </w:rPr>
        <w:t> </w:t>
      </w:r>
      <w:r w:rsidRPr="006F393A">
        <w:rPr>
          <w:szCs w:val="22"/>
        </w:rPr>
        <w:t>health states that described the progression of disease over the life time. The model comprised of two distinct time periods: the short term model cove</w:t>
      </w:r>
      <w:r w:rsidRPr="006F393A">
        <w:rPr>
          <w:i/>
          <w:szCs w:val="22"/>
        </w:rPr>
        <w:t>ring th</w:t>
      </w:r>
      <w:r w:rsidRPr="006F393A">
        <w:rPr>
          <w:szCs w:val="22"/>
        </w:rPr>
        <w:t>e first year following the initiation of treatment (with four-weekly cycles) and the long-term model covering the rem</w:t>
      </w:r>
      <w:r w:rsidRPr="006F393A">
        <w:t>aining 29 years (with yearly cycles).</w:t>
      </w:r>
    </w:p>
    <w:p w:rsidR="006A7F63" w:rsidRPr="006F393A" w:rsidRDefault="006A7F63" w:rsidP="006A7F63">
      <w:pPr>
        <w:widowControl/>
        <w:rPr>
          <w:szCs w:val="22"/>
        </w:rPr>
      </w:pPr>
    </w:p>
    <w:p w:rsidR="006A7F63" w:rsidRPr="006F393A" w:rsidRDefault="006A7F63" w:rsidP="006A7F63">
      <w:pPr>
        <w:pStyle w:val="TableHeader"/>
        <w:ind w:firstLine="720"/>
      </w:pPr>
      <w:r w:rsidRPr="006F393A">
        <w:t xml:space="preserve">Table </w:t>
      </w:r>
      <w:r w:rsidR="007B6A5B" w:rsidRPr="006F393A">
        <w:t>10</w:t>
      </w:r>
      <w:r w:rsidRPr="006F393A">
        <w:t>: Summary of model structure and rationale</w:t>
      </w:r>
    </w:p>
    <w:tbl>
      <w:tblPr>
        <w:tblW w:w="835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614"/>
        <w:gridCol w:w="6744"/>
      </w:tblGrid>
      <w:tr w:rsidR="006A7F63" w:rsidRPr="006F393A" w:rsidTr="006A7F63">
        <w:trPr>
          <w:trHeight w:val="240"/>
        </w:trPr>
        <w:tc>
          <w:tcPr>
            <w:tcW w:w="1614" w:type="dxa"/>
            <w:shd w:val="clear" w:color="auto" w:fill="auto"/>
          </w:tcPr>
          <w:p w:rsidR="006A7F63" w:rsidRPr="006F393A" w:rsidRDefault="006A7F63" w:rsidP="006A7F63">
            <w:pPr>
              <w:rPr>
                <w:rFonts w:ascii="Arial Narrow" w:hAnsi="Arial Narrow"/>
                <w:sz w:val="20"/>
              </w:rPr>
            </w:pPr>
            <w:r w:rsidRPr="006F393A">
              <w:rPr>
                <w:rFonts w:ascii="Arial Narrow" w:hAnsi="Arial Narrow"/>
                <w:sz w:val="20"/>
              </w:rPr>
              <w:t>Time horizon</w:t>
            </w:r>
          </w:p>
        </w:tc>
        <w:tc>
          <w:tcPr>
            <w:tcW w:w="6744" w:type="dxa"/>
            <w:shd w:val="clear" w:color="auto" w:fill="auto"/>
          </w:tcPr>
          <w:p w:rsidR="006A7F63" w:rsidRPr="006F393A" w:rsidRDefault="006A7F63" w:rsidP="006A7F63">
            <w:pPr>
              <w:rPr>
                <w:rFonts w:ascii="Arial Narrow" w:hAnsi="Arial Narrow"/>
                <w:i/>
                <w:sz w:val="20"/>
              </w:rPr>
            </w:pPr>
            <w:r w:rsidRPr="006F393A">
              <w:rPr>
                <w:rFonts w:ascii="Arial Narrow" w:hAnsi="Arial Narrow"/>
                <w:sz w:val="20"/>
              </w:rPr>
              <w:t xml:space="preserve">30 years. </w:t>
            </w:r>
            <w:r w:rsidRPr="006F393A">
              <w:rPr>
                <w:rFonts w:ascii="Arial Narrow" w:hAnsi="Arial Narrow"/>
                <w:i/>
                <w:sz w:val="20"/>
              </w:rPr>
              <w:t>This is consistent with PBAC Advice.</w:t>
            </w:r>
          </w:p>
        </w:tc>
      </w:tr>
      <w:tr w:rsidR="006A7F63" w:rsidRPr="006F393A" w:rsidTr="00F143B4">
        <w:trPr>
          <w:trHeight w:val="183"/>
        </w:trPr>
        <w:tc>
          <w:tcPr>
            <w:tcW w:w="1614" w:type="dxa"/>
            <w:shd w:val="clear" w:color="auto" w:fill="auto"/>
          </w:tcPr>
          <w:p w:rsidR="006A7F63" w:rsidRPr="006F393A" w:rsidRDefault="006A7F63" w:rsidP="006A7F63">
            <w:pPr>
              <w:rPr>
                <w:rFonts w:ascii="Arial Narrow" w:hAnsi="Arial Narrow"/>
                <w:sz w:val="20"/>
              </w:rPr>
            </w:pPr>
            <w:r w:rsidRPr="006F393A">
              <w:rPr>
                <w:rFonts w:ascii="Arial Narrow" w:hAnsi="Arial Narrow"/>
                <w:sz w:val="20"/>
              </w:rPr>
              <w:t>Outcomes</w:t>
            </w:r>
          </w:p>
        </w:tc>
        <w:tc>
          <w:tcPr>
            <w:tcW w:w="6744" w:type="dxa"/>
            <w:shd w:val="clear" w:color="auto" w:fill="auto"/>
          </w:tcPr>
          <w:p w:rsidR="006A7F63" w:rsidRPr="006F393A" w:rsidRDefault="006A7F63" w:rsidP="006A7F63">
            <w:pPr>
              <w:rPr>
                <w:rFonts w:ascii="Arial Narrow" w:hAnsi="Arial Narrow"/>
                <w:sz w:val="20"/>
              </w:rPr>
            </w:pPr>
            <w:r w:rsidRPr="006F393A">
              <w:rPr>
                <w:rFonts w:ascii="Arial Narrow" w:hAnsi="Arial Narrow"/>
                <w:sz w:val="20"/>
              </w:rPr>
              <w:t>Quality-adjusted life years (QALYs) and Life years (LYs)</w:t>
            </w:r>
          </w:p>
        </w:tc>
      </w:tr>
      <w:tr w:rsidR="006A7F63" w:rsidRPr="006F393A" w:rsidTr="00F143B4">
        <w:trPr>
          <w:trHeight w:val="512"/>
        </w:trPr>
        <w:tc>
          <w:tcPr>
            <w:tcW w:w="1614" w:type="dxa"/>
            <w:shd w:val="clear" w:color="auto" w:fill="auto"/>
          </w:tcPr>
          <w:p w:rsidR="006A7F63" w:rsidRPr="006F393A" w:rsidRDefault="006A7F63" w:rsidP="006A7F63">
            <w:pPr>
              <w:rPr>
                <w:rFonts w:ascii="Arial Narrow" w:hAnsi="Arial Narrow"/>
                <w:sz w:val="20"/>
              </w:rPr>
            </w:pPr>
            <w:r w:rsidRPr="006F393A">
              <w:rPr>
                <w:rFonts w:ascii="Arial Narrow" w:hAnsi="Arial Narrow"/>
                <w:sz w:val="20"/>
              </w:rPr>
              <w:t>Methods used to generate results</w:t>
            </w:r>
          </w:p>
        </w:tc>
        <w:tc>
          <w:tcPr>
            <w:tcW w:w="6744" w:type="dxa"/>
            <w:shd w:val="clear" w:color="auto" w:fill="auto"/>
          </w:tcPr>
          <w:p w:rsidR="006A7F63" w:rsidRPr="006F393A" w:rsidRDefault="006A7F63" w:rsidP="006A7F63">
            <w:pPr>
              <w:rPr>
                <w:rFonts w:ascii="Arial Narrow" w:hAnsi="Arial Narrow"/>
                <w:sz w:val="20"/>
              </w:rPr>
            </w:pPr>
            <w:r w:rsidRPr="006F393A">
              <w:rPr>
                <w:rFonts w:ascii="Arial Narrow" w:hAnsi="Arial Narrow"/>
                <w:sz w:val="20"/>
              </w:rPr>
              <w:t>Cohort expected-value analysis.</w:t>
            </w:r>
          </w:p>
        </w:tc>
      </w:tr>
      <w:tr w:rsidR="006A7F63" w:rsidRPr="006F393A" w:rsidTr="006A7F63">
        <w:trPr>
          <w:trHeight w:val="225"/>
        </w:trPr>
        <w:tc>
          <w:tcPr>
            <w:tcW w:w="1614" w:type="dxa"/>
            <w:shd w:val="clear" w:color="auto" w:fill="auto"/>
          </w:tcPr>
          <w:p w:rsidR="006A7F63" w:rsidRPr="006F393A" w:rsidRDefault="006A7F63" w:rsidP="006A7F63">
            <w:pPr>
              <w:rPr>
                <w:rFonts w:ascii="Arial Narrow" w:hAnsi="Arial Narrow"/>
                <w:sz w:val="20"/>
              </w:rPr>
            </w:pPr>
            <w:r w:rsidRPr="006F393A">
              <w:rPr>
                <w:rFonts w:ascii="Arial Narrow" w:hAnsi="Arial Narrow"/>
                <w:sz w:val="20"/>
              </w:rPr>
              <w:t>Cycle length</w:t>
            </w:r>
          </w:p>
        </w:tc>
        <w:tc>
          <w:tcPr>
            <w:tcW w:w="6744" w:type="dxa"/>
            <w:shd w:val="clear" w:color="auto" w:fill="auto"/>
          </w:tcPr>
          <w:p w:rsidR="006A7F63" w:rsidRPr="006F393A" w:rsidRDefault="006A7F63" w:rsidP="006A7F63">
            <w:pPr>
              <w:rPr>
                <w:rFonts w:ascii="Arial Narrow" w:hAnsi="Arial Narrow"/>
                <w:i/>
                <w:sz w:val="20"/>
              </w:rPr>
            </w:pPr>
            <w:r w:rsidRPr="006F393A">
              <w:rPr>
                <w:rFonts w:ascii="Arial Narrow" w:hAnsi="Arial Narrow"/>
                <w:sz w:val="20"/>
              </w:rPr>
              <w:t xml:space="preserve">4 weekly cycles in first year, followed by yearly cycles. </w:t>
            </w:r>
            <w:r w:rsidRPr="006F393A">
              <w:rPr>
                <w:rFonts w:ascii="Arial Narrow" w:hAnsi="Arial Narrow"/>
                <w:i/>
                <w:sz w:val="20"/>
              </w:rPr>
              <w:t>This is appropriate.</w:t>
            </w:r>
          </w:p>
        </w:tc>
      </w:tr>
      <w:tr w:rsidR="006A7F63" w:rsidRPr="006F393A" w:rsidTr="006A7F63">
        <w:trPr>
          <w:trHeight w:val="448"/>
        </w:trPr>
        <w:tc>
          <w:tcPr>
            <w:tcW w:w="1614" w:type="dxa"/>
            <w:shd w:val="clear" w:color="auto" w:fill="auto"/>
          </w:tcPr>
          <w:p w:rsidR="006A7F63" w:rsidRPr="006F393A" w:rsidRDefault="006A7F63" w:rsidP="006A7F63">
            <w:pPr>
              <w:rPr>
                <w:rFonts w:ascii="Arial Narrow" w:hAnsi="Arial Narrow"/>
                <w:sz w:val="20"/>
              </w:rPr>
            </w:pPr>
            <w:r w:rsidRPr="006F393A">
              <w:rPr>
                <w:rFonts w:ascii="Arial Narrow" w:hAnsi="Arial Narrow"/>
                <w:sz w:val="20"/>
              </w:rPr>
              <w:t>Transition probabilities</w:t>
            </w:r>
          </w:p>
        </w:tc>
        <w:tc>
          <w:tcPr>
            <w:tcW w:w="6744" w:type="dxa"/>
            <w:shd w:val="clear" w:color="auto" w:fill="auto"/>
          </w:tcPr>
          <w:p w:rsidR="006A7F63" w:rsidRPr="006F393A" w:rsidRDefault="006A7F63" w:rsidP="006A7F63">
            <w:pPr>
              <w:rPr>
                <w:rFonts w:ascii="Arial Narrow" w:hAnsi="Arial Narrow"/>
                <w:sz w:val="20"/>
              </w:rPr>
            </w:pPr>
            <w:r w:rsidRPr="006F393A">
              <w:rPr>
                <w:rFonts w:ascii="Arial Narrow" w:hAnsi="Arial Narrow"/>
                <w:sz w:val="20"/>
              </w:rPr>
              <w:t>Based on a literature review. See Section C.2.1, and D.4</w:t>
            </w:r>
            <w:r w:rsidR="00ED46E1" w:rsidRPr="006F393A">
              <w:rPr>
                <w:rFonts w:ascii="Arial Narrow" w:hAnsi="Arial Narrow"/>
                <w:sz w:val="20"/>
              </w:rPr>
              <w:t xml:space="preserve"> of the Commentary</w:t>
            </w:r>
            <w:r w:rsidRPr="006F393A">
              <w:rPr>
                <w:rFonts w:ascii="Arial Narrow" w:hAnsi="Arial Narrow"/>
                <w:sz w:val="20"/>
              </w:rPr>
              <w:t>.</w:t>
            </w:r>
          </w:p>
        </w:tc>
      </w:tr>
      <w:tr w:rsidR="006A7F63" w:rsidRPr="006F393A" w:rsidTr="006A7F63">
        <w:trPr>
          <w:trHeight w:val="240"/>
        </w:trPr>
        <w:tc>
          <w:tcPr>
            <w:tcW w:w="1614" w:type="dxa"/>
            <w:shd w:val="clear" w:color="auto" w:fill="auto"/>
          </w:tcPr>
          <w:p w:rsidR="006A7F63" w:rsidRPr="006F393A" w:rsidRDefault="006A7F63" w:rsidP="006A7F63">
            <w:pPr>
              <w:rPr>
                <w:rFonts w:ascii="Arial Narrow" w:hAnsi="Arial Narrow"/>
                <w:sz w:val="20"/>
              </w:rPr>
            </w:pPr>
            <w:r w:rsidRPr="006F393A">
              <w:rPr>
                <w:rFonts w:ascii="Arial Narrow" w:hAnsi="Arial Narrow"/>
                <w:sz w:val="20"/>
              </w:rPr>
              <w:t>Discount rate</w:t>
            </w:r>
          </w:p>
        </w:tc>
        <w:tc>
          <w:tcPr>
            <w:tcW w:w="6744" w:type="dxa"/>
            <w:shd w:val="clear" w:color="auto" w:fill="auto"/>
          </w:tcPr>
          <w:p w:rsidR="006A7F63" w:rsidRPr="006F393A" w:rsidRDefault="006A7F63" w:rsidP="006A7F63">
            <w:pPr>
              <w:rPr>
                <w:rFonts w:ascii="Arial Narrow" w:hAnsi="Arial Narrow"/>
                <w:sz w:val="20"/>
              </w:rPr>
            </w:pPr>
            <w:r w:rsidRPr="006F393A">
              <w:rPr>
                <w:rFonts w:ascii="Arial Narrow" w:hAnsi="Arial Narrow"/>
                <w:sz w:val="20"/>
              </w:rPr>
              <w:t>5% for costs and outcomes</w:t>
            </w:r>
          </w:p>
        </w:tc>
      </w:tr>
      <w:tr w:rsidR="006A7F63" w:rsidRPr="006F393A" w:rsidTr="006A7F63">
        <w:trPr>
          <w:trHeight w:val="225"/>
        </w:trPr>
        <w:tc>
          <w:tcPr>
            <w:tcW w:w="1614" w:type="dxa"/>
            <w:shd w:val="clear" w:color="auto" w:fill="auto"/>
          </w:tcPr>
          <w:p w:rsidR="006A7F63" w:rsidRPr="006F393A" w:rsidRDefault="006A7F63" w:rsidP="006A7F63">
            <w:pPr>
              <w:rPr>
                <w:rFonts w:ascii="Arial Narrow" w:hAnsi="Arial Narrow"/>
                <w:sz w:val="20"/>
              </w:rPr>
            </w:pPr>
            <w:r w:rsidRPr="006F393A">
              <w:rPr>
                <w:rFonts w:ascii="Arial Narrow" w:hAnsi="Arial Narrow"/>
                <w:sz w:val="20"/>
              </w:rPr>
              <w:t>Software package</w:t>
            </w:r>
          </w:p>
        </w:tc>
        <w:tc>
          <w:tcPr>
            <w:tcW w:w="6744" w:type="dxa"/>
            <w:shd w:val="clear" w:color="auto" w:fill="auto"/>
          </w:tcPr>
          <w:p w:rsidR="006A7F63" w:rsidRPr="006F393A" w:rsidRDefault="006A7F63" w:rsidP="006A7F63">
            <w:pPr>
              <w:rPr>
                <w:rFonts w:ascii="Arial Narrow" w:hAnsi="Arial Narrow"/>
                <w:sz w:val="20"/>
              </w:rPr>
            </w:pPr>
            <w:r w:rsidRPr="006F393A">
              <w:rPr>
                <w:rFonts w:ascii="Arial Narrow" w:hAnsi="Arial Narrow"/>
                <w:sz w:val="20"/>
              </w:rPr>
              <w:t>Excel 2010</w:t>
            </w:r>
          </w:p>
        </w:tc>
      </w:tr>
    </w:tbl>
    <w:p w:rsidR="006A7F63" w:rsidRPr="006F393A" w:rsidRDefault="006A7F63" w:rsidP="006A7F63">
      <w:pPr>
        <w:pStyle w:val="TableFooter"/>
        <w:ind w:firstLine="720"/>
        <w:rPr>
          <w:i/>
        </w:rPr>
      </w:pPr>
      <w:r w:rsidRPr="006F393A">
        <w:rPr>
          <w:i/>
        </w:rPr>
        <w:t>Source: compiled during the evaluation</w:t>
      </w:r>
    </w:p>
    <w:p w:rsidR="006A7F63" w:rsidRPr="006F393A" w:rsidRDefault="006A7F63" w:rsidP="006A7F63">
      <w:pPr>
        <w:widowControl/>
        <w:rPr>
          <w:szCs w:val="22"/>
        </w:rPr>
      </w:pPr>
    </w:p>
    <w:p w:rsidR="00AC5DE9" w:rsidRPr="006F393A" w:rsidRDefault="00AC5DE9" w:rsidP="00997EDA">
      <w:pPr>
        <w:pStyle w:val="ListParagraph"/>
        <w:widowControl/>
        <w:numPr>
          <w:ilvl w:val="1"/>
          <w:numId w:val="1"/>
        </w:numPr>
        <w:rPr>
          <w:szCs w:val="22"/>
        </w:rPr>
      </w:pPr>
      <w:r w:rsidRPr="006F393A">
        <w:t xml:space="preserve">The base-case economic analysis presented in the submission used results from Malachite I and Malachite II to estimate the SVR rates for non-cirrhotic patients, and used Turquoise II to estimate the SVR rates for cirrhotic patients. The submission justified this on the basis that the Malachite studies were the only ones that included a direct head-to-head comparison of </w:t>
      </w:r>
      <w:proofErr w:type="spellStart"/>
      <w:r w:rsidRPr="006F393A">
        <w:t>Viekira</w:t>
      </w:r>
      <w:proofErr w:type="spellEnd"/>
      <w:r w:rsidRPr="006F393A">
        <w:t xml:space="preserve"> PAK / </w:t>
      </w:r>
      <w:proofErr w:type="spellStart"/>
      <w:r w:rsidRPr="006F393A">
        <w:t>Viekira</w:t>
      </w:r>
      <w:proofErr w:type="spellEnd"/>
      <w:r w:rsidRPr="006F393A">
        <w:t xml:space="preserve"> PAK-RBV with a protease inhibitor (</w:t>
      </w:r>
      <w:proofErr w:type="spellStart"/>
      <w:r w:rsidRPr="006F393A">
        <w:t>telaprevir</w:t>
      </w:r>
      <w:proofErr w:type="spellEnd"/>
      <w:r w:rsidRPr="006F393A">
        <w:t>). As protease inhibitors are no longer the main comparator, the Commentary</w:t>
      </w:r>
      <w:r w:rsidR="009E5468" w:rsidRPr="006F393A">
        <w:t xml:space="preserve"> </w:t>
      </w:r>
      <w:r w:rsidRPr="006F393A">
        <w:t xml:space="preserve">used pooled results of SVR rate for each patient subgroup (in terms of previous treatment history and cirrhotic status) from all appropriate </w:t>
      </w:r>
      <w:proofErr w:type="spellStart"/>
      <w:r w:rsidRPr="006F393A">
        <w:t>Viekira</w:t>
      </w:r>
      <w:proofErr w:type="spellEnd"/>
      <w:r w:rsidRPr="006F393A">
        <w:t xml:space="preserve"> PAK / </w:t>
      </w:r>
      <w:proofErr w:type="spellStart"/>
      <w:r w:rsidRPr="006F393A">
        <w:t>Viekira</w:t>
      </w:r>
      <w:proofErr w:type="spellEnd"/>
      <w:r w:rsidRPr="006F393A">
        <w:t xml:space="preserve"> PAK-RBV arms in all </w:t>
      </w:r>
      <w:proofErr w:type="spellStart"/>
      <w:r w:rsidRPr="006F393A">
        <w:t>Viekira</w:t>
      </w:r>
      <w:proofErr w:type="spellEnd"/>
      <w:r w:rsidRPr="006F393A">
        <w:t xml:space="preserve"> PAK / </w:t>
      </w:r>
      <w:proofErr w:type="spellStart"/>
      <w:r w:rsidRPr="006F393A">
        <w:t>Viekira</w:t>
      </w:r>
      <w:proofErr w:type="spellEnd"/>
      <w:r w:rsidRPr="006F393A">
        <w:t xml:space="preserve"> PAK-RBV studies, and presented the results of economic evaluation for each subpopulation relative to no treatment.</w:t>
      </w:r>
    </w:p>
    <w:p w:rsidR="006A7F63" w:rsidRPr="006F393A" w:rsidRDefault="006A7F63" w:rsidP="006A7F63">
      <w:pPr>
        <w:pStyle w:val="ListParagraph"/>
        <w:widowControl/>
        <w:rPr>
          <w:szCs w:val="22"/>
        </w:rPr>
      </w:pPr>
    </w:p>
    <w:p w:rsidR="006A7F63" w:rsidRPr="006F393A" w:rsidRDefault="006A7F63" w:rsidP="00997EDA">
      <w:pPr>
        <w:pStyle w:val="ListParagraph"/>
        <w:widowControl/>
        <w:numPr>
          <w:ilvl w:val="1"/>
          <w:numId w:val="1"/>
        </w:numPr>
        <w:rPr>
          <w:szCs w:val="22"/>
        </w:rPr>
      </w:pPr>
      <w:r w:rsidRPr="006F393A">
        <w:t xml:space="preserve">Key drivers of the model are summarised in Table </w:t>
      </w:r>
      <w:r w:rsidR="007B6A5B" w:rsidRPr="006F393A">
        <w:t>11</w:t>
      </w:r>
      <w:r w:rsidRPr="006F393A">
        <w:t xml:space="preserve"> below.</w:t>
      </w:r>
    </w:p>
    <w:p w:rsidR="006A7F63" w:rsidRPr="006F393A" w:rsidRDefault="006A7F63" w:rsidP="006A7F63">
      <w:pPr>
        <w:widowControl/>
        <w:rPr>
          <w:szCs w:val="22"/>
        </w:rPr>
      </w:pPr>
    </w:p>
    <w:p w:rsidR="006A7F63" w:rsidRPr="006F393A" w:rsidRDefault="006A7F63" w:rsidP="006A7F63">
      <w:pPr>
        <w:pStyle w:val="TableHeader"/>
        <w:ind w:firstLine="720"/>
      </w:pPr>
      <w:r w:rsidRPr="006F393A">
        <w:t xml:space="preserve">Table </w:t>
      </w:r>
      <w:r w:rsidR="007B6A5B" w:rsidRPr="006F393A">
        <w:t>11</w:t>
      </w:r>
      <w:r w:rsidRPr="006F393A">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2"/>
        <w:gridCol w:w="3543"/>
        <w:gridCol w:w="2250"/>
      </w:tblGrid>
      <w:tr w:rsidR="006A7F63" w:rsidRPr="006F393A" w:rsidTr="006A7F63">
        <w:trPr>
          <w:tblHeader/>
        </w:trPr>
        <w:tc>
          <w:tcPr>
            <w:tcW w:w="1529" w:type="pct"/>
            <w:shd w:val="clear" w:color="auto" w:fill="auto"/>
            <w:vAlign w:val="center"/>
          </w:tcPr>
          <w:p w:rsidR="006A7F63" w:rsidRPr="006F393A" w:rsidRDefault="006A7F63" w:rsidP="006A7F63">
            <w:pPr>
              <w:jc w:val="left"/>
              <w:rPr>
                <w:rFonts w:ascii="Arial Narrow" w:hAnsi="Arial Narrow"/>
                <w:b/>
                <w:sz w:val="20"/>
                <w:lang w:val="en-US"/>
              </w:rPr>
            </w:pPr>
            <w:r w:rsidRPr="006F393A">
              <w:rPr>
                <w:rFonts w:ascii="Arial Narrow" w:hAnsi="Arial Narrow"/>
                <w:b/>
                <w:sz w:val="20"/>
                <w:lang w:val="en-US"/>
              </w:rPr>
              <w:t>Description</w:t>
            </w:r>
          </w:p>
        </w:tc>
        <w:tc>
          <w:tcPr>
            <w:tcW w:w="2123" w:type="pct"/>
            <w:shd w:val="clear" w:color="auto" w:fill="auto"/>
            <w:vAlign w:val="center"/>
          </w:tcPr>
          <w:p w:rsidR="006A7F63" w:rsidRPr="006F393A" w:rsidRDefault="006A7F63" w:rsidP="006A7F63">
            <w:pPr>
              <w:jc w:val="center"/>
              <w:rPr>
                <w:rFonts w:ascii="Arial Narrow" w:hAnsi="Arial Narrow"/>
                <w:b/>
                <w:sz w:val="20"/>
                <w:lang w:val="en-US"/>
              </w:rPr>
            </w:pPr>
            <w:r w:rsidRPr="006F393A">
              <w:rPr>
                <w:rFonts w:ascii="Arial Narrow" w:hAnsi="Arial Narrow"/>
                <w:b/>
                <w:sz w:val="20"/>
                <w:lang w:val="en-US"/>
              </w:rPr>
              <w:t>Method/Value</w:t>
            </w:r>
          </w:p>
        </w:tc>
        <w:tc>
          <w:tcPr>
            <w:tcW w:w="1348" w:type="pct"/>
            <w:shd w:val="clear" w:color="auto" w:fill="auto"/>
            <w:vAlign w:val="center"/>
          </w:tcPr>
          <w:p w:rsidR="006A7F63" w:rsidRPr="006F393A" w:rsidRDefault="006A7F63" w:rsidP="006A7F63">
            <w:pPr>
              <w:jc w:val="center"/>
              <w:rPr>
                <w:rFonts w:ascii="Arial Narrow" w:hAnsi="Arial Narrow"/>
                <w:b/>
                <w:sz w:val="20"/>
                <w:lang w:val="en-US"/>
              </w:rPr>
            </w:pPr>
            <w:r w:rsidRPr="006F393A">
              <w:rPr>
                <w:rFonts w:ascii="Arial Narrow" w:hAnsi="Arial Narrow"/>
                <w:b/>
                <w:sz w:val="20"/>
                <w:lang w:val="en-US"/>
              </w:rPr>
              <w:t>Impact</w:t>
            </w:r>
          </w:p>
        </w:tc>
      </w:tr>
      <w:tr w:rsidR="006A7F63" w:rsidRPr="006F393A" w:rsidTr="006A7F63">
        <w:tc>
          <w:tcPr>
            <w:tcW w:w="1529" w:type="pct"/>
            <w:shd w:val="clear" w:color="auto" w:fill="auto"/>
            <w:vAlign w:val="center"/>
          </w:tcPr>
          <w:p w:rsidR="006A7F63" w:rsidRPr="006F393A" w:rsidRDefault="006A7F63" w:rsidP="006A7F63">
            <w:pPr>
              <w:jc w:val="left"/>
              <w:rPr>
                <w:rFonts w:ascii="Arial Narrow" w:hAnsi="Arial Narrow"/>
                <w:sz w:val="20"/>
                <w:lang w:val="en-US"/>
              </w:rPr>
            </w:pPr>
            <w:r w:rsidRPr="006F393A">
              <w:rPr>
                <w:rFonts w:ascii="Arial Narrow" w:hAnsi="Arial Narrow"/>
                <w:sz w:val="20"/>
                <w:lang w:val="en-US"/>
              </w:rPr>
              <w:t>Transition probabilities between early states of HCV infections</w:t>
            </w:r>
          </w:p>
        </w:tc>
        <w:tc>
          <w:tcPr>
            <w:tcW w:w="2123" w:type="pct"/>
            <w:shd w:val="clear" w:color="auto" w:fill="auto"/>
            <w:vAlign w:val="center"/>
          </w:tcPr>
          <w:p w:rsidR="006A7F63" w:rsidRPr="006F393A" w:rsidRDefault="006A7F63" w:rsidP="006A7F63">
            <w:pPr>
              <w:pStyle w:val="TableText0"/>
              <w:keepNext w:val="0"/>
              <w:widowControl w:val="0"/>
              <w:spacing w:before="0" w:after="0"/>
            </w:pPr>
            <w:r w:rsidRPr="006F393A">
              <w:t>Mild to F2: 0.049</w:t>
            </w:r>
          </w:p>
          <w:p w:rsidR="006A7F63" w:rsidRPr="006F393A" w:rsidRDefault="006A7F63" w:rsidP="006A7F63">
            <w:pPr>
              <w:pStyle w:val="TableText0"/>
              <w:keepNext w:val="0"/>
              <w:widowControl w:val="0"/>
              <w:spacing w:before="0" w:after="0"/>
            </w:pPr>
            <w:r w:rsidRPr="006F393A">
              <w:t>F2 to F3: 0.113</w:t>
            </w:r>
          </w:p>
          <w:p w:rsidR="006A7F63" w:rsidRPr="006F393A" w:rsidRDefault="006A7F63" w:rsidP="006A7F63">
            <w:pPr>
              <w:pStyle w:val="TableText0"/>
              <w:keepNext w:val="0"/>
              <w:widowControl w:val="0"/>
              <w:spacing w:before="0" w:after="0"/>
            </w:pPr>
            <w:r w:rsidRPr="006F393A">
              <w:t>F3 to F4: 0.115</w:t>
            </w:r>
          </w:p>
          <w:p w:rsidR="006A7F63" w:rsidRPr="006F393A" w:rsidRDefault="00043ACF" w:rsidP="00EB1AE2">
            <w:pPr>
              <w:jc w:val="left"/>
              <w:rPr>
                <w:rFonts w:ascii="Arial Narrow" w:hAnsi="Arial Narrow"/>
                <w:sz w:val="20"/>
                <w:lang w:val="en-US"/>
              </w:rPr>
            </w:pPr>
            <w:r w:rsidRPr="006F393A">
              <w:rPr>
                <w:rFonts w:ascii="Arial Narrow" w:hAnsi="Arial Narrow"/>
                <w:i/>
                <w:sz w:val="20"/>
                <w:lang w:val="en-US"/>
              </w:rPr>
              <w:t xml:space="preserve">The ESC considered that </w:t>
            </w:r>
            <w:r w:rsidRPr="006F393A">
              <w:rPr>
                <w:rFonts w:ascii="Arial Narrow" w:hAnsi="Arial Narrow"/>
                <w:sz w:val="20"/>
                <w:lang w:val="en-US"/>
              </w:rPr>
              <w:t>the</w:t>
            </w:r>
            <w:r w:rsidR="006A7F63" w:rsidRPr="006F393A">
              <w:rPr>
                <w:rFonts w:ascii="Arial Narrow" w:hAnsi="Arial Narrow"/>
                <w:sz w:val="20"/>
                <w:lang w:val="en-US"/>
              </w:rPr>
              <w:t>se transition probabilities were</w:t>
            </w:r>
            <w:r w:rsidR="009E5468" w:rsidRPr="006F393A">
              <w:rPr>
                <w:rFonts w:ascii="Arial Narrow" w:hAnsi="Arial Narrow"/>
                <w:sz w:val="20"/>
                <w:lang w:val="en-US"/>
              </w:rPr>
              <w:t xml:space="preserve"> higher than those previously </w:t>
            </w:r>
            <w:r w:rsidR="00652F26" w:rsidRPr="006F393A">
              <w:rPr>
                <w:rFonts w:ascii="Arial Narrow" w:hAnsi="Arial Narrow"/>
                <w:sz w:val="20"/>
                <w:lang w:val="en-US"/>
              </w:rPr>
              <w:t>accepted by the PBAC and were</w:t>
            </w:r>
            <w:r w:rsidR="006A7F63" w:rsidRPr="006F393A">
              <w:rPr>
                <w:rFonts w:ascii="Arial Narrow" w:hAnsi="Arial Narrow"/>
                <w:sz w:val="20"/>
                <w:lang w:val="en-US"/>
              </w:rPr>
              <w:t xml:space="preserve"> likely to overestimate</w:t>
            </w:r>
            <w:r w:rsidR="00AC5DE9" w:rsidRPr="006F393A">
              <w:rPr>
                <w:rFonts w:ascii="Arial Narrow" w:hAnsi="Arial Narrow"/>
                <w:sz w:val="20"/>
                <w:lang w:val="en-US"/>
              </w:rPr>
              <w:t xml:space="preserve"> the rapidity of the natural progression of the disease in CHC</w:t>
            </w:r>
            <w:r w:rsidR="006A7F63" w:rsidRPr="006F393A">
              <w:rPr>
                <w:rFonts w:ascii="Arial Narrow" w:hAnsi="Arial Narrow"/>
                <w:sz w:val="20"/>
                <w:lang w:val="en-US"/>
              </w:rPr>
              <w:t>.</w:t>
            </w:r>
          </w:p>
        </w:tc>
        <w:tc>
          <w:tcPr>
            <w:tcW w:w="1348" w:type="pct"/>
            <w:shd w:val="clear" w:color="auto" w:fill="auto"/>
            <w:vAlign w:val="center"/>
          </w:tcPr>
          <w:p w:rsidR="006A7F63" w:rsidRPr="006F393A" w:rsidRDefault="006A7F63" w:rsidP="006A7F63">
            <w:pPr>
              <w:jc w:val="center"/>
              <w:rPr>
                <w:rFonts w:ascii="Arial Narrow" w:hAnsi="Arial Narrow"/>
                <w:sz w:val="20"/>
                <w:lang w:val="en-US"/>
              </w:rPr>
            </w:pPr>
            <w:r w:rsidRPr="006F393A">
              <w:rPr>
                <w:rFonts w:ascii="Arial Narrow" w:hAnsi="Arial Narrow"/>
                <w:sz w:val="20"/>
                <w:lang w:val="en-US"/>
              </w:rPr>
              <w:t xml:space="preserve">High, </w:t>
            </w:r>
            <w:proofErr w:type="spellStart"/>
            <w:r w:rsidRPr="006F393A">
              <w:rPr>
                <w:rFonts w:ascii="Arial Narrow" w:hAnsi="Arial Narrow"/>
                <w:sz w:val="20"/>
                <w:lang w:val="en-US"/>
              </w:rPr>
              <w:t>favours</w:t>
            </w:r>
            <w:proofErr w:type="spellEnd"/>
            <w:r w:rsidRPr="006F393A">
              <w:rPr>
                <w:rFonts w:ascii="Arial Narrow" w:hAnsi="Arial Narrow"/>
                <w:sz w:val="20"/>
                <w:lang w:val="en-US"/>
              </w:rPr>
              <w:t xml:space="preserve"> </w:t>
            </w:r>
            <w:proofErr w:type="spellStart"/>
            <w:r w:rsidR="00BD66D9" w:rsidRPr="006F393A">
              <w:rPr>
                <w:rFonts w:ascii="Arial Narrow" w:hAnsi="Arial Narrow"/>
                <w:sz w:val="20"/>
                <w:lang w:val="en-US"/>
              </w:rPr>
              <w:t>Viekira</w:t>
            </w:r>
            <w:proofErr w:type="spellEnd"/>
            <w:r w:rsidR="00BD66D9" w:rsidRPr="006F393A">
              <w:rPr>
                <w:rFonts w:ascii="Arial Narrow" w:hAnsi="Arial Narrow"/>
                <w:sz w:val="20"/>
                <w:lang w:val="en-US"/>
              </w:rPr>
              <w:t xml:space="preserve"> PAK / </w:t>
            </w:r>
            <w:proofErr w:type="spellStart"/>
            <w:r w:rsidR="00BD66D9" w:rsidRPr="006F393A">
              <w:rPr>
                <w:rFonts w:ascii="Arial Narrow" w:hAnsi="Arial Narrow"/>
                <w:sz w:val="20"/>
                <w:lang w:val="en-US"/>
              </w:rPr>
              <w:t>Viekira</w:t>
            </w:r>
            <w:proofErr w:type="spellEnd"/>
            <w:r w:rsidR="00BD66D9" w:rsidRPr="006F393A">
              <w:rPr>
                <w:rFonts w:ascii="Arial Narrow" w:hAnsi="Arial Narrow"/>
                <w:sz w:val="20"/>
                <w:lang w:val="en-US"/>
              </w:rPr>
              <w:t xml:space="preserve"> PAK-RBV</w:t>
            </w:r>
          </w:p>
        </w:tc>
      </w:tr>
      <w:tr w:rsidR="006A7F63" w:rsidRPr="006F393A" w:rsidTr="006A7F63">
        <w:tc>
          <w:tcPr>
            <w:tcW w:w="1529" w:type="pct"/>
            <w:shd w:val="clear" w:color="auto" w:fill="auto"/>
            <w:vAlign w:val="center"/>
          </w:tcPr>
          <w:p w:rsidR="006A7F63" w:rsidRPr="006F393A" w:rsidRDefault="006A7F63" w:rsidP="006A7F63">
            <w:pPr>
              <w:jc w:val="left"/>
              <w:rPr>
                <w:rFonts w:ascii="Arial Narrow" w:hAnsi="Arial Narrow"/>
                <w:sz w:val="20"/>
                <w:lang w:val="en-US"/>
              </w:rPr>
            </w:pPr>
            <w:r w:rsidRPr="006F393A">
              <w:rPr>
                <w:rFonts w:ascii="Arial Narrow" w:hAnsi="Arial Narrow"/>
                <w:sz w:val="20"/>
                <w:lang w:val="en-US"/>
              </w:rPr>
              <w:t>Costs of some health states</w:t>
            </w:r>
          </w:p>
        </w:tc>
        <w:tc>
          <w:tcPr>
            <w:tcW w:w="2123" w:type="pct"/>
            <w:shd w:val="clear" w:color="auto" w:fill="auto"/>
            <w:vAlign w:val="center"/>
          </w:tcPr>
          <w:p w:rsidR="006A7F63" w:rsidRPr="00F143B4" w:rsidRDefault="006A7F63" w:rsidP="006A7F63">
            <w:pPr>
              <w:pStyle w:val="TableText0"/>
              <w:keepNext w:val="0"/>
              <w:widowControl w:val="0"/>
              <w:spacing w:before="0" w:after="0"/>
            </w:pPr>
            <w:r w:rsidRPr="006F393A">
              <w:t xml:space="preserve">CC: </w:t>
            </w:r>
            <w:r w:rsidRPr="00F143B4">
              <w:t>$</w:t>
            </w:r>
            <w:r w:rsidR="00C87712">
              <w:rPr>
                <w:noProof/>
                <w:color w:val="000000"/>
                <w:highlight w:val="black"/>
              </w:rPr>
              <w:t>'''''''''''''''</w:t>
            </w:r>
          </w:p>
          <w:p w:rsidR="006A7F63" w:rsidRPr="00F143B4" w:rsidRDefault="006A7F63" w:rsidP="006A7F63">
            <w:pPr>
              <w:pStyle w:val="TableText0"/>
              <w:keepNext w:val="0"/>
              <w:widowControl w:val="0"/>
              <w:spacing w:before="0" w:after="0"/>
            </w:pPr>
            <w:r w:rsidRPr="00F143B4">
              <w:t>D</w:t>
            </w:r>
            <w:r w:rsidR="00A87C3B" w:rsidRPr="00F143B4">
              <w:t>C</w:t>
            </w:r>
            <w:r w:rsidRPr="00F143B4">
              <w:t>C: $</w:t>
            </w:r>
            <w:r w:rsidR="00C87712">
              <w:rPr>
                <w:noProof/>
                <w:color w:val="000000"/>
                <w:highlight w:val="black"/>
              </w:rPr>
              <w:t>''''''''''''''''</w:t>
            </w:r>
          </w:p>
          <w:p w:rsidR="006A7F63" w:rsidRPr="006F393A" w:rsidRDefault="006A7F63" w:rsidP="006A7F63">
            <w:pPr>
              <w:jc w:val="left"/>
              <w:rPr>
                <w:rFonts w:ascii="Arial Narrow" w:hAnsi="Arial Narrow"/>
                <w:sz w:val="20"/>
              </w:rPr>
            </w:pPr>
            <w:r w:rsidRPr="00F143B4">
              <w:rPr>
                <w:rFonts w:ascii="Arial Narrow" w:hAnsi="Arial Narrow"/>
                <w:sz w:val="20"/>
              </w:rPr>
              <w:t>HCC: $</w:t>
            </w:r>
            <w:r w:rsidR="00C87712">
              <w:rPr>
                <w:rFonts w:ascii="Arial Narrow" w:hAnsi="Arial Narrow"/>
                <w:noProof/>
                <w:color w:val="000000"/>
                <w:sz w:val="20"/>
                <w:highlight w:val="black"/>
              </w:rPr>
              <w:t>''''''''''''''''</w:t>
            </w:r>
          </w:p>
          <w:p w:rsidR="006A7F63" w:rsidRPr="006F393A" w:rsidRDefault="00E15619" w:rsidP="00AC5DE9">
            <w:pPr>
              <w:jc w:val="left"/>
              <w:rPr>
                <w:rFonts w:ascii="Arial Narrow" w:hAnsi="Arial Narrow"/>
                <w:sz w:val="20"/>
                <w:lang w:val="en-US"/>
              </w:rPr>
            </w:pPr>
            <w:r w:rsidRPr="006F393A">
              <w:rPr>
                <w:rFonts w:ascii="Arial Narrow" w:hAnsi="Arial Narrow"/>
                <w:i/>
                <w:sz w:val="20"/>
                <w:lang w:val="en-US"/>
              </w:rPr>
              <w:t xml:space="preserve">The ESC considered </w:t>
            </w:r>
            <w:r w:rsidRPr="006F393A">
              <w:rPr>
                <w:rFonts w:ascii="Arial Narrow" w:hAnsi="Arial Narrow"/>
                <w:sz w:val="20"/>
                <w:lang w:val="en-US"/>
              </w:rPr>
              <w:t>t</w:t>
            </w:r>
            <w:r w:rsidR="006A7F63" w:rsidRPr="006F393A">
              <w:rPr>
                <w:rFonts w:ascii="Arial Narrow" w:hAnsi="Arial Narrow"/>
                <w:sz w:val="20"/>
                <w:lang w:val="en-US"/>
              </w:rPr>
              <w:t>he above costs were likely to be overestimate</w:t>
            </w:r>
            <w:r w:rsidR="00AC5DE9" w:rsidRPr="006F393A">
              <w:rPr>
                <w:rFonts w:ascii="Arial Narrow" w:hAnsi="Arial Narrow"/>
                <w:sz w:val="20"/>
                <w:lang w:val="en-US"/>
              </w:rPr>
              <w:t xml:space="preserve">d given that resource use was sourced from patients who are unlikely to represent average patients with these conditions </w:t>
            </w:r>
          </w:p>
        </w:tc>
        <w:tc>
          <w:tcPr>
            <w:tcW w:w="1348" w:type="pct"/>
            <w:shd w:val="clear" w:color="auto" w:fill="auto"/>
            <w:vAlign w:val="center"/>
          </w:tcPr>
          <w:p w:rsidR="006A7F63" w:rsidRPr="006F393A" w:rsidRDefault="006A7F63" w:rsidP="00EE76D7">
            <w:pPr>
              <w:jc w:val="center"/>
              <w:rPr>
                <w:rFonts w:ascii="Arial Narrow" w:hAnsi="Arial Narrow"/>
                <w:sz w:val="20"/>
                <w:lang w:val="en-US"/>
              </w:rPr>
            </w:pPr>
            <w:r w:rsidRPr="006F393A">
              <w:rPr>
                <w:rFonts w:ascii="Arial Narrow" w:hAnsi="Arial Narrow"/>
                <w:sz w:val="20"/>
                <w:lang w:val="en-US"/>
              </w:rPr>
              <w:t xml:space="preserve">High, </w:t>
            </w:r>
            <w:proofErr w:type="spellStart"/>
            <w:r w:rsidRPr="006F393A">
              <w:rPr>
                <w:rFonts w:ascii="Arial Narrow" w:hAnsi="Arial Narrow"/>
                <w:sz w:val="20"/>
                <w:lang w:val="en-US"/>
              </w:rPr>
              <w:t>favours</w:t>
            </w:r>
            <w:proofErr w:type="spellEnd"/>
            <w:r w:rsidRPr="006F393A">
              <w:rPr>
                <w:rFonts w:ascii="Arial Narrow" w:hAnsi="Arial Narrow"/>
                <w:sz w:val="20"/>
                <w:lang w:val="en-US"/>
              </w:rPr>
              <w:t xml:space="preserve"> </w:t>
            </w:r>
            <w:proofErr w:type="spellStart"/>
            <w:r w:rsidR="00BD66D9" w:rsidRPr="006F393A">
              <w:rPr>
                <w:rFonts w:ascii="Arial Narrow" w:hAnsi="Arial Narrow"/>
                <w:sz w:val="20"/>
                <w:lang w:val="en-US"/>
              </w:rPr>
              <w:t>Viekira</w:t>
            </w:r>
            <w:proofErr w:type="spellEnd"/>
            <w:r w:rsidR="00BD66D9" w:rsidRPr="006F393A">
              <w:rPr>
                <w:rFonts w:ascii="Arial Narrow" w:hAnsi="Arial Narrow"/>
                <w:sz w:val="20"/>
                <w:lang w:val="en-US"/>
              </w:rPr>
              <w:t xml:space="preserve"> PAK / </w:t>
            </w:r>
            <w:proofErr w:type="spellStart"/>
            <w:r w:rsidR="00BD66D9" w:rsidRPr="006F393A">
              <w:rPr>
                <w:rFonts w:ascii="Arial Narrow" w:hAnsi="Arial Narrow"/>
                <w:sz w:val="20"/>
                <w:lang w:val="en-US"/>
              </w:rPr>
              <w:t>Viekira</w:t>
            </w:r>
            <w:proofErr w:type="spellEnd"/>
            <w:r w:rsidR="00BD66D9" w:rsidRPr="006F393A">
              <w:rPr>
                <w:rFonts w:ascii="Arial Narrow" w:hAnsi="Arial Narrow"/>
                <w:sz w:val="20"/>
                <w:lang w:val="en-US"/>
              </w:rPr>
              <w:t xml:space="preserve"> PAK-RBV</w:t>
            </w:r>
          </w:p>
        </w:tc>
      </w:tr>
    </w:tbl>
    <w:p w:rsidR="006A7F63" w:rsidRPr="006F393A" w:rsidRDefault="006A7F63" w:rsidP="006A7F63">
      <w:pPr>
        <w:pStyle w:val="TableFooter"/>
        <w:ind w:firstLine="720"/>
      </w:pPr>
      <w:r w:rsidRPr="006F393A">
        <w:t>CC = compensated cirrhosis; D</w:t>
      </w:r>
      <w:r w:rsidR="00A87C3B" w:rsidRPr="006F393A">
        <w:t>C</w:t>
      </w:r>
      <w:r w:rsidRPr="006F393A">
        <w:t>C = decompensated cirrhosis; HCC = hepatocellular carcinoma.</w:t>
      </w:r>
    </w:p>
    <w:p w:rsidR="006A7F63" w:rsidRPr="006F393A" w:rsidRDefault="006A7F63" w:rsidP="006A7F63">
      <w:pPr>
        <w:pStyle w:val="TableFooter"/>
        <w:ind w:firstLine="720"/>
      </w:pPr>
      <w:r w:rsidRPr="006F393A">
        <w:t>Source: compiled during the evaluation</w:t>
      </w:r>
    </w:p>
    <w:p w:rsidR="006A7F63" w:rsidRPr="006F393A" w:rsidRDefault="006A7F63" w:rsidP="006A7F63">
      <w:pPr>
        <w:widowControl/>
        <w:rPr>
          <w:szCs w:val="22"/>
        </w:rPr>
      </w:pPr>
    </w:p>
    <w:p w:rsidR="004F2ED3" w:rsidRPr="006F393A" w:rsidRDefault="006A7F63" w:rsidP="003E6C98">
      <w:pPr>
        <w:pStyle w:val="ListParagraph"/>
        <w:widowControl/>
        <w:numPr>
          <w:ilvl w:val="1"/>
          <w:numId w:val="1"/>
        </w:numPr>
        <w:rPr>
          <w:szCs w:val="22"/>
        </w:rPr>
      </w:pPr>
      <w:r w:rsidRPr="006F393A">
        <w:rPr>
          <w:szCs w:val="22"/>
        </w:rPr>
        <w:t xml:space="preserve">Transition probabilities relating to the early stages of the disease, particularly from Mild CHC (F0/F1) to F2, F2 to F3 and F3 to </w:t>
      </w:r>
      <w:proofErr w:type="gramStart"/>
      <w:r w:rsidRPr="006F393A">
        <w:rPr>
          <w:szCs w:val="22"/>
        </w:rPr>
        <w:t>F4,</w:t>
      </w:r>
      <w:proofErr w:type="gramEnd"/>
      <w:r w:rsidRPr="006F393A">
        <w:rPr>
          <w:szCs w:val="22"/>
        </w:rPr>
        <w:t xml:space="preserve"> appeared to accelerate the natural history of the disease when compared to those used in other economic evaluations. The meta-analysis from which they were derived was based on a number of older longitudinal studies (some dating back to 1970), which, given the improvements in accuracy of available diagnostic methods and available treatments, may over-estimate the progression of the disease (</w:t>
      </w:r>
      <w:proofErr w:type="spellStart"/>
      <w:r w:rsidRPr="006F393A">
        <w:rPr>
          <w:szCs w:val="22"/>
        </w:rPr>
        <w:t>Telaprevir</w:t>
      </w:r>
      <w:proofErr w:type="spellEnd"/>
      <w:r w:rsidRPr="006F393A">
        <w:rPr>
          <w:szCs w:val="22"/>
        </w:rPr>
        <w:t xml:space="preserve"> Public Summary Document (PSD), March 2012 PBAC meeting). The use of these values favoured </w:t>
      </w:r>
      <w:proofErr w:type="spellStart"/>
      <w:r w:rsidR="00BD66D9" w:rsidRPr="006F393A">
        <w:rPr>
          <w:szCs w:val="22"/>
        </w:rPr>
        <w:t>Viekira</w:t>
      </w:r>
      <w:proofErr w:type="spellEnd"/>
      <w:r w:rsidR="00BD66D9" w:rsidRPr="006F393A">
        <w:rPr>
          <w:szCs w:val="22"/>
        </w:rPr>
        <w:t xml:space="preserve"> PAK / </w:t>
      </w:r>
      <w:proofErr w:type="spellStart"/>
      <w:r w:rsidR="00BD66D9" w:rsidRPr="006F393A">
        <w:rPr>
          <w:szCs w:val="22"/>
        </w:rPr>
        <w:t>Viekira</w:t>
      </w:r>
      <w:proofErr w:type="spellEnd"/>
      <w:r w:rsidR="00BD66D9" w:rsidRPr="006F393A">
        <w:rPr>
          <w:szCs w:val="22"/>
        </w:rPr>
        <w:t xml:space="preserve"> PAK-RBV</w:t>
      </w:r>
      <w:r w:rsidRPr="006F393A">
        <w:rPr>
          <w:szCs w:val="22"/>
        </w:rPr>
        <w:t xml:space="preserve">, and the model was particularly sensitive to this variable. </w:t>
      </w:r>
      <w:r w:rsidRPr="006F393A">
        <w:t>Sensitivity analyses adjusting the transition probabilities to those used in a recent National Institute for Health and Care Excellence (NICE) evaluation were performed during the evaluation (which required the F2 and F3 health states to be combined into a ‘moderate’ health state), and the results indicated that the ICER</w:t>
      </w:r>
      <w:r w:rsidR="003E6C98">
        <w:t xml:space="preserve"> </w:t>
      </w:r>
      <w:r w:rsidRPr="006F393A">
        <w:t xml:space="preserve">increases substantially from </w:t>
      </w:r>
      <w:r w:rsidR="0008444D">
        <w:t>$15,000</w:t>
      </w:r>
      <w:r w:rsidRPr="006F393A">
        <w:t>/QALY</w:t>
      </w:r>
      <w:r w:rsidR="0008444D">
        <w:t xml:space="preserve"> - $45,000/QALY</w:t>
      </w:r>
      <w:r w:rsidRPr="006F393A">
        <w:t xml:space="preserve"> to </w:t>
      </w:r>
      <w:r w:rsidR="00C4074D">
        <w:t>$</w:t>
      </w:r>
      <w:r w:rsidR="0008444D">
        <w:t>15,000</w:t>
      </w:r>
      <w:r w:rsidRPr="006F393A">
        <w:t xml:space="preserve">/QALY </w:t>
      </w:r>
      <w:r w:rsidR="0008444D">
        <w:t xml:space="preserve">- $45,000/QALY </w:t>
      </w:r>
      <w:r w:rsidRPr="006F393A">
        <w:t>for treatment-naïve non-cirrhotic patients.</w:t>
      </w:r>
    </w:p>
    <w:p w:rsidR="009701B0" w:rsidRDefault="004F2ED3" w:rsidP="004F2ED3">
      <w:pPr>
        <w:pStyle w:val="PBACHeading1"/>
        <w:numPr>
          <w:ilvl w:val="0"/>
          <w:numId w:val="0"/>
        </w:numPr>
        <w:ind w:left="720" w:hanging="720"/>
      </w:pPr>
      <w:r w:rsidRPr="006F393A">
        <w:t xml:space="preserve"> </w:t>
      </w:r>
    </w:p>
    <w:p w:rsidR="006A7F63" w:rsidRPr="009701B0" w:rsidRDefault="009701B0" w:rsidP="009701B0">
      <w:pPr>
        <w:widowControl/>
        <w:jc w:val="left"/>
        <w:rPr>
          <w:b/>
          <w:szCs w:val="22"/>
        </w:rPr>
      </w:pPr>
      <w:r>
        <w:br w:type="page"/>
      </w:r>
    </w:p>
    <w:p w:rsidR="006A7F63" w:rsidRPr="006F393A" w:rsidRDefault="006A7F63" w:rsidP="00997EDA">
      <w:pPr>
        <w:pStyle w:val="ListParagraph"/>
        <w:widowControl/>
        <w:numPr>
          <w:ilvl w:val="1"/>
          <w:numId w:val="1"/>
        </w:numPr>
        <w:rPr>
          <w:szCs w:val="22"/>
        </w:rPr>
      </w:pPr>
      <w:r w:rsidRPr="006F393A">
        <w:t xml:space="preserve">Health state costs used in the submission were sourced from a study commissioned by the Sponsor (referred to as the </w:t>
      </w:r>
      <w:proofErr w:type="spellStart"/>
      <w:r w:rsidRPr="006F393A">
        <w:t>AbbVie</w:t>
      </w:r>
      <w:proofErr w:type="spellEnd"/>
      <w:r w:rsidRPr="006F393A">
        <w:t xml:space="preserve"> MRU Audit in the submission). </w:t>
      </w:r>
      <w:r w:rsidR="00D31A1A" w:rsidRPr="006F393A">
        <w:t xml:space="preserve">The Audit was a non-interventional, retrospective, observational study of patients with genotype 1 CHC conducted at two accredited liver clinics, and one liver transplant clinic. </w:t>
      </w:r>
      <w:r w:rsidR="00EB1AE2" w:rsidRPr="006F393A">
        <w:t>More details of the methods and results of this study are provided in an appendix to this ESC advice.</w:t>
      </w:r>
      <w:r w:rsidR="00D31A1A" w:rsidRPr="006F393A">
        <w:t xml:space="preserve"> </w:t>
      </w:r>
      <w:r w:rsidR="00BB6FB4" w:rsidRPr="006F393A">
        <w:t>Some health costs</w:t>
      </w:r>
      <w:r w:rsidR="009C270C" w:rsidRPr="006F393A">
        <w:t xml:space="preserve"> associated with liver disease</w:t>
      </w:r>
      <w:r w:rsidR="00BB6FB4" w:rsidRPr="006F393A">
        <w:t xml:space="preserve"> in the submission are </w:t>
      </w:r>
      <w:r w:rsidR="009C270C" w:rsidRPr="006F393A">
        <w:t>higher than in recent Australian publications</w:t>
      </w:r>
      <w:r w:rsidRPr="006F393A">
        <w:rPr>
          <w:szCs w:val="22"/>
        </w:rPr>
        <w:t>:</w:t>
      </w:r>
      <w:r w:rsidRPr="006F393A">
        <w:t xml:space="preserve"> </w:t>
      </w:r>
    </w:p>
    <w:p w:rsidR="006A7F63" w:rsidRPr="006076EB" w:rsidRDefault="006A7F63" w:rsidP="00997EDA">
      <w:pPr>
        <w:pStyle w:val="ListParagraph"/>
        <w:numPr>
          <w:ilvl w:val="0"/>
          <w:numId w:val="6"/>
        </w:numPr>
        <w:rPr>
          <w:szCs w:val="22"/>
        </w:rPr>
      </w:pPr>
      <w:r w:rsidRPr="006F393A">
        <w:rPr>
          <w:szCs w:val="22"/>
        </w:rPr>
        <w:t>Compensated Cirrhosis (CC</w:t>
      </w:r>
      <w:r w:rsidRPr="006076EB">
        <w:rPr>
          <w:szCs w:val="22"/>
        </w:rPr>
        <w:t>) (F4)</w:t>
      </w:r>
      <w:r w:rsidR="003B76DD" w:rsidRPr="006076EB">
        <w:rPr>
          <w:szCs w:val="22"/>
        </w:rPr>
        <w:t xml:space="preserve"> ($</w:t>
      </w:r>
      <w:r w:rsidR="00C87712">
        <w:rPr>
          <w:noProof/>
          <w:color w:val="000000"/>
          <w:szCs w:val="22"/>
          <w:highlight w:val="black"/>
        </w:rPr>
        <w:t>'''''''''''''''</w:t>
      </w:r>
      <w:r w:rsidR="003B76DD" w:rsidRPr="006076EB">
        <w:rPr>
          <w:szCs w:val="22"/>
        </w:rPr>
        <w:t>)</w:t>
      </w:r>
      <w:r w:rsidRPr="006076EB">
        <w:rPr>
          <w:szCs w:val="22"/>
        </w:rPr>
        <w:t xml:space="preserve">: </w:t>
      </w:r>
      <w:r w:rsidR="00CD3E8A" w:rsidRPr="006076EB">
        <w:rPr>
          <w:szCs w:val="22"/>
        </w:rPr>
        <w:t xml:space="preserve">The cost for CC was estimated from patients attending two liver treatment clinics for the first time </w:t>
      </w:r>
      <w:r w:rsidR="00734052" w:rsidRPr="006076EB">
        <w:rPr>
          <w:szCs w:val="22"/>
        </w:rPr>
        <w:t xml:space="preserve"> and followed them up </w:t>
      </w:r>
      <w:r w:rsidR="00CD3E8A" w:rsidRPr="006076EB">
        <w:rPr>
          <w:szCs w:val="22"/>
        </w:rPr>
        <w:t>in a two-year period</w:t>
      </w:r>
      <w:r w:rsidR="003B76DD" w:rsidRPr="006076EB">
        <w:rPr>
          <w:szCs w:val="22"/>
        </w:rPr>
        <w:t>. A number of patients attending for the first time with CC developed complications associated with decompensated cirrhosis during the follow-up period (see Section C.4.1</w:t>
      </w:r>
      <w:r w:rsidR="00ED46E1" w:rsidRPr="006076EB">
        <w:rPr>
          <w:szCs w:val="22"/>
        </w:rPr>
        <w:t xml:space="preserve"> of the Commentary</w:t>
      </w:r>
      <w:r w:rsidR="003B76DD" w:rsidRPr="006076EB">
        <w:rPr>
          <w:szCs w:val="22"/>
        </w:rPr>
        <w:t>).</w:t>
      </w:r>
      <w:r w:rsidR="00CD3E8A" w:rsidRPr="006076EB">
        <w:rPr>
          <w:szCs w:val="22"/>
        </w:rPr>
        <w:t xml:space="preserve"> </w:t>
      </w:r>
      <w:r w:rsidRPr="006076EB">
        <w:rPr>
          <w:szCs w:val="22"/>
        </w:rPr>
        <w:t>The majority of this health state cost ($</w:t>
      </w:r>
      <w:r w:rsidR="00C87712">
        <w:rPr>
          <w:noProof/>
          <w:color w:val="000000"/>
          <w:szCs w:val="22"/>
          <w:highlight w:val="black"/>
        </w:rPr>
        <w:t>'''''''''''''</w:t>
      </w:r>
      <w:r w:rsidRPr="006076EB">
        <w:rPr>
          <w:szCs w:val="22"/>
        </w:rPr>
        <w:t xml:space="preserve">; </w:t>
      </w:r>
      <w:r w:rsidR="00C87712">
        <w:rPr>
          <w:noProof/>
          <w:color w:val="000000"/>
          <w:szCs w:val="22"/>
          <w:highlight w:val="black"/>
        </w:rPr>
        <w:t>'''''''</w:t>
      </w:r>
      <w:r w:rsidRPr="006076EB">
        <w:rPr>
          <w:szCs w:val="22"/>
        </w:rPr>
        <w:t>%) is attributable to hospitalisations that are likely to relate to patients who have progressed to decompensated cirrhosis (</w:t>
      </w:r>
      <w:r w:rsidR="00EE76D7" w:rsidRPr="006076EB">
        <w:rPr>
          <w:szCs w:val="22"/>
        </w:rPr>
        <w:t>e.g.</w:t>
      </w:r>
      <w:r w:rsidRPr="006076EB">
        <w:rPr>
          <w:szCs w:val="22"/>
        </w:rPr>
        <w:t xml:space="preserve"> for pleural effusion and cirrhosis / alcoholic hepatitis). This estimate is substantially higher than that used in other recent Australian studies</w:t>
      </w:r>
      <w:r w:rsidR="003B76DD" w:rsidRPr="006076EB">
        <w:rPr>
          <w:szCs w:val="22"/>
        </w:rPr>
        <w:t xml:space="preserve"> </w:t>
      </w:r>
      <w:r w:rsidRPr="006076EB">
        <w:rPr>
          <w:szCs w:val="22"/>
        </w:rPr>
        <w:t>($715 - $909)</w:t>
      </w:r>
      <w:r w:rsidR="00A13A77" w:rsidRPr="006076EB">
        <w:rPr>
          <w:szCs w:val="22"/>
        </w:rPr>
        <w:t>, which did not include costs relating to hospitalisation</w:t>
      </w:r>
      <w:r w:rsidRPr="006076EB">
        <w:rPr>
          <w:szCs w:val="22"/>
        </w:rPr>
        <w:t>.</w:t>
      </w:r>
    </w:p>
    <w:p w:rsidR="006A7F63" w:rsidRPr="006076EB" w:rsidRDefault="006A7F63" w:rsidP="00DC13D9">
      <w:pPr>
        <w:pStyle w:val="ListParagraph"/>
        <w:numPr>
          <w:ilvl w:val="0"/>
          <w:numId w:val="6"/>
        </w:numPr>
        <w:rPr>
          <w:szCs w:val="22"/>
        </w:rPr>
      </w:pPr>
      <w:r w:rsidRPr="006076EB">
        <w:rPr>
          <w:szCs w:val="22"/>
        </w:rPr>
        <w:t>Decompensated cirrhosis (DCC)</w:t>
      </w:r>
      <w:r w:rsidR="003B76DD" w:rsidRPr="006076EB">
        <w:rPr>
          <w:szCs w:val="22"/>
        </w:rPr>
        <w:t xml:space="preserve"> ($</w:t>
      </w:r>
      <w:r w:rsidR="00C87712">
        <w:rPr>
          <w:noProof/>
          <w:color w:val="000000"/>
          <w:szCs w:val="22"/>
          <w:highlight w:val="black"/>
        </w:rPr>
        <w:t>'''''''''''''''''</w:t>
      </w:r>
      <w:r w:rsidR="003B76DD" w:rsidRPr="006076EB">
        <w:rPr>
          <w:szCs w:val="22"/>
        </w:rPr>
        <w:t>)</w:t>
      </w:r>
      <w:r w:rsidRPr="006076EB">
        <w:rPr>
          <w:szCs w:val="22"/>
        </w:rPr>
        <w:t>: The cost for DCC was estimated from patients attending a liver transplant clinic. Resource use for patients attending a liver transplant clinic in the time leading up to a liver transplant is unlikely to represent the average cost of a patient with DCC</w:t>
      </w:r>
      <w:r w:rsidR="003B76DD" w:rsidRPr="006076EB">
        <w:rPr>
          <w:szCs w:val="22"/>
        </w:rPr>
        <w:t>, and likely to represent patients with more severe complications of DCC</w:t>
      </w:r>
      <w:r w:rsidRPr="006076EB">
        <w:rPr>
          <w:szCs w:val="22"/>
        </w:rPr>
        <w:t xml:space="preserve">. </w:t>
      </w:r>
      <w:r w:rsidR="003B76DD" w:rsidRPr="006076EB">
        <w:rPr>
          <w:szCs w:val="22"/>
        </w:rPr>
        <w:t xml:space="preserve">Patients with DCC may be managed at a liver clinic, with only those at the severe end of the spectrum, and those suitable for transplantation being referred to a liver transplant clinic. </w:t>
      </w:r>
      <w:r w:rsidRPr="006076EB">
        <w:rPr>
          <w:szCs w:val="22"/>
        </w:rPr>
        <w:t>This estimate is considerably higher than those provided in other recent Australian papers ($11 748 - $13,363)</w:t>
      </w:r>
      <w:r w:rsidR="003B76DD" w:rsidRPr="006076EB">
        <w:rPr>
          <w:szCs w:val="22"/>
        </w:rPr>
        <w:t>, and may be attributable to the increased morbidity of the sample population.</w:t>
      </w:r>
    </w:p>
    <w:p w:rsidR="006A7F63" w:rsidRPr="006F393A" w:rsidRDefault="006A7F63" w:rsidP="00DC13D9">
      <w:pPr>
        <w:pStyle w:val="ListParagraph"/>
        <w:numPr>
          <w:ilvl w:val="0"/>
          <w:numId w:val="6"/>
        </w:numPr>
        <w:rPr>
          <w:szCs w:val="22"/>
        </w:rPr>
      </w:pPr>
      <w:r w:rsidRPr="006076EB">
        <w:rPr>
          <w:szCs w:val="22"/>
        </w:rPr>
        <w:t>Hepatocellular carcinoma (HCC)</w:t>
      </w:r>
      <w:r w:rsidR="003B76DD" w:rsidRPr="006076EB">
        <w:rPr>
          <w:szCs w:val="22"/>
        </w:rPr>
        <w:t xml:space="preserve"> ($</w:t>
      </w:r>
      <w:r w:rsidR="00C87712">
        <w:rPr>
          <w:noProof/>
          <w:color w:val="000000"/>
          <w:szCs w:val="22"/>
          <w:highlight w:val="black"/>
        </w:rPr>
        <w:t>'''''''''''''''</w:t>
      </w:r>
      <w:r w:rsidR="003B76DD" w:rsidRPr="006076EB">
        <w:rPr>
          <w:szCs w:val="22"/>
        </w:rPr>
        <w:t>)</w:t>
      </w:r>
      <w:r w:rsidRPr="006076EB">
        <w:rPr>
          <w:szCs w:val="22"/>
        </w:rPr>
        <w:t>: A</w:t>
      </w:r>
      <w:r w:rsidRPr="006F393A">
        <w:rPr>
          <w:szCs w:val="22"/>
        </w:rPr>
        <w:t xml:space="preserve">s with the estimates for DCC, it is possible that the patient population managed in a liver-transplant clinic prior to receiving a transplant may have a different resource use than the average patient with HCC in the Australian population (which may be managed by a liver </w:t>
      </w:r>
      <w:r w:rsidR="00755D16" w:rsidRPr="006F393A">
        <w:rPr>
          <w:szCs w:val="22"/>
        </w:rPr>
        <w:t>clinic or oncologist</w:t>
      </w:r>
      <w:r w:rsidRPr="006F393A">
        <w:rPr>
          <w:szCs w:val="22"/>
        </w:rPr>
        <w:t>). It is possible that this is an over-estimate of the health state cost for HCC, as it may also include some additional resources in preparation for the liver transplant. This estimate is substantially higher than the estimated cost for this health state from recent Australian studies ($9,712 - $17,872)</w:t>
      </w:r>
      <w:r w:rsidR="00CE2D17" w:rsidRPr="006F393A">
        <w:rPr>
          <w:szCs w:val="22"/>
        </w:rPr>
        <w:t>.</w:t>
      </w:r>
    </w:p>
    <w:p w:rsidR="008D1F19" w:rsidRPr="006F393A" w:rsidRDefault="008D1F19" w:rsidP="004F2ED3">
      <w:pPr>
        <w:widowControl/>
        <w:rPr>
          <w:i/>
          <w:szCs w:val="22"/>
        </w:rPr>
      </w:pPr>
    </w:p>
    <w:p w:rsidR="00B12A09" w:rsidRPr="006F393A" w:rsidRDefault="00B12A09" w:rsidP="00997EDA">
      <w:pPr>
        <w:pStyle w:val="ListParagraph"/>
        <w:widowControl/>
        <w:numPr>
          <w:ilvl w:val="1"/>
          <w:numId w:val="1"/>
        </w:numPr>
        <w:rPr>
          <w:i/>
          <w:szCs w:val="22"/>
        </w:rPr>
      </w:pPr>
      <w:r w:rsidRPr="006F393A">
        <w:t>The</w:t>
      </w:r>
      <w:r w:rsidRPr="006F393A">
        <w:rPr>
          <w:szCs w:val="22"/>
        </w:rPr>
        <w:t xml:space="preserve"> ESC </w:t>
      </w:r>
      <w:r w:rsidR="00EB1AE2" w:rsidRPr="006F393A">
        <w:rPr>
          <w:szCs w:val="22"/>
        </w:rPr>
        <w:t>considered that</w:t>
      </w:r>
      <w:r w:rsidRPr="006F393A">
        <w:rPr>
          <w:szCs w:val="22"/>
        </w:rPr>
        <w:t xml:space="preserve"> </w:t>
      </w:r>
      <w:r w:rsidR="00D45CA9" w:rsidRPr="006F393A">
        <w:rPr>
          <w:szCs w:val="22"/>
        </w:rPr>
        <w:t xml:space="preserve">MRU audit may not represent the </w:t>
      </w:r>
      <w:r w:rsidR="00E05C95" w:rsidRPr="006F393A">
        <w:rPr>
          <w:szCs w:val="22"/>
        </w:rPr>
        <w:t xml:space="preserve">average </w:t>
      </w:r>
      <w:r w:rsidR="00D45CA9" w:rsidRPr="006F393A">
        <w:rPr>
          <w:szCs w:val="22"/>
        </w:rPr>
        <w:t xml:space="preserve">health costs and resource use for treating Australian patients with all stages of the disease </w:t>
      </w:r>
      <w:r w:rsidR="00E05C95" w:rsidRPr="006F393A">
        <w:rPr>
          <w:szCs w:val="22"/>
        </w:rPr>
        <w:t xml:space="preserve">across </w:t>
      </w:r>
      <w:r w:rsidR="00D45CA9" w:rsidRPr="006F393A">
        <w:rPr>
          <w:szCs w:val="22"/>
        </w:rPr>
        <w:t>differen</w:t>
      </w:r>
      <w:r w:rsidR="00E05C95" w:rsidRPr="006F393A">
        <w:rPr>
          <w:szCs w:val="22"/>
        </w:rPr>
        <w:t>t</w:t>
      </w:r>
      <w:r w:rsidR="00D45CA9" w:rsidRPr="006F393A">
        <w:rPr>
          <w:szCs w:val="22"/>
        </w:rPr>
        <w:t xml:space="preserve"> clinical settings. Overall, the ESC considered that the h</w:t>
      </w:r>
      <w:r w:rsidR="00043ACF" w:rsidRPr="006F393A">
        <w:rPr>
          <w:szCs w:val="22"/>
        </w:rPr>
        <w:t>ealth costs were overestimated</w:t>
      </w:r>
      <w:r w:rsidR="00043ACF" w:rsidRPr="006F393A">
        <w:rPr>
          <w:i/>
          <w:szCs w:val="22"/>
        </w:rPr>
        <w:t>.</w:t>
      </w:r>
    </w:p>
    <w:p w:rsidR="006A7F63" w:rsidRPr="006F393A" w:rsidRDefault="006A7F63" w:rsidP="009036D1">
      <w:pPr>
        <w:widowControl/>
        <w:ind w:left="720"/>
        <w:rPr>
          <w:bCs/>
          <w:i/>
          <w:szCs w:val="22"/>
        </w:rPr>
      </w:pPr>
    </w:p>
    <w:p w:rsidR="006A7F63" w:rsidRPr="006F393A" w:rsidRDefault="00164E40" w:rsidP="00997EDA">
      <w:pPr>
        <w:pStyle w:val="ListParagraph"/>
        <w:widowControl/>
        <w:numPr>
          <w:ilvl w:val="1"/>
          <w:numId w:val="1"/>
        </w:numPr>
        <w:rPr>
          <w:szCs w:val="22"/>
        </w:rPr>
      </w:pPr>
      <w:r w:rsidRPr="006F393A">
        <w:t xml:space="preserve">The results of </w:t>
      </w:r>
      <w:r w:rsidR="00341649" w:rsidRPr="006F393A">
        <w:t xml:space="preserve">the </w:t>
      </w:r>
      <w:r w:rsidRPr="006F393A">
        <w:t xml:space="preserve">economic evaluation </w:t>
      </w:r>
      <w:r w:rsidR="00341649" w:rsidRPr="006F393A">
        <w:t xml:space="preserve">(with no treatment as the comparator) </w:t>
      </w:r>
      <w:r w:rsidRPr="006F393A">
        <w:t xml:space="preserve">are summarised below. The results suggested that </w:t>
      </w:r>
      <w:proofErr w:type="spellStart"/>
      <w:r w:rsidRPr="006F393A">
        <w:t>Viekira</w:t>
      </w:r>
      <w:proofErr w:type="spellEnd"/>
      <w:r w:rsidRPr="006F393A">
        <w:t xml:space="preserve"> PAK / </w:t>
      </w:r>
      <w:proofErr w:type="spellStart"/>
      <w:r w:rsidRPr="006F393A">
        <w:t>Viekira</w:t>
      </w:r>
      <w:proofErr w:type="spellEnd"/>
      <w:r w:rsidRPr="006F393A">
        <w:t xml:space="preserve"> PAK-RBV </w:t>
      </w:r>
      <w:r w:rsidR="00C87712">
        <w:rPr>
          <w:noProof/>
          <w:color w:val="000000"/>
          <w:highlight w:val="black"/>
        </w:rPr>
        <w:t>'''''''''''''''''''''''' '''''' '''''''''''''''''''''''</w:t>
      </w:r>
      <w:r w:rsidRPr="006F393A">
        <w:t xml:space="preserve"> in cirrhotic patients (except those who were prior null responders and received 24 weeks treatment). This outcome was primarily driven by an overall reduction in resource use in the </w:t>
      </w:r>
      <w:proofErr w:type="spellStart"/>
      <w:r w:rsidRPr="006F393A">
        <w:t>Viekira</w:t>
      </w:r>
      <w:proofErr w:type="spellEnd"/>
      <w:r w:rsidRPr="006F393A">
        <w:t xml:space="preserve"> PAK / </w:t>
      </w:r>
      <w:proofErr w:type="spellStart"/>
      <w:r w:rsidRPr="006F393A">
        <w:t>Viekira</w:t>
      </w:r>
      <w:proofErr w:type="spellEnd"/>
      <w:r w:rsidRPr="006F393A">
        <w:t xml:space="preserve"> PAK-RBV arm because fewer patients would be progressing </w:t>
      </w:r>
      <w:r w:rsidR="00341649" w:rsidRPr="006F393A">
        <w:t>(due to accelerated transition probabilities)</w:t>
      </w:r>
      <w:r w:rsidR="00341649" w:rsidRPr="006F393A">
        <w:rPr>
          <w:i/>
        </w:rPr>
        <w:t xml:space="preserve"> </w:t>
      </w:r>
      <w:r w:rsidRPr="006F393A">
        <w:t>to the later high cost he</w:t>
      </w:r>
      <w:r w:rsidR="00116561" w:rsidRPr="006F393A">
        <w:t>alth states (CC, DCC and HCC).</w:t>
      </w:r>
    </w:p>
    <w:p w:rsidR="006A7F63" w:rsidRPr="006F393A" w:rsidRDefault="006A7F63" w:rsidP="006A7F63">
      <w:pPr>
        <w:widowControl/>
        <w:rPr>
          <w:szCs w:val="22"/>
        </w:rPr>
      </w:pPr>
    </w:p>
    <w:p w:rsidR="006A7F63" w:rsidRPr="006F393A" w:rsidRDefault="006A7F63" w:rsidP="006076EB">
      <w:pPr>
        <w:pStyle w:val="TableHeader"/>
        <w:keepNext/>
        <w:ind w:left="709"/>
      </w:pPr>
      <w:r w:rsidRPr="006F393A">
        <w:t>Table 1</w:t>
      </w:r>
      <w:r w:rsidR="007B6A5B" w:rsidRPr="006F393A">
        <w:t>2</w:t>
      </w:r>
      <w:r w:rsidRPr="006F393A">
        <w:t xml:space="preserve">: </w:t>
      </w:r>
      <w:r w:rsidR="00164E40" w:rsidRPr="006F393A">
        <w:t xml:space="preserve">Results of the economic evaluation of </w:t>
      </w:r>
      <w:proofErr w:type="spellStart"/>
      <w:r w:rsidR="00164E40" w:rsidRPr="006F393A">
        <w:t>Viekira</w:t>
      </w:r>
      <w:proofErr w:type="spellEnd"/>
      <w:r w:rsidR="00164E40" w:rsidRPr="006F393A">
        <w:t xml:space="preserve"> PAK/</w:t>
      </w:r>
      <w:proofErr w:type="spellStart"/>
      <w:r w:rsidR="00164E40" w:rsidRPr="006F393A">
        <w:t>Viekira</w:t>
      </w:r>
      <w:proofErr w:type="spellEnd"/>
      <w:r w:rsidR="00164E40" w:rsidRPr="006F393A">
        <w:t xml:space="preserve"> PAK-RBV relative to no treatment, by sub-genotype, treatment history and cirrhotic status</w:t>
      </w:r>
    </w:p>
    <w:tbl>
      <w:tblPr>
        <w:tblStyle w:val="TableGrid"/>
        <w:tblW w:w="4584" w:type="pct"/>
        <w:tblInd w:w="756" w:type="dxa"/>
        <w:tblCellMar>
          <w:left w:w="28" w:type="dxa"/>
          <w:right w:w="28" w:type="dxa"/>
        </w:tblCellMar>
        <w:tblLook w:val="04A0" w:firstRow="1" w:lastRow="0" w:firstColumn="1" w:lastColumn="0" w:noHBand="0" w:noVBand="1"/>
        <w:tblCaption w:val="Table 12: Results of the economic evaluation of Viekira PAK/Viekira PAK-RBV relative to no treatment, by sub-genotype, treatment history and cirrhotic status"/>
        <w:tblDescription w:val="This table describes the results of the economic evaluation of Viekira PAK/Viekira PAK-RBV relative to no treatment, by sub-genotype, treatment history and cirrhotic status"/>
      </w:tblPr>
      <w:tblGrid>
        <w:gridCol w:w="1178"/>
        <w:gridCol w:w="1092"/>
        <w:gridCol w:w="2370"/>
        <w:gridCol w:w="1227"/>
        <w:gridCol w:w="1227"/>
        <w:gridCol w:w="1232"/>
      </w:tblGrid>
      <w:tr w:rsidR="006A7F63" w:rsidRPr="006F393A" w:rsidTr="0028796E">
        <w:trPr>
          <w:tblHeader/>
        </w:trPr>
        <w:tc>
          <w:tcPr>
            <w:tcW w:w="707" w:type="pct"/>
            <w:vAlign w:val="center"/>
            <w:hideMark/>
          </w:tcPr>
          <w:p w:rsidR="006A7F63" w:rsidRPr="006F393A" w:rsidRDefault="006A7F63" w:rsidP="006076EB">
            <w:pPr>
              <w:pStyle w:val="Tabletext"/>
              <w:keepNext/>
              <w:rPr>
                <w:b/>
              </w:rPr>
            </w:pPr>
            <w:r w:rsidRPr="006F393A">
              <w:rPr>
                <w:b/>
              </w:rPr>
              <w:t>Treatment setting</w:t>
            </w:r>
          </w:p>
        </w:tc>
        <w:tc>
          <w:tcPr>
            <w:tcW w:w="656" w:type="pct"/>
            <w:vAlign w:val="center"/>
            <w:hideMark/>
          </w:tcPr>
          <w:p w:rsidR="006A7F63" w:rsidRPr="006F393A" w:rsidRDefault="006A7F63" w:rsidP="006076EB">
            <w:pPr>
              <w:pStyle w:val="Tabletext"/>
              <w:keepNext/>
              <w:jc w:val="center"/>
              <w:rPr>
                <w:b/>
              </w:rPr>
            </w:pPr>
            <w:r w:rsidRPr="006F393A">
              <w:rPr>
                <w:b/>
              </w:rPr>
              <w:t>Genotype</w:t>
            </w:r>
          </w:p>
        </w:tc>
        <w:tc>
          <w:tcPr>
            <w:tcW w:w="1423" w:type="pct"/>
            <w:noWrap/>
            <w:vAlign w:val="center"/>
            <w:hideMark/>
          </w:tcPr>
          <w:p w:rsidR="006A7F63" w:rsidRPr="006F393A" w:rsidRDefault="006A7F63" w:rsidP="006076EB">
            <w:pPr>
              <w:pStyle w:val="Tabletext"/>
              <w:keepNext/>
              <w:jc w:val="center"/>
              <w:rPr>
                <w:b/>
              </w:rPr>
            </w:pPr>
            <w:r w:rsidRPr="006F393A">
              <w:rPr>
                <w:b/>
              </w:rPr>
              <w:t>Regimen</w:t>
            </w:r>
          </w:p>
        </w:tc>
        <w:tc>
          <w:tcPr>
            <w:tcW w:w="737" w:type="pct"/>
            <w:vAlign w:val="center"/>
            <w:hideMark/>
          </w:tcPr>
          <w:p w:rsidR="006A7F63" w:rsidRPr="006F393A" w:rsidRDefault="006A7F63" w:rsidP="006076EB">
            <w:pPr>
              <w:pStyle w:val="Tabletext"/>
              <w:keepNext/>
              <w:jc w:val="center"/>
              <w:rPr>
                <w:b/>
              </w:rPr>
            </w:pPr>
            <w:r w:rsidRPr="006F393A">
              <w:rPr>
                <w:b/>
              </w:rPr>
              <w:t>Incremental Costs</w:t>
            </w:r>
          </w:p>
        </w:tc>
        <w:tc>
          <w:tcPr>
            <w:tcW w:w="737" w:type="pct"/>
            <w:vAlign w:val="center"/>
            <w:hideMark/>
          </w:tcPr>
          <w:p w:rsidR="006A7F63" w:rsidRPr="006F393A" w:rsidRDefault="006A7F63" w:rsidP="006076EB">
            <w:pPr>
              <w:pStyle w:val="Tabletext"/>
              <w:keepNext/>
              <w:jc w:val="center"/>
              <w:rPr>
                <w:b/>
              </w:rPr>
            </w:pPr>
            <w:r w:rsidRPr="006F393A">
              <w:rPr>
                <w:b/>
              </w:rPr>
              <w:t>Incremental QALYs</w:t>
            </w:r>
          </w:p>
        </w:tc>
        <w:tc>
          <w:tcPr>
            <w:tcW w:w="739" w:type="pct"/>
            <w:vAlign w:val="center"/>
            <w:hideMark/>
          </w:tcPr>
          <w:p w:rsidR="006A7F63" w:rsidRPr="006F393A" w:rsidRDefault="006A7F63" w:rsidP="006076EB">
            <w:pPr>
              <w:pStyle w:val="Tabletext"/>
              <w:keepNext/>
              <w:jc w:val="center"/>
              <w:rPr>
                <w:b/>
              </w:rPr>
            </w:pPr>
            <w:r w:rsidRPr="006F393A">
              <w:rPr>
                <w:b/>
              </w:rPr>
              <w:t>ICER</w:t>
            </w:r>
          </w:p>
        </w:tc>
      </w:tr>
      <w:tr w:rsidR="006A7F63" w:rsidRPr="006F393A" w:rsidTr="006A7F63">
        <w:tc>
          <w:tcPr>
            <w:tcW w:w="5000" w:type="pct"/>
            <w:gridSpan w:val="6"/>
            <w:hideMark/>
          </w:tcPr>
          <w:p w:rsidR="006A7F63" w:rsidRPr="006076EB" w:rsidRDefault="006A7F63" w:rsidP="006076EB">
            <w:pPr>
              <w:pStyle w:val="Tabletext"/>
              <w:keepNext/>
              <w:rPr>
                <w:b/>
                <w:bCs/>
              </w:rPr>
            </w:pPr>
            <w:r w:rsidRPr="006076EB">
              <w:rPr>
                <w:b/>
                <w:bCs/>
              </w:rPr>
              <w:t>Non-cirrhotic</w:t>
            </w:r>
          </w:p>
        </w:tc>
      </w:tr>
      <w:tr w:rsidR="006A7F63" w:rsidRPr="006F393A" w:rsidTr="006A7F63">
        <w:tc>
          <w:tcPr>
            <w:tcW w:w="707" w:type="pct"/>
            <w:hideMark/>
          </w:tcPr>
          <w:p w:rsidR="006A7F63" w:rsidRPr="006076EB" w:rsidRDefault="006A7F63" w:rsidP="006A7F63">
            <w:pPr>
              <w:pStyle w:val="Tabletext"/>
            </w:pPr>
            <w:r w:rsidRPr="006076EB">
              <w:t xml:space="preserve">Naïve </w:t>
            </w:r>
          </w:p>
        </w:tc>
        <w:tc>
          <w:tcPr>
            <w:tcW w:w="656" w:type="pct"/>
            <w:hideMark/>
          </w:tcPr>
          <w:p w:rsidR="006A7F63" w:rsidRPr="006076EB" w:rsidRDefault="006A7F63" w:rsidP="006A7F63">
            <w:pPr>
              <w:pStyle w:val="Tabletext"/>
            </w:pPr>
            <w:r w:rsidRPr="006076EB">
              <w:rPr>
                <w:rStyle w:val="TableText1"/>
                <w:rFonts w:ascii="Arial Narrow" w:hAnsi="Arial Narrow"/>
              </w:rPr>
              <w:t>1a &amp; 1b</w:t>
            </w:r>
          </w:p>
        </w:tc>
        <w:tc>
          <w:tcPr>
            <w:tcW w:w="1423" w:type="pct"/>
            <w:noWrap/>
            <w:hideMark/>
          </w:tcPr>
          <w:p w:rsidR="006A7F63" w:rsidRPr="006076EB" w:rsidRDefault="006A7F63" w:rsidP="006A7F63">
            <w:pPr>
              <w:pStyle w:val="Tabletext"/>
            </w:pPr>
            <w:proofErr w:type="spellStart"/>
            <w:r w:rsidRPr="006076EB">
              <w:t>Viekira</w:t>
            </w:r>
            <w:proofErr w:type="spellEnd"/>
            <w:r w:rsidRPr="006076EB">
              <w:t xml:space="preserve"> PAK+/-RBV 12 weeks</w:t>
            </w:r>
          </w:p>
        </w:tc>
        <w:tc>
          <w:tcPr>
            <w:tcW w:w="737" w:type="pct"/>
            <w:noWrap/>
            <w:vAlign w:val="center"/>
            <w:hideMark/>
          </w:tcPr>
          <w:p w:rsidR="006A7F63" w:rsidRPr="006076EB" w:rsidRDefault="006A7F63" w:rsidP="006A7F63">
            <w:pPr>
              <w:pStyle w:val="Tabletext"/>
              <w:jc w:val="center"/>
            </w:pPr>
            <w:r w:rsidRPr="006076EB">
              <w:rPr>
                <w:color w:val="000000"/>
              </w:rPr>
              <w:t>$</w:t>
            </w:r>
            <w:r w:rsidR="00C87712">
              <w:rPr>
                <w:noProof/>
                <w:color w:val="000000"/>
                <w:highlight w:val="black"/>
              </w:rPr>
              <w:t>''''''''''''''''</w:t>
            </w:r>
          </w:p>
        </w:tc>
        <w:tc>
          <w:tcPr>
            <w:tcW w:w="737" w:type="pct"/>
            <w:vAlign w:val="bottom"/>
            <w:hideMark/>
          </w:tcPr>
          <w:p w:rsidR="006A7F63" w:rsidRPr="006076EB" w:rsidRDefault="006A7F63" w:rsidP="006A7F63">
            <w:pPr>
              <w:pStyle w:val="Tabletext"/>
              <w:jc w:val="center"/>
            </w:pPr>
            <w:r w:rsidRPr="006076EB">
              <w:t>1.21</w:t>
            </w:r>
          </w:p>
        </w:tc>
        <w:tc>
          <w:tcPr>
            <w:tcW w:w="739" w:type="pct"/>
            <w:noWrap/>
            <w:vAlign w:val="center"/>
            <w:hideMark/>
          </w:tcPr>
          <w:p w:rsidR="006A7F63" w:rsidRPr="006076EB" w:rsidRDefault="006A7F63" w:rsidP="006A7F63">
            <w:pPr>
              <w:pStyle w:val="Tabletext"/>
              <w:jc w:val="center"/>
            </w:pPr>
            <w:r w:rsidRPr="006076EB">
              <w:rPr>
                <w:color w:val="000000"/>
              </w:rPr>
              <w:t>$</w:t>
            </w:r>
            <w:r w:rsidR="00C87712">
              <w:rPr>
                <w:noProof/>
                <w:color w:val="000000"/>
                <w:highlight w:val="black"/>
              </w:rPr>
              <w:t>''''''''''''''''''</w:t>
            </w:r>
          </w:p>
        </w:tc>
      </w:tr>
      <w:tr w:rsidR="006A7F63" w:rsidRPr="006F393A" w:rsidTr="006A7F63">
        <w:tc>
          <w:tcPr>
            <w:tcW w:w="707" w:type="pct"/>
            <w:hideMark/>
          </w:tcPr>
          <w:p w:rsidR="006A7F63" w:rsidRPr="006076EB" w:rsidRDefault="006A7F63" w:rsidP="006A7F63">
            <w:pPr>
              <w:pStyle w:val="Tabletext"/>
            </w:pPr>
            <w:r w:rsidRPr="006076EB">
              <w:t>Experienced</w:t>
            </w:r>
          </w:p>
        </w:tc>
        <w:tc>
          <w:tcPr>
            <w:tcW w:w="656" w:type="pct"/>
            <w:hideMark/>
          </w:tcPr>
          <w:p w:rsidR="006A7F63" w:rsidRPr="006076EB" w:rsidRDefault="006A7F63" w:rsidP="006A7F63">
            <w:pPr>
              <w:pStyle w:val="Tabletext"/>
            </w:pPr>
            <w:r w:rsidRPr="006076EB">
              <w:rPr>
                <w:rStyle w:val="TableText1"/>
                <w:rFonts w:ascii="Arial Narrow" w:hAnsi="Arial Narrow"/>
              </w:rPr>
              <w:t>1a &amp; 1b</w:t>
            </w:r>
          </w:p>
        </w:tc>
        <w:tc>
          <w:tcPr>
            <w:tcW w:w="1423" w:type="pct"/>
            <w:noWrap/>
            <w:hideMark/>
          </w:tcPr>
          <w:p w:rsidR="006A7F63" w:rsidRPr="006076EB" w:rsidRDefault="006A7F63" w:rsidP="006A7F63">
            <w:pPr>
              <w:pStyle w:val="Tabletext"/>
            </w:pPr>
            <w:proofErr w:type="spellStart"/>
            <w:r w:rsidRPr="006076EB">
              <w:t>Viekira</w:t>
            </w:r>
            <w:proofErr w:type="spellEnd"/>
            <w:r w:rsidRPr="006076EB">
              <w:t xml:space="preserve"> PAK+/-RBV 12 weeks</w:t>
            </w:r>
          </w:p>
        </w:tc>
        <w:tc>
          <w:tcPr>
            <w:tcW w:w="737" w:type="pct"/>
            <w:noWrap/>
            <w:vAlign w:val="center"/>
            <w:hideMark/>
          </w:tcPr>
          <w:p w:rsidR="006A7F63" w:rsidRPr="006076EB" w:rsidRDefault="006A7F63" w:rsidP="006A7F63">
            <w:pPr>
              <w:pStyle w:val="Tabletext"/>
              <w:jc w:val="center"/>
            </w:pPr>
            <w:r w:rsidRPr="006076EB">
              <w:rPr>
                <w:color w:val="000000"/>
              </w:rPr>
              <w:t>$</w:t>
            </w:r>
            <w:r w:rsidR="00C87712">
              <w:rPr>
                <w:noProof/>
                <w:color w:val="000000"/>
                <w:highlight w:val="black"/>
              </w:rPr>
              <w:t>''''''''''''''''</w:t>
            </w:r>
          </w:p>
        </w:tc>
        <w:tc>
          <w:tcPr>
            <w:tcW w:w="737" w:type="pct"/>
            <w:vAlign w:val="bottom"/>
            <w:hideMark/>
          </w:tcPr>
          <w:p w:rsidR="006A7F63" w:rsidRPr="006076EB" w:rsidRDefault="006A7F63" w:rsidP="006A7F63">
            <w:pPr>
              <w:pStyle w:val="Tabletext"/>
              <w:jc w:val="center"/>
            </w:pPr>
            <w:r w:rsidRPr="006076EB">
              <w:t>1.39</w:t>
            </w:r>
          </w:p>
        </w:tc>
        <w:tc>
          <w:tcPr>
            <w:tcW w:w="739" w:type="pct"/>
            <w:noWrap/>
            <w:vAlign w:val="center"/>
            <w:hideMark/>
          </w:tcPr>
          <w:p w:rsidR="006A7F63" w:rsidRPr="006076EB" w:rsidRDefault="006A7F63" w:rsidP="006A7F63">
            <w:pPr>
              <w:pStyle w:val="Tabletext"/>
              <w:jc w:val="center"/>
            </w:pPr>
            <w:r w:rsidRPr="006076EB">
              <w:rPr>
                <w:color w:val="000000"/>
              </w:rPr>
              <w:t>$</w:t>
            </w:r>
            <w:r w:rsidR="00C87712">
              <w:rPr>
                <w:noProof/>
                <w:color w:val="000000"/>
                <w:highlight w:val="black"/>
              </w:rPr>
              <w:t>'''''''''''''''''</w:t>
            </w:r>
          </w:p>
        </w:tc>
      </w:tr>
      <w:tr w:rsidR="006A7F63" w:rsidRPr="006F393A" w:rsidTr="006A7F63">
        <w:tc>
          <w:tcPr>
            <w:tcW w:w="5000" w:type="pct"/>
            <w:gridSpan w:val="6"/>
            <w:noWrap/>
            <w:hideMark/>
          </w:tcPr>
          <w:p w:rsidR="006A7F63" w:rsidRPr="006076EB" w:rsidRDefault="006A7F63" w:rsidP="006A7F63">
            <w:pPr>
              <w:pStyle w:val="Tabletext"/>
              <w:rPr>
                <w:b/>
                <w:bCs/>
              </w:rPr>
            </w:pPr>
            <w:r w:rsidRPr="006076EB">
              <w:rPr>
                <w:b/>
                <w:bCs/>
              </w:rPr>
              <w:t>Cirrhotic</w:t>
            </w:r>
          </w:p>
        </w:tc>
      </w:tr>
      <w:tr w:rsidR="006A7F63" w:rsidRPr="006F393A" w:rsidTr="006A7F63">
        <w:tc>
          <w:tcPr>
            <w:tcW w:w="707" w:type="pct"/>
            <w:hideMark/>
          </w:tcPr>
          <w:p w:rsidR="006A7F63" w:rsidRPr="006076EB" w:rsidRDefault="006A7F63" w:rsidP="006A7F63">
            <w:pPr>
              <w:pStyle w:val="Tabletext"/>
            </w:pPr>
            <w:r w:rsidRPr="006076EB">
              <w:t>Naïve</w:t>
            </w:r>
          </w:p>
        </w:tc>
        <w:tc>
          <w:tcPr>
            <w:tcW w:w="656" w:type="pct"/>
            <w:hideMark/>
          </w:tcPr>
          <w:p w:rsidR="006A7F63" w:rsidRPr="006076EB" w:rsidRDefault="006A7F63" w:rsidP="006A7F63">
            <w:pPr>
              <w:pStyle w:val="Tabletext"/>
            </w:pPr>
            <w:r w:rsidRPr="006076EB">
              <w:rPr>
                <w:rStyle w:val="TableText1"/>
                <w:rFonts w:ascii="Arial Narrow" w:hAnsi="Arial Narrow"/>
              </w:rPr>
              <w:t>1a &amp; 1b</w:t>
            </w:r>
          </w:p>
        </w:tc>
        <w:tc>
          <w:tcPr>
            <w:tcW w:w="1423" w:type="pct"/>
            <w:noWrap/>
            <w:vAlign w:val="center"/>
            <w:hideMark/>
          </w:tcPr>
          <w:p w:rsidR="006A7F63" w:rsidRPr="006076EB" w:rsidRDefault="006A7F63" w:rsidP="006A7F63">
            <w:pPr>
              <w:pStyle w:val="Tabletext"/>
            </w:pPr>
            <w:proofErr w:type="spellStart"/>
            <w:r w:rsidRPr="006076EB">
              <w:t>Viekira</w:t>
            </w:r>
            <w:proofErr w:type="spellEnd"/>
            <w:r w:rsidRPr="006076EB">
              <w:t xml:space="preserve"> PAK-RBV 12 weeks</w:t>
            </w:r>
          </w:p>
        </w:tc>
        <w:tc>
          <w:tcPr>
            <w:tcW w:w="737" w:type="pct"/>
            <w:noWrap/>
            <w:vAlign w:val="center"/>
            <w:hideMark/>
          </w:tcPr>
          <w:p w:rsidR="006A7F63" w:rsidRPr="006076EB" w:rsidRDefault="00C87712" w:rsidP="006A7F63">
            <w:pPr>
              <w:pStyle w:val="TableText0"/>
              <w:spacing w:before="0" w:after="0"/>
              <w:jc w:val="center"/>
            </w:pPr>
            <w:r>
              <w:rPr>
                <w:noProof/>
                <w:color w:val="000000"/>
                <w:highlight w:val="black"/>
              </w:rPr>
              <w:t>''</w:t>
            </w:r>
            <w:r w:rsidR="006A7F63" w:rsidRPr="006076EB">
              <w:t>$</w:t>
            </w:r>
            <w:r>
              <w:rPr>
                <w:noProof/>
                <w:color w:val="000000"/>
                <w:highlight w:val="black"/>
              </w:rPr>
              <w:t>'''''''''''''''''</w:t>
            </w:r>
          </w:p>
        </w:tc>
        <w:tc>
          <w:tcPr>
            <w:tcW w:w="737" w:type="pct"/>
            <w:vAlign w:val="center"/>
            <w:hideMark/>
          </w:tcPr>
          <w:p w:rsidR="006A7F63" w:rsidRPr="006076EB" w:rsidRDefault="006A7F63" w:rsidP="006A7F63">
            <w:pPr>
              <w:pStyle w:val="TableText0"/>
              <w:spacing w:before="0" w:after="0"/>
              <w:jc w:val="center"/>
            </w:pPr>
            <w:r w:rsidRPr="006076EB">
              <w:t>2.51</w:t>
            </w:r>
          </w:p>
        </w:tc>
        <w:tc>
          <w:tcPr>
            <w:tcW w:w="739" w:type="pct"/>
            <w:noWrap/>
            <w:vAlign w:val="center"/>
            <w:hideMark/>
          </w:tcPr>
          <w:p w:rsidR="006A7F63" w:rsidRPr="00C87712" w:rsidRDefault="00C87712" w:rsidP="006A7F63">
            <w:pPr>
              <w:pStyle w:val="TableText0"/>
              <w:spacing w:before="0" w:after="0"/>
              <w:jc w:val="center"/>
              <w:rPr>
                <w:highlight w:val="black"/>
              </w:rPr>
            </w:pPr>
            <w:r>
              <w:rPr>
                <w:noProof/>
                <w:color w:val="000000"/>
                <w:highlight w:val="black"/>
              </w:rPr>
              <w:t>''''''''''''''''''''''</w:t>
            </w:r>
          </w:p>
        </w:tc>
      </w:tr>
      <w:tr w:rsidR="006A7F63" w:rsidRPr="006F393A" w:rsidTr="006A7F63">
        <w:tc>
          <w:tcPr>
            <w:tcW w:w="707" w:type="pct"/>
          </w:tcPr>
          <w:p w:rsidR="006A7F63" w:rsidRPr="006076EB" w:rsidRDefault="006A7F63" w:rsidP="006A7F63">
            <w:pPr>
              <w:pStyle w:val="Tabletext"/>
            </w:pPr>
            <w:r w:rsidRPr="006076EB">
              <w:t>Treatment experienced excl. GT1a prior null responders</w:t>
            </w:r>
          </w:p>
        </w:tc>
        <w:tc>
          <w:tcPr>
            <w:tcW w:w="656" w:type="pct"/>
            <w:vAlign w:val="center"/>
          </w:tcPr>
          <w:p w:rsidR="006A7F63" w:rsidRPr="006076EB" w:rsidRDefault="006A7F63" w:rsidP="006A7F63">
            <w:pPr>
              <w:pStyle w:val="Tabletext"/>
            </w:pPr>
            <w:r w:rsidRPr="006076EB">
              <w:t>1a &amp; 1b</w:t>
            </w:r>
          </w:p>
        </w:tc>
        <w:tc>
          <w:tcPr>
            <w:tcW w:w="1423" w:type="pct"/>
            <w:noWrap/>
            <w:vAlign w:val="center"/>
          </w:tcPr>
          <w:p w:rsidR="006A7F63" w:rsidRPr="006076EB" w:rsidRDefault="006A7F63" w:rsidP="006A7F63">
            <w:pPr>
              <w:pStyle w:val="Tabletext"/>
            </w:pPr>
            <w:proofErr w:type="spellStart"/>
            <w:r w:rsidRPr="006076EB">
              <w:t>Viekira</w:t>
            </w:r>
            <w:proofErr w:type="spellEnd"/>
            <w:r w:rsidRPr="006076EB">
              <w:t xml:space="preserve"> PAK-RBV 12 weeks</w:t>
            </w:r>
          </w:p>
        </w:tc>
        <w:tc>
          <w:tcPr>
            <w:tcW w:w="737" w:type="pct"/>
            <w:noWrap/>
            <w:vAlign w:val="center"/>
          </w:tcPr>
          <w:p w:rsidR="006A7F63" w:rsidRPr="006076EB" w:rsidRDefault="00C87712" w:rsidP="006A7F63">
            <w:pPr>
              <w:pStyle w:val="TableText0"/>
              <w:spacing w:before="0" w:after="0"/>
              <w:jc w:val="center"/>
            </w:pPr>
            <w:r>
              <w:rPr>
                <w:noProof/>
                <w:color w:val="000000"/>
                <w:highlight w:val="black"/>
              </w:rPr>
              <w:t>'''</w:t>
            </w:r>
            <w:r w:rsidR="006A7F63" w:rsidRPr="006076EB">
              <w:t>$</w:t>
            </w:r>
            <w:r>
              <w:rPr>
                <w:noProof/>
                <w:color w:val="000000"/>
                <w:highlight w:val="black"/>
              </w:rPr>
              <w:t>'''''''''''''''</w:t>
            </w:r>
          </w:p>
        </w:tc>
        <w:tc>
          <w:tcPr>
            <w:tcW w:w="737" w:type="pct"/>
            <w:vAlign w:val="center"/>
          </w:tcPr>
          <w:p w:rsidR="006A7F63" w:rsidRPr="006076EB" w:rsidRDefault="006A7F63" w:rsidP="006A7F63">
            <w:pPr>
              <w:pStyle w:val="TableText0"/>
              <w:spacing w:before="0" w:after="0"/>
              <w:jc w:val="center"/>
            </w:pPr>
            <w:r w:rsidRPr="006076EB">
              <w:t>2.50</w:t>
            </w:r>
          </w:p>
        </w:tc>
        <w:tc>
          <w:tcPr>
            <w:tcW w:w="739" w:type="pct"/>
            <w:noWrap/>
            <w:vAlign w:val="center"/>
          </w:tcPr>
          <w:p w:rsidR="006A7F63" w:rsidRPr="00C87712" w:rsidRDefault="00C87712" w:rsidP="006A7F63">
            <w:pPr>
              <w:pStyle w:val="TableText0"/>
              <w:spacing w:before="0" w:after="0"/>
              <w:jc w:val="center"/>
              <w:rPr>
                <w:highlight w:val="black"/>
              </w:rPr>
            </w:pPr>
            <w:r>
              <w:rPr>
                <w:noProof/>
                <w:color w:val="000000"/>
                <w:highlight w:val="black"/>
              </w:rPr>
              <w:t>'''''''''''''''''''''</w:t>
            </w:r>
          </w:p>
        </w:tc>
      </w:tr>
      <w:tr w:rsidR="006A7F63" w:rsidRPr="006F393A" w:rsidTr="006A7F63">
        <w:tc>
          <w:tcPr>
            <w:tcW w:w="707" w:type="pct"/>
            <w:hideMark/>
          </w:tcPr>
          <w:p w:rsidR="006A7F63" w:rsidRPr="006076EB" w:rsidRDefault="006A7F63" w:rsidP="006A7F63">
            <w:pPr>
              <w:pStyle w:val="Tabletext"/>
            </w:pPr>
            <w:r w:rsidRPr="006076EB">
              <w:t>Prior null responders</w:t>
            </w:r>
          </w:p>
        </w:tc>
        <w:tc>
          <w:tcPr>
            <w:tcW w:w="656" w:type="pct"/>
            <w:hideMark/>
          </w:tcPr>
          <w:p w:rsidR="006A7F63" w:rsidRPr="006076EB" w:rsidRDefault="006A7F63" w:rsidP="006A7F63">
            <w:pPr>
              <w:pStyle w:val="Tabletext"/>
            </w:pPr>
            <w:r w:rsidRPr="006076EB">
              <w:t>1a</w:t>
            </w:r>
          </w:p>
        </w:tc>
        <w:tc>
          <w:tcPr>
            <w:tcW w:w="1423" w:type="pct"/>
            <w:noWrap/>
            <w:vAlign w:val="center"/>
            <w:hideMark/>
          </w:tcPr>
          <w:p w:rsidR="006A7F63" w:rsidRPr="006076EB" w:rsidRDefault="006A7F63" w:rsidP="006A7F63">
            <w:pPr>
              <w:pStyle w:val="Tabletext"/>
            </w:pPr>
            <w:proofErr w:type="spellStart"/>
            <w:r w:rsidRPr="006076EB">
              <w:t>Viekira</w:t>
            </w:r>
            <w:proofErr w:type="spellEnd"/>
            <w:r w:rsidRPr="006076EB">
              <w:t xml:space="preserve"> PAK-RBV 24 weeks</w:t>
            </w:r>
          </w:p>
        </w:tc>
        <w:tc>
          <w:tcPr>
            <w:tcW w:w="737" w:type="pct"/>
            <w:noWrap/>
            <w:vAlign w:val="center"/>
            <w:hideMark/>
          </w:tcPr>
          <w:p w:rsidR="006A7F63" w:rsidRPr="006076EB" w:rsidRDefault="006A7F63" w:rsidP="006A7F63">
            <w:pPr>
              <w:pStyle w:val="TableText0"/>
              <w:spacing w:before="0" w:after="0"/>
              <w:jc w:val="center"/>
            </w:pPr>
            <w:r w:rsidRPr="006076EB">
              <w:t>$</w:t>
            </w:r>
            <w:r w:rsidR="00C87712">
              <w:rPr>
                <w:noProof/>
                <w:color w:val="000000"/>
                <w:highlight w:val="black"/>
              </w:rPr>
              <w:t>''''''''''''''''''</w:t>
            </w:r>
          </w:p>
        </w:tc>
        <w:tc>
          <w:tcPr>
            <w:tcW w:w="737" w:type="pct"/>
            <w:vAlign w:val="center"/>
            <w:hideMark/>
          </w:tcPr>
          <w:p w:rsidR="006A7F63" w:rsidRPr="006076EB" w:rsidRDefault="006A7F63" w:rsidP="006A7F63">
            <w:pPr>
              <w:pStyle w:val="TableText0"/>
              <w:spacing w:before="0" w:after="0"/>
              <w:jc w:val="center"/>
            </w:pPr>
            <w:r w:rsidRPr="006076EB">
              <w:t>2.42</w:t>
            </w:r>
          </w:p>
        </w:tc>
        <w:tc>
          <w:tcPr>
            <w:tcW w:w="739" w:type="pct"/>
            <w:noWrap/>
            <w:vAlign w:val="center"/>
            <w:hideMark/>
          </w:tcPr>
          <w:p w:rsidR="006A7F63" w:rsidRPr="006076EB" w:rsidRDefault="006A7F63" w:rsidP="006A7F63">
            <w:pPr>
              <w:pStyle w:val="TableText0"/>
              <w:spacing w:before="0" w:after="0"/>
              <w:jc w:val="center"/>
            </w:pPr>
            <w:r w:rsidRPr="006076EB">
              <w:t>$</w:t>
            </w:r>
            <w:r w:rsidR="00C87712">
              <w:rPr>
                <w:noProof/>
                <w:color w:val="000000"/>
                <w:highlight w:val="black"/>
              </w:rPr>
              <w:t>''''''''''''''''''</w:t>
            </w:r>
          </w:p>
        </w:tc>
      </w:tr>
    </w:tbl>
    <w:p w:rsidR="006A7F63" w:rsidRPr="006F393A" w:rsidRDefault="006A7F63" w:rsidP="006A7F63">
      <w:pPr>
        <w:pStyle w:val="TableFooter"/>
      </w:pPr>
      <w:r w:rsidRPr="006F393A">
        <w:rPr>
          <w:i/>
        </w:rPr>
        <w:tab/>
      </w:r>
      <w:r w:rsidRPr="006F393A">
        <w:t>QALY = quality-adjusted life-years; ICER = incremental cost-effectiveness ratio; GT = genotype.</w:t>
      </w:r>
    </w:p>
    <w:p w:rsidR="006A7F63" w:rsidRPr="006F393A" w:rsidRDefault="006A7F63" w:rsidP="006A7F63">
      <w:pPr>
        <w:pStyle w:val="TableFooter"/>
        <w:ind w:firstLine="720"/>
      </w:pPr>
      <w:r w:rsidRPr="006F393A">
        <w:t>Source: Compiled during evaluation.</w:t>
      </w:r>
    </w:p>
    <w:p w:rsidR="006A7F63" w:rsidRPr="006F393A" w:rsidRDefault="006A7F63" w:rsidP="006A7F63"/>
    <w:p w:rsidR="006A7F63" w:rsidRPr="006F393A" w:rsidRDefault="006A7F63" w:rsidP="00997EDA">
      <w:pPr>
        <w:pStyle w:val="ListParagraph"/>
        <w:widowControl/>
        <w:numPr>
          <w:ilvl w:val="1"/>
          <w:numId w:val="1"/>
        </w:numPr>
        <w:rPr>
          <w:szCs w:val="22"/>
        </w:rPr>
      </w:pPr>
      <w:r w:rsidRPr="006F393A">
        <w:t>Results of key sensitivity analyses, performed during the evaluation, for</w:t>
      </w:r>
      <w:r w:rsidR="00E8612F" w:rsidRPr="006F393A">
        <w:t xml:space="preserve"> </w:t>
      </w:r>
      <w:r w:rsidRPr="006F393A">
        <w:t>treatment</w:t>
      </w:r>
      <w:r w:rsidR="00EB6E75" w:rsidRPr="006F393A">
        <w:noBreakHyphen/>
      </w:r>
      <w:r w:rsidRPr="006F393A">
        <w:t>naïve patients (both cirrhotic and non-cirrhotic) are summarised below.</w:t>
      </w:r>
    </w:p>
    <w:p w:rsidR="006A7F63" w:rsidRPr="006F393A" w:rsidRDefault="006A7F63" w:rsidP="006A7F63">
      <w:pPr>
        <w:pStyle w:val="ListParagraph"/>
        <w:widowControl/>
      </w:pPr>
    </w:p>
    <w:p w:rsidR="006A7F63" w:rsidRPr="006F393A" w:rsidRDefault="006A7F63" w:rsidP="00164E40">
      <w:pPr>
        <w:pStyle w:val="TableHeader"/>
        <w:ind w:left="709" w:firstLine="11"/>
      </w:pPr>
      <w:r w:rsidRPr="006F393A">
        <w:t>Table 1</w:t>
      </w:r>
      <w:r w:rsidR="007B6A5B" w:rsidRPr="006F393A">
        <w:t>3</w:t>
      </w:r>
      <w:r w:rsidRPr="006F393A">
        <w:t xml:space="preserve">: </w:t>
      </w:r>
      <w:r w:rsidR="00164E40" w:rsidRPr="006F393A">
        <w:t xml:space="preserve">Results of the univariate and multivariate sensitivity analyses, of the economic evaluation of </w:t>
      </w:r>
      <w:proofErr w:type="spellStart"/>
      <w:r w:rsidR="00164E40" w:rsidRPr="006F393A">
        <w:t>Viekira</w:t>
      </w:r>
      <w:proofErr w:type="spellEnd"/>
      <w:r w:rsidR="00164E40" w:rsidRPr="006F393A">
        <w:t xml:space="preserve"> PAK/</w:t>
      </w:r>
      <w:proofErr w:type="spellStart"/>
      <w:r w:rsidR="00164E40" w:rsidRPr="006F393A">
        <w:t>Viekira</w:t>
      </w:r>
      <w:proofErr w:type="spellEnd"/>
      <w:r w:rsidR="00164E40" w:rsidRPr="006F393A">
        <w:t xml:space="preserve"> PAK-RBV relative to no treatment, for treatment-naïve patients</w:t>
      </w:r>
    </w:p>
    <w:tbl>
      <w:tblPr>
        <w:tblStyle w:val="TableGrid"/>
        <w:tblW w:w="4548" w:type="pct"/>
        <w:tblInd w:w="836" w:type="dxa"/>
        <w:tblLayout w:type="fixed"/>
        <w:tblLook w:val="04A0" w:firstRow="1" w:lastRow="0" w:firstColumn="1" w:lastColumn="0" w:noHBand="0" w:noVBand="1"/>
        <w:tblCaption w:val="Table 13: Results of the univariate and multivariate sensitivity analyses, of the economic evaluation of Viekira PAK/Viekira PAK-RBV relative to no treatment, for treatment-naïve patients"/>
        <w:tblDescription w:val="This table describes the results of the univariate and multivariate sensitivity analyses, of the economic evaluation of Viekira PAK/Viekira PAK-RBV relative to no treatment, for treatment-naïve patients"/>
      </w:tblPr>
      <w:tblGrid>
        <w:gridCol w:w="3122"/>
        <w:gridCol w:w="2677"/>
        <w:gridCol w:w="1303"/>
        <w:gridCol w:w="1305"/>
      </w:tblGrid>
      <w:tr w:rsidR="006A7F63" w:rsidRPr="006F393A" w:rsidTr="0028796E">
        <w:trPr>
          <w:trHeight w:val="330"/>
          <w:tblHeader/>
        </w:trPr>
        <w:tc>
          <w:tcPr>
            <w:tcW w:w="1857" w:type="pct"/>
            <w:noWrap/>
            <w:vAlign w:val="center"/>
            <w:hideMark/>
          </w:tcPr>
          <w:p w:rsidR="006A7F63" w:rsidRPr="006F393A" w:rsidRDefault="006A7F63" w:rsidP="006A7F63">
            <w:pPr>
              <w:pStyle w:val="TableText0"/>
              <w:keepNext w:val="0"/>
              <w:widowControl w:val="0"/>
              <w:spacing w:before="0" w:after="0"/>
              <w:rPr>
                <w:b/>
              </w:rPr>
            </w:pPr>
            <w:r w:rsidRPr="006F393A">
              <w:tab/>
            </w:r>
            <w:r w:rsidRPr="006F393A">
              <w:rPr>
                <w:b/>
              </w:rPr>
              <w:t>Analysis</w:t>
            </w:r>
          </w:p>
        </w:tc>
        <w:tc>
          <w:tcPr>
            <w:tcW w:w="1592" w:type="pct"/>
            <w:vAlign w:val="center"/>
          </w:tcPr>
          <w:p w:rsidR="006A7F63" w:rsidRPr="006F393A" w:rsidRDefault="006A7F63" w:rsidP="006A7F63">
            <w:pPr>
              <w:pStyle w:val="TableText0"/>
              <w:keepNext w:val="0"/>
              <w:widowControl w:val="0"/>
              <w:spacing w:before="0" w:after="0"/>
              <w:rPr>
                <w:b/>
              </w:rPr>
            </w:pPr>
            <w:r w:rsidRPr="006F393A">
              <w:rPr>
                <w:b/>
              </w:rPr>
              <w:t>Variables changed in the model</w:t>
            </w:r>
          </w:p>
        </w:tc>
        <w:tc>
          <w:tcPr>
            <w:tcW w:w="775" w:type="pct"/>
            <w:noWrap/>
            <w:vAlign w:val="center"/>
            <w:hideMark/>
          </w:tcPr>
          <w:p w:rsidR="00164E40" w:rsidRPr="006076EB" w:rsidRDefault="00164E40" w:rsidP="006A7F63">
            <w:pPr>
              <w:pStyle w:val="TableText0"/>
              <w:keepNext w:val="0"/>
              <w:widowControl w:val="0"/>
              <w:spacing w:before="0" w:after="0"/>
              <w:rPr>
                <w:b/>
              </w:rPr>
            </w:pPr>
            <w:r w:rsidRPr="006076EB">
              <w:rPr>
                <w:b/>
              </w:rPr>
              <w:t>ICER</w:t>
            </w:r>
          </w:p>
          <w:p w:rsidR="00164E40" w:rsidRPr="006076EB" w:rsidRDefault="00164E40" w:rsidP="006A7F63">
            <w:pPr>
              <w:pStyle w:val="TableText0"/>
              <w:keepNext w:val="0"/>
              <w:widowControl w:val="0"/>
              <w:spacing w:before="0" w:after="0"/>
              <w:rPr>
                <w:b/>
              </w:rPr>
            </w:pPr>
            <w:r w:rsidRPr="006076EB">
              <w:rPr>
                <w:b/>
              </w:rPr>
              <w:t>(Cost/QALY)</w:t>
            </w:r>
          </w:p>
          <w:p w:rsidR="006A7F63" w:rsidRPr="006076EB" w:rsidRDefault="006A7F63" w:rsidP="006A7F63">
            <w:pPr>
              <w:pStyle w:val="TableText0"/>
              <w:keepNext w:val="0"/>
              <w:widowControl w:val="0"/>
              <w:spacing w:before="0" w:after="0"/>
              <w:rPr>
                <w:b/>
              </w:rPr>
            </w:pPr>
            <w:r w:rsidRPr="006076EB">
              <w:rPr>
                <w:b/>
              </w:rPr>
              <w:t>Non-Cirrhotic</w:t>
            </w:r>
          </w:p>
        </w:tc>
        <w:tc>
          <w:tcPr>
            <w:tcW w:w="776" w:type="pct"/>
            <w:noWrap/>
            <w:vAlign w:val="center"/>
            <w:hideMark/>
          </w:tcPr>
          <w:p w:rsidR="00164E40" w:rsidRPr="006076EB" w:rsidRDefault="00164E40" w:rsidP="006A7F63">
            <w:pPr>
              <w:pStyle w:val="TableText0"/>
              <w:keepNext w:val="0"/>
              <w:widowControl w:val="0"/>
              <w:spacing w:before="0" w:after="0"/>
              <w:rPr>
                <w:b/>
              </w:rPr>
            </w:pPr>
            <w:r w:rsidRPr="006076EB">
              <w:rPr>
                <w:b/>
              </w:rPr>
              <w:t>ICER (Cost/QALY)</w:t>
            </w:r>
          </w:p>
          <w:p w:rsidR="006A7F63" w:rsidRPr="006076EB" w:rsidRDefault="006A7F63" w:rsidP="006A7F63">
            <w:pPr>
              <w:pStyle w:val="TableText0"/>
              <w:keepNext w:val="0"/>
              <w:widowControl w:val="0"/>
              <w:spacing w:before="0" w:after="0"/>
              <w:rPr>
                <w:b/>
              </w:rPr>
            </w:pPr>
            <w:r w:rsidRPr="006076EB">
              <w:rPr>
                <w:b/>
              </w:rPr>
              <w:t>Cirrhotic</w:t>
            </w:r>
          </w:p>
        </w:tc>
      </w:tr>
      <w:tr w:rsidR="006A7F63" w:rsidRPr="006F393A" w:rsidTr="006A7F63">
        <w:trPr>
          <w:trHeight w:val="330"/>
        </w:trPr>
        <w:tc>
          <w:tcPr>
            <w:tcW w:w="1857" w:type="pct"/>
            <w:noWrap/>
            <w:vAlign w:val="center"/>
          </w:tcPr>
          <w:p w:rsidR="006A7F63" w:rsidRPr="006F393A" w:rsidRDefault="006A7F63" w:rsidP="006A7F63">
            <w:pPr>
              <w:pStyle w:val="TableText0"/>
              <w:keepNext w:val="0"/>
              <w:widowControl w:val="0"/>
              <w:spacing w:before="0" w:after="0"/>
            </w:pPr>
            <w:r w:rsidRPr="006F393A">
              <w:t>Base case</w:t>
            </w:r>
          </w:p>
        </w:tc>
        <w:tc>
          <w:tcPr>
            <w:tcW w:w="1592" w:type="pct"/>
            <w:vAlign w:val="center"/>
          </w:tcPr>
          <w:p w:rsidR="006A7F63" w:rsidRPr="006F393A" w:rsidRDefault="006A7F63" w:rsidP="006A7F63">
            <w:pPr>
              <w:pStyle w:val="TableText0"/>
              <w:keepNext w:val="0"/>
              <w:widowControl w:val="0"/>
              <w:spacing w:before="0" w:after="0"/>
            </w:pPr>
          </w:p>
        </w:tc>
        <w:tc>
          <w:tcPr>
            <w:tcW w:w="775" w:type="pct"/>
            <w:noWrap/>
            <w:vAlign w:val="center"/>
          </w:tcPr>
          <w:p w:rsidR="006A7F63" w:rsidRPr="006076EB" w:rsidRDefault="006A7F63" w:rsidP="006A7F63">
            <w:pPr>
              <w:pStyle w:val="TableText0"/>
              <w:keepNext w:val="0"/>
              <w:widowControl w:val="0"/>
              <w:spacing w:before="0" w:after="0"/>
              <w:jc w:val="right"/>
            </w:pPr>
            <w:r w:rsidRPr="006076EB">
              <w:t>$</w:t>
            </w:r>
            <w:r w:rsidR="00C87712">
              <w:rPr>
                <w:noProof/>
                <w:color w:val="000000"/>
                <w:highlight w:val="black"/>
              </w:rPr>
              <w:t>''''''''''''''''''</w:t>
            </w:r>
          </w:p>
        </w:tc>
        <w:tc>
          <w:tcPr>
            <w:tcW w:w="776" w:type="pct"/>
            <w:noWrap/>
            <w:vAlign w:val="center"/>
          </w:tcPr>
          <w:p w:rsidR="006A7F63" w:rsidRPr="00C87712" w:rsidRDefault="00C87712" w:rsidP="006A7F63">
            <w:pPr>
              <w:pStyle w:val="TableText0"/>
              <w:keepNext w:val="0"/>
              <w:widowControl w:val="0"/>
              <w:spacing w:before="0" w:after="0"/>
              <w:jc w:val="right"/>
              <w:rPr>
                <w:highlight w:val="black"/>
              </w:rPr>
            </w:pPr>
            <w:r>
              <w:rPr>
                <w:noProof/>
                <w:color w:val="000000"/>
                <w:highlight w:val="black"/>
              </w:rPr>
              <w:t>''''''''''''''''''''''</w:t>
            </w:r>
          </w:p>
        </w:tc>
      </w:tr>
      <w:tr w:rsidR="006A7F63" w:rsidRPr="006F393A" w:rsidTr="006A7F63">
        <w:trPr>
          <w:trHeight w:val="330"/>
        </w:trPr>
        <w:tc>
          <w:tcPr>
            <w:tcW w:w="1857" w:type="pct"/>
            <w:noWrap/>
            <w:vAlign w:val="center"/>
            <w:hideMark/>
          </w:tcPr>
          <w:p w:rsidR="006A7F63" w:rsidRPr="006F393A" w:rsidRDefault="006A7F63" w:rsidP="006A7F63">
            <w:pPr>
              <w:pStyle w:val="TableText0"/>
              <w:keepNext w:val="0"/>
              <w:widowControl w:val="0"/>
              <w:spacing w:before="0" w:after="0"/>
            </w:pPr>
            <w:r w:rsidRPr="006F393A">
              <w:t>#1 Using NICE transition probabilities for mild to moderate fibrosis and moderate fibrosis to cirrhosis</w:t>
            </w:r>
            <w:r w:rsidR="00755D16" w:rsidRPr="006F393A">
              <w:t>*</w:t>
            </w:r>
            <w:r w:rsidRPr="006F393A">
              <w:t xml:space="preserve"> </w:t>
            </w:r>
          </w:p>
          <w:p w:rsidR="006A7F63" w:rsidRPr="006F393A" w:rsidRDefault="006A7F63" w:rsidP="006A7F63">
            <w:pPr>
              <w:pStyle w:val="TableText0"/>
              <w:keepNext w:val="0"/>
              <w:widowControl w:val="0"/>
              <w:spacing w:before="0" w:after="0"/>
            </w:pPr>
          </w:p>
        </w:tc>
        <w:tc>
          <w:tcPr>
            <w:tcW w:w="1592" w:type="pct"/>
            <w:vAlign w:val="center"/>
          </w:tcPr>
          <w:p w:rsidR="006A7F63" w:rsidRPr="006F393A" w:rsidRDefault="006A7F63" w:rsidP="006A7F63">
            <w:pPr>
              <w:pStyle w:val="TableText0"/>
              <w:keepNext w:val="0"/>
              <w:widowControl w:val="0"/>
              <w:spacing w:before="0" w:after="0"/>
              <w:rPr>
                <w:u w:val="single"/>
              </w:rPr>
            </w:pPr>
            <w:r w:rsidRPr="006F393A">
              <w:rPr>
                <w:u w:val="single"/>
              </w:rPr>
              <w:t>Used in base case:</w:t>
            </w:r>
          </w:p>
          <w:p w:rsidR="006A7F63" w:rsidRPr="006F393A" w:rsidRDefault="006A7F63" w:rsidP="006A7F63">
            <w:pPr>
              <w:pStyle w:val="TableText0"/>
              <w:keepNext w:val="0"/>
              <w:widowControl w:val="0"/>
              <w:spacing w:before="0" w:after="0"/>
            </w:pPr>
            <w:r w:rsidRPr="006F393A">
              <w:t>Mild to F2: 0.049</w:t>
            </w:r>
          </w:p>
          <w:p w:rsidR="006A7F63" w:rsidRPr="006F393A" w:rsidRDefault="006A7F63" w:rsidP="006A7F63">
            <w:pPr>
              <w:pStyle w:val="TableText0"/>
              <w:keepNext w:val="0"/>
              <w:widowControl w:val="0"/>
              <w:spacing w:before="0" w:after="0"/>
            </w:pPr>
            <w:r w:rsidRPr="006F393A">
              <w:t>F2 to F3: 0.113</w:t>
            </w:r>
          </w:p>
          <w:p w:rsidR="006A7F63" w:rsidRPr="006F393A" w:rsidRDefault="006A7F63" w:rsidP="006A7F63">
            <w:pPr>
              <w:pStyle w:val="TableText0"/>
              <w:keepNext w:val="0"/>
              <w:widowControl w:val="0"/>
              <w:spacing w:before="0" w:after="0"/>
            </w:pPr>
            <w:r w:rsidRPr="006F393A">
              <w:t>F3 to F4: 0.115</w:t>
            </w:r>
          </w:p>
          <w:p w:rsidR="006A7F63" w:rsidRPr="006F393A" w:rsidRDefault="006A7F63" w:rsidP="006A7F63">
            <w:pPr>
              <w:pStyle w:val="TableText0"/>
              <w:keepNext w:val="0"/>
              <w:widowControl w:val="0"/>
              <w:spacing w:before="0" w:after="0"/>
              <w:rPr>
                <w:u w:val="single"/>
              </w:rPr>
            </w:pPr>
            <w:r w:rsidRPr="006F393A">
              <w:rPr>
                <w:u w:val="single"/>
              </w:rPr>
              <w:t>Used in SA:</w:t>
            </w:r>
          </w:p>
          <w:p w:rsidR="006A7F63" w:rsidRPr="006F393A" w:rsidRDefault="006A7F63" w:rsidP="006A7F63">
            <w:pPr>
              <w:pStyle w:val="TableText0"/>
              <w:keepNext w:val="0"/>
              <w:widowControl w:val="0"/>
              <w:spacing w:before="0" w:after="0"/>
            </w:pPr>
            <w:r w:rsidRPr="006F393A">
              <w:t>Mild to Moderate: 0.025</w:t>
            </w:r>
          </w:p>
          <w:p w:rsidR="006A7F63" w:rsidRPr="006F393A" w:rsidRDefault="006A7F63" w:rsidP="006A7F63">
            <w:pPr>
              <w:pStyle w:val="TableText0"/>
              <w:keepNext w:val="0"/>
              <w:widowControl w:val="0"/>
              <w:spacing w:before="0" w:after="0"/>
            </w:pPr>
            <w:r w:rsidRPr="006F393A">
              <w:t>Moderate to Cirrhosis (F4): 0.037</w:t>
            </w:r>
          </w:p>
        </w:tc>
        <w:tc>
          <w:tcPr>
            <w:tcW w:w="775" w:type="pct"/>
            <w:noWrap/>
            <w:vAlign w:val="center"/>
            <w:hideMark/>
          </w:tcPr>
          <w:p w:rsidR="006A7F63" w:rsidRPr="006076EB" w:rsidRDefault="006A7F63" w:rsidP="006A7F63">
            <w:pPr>
              <w:pStyle w:val="TableText0"/>
              <w:keepNext w:val="0"/>
              <w:widowControl w:val="0"/>
              <w:spacing w:before="0" w:after="0"/>
              <w:jc w:val="right"/>
            </w:pPr>
            <w:r w:rsidRPr="006076EB">
              <w:t>$</w:t>
            </w:r>
            <w:r w:rsidR="00C87712">
              <w:rPr>
                <w:noProof/>
                <w:color w:val="000000"/>
                <w:highlight w:val="black"/>
              </w:rPr>
              <w:t>'''''''''''''''''</w:t>
            </w:r>
          </w:p>
        </w:tc>
        <w:tc>
          <w:tcPr>
            <w:tcW w:w="776" w:type="pct"/>
            <w:noWrap/>
            <w:vAlign w:val="center"/>
            <w:hideMark/>
          </w:tcPr>
          <w:p w:rsidR="006A7F63" w:rsidRPr="00C87712" w:rsidRDefault="00C87712" w:rsidP="006A7F63">
            <w:pPr>
              <w:pStyle w:val="TableText0"/>
              <w:keepNext w:val="0"/>
              <w:widowControl w:val="0"/>
              <w:spacing w:before="0" w:after="0"/>
              <w:jc w:val="right"/>
              <w:rPr>
                <w:highlight w:val="black"/>
              </w:rPr>
            </w:pPr>
            <w:r>
              <w:rPr>
                <w:noProof/>
                <w:color w:val="000000"/>
                <w:highlight w:val="black"/>
              </w:rPr>
              <w:t>'''''''''''''''''''''</w:t>
            </w:r>
          </w:p>
        </w:tc>
      </w:tr>
      <w:tr w:rsidR="006A7F63" w:rsidRPr="006F393A" w:rsidTr="006A7F63">
        <w:trPr>
          <w:trHeight w:val="330"/>
        </w:trPr>
        <w:tc>
          <w:tcPr>
            <w:tcW w:w="1857" w:type="pct"/>
            <w:noWrap/>
            <w:vAlign w:val="center"/>
            <w:hideMark/>
          </w:tcPr>
          <w:p w:rsidR="006A7F63" w:rsidRPr="006F393A" w:rsidRDefault="006A7F63" w:rsidP="006A7F63">
            <w:pPr>
              <w:pStyle w:val="TableText0"/>
              <w:keepNext w:val="0"/>
              <w:widowControl w:val="0"/>
              <w:spacing w:before="0" w:after="0"/>
            </w:pPr>
            <w:r w:rsidRPr="006F393A">
              <w:t>#2 Using costs for CC, DCC and HCC health states from Visconti 2013</w:t>
            </w:r>
          </w:p>
        </w:tc>
        <w:tc>
          <w:tcPr>
            <w:tcW w:w="1592" w:type="pct"/>
            <w:vAlign w:val="center"/>
          </w:tcPr>
          <w:p w:rsidR="006A7F63" w:rsidRPr="006F393A" w:rsidRDefault="006A7F63" w:rsidP="006A7F63">
            <w:pPr>
              <w:pStyle w:val="TableText0"/>
              <w:keepNext w:val="0"/>
              <w:widowControl w:val="0"/>
              <w:spacing w:before="0" w:after="0"/>
              <w:rPr>
                <w:u w:val="single"/>
              </w:rPr>
            </w:pPr>
            <w:r w:rsidRPr="006F393A">
              <w:rPr>
                <w:u w:val="single"/>
              </w:rPr>
              <w:t>Used in base case:</w:t>
            </w:r>
          </w:p>
          <w:p w:rsidR="006A7F63" w:rsidRPr="0012444B" w:rsidRDefault="006A7F63" w:rsidP="006A7F63">
            <w:pPr>
              <w:pStyle w:val="TableText0"/>
              <w:keepNext w:val="0"/>
              <w:widowControl w:val="0"/>
              <w:spacing w:before="0" w:after="0"/>
            </w:pPr>
            <w:r w:rsidRPr="006F393A">
              <w:t>C</w:t>
            </w:r>
            <w:r w:rsidRPr="0012444B">
              <w:t>C: $</w:t>
            </w:r>
            <w:r w:rsidR="00C87712">
              <w:rPr>
                <w:noProof/>
                <w:color w:val="000000"/>
                <w:highlight w:val="black"/>
              </w:rPr>
              <w:t>''''''''''''''</w:t>
            </w:r>
          </w:p>
          <w:p w:rsidR="006A7F63" w:rsidRPr="0012444B" w:rsidRDefault="006A7F63" w:rsidP="006A7F63">
            <w:pPr>
              <w:pStyle w:val="TableText0"/>
              <w:keepNext w:val="0"/>
              <w:widowControl w:val="0"/>
              <w:spacing w:before="0" w:after="0"/>
            </w:pPr>
            <w:r w:rsidRPr="0012444B">
              <w:t>DCC: $</w:t>
            </w:r>
            <w:r w:rsidR="00C87712">
              <w:rPr>
                <w:noProof/>
                <w:color w:val="000000"/>
                <w:highlight w:val="black"/>
              </w:rPr>
              <w:t>'''''''''''''''''</w:t>
            </w:r>
          </w:p>
          <w:p w:rsidR="006A7F63" w:rsidRPr="0012444B" w:rsidRDefault="006A7F63" w:rsidP="006A7F63">
            <w:pPr>
              <w:pStyle w:val="TableText0"/>
              <w:keepNext w:val="0"/>
              <w:widowControl w:val="0"/>
              <w:spacing w:before="0" w:after="0"/>
            </w:pPr>
            <w:r w:rsidRPr="0012444B">
              <w:t>HCC: $</w:t>
            </w:r>
            <w:r w:rsidR="00C87712">
              <w:rPr>
                <w:noProof/>
                <w:color w:val="000000"/>
                <w:highlight w:val="black"/>
              </w:rPr>
              <w:t>'''''''''''''''''</w:t>
            </w:r>
          </w:p>
          <w:p w:rsidR="006A7F63" w:rsidRPr="0012444B" w:rsidRDefault="006A7F63" w:rsidP="006A7F63">
            <w:pPr>
              <w:pStyle w:val="TableText0"/>
              <w:keepNext w:val="0"/>
              <w:widowControl w:val="0"/>
              <w:spacing w:before="0" w:after="0"/>
              <w:rPr>
                <w:u w:val="single"/>
              </w:rPr>
            </w:pPr>
            <w:r w:rsidRPr="0012444B">
              <w:rPr>
                <w:u w:val="single"/>
              </w:rPr>
              <w:t>Used in SA:</w:t>
            </w:r>
          </w:p>
          <w:p w:rsidR="006A7F63" w:rsidRPr="0012444B" w:rsidRDefault="006A7F63" w:rsidP="006A7F63">
            <w:pPr>
              <w:pStyle w:val="TableText0"/>
              <w:keepNext w:val="0"/>
              <w:widowControl w:val="0"/>
              <w:spacing w:before="0" w:after="0"/>
            </w:pPr>
            <w:r w:rsidRPr="0012444B">
              <w:t>CC: $</w:t>
            </w:r>
            <w:r w:rsidR="00C87712">
              <w:rPr>
                <w:noProof/>
                <w:color w:val="000000"/>
                <w:highlight w:val="black"/>
              </w:rPr>
              <w:t>'''''''''</w:t>
            </w:r>
          </w:p>
          <w:p w:rsidR="006A7F63" w:rsidRPr="0012444B" w:rsidRDefault="006A7F63" w:rsidP="006A7F63">
            <w:pPr>
              <w:pStyle w:val="TableText0"/>
              <w:keepNext w:val="0"/>
              <w:widowControl w:val="0"/>
              <w:spacing w:before="0" w:after="0"/>
            </w:pPr>
            <w:r w:rsidRPr="0012444B">
              <w:t>DCC: $</w:t>
            </w:r>
            <w:r w:rsidR="00C87712">
              <w:rPr>
                <w:noProof/>
                <w:color w:val="000000"/>
                <w:highlight w:val="black"/>
              </w:rPr>
              <w:t>'''''''''''''''''</w:t>
            </w:r>
            <w:r w:rsidRPr="0012444B">
              <w:t xml:space="preserve"> </w:t>
            </w:r>
          </w:p>
          <w:p w:rsidR="006A7F63" w:rsidRPr="006F393A" w:rsidRDefault="006A7F63" w:rsidP="006A7F63">
            <w:pPr>
              <w:pStyle w:val="TableText0"/>
              <w:keepNext w:val="0"/>
              <w:widowControl w:val="0"/>
              <w:spacing w:before="0" w:after="0"/>
            </w:pPr>
            <w:r w:rsidRPr="0012444B">
              <w:t>HCC: $</w:t>
            </w:r>
            <w:r w:rsidR="00C87712">
              <w:rPr>
                <w:noProof/>
                <w:color w:val="000000"/>
                <w:highlight w:val="black"/>
              </w:rPr>
              <w:t>'''''''''''''''</w:t>
            </w:r>
            <w:r w:rsidRPr="0012444B">
              <w:t xml:space="preserve"> </w:t>
            </w:r>
          </w:p>
        </w:tc>
        <w:tc>
          <w:tcPr>
            <w:tcW w:w="775" w:type="pct"/>
            <w:noWrap/>
            <w:vAlign w:val="center"/>
            <w:hideMark/>
          </w:tcPr>
          <w:p w:rsidR="006A7F63" w:rsidRPr="006076EB" w:rsidRDefault="006A7F63" w:rsidP="006A7F63">
            <w:pPr>
              <w:pStyle w:val="TableText0"/>
              <w:keepNext w:val="0"/>
              <w:widowControl w:val="0"/>
              <w:spacing w:before="0" w:after="0"/>
              <w:jc w:val="right"/>
            </w:pPr>
            <w:r w:rsidRPr="006076EB">
              <w:t>$</w:t>
            </w:r>
            <w:r w:rsidR="00C87712">
              <w:rPr>
                <w:noProof/>
                <w:color w:val="000000"/>
                <w:highlight w:val="black"/>
              </w:rPr>
              <w:t>'''''''''''''''</w:t>
            </w:r>
          </w:p>
        </w:tc>
        <w:tc>
          <w:tcPr>
            <w:tcW w:w="776" w:type="pct"/>
            <w:noWrap/>
            <w:vAlign w:val="center"/>
            <w:hideMark/>
          </w:tcPr>
          <w:p w:rsidR="006A7F63" w:rsidRPr="006076EB" w:rsidRDefault="006A7F63" w:rsidP="006A7F63">
            <w:pPr>
              <w:pStyle w:val="TableText0"/>
              <w:keepNext w:val="0"/>
              <w:widowControl w:val="0"/>
              <w:spacing w:before="0" w:after="0"/>
              <w:jc w:val="right"/>
            </w:pPr>
            <w:r w:rsidRPr="006076EB">
              <w:t>$</w:t>
            </w:r>
            <w:r w:rsidR="00C87712">
              <w:rPr>
                <w:noProof/>
                <w:color w:val="000000"/>
                <w:highlight w:val="black"/>
              </w:rPr>
              <w:t>''''''''''''</w:t>
            </w:r>
          </w:p>
        </w:tc>
      </w:tr>
      <w:tr w:rsidR="006A7F63" w:rsidRPr="006F393A" w:rsidTr="006A7F63">
        <w:trPr>
          <w:trHeight w:val="330"/>
        </w:trPr>
        <w:tc>
          <w:tcPr>
            <w:tcW w:w="1857" w:type="pct"/>
            <w:noWrap/>
            <w:vAlign w:val="center"/>
            <w:hideMark/>
          </w:tcPr>
          <w:p w:rsidR="006A7F63" w:rsidRPr="006F393A" w:rsidRDefault="006A7F63" w:rsidP="006A7F63">
            <w:pPr>
              <w:pStyle w:val="TableText0"/>
              <w:keepNext w:val="0"/>
              <w:widowControl w:val="0"/>
              <w:spacing w:before="0" w:after="0"/>
            </w:pPr>
            <w:r w:rsidRPr="006F393A">
              <w:t>#3 Using costs from Visconti et al 2013</w:t>
            </w:r>
          </w:p>
        </w:tc>
        <w:tc>
          <w:tcPr>
            <w:tcW w:w="1592" w:type="pct"/>
            <w:vAlign w:val="center"/>
          </w:tcPr>
          <w:p w:rsidR="006A7F63" w:rsidRPr="006F393A" w:rsidRDefault="00A002B1" w:rsidP="001B3C78">
            <w:pPr>
              <w:pStyle w:val="TableText0"/>
              <w:keepNext w:val="0"/>
              <w:widowControl w:val="0"/>
              <w:spacing w:before="0" w:after="0"/>
            </w:pPr>
            <w:r w:rsidRPr="006F393A">
              <w:t>Various, presented in</w:t>
            </w:r>
            <w:r w:rsidR="001B3C78">
              <w:t xml:space="preserve"> Table C.4.3 o</w:t>
            </w:r>
            <w:r w:rsidRPr="006F393A">
              <w:t>f the Commentary</w:t>
            </w:r>
          </w:p>
        </w:tc>
        <w:tc>
          <w:tcPr>
            <w:tcW w:w="775" w:type="pct"/>
            <w:noWrap/>
            <w:vAlign w:val="center"/>
            <w:hideMark/>
          </w:tcPr>
          <w:p w:rsidR="006A7F63" w:rsidRPr="006076EB" w:rsidRDefault="006A7F63" w:rsidP="006A7F63">
            <w:pPr>
              <w:pStyle w:val="TableText0"/>
              <w:keepNext w:val="0"/>
              <w:widowControl w:val="0"/>
              <w:spacing w:before="0" w:after="0"/>
              <w:jc w:val="right"/>
            </w:pPr>
            <w:r w:rsidRPr="006076EB">
              <w:t>$</w:t>
            </w:r>
            <w:r w:rsidR="00C87712">
              <w:rPr>
                <w:noProof/>
                <w:color w:val="000000"/>
                <w:highlight w:val="black"/>
              </w:rPr>
              <w:t>'''''''''''''''''</w:t>
            </w:r>
          </w:p>
        </w:tc>
        <w:tc>
          <w:tcPr>
            <w:tcW w:w="776" w:type="pct"/>
            <w:noWrap/>
            <w:vAlign w:val="center"/>
            <w:hideMark/>
          </w:tcPr>
          <w:p w:rsidR="006A7F63" w:rsidRPr="006076EB" w:rsidRDefault="006A7F63" w:rsidP="006A7F63">
            <w:pPr>
              <w:pStyle w:val="TableText0"/>
              <w:keepNext w:val="0"/>
              <w:widowControl w:val="0"/>
              <w:spacing w:before="0" w:after="0"/>
              <w:jc w:val="right"/>
            </w:pPr>
            <w:r w:rsidRPr="006076EB">
              <w:t>$</w:t>
            </w:r>
            <w:r w:rsidR="00C87712">
              <w:rPr>
                <w:noProof/>
                <w:color w:val="000000"/>
                <w:highlight w:val="black"/>
              </w:rPr>
              <w:t>''''''''''''''''</w:t>
            </w:r>
          </w:p>
        </w:tc>
      </w:tr>
      <w:tr w:rsidR="006A7F63" w:rsidRPr="006F393A" w:rsidTr="006A7F63">
        <w:trPr>
          <w:trHeight w:val="330"/>
        </w:trPr>
        <w:tc>
          <w:tcPr>
            <w:tcW w:w="1857" w:type="pct"/>
            <w:noWrap/>
            <w:vAlign w:val="center"/>
            <w:hideMark/>
          </w:tcPr>
          <w:p w:rsidR="006A7F63" w:rsidRPr="006F393A" w:rsidRDefault="006A7F63" w:rsidP="006A7F63">
            <w:pPr>
              <w:pStyle w:val="TableText0"/>
              <w:keepNext w:val="0"/>
              <w:widowControl w:val="0"/>
              <w:spacing w:before="0" w:after="0"/>
            </w:pPr>
            <w:r w:rsidRPr="006F393A">
              <w:t>#4 Using costs from Kirby 2014</w:t>
            </w:r>
          </w:p>
        </w:tc>
        <w:tc>
          <w:tcPr>
            <w:tcW w:w="1592" w:type="pct"/>
            <w:vAlign w:val="center"/>
          </w:tcPr>
          <w:p w:rsidR="006A7F63" w:rsidRPr="006F393A" w:rsidRDefault="00A002B1" w:rsidP="001B3C78">
            <w:pPr>
              <w:pStyle w:val="TableText0"/>
              <w:keepNext w:val="0"/>
              <w:widowControl w:val="0"/>
              <w:spacing w:before="0" w:after="0"/>
            </w:pPr>
            <w:r w:rsidRPr="006F393A">
              <w:t>Various, presented in</w:t>
            </w:r>
            <w:r w:rsidR="001B3C78">
              <w:t xml:space="preserve"> Table C.4.3 </w:t>
            </w:r>
            <w:r w:rsidRPr="006F393A">
              <w:t>of the Commentary</w:t>
            </w:r>
          </w:p>
        </w:tc>
        <w:tc>
          <w:tcPr>
            <w:tcW w:w="775" w:type="pct"/>
            <w:noWrap/>
            <w:vAlign w:val="center"/>
            <w:hideMark/>
          </w:tcPr>
          <w:p w:rsidR="006A7F63" w:rsidRPr="006076EB" w:rsidRDefault="006A7F63" w:rsidP="006A7F63">
            <w:pPr>
              <w:pStyle w:val="TableText0"/>
              <w:keepNext w:val="0"/>
              <w:widowControl w:val="0"/>
              <w:spacing w:before="0" w:after="0"/>
              <w:jc w:val="right"/>
            </w:pPr>
            <w:r w:rsidRPr="006076EB">
              <w:t>$</w:t>
            </w:r>
            <w:r w:rsidR="00C87712">
              <w:rPr>
                <w:noProof/>
                <w:color w:val="000000"/>
                <w:highlight w:val="black"/>
              </w:rPr>
              <w:t>'''''''''''''''''</w:t>
            </w:r>
          </w:p>
        </w:tc>
        <w:tc>
          <w:tcPr>
            <w:tcW w:w="776" w:type="pct"/>
            <w:noWrap/>
            <w:vAlign w:val="center"/>
            <w:hideMark/>
          </w:tcPr>
          <w:p w:rsidR="006A7F63" w:rsidRPr="006076EB" w:rsidRDefault="006A7F63" w:rsidP="006A7F63">
            <w:pPr>
              <w:pStyle w:val="TableText0"/>
              <w:keepNext w:val="0"/>
              <w:widowControl w:val="0"/>
              <w:spacing w:before="0" w:after="0"/>
              <w:jc w:val="right"/>
            </w:pPr>
            <w:r w:rsidRPr="006076EB">
              <w:t>$</w:t>
            </w:r>
            <w:r w:rsidR="00C87712">
              <w:rPr>
                <w:noProof/>
                <w:color w:val="000000"/>
                <w:highlight w:val="black"/>
              </w:rPr>
              <w:t>'''''''''''''</w:t>
            </w:r>
          </w:p>
        </w:tc>
      </w:tr>
      <w:tr w:rsidR="006A7F63" w:rsidRPr="006F393A" w:rsidTr="006A7F63">
        <w:trPr>
          <w:trHeight w:val="330"/>
        </w:trPr>
        <w:tc>
          <w:tcPr>
            <w:tcW w:w="1857" w:type="pct"/>
            <w:noWrap/>
            <w:vAlign w:val="center"/>
            <w:hideMark/>
          </w:tcPr>
          <w:p w:rsidR="006A7F63" w:rsidRPr="006F393A" w:rsidRDefault="006A7F63" w:rsidP="00DC13D9">
            <w:pPr>
              <w:pStyle w:val="TableText0"/>
              <w:keepNext w:val="0"/>
              <w:widowControl w:val="0"/>
              <w:spacing w:before="0" w:after="0"/>
            </w:pPr>
            <w:r w:rsidRPr="006F393A">
              <w:t>#5 Using</w:t>
            </w:r>
            <w:r w:rsidR="00BD66D9" w:rsidRPr="006F393A">
              <w:t xml:space="preserve"> </w:t>
            </w:r>
            <w:r w:rsidRPr="006F393A">
              <w:t xml:space="preserve">the mean utility values from submission's literature review (and increment associated with SVR of </w:t>
            </w:r>
            <w:r w:rsidR="00C87712">
              <w:rPr>
                <w:noProof/>
                <w:color w:val="000000"/>
                <w:highlight w:val="black"/>
              </w:rPr>
              <w:t>'''''''''''''</w:t>
            </w:r>
            <w:r w:rsidR="00720247" w:rsidRPr="006F393A">
              <w:t xml:space="preserve"> in the submission</w:t>
            </w:r>
            <w:r w:rsidRPr="006F393A">
              <w:t>)</w:t>
            </w:r>
          </w:p>
        </w:tc>
        <w:tc>
          <w:tcPr>
            <w:tcW w:w="1592" w:type="pct"/>
            <w:vAlign w:val="center"/>
          </w:tcPr>
          <w:p w:rsidR="006A7F63" w:rsidRPr="006F393A" w:rsidRDefault="00A002B1" w:rsidP="001B3C78">
            <w:pPr>
              <w:pStyle w:val="TableText0"/>
              <w:keepNext w:val="0"/>
              <w:widowControl w:val="0"/>
              <w:spacing w:before="0" w:after="0"/>
            </w:pPr>
            <w:r w:rsidRPr="006F393A">
              <w:t>Various, presented in</w:t>
            </w:r>
            <w:r w:rsidR="001B3C78">
              <w:t xml:space="preserve"> Table D.4.7</w:t>
            </w:r>
            <w:r w:rsidRPr="006F393A">
              <w:t xml:space="preserve"> of the Commentary </w:t>
            </w:r>
          </w:p>
        </w:tc>
        <w:tc>
          <w:tcPr>
            <w:tcW w:w="775" w:type="pct"/>
            <w:noWrap/>
            <w:vAlign w:val="center"/>
            <w:hideMark/>
          </w:tcPr>
          <w:p w:rsidR="006A7F63" w:rsidRPr="006076EB" w:rsidRDefault="000A3154" w:rsidP="006A7F63">
            <w:pPr>
              <w:pStyle w:val="TableText0"/>
              <w:keepNext w:val="0"/>
              <w:widowControl w:val="0"/>
              <w:spacing w:before="0" w:after="0"/>
              <w:jc w:val="right"/>
            </w:pPr>
            <w:r w:rsidRPr="006076EB">
              <w:t>$</w:t>
            </w:r>
            <w:r w:rsidR="00C87712">
              <w:rPr>
                <w:noProof/>
                <w:color w:val="000000"/>
                <w:highlight w:val="black"/>
              </w:rPr>
              <w:t>'''''''''''''''''</w:t>
            </w:r>
          </w:p>
        </w:tc>
        <w:tc>
          <w:tcPr>
            <w:tcW w:w="776" w:type="pct"/>
            <w:noWrap/>
            <w:vAlign w:val="center"/>
            <w:hideMark/>
          </w:tcPr>
          <w:p w:rsidR="006A7F63" w:rsidRPr="00C87712" w:rsidRDefault="00C87712" w:rsidP="006A7F63">
            <w:pPr>
              <w:pStyle w:val="TableText0"/>
              <w:keepNext w:val="0"/>
              <w:widowControl w:val="0"/>
              <w:spacing w:before="0" w:after="0"/>
              <w:jc w:val="right"/>
              <w:rPr>
                <w:highlight w:val="black"/>
              </w:rPr>
            </w:pPr>
            <w:r>
              <w:rPr>
                <w:noProof/>
                <w:color w:val="000000"/>
                <w:highlight w:val="black"/>
              </w:rPr>
              <w:t>'''''''''''''''''''''</w:t>
            </w:r>
          </w:p>
        </w:tc>
      </w:tr>
      <w:tr w:rsidR="006A7F63" w:rsidRPr="006F393A" w:rsidTr="006A7F63">
        <w:trPr>
          <w:trHeight w:val="330"/>
        </w:trPr>
        <w:tc>
          <w:tcPr>
            <w:tcW w:w="1857" w:type="pct"/>
            <w:noWrap/>
            <w:vAlign w:val="center"/>
            <w:hideMark/>
          </w:tcPr>
          <w:p w:rsidR="006A7F63" w:rsidRPr="006F393A" w:rsidRDefault="006A7F63" w:rsidP="006A7F63">
            <w:pPr>
              <w:pStyle w:val="TableText0"/>
              <w:keepNext w:val="0"/>
              <w:widowControl w:val="0"/>
              <w:spacing w:before="0" w:after="0"/>
            </w:pPr>
            <w:r w:rsidRPr="006F393A">
              <w:t>#6 Using utility values from Wright (2006) (used in NICE) and an increment associated with SVR of 0.041</w:t>
            </w:r>
          </w:p>
        </w:tc>
        <w:tc>
          <w:tcPr>
            <w:tcW w:w="1592" w:type="pct"/>
            <w:vAlign w:val="center"/>
          </w:tcPr>
          <w:p w:rsidR="006A7F63" w:rsidRPr="006F393A" w:rsidRDefault="00A002B1" w:rsidP="001B3C78">
            <w:pPr>
              <w:pStyle w:val="TableText0"/>
              <w:keepNext w:val="0"/>
              <w:widowControl w:val="0"/>
              <w:spacing w:before="0" w:after="0"/>
            </w:pPr>
            <w:r w:rsidRPr="006F393A">
              <w:t>Various, presented in</w:t>
            </w:r>
            <w:r w:rsidR="001B3C78">
              <w:t xml:space="preserve"> Table D.4.7 o</w:t>
            </w:r>
            <w:r w:rsidRPr="006F393A">
              <w:t>f the Commentary</w:t>
            </w:r>
          </w:p>
        </w:tc>
        <w:tc>
          <w:tcPr>
            <w:tcW w:w="775" w:type="pct"/>
            <w:noWrap/>
            <w:vAlign w:val="center"/>
            <w:hideMark/>
          </w:tcPr>
          <w:p w:rsidR="006A7F63" w:rsidRPr="006076EB" w:rsidRDefault="006A7F63" w:rsidP="006A7F63">
            <w:pPr>
              <w:pStyle w:val="TableText0"/>
              <w:keepNext w:val="0"/>
              <w:widowControl w:val="0"/>
              <w:spacing w:before="0" w:after="0"/>
              <w:jc w:val="right"/>
            </w:pPr>
            <w:r w:rsidRPr="006076EB">
              <w:t>$</w:t>
            </w:r>
            <w:r w:rsidR="00C87712">
              <w:rPr>
                <w:noProof/>
                <w:color w:val="000000"/>
                <w:highlight w:val="black"/>
              </w:rPr>
              <w:t>''''''''''''''''</w:t>
            </w:r>
          </w:p>
        </w:tc>
        <w:tc>
          <w:tcPr>
            <w:tcW w:w="776" w:type="pct"/>
            <w:noWrap/>
            <w:vAlign w:val="center"/>
            <w:hideMark/>
          </w:tcPr>
          <w:p w:rsidR="006A7F63" w:rsidRPr="00C87712" w:rsidRDefault="00C87712" w:rsidP="006A7F63">
            <w:pPr>
              <w:pStyle w:val="TableText0"/>
              <w:keepNext w:val="0"/>
              <w:widowControl w:val="0"/>
              <w:spacing w:before="0" w:after="0"/>
              <w:jc w:val="right"/>
              <w:rPr>
                <w:highlight w:val="black"/>
              </w:rPr>
            </w:pPr>
            <w:r>
              <w:rPr>
                <w:noProof/>
                <w:color w:val="000000"/>
                <w:highlight w:val="black"/>
              </w:rPr>
              <w:t>'''''''''''''''''''''''''</w:t>
            </w:r>
          </w:p>
        </w:tc>
      </w:tr>
      <w:tr w:rsidR="006A7F63" w:rsidRPr="006F393A" w:rsidTr="006A7F63">
        <w:trPr>
          <w:trHeight w:val="330"/>
        </w:trPr>
        <w:tc>
          <w:tcPr>
            <w:tcW w:w="1857" w:type="pct"/>
            <w:noWrap/>
            <w:vAlign w:val="center"/>
            <w:hideMark/>
          </w:tcPr>
          <w:p w:rsidR="006A7F63" w:rsidRPr="006F393A" w:rsidRDefault="00164E40" w:rsidP="00164E40">
            <w:pPr>
              <w:pStyle w:val="TableText0"/>
              <w:keepNext w:val="0"/>
              <w:widowControl w:val="0"/>
              <w:spacing w:before="0" w:after="0"/>
            </w:pPr>
            <w:r w:rsidRPr="006F393A">
              <w:t>Multivariate analysis (</w:t>
            </w:r>
            <w:r w:rsidR="006A7F63" w:rsidRPr="006F393A">
              <w:t>#1 &amp; #2</w:t>
            </w:r>
            <w:r w:rsidRPr="006F393A">
              <w:t>)</w:t>
            </w:r>
          </w:p>
        </w:tc>
        <w:tc>
          <w:tcPr>
            <w:tcW w:w="1592" w:type="pct"/>
            <w:vAlign w:val="center"/>
          </w:tcPr>
          <w:p w:rsidR="006A7F63" w:rsidRPr="006F393A" w:rsidRDefault="006A7F63" w:rsidP="006A7F63">
            <w:pPr>
              <w:pStyle w:val="TableText0"/>
              <w:keepNext w:val="0"/>
              <w:widowControl w:val="0"/>
              <w:spacing w:before="0" w:after="0"/>
            </w:pPr>
            <w:r w:rsidRPr="006F393A">
              <w:t>See above</w:t>
            </w:r>
          </w:p>
        </w:tc>
        <w:tc>
          <w:tcPr>
            <w:tcW w:w="775" w:type="pct"/>
            <w:noWrap/>
            <w:vAlign w:val="center"/>
            <w:hideMark/>
          </w:tcPr>
          <w:p w:rsidR="006A7F63" w:rsidRPr="006076EB" w:rsidRDefault="006A7F63" w:rsidP="006A7F63">
            <w:pPr>
              <w:pStyle w:val="TableText0"/>
              <w:keepNext w:val="0"/>
              <w:widowControl w:val="0"/>
              <w:spacing w:before="0" w:after="0"/>
              <w:jc w:val="right"/>
            </w:pPr>
            <w:r w:rsidRPr="006076EB">
              <w:t>$</w:t>
            </w:r>
            <w:r w:rsidR="00C87712">
              <w:rPr>
                <w:noProof/>
                <w:color w:val="000000"/>
                <w:highlight w:val="black"/>
              </w:rPr>
              <w:t>''''''''''''''''''</w:t>
            </w:r>
          </w:p>
        </w:tc>
        <w:tc>
          <w:tcPr>
            <w:tcW w:w="776" w:type="pct"/>
            <w:noWrap/>
            <w:vAlign w:val="center"/>
            <w:hideMark/>
          </w:tcPr>
          <w:p w:rsidR="006A7F63" w:rsidRPr="006076EB" w:rsidRDefault="006A7F63" w:rsidP="006A7F63">
            <w:pPr>
              <w:pStyle w:val="TableText0"/>
              <w:keepNext w:val="0"/>
              <w:widowControl w:val="0"/>
              <w:spacing w:before="0" w:after="0"/>
              <w:jc w:val="right"/>
            </w:pPr>
            <w:r w:rsidRPr="006076EB">
              <w:t>$</w:t>
            </w:r>
            <w:r w:rsidR="00C87712">
              <w:rPr>
                <w:noProof/>
                <w:color w:val="000000"/>
                <w:highlight w:val="black"/>
              </w:rPr>
              <w:t>'''''''''''''</w:t>
            </w:r>
          </w:p>
        </w:tc>
      </w:tr>
      <w:tr w:rsidR="006A7F63" w:rsidRPr="006F393A" w:rsidTr="006A7F63">
        <w:trPr>
          <w:trHeight w:val="330"/>
        </w:trPr>
        <w:tc>
          <w:tcPr>
            <w:tcW w:w="1857" w:type="pct"/>
            <w:noWrap/>
            <w:vAlign w:val="center"/>
            <w:hideMark/>
          </w:tcPr>
          <w:p w:rsidR="006A7F63" w:rsidRPr="006F393A" w:rsidRDefault="00164E40" w:rsidP="006A7F63">
            <w:pPr>
              <w:pStyle w:val="TableText0"/>
              <w:keepNext w:val="0"/>
              <w:widowControl w:val="0"/>
              <w:spacing w:before="0" w:after="0"/>
            </w:pPr>
            <w:r w:rsidRPr="006F393A">
              <w:t>Multivariate analysis (</w:t>
            </w:r>
            <w:r w:rsidR="006A7F63" w:rsidRPr="006F393A">
              <w:t>#1 &amp; #2 &amp; #5</w:t>
            </w:r>
            <w:r w:rsidRPr="006F393A">
              <w:t>)</w:t>
            </w:r>
          </w:p>
        </w:tc>
        <w:tc>
          <w:tcPr>
            <w:tcW w:w="1592" w:type="pct"/>
            <w:vAlign w:val="center"/>
          </w:tcPr>
          <w:p w:rsidR="006A7F63" w:rsidRPr="006F393A" w:rsidRDefault="006A7F63" w:rsidP="006A7F63">
            <w:pPr>
              <w:pStyle w:val="TableText0"/>
              <w:keepNext w:val="0"/>
              <w:widowControl w:val="0"/>
              <w:spacing w:before="0" w:after="0"/>
            </w:pPr>
            <w:r w:rsidRPr="006F393A">
              <w:t>See above.</w:t>
            </w:r>
          </w:p>
        </w:tc>
        <w:tc>
          <w:tcPr>
            <w:tcW w:w="775" w:type="pct"/>
            <w:noWrap/>
            <w:vAlign w:val="center"/>
            <w:hideMark/>
          </w:tcPr>
          <w:p w:rsidR="006A7F63" w:rsidRPr="006076EB" w:rsidRDefault="000A3154" w:rsidP="006A7F63">
            <w:pPr>
              <w:pStyle w:val="TableText0"/>
              <w:keepNext w:val="0"/>
              <w:widowControl w:val="0"/>
              <w:spacing w:before="0" w:after="0"/>
              <w:jc w:val="right"/>
            </w:pPr>
            <w:r w:rsidRPr="006076EB">
              <w:t>$</w:t>
            </w:r>
            <w:r w:rsidR="00C87712">
              <w:rPr>
                <w:noProof/>
                <w:color w:val="000000"/>
                <w:highlight w:val="black"/>
              </w:rPr>
              <w:t>'''''''''''''''''</w:t>
            </w:r>
          </w:p>
        </w:tc>
        <w:tc>
          <w:tcPr>
            <w:tcW w:w="776" w:type="pct"/>
            <w:noWrap/>
            <w:vAlign w:val="center"/>
            <w:hideMark/>
          </w:tcPr>
          <w:p w:rsidR="006A7F63" w:rsidRPr="006076EB" w:rsidRDefault="006A7F63" w:rsidP="006A7F63">
            <w:pPr>
              <w:pStyle w:val="TableText0"/>
              <w:keepNext w:val="0"/>
              <w:widowControl w:val="0"/>
              <w:spacing w:before="0" w:after="0"/>
              <w:jc w:val="right"/>
            </w:pPr>
            <w:r w:rsidRPr="006076EB">
              <w:t>$</w:t>
            </w:r>
            <w:r w:rsidR="00C87712">
              <w:rPr>
                <w:noProof/>
                <w:color w:val="000000"/>
                <w:highlight w:val="black"/>
              </w:rPr>
              <w:t>'''''''''''''</w:t>
            </w:r>
          </w:p>
        </w:tc>
      </w:tr>
    </w:tbl>
    <w:p w:rsidR="00755D16" w:rsidRPr="006F393A" w:rsidRDefault="00755D16" w:rsidP="00755D16">
      <w:pPr>
        <w:pStyle w:val="TableFooter"/>
        <w:ind w:left="720"/>
      </w:pPr>
      <w:r w:rsidRPr="006F393A">
        <w:t>*When combining the F2 and F3 health states, transitions from F3 (with and without SVR) to HCC were removed.</w:t>
      </w:r>
    </w:p>
    <w:p w:rsidR="00E8612F" w:rsidRPr="006F393A" w:rsidRDefault="006A7F63" w:rsidP="006A7F63">
      <w:pPr>
        <w:pStyle w:val="TableFooter"/>
        <w:ind w:left="720"/>
      </w:pPr>
      <w:r w:rsidRPr="006F393A">
        <w:t xml:space="preserve">SA = sensitivity analysis; NICE = National Institute for Health and Care Excellence; CC = compensated cirrhosis; DCC = decompensated cirrhosis; HCC = hepatocellular carcinoma; SVR = sustained </w:t>
      </w:r>
      <w:proofErr w:type="spellStart"/>
      <w:r w:rsidRPr="006F393A">
        <w:t>virologic</w:t>
      </w:r>
      <w:proofErr w:type="spellEnd"/>
      <w:r w:rsidRPr="006F393A">
        <w:t xml:space="preserve"> response.</w:t>
      </w:r>
      <w:r w:rsidR="00E8612F" w:rsidRPr="006F393A">
        <w:t xml:space="preserve"> </w:t>
      </w:r>
    </w:p>
    <w:p w:rsidR="006A7F63" w:rsidRPr="006F393A" w:rsidRDefault="006A7F63" w:rsidP="006A7F63">
      <w:pPr>
        <w:pStyle w:val="TableFooter"/>
        <w:ind w:left="720"/>
      </w:pPr>
      <w:r w:rsidRPr="006F393A">
        <w:rPr>
          <w:i/>
        </w:rPr>
        <w:t>Source: Compiled during the evaluation</w:t>
      </w:r>
      <w:r w:rsidRPr="006F393A">
        <w:t>.</w:t>
      </w:r>
    </w:p>
    <w:p w:rsidR="006A7F63" w:rsidRPr="006F393A" w:rsidRDefault="006A7F63" w:rsidP="006A7F63">
      <w:pPr>
        <w:widowControl/>
        <w:rPr>
          <w:szCs w:val="22"/>
        </w:rPr>
      </w:pPr>
    </w:p>
    <w:p w:rsidR="00FB0798" w:rsidRPr="006F393A" w:rsidRDefault="00FB0798" w:rsidP="00997EDA">
      <w:pPr>
        <w:pStyle w:val="ListParagraph"/>
        <w:widowControl/>
        <w:numPr>
          <w:ilvl w:val="1"/>
          <w:numId w:val="1"/>
        </w:numPr>
        <w:rPr>
          <w:szCs w:val="22"/>
        </w:rPr>
      </w:pPr>
      <w:r w:rsidRPr="006F393A">
        <w:rPr>
          <w:szCs w:val="22"/>
        </w:rPr>
        <w:t xml:space="preserve">The above sensitivity analyses indicated that the model was most sensitive to transition probabilities between the early stages of CHC and the costs of the health states. When varying these variables simultaneously, the ICER increased from </w:t>
      </w:r>
      <w:r w:rsidR="0008444D">
        <w:rPr>
          <w:szCs w:val="22"/>
        </w:rPr>
        <w:t>$15,000</w:t>
      </w:r>
      <w:r w:rsidRPr="006F393A">
        <w:rPr>
          <w:szCs w:val="22"/>
        </w:rPr>
        <w:t>/QALY</w:t>
      </w:r>
      <w:r w:rsidR="0008444D">
        <w:rPr>
          <w:szCs w:val="22"/>
        </w:rPr>
        <w:t xml:space="preserve"> - $45,000/QALY</w:t>
      </w:r>
      <w:r w:rsidRPr="006F393A">
        <w:rPr>
          <w:szCs w:val="22"/>
        </w:rPr>
        <w:t xml:space="preserve"> to </w:t>
      </w:r>
      <w:r w:rsidR="0008444D">
        <w:rPr>
          <w:szCs w:val="22"/>
        </w:rPr>
        <w:t>$45,000</w:t>
      </w:r>
      <w:r w:rsidRPr="006F393A">
        <w:rPr>
          <w:szCs w:val="22"/>
        </w:rPr>
        <w:t>/QALY</w:t>
      </w:r>
      <w:r w:rsidR="0008444D">
        <w:rPr>
          <w:szCs w:val="22"/>
        </w:rPr>
        <w:t xml:space="preserve"> - $75,000/QALY</w:t>
      </w:r>
      <w:r w:rsidRPr="006F393A">
        <w:rPr>
          <w:szCs w:val="22"/>
        </w:rPr>
        <w:t xml:space="preserve"> for treatment-naïve non-cirrhotic patients. </w:t>
      </w:r>
      <w:proofErr w:type="spellStart"/>
      <w:r w:rsidRPr="006F393A">
        <w:rPr>
          <w:szCs w:val="22"/>
        </w:rPr>
        <w:t>Viekira</w:t>
      </w:r>
      <w:proofErr w:type="spellEnd"/>
      <w:r w:rsidRPr="006F393A">
        <w:rPr>
          <w:szCs w:val="22"/>
        </w:rPr>
        <w:t xml:space="preserve"> PAK/</w:t>
      </w:r>
      <w:proofErr w:type="spellStart"/>
      <w:r w:rsidRPr="006F393A">
        <w:rPr>
          <w:szCs w:val="22"/>
        </w:rPr>
        <w:t>Viekira</w:t>
      </w:r>
      <w:proofErr w:type="spellEnd"/>
      <w:r w:rsidRPr="006F393A">
        <w:rPr>
          <w:szCs w:val="22"/>
        </w:rPr>
        <w:t xml:space="preserve"> PAK-RBV was no longer </w:t>
      </w:r>
      <w:r w:rsidR="00C87712">
        <w:rPr>
          <w:noProof/>
          <w:color w:val="000000"/>
          <w:szCs w:val="22"/>
          <w:highlight w:val="black"/>
        </w:rPr>
        <w:t>'''''''''''''''''''''</w:t>
      </w:r>
      <w:r w:rsidRPr="006F393A">
        <w:rPr>
          <w:szCs w:val="22"/>
        </w:rPr>
        <w:t xml:space="preserve"> for cirrhotic patients.</w:t>
      </w:r>
    </w:p>
    <w:p w:rsidR="00116561" w:rsidRPr="006F393A" w:rsidRDefault="00116561" w:rsidP="00116561">
      <w:pPr>
        <w:pStyle w:val="PBACHeading1"/>
        <w:numPr>
          <w:ilvl w:val="0"/>
          <w:numId w:val="0"/>
        </w:numPr>
        <w:ind w:left="720" w:hanging="720"/>
      </w:pPr>
    </w:p>
    <w:p w:rsidR="0028048D" w:rsidRPr="006F393A" w:rsidRDefault="00AC16CA" w:rsidP="00997EDA">
      <w:pPr>
        <w:pStyle w:val="ListParagraph"/>
        <w:widowControl/>
        <w:numPr>
          <w:ilvl w:val="1"/>
          <w:numId w:val="1"/>
        </w:numPr>
        <w:rPr>
          <w:szCs w:val="22"/>
        </w:rPr>
      </w:pPr>
      <w:r w:rsidRPr="006F393A">
        <w:rPr>
          <w:szCs w:val="22"/>
        </w:rPr>
        <w:t xml:space="preserve">The ESC noted that a large opportunity cost for all-oral interferon-free HCV regimens, including </w:t>
      </w:r>
      <w:proofErr w:type="spellStart"/>
      <w:r w:rsidRPr="006F393A">
        <w:rPr>
          <w:szCs w:val="22"/>
        </w:rPr>
        <w:t>Viekira</w:t>
      </w:r>
      <w:proofErr w:type="spellEnd"/>
      <w:r w:rsidRPr="006F393A">
        <w:rPr>
          <w:szCs w:val="22"/>
        </w:rPr>
        <w:t xml:space="preserve"> PAK/</w:t>
      </w:r>
      <w:proofErr w:type="spellStart"/>
      <w:r w:rsidRPr="006F393A">
        <w:rPr>
          <w:szCs w:val="22"/>
        </w:rPr>
        <w:t>Viekira</w:t>
      </w:r>
      <w:proofErr w:type="spellEnd"/>
      <w:r w:rsidRPr="006F393A">
        <w:rPr>
          <w:szCs w:val="22"/>
        </w:rPr>
        <w:t xml:space="preserve"> PAK-RBV, is expected. The listing of interferon-free HCV regimens would potentially reduce access to future</w:t>
      </w:r>
      <w:r w:rsidRPr="006F393A">
        <w:t xml:space="preserve"> </w:t>
      </w:r>
      <w:r w:rsidRPr="006F393A">
        <w:rPr>
          <w:szCs w:val="22"/>
        </w:rPr>
        <w:t xml:space="preserve">cost-effective medicines. Given this, at the March 2015 PBAC meeting, the PBAC advised that new interferon-free regimens would be </w:t>
      </w:r>
      <w:r w:rsidR="00EB1AE2" w:rsidRPr="006F393A">
        <w:rPr>
          <w:szCs w:val="22"/>
        </w:rPr>
        <w:t xml:space="preserve">acceptably </w:t>
      </w:r>
      <w:r w:rsidRPr="006F393A">
        <w:rPr>
          <w:szCs w:val="22"/>
        </w:rPr>
        <w:t xml:space="preserve">cost-effective at $15,000/QALY, the lower end of the ICER range that PBAC has accepted for </w:t>
      </w:r>
      <w:proofErr w:type="spellStart"/>
      <w:r w:rsidRPr="006F393A">
        <w:rPr>
          <w:szCs w:val="22"/>
        </w:rPr>
        <w:t>telaprevir</w:t>
      </w:r>
      <w:proofErr w:type="spellEnd"/>
      <w:r w:rsidRPr="006F393A">
        <w:rPr>
          <w:szCs w:val="22"/>
        </w:rPr>
        <w:t xml:space="preserve"> or </w:t>
      </w:r>
      <w:proofErr w:type="spellStart"/>
      <w:r w:rsidRPr="006F393A">
        <w:rPr>
          <w:szCs w:val="22"/>
        </w:rPr>
        <w:t>boceprevir</w:t>
      </w:r>
      <w:proofErr w:type="spellEnd"/>
      <w:r w:rsidRPr="006F393A">
        <w:rPr>
          <w:szCs w:val="22"/>
        </w:rPr>
        <w:t xml:space="preserve"> (</w:t>
      </w:r>
      <w:proofErr w:type="spellStart"/>
      <w:r w:rsidR="001D468D" w:rsidRPr="006F393A">
        <w:rPr>
          <w:szCs w:val="22"/>
        </w:rPr>
        <w:t>Ledipasvir</w:t>
      </w:r>
      <w:proofErr w:type="spellEnd"/>
      <w:r w:rsidR="001D468D" w:rsidRPr="006F393A">
        <w:rPr>
          <w:szCs w:val="22"/>
        </w:rPr>
        <w:t>/</w:t>
      </w:r>
      <w:proofErr w:type="spellStart"/>
      <w:r w:rsidR="001D468D" w:rsidRPr="006F393A">
        <w:rPr>
          <w:szCs w:val="22"/>
        </w:rPr>
        <w:t>Sofosbuvir</w:t>
      </w:r>
      <w:proofErr w:type="spellEnd"/>
      <w:r w:rsidR="001D468D" w:rsidRPr="006F393A">
        <w:rPr>
          <w:szCs w:val="22"/>
        </w:rPr>
        <w:t xml:space="preserve"> Public Summary Document</w:t>
      </w:r>
      <w:r w:rsidRPr="006F393A">
        <w:rPr>
          <w:szCs w:val="22"/>
        </w:rPr>
        <w:t>– March 2015).</w:t>
      </w:r>
    </w:p>
    <w:p w:rsidR="006F2DF5" w:rsidRPr="006F393A" w:rsidRDefault="006F2DF5" w:rsidP="006F2DF5">
      <w:pPr>
        <w:pStyle w:val="PBACHeading1"/>
        <w:numPr>
          <w:ilvl w:val="0"/>
          <w:numId w:val="0"/>
        </w:numPr>
      </w:pPr>
    </w:p>
    <w:p w:rsidR="00854A36" w:rsidRPr="006F393A" w:rsidRDefault="00854A36" w:rsidP="00997EDA">
      <w:pPr>
        <w:pStyle w:val="ListParagraph"/>
        <w:widowControl/>
        <w:numPr>
          <w:ilvl w:val="1"/>
          <w:numId w:val="1"/>
        </w:numPr>
        <w:rPr>
          <w:szCs w:val="22"/>
        </w:rPr>
      </w:pPr>
      <w:r w:rsidRPr="006F393A">
        <w:t xml:space="preserve"> </w:t>
      </w:r>
      <w:r w:rsidRPr="006F393A">
        <w:rPr>
          <w:szCs w:val="22"/>
        </w:rPr>
        <w:t>The relationship between the total regimen cost and the incremental cost per QA</w:t>
      </w:r>
      <w:r w:rsidR="00B60EB3" w:rsidRPr="006F393A">
        <w:rPr>
          <w:szCs w:val="22"/>
        </w:rPr>
        <w:t>LY gained is presented in figure below</w:t>
      </w:r>
      <w:r w:rsidRPr="006F393A">
        <w:rPr>
          <w:szCs w:val="22"/>
        </w:rPr>
        <w:t xml:space="preserve">. To achieve an ICER of $15,000/QALY, using sensitivity analyses #1 and #2 (the transition probabilities from mild to moderate fibrosis and moderate fibrosis to cirrhosis from NICE, and health state costs for compensated cirrhosis, decompensated cirrhosis and hepatocellular carcinoma from Visconti et al, 2013), the price of </w:t>
      </w:r>
      <w:proofErr w:type="spellStart"/>
      <w:r w:rsidRPr="006F393A">
        <w:rPr>
          <w:szCs w:val="22"/>
        </w:rPr>
        <w:t>Viekira</w:t>
      </w:r>
      <w:proofErr w:type="spellEnd"/>
      <w:r w:rsidRPr="006F393A">
        <w:rPr>
          <w:szCs w:val="22"/>
        </w:rPr>
        <w:t xml:space="preserve"> PAK / </w:t>
      </w:r>
      <w:proofErr w:type="spellStart"/>
      <w:r w:rsidRPr="006F393A">
        <w:rPr>
          <w:szCs w:val="22"/>
        </w:rPr>
        <w:t>Viekira</w:t>
      </w:r>
      <w:proofErr w:type="spellEnd"/>
      <w:r w:rsidRPr="006F393A">
        <w:rPr>
          <w:szCs w:val="22"/>
        </w:rPr>
        <w:t xml:space="preserve"> PAK-RBV for treatment-naïve non-cirrhotic patients should be no more than </w:t>
      </w:r>
      <w:r w:rsidRPr="006076EB">
        <w:rPr>
          <w:szCs w:val="22"/>
        </w:rPr>
        <w:t>$</w:t>
      </w:r>
      <w:r w:rsidR="00C87712">
        <w:rPr>
          <w:noProof/>
          <w:color w:val="000000"/>
          <w:szCs w:val="22"/>
          <w:highlight w:val="black"/>
        </w:rPr>
        <w:t>''''''''''''''''''</w:t>
      </w:r>
      <w:r w:rsidRPr="006076EB">
        <w:rPr>
          <w:szCs w:val="22"/>
        </w:rPr>
        <w:t>. Using the submission’s base case a total regimen cost of approximately $</w:t>
      </w:r>
      <w:r w:rsidR="00C87712">
        <w:rPr>
          <w:noProof/>
          <w:color w:val="000000"/>
          <w:szCs w:val="22"/>
          <w:highlight w:val="black"/>
        </w:rPr>
        <w:t>''''''''''''''''''</w:t>
      </w:r>
      <w:r w:rsidRPr="006F393A">
        <w:rPr>
          <w:szCs w:val="22"/>
        </w:rPr>
        <w:t xml:space="preserve"> would achieve this same ICER ($15,000/QALY). </w:t>
      </w:r>
    </w:p>
    <w:p w:rsidR="00B60EB3" w:rsidRPr="006F393A" w:rsidRDefault="00B60EB3" w:rsidP="00854A36">
      <w:pPr>
        <w:pStyle w:val="PBACHeading1"/>
        <w:numPr>
          <w:ilvl w:val="0"/>
          <w:numId w:val="0"/>
        </w:numPr>
        <w:ind w:left="720" w:hanging="720"/>
      </w:pPr>
    </w:p>
    <w:p w:rsidR="00B60EB3" w:rsidRDefault="00B60EB3" w:rsidP="009701B0">
      <w:pPr>
        <w:pStyle w:val="TableHeader"/>
        <w:ind w:firstLine="720"/>
      </w:pPr>
      <w:bookmarkStart w:id="15" w:name="_Ref417301651"/>
      <w:r w:rsidRPr="006F393A">
        <w:t>Figure</w:t>
      </w:r>
      <w:bookmarkEnd w:id="15"/>
      <w:r w:rsidR="00682811" w:rsidRPr="006F393A">
        <w:t xml:space="preserve"> 1</w:t>
      </w:r>
      <w:r w:rsidRPr="006F393A">
        <w:t>: Relationship between total regimen cost and the ICER for treatment-naïve non-cirrhotic patients</w:t>
      </w:r>
    </w:p>
    <w:p w:rsidR="00842C62" w:rsidRDefault="00842C62" w:rsidP="00842C62"/>
    <w:p w:rsidR="00842C62" w:rsidRDefault="00842C62" w:rsidP="00842C62">
      <w:r>
        <w:tab/>
        <w:t>[THIS FIGURE HAS BEEN REDACTED]</w:t>
      </w:r>
    </w:p>
    <w:p w:rsidR="00842C62" w:rsidRPr="00842C62" w:rsidRDefault="00842C62" w:rsidP="00842C62"/>
    <w:p w:rsidR="00F22176" w:rsidRPr="006F393A" w:rsidRDefault="00F22176" w:rsidP="00F22176">
      <w:pPr>
        <w:pStyle w:val="ListParagraph"/>
        <w:widowControl/>
        <w:numPr>
          <w:ilvl w:val="1"/>
          <w:numId w:val="1"/>
        </w:numPr>
        <w:rPr>
          <w:szCs w:val="22"/>
        </w:rPr>
      </w:pPr>
      <w:r w:rsidRPr="006F393A">
        <w:rPr>
          <w:bCs/>
          <w:szCs w:val="22"/>
        </w:rPr>
        <w:t>The pre-PBAC response disagreed with ESC</w:t>
      </w:r>
      <w:r w:rsidR="004F2ED3" w:rsidRPr="006F393A">
        <w:rPr>
          <w:bCs/>
          <w:szCs w:val="22"/>
        </w:rPr>
        <w:t>’s</w:t>
      </w:r>
      <w:r w:rsidRPr="006F393A">
        <w:rPr>
          <w:bCs/>
          <w:szCs w:val="22"/>
        </w:rPr>
        <w:t xml:space="preserve"> view that the heath cost for </w:t>
      </w:r>
      <w:r w:rsidRPr="006F393A">
        <w:rPr>
          <w:szCs w:val="22"/>
        </w:rPr>
        <w:t xml:space="preserve">Hepatocellular carcinoma was overestimated but </w:t>
      </w:r>
      <w:r w:rsidRPr="006F393A">
        <w:rPr>
          <w:bCs/>
          <w:szCs w:val="22"/>
        </w:rPr>
        <w:t>revised the following health state cost</w:t>
      </w:r>
      <w:r w:rsidR="00571B07">
        <w:rPr>
          <w:bCs/>
          <w:szCs w:val="22"/>
        </w:rPr>
        <w:t>s</w:t>
      </w:r>
      <w:r w:rsidRPr="006F393A">
        <w:rPr>
          <w:bCs/>
          <w:szCs w:val="22"/>
        </w:rPr>
        <w:t>:</w:t>
      </w:r>
    </w:p>
    <w:p w:rsidR="00F22176" w:rsidRPr="006076EB" w:rsidRDefault="00F22176" w:rsidP="004F2ED3">
      <w:pPr>
        <w:pStyle w:val="ListParagraph"/>
        <w:widowControl/>
        <w:numPr>
          <w:ilvl w:val="1"/>
          <w:numId w:val="12"/>
        </w:numPr>
        <w:rPr>
          <w:szCs w:val="22"/>
        </w:rPr>
      </w:pPr>
      <w:r w:rsidRPr="006F393A">
        <w:rPr>
          <w:bCs/>
          <w:szCs w:val="22"/>
        </w:rPr>
        <w:t xml:space="preserve"> </w:t>
      </w:r>
      <w:r w:rsidRPr="006076EB">
        <w:rPr>
          <w:bCs/>
          <w:szCs w:val="22"/>
        </w:rPr>
        <w:t>$</w:t>
      </w:r>
      <w:r w:rsidR="00C87712">
        <w:rPr>
          <w:bCs/>
          <w:noProof/>
          <w:color w:val="000000"/>
          <w:szCs w:val="22"/>
          <w:highlight w:val="black"/>
        </w:rPr>
        <w:t>'''''''''</w:t>
      </w:r>
      <w:r w:rsidRPr="006076EB">
        <w:rPr>
          <w:bCs/>
          <w:szCs w:val="22"/>
        </w:rPr>
        <w:t xml:space="preserve"> for compensated cirrhosis F4 is compared to earlier proposed cost of $</w:t>
      </w:r>
      <w:r w:rsidR="00C87712">
        <w:rPr>
          <w:bCs/>
          <w:noProof/>
          <w:color w:val="000000"/>
          <w:szCs w:val="22"/>
          <w:highlight w:val="black"/>
        </w:rPr>
        <w:t>''''''''''''</w:t>
      </w:r>
      <w:r w:rsidRPr="006076EB">
        <w:rPr>
          <w:bCs/>
          <w:szCs w:val="22"/>
        </w:rPr>
        <w:t xml:space="preserve"> attributable to hospitalisations likely to relate to patients who have progressed to decompensated cirrhosis.</w:t>
      </w:r>
    </w:p>
    <w:p w:rsidR="00F22176" w:rsidRPr="006076EB" w:rsidRDefault="00F22176" w:rsidP="004F2ED3">
      <w:pPr>
        <w:widowControl/>
        <w:rPr>
          <w:szCs w:val="22"/>
        </w:rPr>
      </w:pPr>
    </w:p>
    <w:p w:rsidR="00F22176" w:rsidRPr="006076EB" w:rsidRDefault="00F22176" w:rsidP="004F2ED3">
      <w:pPr>
        <w:widowControl/>
        <w:numPr>
          <w:ilvl w:val="1"/>
          <w:numId w:val="12"/>
        </w:numPr>
        <w:rPr>
          <w:bCs/>
          <w:szCs w:val="22"/>
        </w:rPr>
      </w:pPr>
      <w:r w:rsidRPr="006076EB">
        <w:rPr>
          <w:bCs/>
          <w:szCs w:val="22"/>
        </w:rPr>
        <w:t>$</w:t>
      </w:r>
      <w:r w:rsidR="00C87712">
        <w:rPr>
          <w:bCs/>
          <w:noProof/>
          <w:color w:val="000000"/>
          <w:szCs w:val="22"/>
          <w:highlight w:val="black"/>
        </w:rPr>
        <w:t>'''''''''''''''''</w:t>
      </w:r>
      <w:r w:rsidRPr="006076EB">
        <w:rPr>
          <w:bCs/>
          <w:szCs w:val="22"/>
        </w:rPr>
        <w:t xml:space="preserve"> for decompensated cirrhosis based on the assumption of a weigh</w:t>
      </w:r>
      <w:r w:rsidR="008F566D" w:rsidRPr="006076EB">
        <w:rPr>
          <w:bCs/>
          <w:szCs w:val="22"/>
        </w:rPr>
        <w:t>t</w:t>
      </w:r>
      <w:r w:rsidRPr="006076EB">
        <w:rPr>
          <w:bCs/>
          <w:szCs w:val="22"/>
        </w:rPr>
        <w:t>ed proportion of patients attending a liver clinic or transplant clinic compared to earlier proposed cost of $</w:t>
      </w:r>
      <w:r w:rsidR="00C87712">
        <w:rPr>
          <w:bCs/>
          <w:noProof/>
          <w:color w:val="000000"/>
          <w:szCs w:val="22"/>
          <w:highlight w:val="black"/>
        </w:rPr>
        <w:t>'''''''''''''''</w:t>
      </w:r>
      <w:r w:rsidRPr="006076EB">
        <w:rPr>
          <w:bCs/>
          <w:szCs w:val="22"/>
        </w:rPr>
        <w:t xml:space="preserve">. </w:t>
      </w:r>
    </w:p>
    <w:p w:rsidR="00F22176" w:rsidRPr="006F393A" w:rsidRDefault="00F22176" w:rsidP="00F22176">
      <w:pPr>
        <w:widowControl/>
        <w:ind w:left="720"/>
        <w:rPr>
          <w:bCs/>
          <w:szCs w:val="22"/>
        </w:rPr>
      </w:pPr>
    </w:p>
    <w:p w:rsidR="00F22176" w:rsidRPr="006F393A" w:rsidRDefault="00F22176" w:rsidP="00F22176">
      <w:pPr>
        <w:widowControl/>
        <w:numPr>
          <w:ilvl w:val="1"/>
          <w:numId w:val="1"/>
        </w:numPr>
        <w:rPr>
          <w:bCs/>
          <w:szCs w:val="22"/>
        </w:rPr>
      </w:pPr>
      <w:r w:rsidRPr="006F393A">
        <w:rPr>
          <w:bCs/>
          <w:szCs w:val="22"/>
        </w:rPr>
        <w:t xml:space="preserve">The PBAC considered that the revised ICERS/QALY provided in the pre-PBAC was not informative as they were not presented against the appropriate comparator and the PBAC considered that health costs were overestimated and favoured </w:t>
      </w:r>
      <w:proofErr w:type="spellStart"/>
      <w:r w:rsidR="00CF388D" w:rsidRPr="006F393A">
        <w:t>Viekira</w:t>
      </w:r>
      <w:proofErr w:type="spellEnd"/>
      <w:r w:rsidR="00CF388D" w:rsidRPr="006F393A">
        <w:t xml:space="preserve"> PAK / </w:t>
      </w:r>
      <w:proofErr w:type="spellStart"/>
      <w:r w:rsidR="00CF388D" w:rsidRPr="006F393A">
        <w:t>Viekira</w:t>
      </w:r>
      <w:proofErr w:type="spellEnd"/>
      <w:r w:rsidR="00CF388D" w:rsidRPr="006F393A">
        <w:t xml:space="preserve"> PAK-RBV</w:t>
      </w:r>
      <w:r w:rsidRPr="006F393A">
        <w:t xml:space="preserve">. </w:t>
      </w:r>
    </w:p>
    <w:p w:rsidR="00F22176" w:rsidRPr="006F393A" w:rsidRDefault="00F22176" w:rsidP="00F22176">
      <w:pPr>
        <w:contextualSpacing/>
        <w:rPr>
          <w:szCs w:val="22"/>
        </w:rPr>
      </w:pPr>
    </w:p>
    <w:p w:rsidR="00F22176" w:rsidRPr="006F393A" w:rsidRDefault="00F22176" w:rsidP="00F22176">
      <w:pPr>
        <w:numPr>
          <w:ilvl w:val="1"/>
          <w:numId w:val="1"/>
        </w:numPr>
        <w:contextualSpacing/>
        <w:rPr>
          <w:szCs w:val="22"/>
        </w:rPr>
      </w:pPr>
      <w:r w:rsidRPr="006F393A">
        <w:rPr>
          <w:szCs w:val="22"/>
        </w:rPr>
        <w:t xml:space="preserve">The PBAC also noted that ICER might be higher if the more conservative transition probabilities from the NICE assessment raised in the Commentary were applied to the model. In addition, the PBAC noted the other items, at the March 2015 meeting, modelling the cost-effectiveness of HCV treatment, using inputs and assumptions that the PBAC considered to be more appropriate for this disease. </w:t>
      </w:r>
    </w:p>
    <w:p w:rsidR="00F22176" w:rsidRPr="006F393A" w:rsidRDefault="00F22176" w:rsidP="00F22176">
      <w:pPr>
        <w:contextualSpacing/>
        <w:rPr>
          <w:szCs w:val="22"/>
        </w:rPr>
      </w:pPr>
    </w:p>
    <w:p w:rsidR="00F22176" w:rsidRPr="006F393A" w:rsidRDefault="00F22176" w:rsidP="00F22176">
      <w:pPr>
        <w:numPr>
          <w:ilvl w:val="1"/>
          <w:numId w:val="1"/>
        </w:numPr>
        <w:contextualSpacing/>
        <w:rPr>
          <w:szCs w:val="22"/>
        </w:rPr>
      </w:pPr>
      <w:r w:rsidRPr="006F393A">
        <w:rPr>
          <w:szCs w:val="22"/>
        </w:rPr>
        <w:t xml:space="preserve">Overall, the economic model presented in the submission favoured </w:t>
      </w:r>
      <w:proofErr w:type="spellStart"/>
      <w:r w:rsidRPr="006F393A">
        <w:rPr>
          <w:szCs w:val="22"/>
        </w:rPr>
        <w:t>Viekira</w:t>
      </w:r>
      <w:proofErr w:type="spellEnd"/>
      <w:r w:rsidRPr="006F393A">
        <w:rPr>
          <w:szCs w:val="22"/>
        </w:rPr>
        <w:t xml:space="preserve"> PAK / </w:t>
      </w:r>
      <w:proofErr w:type="spellStart"/>
      <w:r w:rsidRPr="006F393A">
        <w:rPr>
          <w:szCs w:val="22"/>
        </w:rPr>
        <w:t>Viekira</w:t>
      </w:r>
      <w:proofErr w:type="spellEnd"/>
      <w:r w:rsidRPr="006F393A">
        <w:rPr>
          <w:szCs w:val="22"/>
        </w:rPr>
        <w:t xml:space="preserve"> PAK-RBV and that applying more conservative inputs or scenarios increased the ICERs/QALY to a range higher than the PBAC considered cost-effective for the treatment of CHC.</w:t>
      </w:r>
    </w:p>
    <w:p w:rsidR="009B0CB1" w:rsidRPr="006F393A" w:rsidRDefault="009B0CB1" w:rsidP="009B0CB1">
      <w:pPr>
        <w:contextualSpacing/>
        <w:rPr>
          <w:color w:val="1F497D" w:themeColor="text2"/>
          <w:szCs w:val="22"/>
        </w:rPr>
      </w:pPr>
    </w:p>
    <w:p w:rsidR="009B0CB1" w:rsidRPr="006F393A" w:rsidRDefault="00F22176" w:rsidP="00CF388D">
      <w:pPr>
        <w:numPr>
          <w:ilvl w:val="1"/>
          <w:numId w:val="1"/>
        </w:numPr>
        <w:contextualSpacing/>
        <w:rPr>
          <w:szCs w:val="22"/>
          <w:lang w:val="en-US"/>
        </w:rPr>
      </w:pPr>
      <w:r w:rsidRPr="006F393A">
        <w:rPr>
          <w:szCs w:val="22"/>
        </w:rPr>
        <w:t>Though</w:t>
      </w:r>
      <w:r w:rsidRPr="006F393A">
        <w:rPr>
          <w:bCs/>
          <w:szCs w:val="22"/>
          <w:lang w:val="en-GB"/>
        </w:rPr>
        <w:t xml:space="preserve"> all the data presented to the committee was based on </w:t>
      </w:r>
      <w:r w:rsidRPr="006F393A">
        <w:rPr>
          <w:szCs w:val="22"/>
          <w:lang w:val="en-US"/>
        </w:rPr>
        <w:t xml:space="preserve">unadjusted single arms of studies, the PBAC considered that </w:t>
      </w:r>
      <w:r w:rsidRPr="006F393A">
        <w:rPr>
          <w:szCs w:val="22"/>
        </w:rPr>
        <w:t xml:space="preserve">it </w:t>
      </w:r>
      <w:r w:rsidRPr="006F393A">
        <w:rPr>
          <w:szCs w:val="22"/>
          <w:lang w:val="en-US"/>
        </w:rPr>
        <w:t xml:space="preserve">was reasonable to assume that one treatment course of </w:t>
      </w:r>
      <w:proofErr w:type="spellStart"/>
      <w:r w:rsidRPr="006F393A">
        <w:rPr>
          <w:szCs w:val="22"/>
        </w:rPr>
        <w:t>Viekira</w:t>
      </w:r>
      <w:proofErr w:type="spellEnd"/>
      <w:r w:rsidRPr="006F393A">
        <w:rPr>
          <w:szCs w:val="22"/>
        </w:rPr>
        <w:t xml:space="preserve"> PAK / </w:t>
      </w:r>
      <w:proofErr w:type="spellStart"/>
      <w:r w:rsidRPr="006F393A">
        <w:rPr>
          <w:szCs w:val="22"/>
        </w:rPr>
        <w:t>Viekira</w:t>
      </w:r>
      <w:proofErr w:type="spellEnd"/>
      <w:r w:rsidRPr="006F393A">
        <w:rPr>
          <w:szCs w:val="22"/>
        </w:rPr>
        <w:t xml:space="preserve"> PAK-RBV </w:t>
      </w:r>
      <w:r w:rsidRPr="006F393A">
        <w:rPr>
          <w:szCs w:val="22"/>
          <w:lang w:val="en-US"/>
        </w:rPr>
        <w:t xml:space="preserve">was as effective as one course of LDV/SOF for genotype 1 patients. The PBAC considered </w:t>
      </w:r>
      <w:r w:rsidRPr="006F393A">
        <w:t xml:space="preserve">that there was no basis on which to recommend that </w:t>
      </w:r>
      <w:proofErr w:type="spellStart"/>
      <w:r w:rsidRPr="006F393A">
        <w:rPr>
          <w:szCs w:val="22"/>
        </w:rPr>
        <w:t>Viekira</w:t>
      </w:r>
      <w:proofErr w:type="spellEnd"/>
      <w:r w:rsidRPr="006F393A">
        <w:rPr>
          <w:szCs w:val="22"/>
        </w:rPr>
        <w:t xml:space="preserve"> PAK / </w:t>
      </w:r>
      <w:proofErr w:type="spellStart"/>
      <w:r w:rsidRPr="006F393A">
        <w:rPr>
          <w:szCs w:val="22"/>
        </w:rPr>
        <w:t>Viekira</w:t>
      </w:r>
      <w:proofErr w:type="spellEnd"/>
      <w:r w:rsidRPr="006F393A">
        <w:rPr>
          <w:szCs w:val="22"/>
        </w:rPr>
        <w:t xml:space="preserve"> PAK-RBV </w:t>
      </w:r>
      <w:r w:rsidRPr="006F393A">
        <w:t xml:space="preserve">be more expensive than </w:t>
      </w:r>
      <w:r w:rsidRPr="006F393A">
        <w:rPr>
          <w:szCs w:val="22"/>
          <w:lang w:val="en-US"/>
        </w:rPr>
        <w:t>LDV/SOF for genotype 1 patients.</w:t>
      </w:r>
    </w:p>
    <w:p w:rsidR="00F22176" w:rsidRPr="006F393A" w:rsidRDefault="00F22176" w:rsidP="009B0CB1">
      <w:pPr>
        <w:spacing w:after="200"/>
        <w:ind w:left="851"/>
        <w:contextualSpacing/>
        <w:rPr>
          <w:szCs w:val="22"/>
        </w:rPr>
      </w:pPr>
    </w:p>
    <w:p w:rsidR="00CF388D" w:rsidRPr="006F393A" w:rsidRDefault="00F22176" w:rsidP="00CF388D">
      <w:pPr>
        <w:numPr>
          <w:ilvl w:val="1"/>
          <w:numId w:val="1"/>
        </w:numPr>
        <w:contextualSpacing/>
      </w:pPr>
      <w:r w:rsidRPr="006F393A">
        <w:rPr>
          <w:szCs w:val="22"/>
        </w:rPr>
        <w:t xml:space="preserve">The PBAC reiterated that the most appropriate scenario to determine the cost of a treatment would be based on the largest groups of the total prevalent population, namely treatment naïve non-cirrhotic Genotype 1 patients as a proxy for all Genotype 1 patients. This cost of the entire treatment course should include the </w:t>
      </w:r>
      <w:r w:rsidR="004F2ED3" w:rsidRPr="006F393A">
        <w:rPr>
          <w:szCs w:val="22"/>
        </w:rPr>
        <w:t>fees and mark ups</w:t>
      </w:r>
      <w:r w:rsidRPr="006F393A">
        <w:rPr>
          <w:szCs w:val="22"/>
        </w:rPr>
        <w:t xml:space="preserve"> associated with a General Schedule listing. The PBAC recommended that the cost to achieve a SVR12 should be independent of the treatment duration (such as 12 week or 24 weeks) considered to be appropriate to achieve a SVR in patients. </w:t>
      </w:r>
    </w:p>
    <w:p w:rsidR="006C2107" w:rsidRPr="006F393A" w:rsidRDefault="006C2107" w:rsidP="006C2107">
      <w:pPr>
        <w:pStyle w:val="PBACHeading1"/>
        <w:numPr>
          <w:ilvl w:val="0"/>
          <w:numId w:val="0"/>
        </w:numPr>
      </w:pPr>
    </w:p>
    <w:p w:rsidR="00CF388D" w:rsidRPr="006F393A" w:rsidRDefault="00CF388D" w:rsidP="004F2ED3">
      <w:pPr>
        <w:numPr>
          <w:ilvl w:val="1"/>
          <w:numId w:val="1"/>
        </w:numPr>
        <w:contextualSpacing/>
        <w:rPr>
          <w:szCs w:val="22"/>
          <w:lang w:val="en-US"/>
        </w:rPr>
      </w:pPr>
      <w:r w:rsidRPr="006F393A">
        <w:rPr>
          <w:szCs w:val="22"/>
          <w:lang w:val="en-US"/>
        </w:rPr>
        <w:t xml:space="preserve">Though the PBAC did not accept all aspects of the economic model as submitted, at the comparative price setting of a treatment course, the </w:t>
      </w:r>
      <w:r w:rsidRPr="006F393A">
        <w:t>Multivariate analysis (#1 &amp; #2) presented in the sensitivity analyses</w:t>
      </w:r>
      <w:r w:rsidRPr="006F393A">
        <w:rPr>
          <w:szCs w:val="22"/>
          <w:lang w:val="en-US"/>
        </w:rPr>
        <w:t xml:space="preserve"> above resulted in an ICER of </w:t>
      </w:r>
      <w:r w:rsidR="0008444D">
        <w:t>$15,000</w:t>
      </w:r>
      <w:r w:rsidRPr="006F393A">
        <w:t>/QALY</w:t>
      </w:r>
      <w:r w:rsidR="0008444D">
        <w:t xml:space="preserve"> - $45,000/QALY</w:t>
      </w:r>
      <w:r w:rsidRPr="006F393A">
        <w:t xml:space="preserve">. </w:t>
      </w:r>
    </w:p>
    <w:p w:rsidR="009B0CB1" w:rsidRPr="006F393A" w:rsidRDefault="009B0CB1" w:rsidP="009B0CB1">
      <w:pPr>
        <w:widowControl/>
        <w:jc w:val="left"/>
        <w:rPr>
          <w:szCs w:val="22"/>
        </w:rPr>
      </w:pPr>
    </w:p>
    <w:p w:rsidR="009701B0" w:rsidRDefault="009701B0">
      <w:pPr>
        <w:widowControl/>
        <w:jc w:val="left"/>
        <w:rPr>
          <w:b/>
          <w:i/>
        </w:rPr>
      </w:pPr>
      <w:bookmarkStart w:id="16" w:name="_Toc417049822"/>
      <w:bookmarkStart w:id="17" w:name="_Toc419383694"/>
      <w:r>
        <w:rPr>
          <w:i/>
        </w:rPr>
        <w:br w:type="page"/>
      </w:r>
    </w:p>
    <w:p w:rsidR="006A7F63" w:rsidRPr="006F393A" w:rsidRDefault="006A7F63" w:rsidP="006A7F63">
      <w:pPr>
        <w:pStyle w:val="Heading2"/>
        <w:rPr>
          <w:i/>
        </w:rPr>
      </w:pPr>
      <w:r w:rsidRPr="006F393A">
        <w:rPr>
          <w:i/>
        </w:rPr>
        <w:t>Drug cost/patient/course</w:t>
      </w:r>
      <w:bookmarkEnd w:id="16"/>
      <w:bookmarkEnd w:id="17"/>
      <w:r w:rsidRPr="006F393A">
        <w:rPr>
          <w:i/>
        </w:rPr>
        <w:t xml:space="preserve"> </w:t>
      </w:r>
    </w:p>
    <w:p w:rsidR="006A7F63" w:rsidRPr="006F393A" w:rsidRDefault="006A7F63" w:rsidP="006A7F63">
      <w:pPr>
        <w:widowControl/>
        <w:rPr>
          <w:szCs w:val="22"/>
        </w:rPr>
      </w:pPr>
    </w:p>
    <w:p w:rsidR="006A7F63" w:rsidRPr="003C4CF6" w:rsidRDefault="006A7F63" w:rsidP="009701B0">
      <w:pPr>
        <w:pStyle w:val="ListParagraph"/>
        <w:widowControl/>
        <w:numPr>
          <w:ilvl w:val="1"/>
          <w:numId w:val="1"/>
        </w:numPr>
        <w:rPr>
          <w:szCs w:val="22"/>
        </w:rPr>
      </w:pPr>
      <w:r w:rsidRPr="003C4CF6">
        <w:rPr>
          <w:szCs w:val="22"/>
        </w:rPr>
        <w:t>$</w:t>
      </w:r>
      <w:r w:rsidR="00C87712">
        <w:rPr>
          <w:noProof/>
          <w:color w:val="000000"/>
          <w:szCs w:val="22"/>
          <w:highlight w:val="black"/>
        </w:rPr>
        <w:t>''''''''''''''''''</w:t>
      </w:r>
      <w:r w:rsidRPr="003C4CF6">
        <w:rPr>
          <w:szCs w:val="22"/>
        </w:rPr>
        <w:t xml:space="preserve"> / patient / course for all patients except for genotype 1a patients who are prior null responders</w:t>
      </w:r>
      <w:r w:rsidR="00116561" w:rsidRPr="003C4CF6">
        <w:rPr>
          <w:szCs w:val="22"/>
        </w:rPr>
        <w:t xml:space="preserve"> (12 weeks)</w:t>
      </w:r>
      <w:r w:rsidR="009701B0" w:rsidRPr="003C4CF6">
        <w:rPr>
          <w:szCs w:val="22"/>
        </w:rPr>
        <w:t>.</w:t>
      </w:r>
    </w:p>
    <w:p w:rsidR="009701B0" w:rsidRPr="003C4CF6" w:rsidRDefault="009701B0" w:rsidP="009701B0">
      <w:pPr>
        <w:pStyle w:val="ListParagraph"/>
        <w:widowControl/>
        <w:rPr>
          <w:szCs w:val="22"/>
        </w:rPr>
      </w:pPr>
    </w:p>
    <w:p w:rsidR="006A7F63" w:rsidRPr="006F393A" w:rsidRDefault="006A7F63" w:rsidP="009701B0">
      <w:pPr>
        <w:pStyle w:val="ListParagraph"/>
        <w:widowControl/>
        <w:numPr>
          <w:ilvl w:val="1"/>
          <w:numId w:val="1"/>
        </w:numPr>
        <w:rPr>
          <w:szCs w:val="22"/>
        </w:rPr>
      </w:pPr>
      <w:r w:rsidRPr="003C4CF6">
        <w:rPr>
          <w:szCs w:val="22"/>
        </w:rPr>
        <w:t>$</w:t>
      </w:r>
      <w:r w:rsidR="00C87712">
        <w:rPr>
          <w:noProof/>
          <w:color w:val="000000"/>
          <w:szCs w:val="22"/>
          <w:highlight w:val="black"/>
        </w:rPr>
        <w:t>''''''''''''''''</w:t>
      </w:r>
      <w:r w:rsidRPr="006F393A">
        <w:rPr>
          <w:szCs w:val="22"/>
        </w:rPr>
        <w:t xml:space="preserve"> / patient / course for genotype 1a prior null responders</w:t>
      </w:r>
      <w:r w:rsidR="00116561" w:rsidRPr="006F393A">
        <w:rPr>
          <w:szCs w:val="22"/>
        </w:rPr>
        <w:t xml:space="preserve"> (24 weeks)</w:t>
      </w:r>
      <w:r w:rsidR="009701B0">
        <w:rPr>
          <w:szCs w:val="22"/>
        </w:rPr>
        <w:t xml:space="preserve">. </w:t>
      </w:r>
    </w:p>
    <w:p w:rsidR="006A7F63" w:rsidRPr="006F393A" w:rsidRDefault="006A7F63" w:rsidP="006A7F63">
      <w:pPr>
        <w:pStyle w:val="ListParagraph"/>
        <w:widowControl/>
        <w:rPr>
          <w:szCs w:val="22"/>
        </w:rPr>
      </w:pPr>
    </w:p>
    <w:p w:rsidR="00F86BE2" w:rsidRPr="006F393A" w:rsidRDefault="00F86BE2" w:rsidP="00997EDA">
      <w:pPr>
        <w:pStyle w:val="ListParagraph"/>
        <w:widowControl/>
        <w:numPr>
          <w:ilvl w:val="1"/>
          <w:numId w:val="1"/>
        </w:numPr>
        <w:rPr>
          <w:szCs w:val="22"/>
        </w:rPr>
      </w:pPr>
      <w:r w:rsidRPr="006F393A">
        <w:rPr>
          <w:szCs w:val="22"/>
        </w:rPr>
        <w:t xml:space="preserve">The submission indicated that the sponsor was willing to accept a price of </w:t>
      </w:r>
      <w:proofErr w:type="spellStart"/>
      <w:r w:rsidRPr="006F393A">
        <w:rPr>
          <w:szCs w:val="22"/>
        </w:rPr>
        <w:t>Viekira</w:t>
      </w:r>
      <w:proofErr w:type="spellEnd"/>
      <w:r w:rsidRPr="006F393A">
        <w:rPr>
          <w:szCs w:val="22"/>
        </w:rPr>
        <w:t xml:space="preserve"> PAK / </w:t>
      </w:r>
      <w:proofErr w:type="spellStart"/>
      <w:r w:rsidRPr="006F393A">
        <w:rPr>
          <w:szCs w:val="22"/>
        </w:rPr>
        <w:t>Viekira</w:t>
      </w:r>
      <w:proofErr w:type="spellEnd"/>
      <w:r w:rsidRPr="006F393A">
        <w:rPr>
          <w:szCs w:val="22"/>
        </w:rPr>
        <w:t xml:space="preserve"> PAK-RBV on a cost-minimisation basis in comparison with other interferon-free regimens, should they be listed.</w:t>
      </w:r>
    </w:p>
    <w:p w:rsidR="006A7F63" w:rsidRPr="006F393A" w:rsidRDefault="006A7F63" w:rsidP="006A7F63">
      <w:pPr>
        <w:rPr>
          <w:szCs w:val="22"/>
        </w:rPr>
      </w:pPr>
    </w:p>
    <w:p w:rsidR="006A7F63" w:rsidRPr="006F393A" w:rsidRDefault="006A7F63" w:rsidP="006A7F63">
      <w:pPr>
        <w:pStyle w:val="Heading2"/>
        <w:rPr>
          <w:i/>
        </w:rPr>
      </w:pPr>
      <w:bookmarkStart w:id="18" w:name="_Toc417049823"/>
      <w:bookmarkStart w:id="19" w:name="_Toc419383695"/>
      <w:r w:rsidRPr="006F393A">
        <w:rPr>
          <w:i/>
        </w:rPr>
        <w:t>Estimated PBS usage &amp; financial implications</w:t>
      </w:r>
      <w:bookmarkEnd w:id="18"/>
      <w:bookmarkEnd w:id="19"/>
    </w:p>
    <w:p w:rsidR="006A7F63" w:rsidRPr="006F393A" w:rsidRDefault="006A7F63" w:rsidP="006A7F63">
      <w:pPr>
        <w:ind w:left="720" w:hanging="720"/>
        <w:rPr>
          <w:b/>
          <w:i/>
          <w:szCs w:val="22"/>
        </w:rPr>
      </w:pPr>
    </w:p>
    <w:p w:rsidR="006A7F63" w:rsidRPr="006F393A" w:rsidRDefault="006A7F63" w:rsidP="00997EDA">
      <w:pPr>
        <w:pStyle w:val="ListParagraph"/>
        <w:widowControl/>
        <w:numPr>
          <w:ilvl w:val="1"/>
          <w:numId w:val="1"/>
        </w:numPr>
        <w:rPr>
          <w:szCs w:val="22"/>
        </w:rPr>
      </w:pPr>
      <w:r w:rsidRPr="006F393A">
        <w:t>This submission</w:t>
      </w:r>
      <w:r w:rsidR="00F2224E" w:rsidRPr="006F393A">
        <w:t xml:space="preserve"> was</w:t>
      </w:r>
      <w:r w:rsidRPr="006F393A">
        <w:t xml:space="preserve"> </w:t>
      </w:r>
      <w:r w:rsidR="00837FF3" w:rsidRPr="006F393A">
        <w:t xml:space="preserve">not </w:t>
      </w:r>
      <w:r w:rsidRPr="006F393A">
        <w:t>considered by DUSC</w:t>
      </w:r>
      <w:r w:rsidR="00B864BA" w:rsidRPr="006F393A">
        <w:t>.</w:t>
      </w:r>
    </w:p>
    <w:p w:rsidR="006A7F63" w:rsidRPr="006F393A" w:rsidRDefault="006A7F63" w:rsidP="006A7F63">
      <w:pPr>
        <w:pStyle w:val="ListParagraph"/>
        <w:widowControl/>
        <w:rPr>
          <w:szCs w:val="22"/>
        </w:rPr>
      </w:pPr>
    </w:p>
    <w:p w:rsidR="001403C9" w:rsidRPr="006F393A" w:rsidRDefault="006A7F63" w:rsidP="00997EDA">
      <w:pPr>
        <w:pStyle w:val="ListParagraph"/>
        <w:widowControl/>
        <w:numPr>
          <w:ilvl w:val="1"/>
          <w:numId w:val="1"/>
        </w:numPr>
        <w:rPr>
          <w:szCs w:val="22"/>
        </w:rPr>
      </w:pPr>
      <w:r w:rsidRPr="006F393A">
        <w:rPr>
          <w:szCs w:val="22"/>
        </w:rPr>
        <w:t xml:space="preserve">The submission has used an epidemiological approach to estimate the extent of use and financial implications upon the listing of interferon-free regimens. The submission assumed 100% market uptake with </w:t>
      </w:r>
      <w:proofErr w:type="spellStart"/>
      <w:r w:rsidR="00BD66D9" w:rsidRPr="006F393A">
        <w:rPr>
          <w:szCs w:val="22"/>
        </w:rPr>
        <w:t>Viekira</w:t>
      </w:r>
      <w:proofErr w:type="spellEnd"/>
      <w:r w:rsidR="00BD66D9" w:rsidRPr="006F393A">
        <w:rPr>
          <w:szCs w:val="22"/>
        </w:rPr>
        <w:t xml:space="preserve"> PAK / </w:t>
      </w:r>
      <w:proofErr w:type="spellStart"/>
      <w:r w:rsidR="00BD66D9" w:rsidRPr="006F393A">
        <w:rPr>
          <w:szCs w:val="22"/>
        </w:rPr>
        <w:t>Viekira</w:t>
      </w:r>
      <w:proofErr w:type="spellEnd"/>
      <w:r w:rsidR="00BD66D9" w:rsidRPr="006F393A">
        <w:rPr>
          <w:szCs w:val="22"/>
        </w:rPr>
        <w:t xml:space="preserve"> PAK-RBV</w:t>
      </w:r>
      <w:r w:rsidRPr="006F393A">
        <w:rPr>
          <w:szCs w:val="22"/>
        </w:rPr>
        <w:t xml:space="preserve"> as other interferon-free regimens were yet to be listed on the PBS. </w:t>
      </w:r>
    </w:p>
    <w:p w:rsidR="006A7F63" w:rsidRPr="006F393A" w:rsidRDefault="006A7F63" w:rsidP="006A7F63">
      <w:pPr>
        <w:pStyle w:val="ListParagraph"/>
        <w:rPr>
          <w:szCs w:val="22"/>
        </w:rPr>
      </w:pPr>
    </w:p>
    <w:p w:rsidR="006A7F63" w:rsidRPr="006F393A" w:rsidRDefault="006A7F63" w:rsidP="006A7F63">
      <w:pPr>
        <w:pStyle w:val="TableHeader"/>
        <w:ind w:firstLine="709"/>
      </w:pPr>
      <w:r w:rsidRPr="006F393A">
        <w:t>Table 1</w:t>
      </w:r>
      <w:r w:rsidR="007B6A5B" w:rsidRPr="006F393A">
        <w:t>4</w:t>
      </w:r>
      <w:r w:rsidRPr="006F393A">
        <w:t>: Estimated use and financial implications</w:t>
      </w:r>
    </w:p>
    <w:tbl>
      <w:tblPr>
        <w:tblStyle w:val="TableGrid"/>
        <w:tblW w:w="4558" w:type="pct"/>
        <w:tblInd w:w="817" w:type="dxa"/>
        <w:tblLayout w:type="fixed"/>
        <w:tblCellMar>
          <w:left w:w="28" w:type="dxa"/>
          <w:right w:w="28" w:type="dxa"/>
        </w:tblCellMar>
        <w:tblLook w:val="04A0" w:firstRow="1" w:lastRow="0" w:firstColumn="1" w:lastColumn="0" w:noHBand="0" w:noVBand="1"/>
        <w:tblCaption w:val="Table 14: Estimated use and financial implications"/>
        <w:tblDescription w:val="This table describes the estimated use and financial implications of listing Viekira PAK/Viekira PAK-RBV on the PBS. "/>
      </w:tblPr>
      <w:tblGrid>
        <w:gridCol w:w="2370"/>
        <w:gridCol w:w="1182"/>
        <w:gridCol w:w="1182"/>
        <w:gridCol w:w="1182"/>
        <w:gridCol w:w="1182"/>
        <w:gridCol w:w="1181"/>
      </w:tblGrid>
      <w:tr w:rsidR="006A7F63" w:rsidRPr="0051293C" w:rsidTr="0028796E">
        <w:trPr>
          <w:tblHeader/>
        </w:trPr>
        <w:tc>
          <w:tcPr>
            <w:tcW w:w="1431" w:type="pct"/>
            <w:noWrap/>
            <w:vAlign w:val="center"/>
            <w:hideMark/>
          </w:tcPr>
          <w:p w:rsidR="006A7F63" w:rsidRPr="0051293C" w:rsidRDefault="006A7F63" w:rsidP="00F6639B">
            <w:pPr>
              <w:pStyle w:val="TableText0"/>
              <w:keepNext w:val="0"/>
              <w:widowControl w:val="0"/>
              <w:spacing w:before="0" w:after="0"/>
              <w:rPr>
                <w:highlight w:val="yellow"/>
                <w:lang w:eastAsia="en-AU"/>
              </w:rPr>
            </w:pPr>
          </w:p>
        </w:tc>
        <w:tc>
          <w:tcPr>
            <w:tcW w:w="714" w:type="pct"/>
            <w:noWrap/>
            <w:vAlign w:val="center"/>
            <w:hideMark/>
          </w:tcPr>
          <w:p w:rsidR="006A7F63" w:rsidRPr="004F5C24" w:rsidRDefault="006A7F63" w:rsidP="00F6639B">
            <w:pPr>
              <w:pStyle w:val="TableText0"/>
              <w:keepNext w:val="0"/>
              <w:widowControl w:val="0"/>
              <w:spacing w:before="0" w:after="0"/>
              <w:jc w:val="center"/>
              <w:rPr>
                <w:b/>
                <w:bCs/>
                <w:lang w:eastAsia="en-AU"/>
              </w:rPr>
            </w:pPr>
            <w:r w:rsidRPr="004F5C24">
              <w:rPr>
                <w:b/>
                <w:bCs/>
                <w:lang w:eastAsia="en-AU"/>
              </w:rPr>
              <w:t>2016</w:t>
            </w:r>
          </w:p>
        </w:tc>
        <w:tc>
          <w:tcPr>
            <w:tcW w:w="714" w:type="pct"/>
            <w:noWrap/>
            <w:vAlign w:val="center"/>
            <w:hideMark/>
          </w:tcPr>
          <w:p w:rsidR="006A7F63" w:rsidRPr="004F5C24" w:rsidRDefault="006A7F63" w:rsidP="00F6639B">
            <w:pPr>
              <w:pStyle w:val="TableText0"/>
              <w:keepNext w:val="0"/>
              <w:widowControl w:val="0"/>
              <w:spacing w:before="0" w:after="0"/>
              <w:jc w:val="center"/>
              <w:rPr>
                <w:b/>
                <w:bCs/>
                <w:lang w:eastAsia="en-AU"/>
              </w:rPr>
            </w:pPr>
            <w:r w:rsidRPr="004F5C24">
              <w:rPr>
                <w:b/>
                <w:bCs/>
                <w:lang w:eastAsia="en-AU"/>
              </w:rPr>
              <w:t>2017</w:t>
            </w:r>
          </w:p>
        </w:tc>
        <w:tc>
          <w:tcPr>
            <w:tcW w:w="714" w:type="pct"/>
            <w:noWrap/>
            <w:vAlign w:val="center"/>
            <w:hideMark/>
          </w:tcPr>
          <w:p w:rsidR="006A7F63" w:rsidRPr="004F5C24" w:rsidRDefault="006A7F63" w:rsidP="00F6639B">
            <w:pPr>
              <w:pStyle w:val="TableText0"/>
              <w:keepNext w:val="0"/>
              <w:widowControl w:val="0"/>
              <w:spacing w:before="0" w:after="0"/>
              <w:jc w:val="center"/>
              <w:rPr>
                <w:b/>
                <w:bCs/>
                <w:lang w:eastAsia="en-AU"/>
              </w:rPr>
            </w:pPr>
            <w:r w:rsidRPr="004F5C24">
              <w:rPr>
                <w:b/>
                <w:bCs/>
                <w:lang w:eastAsia="en-AU"/>
              </w:rPr>
              <w:t>2018</w:t>
            </w:r>
          </w:p>
        </w:tc>
        <w:tc>
          <w:tcPr>
            <w:tcW w:w="714" w:type="pct"/>
            <w:noWrap/>
            <w:vAlign w:val="center"/>
            <w:hideMark/>
          </w:tcPr>
          <w:p w:rsidR="006A7F63" w:rsidRPr="004F5C24" w:rsidRDefault="006A7F63" w:rsidP="00F6639B">
            <w:pPr>
              <w:pStyle w:val="TableText0"/>
              <w:keepNext w:val="0"/>
              <w:widowControl w:val="0"/>
              <w:spacing w:before="0" w:after="0"/>
              <w:jc w:val="center"/>
              <w:rPr>
                <w:b/>
                <w:bCs/>
                <w:lang w:eastAsia="en-AU"/>
              </w:rPr>
            </w:pPr>
            <w:r w:rsidRPr="004F5C24">
              <w:rPr>
                <w:b/>
                <w:bCs/>
                <w:lang w:eastAsia="en-AU"/>
              </w:rPr>
              <w:t>2019</w:t>
            </w:r>
          </w:p>
        </w:tc>
        <w:tc>
          <w:tcPr>
            <w:tcW w:w="713" w:type="pct"/>
            <w:noWrap/>
            <w:vAlign w:val="center"/>
            <w:hideMark/>
          </w:tcPr>
          <w:p w:rsidR="006A7F63" w:rsidRPr="004F5C24" w:rsidRDefault="006A7F63" w:rsidP="00F6639B">
            <w:pPr>
              <w:pStyle w:val="TableText0"/>
              <w:keepNext w:val="0"/>
              <w:widowControl w:val="0"/>
              <w:spacing w:before="0" w:after="0"/>
              <w:jc w:val="center"/>
              <w:rPr>
                <w:b/>
                <w:bCs/>
                <w:lang w:eastAsia="en-AU"/>
              </w:rPr>
            </w:pPr>
            <w:r w:rsidRPr="004F5C24">
              <w:rPr>
                <w:b/>
                <w:bCs/>
                <w:lang w:eastAsia="en-AU"/>
              </w:rPr>
              <w:t>2020</w:t>
            </w:r>
          </w:p>
        </w:tc>
      </w:tr>
      <w:tr w:rsidR="006A7F63" w:rsidRPr="0051293C" w:rsidTr="006A7F63">
        <w:tc>
          <w:tcPr>
            <w:tcW w:w="5000" w:type="pct"/>
            <w:gridSpan w:val="6"/>
            <w:noWrap/>
            <w:vAlign w:val="center"/>
            <w:hideMark/>
          </w:tcPr>
          <w:p w:rsidR="006A7F63" w:rsidRPr="0051293C" w:rsidRDefault="006A7F63" w:rsidP="00F6639B">
            <w:pPr>
              <w:pStyle w:val="TableText0"/>
              <w:keepNext w:val="0"/>
              <w:widowControl w:val="0"/>
              <w:spacing w:before="0" w:after="0"/>
              <w:rPr>
                <w:lang w:eastAsia="en-AU"/>
              </w:rPr>
            </w:pPr>
            <w:r w:rsidRPr="0051293C">
              <w:rPr>
                <w:b/>
                <w:bCs/>
                <w:lang w:eastAsia="en-AU"/>
              </w:rPr>
              <w:t>Estimated extent of use</w:t>
            </w:r>
          </w:p>
        </w:tc>
      </w:tr>
      <w:tr w:rsidR="002C6E7D" w:rsidRPr="0051293C" w:rsidTr="002C6E7D">
        <w:tc>
          <w:tcPr>
            <w:tcW w:w="1431" w:type="pct"/>
            <w:noWrap/>
            <w:vAlign w:val="center"/>
          </w:tcPr>
          <w:p w:rsidR="002C6E7D" w:rsidRPr="0051293C" w:rsidRDefault="002C6E7D" w:rsidP="00F6639B">
            <w:pPr>
              <w:pStyle w:val="TableText0"/>
              <w:keepNext w:val="0"/>
              <w:widowControl w:val="0"/>
              <w:spacing w:before="0" w:after="0"/>
              <w:rPr>
                <w:lang w:eastAsia="en-AU"/>
              </w:rPr>
            </w:pPr>
            <w:r w:rsidRPr="0051293C">
              <w:rPr>
                <w:lang w:eastAsia="en-AU"/>
              </w:rPr>
              <w:t>Total number of patients managed in a liver treatment centre</w:t>
            </w:r>
            <w:r w:rsidR="00353B29" w:rsidRPr="0051293C">
              <w:rPr>
                <w:lang w:eastAsia="en-AU"/>
              </w:rPr>
              <w:t xml:space="preserve"> (not necessarily receiving treatment)</w:t>
            </w:r>
          </w:p>
        </w:tc>
        <w:tc>
          <w:tcPr>
            <w:tcW w:w="714" w:type="pct"/>
            <w:vAlign w:val="center"/>
          </w:tcPr>
          <w:p w:rsidR="002C6E7D" w:rsidRPr="00C87712" w:rsidRDefault="00C87712" w:rsidP="00F6639B">
            <w:pPr>
              <w:pStyle w:val="TableText0"/>
              <w:keepNext w:val="0"/>
              <w:widowControl w:val="0"/>
              <w:spacing w:before="0" w:after="0"/>
              <w:jc w:val="right"/>
              <w:rPr>
                <w:highlight w:val="black"/>
                <w:lang w:eastAsia="en-AU"/>
              </w:rPr>
            </w:pPr>
            <w:r>
              <w:rPr>
                <w:noProof/>
                <w:color w:val="000000"/>
                <w:highlight w:val="black"/>
                <w:lang w:eastAsia="en-AU"/>
              </w:rPr>
              <w:t>'''''''''''''''</w:t>
            </w:r>
          </w:p>
        </w:tc>
        <w:tc>
          <w:tcPr>
            <w:tcW w:w="714" w:type="pct"/>
            <w:vAlign w:val="center"/>
          </w:tcPr>
          <w:p w:rsidR="002C6E7D" w:rsidRPr="00C87712" w:rsidRDefault="00C87712" w:rsidP="00F6639B">
            <w:pPr>
              <w:pStyle w:val="TableText0"/>
              <w:keepNext w:val="0"/>
              <w:widowControl w:val="0"/>
              <w:spacing w:before="0" w:after="0"/>
              <w:jc w:val="right"/>
              <w:rPr>
                <w:highlight w:val="black"/>
                <w:lang w:eastAsia="en-AU"/>
              </w:rPr>
            </w:pPr>
            <w:r>
              <w:rPr>
                <w:noProof/>
                <w:color w:val="000000"/>
                <w:highlight w:val="black"/>
                <w:lang w:eastAsia="en-AU"/>
              </w:rPr>
              <w:t>''''''''''''''''</w:t>
            </w:r>
          </w:p>
        </w:tc>
        <w:tc>
          <w:tcPr>
            <w:tcW w:w="714" w:type="pct"/>
            <w:vAlign w:val="center"/>
          </w:tcPr>
          <w:p w:rsidR="002C6E7D" w:rsidRPr="00C87712" w:rsidRDefault="00C87712" w:rsidP="00F6639B">
            <w:pPr>
              <w:pStyle w:val="TableText0"/>
              <w:keepNext w:val="0"/>
              <w:widowControl w:val="0"/>
              <w:spacing w:before="0" w:after="0"/>
              <w:jc w:val="right"/>
              <w:rPr>
                <w:highlight w:val="black"/>
                <w:lang w:eastAsia="en-AU"/>
              </w:rPr>
            </w:pPr>
            <w:r>
              <w:rPr>
                <w:noProof/>
                <w:color w:val="000000"/>
                <w:highlight w:val="black"/>
                <w:lang w:eastAsia="en-AU"/>
              </w:rPr>
              <w:t>''''''''''''''''''</w:t>
            </w:r>
          </w:p>
        </w:tc>
        <w:tc>
          <w:tcPr>
            <w:tcW w:w="714" w:type="pct"/>
            <w:vAlign w:val="center"/>
          </w:tcPr>
          <w:p w:rsidR="002C6E7D" w:rsidRPr="00C87712" w:rsidRDefault="00C87712" w:rsidP="00F6639B">
            <w:pPr>
              <w:pStyle w:val="TableText0"/>
              <w:keepNext w:val="0"/>
              <w:widowControl w:val="0"/>
              <w:spacing w:before="0" w:after="0"/>
              <w:jc w:val="right"/>
              <w:rPr>
                <w:highlight w:val="black"/>
                <w:lang w:eastAsia="en-AU"/>
              </w:rPr>
            </w:pPr>
            <w:r>
              <w:rPr>
                <w:noProof/>
                <w:color w:val="000000"/>
                <w:highlight w:val="black"/>
                <w:lang w:eastAsia="en-AU"/>
              </w:rPr>
              <w:t>''''''''''''''''</w:t>
            </w:r>
          </w:p>
        </w:tc>
        <w:tc>
          <w:tcPr>
            <w:tcW w:w="713" w:type="pct"/>
            <w:vAlign w:val="center"/>
          </w:tcPr>
          <w:p w:rsidR="002C6E7D" w:rsidRPr="00C87712" w:rsidRDefault="00C87712" w:rsidP="00F6639B">
            <w:pPr>
              <w:pStyle w:val="TableText0"/>
              <w:keepNext w:val="0"/>
              <w:widowControl w:val="0"/>
              <w:spacing w:before="0" w:after="0"/>
              <w:jc w:val="right"/>
              <w:rPr>
                <w:highlight w:val="black"/>
                <w:lang w:eastAsia="en-AU"/>
              </w:rPr>
            </w:pPr>
            <w:r>
              <w:rPr>
                <w:noProof/>
                <w:color w:val="000000"/>
                <w:highlight w:val="black"/>
                <w:lang w:eastAsia="en-AU"/>
              </w:rPr>
              <w:t>'''''''''''''''''</w:t>
            </w:r>
          </w:p>
        </w:tc>
      </w:tr>
      <w:tr w:rsidR="006A7F63" w:rsidRPr="0051293C" w:rsidTr="002C6E7D">
        <w:tc>
          <w:tcPr>
            <w:tcW w:w="1431" w:type="pct"/>
            <w:noWrap/>
            <w:vAlign w:val="center"/>
            <w:hideMark/>
          </w:tcPr>
          <w:p w:rsidR="006A7F63" w:rsidRPr="0051293C" w:rsidRDefault="006A7F63" w:rsidP="00F6639B">
            <w:pPr>
              <w:pStyle w:val="TableText0"/>
              <w:keepNext w:val="0"/>
              <w:widowControl w:val="0"/>
              <w:spacing w:before="0" w:after="0"/>
              <w:rPr>
                <w:lang w:eastAsia="en-AU"/>
              </w:rPr>
            </w:pPr>
            <w:r w:rsidRPr="0051293C">
              <w:rPr>
                <w:lang w:eastAsia="en-AU"/>
              </w:rPr>
              <w:t xml:space="preserve">Patients treated with </w:t>
            </w:r>
            <w:proofErr w:type="spellStart"/>
            <w:r w:rsidR="00BD66D9" w:rsidRPr="0051293C">
              <w:rPr>
                <w:lang w:eastAsia="en-AU"/>
              </w:rPr>
              <w:t>Viekira</w:t>
            </w:r>
            <w:proofErr w:type="spellEnd"/>
            <w:r w:rsidR="00BD66D9" w:rsidRPr="0051293C">
              <w:rPr>
                <w:lang w:eastAsia="en-AU"/>
              </w:rPr>
              <w:t xml:space="preserve"> PAK </w:t>
            </w:r>
            <w:r w:rsidR="00F86BE2" w:rsidRPr="0051293C">
              <w:t>±</w:t>
            </w:r>
            <w:r w:rsidR="00F86BE2" w:rsidRPr="0051293C">
              <w:rPr>
                <w:lang w:eastAsia="en-AU"/>
              </w:rPr>
              <w:t xml:space="preserve"> </w:t>
            </w:r>
            <w:r w:rsidR="00BD66D9" w:rsidRPr="0051293C">
              <w:rPr>
                <w:lang w:eastAsia="en-AU"/>
              </w:rPr>
              <w:t>RBV</w:t>
            </w:r>
            <w:r w:rsidR="00116561" w:rsidRPr="0051293C">
              <w:rPr>
                <w:lang w:eastAsia="en-AU"/>
              </w:rPr>
              <w:t xml:space="preserve"> (GT 1)</w:t>
            </w:r>
          </w:p>
        </w:tc>
        <w:tc>
          <w:tcPr>
            <w:tcW w:w="714" w:type="pct"/>
            <w:vAlign w:val="center"/>
            <w:hideMark/>
          </w:tcPr>
          <w:p w:rsidR="006A7F63" w:rsidRPr="00C87712" w:rsidRDefault="00C87712" w:rsidP="00F6639B">
            <w:pPr>
              <w:pStyle w:val="TableText0"/>
              <w:keepNext w:val="0"/>
              <w:widowControl w:val="0"/>
              <w:spacing w:before="0" w:after="0"/>
              <w:jc w:val="right"/>
              <w:rPr>
                <w:highlight w:val="black"/>
                <w:lang w:eastAsia="en-AU"/>
              </w:rPr>
            </w:pPr>
            <w:r>
              <w:rPr>
                <w:noProof/>
                <w:color w:val="000000"/>
                <w:highlight w:val="black"/>
                <w:lang w:eastAsia="en-AU"/>
              </w:rPr>
              <w:t>'''''''''''''</w:t>
            </w:r>
          </w:p>
        </w:tc>
        <w:tc>
          <w:tcPr>
            <w:tcW w:w="714" w:type="pct"/>
            <w:vAlign w:val="center"/>
            <w:hideMark/>
          </w:tcPr>
          <w:p w:rsidR="006A7F63" w:rsidRPr="00C87712" w:rsidRDefault="00C87712" w:rsidP="00F6639B">
            <w:pPr>
              <w:pStyle w:val="TableText0"/>
              <w:keepNext w:val="0"/>
              <w:widowControl w:val="0"/>
              <w:spacing w:before="0" w:after="0"/>
              <w:jc w:val="right"/>
              <w:rPr>
                <w:highlight w:val="black"/>
                <w:lang w:eastAsia="en-AU"/>
              </w:rPr>
            </w:pPr>
            <w:r>
              <w:rPr>
                <w:noProof/>
                <w:color w:val="000000"/>
                <w:highlight w:val="black"/>
                <w:lang w:eastAsia="en-AU"/>
              </w:rPr>
              <w:t>''''''''''''</w:t>
            </w:r>
          </w:p>
        </w:tc>
        <w:tc>
          <w:tcPr>
            <w:tcW w:w="714" w:type="pct"/>
            <w:vAlign w:val="center"/>
            <w:hideMark/>
          </w:tcPr>
          <w:p w:rsidR="006A7F63" w:rsidRPr="00C87712" w:rsidRDefault="00C87712" w:rsidP="00F6639B">
            <w:pPr>
              <w:pStyle w:val="TableText0"/>
              <w:keepNext w:val="0"/>
              <w:widowControl w:val="0"/>
              <w:spacing w:before="0" w:after="0"/>
              <w:jc w:val="right"/>
              <w:rPr>
                <w:highlight w:val="black"/>
                <w:lang w:eastAsia="en-AU"/>
              </w:rPr>
            </w:pPr>
            <w:r>
              <w:rPr>
                <w:noProof/>
                <w:color w:val="000000"/>
                <w:highlight w:val="black"/>
                <w:lang w:eastAsia="en-AU"/>
              </w:rPr>
              <w:t>''''''''''''''</w:t>
            </w:r>
          </w:p>
        </w:tc>
        <w:tc>
          <w:tcPr>
            <w:tcW w:w="714" w:type="pct"/>
            <w:vAlign w:val="center"/>
            <w:hideMark/>
          </w:tcPr>
          <w:p w:rsidR="006A7F63" w:rsidRPr="00C87712" w:rsidRDefault="00C87712" w:rsidP="00F6639B">
            <w:pPr>
              <w:pStyle w:val="TableText0"/>
              <w:keepNext w:val="0"/>
              <w:widowControl w:val="0"/>
              <w:spacing w:before="0" w:after="0"/>
              <w:jc w:val="right"/>
              <w:rPr>
                <w:highlight w:val="black"/>
                <w:lang w:eastAsia="en-AU"/>
              </w:rPr>
            </w:pPr>
            <w:r>
              <w:rPr>
                <w:noProof/>
                <w:color w:val="000000"/>
                <w:highlight w:val="black"/>
                <w:lang w:eastAsia="en-AU"/>
              </w:rPr>
              <w:t>''''''''''''</w:t>
            </w:r>
          </w:p>
        </w:tc>
        <w:tc>
          <w:tcPr>
            <w:tcW w:w="713" w:type="pct"/>
            <w:vAlign w:val="center"/>
            <w:hideMark/>
          </w:tcPr>
          <w:p w:rsidR="006A7F63" w:rsidRPr="00C87712" w:rsidRDefault="00C87712" w:rsidP="00F6639B">
            <w:pPr>
              <w:pStyle w:val="TableText0"/>
              <w:keepNext w:val="0"/>
              <w:widowControl w:val="0"/>
              <w:spacing w:before="0" w:after="0"/>
              <w:jc w:val="right"/>
              <w:rPr>
                <w:highlight w:val="black"/>
                <w:lang w:eastAsia="en-AU"/>
              </w:rPr>
            </w:pPr>
            <w:r>
              <w:rPr>
                <w:noProof/>
                <w:color w:val="000000"/>
                <w:highlight w:val="black"/>
                <w:lang w:eastAsia="en-AU"/>
              </w:rPr>
              <w:t>''''''''''''</w:t>
            </w:r>
          </w:p>
        </w:tc>
      </w:tr>
      <w:tr w:rsidR="006A7F63" w:rsidRPr="0051293C" w:rsidTr="006A7F63">
        <w:tc>
          <w:tcPr>
            <w:tcW w:w="5000" w:type="pct"/>
            <w:gridSpan w:val="6"/>
            <w:noWrap/>
            <w:vAlign w:val="center"/>
            <w:hideMark/>
          </w:tcPr>
          <w:p w:rsidR="006A7F63" w:rsidRPr="0051293C" w:rsidRDefault="006A7F63" w:rsidP="00F6639B">
            <w:pPr>
              <w:pStyle w:val="TableText0"/>
              <w:keepNext w:val="0"/>
              <w:widowControl w:val="0"/>
              <w:spacing w:before="0" w:after="0"/>
              <w:rPr>
                <w:highlight w:val="yellow"/>
                <w:lang w:eastAsia="en-AU"/>
              </w:rPr>
            </w:pPr>
            <w:r w:rsidRPr="004F5C24">
              <w:rPr>
                <w:b/>
                <w:bCs/>
                <w:lang w:eastAsia="en-AU"/>
              </w:rPr>
              <w:t>Estimated Net cost to PBS/RPBS/MBS</w:t>
            </w:r>
          </w:p>
        </w:tc>
      </w:tr>
      <w:tr w:rsidR="006A7F63" w:rsidRPr="0051293C" w:rsidTr="002C6E7D">
        <w:tc>
          <w:tcPr>
            <w:tcW w:w="1431" w:type="pct"/>
            <w:noWrap/>
            <w:vAlign w:val="center"/>
            <w:hideMark/>
          </w:tcPr>
          <w:p w:rsidR="006A7F63" w:rsidRPr="004F5C24" w:rsidRDefault="006A7F63" w:rsidP="00F6639B">
            <w:pPr>
              <w:pStyle w:val="TableText0"/>
              <w:keepNext w:val="0"/>
              <w:widowControl w:val="0"/>
              <w:spacing w:before="0" w:after="0"/>
              <w:rPr>
                <w:lang w:eastAsia="en-AU"/>
              </w:rPr>
            </w:pPr>
            <w:r w:rsidRPr="004F5C24">
              <w:rPr>
                <w:lang w:eastAsia="en-AU"/>
              </w:rPr>
              <w:t>Net cost to PBS</w:t>
            </w:r>
          </w:p>
        </w:tc>
        <w:tc>
          <w:tcPr>
            <w:tcW w:w="714" w:type="pct"/>
            <w:vAlign w:val="center"/>
            <w:hideMark/>
          </w:tcPr>
          <w:p w:rsidR="006A7F63" w:rsidRPr="003C4CF6" w:rsidRDefault="006A7F63" w:rsidP="00F6639B">
            <w:pPr>
              <w:pStyle w:val="TableText0"/>
              <w:keepNext w:val="0"/>
              <w:widowControl w:val="0"/>
              <w:spacing w:before="0" w:after="0"/>
              <w:jc w:val="right"/>
              <w:rPr>
                <w:iCs/>
                <w:lang w:eastAsia="en-AU"/>
              </w:rPr>
            </w:pPr>
            <w:r w:rsidRPr="003C4CF6">
              <w:rPr>
                <w:iCs/>
                <w:lang w:eastAsia="en-AU"/>
              </w:rPr>
              <w:t>$</w:t>
            </w:r>
            <w:r w:rsidR="00C87712">
              <w:rPr>
                <w:iCs/>
                <w:noProof/>
                <w:color w:val="000000"/>
                <w:highlight w:val="black"/>
                <w:lang w:eastAsia="en-AU"/>
              </w:rPr>
              <w:t>'''''''''''''''''''''''''''''</w:t>
            </w:r>
          </w:p>
        </w:tc>
        <w:tc>
          <w:tcPr>
            <w:tcW w:w="714" w:type="pct"/>
            <w:vAlign w:val="center"/>
            <w:hideMark/>
          </w:tcPr>
          <w:p w:rsidR="006A7F63" w:rsidRPr="003C4CF6" w:rsidRDefault="006A7F63" w:rsidP="00F6639B">
            <w:pPr>
              <w:pStyle w:val="TableText0"/>
              <w:keepNext w:val="0"/>
              <w:widowControl w:val="0"/>
              <w:spacing w:before="0" w:after="0"/>
              <w:jc w:val="right"/>
              <w:rPr>
                <w:iCs/>
                <w:lang w:eastAsia="en-AU"/>
              </w:rPr>
            </w:pPr>
            <w:r w:rsidRPr="003C4CF6">
              <w:rPr>
                <w:iCs/>
                <w:lang w:eastAsia="en-AU"/>
              </w:rPr>
              <w:t>$</w:t>
            </w:r>
            <w:r w:rsidR="00C87712">
              <w:rPr>
                <w:iCs/>
                <w:noProof/>
                <w:color w:val="000000"/>
                <w:highlight w:val="black"/>
                <w:lang w:eastAsia="en-AU"/>
              </w:rPr>
              <w:t>''''''''''''''''''''''''''''''''</w:t>
            </w:r>
          </w:p>
        </w:tc>
        <w:tc>
          <w:tcPr>
            <w:tcW w:w="714" w:type="pct"/>
            <w:vAlign w:val="center"/>
            <w:hideMark/>
          </w:tcPr>
          <w:p w:rsidR="006A7F63" w:rsidRPr="003C4CF6" w:rsidRDefault="006A7F63" w:rsidP="00F6639B">
            <w:pPr>
              <w:pStyle w:val="TableText0"/>
              <w:keepNext w:val="0"/>
              <w:widowControl w:val="0"/>
              <w:spacing w:before="0" w:after="0"/>
              <w:jc w:val="right"/>
              <w:rPr>
                <w:iCs/>
                <w:lang w:eastAsia="en-AU"/>
              </w:rPr>
            </w:pPr>
            <w:r w:rsidRPr="003C4CF6">
              <w:rPr>
                <w:iCs/>
                <w:lang w:eastAsia="en-AU"/>
              </w:rPr>
              <w:t>$</w:t>
            </w:r>
            <w:r w:rsidR="00C87712">
              <w:rPr>
                <w:iCs/>
                <w:noProof/>
                <w:color w:val="000000"/>
                <w:highlight w:val="black"/>
                <w:lang w:eastAsia="en-AU"/>
              </w:rPr>
              <w:t>''''''''''''''''''''''''''''''</w:t>
            </w:r>
          </w:p>
        </w:tc>
        <w:tc>
          <w:tcPr>
            <w:tcW w:w="714" w:type="pct"/>
            <w:vAlign w:val="center"/>
            <w:hideMark/>
          </w:tcPr>
          <w:p w:rsidR="006A7F63" w:rsidRPr="003C4CF6" w:rsidRDefault="006A7F63" w:rsidP="00F6639B">
            <w:pPr>
              <w:pStyle w:val="TableText0"/>
              <w:keepNext w:val="0"/>
              <w:widowControl w:val="0"/>
              <w:spacing w:before="0" w:after="0"/>
              <w:jc w:val="right"/>
              <w:rPr>
                <w:iCs/>
                <w:lang w:eastAsia="en-AU"/>
              </w:rPr>
            </w:pPr>
            <w:r w:rsidRPr="003C4CF6">
              <w:rPr>
                <w:iCs/>
                <w:lang w:eastAsia="en-AU"/>
              </w:rPr>
              <w:t>$</w:t>
            </w:r>
            <w:r w:rsidR="00C87712">
              <w:rPr>
                <w:iCs/>
                <w:noProof/>
                <w:color w:val="000000"/>
                <w:highlight w:val="black"/>
                <w:lang w:eastAsia="en-AU"/>
              </w:rPr>
              <w:t>'''''''''''''''''''''''''''''</w:t>
            </w:r>
          </w:p>
        </w:tc>
        <w:tc>
          <w:tcPr>
            <w:tcW w:w="713" w:type="pct"/>
            <w:vAlign w:val="center"/>
            <w:hideMark/>
          </w:tcPr>
          <w:p w:rsidR="006A7F63" w:rsidRPr="003C4CF6" w:rsidRDefault="006A7F63" w:rsidP="00F6639B">
            <w:pPr>
              <w:pStyle w:val="TableText0"/>
              <w:keepNext w:val="0"/>
              <w:widowControl w:val="0"/>
              <w:spacing w:before="0" w:after="0"/>
              <w:jc w:val="right"/>
              <w:rPr>
                <w:iCs/>
                <w:lang w:eastAsia="en-AU"/>
              </w:rPr>
            </w:pPr>
            <w:r w:rsidRPr="003C4CF6">
              <w:rPr>
                <w:iCs/>
                <w:lang w:eastAsia="en-AU"/>
              </w:rPr>
              <w:t>$</w:t>
            </w:r>
            <w:r w:rsidR="00C87712">
              <w:rPr>
                <w:iCs/>
                <w:noProof/>
                <w:color w:val="000000"/>
                <w:highlight w:val="black"/>
                <w:lang w:eastAsia="en-AU"/>
              </w:rPr>
              <w:t>''''''''''''''''''''''''''''''''</w:t>
            </w:r>
          </w:p>
        </w:tc>
      </w:tr>
      <w:tr w:rsidR="006A7F63" w:rsidRPr="0051293C" w:rsidTr="002C6E7D">
        <w:tc>
          <w:tcPr>
            <w:tcW w:w="1431" w:type="pct"/>
            <w:noWrap/>
            <w:vAlign w:val="center"/>
            <w:hideMark/>
          </w:tcPr>
          <w:p w:rsidR="006A7F63" w:rsidRPr="004F5C24" w:rsidRDefault="006A7F63" w:rsidP="00F6639B">
            <w:pPr>
              <w:pStyle w:val="TableText0"/>
              <w:keepNext w:val="0"/>
              <w:widowControl w:val="0"/>
              <w:spacing w:before="0" w:after="0"/>
              <w:rPr>
                <w:lang w:eastAsia="en-AU"/>
              </w:rPr>
            </w:pPr>
            <w:r w:rsidRPr="004F5C24">
              <w:rPr>
                <w:lang w:eastAsia="en-AU"/>
              </w:rPr>
              <w:t>Net cost to MBS</w:t>
            </w:r>
            <w:r w:rsidR="002C6E7D" w:rsidRPr="004F5C24">
              <w:rPr>
                <w:lang w:eastAsia="en-AU"/>
              </w:rPr>
              <w:t>**</w:t>
            </w:r>
          </w:p>
        </w:tc>
        <w:tc>
          <w:tcPr>
            <w:tcW w:w="714" w:type="pct"/>
            <w:vAlign w:val="center"/>
            <w:hideMark/>
          </w:tcPr>
          <w:p w:rsidR="006A7F63" w:rsidRPr="003C4CF6" w:rsidRDefault="006A7F63" w:rsidP="00F6639B">
            <w:pPr>
              <w:pStyle w:val="TableText0"/>
              <w:keepNext w:val="0"/>
              <w:widowControl w:val="0"/>
              <w:spacing w:before="0" w:after="0"/>
              <w:jc w:val="right"/>
              <w:rPr>
                <w:bCs/>
                <w:lang w:eastAsia="en-AU"/>
              </w:rPr>
            </w:pPr>
            <w:r w:rsidRPr="003C4CF6">
              <w:rPr>
                <w:bCs/>
                <w:lang w:eastAsia="en-AU"/>
              </w:rPr>
              <w:t>$</w:t>
            </w:r>
            <w:r w:rsidR="00C87712">
              <w:rPr>
                <w:bCs/>
                <w:noProof/>
                <w:color w:val="000000"/>
                <w:highlight w:val="black"/>
                <w:lang w:eastAsia="en-AU"/>
              </w:rPr>
              <w:t>'''''''''''''''''''''''''</w:t>
            </w:r>
          </w:p>
        </w:tc>
        <w:tc>
          <w:tcPr>
            <w:tcW w:w="714" w:type="pct"/>
            <w:vAlign w:val="center"/>
            <w:hideMark/>
          </w:tcPr>
          <w:p w:rsidR="006A7F63" w:rsidRPr="003C4CF6" w:rsidRDefault="006A7F63" w:rsidP="00F6639B">
            <w:pPr>
              <w:pStyle w:val="TableText0"/>
              <w:keepNext w:val="0"/>
              <w:widowControl w:val="0"/>
              <w:spacing w:before="0" w:after="0"/>
              <w:jc w:val="right"/>
              <w:rPr>
                <w:bCs/>
                <w:lang w:eastAsia="en-AU"/>
              </w:rPr>
            </w:pPr>
            <w:r w:rsidRPr="003C4CF6">
              <w:rPr>
                <w:bCs/>
                <w:lang w:eastAsia="en-AU"/>
              </w:rPr>
              <w:t>$</w:t>
            </w:r>
            <w:r w:rsidR="00C87712">
              <w:rPr>
                <w:bCs/>
                <w:noProof/>
                <w:color w:val="000000"/>
                <w:highlight w:val="black"/>
                <w:lang w:eastAsia="en-AU"/>
              </w:rPr>
              <w:t>''''''''''''''''''''''</w:t>
            </w:r>
          </w:p>
        </w:tc>
        <w:tc>
          <w:tcPr>
            <w:tcW w:w="714" w:type="pct"/>
            <w:vAlign w:val="center"/>
            <w:hideMark/>
          </w:tcPr>
          <w:p w:rsidR="006A7F63" w:rsidRPr="003C4CF6" w:rsidRDefault="006A7F63" w:rsidP="00F6639B">
            <w:pPr>
              <w:pStyle w:val="TableText0"/>
              <w:keepNext w:val="0"/>
              <w:widowControl w:val="0"/>
              <w:spacing w:before="0" w:after="0"/>
              <w:jc w:val="right"/>
              <w:rPr>
                <w:bCs/>
                <w:lang w:eastAsia="en-AU"/>
              </w:rPr>
            </w:pPr>
            <w:r w:rsidRPr="003C4CF6">
              <w:rPr>
                <w:bCs/>
                <w:lang w:eastAsia="en-AU"/>
              </w:rPr>
              <w:t>$</w:t>
            </w:r>
            <w:r w:rsidR="00C87712">
              <w:rPr>
                <w:bCs/>
                <w:noProof/>
                <w:color w:val="000000"/>
                <w:highlight w:val="black"/>
                <w:lang w:eastAsia="en-AU"/>
              </w:rPr>
              <w:t>''''''''''''''''''''''''</w:t>
            </w:r>
          </w:p>
        </w:tc>
        <w:tc>
          <w:tcPr>
            <w:tcW w:w="714" w:type="pct"/>
            <w:vAlign w:val="center"/>
            <w:hideMark/>
          </w:tcPr>
          <w:p w:rsidR="006A7F63" w:rsidRPr="003C4CF6" w:rsidRDefault="006A7F63" w:rsidP="00F6639B">
            <w:pPr>
              <w:pStyle w:val="TableText0"/>
              <w:keepNext w:val="0"/>
              <w:widowControl w:val="0"/>
              <w:spacing w:before="0" w:after="0"/>
              <w:jc w:val="right"/>
              <w:rPr>
                <w:bCs/>
                <w:lang w:eastAsia="en-AU"/>
              </w:rPr>
            </w:pPr>
            <w:r w:rsidRPr="003C4CF6">
              <w:rPr>
                <w:bCs/>
                <w:lang w:eastAsia="en-AU"/>
              </w:rPr>
              <w:t>$</w:t>
            </w:r>
            <w:r w:rsidR="00C87712">
              <w:rPr>
                <w:bCs/>
                <w:noProof/>
                <w:color w:val="000000"/>
                <w:highlight w:val="black"/>
                <w:lang w:eastAsia="en-AU"/>
              </w:rPr>
              <w:t>'''''''''''''''''''</w:t>
            </w:r>
          </w:p>
        </w:tc>
        <w:tc>
          <w:tcPr>
            <w:tcW w:w="713" w:type="pct"/>
            <w:vAlign w:val="center"/>
            <w:hideMark/>
          </w:tcPr>
          <w:p w:rsidR="006A7F63" w:rsidRPr="003C4CF6" w:rsidRDefault="006A7F63" w:rsidP="00F6639B">
            <w:pPr>
              <w:pStyle w:val="TableText0"/>
              <w:keepNext w:val="0"/>
              <w:widowControl w:val="0"/>
              <w:spacing w:before="0" w:after="0"/>
              <w:jc w:val="right"/>
              <w:rPr>
                <w:bCs/>
                <w:lang w:eastAsia="en-AU"/>
              </w:rPr>
            </w:pPr>
            <w:r w:rsidRPr="003C4CF6">
              <w:rPr>
                <w:bCs/>
                <w:lang w:eastAsia="en-AU"/>
              </w:rPr>
              <w:t>$</w:t>
            </w:r>
            <w:r w:rsidR="00C87712">
              <w:rPr>
                <w:bCs/>
                <w:noProof/>
                <w:color w:val="000000"/>
                <w:highlight w:val="black"/>
                <w:lang w:eastAsia="en-AU"/>
              </w:rPr>
              <w:t>'''''''''''''''''''''</w:t>
            </w:r>
          </w:p>
        </w:tc>
      </w:tr>
      <w:tr w:rsidR="006A7F63" w:rsidRPr="006F393A" w:rsidTr="002C6E7D">
        <w:tc>
          <w:tcPr>
            <w:tcW w:w="1431" w:type="pct"/>
            <w:noWrap/>
            <w:vAlign w:val="center"/>
            <w:hideMark/>
          </w:tcPr>
          <w:p w:rsidR="006A7F63" w:rsidRPr="004F5C24" w:rsidRDefault="006A7F63" w:rsidP="00F6639B">
            <w:pPr>
              <w:pStyle w:val="TableText0"/>
              <w:keepNext w:val="0"/>
              <w:widowControl w:val="0"/>
              <w:spacing w:before="0" w:after="0"/>
              <w:rPr>
                <w:lang w:eastAsia="en-AU"/>
              </w:rPr>
            </w:pPr>
            <w:r w:rsidRPr="004F5C24">
              <w:rPr>
                <w:lang w:eastAsia="en-AU"/>
              </w:rPr>
              <w:t>Net cost to PBS/RPBS/MBS</w:t>
            </w:r>
          </w:p>
        </w:tc>
        <w:tc>
          <w:tcPr>
            <w:tcW w:w="714" w:type="pct"/>
            <w:noWrap/>
            <w:vAlign w:val="center"/>
            <w:hideMark/>
          </w:tcPr>
          <w:p w:rsidR="006A7F63" w:rsidRPr="003C4CF6" w:rsidRDefault="006A7F63" w:rsidP="00F6639B">
            <w:pPr>
              <w:pStyle w:val="TableText0"/>
              <w:keepNext w:val="0"/>
              <w:widowControl w:val="0"/>
              <w:spacing w:before="0" w:after="0"/>
              <w:jc w:val="right"/>
              <w:rPr>
                <w:lang w:eastAsia="en-AU"/>
              </w:rPr>
            </w:pPr>
            <w:r w:rsidRPr="003C4CF6">
              <w:rPr>
                <w:lang w:eastAsia="en-AU"/>
              </w:rPr>
              <w:t>$</w:t>
            </w:r>
            <w:r w:rsidR="00C87712">
              <w:rPr>
                <w:noProof/>
                <w:color w:val="000000"/>
                <w:highlight w:val="black"/>
                <w:lang w:eastAsia="en-AU"/>
              </w:rPr>
              <w:t>'''''''''''''''''''''''''''''</w:t>
            </w:r>
          </w:p>
        </w:tc>
        <w:tc>
          <w:tcPr>
            <w:tcW w:w="714" w:type="pct"/>
            <w:noWrap/>
            <w:vAlign w:val="center"/>
            <w:hideMark/>
          </w:tcPr>
          <w:p w:rsidR="006A7F63" w:rsidRPr="003C4CF6" w:rsidRDefault="006A7F63" w:rsidP="00F6639B">
            <w:pPr>
              <w:pStyle w:val="TableText0"/>
              <w:keepNext w:val="0"/>
              <w:widowControl w:val="0"/>
              <w:spacing w:before="0" w:after="0"/>
              <w:jc w:val="right"/>
              <w:rPr>
                <w:lang w:eastAsia="en-AU"/>
              </w:rPr>
            </w:pPr>
            <w:r w:rsidRPr="003C4CF6">
              <w:rPr>
                <w:lang w:eastAsia="en-AU"/>
              </w:rPr>
              <w:t>$</w:t>
            </w:r>
            <w:r w:rsidR="00C87712">
              <w:rPr>
                <w:noProof/>
                <w:color w:val="000000"/>
                <w:highlight w:val="black"/>
                <w:lang w:eastAsia="en-AU"/>
              </w:rPr>
              <w:t>'''''''''''''''''''''''''''''''''</w:t>
            </w:r>
          </w:p>
        </w:tc>
        <w:tc>
          <w:tcPr>
            <w:tcW w:w="714" w:type="pct"/>
            <w:noWrap/>
            <w:vAlign w:val="center"/>
            <w:hideMark/>
          </w:tcPr>
          <w:p w:rsidR="006A7F63" w:rsidRPr="003C4CF6" w:rsidRDefault="006A7F63" w:rsidP="00F6639B">
            <w:pPr>
              <w:pStyle w:val="TableText0"/>
              <w:keepNext w:val="0"/>
              <w:widowControl w:val="0"/>
              <w:spacing w:before="0" w:after="0"/>
              <w:jc w:val="right"/>
              <w:rPr>
                <w:lang w:eastAsia="en-AU"/>
              </w:rPr>
            </w:pPr>
            <w:r w:rsidRPr="003C4CF6">
              <w:rPr>
                <w:lang w:eastAsia="en-AU"/>
              </w:rPr>
              <w:t>$</w:t>
            </w:r>
            <w:r w:rsidR="00C87712">
              <w:rPr>
                <w:noProof/>
                <w:color w:val="000000"/>
                <w:highlight w:val="black"/>
                <w:lang w:eastAsia="en-AU"/>
              </w:rPr>
              <w:t>'''''''''''''''''''''''''''''</w:t>
            </w:r>
          </w:p>
        </w:tc>
        <w:tc>
          <w:tcPr>
            <w:tcW w:w="714" w:type="pct"/>
            <w:noWrap/>
            <w:vAlign w:val="center"/>
            <w:hideMark/>
          </w:tcPr>
          <w:p w:rsidR="006A7F63" w:rsidRPr="003C4CF6" w:rsidRDefault="006A7F63" w:rsidP="00F6639B">
            <w:pPr>
              <w:pStyle w:val="TableText0"/>
              <w:keepNext w:val="0"/>
              <w:widowControl w:val="0"/>
              <w:spacing w:before="0" w:after="0"/>
              <w:jc w:val="right"/>
              <w:rPr>
                <w:lang w:eastAsia="en-AU"/>
              </w:rPr>
            </w:pPr>
            <w:r w:rsidRPr="003C4CF6">
              <w:rPr>
                <w:lang w:eastAsia="en-AU"/>
              </w:rPr>
              <w:t>$</w:t>
            </w:r>
            <w:r w:rsidR="00C87712">
              <w:rPr>
                <w:noProof/>
                <w:color w:val="000000"/>
                <w:highlight w:val="black"/>
                <w:lang w:eastAsia="en-AU"/>
              </w:rPr>
              <w:t>''''''''''''''''''''''''''''</w:t>
            </w:r>
          </w:p>
        </w:tc>
        <w:tc>
          <w:tcPr>
            <w:tcW w:w="713" w:type="pct"/>
            <w:noWrap/>
            <w:vAlign w:val="center"/>
            <w:hideMark/>
          </w:tcPr>
          <w:p w:rsidR="006A7F63" w:rsidRPr="003C4CF6" w:rsidRDefault="006A7F63" w:rsidP="00F6639B">
            <w:pPr>
              <w:pStyle w:val="TableText0"/>
              <w:keepNext w:val="0"/>
              <w:widowControl w:val="0"/>
              <w:spacing w:before="0" w:after="0"/>
              <w:jc w:val="right"/>
              <w:rPr>
                <w:lang w:eastAsia="en-AU"/>
              </w:rPr>
            </w:pPr>
            <w:r w:rsidRPr="003C4CF6">
              <w:rPr>
                <w:lang w:eastAsia="en-AU"/>
              </w:rPr>
              <w:t>$</w:t>
            </w:r>
            <w:r w:rsidR="00C87712">
              <w:rPr>
                <w:noProof/>
                <w:color w:val="000000"/>
                <w:highlight w:val="black"/>
                <w:lang w:eastAsia="en-AU"/>
              </w:rPr>
              <w:t>'''''''''''''''''''''''''''''''</w:t>
            </w:r>
          </w:p>
        </w:tc>
      </w:tr>
    </w:tbl>
    <w:p w:rsidR="008016D3" w:rsidRPr="006F393A" w:rsidRDefault="002C6E7D" w:rsidP="006A7F63">
      <w:pPr>
        <w:pStyle w:val="TableFooter"/>
        <w:ind w:left="851"/>
      </w:pPr>
      <w:r w:rsidRPr="006F393A">
        <w:t xml:space="preserve"> </w:t>
      </w:r>
      <w:r w:rsidR="008016D3" w:rsidRPr="006F393A">
        <w:t xml:space="preserve">PI = protease inhibitor; PR = </w:t>
      </w:r>
      <w:proofErr w:type="spellStart"/>
      <w:r w:rsidR="008016D3" w:rsidRPr="006F393A">
        <w:t>peginterferon</w:t>
      </w:r>
      <w:proofErr w:type="spellEnd"/>
      <w:r w:rsidR="008016D3" w:rsidRPr="006F393A">
        <w:t xml:space="preserve"> and ribavirin</w:t>
      </w:r>
    </w:p>
    <w:p w:rsidR="006A7F63" w:rsidRPr="006F393A" w:rsidRDefault="006A7F63" w:rsidP="006A7F63">
      <w:pPr>
        <w:pStyle w:val="TableFooter"/>
        <w:ind w:left="851"/>
        <w:rPr>
          <w:i/>
        </w:rPr>
      </w:pPr>
      <w:r w:rsidRPr="006F393A">
        <w:rPr>
          <w:i/>
        </w:rPr>
        <w:t xml:space="preserve">Source: compiled during the evaluation based on information contained in ‘Section E </w:t>
      </w:r>
      <w:proofErr w:type="gramStart"/>
      <w:r w:rsidRPr="006F393A">
        <w:rPr>
          <w:i/>
        </w:rPr>
        <w:t>model.xls’</w:t>
      </w:r>
      <w:proofErr w:type="gramEnd"/>
      <w:r w:rsidRPr="006F393A">
        <w:rPr>
          <w:i/>
        </w:rPr>
        <w:t>.</w:t>
      </w:r>
    </w:p>
    <w:p w:rsidR="005C2830" w:rsidRDefault="005C2830" w:rsidP="004801B0">
      <w:pPr>
        <w:rPr>
          <w:b/>
          <w:i/>
          <w:szCs w:val="22"/>
        </w:rPr>
      </w:pPr>
    </w:p>
    <w:p w:rsidR="004F5C24" w:rsidRPr="004F5C24" w:rsidRDefault="004F5C24" w:rsidP="004F5C24">
      <w:pPr>
        <w:ind w:left="709" w:hanging="709"/>
        <w:rPr>
          <w:i/>
          <w:szCs w:val="22"/>
        </w:rPr>
      </w:pPr>
      <w:r>
        <w:rPr>
          <w:b/>
          <w:i/>
          <w:szCs w:val="22"/>
        </w:rPr>
        <w:tab/>
      </w:r>
      <w:r w:rsidRPr="004F5C24">
        <w:rPr>
          <w:i/>
          <w:szCs w:val="22"/>
        </w:rPr>
        <w:t xml:space="preserve">The redacted table above shows that the estimated use and financial implications of </w:t>
      </w:r>
      <w:proofErr w:type="spellStart"/>
      <w:r w:rsidRPr="004F5C24">
        <w:rPr>
          <w:i/>
          <w:szCs w:val="22"/>
        </w:rPr>
        <w:t>Viekira</w:t>
      </w:r>
      <w:proofErr w:type="spellEnd"/>
      <w:r w:rsidRPr="004F5C24">
        <w:rPr>
          <w:i/>
          <w:szCs w:val="22"/>
        </w:rPr>
        <w:t xml:space="preserve"> PAK / </w:t>
      </w:r>
      <w:proofErr w:type="spellStart"/>
      <w:r w:rsidRPr="004F5C24">
        <w:rPr>
          <w:i/>
          <w:szCs w:val="22"/>
        </w:rPr>
        <w:t>Viekira</w:t>
      </w:r>
      <w:proofErr w:type="spellEnd"/>
      <w:r w:rsidRPr="004F5C24">
        <w:rPr>
          <w:i/>
          <w:szCs w:val="22"/>
        </w:rPr>
        <w:t xml:space="preserve"> PAK-RBV to the health budget for the treatment of genotype 1 chronic hepatitis C (CHC) infection is less than 10,000 patients per year and more than $100 million per year in each of the first five years of listing.</w:t>
      </w:r>
    </w:p>
    <w:p w:rsidR="004F5C24" w:rsidRPr="006F393A" w:rsidRDefault="004F5C24" w:rsidP="004801B0">
      <w:pPr>
        <w:rPr>
          <w:b/>
          <w:i/>
          <w:szCs w:val="22"/>
        </w:rPr>
      </w:pPr>
    </w:p>
    <w:p w:rsidR="005C2830" w:rsidRPr="006F393A" w:rsidRDefault="005C2830" w:rsidP="00997EDA">
      <w:pPr>
        <w:pStyle w:val="ListParagraph"/>
        <w:widowControl/>
        <w:numPr>
          <w:ilvl w:val="1"/>
          <w:numId w:val="1"/>
        </w:numPr>
        <w:rPr>
          <w:szCs w:val="22"/>
        </w:rPr>
      </w:pPr>
      <w:r w:rsidRPr="006F393A">
        <w:rPr>
          <w:szCs w:val="22"/>
        </w:rPr>
        <w:t xml:space="preserve">At </w:t>
      </w:r>
      <w:r w:rsidR="00741648" w:rsidRPr="006F393A">
        <w:rPr>
          <w:szCs w:val="22"/>
        </w:rPr>
        <w:t xml:space="preserve">its </w:t>
      </w:r>
      <w:r w:rsidRPr="006F393A">
        <w:rPr>
          <w:szCs w:val="22"/>
        </w:rPr>
        <w:t>February 2015 meeting in consideration of LDV/SOF, SOF+PR and DCV+SOF, based on the treatment target set in the Fourth National Hepatitis C strategy 2014-2017</w:t>
      </w:r>
      <w:r w:rsidR="001D468D" w:rsidRPr="006F393A">
        <w:rPr>
          <w:szCs w:val="22"/>
        </w:rPr>
        <w:t xml:space="preserve"> </w:t>
      </w:r>
      <w:r w:rsidRPr="006F393A">
        <w:rPr>
          <w:szCs w:val="22"/>
        </w:rPr>
        <w:t xml:space="preserve">the DUSC estimated that the number of patients of all genotypes that would be treated over the first five years of listing of interferon-free treatment regimens, would be 6,600 in Year 1, 9,900 in Year 2 and 15,000 in Years 3-5. The </w:t>
      </w:r>
      <w:r w:rsidR="004801B0" w:rsidRPr="006F393A">
        <w:rPr>
          <w:szCs w:val="22"/>
        </w:rPr>
        <w:t>number of genotype 1 patients treated with interferon-free regimens based on the DUSC estimates was</w:t>
      </w:r>
      <w:r w:rsidRPr="006F393A">
        <w:rPr>
          <w:szCs w:val="22"/>
        </w:rPr>
        <w:t xml:space="preserve"> recalculated during the evaluation, assuming that 54.5% of treated patients had genotype 1 HCV infection</w:t>
      </w:r>
      <w:r w:rsidR="00545B2F" w:rsidRPr="006F393A">
        <w:rPr>
          <w:szCs w:val="22"/>
        </w:rPr>
        <w:t xml:space="preserve"> and presented below</w:t>
      </w:r>
      <w:r w:rsidRPr="006F393A">
        <w:rPr>
          <w:szCs w:val="22"/>
          <w:vertAlign w:val="superscript"/>
        </w:rPr>
        <w:footnoteReference w:id="2"/>
      </w:r>
      <w:r w:rsidR="004E6BB7" w:rsidRPr="006F393A">
        <w:rPr>
          <w:szCs w:val="22"/>
        </w:rPr>
        <w:t>.</w:t>
      </w:r>
    </w:p>
    <w:p w:rsidR="00E8074A" w:rsidRPr="006F393A" w:rsidRDefault="00E8074A" w:rsidP="00E8074A">
      <w:pPr>
        <w:rPr>
          <w:i/>
        </w:rPr>
      </w:pPr>
    </w:p>
    <w:p w:rsidR="00353B29" w:rsidRPr="0051293C" w:rsidRDefault="00353B29" w:rsidP="0051293C">
      <w:pPr>
        <w:pStyle w:val="TableHeader"/>
        <w:ind w:firstLine="709"/>
      </w:pPr>
      <w:r w:rsidRPr="006F393A">
        <w:t>Table 1</w:t>
      </w:r>
      <w:r w:rsidR="007B6A5B" w:rsidRPr="006F393A">
        <w:t>5</w:t>
      </w:r>
      <w:r w:rsidRPr="006F393A">
        <w:t>: Number of Genotype 1 patients treated / year</w:t>
      </w:r>
      <w:r w:rsidR="004801B0" w:rsidRPr="006F393A">
        <w:t>, estimated by DUSC</w:t>
      </w:r>
      <w:r w:rsidRPr="006F393A">
        <w:t xml:space="preserve">. </w:t>
      </w:r>
    </w:p>
    <w:tbl>
      <w:tblPr>
        <w:tblStyle w:val="TableGrid"/>
        <w:tblW w:w="4558" w:type="pct"/>
        <w:tblInd w:w="817" w:type="dxa"/>
        <w:tblLayout w:type="fixed"/>
        <w:tblLook w:val="04A0" w:firstRow="1" w:lastRow="0" w:firstColumn="1" w:lastColumn="0" w:noHBand="0" w:noVBand="1"/>
        <w:tblCaption w:val="Table 15: Number of Genotype 1 patients treated / year, estimated by DUSC. "/>
        <w:tblDescription w:val="This table describes the number of Genotype 1 patients treated / year, estimated by DUSC. "/>
      </w:tblPr>
      <w:tblGrid>
        <w:gridCol w:w="2271"/>
        <w:gridCol w:w="1026"/>
        <w:gridCol w:w="1026"/>
        <w:gridCol w:w="1026"/>
        <w:gridCol w:w="1026"/>
        <w:gridCol w:w="1026"/>
        <w:gridCol w:w="1024"/>
      </w:tblGrid>
      <w:tr w:rsidR="00E8074A" w:rsidRPr="006F393A" w:rsidTr="0028796E">
        <w:trPr>
          <w:tblHeader/>
        </w:trPr>
        <w:tc>
          <w:tcPr>
            <w:tcW w:w="1347" w:type="pct"/>
            <w:noWrap/>
            <w:vAlign w:val="center"/>
          </w:tcPr>
          <w:p w:rsidR="00E8074A" w:rsidRPr="006F393A" w:rsidRDefault="00E8074A" w:rsidP="00C35192">
            <w:pPr>
              <w:pStyle w:val="Tabletext"/>
              <w:rPr>
                <w:lang w:eastAsia="en-AU"/>
              </w:rPr>
            </w:pPr>
          </w:p>
        </w:tc>
        <w:tc>
          <w:tcPr>
            <w:tcW w:w="609" w:type="pct"/>
            <w:noWrap/>
            <w:vAlign w:val="center"/>
          </w:tcPr>
          <w:p w:rsidR="00E8074A" w:rsidRPr="006F393A" w:rsidRDefault="00E8074A" w:rsidP="00C35192">
            <w:pPr>
              <w:pStyle w:val="Tabletext"/>
              <w:jc w:val="center"/>
              <w:rPr>
                <w:b/>
                <w:lang w:eastAsia="en-AU"/>
              </w:rPr>
            </w:pPr>
            <w:r w:rsidRPr="006F393A">
              <w:rPr>
                <w:b/>
                <w:lang w:eastAsia="en-AU"/>
              </w:rPr>
              <w:t>Year 1</w:t>
            </w:r>
          </w:p>
          <w:p w:rsidR="00E8074A" w:rsidRPr="006F393A" w:rsidRDefault="00E8074A" w:rsidP="00C35192">
            <w:pPr>
              <w:pStyle w:val="Tabletext"/>
              <w:jc w:val="center"/>
              <w:rPr>
                <w:lang w:eastAsia="en-AU"/>
              </w:rPr>
            </w:pPr>
          </w:p>
        </w:tc>
        <w:tc>
          <w:tcPr>
            <w:tcW w:w="609" w:type="pct"/>
            <w:noWrap/>
            <w:vAlign w:val="center"/>
          </w:tcPr>
          <w:p w:rsidR="00E8074A" w:rsidRPr="006F393A" w:rsidRDefault="00E8074A" w:rsidP="00C35192">
            <w:pPr>
              <w:pStyle w:val="Tabletext"/>
              <w:jc w:val="center"/>
              <w:rPr>
                <w:b/>
                <w:lang w:eastAsia="en-AU"/>
              </w:rPr>
            </w:pPr>
            <w:r w:rsidRPr="006F393A">
              <w:rPr>
                <w:b/>
                <w:lang w:eastAsia="en-AU"/>
              </w:rPr>
              <w:t>Year 2</w:t>
            </w:r>
          </w:p>
          <w:p w:rsidR="00E8074A" w:rsidRPr="006F393A" w:rsidRDefault="00E8074A" w:rsidP="00C35192">
            <w:pPr>
              <w:pStyle w:val="Tabletext"/>
              <w:jc w:val="center"/>
              <w:rPr>
                <w:lang w:eastAsia="en-AU"/>
              </w:rPr>
            </w:pPr>
          </w:p>
        </w:tc>
        <w:tc>
          <w:tcPr>
            <w:tcW w:w="609" w:type="pct"/>
            <w:noWrap/>
            <w:vAlign w:val="center"/>
          </w:tcPr>
          <w:p w:rsidR="00E8074A" w:rsidRPr="006F393A" w:rsidRDefault="00E8074A" w:rsidP="00C35192">
            <w:pPr>
              <w:pStyle w:val="Tabletext"/>
              <w:jc w:val="center"/>
              <w:rPr>
                <w:b/>
                <w:lang w:eastAsia="en-AU"/>
              </w:rPr>
            </w:pPr>
            <w:r w:rsidRPr="006F393A">
              <w:rPr>
                <w:b/>
                <w:lang w:eastAsia="en-AU"/>
              </w:rPr>
              <w:t>Year 3</w:t>
            </w:r>
          </w:p>
          <w:p w:rsidR="00E8074A" w:rsidRPr="006F393A" w:rsidRDefault="00E8074A" w:rsidP="00C35192">
            <w:pPr>
              <w:pStyle w:val="Tabletext"/>
              <w:jc w:val="center"/>
              <w:rPr>
                <w:lang w:eastAsia="en-AU"/>
              </w:rPr>
            </w:pPr>
          </w:p>
        </w:tc>
        <w:tc>
          <w:tcPr>
            <w:tcW w:w="609" w:type="pct"/>
            <w:noWrap/>
            <w:vAlign w:val="center"/>
          </w:tcPr>
          <w:p w:rsidR="00E8074A" w:rsidRPr="006F393A" w:rsidRDefault="00E8074A" w:rsidP="00C35192">
            <w:pPr>
              <w:pStyle w:val="Tabletext"/>
              <w:jc w:val="center"/>
              <w:rPr>
                <w:b/>
                <w:lang w:eastAsia="en-AU"/>
              </w:rPr>
            </w:pPr>
            <w:r w:rsidRPr="006F393A">
              <w:rPr>
                <w:b/>
                <w:lang w:eastAsia="en-AU"/>
              </w:rPr>
              <w:t>Year 4</w:t>
            </w:r>
          </w:p>
          <w:p w:rsidR="00E8074A" w:rsidRPr="006F393A" w:rsidRDefault="00E8074A" w:rsidP="00C35192">
            <w:pPr>
              <w:pStyle w:val="Tabletext"/>
              <w:jc w:val="center"/>
              <w:rPr>
                <w:lang w:eastAsia="en-AU"/>
              </w:rPr>
            </w:pPr>
          </w:p>
        </w:tc>
        <w:tc>
          <w:tcPr>
            <w:tcW w:w="609" w:type="pct"/>
            <w:noWrap/>
            <w:vAlign w:val="center"/>
          </w:tcPr>
          <w:p w:rsidR="00E8074A" w:rsidRPr="006F393A" w:rsidRDefault="00E8074A" w:rsidP="00C35192">
            <w:pPr>
              <w:pStyle w:val="Tabletext"/>
              <w:jc w:val="center"/>
              <w:rPr>
                <w:b/>
                <w:lang w:eastAsia="en-AU"/>
              </w:rPr>
            </w:pPr>
            <w:r w:rsidRPr="006F393A">
              <w:rPr>
                <w:b/>
                <w:lang w:eastAsia="en-AU"/>
              </w:rPr>
              <w:t>Year 5</w:t>
            </w:r>
          </w:p>
          <w:p w:rsidR="00E8074A" w:rsidRPr="006F393A" w:rsidRDefault="00E8074A" w:rsidP="00C35192">
            <w:pPr>
              <w:pStyle w:val="Tabletext"/>
              <w:jc w:val="center"/>
              <w:rPr>
                <w:lang w:eastAsia="en-AU"/>
              </w:rPr>
            </w:pPr>
          </w:p>
        </w:tc>
        <w:tc>
          <w:tcPr>
            <w:tcW w:w="609" w:type="pct"/>
            <w:noWrap/>
            <w:vAlign w:val="center"/>
          </w:tcPr>
          <w:p w:rsidR="00E8074A" w:rsidRPr="006F393A" w:rsidRDefault="00E8074A" w:rsidP="00C35192">
            <w:pPr>
              <w:pStyle w:val="Tabletext"/>
              <w:jc w:val="center"/>
              <w:rPr>
                <w:lang w:eastAsia="en-AU"/>
              </w:rPr>
            </w:pPr>
            <w:r w:rsidRPr="006F393A">
              <w:rPr>
                <w:b/>
                <w:lang w:eastAsia="en-AU"/>
              </w:rPr>
              <w:t>Total</w:t>
            </w:r>
          </w:p>
        </w:tc>
      </w:tr>
      <w:tr w:rsidR="00E8074A" w:rsidRPr="006F393A" w:rsidTr="0054392F">
        <w:tc>
          <w:tcPr>
            <w:tcW w:w="1347" w:type="pct"/>
            <w:noWrap/>
            <w:vAlign w:val="center"/>
          </w:tcPr>
          <w:p w:rsidR="00E8074A" w:rsidRPr="006F393A" w:rsidRDefault="00E8074A" w:rsidP="00C35192">
            <w:pPr>
              <w:pStyle w:val="Tabletext"/>
              <w:rPr>
                <w:lang w:eastAsia="en-AU"/>
              </w:rPr>
            </w:pPr>
            <w:r w:rsidRPr="006F393A">
              <w:rPr>
                <w:lang w:eastAsia="en-AU"/>
              </w:rPr>
              <w:t>All genotypes</w:t>
            </w:r>
          </w:p>
        </w:tc>
        <w:tc>
          <w:tcPr>
            <w:tcW w:w="609" w:type="pct"/>
            <w:noWrap/>
            <w:vAlign w:val="center"/>
          </w:tcPr>
          <w:p w:rsidR="00E8074A" w:rsidRPr="006F393A" w:rsidRDefault="00E8074A" w:rsidP="00C35192">
            <w:pPr>
              <w:pStyle w:val="Tabletext"/>
              <w:jc w:val="center"/>
              <w:rPr>
                <w:lang w:eastAsia="en-AU"/>
              </w:rPr>
            </w:pPr>
            <w:r w:rsidRPr="006F393A">
              <w:rPr>
                <w:lang w:eastAsia="en-AU"/>
              </w:rPr>
              <w:t>6600</w:t>
            </w:r>
          </w:p>
        </w:tc>
        <w:tc>
          <w:tcPr>
            <w:tcW w:w="609" w:type="pct"/>
            <w:noWrap/>
            <w:vAlign w:val="center"/>
          </w:tcPr>
          <w:p w:rsidR="00E8074A" w:rsidRPr="006F393A" w:rsidRDefault="00E8074A" w:rsidP="00C35192">
            <w:pPr>
              <w:pStyle w:val="Tabletext"/>
              <w:jc w:val="center"/>
              <w:rPr>
                <w:lang w:eastAsia="en-AU"/>
              </w:rPr>
            </w:pPr>
            <w:r w:rsidRPr="006F393A">
              <w:rPr>
                <w:lang w:eastAsia="en-AU"/>
              </w:rPr>
              <w:t>9900</w:t>
            </w:r>
          </w:p>
        </w:tc>
        <w:tc>
          <w:tcPr>
            <w:tcW w:w="609" w:type="pct"/>
            <w:noWrap/>
            <w:vAlign w:val="center"/>
          </w:tcPr>
          <w:p w:rsidR="00E8074A" w:rsidRPr="006F393A" w:rsidRDefault="00E8074A" w:rsidP="00C35192">
            <w:pPr>
              <w:pStyle w:val="Tabletext"/>
              <w:jc w:val="center"/>
              <w:rPr>
                <w:lang w:eastAsia="en-AU"/>
              </w:rPr>
            </w:pPr>
            <w:r w:rsidRPr="006F393A">
              <w:rPr>
                <w:lang w:eastAsia="en-AU"/>
              </w:rPr>
              <w:t>15000</w:t>
            </w:r>
          </w:p>
        </w:tc>
        <w:tc>
          <w:tcPr>
            <w:tcW w:w="609" w:type="pct"/>
            <w:noWrap/>
            <w:vAlign w:val="center"/>
          </w:tcPr>
          <w:p w:rsidR="00E8074A" w:rsidRPr="006F393A" w:rsidRDefault="00E8074A" w:rsidP="00C35192">
            <w:pPr>
              <w:pStyle w:val="Tabletext"/>
              <w:jc w:val="center"/>
              <w:rPr>
                <w:lang w:eastAsia="en-AU"/>
              </w:rPr>
            </w:pPr>
            <w:r w:rsidRPr="006F393A">
              <w:rPr>
                <w:lang w:eastAsia="en-AU"/>
              </w:rPr>
              <w:t>15000</w:t>
            </w:r>
          </w:p>
        </w:tc>
        <w:tc>
          <w:tcPr>
            <w:tcW w:w="609" w:type="pct"/>
            <w:noWrap/>
            <w:vAlign w:val="center"/>
          </w:tcPr>
          <w:p w:rsidR="00E8074A" w:rsidRPr="006F393A" w:rsidRDefault="00E8074A" w:rsidP="00C35192">
            <w:pPr>
              <w:pStyle w:val="Tabletext"/>
              <w:jc w:val="center"/>
              <w:rPr>
                <w:lang w:eastAsia="en-AU"/>
              </w:rPr>
            </w:pPr>
            <w:r w:rsidRPr="006F393A">
              <w:rPr>
                <w:lang w:eastAsia="en-AU"/>
              </w:rPr>
              <w:t>15000</w:t>
            </w:r>
          </w:p>
        </w:tc>
        <w:tc>
          <w:tcPr>
            <w:tcW w:w="609" w:type="pct"/>
            <w:noWrap/>
            <w:vAlign w:val="center"/>
          </w:tcPr>
          <w:p w:rsidR="00E8074A" w:rsidRPr="006F393A" w:rsidRDefault="00E8074A" w:rsidP="00C35192">
            <w:pPr>
              <w:pStyle w:val="Tabletext"/>
              <w:jc w:val="center"/>
              <w:rPr>
                <w:lang w:eastAsia="en-AU"/>
              </w:rPr>
            </w:pPr>
            <w:r w:rsidRPr="006F393A">
              <w:rPr>
                <w:lang w:eastAsia="en-AU"/>
              </w:rPr>
              <w:t>61,500</w:t>
            </w:r>
          </w:p>
        </w:tc>
      </w:tr>
      <w:tr w:rsidR="00E8074A" w:rsidRPr="006F393A" w:rsidTr="0054392F">
        <w:tc>
          <w:tcPr>
            <w:tcW w:w="1347" w:type="pct"/>
            <w:noWrap/>
            <w:vAlign w:val="center"/>
            <w:hideMark/>
          </w:tcPr>
          <w:p w:rsidR="00E8074A" w:rsidRPr="006F393A" w:rsidRDefault="00353B29" w:rsidP="00C35192">
            <w:pPr>
              <w:pStyle w:val="Tabletext"/>
              <w:rPr>
                <w:lang w:eastAsia="en-AU"/>
              </w:rPr>
            </w:pPr>
            <w:r w:rsidRPr="006F393A">
              <w:rPr>
                <w:lang w:eastAsia="en-AU"/>
              </w:rPr>
              <w:t>Genotype</w:t>
            </w:r>
            <w:r w:rsidR="00E8074A" w:rsidRPr="006F393A">
              <w:rPr>
                <w:lang w:eastAsia="en-AU"/>
              </w:rPr>
              <w:t xml:space="preserve"> 1*</w:t>
            </w:r>
          </w:p>
        </w:tc>
        <w:tc>
          <w:tcPr>
            <w:tcW w:w="609" w:type="pct"/>
            <w:noWrap/>
            <w:vAlign w:val="center"/>
            <w:hideMark/>
          </w:tcPr>
          <w:p w:rsidR="00E8074A" w:rsidRPr="006F393A" w:rsidRDefault="00E8074A" w:rsidP="005C2830">
            <w:pPr>
              <w:pStyle w:val="Tabletext"/>
              <w:jc w:val="center"/>
              <w:rPr>
                <w:lang w:eastAsia="en-AU"/>
              </w:rPr>
            </w:pPr>
            <w:r w:rsidRPr="006F393A">
              <w:rPr>
                <w:lang w:eastAsia="en-AU"/>
              </w:rPr>
              <w:t>3</w:t>
            </w:r>
            <w:r w:rsidR="005C2830" w:rsidRPr="006F393A">
              <w:rPr>
                <w:lang w:eastAsia="en-AU"/>
              </w:rPr>
              <w:t>600</w:t>
            </w:r>
          </w:p>
        </w:tc>
        <w:tc>
          <w:tcPr>
            <w:tcW w:w="609" w:type="pct"/>
            <w:noWrap/>
            <w:vAlign w:val="center"/>
            <w:hideMark/>
          </w:tcPr>
          <w:p w:rsidR="00E8074A" w:rsidRPr="006F393A" w:rsidRDefault="00E8074A" w:rsidP="00C35192">
            <w:pPr>
              <w:pStyle w:val="Tabletext"/>
              <w:jc w:val="center"/>
              <w:rPr>
                <w:lang w:eastAsia="en-AU"/>
              </w:rPr>
            </w:pPr>
            <w:r w:rsidRPr="006F393A">
              <w:rPr>
                <w:lang w:eastAsia="en-AU"/>
              </w:rPr>
              <w:t>5</w:t>
            </w:r>
            <w:r w:rsidR="005C2830" w:rsidRPr="006F393A">
              <w:rPr>
                <w:lang w:eastAsia="en-AU"/>
              </w:rPr>
              <w:t>400</w:t>
            </w:r>
          </w:p>
        </w:tc>
        <w:tc>
          <w:tcPr>
            <w:tcW w:w="609" w:type="pct"/>
            <w:noWrap/>
            <w:vAlign w:val="center"/>
            <w:hideMark/>
          </w:tcPr>
          <w:p w:rsidR="00E8074A" w:rsidRPr="006F393A" w:rsidRDefault="00E8074A" w:rsidP="00C35192">
            <w:pPr>
              <w:pStyle w:val="Tabletext"/>
              <w:jc w:val="center"/>
              <w:rPr>
                <w:lang w:eastAsia="en-AU"/>
              </w:rPr>
            </w:pPr>
            <w:r w:rsidRPr="006F393A">
              <w:rPr>
                <w:lang w:eastAsia="en-AU"/>
              </w:rPr>
              <w:t>8</w:t>
            </w:r>
            <w:r w:rsidR="005C2830" w:rsidRPr="006F393A">
              <w:rPr>
                <w:lang w:eastAsia="en-AU"/>
              </w:rPr>
              <w:t>100</w:t>
            </w:r>
          </w:p>
        </w:tc>
        <w:tc>
          <w:tcPr>
            <w:tcW w:w="609" w:type="pct"/>
            <w:noWrap/>
            <w:vAlign w:val="center"/>
            <w:hideMark/>
          </w:tcPr>
          <w:p w:rsidR="00E8074A" w:rsidRPr="006F393A" w:rsidRDefault="00E8074A" w:rsidP="005C2830">
            <w:pPr>
              <w:pStyle w:val="Tabletext"/>
              <w:jc w:val="center"/>
              <w:rPr>
                <w:lang w:eastAsia="en-AU"/>
              </w:rPr>
            </w:pPr>
            <w:r w:rsidRPr="006F393A">
              <w:rPr>
                <w:lang w:eastAsia="en-AU"/>
              </w:rPr>
              <w:t>81</w:t>
            </w:r>
            <w:r w:rsidR="005C2830" w:rsidRPr="006F393A">
              <w:rPr>
                <w:lang w:eastAsia="en-AU"/>
              </w:rPr>
              <w:t>00</w:t>
            </w:r>
          </w:p>
        </w:tc>
        <w:tc>
          <w:tcPr>
            <w:tcW w:w="609" w:type="pct"/>
            <w:noWrap/>
            <w:vAlign w:val="center"/>
            <w:hideMark/>
          </w:tcPr>
          <w:p w:rsidR="00E8074A" w:rsidRPr="006F393A" w:rsidRDefault="00E8074A" w:rsidP="00C35192">
            <w:pPr>
              <w:pStyle w:val="Tabletext"/>
              <w:jc w:val="center"/>
              <w:rPr>
                <w:lang w:eastAsia="en-AU"/>
              </w:rPr>
            </w:pPr>
            <w:r w:rsidRPr="006F393A">
              <w:rPr>
                <w:lang w:eastAsia="en-AU"/>
              </w:rPr>
              <w:t>8</w:t>
            </w:r>
            <w:r w:rsidR="005C2830" w:rsidRPr="006F393A">
              <w:rPr>
                <w:lang w:eastAsia="en-AU"/>
              </w:rPr>
              <w:t>100</w:t>
            </w:r>
          </w:p>
        </w:tc>
        <w:tc>
          <w:tcPr>
            <w:tcW w:w="609" w:type="pct"/>
            <w:noWrap/>
            <w:vAlign w:val="center"/>
            <w:hideMark/>
          </w:tcPr>
          <w:p w:rsidR="00E8074A" w:rsidRPr="006F393A" w:rsidRDefault="00E8074A" w:rsidP="00C35192">
            <w:pPr>
              <w:pStyle w:val="Tabletext"/>
              <w:jc w:val="center"/>
              <w:rPr>
                <w:lang w:eastAsia="en-AU"/>
              </w:rPr>
            </w:pPr>
            <w:r w:rsidRPr="006F393A">
              <w:rPr>
                <w:lang w:eastAsia="en-AU"/>
              </w:rPr>
              <w:t>33,</w:t>
            </w:r>
            <w:r w:rsidR="005C2830" w:rsidRPr="006F393A">
              <w:rPr>
                <w:lang w:eastAsia="en-AU"/>
              </w:rPr>
              <w:t>300</w:t>
            </w:r>
          </w:p>
        </w:tc>
      </w:tr>
    </w:tbl>
    <w:p w:rsidR="00E8074A" w:rsidRPr="006F393A" w:rsidRDefault="00E8074A" w:rsidP="0054392F">
      <w:pPr>
        <w:pStyle w:val="TableFooter"/>
        <w:ind w:left="709"/>
      </w:pPr>
      <w:r w:rsidRPr="006F393A">
        <w:t>* For comparison. Assumes that 5</w:t>
      </w:r>
      <w:r w:rsidR="0000495C" w:rsidRPr="006F393A">
        <w:t>4</w:t>
      </w:r>
      <w:r w:rsidRPr="006F393A">
        <w:t>.</w:t>
      </w:r>
      <w:r w:rsidR="0000495C" w:rsidRPr="006F393A">
        <w:t>5</w:t>
      </w:r>
      <w:r w:rsidRPr="006F393A">
        <w:t>% of the population being treated are genotype 1 (</w:t>
      </w:r>
      <w:proofErr w:type="spellStart"/>
      <w:r w:rsidRPr="006F393A">
        <w:rPr>
          <w:szCs w:val="22"/>
        </w:rPr>
        <w:t>Bruggmann</w:t>
      </w:r>
      <w:proofErr w:type="spellEnd"/>
      <w:r w:rsidRPr="006F393A">
        <w:rPr>
          <w:szCs w:val="22"/>
        </w:rPr>
        <w:t xml:space="preserve"> et al. (2014)</w:t>
      </w:r>
      <w:r w:rsidR="002046E4" w:rsidRPr="006F393A">
        <w:rPr>
          <w:szCs w:val="22"/>
        </w:rPr>
        <w:t>, rounded to the nearest 100 patients.</w:t>
      </w:r>
    </w:p>
    <w:p w:rsidR="00E8074A" w:rsidRPr="006F393A" w:rsidRDefault="00E8074A" w:rsidP="006A7F63">
      <w:pPr>
        <w:pStyle w:val="ListParagraph"/>
        <w:widowControl/>
        <w:ind w:left="709"/>
        <w:rPr>
          <w:szCs w:val="22"/>
        </w:rPr>
      </w:pPr>
    </w:p>
    <w:p w:rsidR="002C6E7D" w:rsidRPr="006F393A" w:rsidRDefault="002C6E7D" w:rsidP="00997EDA">
      <w:pPr>
        <w:pStyle w:val="ListParagraph"/>
        <w:widowControl/>
        <w:numPr>
          <w:ilvl w:val="1"/>
          <w:numId w:val="1"/>
        </w:numPr>
        <w:rPr>
          <w:szCs w:val="22"/>
        </w:rPr>
      </w:pPr>
      <w:r w:rsidRPr="006F393A">
        <w:rPr>
          <w:szCs w:val="22"/>
        </w:rPr>
        <w:t>The estimated PBS usage and financial implications were uncertain. Key uncertainties included the estimation of the likely number of patients to be treated per year given:</w:t>
      </w:r>
    </w:p>
    <w:p w:rsidR="004801B0" w:rsidRPr="006F393A" w:rsidRDefault="002C6E7D" w:rsidP="00997EDA">
      <w:pPr>
        <w:pStyle w:val="BodyText"/>
        <w:numPr>
          <w:ilvl w:val="1"/>
          <w:numId w:val="7"/>
        </w:numPr>
        <w:ind w:left="1134" w:hanging="436"/>
        <w:rPr>
          <w:szCs w:val="22"/>
        </w:rPr>
      </w:pPr>
      <w:r w:rsidRPr="006F393A">
        <w:rPr>
          <w:szCs w:val="22"/>
        </w:rPr>
        <w:t>There is a large pool of people living with CHC infection (230,000);</w:t>
      </w:r>
      <w:r w:rsidR="00D24654" w:rsidRPr="006F393A">
        <w:rPr>
          <w:szCs w:val="22"/>
        </w:rPr>
        <w:t xml:space="preserve"> however there are constraints on the capacity of the health system to manage HCV</w:t>
      </w:r>
      <w:r w:rsidR="002046E4" w:rsidRPr="006F393A">
        <w:rPr>
          <w:szCs w:val="22"/>
        </w:rPr>
        <w:t xml:space="preserve">; </w:t>
      </w:r>
    </w:p>
    <w:p w:rsidR="006B5C83" w:rsidRPr="006F393A" w:rsidRDefault="00D24654" w:rsidP="00997EDA">
      <w:pPr>
        <w:pStyle w:val="BodyText"/>
        <w:numPr>
          <w:ilvl w:val="1"/>
          <w:numId w:val="7"/>
        </w:numPr>
        <w:ind w:left="1134" w:hanging="436"/>
        <w:rPr>
          <w:szCs w:val="22"/>
        </w:rPr>
      </w:pPr>
      <w:r w:rsidRPr="006F393A">
        <w:rPr>
          <w:szCs w:val="22"/>
        </w:rPr>
        <w:t xml:space="preserve">The likely number of patients treated in the submission following the listing of </w:t>
      </w:r>
      <w:proofErr w:type="spellStart"/>
      <w:r w:rsidRPr="006F393A">
        <w:rPr>
          <w:szCs w:val="22"/>
        </w:rPr>
        <w:t>Viekira</w:t>
      </w:r>
      <w:proofErr w:type="spellEnd"/>
      <w:r w:rsidRPr="006F393A">
        <w:rPr>
          <w:szCs w:val="22"/>
        </w:rPr>
        <w:t xml:space="preserve"> PAK / </w:t>
      </w:r>
      <w:proofErr w:type="spellStart"/>
      <w:r w:rsidRPr="006F393A">
        <w:rPr>
          <w:szCs w:val="22"/>
        </w:rPr>
        <w:t>Viekira</w:t>
      </w:r>
      <w:proofErr w:type="spellEnd"/>
      <w:r w:rsidRPr="006F393A">
        <w:rPr>
          <w:szCs w:val="22"/>
        </w:rPr>
        <w:t xml:space="preserve"> PAK-RBV is greater than the number of patients estimated by DUSC at the February 2015 meeting</w:t>
      </w:r>
      <w:r w:rsidR="002046E4" w:rsidRPr="006F393A">
        <w:rPr>
          <w:szCs w:val="22"/>
        </w:rPr>
        <w:t xml:space="preserve"> (see </w:t>
      </w:r>
      <w:r w:rsidR="004801B0" w:rsidRPr="006F393A">
        <w:rPr>
          <w:szCs w:val="22"/>
        </w:rPr>
        <w:t>tables</w:t>
      </w:r>
      <w:r w:rsidR="002046E4" w:rsidRPr="006F393A">
        <w:rPr>
          <w:szCs w:val="22"/>
        </w:rPr>
        <w:t xml:space="preserve"> above</w:t>
      </w:r>
      <w:r w:rsidR="00353B29" w:rsidRPr="006F393A">
        <w:rPr>
          <w:szCs w:val="22"/>
        </w:rPr>
        <w:t xml:space="preserve">, </w:t>
      </w:r>
      <w:r w:rsidR="003351D6">
        <w:rPr>
          <w:szCs w:val="22"/>
        </w:rPr>
        <w:t>10,000 – 50,000</w:t>
      </w:r>
      <w:r w:rsidR="0023395B">
        <w:rPr>
          <w:szCs w:val="22"/>
        </w:rPr>
        <w:t xml:space="preserve"> </w:t>
      </w:r>
      <w:r w:rsidR="00353B29" w:rsidRPr="006F393A">
        <w:rPr>
          <w:szCs w:val="22"/>
        </w:rPr>
        <w:t>vs 33,300 over the first five years of listing</w:t>
      </w:r>
      <w:r w:rsidR="002046E4" w:rsidRPr="006F393A">
        <w:rPr>
          <w:szCs w:val="22"/>
        </w:rPr>
        <w:t>).</w:t>
      </w:r>
      <w:r w:rsidR="006C421A" w:rsidRPr="006F393A">
        <w:rPr>
          <w:szCs w:val="22"/>
        </w:rPr>
        <w:t xml:space="preserve"> </w:t>
      </w:r>
    </w:p>
    <w:p w:rsidR="00D24654" w:rsidRPr="006F393A" w:rsidRDefault="006C421A" w:rsidP="00997EDA">
      <w:pPr>
        <w:pStyle w:val="BodyText"/>
        <w:numPr>
          <w:ilvl w:val="1"/>
          <w:numId w:val="7"/>
        </w:numPr>
        <w:ind w:left="1134" w:hanging="436"/>
        <w:rPr>
          <w:szCs w:val="22"/>
        </w:rPr>
      </w:pPr>
      <w:r w:rsidRPr="006F393A">
        <w:rPr>
          <w:szCs w:val="22"/>
        </w:rPr>
        <w:t xml:space="preserve">The submission estimates that treatment capacity </w:t>
      </w:r>
      <w:r w:rsidR="009403F9" w:rsidRPr="006F393A">
        <w:rPr>
          <w:szCs w:val="22"/>
        </w:rPr>
        <w:t xml:space="preserve">for all genotypes </w:t>
      </w:r>
      <w:r w:rsidRPr="006F393A">
        <w:rPr>
          <w:szCs w:val="22"/>
        </w:rPr>
        <w:t xml:space="preserve">will increase by a factor of </w:t>
      </w:r>
      <w:r w:rsidR="00C87712">
        <w:rPr>
          <w:noProof/>
          <w:color w:val="000000"/>
          <w:szCs w:val="22"/>
          <w:highlight w:val="black"/>
        </w:rPr>
        <w:t>''''''''</w:t>
      </w:r>
      <w:r w:rsidRPr="006F393A">
        <w:rPr>
          <w:szCs w:val="22"/>
        </w:rPr>
        <w:t>,</w:t>
      </w:r>
      <w:r w:rsidR="006B5C83" w:rsidRPr="006F393A">
        <w:rPr>
          <w:szCs w:val="22"/>
        </w:rPr>
        <w:t xml:space="preserve"> </w:t>
      </w:r>
      <w:r w:rsidR="0068721A" w:rsidRPr="006F393A">
        <w:rPr>
          <w:szCs w:val="22"/>
        </w:rPr>
        <w:t xml:space="preserve">immediately </w:t>
      </w:r>
      <w:r w:rsidR="006B5C83" w:rsidRPr="006F393A">
        <w:rPr>
          <w:szCs w:val="22"/>
        </w:rPr>
        <w:t>upon listing of IFN-free treatments</w:t>
      </w:r>
      <w:r w:rsidR="00695AD4" w:rsidRPr="006F393A">
        <w:rPr>
          <w:szCs w:val="22"/>
        </w:rPr>
        <w:t>.</w:t>
      </w:r>
      <w:r w:rsidRPr="006F393A">
        <w:rPr>
          <w:szCs w:val="22"/>
        </w:rPr>
        <w:t xml:space="preserve"> </w:t>
      </w:r>
      <w:r w:rsidR="00093D24" w:rsidRPr="006F393A">
        <w:rPr>
          <w:szCs w:val="22"/>
        </w:rPr>
        <w:t>The ESC noted the sponsor</w:t>
      </w:r>
      <w:r w:rsidR="00EF7B41" w:rsidRPr="006F393A">
        <w:rPr>
          <w:szCs w:val="22"/>
        </w:rPr>
        <w:t xml:space="preserve"> disagreed</w:t>
      </w:r>
      <w:r w:rsidR="00093D24" w:rsidRPr="006F393A">
        <w:rPr>
          <w:szCs w:val="22"/>
        </w:rPr>
        <w:t xml:space="preserve"> in the PSCR </w:t>
      </w:r>
      <w:r w:rsidR="00EF7B41" w:rsidRPr="006F393A">
        <w:rPr>
          <w:szCs w:val="22"/>
        </w:rPr>
        <w:t xml:space="preserve">with patient </w:t>
      </w:r>
      <w:r w:rsidR="00093D24" w:rsidRPr="006F393A">
        <w:rPr>
          <w:szCs w:val="22"/>
        </w:rPr>
        <w:t xml:space="preserve">estimates </w:t>
      </w:r>
      <w:r w:rsidR="00EF7B41" w:rsidRPr="006F393A">
        <w:rPr>
          <w:szCs w:val="22"/>
        </w:rPr>
        <w:t>from</w:t>
      </w:r>
      <w:r w:rsidR="00093D24" w:rsidRPr="006F393A">
        <w:rPr>
          <w:szCs w:val="22"/>
        </w:rPr>
        <w:t xml:space="preserve"> </w:t>
      </w:r>
      <w:r w:rsidR="00EF7B41" w:rsidRPr="006F393A">
        <w:rPr>
          <w:szCs w:val="22"/>
        </w:rPr>
        <w:t xml:space="preserve">the </w:t>
      </w:r>
      <w:r w:rsidR="006B5C83" w:rsidRPr="006F393A">
        <w:rPr>
          <w:szCs w:val="22"/>
        </w:rPr>
        <w:t xml:space="preserve">DUSC </w:t>
      </w:r>
      <w:r w:rsidR="00EF7B41" w:rsidRPr="006F393A">
        <w:rPr>
          <w:szCs w:val="22"/>
        </w:rPr>
        <w:t xml:space="preserve">February 2015 meeting </w:t>
      </w:r>
      <w:r w:rsidR="006B5C83" w:rsidRPr="006F393A">
        <w:rPr>
          <w:szCs w:val="22"/>
        </w:rPr>
        <w:t xml:space="preserve">and </w:t>
      </w:r>
      <w:r w:rsidR="00EF7B41" w:rsidRPr="006F393A">
        <w:rPr>
          <w:szCs w:val="22"/>
        </w:rPr>
        <w:t xml:space="preserve">the treatment rates assumed in </w:t>
      </w:r>
      <w:r w:rsidR="006B5C83" w:rsidRPr="006F393A">
        <w:rPr>
          <w:szCs w:val="22"/>
        </w:rPr>
        <w:t xml:space="preserve">the </w:t>
      </w:r>
      <w:r w:rsidR="00797366" w:rsidRPr="006F393A">
        <w:rPr>
          <w:szCs w:val="22"/>
        </w:rPr>
        <w:t>Fourth National Hepatitis C strategy 2014-2017</w:t>
      </w:r>
      <w:r w:rsidR="00093D24" w:rsidRPr="006F393A">
        <w:rPr>
          <w:szCs w:val="22"/>
        </w:rPr>
        <w:t xml:space="preserve"> </w:t>
      </w:r>
      <w:r w:rsidR="00EF7B41" w:rsidRPr="006F393A">
        <w:rPr>
          <w:szCs w:val="22"/>
        </w:rPr>
        <w:t xml:space="preserve">and reiterated the estimates upon listing new oral DAA treatments would be higher as </w:t>
      </w:r>
      <w:r w:rsidR="006B5C83" w:rsidRPr="006F393A">
        <w:rPr>
          <w:szCs w:val="22"/>
        </w:rPr>
        <w:t>presented in the submission</w:t>
      </w:r>
      <w:r w:rsidR="00EF7B41" w:rsidRPr="006F393A">
        <w:rPr>
          <w:szCs w:val="22"/>
        </w:rPr>
        <w:t xml:space="preserve">, which </w:t>
      </w:r>
      <w:r w:rsidR="00220B24" w:rsidRPr="006F393A">
        <w:rPr>
          <w:szCs w:val="22"/>
        </w:rPr>
        <w:t xml:space="preserve">was </w:t>
      </w:r>
      <w:r w:rsidR="00EF7B41" w:rsidRPr="006F393A">
        <w:rPr>
          <w:szCs w:val="22"/>
        </w:rPr>
        <w:t xml:space="preserve">based on the ALA advice (November 2014) of the current utilisation of PBS listed treatments and the upper limit of the that patient estimate of 15,000 </w:t>
      </w:r>
      <w:r w:rsidR="00433728" w:rsidRPr="006F393A">
        <w:rPr>
          <w:szCs w:val="22"/>
        </w:rPr>
        <w:t>recorded</w:t>
      </w:r>
      <w:r w:rsidR="00EF7B41" w:rsidRPr="006F393A">
        <w:rPr>
          <w:szCs w:val="22"/>
        </w:rPr>
        <w:t xml:space="preserve"> at the February 2014 Stakeholder meeting</w:t>
      </w:r>
      <w:r w:rsidR="006B5C83" w:rsidRPr="006F393A">
        <w:rPr>
          <w:szCs w:val="22"/>
        </w:rPr>
        <w:t xml:space="preserve">. </w:t>
      </w:r>
    </w:p>
    <w:p w:rsidR="002C6E7D" w:rsidRPr="006F393A" w:rsidRDefault="002C6E7D" w:rsidP="00997EDA">
      <w:pPr>
        <w:pStyle w:val="BodyText"/>
        <w:numPr>
          <w:ilvl w:val="1"/>
          <w:numId w:val="7"/>
        </w:numPr>
        <w:ind w:left="1134" w:hanging="436"/>
        <w:rPr>
          <w:b/>
          <w:szCs w:val="22"/>
        </w:rPr>
      </w:pPr>
      <w:r w:rsidRPr="006F393A">
        <w:rPr>
          <w:szCs w:val="22"/>
        </w:rPr>
        <w:t>The number of patients who have been deferring treatment to receive interferon</w:t>
      </w:r>
      <w:r w:rsidR="00EB6E75" w:rsidRPr="006F393A">
        <w:rPr>
          <w:szCs w:val="22"/>
        </w:rPr>
        <w:noBreakHyphen/>
      </w:r>
      <w:r w:rsidRPr="006F393A">
        <w:rPr>
          <w:szCs w:val="22"/>
        </w:rPr>
        <w:t xml:space="preserve">free therapy was unknown; </w:t>
      </w:r>
    </w:p>
    <w:p w:rsidR="00D24654" w:rsidRPr="006F393A" w:rsidRDefault="00D24654" w:rsidP="00997EDA">
      <w:pPr>
        <w:pStyle w:val="ListParagraph"/>
        <w:numPr>
          <w:ilvl w:val="1"/>
          <w:numId w:val="7"/>
        </w:numPr>
        <w:ind w:left="1134" w:hanging="436"/>
      </w:pPr>
      <w:r w:rsidRPr="006F393A">
        <w:t xml:space="preserve">Cost offsets for </w:t>
      </w:r>
      <w:r w:rsidR="00235E2B" w:rsidRPr="006F393A">
        <w:t xml:space="preserve">interferon-containing regimens </w:t>
      </w:r>
      <w:r w:rsidRPr="006F393A">
        <w:t xml:space="preserve">are </w:t>
      </w:r>
      <w:r w:rsidR="00353B29" w:rsidRPr="006F393A">
        <w:t>unlikely to increase over the first five years of listing</w:t>
      </w:r>
      <w:r w:rsidRPr="006F393A">
        <w:t xml:space="preserve"> as assumed by the submission, as patients are</w:t>
      </w:r>
      <w:r w:rsidR="00611286" w:rsidRPr="006F393A">
        <w:t xml:space="preserve"> likely to be</w:t>
      </w:r>
      <w:r w:rsidRPr="006F393A">
        <w:t xml:space="preserve"> deferring treatment in anticipation of the availability of interferon-free regimens.</w:t>
      </w:r>
    </w:p>
    <w:p w:rsidR="00E775D1" w:rsidRPr="006F393A" w:rsidRDefault="00E775D1" w:rsidP="00E775D1"/>
    <w:p w:rsidR="00F22176" w:rsidRPr="006F393A" w:rsidRDefault="000152AB" w:rsidP="00F22176">
      <w:pPr>
        <w:pStyle w:val="ListParagraph"/>
        <w:widowControl/>
        <w:numPr>
          <w:ilvl w:val="1"/>
          <w:numId w:val="1"/>
        </w:numPr>
        <w:rPr>
          <w:szCs w:val="22"/>
        </w:rPr>
      </w:pPr>
      <w:r w:rsidRPr="006F393A">
        <w:t>The</w:t>
      </w:r>
      <w:r w:rsidR="002B42B4" w:rsidRPr="006F393A">
        <w:t xml:space="preserve"> </w:t>
      </w:r>
      <w:r w:rsidRPr="006F393A">
        <w:t xml:space="preserve">PBAC recalled </w:t>
      </w:r>
      <w:r w:rsidR="002B42B4" w:rsidRPr="006F393A">
        <w:t>recent submissions and outcomes of stakeholder consultations since 2014 on the impact of all oral IFN-free CHC treatments on the capacity of the health system to treat CHC patients. The PBAC considered that the size of the likely treatment</w:t>
      </w:r>
      <w:r w:rsidR="003C4CF6">
        <w:t xml:space="preserve"> population remained uncertain.</w:t>
      </w:r>
      <w:r w:rsidR="002B42B4" w:rsidRPr="006F393A">
        <w:t xml:space="preserve"> </w:t>
      </w:r>
      <w:r w:rsidR="00E775D1" w:rsidRPr="006F393A">
        <w:t xml:space="preserve">The PBAC noted that the submission estimated that the number of patients seeking treatment would be greater than those estimated by the DUSC. The PBAC noted the submission’s claim that </w:t>
      </w:r>
      <w:r w:rsidR="00E775D1" w:rsidRPr="006F393A">
        <w:rPr>
          <w:szCs w:val="22"/>
        </w:rPr>
        <w:t xml:space="preserve">treatment capacity for all genotypes will increase by a factor of </w:t>
      </w:r>
      <w:r w:rsidR="00C87712">
        <w:rPr>
          <w:noProof/>
          <w:color w:val="000000"/>
          <w:szCs w:val="22"/>
          <w:highlight w:val="black"/>
        </w:rPr>
        <w:t>'''''''</w:t>
      </w:r>
      <w:r w:rsidR="00E775D1" w:rsidRPr="006F393A">
        <w:rPr>
          <w:szCs w:val="22"/>
        </w:rPr>
        <w:t xml:space="preserve">, immediately upon listing of IFN-free treatments was based </w:t>
      </w:r>
      <w:r w:rsidR="00E775D1" w:rsidRPr="006F393A">
        <w:rPr>
          <w:szCs w:val="24"/>
        </w:rPr>
        <w:t xml:space="preserve">on an estimate of the average hours spent by medical and nursing staff treating patients with interferon-containing regimens relative to a forecast of average hours with interferon-free regimens. The PBAC accepted that all oral treatments would result in less total hours spent by medical and nursing staff treating patients but was concerned that it may not be appropriate </w:t>
      </w:r>
      <w:r w:rsidR="004F2ED3" w:rsidRPr="006F393A">
        <w:rPr>
          <w:szCs w:val="24"/>
        </w:rPr>
        <w:t xml:space="preserve">to </w:t>
      </w:r>
      <w:r w:rsidR="00E775D1" w:rsidRPr="006F393A">
        <w:rPr>
          <w:szCs w:val="24"/>
        </w:rPr>
        <w:t xml:space="preserve">base </w:t>
      </w:r>
      <w:r w:rsidR="004F2ED3" w:rsidRPr="006F393A">
        <w:rPr>
          <w:szCs w:val="24"/>
        </w:rPr>
        <w:t xml:space="preserve">the likely increase in population of </w:t>
      </w:r>
      <w:r w:rsidR="00E775D1" w:rsidRPr="006F393A">
        <w:rPr>
          <w:szCs w:val="24"/>
        </w:rPr>
        <w:t xml:space="preserve">patients </w:t>
      </w:r>
      <w:r w:rsidR="004F2ED3" w:rsidRPr="006F393A">
        <w:rPr>
          <w:szCs w:val="24"/>
        </w:rPr>
        <w:t xml:space="preserve">being treated </w:t>
      </w:r>
      <w:r w:rsidR="00E775D1" w:rsidRPr="006F393A">
        <w:rPr>
          <w:szCs w:val="24"/>
        </w:rPr>
        <w:t xml:space="preserve">on this parameter </w:t>
      </w:r>
      <w:r w:rsidR="00F34038" w:rsidRPr="006F393A">
        <w:rPr>
          <w:szCs w:val="24"/>
        </w:rPr>
        <w:t xml:space="preserve">alone </w:t>
      </w:r>
      <w:r w:rsidR="00E775D1" w:rsidRPr="006F393A">
        <w:rPr>
          <w:szCs w:val="24"/>
        </w:rPr>
        <w:t xml:space="preserve">as </w:t>
      </w:r>
      <w:r w:rsidR="00F34038" w:rsidRPr="006F393A">
        <w:rPr>
          <w:szCs w:val="24"/>
        </w:rPr>
        <w:t>other factors are likely to impact on the number of treated patients</w:t>
      </w:r>
      <w:r w:rsidR="004F2ED3" w:rsidRPr="006F393A">
        <w:rPr>
          <w:szCs w:val="24"/>
        </w:rPr>
        <w:t>. T</w:t>
      </w:r>
      <w:r w:rsidR="00E775D1" w:rsidRPr="006F393A">
        <w:rPr>
          <w:szCs w:val="24"/>
        </w:rPr>
        <w:t xml:space="preserve">he time patients are treated </w:t>
      </w:r>
      <w:r w:rsidR="004F2ED3" w:rsidRPr="006F393A">
        <w:rPr>
          <w:szCs w:val="24"/>
        </w:rPr>
        <w:t xml:space="preserve">across Australia </w:t>
      </w:r>
      <w:r w:rsidR="00E775D1" w:rsidRPr="006F393A">
        <w:rPr>
          <w:szCs w:val="24"/>
        </w:rPr>
        <w:t xml:space="preserve">may differ from those estimated in the submission, staff time saved with </w:t>
      </w:r>
      <w:r w:rsidR="00E775D1" w:rsidRPr="006F393A">
        <w:rPr>
          <w:szCs w:val="22"/>
        </w:rPr>
        <w:t>IFN-free treatments may be used for other tasks</w:t>
      </w:r>
      <w:r w:rsidR="004F2ED3" w:rsidRPr="006F393A">
        <w:rPr>
          <w:szCs w:val="22"/>
        </w:rPr>
        <w:t xml:space="preserve"> related or not related to CHC patients</w:t>
      </w:r>
      <w:r w:rsidR="00E775D1" w:rsidRPr="006F393A">
        <w:rPr>
          <w:szCs w:val="22"/>
        </w:rPr>
        <w:t xml:space="preserve">, that harder to treat patients may be prioritised, who require </w:t>
      </w:r>
      <w:r w:rsidR="00674E1F" w:rsidRPr="006F393A">
        <w:rPr>
          <w:szCs w:val="22"/>
        </w:rPr>
        <w:t xml:space="preserve">additional </w:t>
      </w:r>
      <w:r w:rsidR="004F2ED3" w:rsidRPr="006F393A">
        <w:rPr>
          <w:szCs w:val="22"/>
        </w:rPr>
        <w:t>time of</w:t>
      </w:r>
      <w:r w:rsidR="00E775D1" w:rsidRPr="006F393A">
        <w:rPr>
          <w:szCs w:val="22"/>
        </w:rPr>
        <w:t xml:space="preserve"> staff which is not only to </w:t>
      </w:r>
      <w:r w:rsidR="0074265D" w:rsidRPr="006F393A">
        <w:rPr>
          <w:szCs w:val="22"/>
        </w:rPr>
        <w:t xml:space="preserve">prescribe and monitor </w:t>
      </w:r>
      <w:r w:rsidR="00E775D1" w:rsidRPr="006F393A">
        <w:rPr>
          <w:szCs w:val="22"/>
        </w:rPr>
        <w:t xml:space="preserve">medicines. </w:t>
      </w:r>
    </w:p>
    <w:p w:rsidR="00F22176" w:rsidRPr="006F393A" w:rsidRDefault="00F22176" w:rsidP="00E775D1">
      <w:pPr>
        <w:rPr>
          <w:szCs w:val="22"/>
        </w:rPr>
      </w:pPr>
    </w:p>
    <w:p w:rsidR="00E775D1" w:rsidRPr="006F393A" w:rsidRDefault="00F22176" w:rsidP="00F22176">
      <w:pPr>
        <w:pStyle w:val="ListParagraph"/>
        <w:widowControl/>
        <w:numPr>
          <w:ilvl w:val="1"/>
          <w:numId w:val="1"/>
        </w:numPr>
      </w:pPr>
      <w:r w:rsidRPr="006F393A">
        <w:rPr>
          <w:bCs/>
          <w:szCs w:val="22"/>
        </w:rPr>
        <w:t>Though the magnitude of the primary care in the prescribing</w:t>
      </w:r>
      <w:r w:rsidR="004F2ED3" w:rsidRPr="006F393A">
        <w:rPr>
          <w:bCs/>
          <w:szCs w:val="22"/>
        </w:rPr>
        <w:t xml:space="preserve"> all oral treatment is unknown</w:t>
      </w:r>
      <w:r w:rsidRPr="006F393A">
        <w:rPr>
          <w:bCs/>
          <w:szCs w:val="22"/>
        </w:rPr>
        <w:t xml:space="preserve">, the PBAC reiterated that it was reasonable to assume that the total number of patients estimated by DUSC over the next 5 years would remain appropriate in the context of a General Schedule listing, given that treatment would initially continue in specialist treatment centres; and that the uptake by general practitioners to become accredited to manage HCV may be low as noted in the NSW Hepatitis C Strategy 2014-2020. </w:t>
      </w:r>
    </w:p>
    <w:p w:rsidR="008634CD" w:rsidRPr="006F393A" w:rsidRDefault="008634CD" w:rsidP="008634CD">
      <w:pPr>
        <w:rPr>
          <w:i/>
        </w:rPr>
      </w:pPr>
    </w:p>
    <w:p w:rsidR="00E70436" w:rsidRPr="006F393A" w:rsidRDefault="00E70436" w:rsidP="00E70436">
      <w:pPr>
        <w:pStyle w:val="Heading2"/>
        <w:rPr>
          <w:i/>
        </w:rPr>
      </w:pPr>
      <w:bookmarkStart w:id="20" w:name="_Toc419383696"/>
      <w:r w:rsidRPr="006F393A">
        <w:rPr>
          <w:i/>
        </w:rPr>
        <w:t>Quality Use of Medicines</w:t>
      </w:r>
      <w:bookmarkEnd w:id="20"/>
    </w:p>
    <w:p w:rsidR="00E70436" w:rsidRPr="006F393A" w:rsidRDefault="00E70436" w:rsidP="00E70436">
      <w:pPr>
        <w:widowControl/>
        <w:rPr>
          <w:szCs w:val="22"/>
        </w:rPr>
      </w:pPr>
    </w:p>
    <w:p w:rsidR="00E70436" w:rsidRPr="006F393A" w:rsidRDefault="008016D3" w:rsidP="00997EDA">
      <w:pPr>
        <w:pStyle w:val="ListParagraph"/>
        <w:widowControl/>
        <w:numPr>
          <w:ilvl w:val="1"/>
          <w:numId w:val="1"/>
        </w:numPr>
        <w:rPr>
          <w:szCs w:val="22"/>
        </w:rPr>
      </w:pPr>
      <w:proofErr w:type="spellStart"/>
      <w:r w:rsidRPr="006F393A">
        <w:t>Viekira</w:t>
      </w:r>
      <w:proofErr w:type="spellEnd"/>
      <w:r w:rsidRPr="006F393A">
        <w:t xml:space="preserve"> PAK-RBV may require up to 9 or 10 tablets per day</w:t>
      </w:r>
      <w:r w:rsidR="002C6E7D" w:rsidRPr="006F393A">
        <w:t xml:space="preserve"> which represents </w:t>
      </w:r>
      <w:r w:rsidRPr="006F393A">
        <w:t xml:space="preserve">a substantial pill burden, particularly for patients already taking other medications. This compares unfavourably with LDV/SOF, which requires a single tablet per day. </w:t>
      </w:r>
    </w:p>
    <w:p w:rsidR="00E70436" w:rsidRPr="006F393A" w:rsidRDefault="00E70436" w:rsidP="00E70436">
      <w:pPr>
        <w:widowControl/>
        <w:rPr>
          <w:szCs w:val="22"/>
        </w:rPr>
      </w:pPr>
    </w:p>
    <w:p w:rsidR="008016D3" w:rsidRPr="006F393A" w:rsidRDefault="008016D3" w:rsidP="008016D3">
      <w:pPr>
        <w:pStyle w:val="TableHeader"/>
        <w:ind w:firstLine="709"/>
      </w:pPr>
      <w:r w:rsidRPr="006F393A">
        <w:t>Table 1</w:t>
      </w:r>
      <w:r w:rsidR="007B6A5B" w:rsidRPr="006F393A">
        <w:t xml:space="preserve">6: </w:t>
      </w:r>
      <w:r w:rsidRPr="006F393A">
        <w:t xml:space="preserve">Daily tablet intake for patients </w:t>
      </w:r>
      <w:r w:rsidR="003A0024" w:rsidRPr="006F393A">
        <w:t>receiving</w:t>
      </w:r>
      <w:r w:rsidRPr="006F393A">
        <w:t xml:space="preserve"> </w:t>
      </w:r>
      <w:proofErr w:type="spellStart"/>
      <w:r w:rsidRPr="006F393A">
        <w:t>Viekira</w:t>
      </w:r>
      <w:proofErr w:type="spellEnd"/>
      <w:r w:rsidRPr="006F393A">
        <w:t xml:space="preserve"> PAK / </w:t>
      </w:r>
      <w:proofErr w:type="spellStart"/>
      <w:r w:rsidRPr="006F393A">
        <w:t>Viekira</w:t>
      </w:r>
      <w:proofErr w:type="spellEnd"/>
      <w:r w:rsidRPr="006F393A">
        <w:t xml:space="preserve"> PAK-RBV</w:t>
      </w:r>
    </w:p>
    <w:tbl>
      <w:tblPr>
        <w:tblStyle w:val="TableGrid"/>
        <w:tblW w:w="4555" w:type="pct"/>
        <w:tblInd w:w="822" w:type="dxa"/>
        <w:tblLook w:val="04A0" w:firstRow="1" w:lastRow="0" w:firstColumn="1" w:lastColumn="0" w:noHBand="0" w:noVBand="1"/>
        <w:tblCaption w:val="Table 16: Daily tablet intake for patients receiving Viekira PAK / Viekira PAK-RBV"/>
        <w:tblDescription w:val="This table describes the daily tablet intake for patients receiving Viekira PAK / Viekira PAK-RBV"/>
      </w:tblPr>
      <w:tblGrid>
        <w:gridCol w:w="2823"/>
        <w:gridCol w:w="3214"/>
        <w:gridCol w:w="2382"/>
      </w:tblGrid>
      <w:tr w:rsidR="008016D3" w:rsidRPr="006F393A" w:rsidTr="0028796E">
        <w:trPr>
          <w:tblHeader/>
        </w:trPr>
        <w:tc>
          <w:tcPr>
            <w:tcW w:w="2823" w:type="dxa"/>
          </w:tcPr>
          <w:p w:rsidR="008016D3" w:rsidRPr="006F393A" w:rsidRDefault="008016D3" w:rsidP="00A033B4">
            <w:pPr>
              <w:pStyle w:val="Tabletext"/>
              <w:rPr>
                <w:b/>
              </w:rPr>
            </w:pPr>
            <w:r w:rsidRPr="006F393A">
              <w:rPr>
                <w:b/>
              </w:rPr>
              <w:t>Population</w:t>
            </w:r>
          </w:p>
        </w:tc>
        <w:tc>
          <w:tcPr>
            <w:tcW w:w="3214" w:type="dxa"/>
          </w:tcPr>
          <w:p w:rsidR="008016D3" w:rsidRPr="006F393A" w:rsidRDefault="008016D3" w:rsidP="00A033B4">
            <w:pPr>
              <w:pStyle w:val="Tabletext"/>
              <w:rPr>
                <w:b/>
              </w:rPr>
            </w:pPr>
            <w:r w:rsidRPr="006F393A">
              <w:rPr>
                <w:b/>
              </w:rPr>
              <w:t>Regimen</w:t>
            </w:r>
          </w:p>
        </w:tc>
        <w:tc>
          <w:tcPr>
            <w:tcW w:w="2382" w:type="dxa"/>
          </w:tcPr>
          <w:p w:rsidR="008016D3" w:rsidRPr="006F393A" w:rsidRDefault="008016D3" w:rsidP="00A033B4">
            <w:pPr>
              <w:pStyle w:val="Tabletext"/>
              <w:rPr>
                <w:b/>
              </w:rPr>
            </w:pPr>
            <w:r w:rsidRPr="006F393A">
              <w:rPr>
                <w:b/>
              </w:rPr>
              <w:t>Tablets per day</w:t>
            </w:r>
          </w:p>
        </w:tc>
      </w:tr>
      <w:tr w:rsidR="008016D3" w:rsidRPr="006F393A" w:rsidTr="00A033B4">
        <w:tc>
          <w:tcPr>
            <w:tcW w:w="2823" w:type="dxa"/>
          </w:tcPr>
          <w:p w:rsidR="008016D3" w:rsidRPr="006F393A" w:rsidRDefault="008016D3" w:rsidP="00A033B4">
            <w:pPr>
              <w:pStyle w:val="Tabletext"/>
            </w:pPr>
            <w:r w:rsidRPr="006F393A">
              <w:t>G1b, non-cirrhotic</w:t>
            </w:r>
          </w:p>
        </w:tc>
        <w:tc>
          <w:tcPr>
            <w:tcW w:w="3214" w:type="dxa"/>
          </w:tcPr>
          <w:p w:rsidR="008016D3" w:rsidRPr="006F393A" w:rsidRDefault="008016D3" w:rsidP="00A033B4">
            <w:pPr>
              <w:pStyle w:val="Tabletext"/>
            </w:pPr>
            <w:proofErr w:type="spellStart"/>
            <w:r w:rsidRPr="006F393A">
              <w:t>Viekira</w:t>
            </w:r>
            <w:proofErr w:type="spellEnd"/>
            <w:r w:rsidRPr="006F393A">
              <w:t xml:space="preserve"> PAK</w:t>
            </w:r>
          </w:p>
        </w:tc>
        <w:tc>
          <w:tcPr>
            <w:tcW w:w="2382" w:type="dxa"/>
          </w:tcPr>
          <w:p w:rsidR="008016D3" w:rsidRPr="006F393A" w:rsidRDefault="008016D3" w:rsidP="00A033B4">
            <w:pPr>
              <w:pStyle w:val="Tabletext"/>
            </w:pPr>
            <w:r w:rsidRPr="006F393A">
              <w:t>4</w:t>
            </w:r>
          </w:p>
        </w:tc>
      </w:tr>
      <w:tr w:rsidR="008016D3" w:rsidRPr="006F393A" w:rsidTr="00A033B4">
        <w:tc>
          <w:tcPr>
            <w:tcW w:w="2823" w:type="dxa"/>
          </w:tcPr>
          <w:p w:rsidR="008016D3" w:rsidRPr="006F393A" w:rsidRDefault="008016D3" w:rsidP="00A033B4">
            <w:pPr>
              <w:pStyle w:val="Tabletext"/>
            </w:pPr>
            <w:r w:rsidRPr="006F393A">
              <w:t>G1a and G1b cirrhotic &lt;75kg</w:t>
            </w:r>
          </w:p>
        </w:tc>
        <w:tc>
          <w:tcPr>
            <w:tcW w:w="3214" w:type="dxa"/>
          </w:tcPr>
          <w:p w:rsidR="008016D3" w:rsidRPr="006F393A" w:rsidRDefault="008016D3" w:rsidP="00A033B4">
            <w:pPr>
              <w:pStyle w:val="Tabletext"/>
            </w:pPr>
            <w:proofErr w:type="spellStart"/>
            <w:r w:rsidRPr="006F393A">
              <w:t>Viekira</w:t>
            </w:r>
            <w:proofErr w:type="spellEnd"/>
            <w:r w:rsidRPr="006F393A">
              <w:t xml:space="preserve"> PAK-RBV 1000mg</w:t>
            </w:r>
          </w:p>
        </w:tc>
        <w:tc>
          <w:tcPr>
            <w:tcW w:w="2382" w:type="dxa"/>
          </w:tcPr>
          <w:p w:rsidR="008016D3" w:rsidRPr="006F393A" w:rsidRDefault="008016D3" w:rsidP="00A033B4">
            <w:pPr>
              <w:pStyle w:val="Tabletext"/>
            </w:pPr>
            <w:r w:rsidRPr="006F393A">
              <w:t>9</w:t>
            </w:r>
            <w:r w:rsidRPr="006F393A">
              <w:rPr>
                <w:vertAlign w:val="superscript"/>
              </w:rPr>
              <w:t>a</w:t>
            </w:r>
          </w:p>
        </w:tc>
      </w:tr>
      <w:tr w:rsidR="008016D3" w:rsidRPr="006F393A" w:rsidTr="00A033B4">
        <w:tc>
          <w:tcPr>
            <w:tcW w:w="2823" w:type="dxa"/>
          </w:tcPr>
          <w:p w:rsidR="008016D3" w:rsidRPr="006F393A" w:rsidRDefault="008016D3" w:rsidP="00A033B4">
            <w:pPr>
              <w:pStyle w:val="Tabletext"/>
            </w:pPr>
            <w:r w:rsidRPr="006F393A">
              <w:t>G1a and G1b cirrhotic ≥75kg</w:t>
            </w:r>
          </w:p>
        </w:tc>
        <w:tc>
          <w:tcPr>
            <w:tcW w:w="3214" w:type="dxa"/>
          </w:tcPr>
          <w:p w:rsidR="008016D3" w:rsidRPr="006F393A" w:rsidRDefault="008016D3" w:rsidP="00A033B4">
            <w:pPr>
              <w:pStyle w:val="Tabletext"/>
            </w:pPr>
            <w:proofErr w:type="spellStart"/>
            <w:r w:rsidRPr="006F393A">
              <w:t>Viekira</w:t>
            </w:r>
            <w:proofErr w:type="spellEnd"/>
            <w:r w:rsidRPr="006F393A">
              <w:t xml:space="preserve"> PAK-RBV 1200mg</w:t>
            </w:r>
          </w:p>
        </w:tc>
        <w:tc>
          <w:tcPr>
            <w:tcW w:w="2382" w:type="dxa"/>
          </w:tcPr>
          <w:p w:rsidR="008016D3" w:rsidRPr="006F393A" w:rsidRDefault="008016D3" w:rsidP="00A033B4">
            <w:pPr>
              <w:pStyle w:val="Tabletext"/>
            </w:pPr>
            <w:r w:rsidRPr="006F393A">
              <w:t>6 (10)</w:t>
            </w:r>
            <w:r w:rsidRPr="006F393A">
              <w:rPr>
                <w:vertAlign w:val="superscript"/>
              </w:rPr>
              <w:t>b</w:t>
            </w:r>
          </w:p>
        </w:tc>
      </w:tr>
    </w:tbl>
    <w:p w:rsidR="008016D3" w:rsidRPr="006F393A" w:rsidRDefault="008016D3" w:rsidP="008016D3">
      <w:pPr>
        <w:pStyle w:val="TableFooter"/>
        <w:ind w:left="709"/>
      </w:pPr>
      <w:proofErr w:type="spellStart"/>
      <w:r w:rsidRPr="006F393A">
        <w:rPr>
          <w:vertAlign w:val="superscript"/>
        </w:rPr>
        <w:t>a</w:t>
      </w:r>
      <w:r w:rsidRPr="006F393A">
        <w:t>Patients</w:t>
      </w:r>
      <w:proofErr w:type="spellEnd"/>
      <w:r w:rsidRPr="006F393A">
        <w:t xml:space="preserve"> receiving a regimen containing ribavirin who weigh less than 75kg are required to take 5 ribavirin tablets per day (at 200mg each). </w:t>
      </w:r>
    </w:p>
    <w:p w:rsidR="008016D3" w:rsidRPr="006F393A" w:rsidRDefault="008016D3" w:rsidP="008016D3">
      <w:pPr>
        <w:pStyle w:val="TableFooter"/>
        <w:ind w:left="709"/>
      </w:pPr>
      <w:proofErr w:type="spellStart"/>
      <w:r w:rsidRPr="006F393A">
        <w:rPr>
          <w:vertAlign w:val="superscript"/>
        </w:rPr>
        <w:t>b</w:t>
      </w:r>
      <w:r w:rsidRPr="006F393A">
        <w:t>The</w:t>
      </w:r>
      <w:proofErr w:type="spellEnd"/>
      <w:r w:rsidRPr="006F393A">
        <w:t xml:space="preserve"> submission has also suggested that an alternative to 2 x 600mg ribavirin tablets for patients ≥ 75kg would be 6 x 200mg tablets, which would be permitted by the number of tablets available in the 200mg preparation (6 tablets x 28 days = 168).</w:t>
      </w:r>
    </w:p>
    <w:p w:rsidR="008016D3" w:rsidRPr="006F393A" w:rsidRDefault="008016D3" w:rsidP="008016D3">
      <w:pPr>
        <w:pStyle w:val="TableFooter"/>
        <w:ind w:left="709"/>
      </w:pPr>
      <w:r w:rsidRPr="006F393A">
        <w:tab/>
      </w:r>
      <w:r w:rsidRPr="006F393A">
        <w:rPr>
          <w:i/>
        </w:rPr>
        <w:t>Source: Compiled during the evaluation</w:t>
      </w:r>
      <w:r w:rsidRPr="006F393A">
        <w:t>.</w:t>
      </w:r>
    </w:p>
    <w:p w:rsidR="00E70436" w:rsidRPr="006F393A" w:rsidRDefault="00E70436" w:rsidP="00E70436">
      <w:pPr>
        <w:widowControl/>
        <w:rPr>
          <w:szCs w:val="22"/>
        </w:rPr>
      </w:pPr>
    </w:p>
    <w:p w:rsidR="00F65146" w:rsidRPr="006F393A" w:rsidRDefault="00E70436" w:rsidP="00F2740D">
      <w:pPr>
        <w:pStyle w:val="ListParagraph"/>
        <w:widowControl/>
        <w:numPr>
          <w:ilvl w:val="1"/>
          <w:numId w:val="1"/>
        </w:numPr>
        <w:rPr>
          <w:szCs w:val="22"/>
        </w:rPr>
      </w:pPr>
      <w:r w:rsidRPr="006F393A">
        <w:t>Patients</w:t>
      </w:r>
      <w:r w:rsidRPr="006F393A">
        <w:rPr>
          <w:szCs w:val="22"/>
        </w:rPr>
        <w:t xml:space="preserve"> who weigh less than 75kg will be prescribed the 168 x 200mg tablets of ribavirin that is co-packaged with </w:t>
      </w:r>
      <w:proofErr w:type="spellStart"/>
      <w:r w:rsidRPr="006F393A">
        <w:rPr>
          <w:szCs w:val="22"/>
        </w:rPr>
        <w:t>Viekira</w:t>
      </w:r>
      <w:proofErr w:type="spellEnd"/>
      <w:r w:rsidRPr="006F393A">
        <w:rPr>
          <w:szCs w:val="22"/>
        </w:rPr>
        <w:t xml:space="preserve"> PAK.</w:t>
      </w:r>
      <w:r w:rsidR="00BD66D9" w:rsidRPr="006F393A">
        <w:rPr>
          <w:szCs w:val="22"/>
        </w:rPr>
        <w:t xml:space="preserve"> </w:t>
      </w:r>
      <w:r w:rsidRPr="006F393A">
        <w:rPr>
          <w:szCs w:val="22"/>
        </w:rPr>
        <w:t>At the end of 28 days, there will still be 28 tablets remaining.</w:t>
      </w:r>
      <w:r w:rsidR="00BD66D9" w:rsidRPr="006F393A">
        <w:rPr>
          <w:szCs w:val="22"/>
        </w:rPr>
        <w:t xml:space="preserve"> </w:t>
      </w:r>
      <w:r w:rsidRPr="006F393A">
        <w:rPr>
          <w:szCs w:val="22"/>
        </w:rPr>
        <w:t>Patients should be made aware that there is a surplus of tablets.</w:t>
      </w:r>
      <w:r w:rsidR="00F2740D" w:rsidRPr="006F393A">
        <w:rPr>
          <w:szCs w:val="22"/>
        </w:rPr>
        <w:t xml:space="preserve"> </w:t>
      </w:r>
      <w:r w:rsidR="008016D3" w:rsidRPr="006F393A">
        <w:rPr>
          <w:szCs w:val="22"/>
        </w:rPr>
        <w:t xml:space="preserve">Of </w:t>
      </w:r>
      <w:r w:rsidR="008016D3" w:rsidRPr="006F393A">
        <w:t>note</w:t>
      </w:r>
      <w:r w:rsidR="008016D3" w:rsidRPr="006F393A">
        <w:rPr>
          <w:szCs w:val="22"/>
        </w:rPr>
        <w:t xml:space="preserve"> is that the proposed Product Information of </w:t>
      </w:r>
      <w:proofErr w:type="spellStart"/>
      <w:r w:rsidR="008016D3" w:rsidRPr="006F393A">
        <w:rPr>
          <w:szCs w:val="22"/>
        </w:rPr>
        <w:t>Viekira</w:t>
      </w:r>
      <w:proofErr w:type="spellEnd"/>
      <w:r w:rsidR="008016D3" w:rsidRPr="006F393A">
        <w:rPr>
          <w:szCs w:val="22"/>
        </w:rPr>
        <w:t xml:space="preserve"> PAK / </w:t>
      </w:r>
      <w:proofErr w:type="spellStart"/>
      <w:r w:rsidR="008016D3" w:rsidRPr="006F393A">
        <w:rPr>
          <w:szCs w:val="22"/>
        </w:rPr>
        <w:t>Viekira</w:t>
      </w:r>
      <w:proofErr w:type="spellEnd"/>
      <w:r w:rsidR="008016D3" w:rsidRPr="006F393A">
        <w:rPr>
          <w:szCs w:val="22"/>
        </w:rPr>
        <w:t xml:space="preserve"> PAK-RBV offers 4 different preparations of </w:t>
      </w:r>
      <w:proofErr w:type="spellStart"/>
      <w:r w:rsidR="008016D3" w:rsidRPr="006F393A">
        <w:rPr>
          <w:szCs w:val="22"/>
        </w:rPr>
        <w:t>Viekira</w:t>
      </w:r>
      <w:proofErr w:type="spellEnd"/>
      <w:r w:rsidR="008016D3" w:rsidRPr="006F393A">
        <w:rPr>
          <w:szCs w:val="22"/>
        </w:rPr>
        <w:t xml:space="preserve"> PAK-RBV</w:t>
      </w:r>
      <w:r w:rsidR="00606E8F" w:rsidRPr="006F393A">
        <w:rPr>
          <w:szCs w:val="22"/>
        </w:rPr>
        <w:t>. This permits</w:t>
      </w:r>
      <w:r w:rsidR="008016D3" w:rsidRPr="006F393A">
        <w:rPr>
          <w:szCs w:val="22"/>
        </w:rPr>
        <w:t xml:space="preserve"> treatment with fewe</w:t>
      </w:r>
      <w:r w:rsidR="00606E8F" w:rsidRPr="006F393A">
        <w:rPr>
          <w:szCs w:val="22"/>
        </w:rPr>
        <w:t>r ribavirin tablets and avoids</w:t>
      </w:r>
      <w:r w:rsidR="008016D3" w:rsidRPr="006F393A">
        <w:rPr>
          <w:szCs w:val="22"/>
        </w:rPr>
        <w:t xml:space="preserve"> issues with surplus tablets at the end of the 28 day period</w:t>
      </w:r>
      <w:r w:rsidR="00F65146" w:rsidRPr="006F393A">
        <w:rPr>
          <w:szCs w:val="22"/>
        </w:rPr>
        <w:t>.</w:t>
      </w:r>
      <w:r w:rsidR="00F65146" w:rsidRPr="006F393A">
        <w:rPr>
          <w:i/>
          <w:szCs w:val="22"/>
        </w:rPr>
        <w:t xml:space="preserve"> </w:t>
      </w:r>
      <w:r w:rsidR="00F65146" w:rsidRPr="006F393A">
        <w:rPr>
          <w:szCs w:val="22"/>
        </w:rPr>
        <w:t>The PSCR stated ‘Ribavirin is co-packaged and will be supplied in the first instance in bottles of 168 X 200mg tablets or 56 X 600mg tablets’.</w:t>
      </w:r>
      <w:r w:rsidR="00F2740D" w:rsidRPr="006F393A">
        <w:rPr>
          <w:szCs w:val="22"/>
        </w:rPr>
        <w:t xml:space="preserve"> </w:t>
      </w:r>
      <w:r w:rsidR="0060604A">
        <w:rPr>
          <w:szCs w:val="22"/>
        </w:rPr>
        <w:t>The PSCR</w:t>
      </w:r>
      <w:r w:rsidR="00F65146" w:rsidRPr="006F393A">
        <w:rPr>
          <w:szCs w:val="22"/>
        </w:rPr>
        <w:t xml:space="preserve"> </w:t>
      </w:r>
      <w:r w:rsidR="00E0413F" w:rsidRPr="006F393A">
        <w:rPr>
          <w:szCs w:val="22"/>
        </w:rPr>
        <w:t>provided information of patient dosing cards and as part of the sponsor’s Care patient support program, patients will receive individualised telephone calls</w:t>
      </w:r>
      <w:r w:rsidR="006F2DF5" w:rsidRPr="006F393A">
        <w:rPr>
          <w:szCs w:val="22"/>
        </w:rPr>
        <w:t>.</w:t>
      </w:r>
    </w:p>
    <w:p w:rsidR="009B0CB1" w:rsidRPr="006F393A" w:rsidRDefault="009B0CB1" w:rsidP="008016D3">
      <w:pPr>
        <w:pStyle w:val="ListParagraph"/>
        <w:widowControl/>
        <w:rPr>
          <w:szCs w:val="22"/>
        </w:rPr>
      </w:pPr>
    </w:p>
    <w:p w:rsidR="009B0CB1" w:rsidRPr="006F393A" w:rsidRDefault="009B0CB1" w:rsidP="00E775D1">
      <w:pPr>
        <w:pStyle w:val="ListParagraph"/>
        <w:widowControl/>
        <w:numPr>
          <w:ilvl w:val="1"/>
          <w:numId w:val="1"/>
        </w:numPr>
        <w:rPr>
          <w:szCs w:val="22"/>
        </w:rPr>
      </w:pPr>
      <w:r w:rsidRPr="006F393A">
        <w:rPr>
          <w:szCs w:val="22"/>
        </w:rPr>
        <w:t xml:space="preserve">The PBAC noted that the pre-PBAC response and the hearing </w:t>
      </w:r>
      <w:r w:rsidR="00CB2CDC" w:rsidRPr="006F393A">
        <w:rPr>
          <w:szCs w:val="22"/>
        </w:rPr>
        <w:t>that discussed that</w:t>
      </w:r>
      <w:r w:rsidRPr="006F393A">
        <w:rPr>
          <w:szCs w:val="22"/>
        </w:rPr>
        <w:t xml:space="preserve"> patient adherence with treatment</w:t>
      </w:r>
      <w:r w:rsidR="00CB2CDC" w:rsidRPr="006F393A">
        <w:rPr>
          <w:szCs w:val="22"/>
        </w:rPr>
        <w:t>s</w:t>
      </w:r>
      <w:r w:rsidRPr="006F393A">
        <w:rPr>
          <w:szCs w:val="22"/>
        </w:rPr>
        <w:t xml:space="preserve"> </w:t>
      </w:r>
      <w:r w:rsidR="0074265D" w:rsidRPr="006F393A">
        <w:rPr>
          <w:szCs w:val="22"/>
        </w:rPr>
        <w:t xml:space="preserve">requiring </w:t>
      </w:r>
      <w:r w:rsidRPr="006F393A">
        <w:rPr>
          <w:szCs w:val="22"/>
        </w:rPr>
        <w:t>a different number of tablets per day</w:t>
      </w:r>
      <w:r w:rsidR="007270E5" w:rsidRPr="006F393A">
        <w:rPr>
          <w:szCs w:val="22"/>
        </w:rPr>
        <w:t xml:space="preserve"> </w:t>
      </w:r>
      <w:r w:rsidR="006F393A">
        <w:rPr>
          <w:szCs w:val="22"/>
        </w:rPr>
        <w:t xml:space="preserve">would likely not be a major </w:t>
      </w:r>
      <w:r w:rsidR="00CB2CDC" w:rsidRPr="006F393A">
        <w:rPr>
          <w:szCs w:val="22"/>
        </w:rPr>
        <w:t xml:space="preserve">issue </w:t>
      </w:r>
      <w:r w:rsidR="007270E5" w:rsidRPr="006F393A">
        <w:rPr>
          <w:szCs w:val="22"/>
        </w:rPr>
        <w:t xml:space="preserve">given </w:t>
      </w:r>
      <w:r w:rsidR="007270E5" w:rsidRPr="006F393A">
        <w:t xml:space="preserve">the high treatment effectiveness and benefit of </w:t>
      </w:r>
      <w:r w:rsidR="00CB2CDC" w:rsidRPr="006F393A">
        <w:t>the all oral IFN-free treatments</w:t>
      </w:r>
      <w:r w:rsidR="007270E5" w:rsidRPr="006F393A">
        <w:t xml:space="preserve"> and the short treatment duration</w:t>
      </w:r>
      <w:r w:rsidRPr="006F393A">
        <w:rPr>
          <w:szCs w:val="22"/>
        </w:rPr>
        <w:t xml:space="preserve">. </w:t>
      </w:r>
    </w:p>
    <w:p w:rsidR="00E70436" w:rsidRDefault="00E70436" w:rsidP="00E70436">
      <w:pPr>
        <w:widowControl/>
        <w:rPr>
          <w:szCs w:val="22"/>
        </w:rPr>
      </w:pPr>
    </w:p>
    <w:p w:rsidR="00E70436" w:rsidRPr="006F393A" w:rsidRDefault="00E70436" w:rsidP="00E70436">
      <w:pPr>
        <w:pStyle w:val="Heading2"/>
        <w:rPr>
          <w:i/>
          <w:szCs w:val="22"/>
        </w:rPr>
      </w:pPr>
      <w:bookmarkStart w:id="21" w:name="_Toc419383697"/>
      <w:r w:rsidRPr="006F393A">
        <w:rPr>
          <w:i/>
        </w:rPr>
        <w:t>Financial Management – Risk Sharing Arrangements</w:t>
      </w:r>
      <w:bookmarkEnd w:id="21"/>
    </w:p>
    <w:p w:rsidR="00E70436" w:rsidRPr="006F393A" w:rsidRDefault="00E70436" w:rsidP="00E70436">
      <w:pPr>
        <w:widowControl/>
        <w:rPr>
          <w:szCs w:val="22"/>
        </w:rPr>
      </w:pPr>
    </w:p>
    <w:p w:rsidR="00611286" w:rsidRPr="006F393A" w:rsidRDefault="00611286" w:rsidP="00997EDA">
      <w:pPr>
        <w:pStyle w:val="ListParagraph"/>
        <w:widowControl/>
        <w:numPr>
          <w:ilvl w:val="1"/>
          <w:numId w:val="1"/>
        </w:numPr>
        <w:rPr>
          <w:szCs w:val="22"/>
        </w:rPr>
      </w:pPr>
      <w:r w:rsidRPr="006F393A">
        <w:t>The submission proposed a risk-sharing arrangement</w:t>
      </w:r>
      <w:r w:rsidR="000978AE" w:rsidRPr="006F393A">
        <w:t xml:space="preserve"> (RSA) </w:t>
      </w:r>
      <w:r w:rsidRPr="006F393A">
        <w:t xml:space="preserve">to address some of the uncertainties surrounding the uptake rate of the new all-oral interferon-free treatment regimens. The proposed </w:t>
      </w:r>
      <w:r w:rsidR="000978AE" w:rsidRPr="006F393A">
        <w:t>RSA</w:t>
      </w:r>
      <w:r w:rsidR="00F22176" w:rsidRPr="006F393A">
        <w:t xml:space="preserve"> </w:t>
      </w:r>
      <w:r w:rsidRPr="006F393A">
        <w:t xml:space="preserve">is based on </w:t>
      </w:r>
      <w:r w:rsidR="00C87712">
        <w:rPr>
          <w:noProof/>
          <w:color w:val="000000"/>
          <w:highlight w:val="black"/>
        </w:rPr>
        <w:t>''''''''''''''''' ''''''''''''''''' ''''''''''''''''''''''''''''''''' ''''''''' '''''''''''</w:t>
      </w:r>
      <w:r w:rsidR="002F1291" w:rsidRPr="006F393A">
        <w:t xml:space="preserve">. Acceptable rebates from the perspective of the sponsor and the Commonwealth will be negotiated </w:t>
      </w:r>
      <w:r w:rsidR="00C87712">
        <w:rPr>
          <w:noProof/>
          <w:color w:val="000000"/>
          <w:highlight w:val="black"/>
        </w:rPr>
        <w:t>'''''' ''''''''''' '''''''</w:t>
      </w:r>
      <w:r w:rsidRPr="006F393A">
        <w:t>.</w:t>
      </w:r>
    </w:p>
    <w:p w:rsidR="00E36055" w:rsidRPr="006F393A" w:rsidRDefault="00E36055">
      <w:pPr>
        <w:widowControl/>
        <w:jc w:val="left"/>
      </w:pPr>
    </w:p>
    <w:p w:rsidR="00124F6E" w:rsidRPr="006F393A" w:rsidRDefault="00353B29" w:rsidP="002F1291">
      <w:pPr>
        <w:pStyle w:val="TableHeader"/>
        <w:ind w:left="709"/>
      </w:pPr>
      <w:r w:rsidRPr="006F393A">
        <w:t>Table 1</w:t>
      </w:r>
      <w:r w:rsidR="007B6A5B" w:rsidRPr="006F393A">
        <w:t>7</w:t>
      </w:r>
      <w:r w:rsidRPr="006F393A">
        <w:t xml:space="preserve">: </w:t>
      </w:r>
      <w:r w:rsidR="00C87712">
        <w:rPr>
          <w:noProof/>
          <w:color w:val="000000"/>
          <w:highlight w:val="black"/>
        </w:rPr>
        <w:t>'''''''''''' '''''''''''''''''''''''''''' ''''''''''''''''''''</w:t>
      </w:r>
    </w:p>
    <w:tbl>
      <w:tblPr>
        <w:tblW w:w="4601"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54"/>
        <w:gridCol w:w="940"/>
        <w:gridCol w:w="1097"/>
        <w:gridCol w:w="1128"/>
        <w:gridCol w:w="1087"/>
        <w:gridCol w:w="1097"/>
        <w:gridCol w:w="1203"/>
        <w:gridCol w:w="1298"/>
      </w:tblGrid>
      <w:tr w:rsidR="00124F6E" w:rsidRPr="00844677" w:rsidTr="002F1291">
        <w:trPr>
          <w:tblHeader/>
        </w:trPr>
        <w:tc>
          <w:tcPr>
            <w:tcW w:w="394" w:type="pct"/>
            <w:vMerge w:val="restart"/>
            <w:shd w:val="clear" w:color="auto" w:fill="FFFFFF" w:themeFill="background1"/>
            <w:vAlign w:val="center"/>
          </w:tcPr>
          <w:p w:rsidR="00124F6E" w:rsidRPr="00C87712" w:rsidRDefault="00C87712" w:rsidP="00124F6E">
            <w:pPr>
              <w:rPr>
                <w:rStyle w:val="TableText1"/>
                <w:rFonts w:ascii="Arial Narrow" w:hAnsi="Arial Narrow"/>
                <w:b/>
                <w:highlight w:val="black"/>
              </w:rPr>
            </w:pPr>
            <w:r>
              <w:rPr>
                <w:rStyle w:val="TableText1"/>
                <w:rFonts w:ascii="Arial Narrow" w:hAnsi="Arial Narrow"/>
                <w:b/>
                <w:noProof/>
                <w:color w:val="000000"/>
                <w:highlight w:val="black"/>
              </w:rPr>
              <w:t>'''''''''</w:t>
            </w:r>
          </w:p>
        </w:tc>
        <w:tc>
          <w:tcPr>
            <w:tcW w:w="511" w:type="pct"/>
            <w:vMerge w:val="restart"/>
            <w:shd w:val="clear" w:color="auto" w:fill="FFFFFF" w:themeFill="background1"/>
            <w:vAlign w:val="center"/>
          </w:tcPr>
          <w:p w:rsidR="00124F6E" w:rsidRPr="00C87712" w:rsidRDefault="00C87712" w:rsidP="00124F6E">
            <w:pPr>
              <w:ind w:left="-57" w:right="-57"/>
              <w:jc w:val="center"/>
              <w:rPr>
                <w:rStyle w:val="TableText1"/>
                <w:rFonts w:ascii="Arial Narrow" w:hAnsi="Arial Narrow"/>
                <w:b/>
                <w:highlight w:val="black"/>
              </w:rPr>
            </w:pPr>
            <w:r>
              <w:rPr>
                <w:rStyle w:val="TableText1"/>
                <w:rFonts w:ascii="Arial Narrow" w:hAnsi="Arial Narrow"/>
                <w:b/>
                <w:noProof/>
                <w:color w:val="000000"/>
                <w:highlight w:val="black"/>
              </w:rPr>
              <w:t>''''''''''''''</w:t>
            </w:r>
          </w:p>
        </w:tc>
        <w:tc>
          <w:tcPr>
            <w:tcW w:w="3323" w:type="pct"/>
            <w:gridSpan w:val="5"/>
            <w:shd w:val="clear" w:color="auto" w:fill="FFFFFF" w:themeFill="background1"/>
            <w:vAlign w:val="center"/>
          </w:tcPr>
          <w:p w:rsidR="00124F6E" w:rsidRPr="00C87712" w:rsidRDefault="00C87712" w:rsidP="00124F6E">
            <w:pPr>
              <w:jc w:val="center"/>
              <w:rPr>
                <w:rStyle w:val="TableText1"/>
                <w:rFonts w:ascii="Arial Narrow" w:hAnsi="Arial Narrow"/>
                <w:b/>
                <w:highlight w:val="black"/>
              </w:rPr>
            </w:pPr>
            <w:r>
              <w:rPr>
                <w:rStyle w:val="TableText1"/>
                <w:rFonts w:ascii="Arial Narrow" w:hAnsi="Arial Narrow"/>
                <w:b/>
                <w:noProof/>
                <w:color w:val="000000"/>
                <w:highlight w:val="black"/>
              </w:rPr>
              <w:t>''''''''''''''''' ''''' ''''''''''''''''''</w:t>
            </w:r>
          </w:p>
        </w:tc>
        <w:tc>
          <w:tcPr>
            <w:tcW w:w="772" w:type="pct"/>
            <w:vMerge w:val="restart"/>
            <w:shd w:val="clear" w:color="auto" w:fill="FFFFFF" w:themeFill="background1"/>
          </w:tcPr>
          <w:p w:rsidR="00124F6E" w:rsidRPr="00C87712" w:rsidRDefault="00C87712" w:rsidP="00124F6E">
            <w:pPr>
              <w:jc w:val="center"/>
              <w:rPr>
                <w:rStyle w:val="TableText1"/>
                <w:rFonts w:ascii="Arial Narrow" w:hAnsi="Arial Narrow"/>
                <w:b/>
                <w:highlight w:val="black"/>
              </w:rPr>
            </w:pPr>
            <w:r>
              <w:rPr>
                <w:rStyle w:val="TableText1"/>
                <w:rFonts w:ascii="Arial Narrow" w:hAnsi="Arial Narrow"/>
                <w:b/>
                <w:noProof/>
                <w:color w:val="000000"/>
                <w:highlight w:val="black"/>
              </w:rPr>
              <w:t>''''''''''''''' '''' '''''''''''''''''' ''''' ''''''' ''''''''''''' ''''''''''''</w:t>
            </w:r>
          </w:p>
        </w:tc>
      </w:tr>
      <w:tr w:rsidR="00124F6E" w:rsidRPr="00844677" w:rsidTr="002F1291">
        <w:trPr>
          <w:tblHeader/>
        </w:trPr>
        <w:tc>
          <w:tcPr>
            <w:tcW w:w="394" w:type="pct"/>
            <w:vMerge/>
            <w:shd w:val="clear" w:color="auto" w:fill="FFFFFF" w:themeFill="background1"/>
            <w:vAlign w:val="center"/>
          </w:tcPr>
          <w:p w:rsidR="00124F6E" w:rsidRPr="00C87712" w:rsidRDefault="00124F6E" w:rsidP="00124F6E">
            <w:pPr>
              <w:rPr>
                <w:rStyle w:val="TableText1"/>
                <w:rFonts w:ascii="Arial Narrow" w:hAnsi="Arial Narrow"/>
                <w:b/>
              </w:rPr>
            </w:pPr>
          </w:p>
        </w:tc>
        <w:tc>
          <w:tcPr>
            <w:tcW w:w="511" w:type="pct"/>
            <w:vMerge/>
            <w:shd w:val="clear" w:color="auto" w:fill="FFFFFF" w:themeFill="background1"/>
            <w:vAlign w:val="center"/>
          </w:tcPr>
          <w:p w:rsidR="00124F6E" w:rsidRPr="00C87712" w:rsidRDefault="00124F6E" w:rsidP="00124F6E">
            <w:pPr>
              <w:jc w:val="center"/>
              <w:rPr>
                <w:rStyle w:val="TableText1"/>
                <w:rFonts w:ascii="Arial Narrow" w:hAnsi="Arial Narrow"/>
                <w:b/>
              </w:rPr>
            </w:pPr>
          </w:p>
        </w:tc>
        <w:tc>
          <w:tcPr>
            <w:tcW w:w="651" w:type="pct"/>
            <w:shd w:val="clear" w:color="auto" w:fill="FFFFFF" w:themeFill="background1"/>
            <w:vAlign w:val="center"/>
          </w:tcPr>
          <w:p w:rsidR="00124F6E" w:rsidRPr="00C87712" w:rsidRDefault="00C87712" w:rsidP="00124F6E">
            <w:pPr>
              <w:jc w:val="center"/>
              <w:rPr>
                <w:rStyle w:val="TableText1"/>
                <w:rFonts w:ascii="Arial Narrow" w:hAnsi="Arial Narrow"/>
                <w:b/>
                <w:highlight w:val="black"/>
              </w:rPr>
            </w:pPr>
            <w:r>
              <w:rPr>
                <w:rStyle w:val="TableText1"/>
                <w:rFonts w:ascii="Arial Narrow" w:hAnsi="Arial Narrow"/>
                <w:b/>
                <w:noProof/>
                <w:color w:val="000000"/>
                <w:highlight w:val="black"/>
              </w:rPr>
              <w:t>'''''''''' '''</w:t>
            </w:r>
          </w:p>
        </w:tc>
        <w:tc>
          <w:tcPr>
            <w:tcW w:w="651" w:type="pct"/>
            <w:shd w:val="clear" w:color="auto" w:fill="FFFFFF" w:themeFill="background1"/>
            <w:vAlign w:val="center"/>
          </w:tcPr>
          <w:p w:rsidR="00124F6E" w:rsidRPr="00C87712" w:rsidRDefault="00C87712" w:rsidP="00124F6E">
            <w:pPr>
              <w:jc w:val="center"/>
              <w:rPr>
                <w:rStyle w:val="TableText1"/>
                <w:rFonts w:ascii="Arial Narrow" w:hAnsi="Arial Narrow"/>
                <w:b/>
                <w:highlight w:val="black"/>
              </w:rPr>
            </w:pPr>
            <w:r>
              <w:rPr>
                <w:rStyle w:val="TableText1"/>
                <w:rFonts w:ascii="Arial Narrow" w:hAnsi="Arial Narrow"/>
                <w:b/>
                <w:noProof/>
                <w:color w:val="000000"/>
                <w:highlight w:val="black"/>
              </w:rPr>
              <w:t>''''''''' '''</w:t>
            </w:r>
          </w:p>
        </w:tc>
        <w:tc>
          <w:tcPr>
            <w:tcW w:w="651" w:type="pct"/>
            <w:shd w:val="clear" w:color="auto" w:fill="FFFFFF" w:themeFill="background1"/>
            <w:vAlign w:val="center"/>
          </w:tcPr>
          <w:p w:rsidR="00124F6E" w:rsidRPr="00C87712" w:rsidRDefault="00C87712" w:rsidP="00124F6E">
            <w:pPr>
              <w:jc w:val="center"/>
              <w:rPr>
                <w:rStyle w:val="TableText1"/>
                <w:rFonts w:ascii="Arial Narrow" w:hAnsi="Arial Narrow"/>
                <w:b/>
                <w:highlight w:val="black"/>
              </w:rPr>
            </w:pPr>
            <w:r>
              <w:rPr>
                <w:rStyle w:val="TableText1"/>
                <w:rFonts w:ascii="Arial Narrow" w:hAnsi="Arial Narrow"/>
                <w:b/>
                <w:noProof/>
                <w:color w:val="000000"/>
                <w:highlight w:val="black"/>
              </w:rPr>
              <w:t>''''''''' '''</w:t>
            </w:r>
          </w:p>
        </w:tc>
        <w:tc>
          <w:tcPr>
            <w:tcW w:w="652" w:type="pct"/>
            <w:shd w:val="clear" w:color="auto" w:fill="FFFFFF" w:themeFill="background1"/>
            <w:vAlign w:val="center"/>
          </w:tcPr>
          <w:p w:rsidR="00124F6E" w:rsidRPr="00C87712" w:rsidRDefault="00C87712" w:rsidP="00124F6E">
            <w:pPr>
              <w:jc w:val="center"/>
              <w:rPr>
                <w:rStyle w:val="TableText1"/>
                <w:rFonts w:ascii="Arial Narrow" w:hAnsi="Arial Narrow"/>
                <w:b/>
                <w:highlight w:val="black"/>
              </w:rPr>
            </w:pPr>
            <w:r>
              <w:rPr>
                <w:rStyle w:val="TableText1"/>
                <w:rFonts w:ascii="Arial Narrow" w:hAnsi="Arial Narrow"/>
                <w:b/>
                <w:noProof/>
                <w:color w:val="000000"/>
                <w:highlight w:val="black"/>
              </w:rPr>
              <w:t>''''''''' '''</w:t>
            </w:r>
          </w:p>
        </w:tc>
        <w:tc>
          <w:tcPr>
            <w:tcW w:w="718" w:type="pct"/>
            <w:shd w:val="clear" w:color="auto" w:fill="FFFFFF" w:themeFill="background1"/>
            <w:vAlign w:val="center"/>
          </w:tcPr>
          <w:p w:rsidR="00124F6E" w:rsidRPr="00C87712" w:rsidRDefault="00C87712" w:rsidP="00124F6E">
            <w:pPr>
              <w:jc w:val="center"/>
              <w:rPr>
                <w:rStyle w:val="TableText1"/>
                <w:rFonts w:ascii="Arial Narrow" w:hAnsi="Arial Narrow"/>
                <w:b/>
                <w:highlight w:val="black"/>
              </w:rPr>
            </w:pPr>
            <w:r>
              <w:rPr>
                <w:rStyle w:val="TableText1"/>
                <w:rFonts w:ascii="Arial Narrow" w:hAnsi="Arial Narrow"/>
                <w:b/>
                <w:noProof/>
                <w:color w:val="000000"/>
                <w:highlight w:val="black"/>
              </w:rPr>
              <w:t>'''''''''' '''</w:t>
            </w:r>
          </w:p>
        </w:tc>
        <w:tc>
          <w:tcPr>
            <w:tcW w:w="772" w:type="pct"/>
            <w:vMerge/>
            <w:shd w:val="clear" w:color="auto" w:fill="FFFFFF" w:themeFill="background1"/>
          </w:tcPr>
          <w:p w:rsidR="00124F6E" w:rsidRPr="00C87712" w:rsidRDefault="00124F6E" w:rsidP="00124F6E">
            <w:pPr>
              <w:jc w:val="center"/>
              <w:rPr>
                <w:rStyle w:val="TableText1"/>
                <w:rFonts w:ascii="Arial Narrow" w:hAnsi="Arial Narrow"/>
                <w:b/>
              </w:rPr>
            </w:pPr>
          </w:p>
        </w:tc>
      </w:tr>
      <w:tr w:rsidR="00124F6E" w:rsidRPr="00844677" w:rsidTr="002F1291">
        <w:trPr>
          <w:trHeight w:val="104"/>
        </w:trPr>
        <w:tc>
          <w:tcPr>
            <w:tcW w:w="394" w:type="pct"/>
            <w:shd w:val="clear" w:color="auto" w:fill="FFFFFF" w:themeFill="background1"/>
            <w:vAlign w:val="center"/>
          </w:tcPr>
          <w:p w:rsidR="00124F6E" w:rsidRPr="00C87712" w:rsidRDefault="00C87712" w:rsidP="00124F6E">
            <w:pPr>
              <w:rPr>
                <w:rFonts w:ascii="Arial Narrow" w:hAnsi="Arial Narrow"/>
                <w:sz w:val="20"/>
                <w:highlight w:val="black"/>
              </w:rPr>
            </w:pPr>
            <w:r>
              <w:rPr>
                <w:rFonts w:ascii="Arial Narrow" w:hAnsi="Arial Narrow"/>
                <w:noProof/>
                <w:color w:val="000000"/>
                <w:sz w:val="20"/>
                <w:highlight w:val="black"/>
              </w:rPr>
              <w:t>''''</w:t>
            </w:r>
          </w:p>
        </w:tc>
        <w:tc>
          <w:tcPr>
            <w:tcW w:w="511" w:type="pct"/>
            <w:shd w:val="clear" w:color="auto" w:fill="FFFFFF" w:themeFill="background1"/>
            <w:vAlign w:val="center"/>
          </w:tcPr>
          <w:p w:rsidR="00124F6E" w:rsidRPr="00C87712" w:rsidRDefault="00C87712" w:rsidP="00124F6E">
            <w:pPr>
              <w:jc w:val="center"/>
              <w:rPr>
                <w:rFonts w:ascii="Arial Narrow" w:hAnsi="Arial Narrow"/>
                <w:sz w:val="20"/>
                <w:highlight w:val="black"/>
              </w:rPr>
            </w:pPr>
            <w:r>
              <w:rPr>
                <w:rFonts w:ascii="Arial Narrow" w:hAnsi="Arial Narrow"/>
                <w:noProof/>
                <w:color w:val="000000"/>
                <w:sz w:val="20"/>
                <w:highlight w:val="black"/>
              </w:rPr>
              <w:t>'''''''''''''''''''''''</w:t>
            </w:r>
          </w:p>
        </w:tc>
        <w:tc>
          <w:tcPr>
            <w:tcW w:w="651" w:type="pct"/>
            <w:shd w:val="clear" w:color="auto" w:fill="FFFFFF" w:themeFill="background1"/>
            <w:vAlign w:val="center"/>
          </w:tcPr>
          <w:p w:rsidR="00124F6E" w:rsidRPr="00C87712" w:rsidRDefault="00C87712" w:rsidP="00124F6E">
            <w:pPr>
              <w:jc w:val="center"/>
              <w:rPr>
                <w:rFonts w:ascii="Arial Narrow" w:hAnsi="Arial Narrow"/>
                <w:sz w:val="20"/>
                <w:highlight w:val="black"/>
              </w:rPr>
            </w:pPr>
            <w:r>
              <w:rPr>
                <w:rFonts w:ascii="Arial Narrow" w:hAnsi="Arial Narrow"/>
                <w:noProof/>
                <w:color w:val="000000"/>
                <w:sz w:val="20"/>
                <w:highlight w:val="black"/>
              </w:rPr>
              <w:t>''''''''''''''''''''</w:t>
            </w:r>
          </w:p>
        </w:tc>
        <w:tc>
          <w:tcPr>
            <w:tcW w:w="651" w:type="pct"/>
            <w:shd w:val="clear" w:color="auto" w:fill="FFFFFF" w:themeFill="background1"/>
            <w:vAlign w:val="center"/>
          </w:tcPr>
          <w:p w:rsidR="00124F6E" w:rsidRPr="00C87712" w:rsidRDefault="00C87712" w:rsidP="00124F6E">
            <w:pPr>
              <w:jc w:val="center"/>
              <w:rPr>
                <w:rFonts w:ascii="Arial Narrow" w:hAnsi="Arial Narrow"/>
                <w:sz w:val="20"/>
                <w:highlight w:val="black"/>
              </w:rPr>
            </w:pPr>
            <w:r>
              <w:rPr>
                <w:rFonts w:ascii="Arial Narrow" w:hAnsi="Arial Narrow"/>
                <w:noProof/>
                <w:color w:val="000000"/>
                <w:sz w:val="20"/>
                <w:highlight w:val="black"/>
              </w:rPr>
              <w:t>''''''''''''''''''''</w:t>
            </w:r>
          </w:p>
        </w:tc>
        <w:tc>
          <w:tcPr>
            <w:tcW w:w="651" w:type="pct"/>
            <w:shd w:val="clear" w:color="auto" w:fill="FFFFFF" w:themeFill="background1"/>
            <w:vAlign w:val="center"/>
          </w:tcPr>
          <w:p w:rsidR="00124F6E" w:rsidRPr="00C87712" w:rsidRDefault="00C87712" w:rsidP="00124F6E">
            <w:pPr>
              <w:jc w:val="center"/>
              <w:rPr>
                <w:rFonts w:ascii="Arial Narrow" w:hAnsi="Arial Narrow"/>
                <w:sz w:val="20"/>
                <w:highlight w:val="black"/>
              </w:rPr>
            </w:pPr>
            <w:r>
              <w:rPr>
                <w:rFonts w:ascii="Arial Narrow" w:hAnsi="Arial Narrow"/>
                <w:noProof/>
                <w:color w:val="000000"/>
                <w:sz w:val="20"/>
                <w:highlight w:val="black"/>
              </w:rPr>
              <w:t>'''''''''''''''''</w:t>
            </w:r>
          </w:p>
        </w:tc>
        <w:tc>
          <w:tcPr>
            <w:tcW w:w="652" w:type="pct"/>
            <w:shd w:val="clear" w:color="auto" w:fill="FFFFFF" w:themeFill="background1"/>
            <w:vAlign w:val="center"/>
          </w:tcPr>
          <w:p w:rsidR="00124F6E" w:rsidRPr="00C87712" w:rsidRDefault="00C87712" w:rsidP="00124F6E">
            <w:pPr>
              <w:jc w:val="center"/>
              <w:rPr>
                <w:rFonts w:ascii="Arial Narrow" w:hAnsi="Arial Narrow"/>
                <w:sz w:val="20"/>
                <w:highlight w:val="black"/>
              </w:rPr>
            </w:pPr>
            <w:r>
              <w:rPr>
                <w:rFonts w:ascii="Arial Narrow" w:hAnsi="Arial Narrow"/>
                <w:noProof/>
                <w:color w:val="000000"/>
                <w:sz w:val="20"/>
                <w:highlight w:val="black"/>
              </w:rPr>
              <w:t>''''''''''''''''</w:t>
            </w:r>
          </w:p>
        </w:tc>
        <w:tc>
          <w:tcPr>
            <w:tcW w:w="718" w:type="pct"/>
            <w:shd w:val="clear" w:color="auto" w:fill="FFFFFF" w:themeFill="background1"/>
            <w:vAlign w:val="center"/>
          </w:tcPr>
          <w:p w:rsidR="00124F6E" w:rsidRPr="00C87712" w:rsidRDefault="00C87712" w:rsidP="00124F6E">
            <w:pPr>
              <w:jc w:val="center"/>
              <w:rPr>
                <w:rFonts w:ascii="Arial Narrow" w:hAnsi="Arial Narrow"/>
                <w:sz w:val="20"/>
                <w:highlight w:val="black"/>
              </w:rPr>
            </w:pPr>
            <w:r>
              <w:rPr>
                <w:rFonts w:ascii="Arial Narrow" w:hAnsi="Arial Narrow"/>
                <w:noProof/>
                <w:color w:val="000000"/>
                <w:sz w:val="20"/>
                <w:highlight w:val="black"/>
              </w:rPr>
              <w:t>'''''''''''''''''</w:t>
            </w:r>
          </w:p>
        </w:tc>
        <w:tc>
          <w:tcPr>
            <w:tcW w:w="772" w:type="pct"/>
            <w:shd w:val="clear" w:color="auto" w:fill="FFFFFF" w:themeFill="background1"/>
          </w:tcPr>
          <w:p w:rsidR="00124F6E" w:rsidRPr="00C87712" w:rsidRDefault="00C87712" w:rsidP="00124F6E">
            <w:pPr>
              <w:jc w:val="center"/>
              <w:rPr>
                <w:rFonts w:ascii="Arial Narrow" w:hAnsi="Arial Narrow"/>
                <w:sz w:val="20"/>
                <w:highlight w:val="black"/>
              </w:rPr>
            </w:pPr>
            <w:r>
              <w:rPr>
                <w:rFonts w:ascii="Arial Narrow" w:hAnsi="Arial Narrow"/>
                <w:noProof/>
                <w:color w:val="000000"/>
                <w:sz w:val="20"/>
                <w:highlight w:val="black"/>
              </w:rPr>
              <w:t>'''''''''''''''''''''''' '''''''''''''''' ''''''''''''''''</w:t>
            </w:r>
          </w:p>
        </w:tc>
      </w:tr>
      <w:tr w:rsidR="00124F6E" w:rsidRPr="00844677" w:rsidTr="002F1291">
        <w:trPr>
          <w:trHeight w:val="104"/>
        </w:trPr>
        <w:tc>
          <w:tcPr>
            <w:tcW w:w="394" w:type="pct"/>
            <w:shd w:val="clear" w:color="auto" w:fill="FFFFFF" w:themeFill="background1"/>
            <w:vAlign w:val="center"/>
          </w:tcPr>
          <w:p w:rsidR="00124F6E" w:rsidRPr="00C87712" w:rsidRDefault="00C87712" w:rsidP="00124F6E">
            <w:pPr>
              <w:rPr>
                <w:rFonts w:ascii="Arial Narrow" w:hAnsi="Arial Narrow"/>
                <w:sz w:val="20"/>
                <w:highlight w:val="black"/>
              </w:rPr>
            </w:pPr>
            <w:r>
              <w:rPr>
                <w:rFonts w:ascii="Arial Narrow" w:hAnsi="Arial Narrow"/>
                <w:noProof/>
                <w:color w:val="000000"/>
                <w:sz w:val="20"/>
                <w:highlight w:val="black"/>
              </w:rPr>
              <w:t>''''</w:t>
            </w:r>
          </w:p>
        </w:tc>
        <w:tc>
          <w:tcPr>
            <w:tcW w:w="511" w:type="pct"/>
            <w:shd w:val="clear" w:color="auto" w:fill="FFFFFF" w:themeFill="background1"/>
            <w:vAlign w:val="bottom"/>
          </w:tcPr>
          <w:p w:rsidR="00124F6E" w:rsidRPr="00C87712" w:rsidRDefault="00C87712" w:rsidP="00124F6E">
            <w:pPr>
              <w:jc w:val="center"/>
              <w:rPr>
                <w:rFonts w:ascii="Arial Narrow" w:hAnsi="Arial Narrow"/>
                <w:sz w:val="20"/>
                <w:highlight w:val="black"/>
              </w:rPr>
            </w:pPr>
            <w:r>
              <w:rPr>
                <w:rFonts w:ascii="Arial Narrow" w:hAnsi="Arial Narrow"/>
                <w:noProof/>
                <w:color w:val="000000"/>
                <w:sz w:val="20"/>
                <w:highlight w:val="black"/>
              </w:rPr>
              <w:t>'''''''''' ''''''''</w:t>
            </w:r>
          </w:p>
        </w:tc>
        <w:tc>
          <w:tcPr>
            <w:tcW w:w="651" w:type="pct"/>
            <w:shd w:val="clear" w:color="auto" w:fill="FFFFFF" w:themeFill="background1"/>
            <w:vAlign w:val="center"/>
          </w:tcPr>
          <w:p w:rsidR="00124F6E" w:rsidRPr="00C87712" w:rsidRDefault="00C87712" w:rsidP="00124F6E">
            <w:pPr>
              <w:jc w:val="center"/>
              <w:rPr>
                <w:rFonts w:ascii="Arial Narrow" w:hAnsi="Arial Narrow"/>
                <w:sz w:val="20"/>
                <w:highlight w:val="black"/>
              </w:rPr>
            </w:pPr>
            <w:r>
              <w:rPr>
                <w:rFonts w:ascii="Arial Narrow" w:hAnsi="Arial Narrow"/>
                <w:noProof/>
                <w:color w:val="000000"/>
                <w:sz w:val="20"/>
                <w:highlight w:val="black"/>
              </w:rPr>
              <w:t>''''''''''''''''''''''''''</w:t>
            </w:r>
          </w:p>
        </w:tc>
        <w:tc>
          <w:tcPr>
            <w:tcW w:w="651" w:type="pct"/>
            <w:shd w:val="clear" w:color="auto" w:fill="FFFFFF" w:themeFill="background1"/>
            <w:vAlign w:val="center"/>
          </w:tcPr>
          <w:p w:rsidR="00124F6E" w:rsidRPr="00C87712" w:rsidRDefault="00C87712" w:rsidP="00124F6E">
            <w:pPr>
              <w:jc w:val="center"/>
              <w:rPr>
                <w:rFonts w:ascii="Arial Narrow" w:hAnsi="Arial Narrow"/>
                <w:sz w:val="20"/>
                <w:highlight w:val="black"/>
              </w:rPr>
            </w:pPr>
            <w:r>
              <w:rPr>
                <w:rFonts w:ascii="Arial Narrow" w:hAnsi="Arial Narrow"/>
                <w:noProof/>
                <w:color w:val="000000"/>
                <w:sz w:val="20"/>
                <w:highlight w:val="black"/>
              </w:rPr>
              <w:t>'''''''''''''''''''''''''''''</w:t>
            </w:r>
          </w:p>
        </w:tc>
        <w:tc>
          <w:tcPr>
            <w:tcW w:w="651" w:type="pct"/>
            <w:shd w:val="clear" w:color="auto" w:fill="FFFFFF" w:themeFill="background1"/>
            <w:vAlign w:val="center"/>
          </w:tcPr>
          <w:p w:rsidR="00124F6E" w:rsidRPr="00C87712" w:rsidRDefault="00C87712" w:rsidP="00124F6E">
            <w:pPr>
              <w:jc w:val="center"/>
              <w:rPr>
                <w:rFonts w:ascii="Arial Narrow" w:hAnsi="Arial Narrow"/>
                <w:sz w:val="20"/>
                <w:highlight w:val="black"/>
              </w:rPr>
            </w:pPr>
            <w:r>
              <w:rPr>
                <w:rFonts w:ascii="Arial Narrow" w:hAnsi="Arial Narrow"/>
                <w:noProof/>
                <w:color w:val="000000"/>
                <w:sz w:val="20"/>
                <w:highlight w:val="black"/>
              </w:rPr>
              <w:t>'''''''''''''''''''''''''''</w:t>
            </w:r>
          </w:p>
        </w:tc>
        <w:tc>
          <w:tcPr>
            <w:tcW w:w="652" w:type="pct"/>
            <w:shd w:val="clear" w:color="auto" w:fill="FFFFFF" w:themeFill="background1"/>
            <w:vAlign w:val="center"/>
          </w:tcPr>
          <w:p w:rsidR="00124F6E" w:rsidRPr="00C87712" w:rsidRDefault="00C87712" w:rsidP="00124F6E">
            <w:pPr>
              <w:jc w:val="center"/>
              <w:rPr>
                <w:rFonts w:ascii="Arial Narrow" w:hAnsi="Arial Narrow"/>
                <w:sz w:val="20"/>
                <w:highlight w:val="black"/>
              </w:rPr>
            </w:pPr>
            <w:r>
              <w:rPr>
                <w:rFonts w:ascii="Arial Narrow" w:hAnsi="Arial Narrow"/>
                <w:noProof/>
                <w:color w:val="000000"/>
                <w:sz w:val="20"/>
                <w:highlight w:val="black"/>
              </w:rPr>
              <w:t>'''''''''''''''''''''''''</w:t>
            </w:r>
          </w:p>
        </w:tc>
        <w:tc>
          <w:tcPr>
            <w:tcW w:w="718" w:type="pct"/>
            <w:shd w:val="clear" w:color="auto" w:fill="FFFFFF" w:themeFill="background1"/>
            <w:vAlign w:val="center"/>
          </w:tcPr>
          <w:p w:rsidR="00124F6E" w:rsidRPr="00C87712" w:rsidRDefault="00C87712" w:rsidP="00124F6E">
            <w:pPr>
              <w:jc w:val="center"/>
              <w:rPr>
                <w:rFonts w:ascii="Arial Narrow" w:hAnsi="Arial Narrow"/>
                <w:sz w:val="20"/>
                <w:highlight w:val="black"/>
              </w:rPr>
            </w:pPr>
            <w:r>
              <w:rPr>
                <w:rFonts w:ascii="Arial Narrow" w:hAnsi="Arial Narrow"/>
                <w:noProof/>
                <w:color w:val="000000"/>
                <w:sz w:val="20"/>
                <w:highlight w:val="black"/>
              </w:rPr>
              <w:t>'''''''''''''''''''''''''''''''</w:t>
            </w:r>
          </w:p>
        </w:tc>
        <w:tc>
          <w:tcPr>
            <w:tcW w:w="772" w:type="pct"/>
            <w:shd w:val="clear" w:color="auto" w:fill="FFFFFF" w:themeFill="background1"/>
          </w:tcPr>
          <w:p w:rsidR="00124F6E" w:rsidRPr="00C87712" w:rsidRDefault="00C87712" w:rsidP="00124F6E">
            <w:pPr>
              <w:jc w:val="center"/>
              <w:rPr>
                <w:rFonts w:ascii="Arial Narrow" w:hAnsi="Arial Narrow"/>
                <w:sz w:val="20"/>
                <w:highlight w:val="black"/>
              </w:rPr>
            </w:pPr>
            <w:r>
              <w:rPr>
                <w:rFonts w:ascii="Arial Narrow" w:hAnsi="Arial Narrow"/>
                <w:noProof/>
                <w:color w:val="000000"/>
                <w:sz w:val="20"/>
                <w:highlight w:val="black"/>
              </w:rPr>
              <w:t>'''''''''''''''''' '''''''' '''''''' ''''''''''''''''' '''' '''''''''' ''''</w:t>
            </w:r>
          </w:p>
        </w:tc>
      </w:tr>
      <w:tr w:rsidR="00124F6E" w:rsidRPr="00844677" w:rsidTr="002F1291">
        <w:trPr>
          <w:trHeight w:val="104"/>
        </w:trPr>
        <w:tc>
          <w:tcPr>
            <w:tcW w:w="394" w:type="pct"/>
            <w:shd w:val="clear" w:color="auto" w:fill="FFFFFF" w:themeFill="background1"/>
            <w:vAlign w:val="center"/>
          </w:tcPr>
          <w:p w:rsidR="00124F6E" w:rsidRPr="00C87712" w:rsidRDefault="00C87712" w:rsidP="00124F6E">
            <w:pPr>
              <w:rPr>
                <w:rFonts w:ascii="Arial Narrow" w:hAnsi="Arial Narrow"/>
                <w:sz w:val="20"/>
                <w:highlight w:val="black"/>
              </w:rPr>
            </w:pPr>
            <w:r>
              <w:rPr>
                <w:rFonts w:ascii="Arial Narrow" w:hAnsi="Arial Narrow"/>
                <w:noProof/>
                <w:color w:val="000000"/>
                <w:sz w:val="20"/>
                <w:highlight w:val="black"/>
              </w:rPr>
              <w:t>''''</w:t>
            </w:r>
          </w:p>
        </w:tc>
        <w:tc>
          <w:tcPr>
            <w:tcW w:w="511" w:type="pct"/>
            <w:shd w:val="clear" w:color="auto" w:fill="FFFFFF" w:themeFill="background1"/>
            <w:vAlign w:val="bottom"/>
          </w:tcPr>
          <w:p w:rsidR="00124F6E" w:rsidRPr="00C87712" w:rsidRDefault="00C87712" w:rsidP="004801B0">
            <w:pPr>
              <w:jc w:val="center"/>
              <w:rPr>
                <w:rFonts w:ascii="Arial Narrow" w:hAnsi="Arial Narrow"/>
                <w:sz w:val="20"/>
                <w:highlight w:val="black"/>
              </w:rPr>
            </w:pPr>
            <w:r>
              <w:rPr>
                <w:rFonts w:ascii="Arial Narrow" w:hAnsi="Arial Narrow"/>
                <w:noProof/>
                <w:color w:val="000000"/>
                <w:sz w:val="20"/>
                <w:highlight w:val="black"/>
              </w:rPr>
              <w:t>''''''''' ''''''''</w:t>
            </w:r>
          </w:p>
        </w:tc>
        <w:tc>
          <w:tcPr>
            <w:tcW w:w="651" w:type="pct"/>
            <w:shd w:val="clear" w:color="auto" w:fill="FFFFFF" w:themeFill="background1"/>
            <w:vAlign w:val="center"/>
          </w:tcPr>
          <w:p w:rsidR="00124F6E" w:rsidRPr="00C87712" w:rsidRDefault="00C87712" w:rsidP="00124F6E">
            <w:pPr>
              <w:jc w:val="center"/>
              <w:rPr>
                <w:rFonts w:ascii="Arial Narrow" w:hAnsi="Arial Narrow"/>
                <w:sz w:val="20"/>
                <w:highlight w:val="black"/>
              </w:rPr>
            </w:pPr>
            <w:r>
              <w:rPr>
                <w:rFonts w:ascii="Arial Narrow" w:hAnsi="Arial Narrow"/>
                <w:noProof/>
                <w:color w:val="000000"/>
                <w:sz w:val="20"/>
                <w:highlight w:val="black"/>
              </w:rPr>
              <w:t>''''''''''''''''''''''''''''</w:t>
            </w:r>
          </w:p>
        </w:tc>
        <w:tc>
          <w:tcPr>
            <w:tcW w:w="651" w:type="pct"/>
            <w:shd w:val="clear" w:color="auto" w:fill="FFFFFF" w:themeFill="background1"/>
            <w:vAlign w:val="center"/>
          </w:tcPr>
          <w:p w:rsidR="00124F6E" w:rsidRPr="00C87712" w:rsidRDefault="00C87712" w:rsidP="00124F6E">
            <w:pPr>
              <w:jc w:val="center"/>
              <w:rPr>
                <w:rFonts w:ascii="Arial Narrow" w:hAnsi="Arial Narrow"/>
                <w:sz w:val="20"/>
                <w:highlight w:val="black"/>
              </w:rPr>
            </w:pPr>
            <w:r>
              <w:rPr>
                <w:rFonts w:ascii="Arial Narrow" w:hAnsi="Arial Narrow"/>
                <w:noProof/>
                <w:color w:val="000000"/>
                <w:sz w:val="20"/>
                <w:highlight w:val="black"/>
              </w:rPr>
              <w:t>''''''''''''''''''''''''''''</w:t>
            </w:r>
          </w:p>
        </w:tc>
        <w:tc>
          <w:tcPr>
            <w:tcW w:w="651" w:type="pct"/>
            <w:shd w:val="clear" w:color="auto" w:fill="FFFFFF" w:themeFill="background1"/>
            <w:vAlign w:val="center"/>
          </w:tcPr>
          <w:p w:rsidR="00124F6E" w:rsidRPr="00C87712" w:rsidRDefault="00C87712" w:rsidP="00124F6E">
            <w:pPr>
              <w:jc w:val="center"/>
              <w:rPr>
                <w:rFonts w:ascii="Arial Narrow" w:hAnsi="Arial Narrow"/>
                <w:sz w:val="20"/>
                <w:highlight w:val="black"/>
              </w:rPr>
            </w:pPr>
            <w:r>
              <w:rPr>
                <w:rFonts w:ascii="Arial Narrow" w:hAnsi="Arial Narrow"/>
                <w:noProof/>
                <w:color w:val="000000"/>
                <w:sz w:val="20"/>
                <w:highlight w:val="black"/>
              </w:rPr>
              <w:t>'''''''''''''''''''''''''''</w:t>
            </w:r>
          </w:p>
        </w:tc>
        <w:tc>
          <w:tcPr>
            <w:tcW w:w="652" w:type="pct"/>
            <w:shd w:val="clear" w:color="auto" w:fill="FFFFFF" w:themeFill="background1"/>
            <w:vAlign w:val="center"/>
          </w:tcPr>
          <w:p w:rsidR="00124F6E" w:rsidRPr="00C87712" w:rsidRDefault="00C87712" w:rsidP="00124F6E">
            <w:pPr>
              <w:jc w:val="center"/>
              <w:rPr>
                <w:rFonts w:ascii="Arial Narrow" w:hAnsi="Arial Narrow"/>
                <w:sz w:val="20"/>
                <w:highlight w:val="black"/>
              </w:rPr>
            </w:pPr>
            <w:r>
              <w:rPr>
                <w:rFonts w:ascii="Arial Narrow" w:hAnsi="Arial Narrow"/>
                <w:noProof/>
                <w:color w:val="000000"/>
                <w:sz w:val="20"/>
                <w:highlight w:val="black"/>
              </w:rPr>
              <w:t>''''''''''''''''''''''''''''</w:t>
            </w:r>
          </w:p>
        </w:tc>
        <w:tc>
          <w:tcPr>
            <w:tcW w:w="718" w:type="pct"/>
            <w:shd w:val="clear" w:color="auto" w:fill="FFFFFF" w:themeFill="background1"/>
            <w:vAlign w:val="center"/>
          </w:tcPr>
          <w:p w:rsidR="00124F6E" w:rsidRPr="00C87712" w:rsidRDefault="00C87712" w:rsidP="00124F6E">
            <w:pPr>
              <w:jc w:val="center"/>
              <w:rPr>
                <w:rFonts w:ascii="Arial Narrow" w:hAnsi="Arial Narrow"/>
                <w:sz w:val="20"/>
                <w:highlight w:val="black"/>
              </w:rPr>
            </w:pPr>
            <w:r>
              <w:rPr>
                <w:rFonts w:ascii="Arial Narrow" w:hAnsi="Arial Narrow"/>
                <w:noProof/>
                <w:color w:val="000000"/>
                <w:sz w:val="20"/>
                <w:highlight w:val="black"/>
              </w:rPr>
              <w:t>''''''''''''''''''''''''''''''</w:t>
            </w:r>
          </w:p>
        </w:tc>
        <w:tc>
          <w:tcPr>
            <w:tcW w:w="772" w:type="pct"/>
            <w:shd w:val="clear" w:color="auto" w:fill="FFFFFF" w:themeFill="background1"/>
          </w:tcPr>
          <w:p w:rsidR="00124F6E" w:rsidRPr="00C87712" w:rsidRDefault="00C87712" w:rsidP="00124F6E">
            <w:pPr>
              <w:jc w:val="center"/>
              <w:rPr>
                <w:rFonts w:ascii="Arial Narrow" w:hAnsi="Arial Narrow"/>
                <w:sz w:val="20"/>
                <w:highlight w:val="black"/>
              </w:rPr>
            </w:pPr>
            <w:r>
              <w:rPr>
                <w:rFonts w:ascii="Arial Narrow" w:hAnsi="Arial Narrow"/>
                <w:noProof/>
                <w:color w:val="000000"/>
                <w:sz w:val="20"/>
                <w:highlight w:val="black"/>
              </w:rPr>
              <w:t>'''''''' ''''''''''''''''''' '''''''''''''''''''''' '''' ''''''''''''''''' ''''</w:t>
            </w:r>
            <w:r w:rsidRPr="00C87712">
              <w:rPr>
                <w:noProof/>
                <w:color w:val="000000"/>
                <w:highlight w:val="black"/>
              </w:rPr>
              <w:t xml:space="preserve"> </w:t>
            </w:r>
          </w:p>
        </w:tc>
      </w:tr>
      <w:tr w:rsidR="00124F6E" w:rsidRPr="00844677" w:rsidTr="002F1291">
        <w:trPr>
          <w:trHeight w:val="104"/>
        </w:trPr>
        <w:tc>
          <w:tcPr>
            <w:tcW w:w="394" w:type="pct"/>
            <w:shd w:val="clear" w:color="auto" w:fill="FFFFFF" w:themeFill="background1"/>
            <w:vAlign w:val="center"/>
          </w:tcPr>
          <w:p w:rsidR="00124F6E" w:rsidRPr="00C87712" w:rsidRDefault="00C87712" w:rsidP="00124F6E">
            <w:pPr>
              <w:rPr>
                <w:rFonts w:ascii="Arial Narrow" w:hAnsi="Arial Narrow"/>
                <w:sz w:val="20"/>
                <w:highlight w:val="black"/>
              </w:rPr>
            </w:pPr>
            <w:r>
              <w:rPr>
                <w:rFonts w:ascii="Arial Narrow" w:hAnsi="Arial Narrow"/>
                <w:noProof/>
                <w:color w:val="000000"/>
                <w:sz w:val="20"/>
                <w:highlight w:val="black"/>
              </w:rPr>
              <w:t>'''</w:t>
            </w:r>
          </w:p>
        </w:tc>
        <w:tc>
          <w:tcPr>
            <w:tcW w:w="511" w:type="pct"/>
            <w:shd w:val="clear" w:color="auto" w:fill="FFFFFF" w:themeFill="background1"/>
            <w:vAlign w:val="bottom"/>
          </w:tcPr>
          <w:p w:rsidR="00124F6E" w:rsidRPr="00C87712" w:rsidRDefault="00C87712" w:rsidP="004801B0">
            <w:pPr>
              <w:jc w:val="center"/>
              <w:rPr>
                <w:rFonts w:ascii="Arial Narrow" w:hAnsi="Arial Narrow"/>
                <w:sz w:val="20"/>
                <w:highlight w:val="black"/>
              </w:rPr>
            </w:pPr>
            <w:r>
              <w:rPr>
                <w:rFonts w:ascii="Arial Narrow" w:hAnsi="Arial Narrow"/>
                <w:noProof/>
                <w:color w:val="000000"/>
                <w:sz w:val="20"/>
                <w:highlight w:val="black"/>
              </w:rPr>
              <w:t>''''''''' '''''''</w:t>
            </w:r>
          </w:p>
        </w:tc>
        <w:tc>
          <w:tcPr>
            <w:tcW w:w="651" w:type="pct"/>
            <w:shd w:val="clear" w:color="auto" w:fill="FFFFFF" w:themeFill="background1"/>
            <w:vAlign w:val="center"/>
          </w:tcPr>
          <w:p w:rsidR="00124F6E" w:rsidRPr="00C87712" w:rsidRDefault="00C87712" w:rsidP="00124F6E">
            <w:pPr>
              <w:jc w:val="center"/>
              <w:rPr>
                <w:rFonts w:ascii="Arial Narrow" w:hAnsi="Arial Narrow"/>
                <w:sz w:val="20"/>
                <w:highlight w:val="black"/>
              </w:rPr>
            </w:pPr>
            <w:r>
              <w:rPr>
                <w:rFonts w:ascii="Arial Narrow" w:hAnsi="Arial Narrow"/>
                <w:noProof/>
                <w:color w:val="000000"/>
                <w:sz w:val="20"/>
                <w:highlight w:val="black"/>
              </w:rPr>
              <w:t>''''''''''''''''</w:t>
            </w:r>
          </w:p>
        </w:tc>
        <w:tc>
          <w:tcPr>
            <w:tcW w:w="651" w:type="pct"/>
            <w:shd w:val="clear" w:color="auto" w:fill="FFFFFF" w:themeFill="background1"/>
            <w:vAlign w:val="center"/>
          </w:tcPr>
          <w:p w:rsidR="00124F6E" w:rsidRPr="00C87712" w:rsidRDefault="00C87712" w:rsidP="00124F6E">
            <w:pPr>
              <w:jc w:val="center"/>
              <w:rPr>
                <w:rFonts w:ascii="Arial Narrow" w:hAnsi="Arial Narrow"/>
                <w:sz w:val="20"/>
                <w:highlight w:val="black"/>
              </w:rPr>
            </w:pPr>
            <w:r>
              <w:rPr>
                <w:rFonts w:ascii="Arial Narrow" w:hAnsi="Arial Narrow"/>
                <w:noProof/>
                <w:color w:val="000000"/>
                <w:sz w:val="20"/>
                <w:highlight w:val="black"/>
              </w:rPr>
              <w:t>''''''''''''''''</w:t>
            </w:r>
          </w:p>
        </w:tc>
        <w:tc>
          <w:tcPr>
            <w:tcW w:w="651" w:type="pct"/>
            <w:shd w:val="clear" w:color="auto" w:fill="FFFFFF" w:themeFill="background1"/>
            <w:vAlign w:val="center"/>
          </w:tcPr>
          <w:p w:rsidR="00124F6E" w:rsidRPr="00C87712" w:rsidRDefault="00C87712" w:rsidP="00124F6E">
            <w:pPr>
              <w:jc w:val="center"/>
              <w:rPr>
                <w:rFonts w:ascii="Arial Narrow" w:hAnsi="Arial Narrow"/>
                <w:sz w:val="20"/>
                <w:highlight w:val="black"/>
              </w:rPr>
            </w:pPr>
            <w:r>
              <w:rPr>
                <w:rFonts w:ascii="Arial Narrow" w:hAnsi="Arial Narrow"/>
                <w:noProof/>
                <w:color w:val="000000"/>
                <w:sz w:val="20"/>
                <w:highlight w:val="black"/>
              </w:rPr>
              <w:t>''''''''''''''''</w:t>
            </w:r>
          </w:p>
        </w:tc>
        <w:tc>
          <w:tcPr>
            <w:tcW w:w="652" w:type="pct"/>
            <w:shd w:val="clear" w:color="auto" w:fill="FFFFFF" w:themeFill="background1"/>
            <w:vAlign w:val="center"/>
          </w:tcPr>
          <w:p w:rsidR="00124F6E" w:rsidRPr="00C87712" w:rsidRDefault="00C87712" w:rsidP="00124F6E">
            <w:pPr>
              <w:jc w:val="center"/>
              <w:rPr>
                <w:rFonts w:ascii="Arial Narrow" w:hAnsi="Arial Narrow"/>
                <w:sz w:val="20"/>
                <w:highlight w:val="black"/>
              </w:rPr>
            </w:pPr>
            <w:r>
              <w:rPr>
                <w:rFonts w:ascii="Arial Narrow" w:hAnsi="Arial Narrow"/>
                <w:noProof/>
                <w:color w:val="000000"/>
                <w:sz w:val="20"/>
                <w:highlight w:val="black"/>
              </w:rPr>
              <w:t>'''''''''''''''''</w:t>
            </w:r>
          </w:p>
        </w:tc>
        <w:tc>
          <w:tcPr>
            <w:tcW w:w="718" w:type="pct"/>
            <w:shd w:val="clear" w:color="auto" w:fill="FFFFFF" w:themeFill="background1"/>
            <w:vAlign w:val="center"/>
          </w:tcPr>
          <w:p w:rsidR="00124F6E" w:rsidRPr="00C87712" w:rsidRDefault="00C87712" w:rsidP="00124F6E">
            <w:pPr>
              <w:jc w:val="center"/>
              <w:rPr>
                <w:rFonts w:ascii="Arial Narrow" w:hAnsi="Arial Narrow"/>
                <w:sz w:val="20"/>
                <w:highlight w:val="black"/>
              </w:rPr>
            </w:pPr>
            <w:r>
              <w:rPr>
                <w:rFonts w:ascii="Arial Narrow" w:hAnsi="Arial Narrow"/>
                <w:noProof/>
                <w:color w:val="000000"/>
                <w:sz w:val="20"/>
                <w:highlight w:val="black"/>
              </w:rPr>
              <w:t>''''''''''''''''</w:t>
            </w:r>
          </w:p>
        </w:tc>
        <w:tc>
          <w:tcPr>
            <w:tcW w:w="772" w:type="pct"/>
            <w:shd w:val="clear" w:color="auto" w:fill="FFFFFF" w:themeFill="background1"/>
          </w:tcPr>
          <w:p w:rsidR="00124F6E" w:rsidRPr="00C87712" w:rsidRDefault="00C87712" w:rsidP="00124F6E">
            <w:pPr>
              <w:jc w:val="center"/>
              <w:rPr>
                <w:rFonts w:ascii="Arial Narrow" w:hAnsi="Arial Narrow"/>
                <w:sz w:val="20"/>
                <w:highlight w:val="black"/>
              </w:rPr>
            </w:pPr>
            <w:r>
              <w:rPr>
                <w:rFonts w:ascii="Arial Narrow" w:hAnsi="Arial Narrow"/>
                <w:noProof/>
                <w:color w:val="000000"/>
                <w:sz w:val="20"/>
                <w:highlight w:val="black"/>
              </w:rPr>
              <w:t>'''</w:t>
            </w:r>
          </w:p>
        </w:tc>
      </w:tr>
    </w:tbl>
    <w:p w:rsidR="00124F6E" w:rsidRPr="00C87712" w:rsidRDefault="00C87712" w:rsidP="002F1291">
      <w:pPr>
        <w:pStyle w:val="TableFooter"/>
        <w:ind w:left="709"/>
        <w:rPr>
          <w:highlight w:val="black"/>
        </w:rPr>
      </w:pPr>
      <w:r>
        <w:rPr>
          <w:noProof/>
          <w:color w:val="000000"/>
          <w:highlight w:val="black"/>
          <w:vertAlign w:val="superscript"/>
        </w:rPr>
        <w:t>'''' ''''''''''' ''''''' ''' '''''''''''''''''' ''''''''''''''''</w:t>
      </w:r>
    </w:p>
    <w:p w:rsidR="00124F6E" w:rsidRPr="00C87712" w:rsidRDefault="00C87712" w:rsidP="002F1291">
      <w:pPr>
        <w:pStyle w:val="TableFooter"/>
        <w:ind w:left="709"/>
        <w:rPr>
          <w:highlight w:val="black"/>
        </w:rPr>
      </w:pPr>
      <w:r>
        <w:rPr>
          <w:noProof/>
          <w:color w:val="000000"/>
          <w:highlight w:val="black"/>
          <w:vertAlign w:val="superscript"/>
        </w:rPr>
        <w:t>'''' ''''''''''''''''''''''' ''''''''''''''''''' '''''' '''''''''''''''' '''''' ''''''''''''''' ''''''''''''''''''''' ''''''' '''''''' '''''''</w:t>
      </w:r>
    </w:p>
    <w:p w:rsidR="00124F6E" w:rsidRPr="00C87712" w:rsidRDefault="00C87712" w:rsidP="002F1291">
      <w:pPr>
        <w:pStyle w:val="TableFooter"/>
        <w:ind w:left="709"/>
        <w:rPr>
          <w:highlight w:val="black"/>
        </w:rPr>
      </w:pPr>
      <w:r>
        <w:rPr>
          <w:noProof/>
          <w:color w:val="000000"/>
          <w:highlight w:val="black"/>
        </w:rPr>
        <w:t>'''''''''''''''''' ''''''''''''''' ''''''''''' ''''''''''' '''''' ''''''''' '''''''''''' ''''''''''''''''''''''''</w:t>
      </w:r>
    </w:p>
    <w:p w:rsidR="001D468D" w:rsidRPr="006F393A" w:rsidRDefault="001D468D" w:rsidP="001D468D">
      <w:pPr>
        <w:widowControl/>
        <w:ind w:firstLine="709"/>
        <w:rPr>
          <w:bCs/>
          <w:i/>
          <w:szCs w:val="22"/>
        </w:rPr>
      </w:pPr>
    </w:p>
    <w:p w:rsidR="001D468D" w:rsidRPr="006F393A" w:rsidRDefault="001D468D" w:rsidP="00997EDA">
      <w:pPr>
        <w:widowControl/>
        <w:numPr>
          <w:ilvl w:val="1"/>
          <w:numId w:val="1"/>
        </w:numPr>
        <w:rPr>
          <w:bCs/>
          <w:szCs w:val="22"/>
        </w:rPr>
      </w:pPr>
      <w:r w:rsidRPr="006F393A">
        <w:rPr>
          <w:bCs/>
          <w:szCs w:val="22"/>
        </w:rPr>
        <w:t>The PBAC</w:t>
      </w:r>
      <w:r w:rsidR="00F22176" w:rsidRPr="006F393A">
        <w:rPr>
          <w:bCs/>
          <w:szCs w:val="22"/>
        </w:rPr>
        <w:t xml:space="preserve"> noted the </w:t>
      </w:r>
      <w:r w:rsidR="00F22176" w:rsidRPr="006F393A">
        <w:t xml:space="preserve">proposed risk-sharing arrangement based on </w:t>
      </w:r>
      <w:r w:rsidR="00C87712">
        <w:rPr>
          <w:noProof/>
          <w:color w:val="000000"/>
          <w:highlight w:val="black"/>
        </w:rPr>
        <w:t xml:space="preserve">''''''''''''''''' ''''''''''''''''''' '''''''''''''''''''''''''''''''' ''''''''' '''''''''' </w:t>
      </w:r>
      <w:r w:rsidR="00F22176" w:rsidRPr="006F393A">
        <w:t>but confirmed</w:t>
      </w:r>
      <w:r w:rsidR="00F22176" w:rsidRPr="006F393A">
        <w:rPr>
          <w:bCs/>
          <w:szCs w:val="22"/>
        </w:rPr>
        <w:t xml:space="preserve"> their view from the March 2015 meeting, and </w:t>
      </w:r>
      <w:r w:rsidRPr="006F393A">
        <w:rPr>
          <w:bCs/>
          <w:szCs w:val="22"/>
        </w:rPr>
        <w:t xml:space="preserve">recommended that </w:t>
      </w:r>
      <w:r w:rsidR="004F2ED3" w:rsidRPr="006F393A">
        <w:rPr>
          <w:bCs/>
          <w:szCs w:val="22"/>
        </w:rPr>
        <w:t>a</w:t>
      </w:r>
      <w:r w:rsidRPr="006F393A">
        <w:rPr>
          <w:bCs/>
          <w:szCs w:val="22"/>
        </w:rPr>
        <w:t xml:space="preserve"> RSA should consist of a cap on expenditure, with a 100% rebate for budget certainty. The Committee recommended that the Department negotiate RSAs based on DUSC estimates of the patient population and treatment course per patient for each medicine, in a manner that can be implemented and managed by the Department.  The PBAC emphasised the importance of ensuring that these arrangements can be implemented in a way that would manage the overall cost to the Commonwealth for these medicines. Currently, the sponsors of </w:t>
      </w:r>
      <w:r w:rsidR="00F22176" w:rsidRPr="006F393A">
        <w:rPr>
          <w:szCs w:val="22"/>
        </w:rPr>
        <w:t xml:space="preserve">Viekira PAK / Viekira PAK-RBV, </w:t>
      </w:r>
      <w:r w:rsidRPr="006F393A">
        <w:rPr>
          <w:bCs/>
          <w:szCs w:val="22"/>
        </w:rPr>
        <w:t>SOF, LDV/SOF, and other sponsors of HCV treatments used in combination with SOF would be part</w:t>
      </w:r>
      <w:r w:rsidR="000978AE" w:rsidRPr="006F393A">
        <w:rPr>
          <w:bCs/>
          <w:szCs w:val="22"/>
        </w:rPr>
        <w:t>y to</w:t>
      </w:r>
      <w:r w:rsidRPr="006F393A">
        <w:rPr>
          <w:bCs/>
          <w:szCs w:val="22"/>
        </w:rPr>
        <w:t xml:space="preserve"> such </w:t>
      </w:r>
      <w:r w:rsidR="000978AE" w:rsidRPr="006F393A">
        <w:rPr>
          <w:bCs/>
          <w:szCs w:val="22"/>
        </w:rPr>
        <w:t>arrangements</w:t>
      </w:r>
      <w:r w:rsidRPr="006F393A">
        <w:rPr>
          <w:bCs/>
          <w:szCs w:val="22"/>
        </w:rPr>
        <w:t>.</w:t>
      </w:r>
    </w:p>
    <w:p w:rsidR="001D468D" w:rsidRPr="006F393A" w:rsidRDefault="001D468D" w:rsidP="001C14F5">
      <w:pPr>
        <w:widowControl/>
        <w:ind w:firstLine="709"/>
        <w:rPr>
          <w:bCs/>
          <w:i/>
          <w:szCs w:val="22"/>
        </w:rPr>
      </w:pPr>
    </w:p>
    <w:p w:rsidR="00CB0330" w:rsidRPr="006F393A" w:rsidRDefault="00CB0330" w:rsidP="001C14F5">
      <w:pPr>
        <w:widowControl/>
        <w:ind w:firstLine="709"/>
        <w:rPr>
          <w:bCs/>
          <w:i/>
          <w:szCs w:val="22"/>
        </w:rPr>
      </w:pPr>
      <w:r w:rsidRPr="006F393A">
        <w:rPr>
          <w:bCs/>
          <w:i/>
          <w:szCs w:val="22"/>
        </w:rPr>
        <w:t>For more detail on PBAC’s view, see section 7 “PBAC outcome”</w:t>
      </w:r>
    </w:p>
    <w:p w:rsidR="00CB0330" w:rsidRPr="006F393A" w:rsidRDefault="00CB0330" w:rsidP="00CB0330">
      <w:pPr>
        <w:widowControl/>
        <w:rPr>
          <w:b/>
          <w:bCs/>
          <w:i/>
          <w:szCs w:val="22"/>
        </w:rPr>
      </w:pPr>
    </w:p>
    <w:p w:rsidR="00CB0330" w:rsidRPr="006F393A" w:rsidRDefault="00CB0330" w:rsidP="00CB0330">
      <w:pPr>
        <w:widowControl/>
        <w:rPr>
          <w:bCs/>
          <w:szCs w:val="22"/>
        </w:rPr>
      </w:pPr>
    </w:p>
    <w:p w:rsidR="00CB0330" w:rsidRPr="006F393A" w:rsidRDefault="00CB0330" w:rsidP="00997EDA">
      <w:pPr>
        <w:widowControl/>
        <w:numPr>
          <w:ilvl w:val="0"/>
          <w:numId w:val="1"/>
        </w:numPr>
        <w:rPr>
          <w:b/>
          <w:bCs/>
          <w:szCs w:val="22"/>
        </w:rPr>
      </w:pPr>
      <w:r w:rsidRPr="006F393A">
        <w:rPr>
          <w:b/>
          <w:bCs/>
          <w:szCs w:val="22"/>
        </w:rPr>
        <w:t>PBAC Outcome</w:t>
      </w:r>
    </w:p>
    <w:p w:rsidR="00CB0330" w:rsidRPr="006F393A" w:rsidRDefault="00CB0330" w:rsidP="00CB0330">
      <w:pPr>
        <w:widowControl/>
        <w:rPr>
          <w:b/>
          <w:bCs/>
          <w:szCs w:val="22"/>
          <w:lang w:val="en-GB"/>
        </w:rPr>
      </w:pPr>
    </w:p>
    <w:p w:rsidR="00720130" w:rsidRPr="006F393A" w:rsidRDefault="002818E4" w:rsidP="00720130">
      <w:pPr>
        <w:widowControl/>
        <w:numPr>
          <w:ilvl w:val="1"/>
          <w:numId w:val="1"/>
        </w:numPr>
        <w:rPr>
          <w:bCs/>
          <w:szCs w:val="22"/>
          <w:lang w:val="en-GB"/>
        </w:rPr>
      </w:pPr>
      <w:r w:rsidRPr="006F393A">
        <w:rPr>
          <w:bCs/>
          <w:szCs w:val="22"/>
          <w:lang w:val="en-GB"/>
        </w:rPr>
        <w:t xml:space="preserve">The PBAC recommended the Authority Required listing of </w:t>
      </w:r>
      <w:r w:rsidR="009B0CB1" w:rsidRPr="006F393A">
        <w:t>paritaprevir/ritonavir/ombitasvir plus dasabuvir (</w:t>
      </w:r>
      <w:r w:rsidRPr="006F393A">
        <w:rPr>
          <w:bCs/>
          <w:szCs w:val="22"/>
        </w:rPr>
        <w:t>Viekira PAK</w:t>
      </w:r>
      <w:r w:rsidR="009B0CB1" w:rsidRPr="006F393A">
        <w:rPr>
          <w:bCs/>
          <w:szCs w:val="22"/>
        </w:rPr>
        <w:t>)</w:t>
      </w:r>
      <w:r w:rsidRPr="006F393A">
        <w:rPr>
          <w:bCs/>
          <w:szCs w:val="22"/>
        </w:rPr>
        <w:t xml:space="preserve"> </w:t>
      </w:r>
      <w:r w:rsidR="009B0CB1" w:rsidRPr="006F393A">
        <w:rPr>
          <w:bCs/>
          <w:szCs w:val="22"/>
        </w:rPr>
        <w:t xml:space="preserve">and </w:t>
      </w:r>
      <w:r w:rsidR="009B0CB1" w:rsidRPr="006F393A">
        <w:t>paritaprevir/ritonavir/ombitasvir plus dasabuvir with</w:t>
      </w:r>
      <w:r w:rsidR="00720130" w:rsidRPr="006F393A">
        <w:t xml:space="preserve"> </w:t>
      </w:r>
      <w:proofErr w:type="gramStart"/>
      <w:r w:rsidR="00720130" w:rsidRPr="006F393A">
        <w:t>ribavirin</w:t>
      </w:r>
      <w:r w:rsidR="009B0CB1" w:rsidRPr="006F393A">
        <w:t xml:space="preserve"> </w:t>
      </w:r>
      <w:r w:rsidRPr="006F393A">
        <w:rPr>
          <w:bCs/>
          <w:szCs w:val="22"/>
        </w:rPr>
        <w:t xml:space="preserve"> </w:t>
      </w:r>
      <w:r w:rsidR="009B0CB1" w:rsidRPr="006F393A">
        <w:rPr>
          <w:bCs/>
          <w:szCs w:val="22"/>
        </w:rPr>
        <w:t>(</w:t>
      </w:r>
      <w:proofErr w:type="gramEnd"/>
      <w:r w:rsidRPr="006F393A">
        <w:rPr>
          <w:bCs/>
          <w:szCs w:val="22"/>
        </w:rPr>
        <w:t>Viekira PAK-RBV</w:t>
      </w:r>
      <w:r w:rsidR="009B0CB1" w:rsidRPr="006F393A">
        <w:rPr>
          <w:bCs/>
          <w:szCs w:val="22"/>
        </w:rPr>
        <w:t>)</w:t>
      </w:r>
      <w:r w:rsidRPr="006F393A">
        <w:rPr>
          <w:bCs/>
          <w:szCs w:val="22"/>
        </w:rPr>
        <w:t xml:space="preserve"> for the treatment of patients with </w:t>
      </w:r>
      <w:r w:rsidR="004342FB" w:rsidRPr="006F393A">
        <w:rPr>
          <w:bCs/>
          <w:szCs w:val="22"/>
        </w:rPr>
        <w:t xml:space="preserve">genotype 1 </w:t>
      </w:r>
      <w:r w:rsidRPr="006F393A">
        <w:rPr>
          <w:bCs/>
          <w:szCs w:val="22"/>
        </w:rPr>
        <w:t xml:space="preserve">chronic hepatitis C (CHC) infection </w:t>
      </w:r>
      <w:r w:rsidR="009B0CB1" w:rsidRPr="006F393A">
        <w:rPr>
          <w:bCs/>
          <w:szCs w:val="22"/>
        </w:rPr>
        <w:t>on the basis of</w:t>
      </w:r>
      <w:r w:rsidR="00920F8B" w:rsidRPr="006F393A">
        <w:rPr>
          <w:bCs/>
          <w:szCs w:val="22"/>
        </w:rPr>
        <w:t xml:space="preserve"> n</w:t>
      </w:r>
      <w:r w:rsidR="008B1443" w:rsidRPr="006F393A">
        <w:rPr>
          <w:bCs/>
          <w:szCs w:val="22"/>
        </w:rPr>
        <w:t xml:space="preserve">on-inferior efficacy </w:t>
      </w:r>
      <w:r w:rsidR="009B0CB1" w:rsidRPr="006F393A">
        <w:rPr>
          <w:bCs/>
          <w:szCs w:val="22"/>
        </w:rPr>
        <w:t xml:space="preserve">and safety </w:t>
      </w:r>
      <w:r w:rsidR="008B1443" w:rsidRPr="006F393A">
        <w:rPr>
          <w:bCs/>
          <w:szCs w:val="22"/>
        </w:rPr>
        <w:t xml:space="preserve">with Ledipasvir/Sofosbuvir </w:t>
      </w:r>
      <w:r w:rsidR="00903797" w:rsidRPr="006F393A">
        <w:rPr>
          <w:bCs/>
          <w:szCs w:val="22"/>
        </w:rPr>
        <w:t>(LDV/SOF)</w:t>
      </w:r>
      <w:r w:rsidR="009B0CB1" w:rsidRPr="006F393A">
        <w:rPr>
          <w:bCs/>
          <w:szCs w:val="22"/>
        </w:rPr>
        <w:t>,</w:t>
      </w:r>
      <w:r w:rsidR="00903797" w:rsidRPr="006F393A">
        <w:rPr>
          <w:bCs/>
          <w:szCs w:val="22"/>
        </w:rPr>
        <w:t xml:space="preserve"> recommended</w:t>
      </w:r>
      <w:r w:rsidR="008B1443" w:rsidRPr="006F393A">
        <w:rPr>
          <w:bCs/>
          <w:szCs w:val="22"/>
        </w:rPr>
        <w:t xml:space="preserve"> in March 2015</w:t>
      </w:r>
      <w:r w:rsidR="00720130" w:rsidRPr="006F393A">
        <w:rPr>
          <w:bCs/>
          <w:szCs w:val="22"/>
        </w:rPr>
        <w:t xml:space="preserve">. </w:t>
      </w:r>
    </w:p>
    <w:p w:rsidR="00720130" w:rsidRPr="006F393A" w:rsidRDefault="00720130" w:rsidP="00720130">
      <w:pPr>
        <w:widowControl/>
        <w:ind w:left="720"/>
        <w:rPr>
          <w:bCs/>
          <w:szCs w:val="22"/>
          <w:lang w:val="en-GB"/>
        </w:rPr>
      </w:pPr>
    </w:p>
    <w:p w:rsidR="00450FEA" w:rsidRPr="006F393A" w:rsidRDefault="00720130" w:rsidP="00720130">
      <w:pPr>
        <w:widowControl/>
        <w:numPr>
          <w:ilvl w:val="1"/>
          <w:numId w:val="1"/>
        </w:numPr>
        <w:rPr>
          <w:bCs/>
          <w:szCs w:val="22"/>
          <w:lang w:val="en-GB"/>
        </w:rPr>
      </w:pPr>
      <w:r w:rsidRPr="006F393A">
        <w:rPr>
          <w:bCs/>
          <w:szCs w:val="22"/>
        </w:rPr>
        <w:t>The PBAC recommended</w:t>
      </w:r>
      <w:r w:rsidR="006A2889" w:rsidRPr="006F393A">
        <w:rPr>
          <w:bCs/>
          <w:szCs w:val="22"/>
        </w:rPr>
        <w:t xml:space="preserve"> </w:t>
      </w:r>
      <w:r w:rsidR="00920F8B" w:rsidRPr="006F393A">
        <w:rPr>
          <w:bCs/>
          <w:szCs w:val="22"/>
          <w:lang w:val="en-GB"/>
        </w:rPr>
        <w:t xml:space="preserve">the price of a course of treatment </w:t>
      </w:r>
      <w:r w:rsidR="00450FEA" w:rsidRPr="006F393A">
        <w:rPr>
          <w:bCs/>
          <w:szCs w:val="22"/>
        </w:rPr>
        <w:t>for Viekira PAK / Viekira PAK-RBV</w:t>
      </w:r>
      <w:r w:rsidR="00450FEA" w:rsidRPr="006F393A">
        <w:rPr>
          <w:bCs/>
          <w:szCs w:val="22"/>
          <w:lang w:val="en-GB"/>
        </w:rPr>
        <w:t xml:space="preserve"> </w:t>
      </w:r>
      <w:r w:rsidR="00920F8B" w:rsidRPr="006F393A">
        <w:rPr>
          <w:bCs/>
          <w:szCs w:val="22"/>
          <w:lang w:val="en-GB"/>
        </w:rPr>
        <w:t xml:space="preserve">should be the same as the price of a course of treatment with </w:t>
      </w:r>
      <w:r w:rsidR="00450FEA" w:rsidRPr="006F393A">
        <w:rPr>
          <w:bCs/>
          <w:szCs w:val="22"/>
          <w:lang w:val="en-GB"/>
        </w:rPr>
        <w:t xml:space="preserve">LDV/SOF </w:t>
      </w:r>
      <w:r w:rsidR="00903797" w:rsidRPr="006F393A">
        <w:rPr>
          <w:bCs/>
          <w:szCs w:val="22"/>
          <w:lang w:val="en-GB"/>
        </w:rPr>
        <w:t>for treatment naïve, non-cirrhotic genotype 1 patients</w:t>
      </w:r>
      <w:r w:rsidR="00450FEA" w:rsidRPr="006F393A">
        <w:rPr>
          <w:bCs/>
          <w:szCs w:val="22"/>
          <w:lang w:val="en-GB"/>
        </w:rPr>
        <w:t>.</w:t>
      </w:r>
    </w:p>
    <w:p w:rsidR="009B0CB1" w:rsidRPr="006F393A" w:rsidRDefault="009B0CB1" w:rsidP="009B0CB1">
      <w:pPr>
        <w:pStyle w:val="ListParagraph"/>
        <w:rPr>
          <w:bCs/>
          <w:szCs w:val="22"/>
          <w:lang w:val="en-GB"/>
        </w:rPr>
      </w:pPr>
    </w:p>
    <w:p w:rsidR="009B0CB1" w:rsidRPr="006F393A" w:rsidRDefault="009B0CB1" w:rsidP="00997EDA">
      <w:pPr>
        <w:numPr>
          <w:ilvl w:val="1"/>
          <w:numId w:val="1"/>
        </w:numPr>
        <w:contextualSpacing/>
        <w:rPr>
          <w:bCs/>
          <w:szCs w:val="22"/>
          <w:lang w:val="en-GB"/>
        </w:rPr>
      </w:pPr>
      <w:r w:rsidRPr="006F393A">
        <w:rPr>
          <w:szCs w:val="22"/>
        </w:rPr>
        <w:t xml:space="preserve">The PBAC reiterated that the Committee recognised that new treatments of HCV resulted in high rates of sustained virological response, where the HCV virus could not be detected in the blood of patients 12 weeks after treatment commenced. The PBAC noted that the large number of comments and presentations from patients, health care professionals and organisations highlighted the benefits of the availability of new treatments, particularly IFN-free regimens. </w:t>
      </w:r>
    </w:p>
    <w:p w:rsidR="009B0CB1" w:rsidRPr="006F393A" w:rsidRDefault="009B0CB1" w:rsidP="00720130">
      <w:pPr>
        <w:contextualSpacing/>
        <w:rPr>
          <w:bCs/>
          <w:szCs w:val="22"/>
          <w:lang w:val="en-GB"/>
        </w:rPr>
      </w:pPr>
    </w:p>
    <w:p w:rsidR="00C744E2" w:rsidRPr="006F393A" w:rsidRDefault="009B0CB1" w:rsidP="00720130">
      <w:pPr>
        <w:widowControl/>
        <w:numPr>
          <w:ilvl w:val="1"/>
          <w:numId w:val="1"/>
        </w:numPr>
        <w:rPr>
          <w:bCs/>
          <w:szCs w:val="22"/>
        </w:rPr>
      </w:pPr>
      <w:r w:rsidRPr="006F393A">
        <w:rPr>
          <w:bCs/>
          <w:szCs w:val="22"/>
        </w:rPr>
        <w:t xml:space="preserve">The PBAC reiterated that </w:t>
      </w:r>
      <w:r w:rsidR="00F34038" w:rsidRPr="006F393A">
        <w:rPr>
          <w:bCs/>
          <w:szCs w:val="22"/>
        </w:rPr>
        <w:t xml:space="preserve">it </w:t>
      </w:r>
      <w:r w:rsidRPr="006F393A">
        <w:rPr>
          <w:bCs/>
          <w:szCs w:val="22"/>
        </w:rPr>
        <w:t>was appropriate that the new all oral treatment regimens be listed in the General Schedule, to facilitate the longer term objectives for access to treatment, increase treatment rates and outcomes with a view to treat all patients with CHC over time.</w:t>
      </w:r>
    </w:p>
    <w:p w:rsidR="00C744E2" w:rsidRPr="006F393A" w:rsidRDefault="00C744E2" w:rsidP="00C744E2">
      <w:pPr>
        <w:widowControl/>
        <w:ind w:left="720"/>
        <w:rPr>
          <w:bCs/>
          <w:szCs w:val="22"/>
          <w:lang w:val="en-GB"/>
        </w:rPr>
      </w:pPr>
    </w:p>
    <w:p w:rsidR="008B1443" w:rsidRPr="006F393A" w:rsidRDefault="00C744E2" w:rsidP="00997EDA">
      <w:pPr>
        <w:widowControl/>
        <w:numPr>
          <w:ilvl w:val="1"/>
          <w:numId w:val="1"/>
        </w:numPr>
        <w:rPr>
          <w:bCs/>
          <w:szCs w:val="22"/>
          <w:lang w:val="en-GB"/>
        </w:rPr>
      </w:pPr>
      <w:r w:rsidRPr="006F393A">
        <w:rPr>
          <w:bCs/>
          <w:szCs w:val="22"/>
          <w:lang w:val="en-GB"/>
        </w:rPr>
        <w:t xml:space="preserve">The submission proposed the current active treatments and no treatment as the comparator. </w:t>
      </w:r>
      <w:r w:rsidR="009B0CB1" w:rsidRPr="006F393A">
        <w:rPr>
          <w:bCs/>
          <w:szCs w:val="22"/>
        </w:rPr>
        <w:t>The PBAC reiterated their previous view that the appropriate comparator was no treatment, in view of the broader context of infected individuals whose treatment preference is interferon-free therapies.</w:t>
      </w:r>
      <w:r w:rsidRPr="006F393A">
        <w:rPr>
          <w:bCs/>
          <w:szCs w:val="22"/>
        </w:rPr>
        <w:t xml:space="preserve"> </w:t>
      </w:r>
      <w:r w:rsidR="009B0CB1" w:rsidRPr="006F393A">
        <w:rPr>
          <w:bCs/>
          <w:szCs w:val="22"/>
        </w:rPr>
        <w:t>However, f</w:t>
      </w:r>
      <w:r w:rsidRPr="006F393A">
        <w:rPr>
          <w:bCs/>
          <w:szCs w:val="22"/>
        </w:rPr>
        <w:t>ollowing the recommendation to list sofosbuvir-containing regimens, the PBAC considered that these sofosbuvir-containing regimens were the most appropriate comparators for the consideration of all other oral HCV treatments</w:t>
      </w:r>
      <w:r w:rsidRPr="006F393A">
        <w:rPr>
          <w:bCs/>
          <w:szCs w:val="22"/>
          <w:lang w:val="en-GB"/>
        </w:rPr>
        <w:t xml:space="preserve"> </w:t>
      </w:r>
    </w:p>
    <w:p w:rsidR="00C744E2" w:rsidRPr="006F393A" w:rsidRDefault="00C744E2" w:rsidP="00C744E2">
      <w:pPr>
        <w:widowControl/>
        <w:ind w:left="720"/>
        <w:rPr>
          <w:bCs/>
          <w:szCs w:val="22"/>
          <w:lang w:val="en-GB"/>
        </w:rPr>
      </w:pPr>
    </w:p>
    <w:p w:rsidR="00A03712" w:rsidRPr="006F393A" w:rsidRDefault="007451B8" w:rsidP="00997EDA">
      <w:pPr>
        <w:widowControl/>
        <w:numPr>
          <w:ilvl w:val="1"/>
          <w:numId w:val="1"/>
        </w:numPr>
        <w:rPr>
          <w:bCs/>
          <w:szCs w:val="22"/>
          <w:lang w:val="en-GB"/>
        </w:rPr>
      </w:pPr>
      <w:r w:rsidRPr="006F393A">
        <w:rPr>
          <w:bCs/>
          <w:szCs w:val="22"/>
          <w:lang w:val="en-GB"/>
        </w:rPr>
        <w:t>The PBAC noted the</w:t>
      </w:r>
      <w:r w:rsidR="00B069DC" w:rsidRPr="006F393A">
        <w:rPr>
          <w:bCs/>
          <w:szCs w:val="22"/>
          <w:lang w:val="en-GB"/>
        </w:rPr>
        <w:t xml:space="preserve"> evidence used in submission </w:t>
      </w:r>
      <w:r w:rsidR="009B0CB1" w:rsidRPr="006F393A">
        <w:rPr>
          <w:bCs/>
          <w:szCs w:val="22"/>
          <w:lang w:val="en-GB"/>
        </w:rPr>
        <w:t xml:space="preserve">was derived from </w:t>
      </w:r>
      <w:r w:rsidR="009B0CB1" w:rsidRPr="006F393A">
        <w:t xml:space="preserve">head-to-head randomised controlled trials against telaprevir plus PR and placebo controlled randomised controlled trials, which supported </w:t>
      </w:r>
      <w:r w:rsidR="00720130" w:rsidRPr="006F393A">
        <w:t xml:space="preserve">the clinical claim </w:t>
      </w:r>
      <w:r w:rsidR="009B0CB1" w:rsidRPr="006F393A">
        <w:t xml:space="preserve">that Viekira PAK / Viekira PAK-RBV was superior in terms of efficacy and inferior in terms of safety compared with no treatment. </w:t>
      </w:r>
      <w:r w:rsidR="009B0CB1" w:rsidRPr="006F393A">
        <w:rPr>
          <w:bCs/>
          <w:szCs w:val="22"/>
          <w:lang w:val="en-GB"/>
        </w:rPr>
        <w:t xml:space="preserve"> However, against the appropriate comparator, the evidence relied on </w:t>
      </w:r>
      <w:r w:rsidR="00A03712" w:rsidRPr="006F393A">
        <w:rPr>
          <w:bCs/>
          <w:szCs w:val="22"/>
          <w:lang w:val="en-GB"/>
        </w:rPr>
        <w:t>unadjusted indirect comparison of single arms of individual studies</w:t>
      </w:r>
      <w:r w:rsidR="00625E1B" w:rsidRPr="006F393A">
        <w:rPr>
          <w:bCs/>
          <w:szCs w:val="22"/>
          <w:lang w:val="en-GB"/>
        </w:rPr>
        <w:t xml:space="preserve"> with LDV/SOF</w:t>
      </w:r>
      <w:r w:rsidR="00A03712" w:rsidRPr="006F393A">
        <w:rPr>
          <w:bCs/>
          <w:szCs w:val="22"/>
          <w:lang w:val="en-GB"/>
        </w:rPr>
        <w:t xml:space="preserve">.  </w:t>
      </w:r>
      <w:r w:rsidR="002A1B81" w:rsidRPr="006F393A">
        <w:rPr>
          <w:bCs/>
          <w:szCs w:val="22"/>
        </w:rPr>
        <w:t xml:space="preserve">The PBAC considered that the comparative magnitude of the benefit (SVR12) of the treatment presented in the submission was uncertain due to the reliance on single arms of trials, some of which involved small number of patients. </w:t>
      </w:r>
      <w:r w:rsidR="009B0CB1" w:rsidRPr="006F393A">
        <w:rPr>
          <w:bCs/>
          <w:szCs w:val="22"/>
        </w:rPr>
        <w:t xml:space="preserve">Overall, the PBAC considered that the clinical claim of </w:t>
      </w:r>
      <w:r w:rsidR="009B0CB1" w:rsidRPr="006F393A">
        <w:t>Viekira PAK / Viekira PAK-RBV as equivalent in terms of efficacy and safety to LDV/SOF was supported.</w:t>
      </w:r>
    </w:p>
    <w:p w:rsidR="00A03712" w:rsidRPr="006F393A" w:rsidRDefault="002A1B81" w:rsidP="00F86E8E">
      <w:pPr>
        <w:widowControl/>
        <w:ind w:left="720"/>
        <w:rPr>
          <w:bCs/>
          <w:szCs w:val="22"/>
          <w:lang w:val="en-GB"/>
        </w:rPr>
      </w:pPr>
      <w:r w:rsidRPr="006F393A">
        <w:rPr>
          <w:bCs/>
          <w:szCs w:val="22"/>
          <w:lang w:val="en-GB"/>
        </w:rPr>
        <w:t xml:space="preserve"> </w:t>
      </w:r>
    </w:p>
    <w:p w:rsidR="009B0CB1" w:rsidRPr="006F393A" w:rsidRDefault="009B0CB1" w:rsidP="00997EDA">
      <w:pPr>
        <w:pStyle w:val="ListParagraph"/>
        <w:widowControl/>
        <w:numPr>
          <w:ilvl w:val="1"/>
          <w:numId w:val="1"/>
        </w:numPr>
        <w:rPr>
          <w:szCs w:val="22"/>
        </w:rPr>
      </w:pPr>
      <w:r w:rsidRPr="006F393A">
        <w:rPr>
          <w:bCs/>
          <w:szCs w:val="22"/>
        </w:rPr>
        <w:t xml:space="preserve">The PBAC recalled that </w:t>
      </w:r>
      <w:r w:rsidR="000B6BDA" w:rsidRPr="006F393A">
        <w:rPr>
          <w:szCs w:val="22"/>
        </w:rPr>
        <w:t>daclatasvir</w:t>
      </w:r>
      <w:r w:rsidRPr="006F393A">
        <w:rPr>
          <w:szCs w:val="22"/>
        </w:rPr>
        <w:t xml:space="preserve"> in combination with sofosbuvir was </w:t>
      </w:r>
      <w:r w:rsidR="000B6BDA" w:rsidRPr="006F393A">
        <w:rPr>
          <w:szCs w:val="22"/>
        </w:rPr>
        <w:t>recommended</w:t>
      </w:r>
      <w:r w:rsidRPr="006F393A">
        <w:rPr>
          <w:szCs w:val="22"/>
        </w:rPr>
        <w:t xml:space="preserve"> for the treatment of Genotype 1 chronic hepatitis C (CHC) in treatment naïve non-cirrhotic patients. The PBAC considered the evidence provided in the submission available in the public domain support the claim that </w:t>
      </w:r>
      <w:r w:rsidRPr="006F393A">
        <w:t xml:space="preserve">Viekira PAK / Viekira PAK-RBV equivalent in terms of efficacy and safety to </w:t>
      </w:r>
      <w:r w:rsidR="000B6BDA" w:rsidRPr="006F393A">
        <w:rPr>
          <w:szCs w:val="22"/>
        </w:rPr>
        <w:t>daclatasvir</w:t>
      </w:r>
      <w:r w:rsidRPr="006F393A">
        <w:rPr>
          <w:szCs w:val="22"/>
        </w:rPr>
        <w:t xml:space="preserve"> in combination with sofosbuvir in this patient population. </w:t>
      </w:r>
    </w:p>
    <w:p w:rsidR="00720130" w:rsidRPr="006F393A" w:rsidRDefault="00720130" w:rsidP="00720130">
      <w:pPr>
        <w:pStyle w:val="PBACHeading1"/>
        <w:numPr>
          <w:ilvl w:val="0"/>
          <w:numId w:val="0"/>
        </w:numPr>
      </w:pPr>
    </w:p>
    <w:p w:rsidR="00997EDA" w:rsidRPr="006F393A" w:rsidRDefault="00F86E8E" w:rsidP="00997EDA">
      <w:pPr>
        <w:widowControl/>
        <w:numPr>
          <w:ilvl w:val="1"/>
          <w:numId w:val="1"/>
        </w:numPr>
        <w:rPr>
          <w:bCs/>
          <w:szCs w:val="22"/>
        </w:rPr>
      </w:pPr>
      <w:r w:rsidRPr="006F393A">
        <w:rPr>
          <w:bCs/>
          <w:szCs w:val="22"/>
        </w:rPr>
        <w:t xml:space="preserve">The PBAC noted that </w:t>
      </w:r>
    </w:p>
    <w:p w:rsidR="00997EDA" w:rsidRPr="006F393A" w:rsidRDefault="00997EDA" w:rsidP="00997EDA">
      <w:pPr>
        <w:pStyle w:val="ListParagraph"/>
        <w:rPr>
          <w:bCs/>
          <w:szCs w:val="22"/>
        </w:rPr>
      </w:pPr>
    </w:p>
    <w:p w:rsidR="00F86E8E" w:rsidRPr="006F393A" w:rsidRDefault="00F86E8E" w:rsidP="00997EDA">
      <w:pPr>
        <w:widowControl/>
        <w:numPr>
          <w:ilvl w:val="1"/>
          <w:numId w:val="10"/>
        </w:numPr>
        <w:rPr>
          <w:bCs/>
          <w:szCs w:val="22"/>
        </w:rPr>
      </w:pPr>
      <w:r w:rsidRPr="006F393A">
        <w:rPr>
          <w:bCs/>
          <w:szCs w:val="22"/>
        </w:rPr>
        <w:t xml:space="preserve">among harder to treat cirrhotic treatment experienced patients, the point estimates were higher in Viekira PAK / Viekira PAK-RBV compared to </w:t>
      </w:r>
      <w:r w:rsidR="00F34038" w:rsidRPr="006F393A">
        <w:rPr>
          <w:bCs/>
          <w:szCs w:val="22"/>
        </w:rPr>
        <w:t xml:space="preserve">12 weeks treatment with </w:t>
      </w:r>
      <w:r w:rsidR="009A73B8" w:rsidRPr="006F393A">
        <w:rPr>
          <w:bCs/>
          <w:szCs w:val="22"/>
        </w:rPr>
        <w:t>LDV/SOF.</w:t>
      </w:r>
    </w:p>
    <w:p w:rsidR="00997EDA" w:rsidRPr="006F393A" w:rsidRDefault="00997EDA" w:rsidP="00997EDA">
      <w:pPr>
        <w:pStyle w:val="ListParagraph"/>
        <w:rPr>
          <w:bCs/>
          <w:szCs w:val="22"/>
        </w:rPr>
      </w:pPr>
    </w:p>
    <w:p w:rsidR="00997EDA" w:rsidRPr="006F393A" w:rsidRDefault="00997EDA" w:rsidP="00997EDA">
      <w:pPr>
        <w:widowControl/>
        <w:numPr>
          <w:ilvl w:val="1"/>
          <w:numId w:val="10"/>
        </w:numPr>
        <w:rPr>
          <w:bCs/>
          <w:szCs w:val="22"/>
        </w:rPr>
      </w:pPr>
      <w:r w:rsidRPr="006F393A">
        <w:rPr>
          <w:bCs/>
          <w:szCs w:val="22"/>
        </w:rPr>
        <w:t>there are different contra</w:t>
      </w:r>
      <w:r w:rsidR="00720130" w:rsidRPr="006F393A">
        <w:rPr>
          <w:bCs/>
          <w:szCs w:val="22"/>
        </w:rPr>
        <w:t>-indications</w:t>
      </w:r>
      <w:r w:rsidRPr="006F393A">
        <w:rPr>
          <w:bCs/>
          <w:szCs w:val="22"/>
        </w:rPr>
        <w:t xml:space="preserve"> for treatment with Viekira PAK / Viekira PAK-RBV and LDV/SOF</w:t>
      </w:r>
    </w:p>
    <w:p w:rsidR="00997EDA" w:rsidRPr="006F393A" w:rsidRDefault="00997EDA" w:rsidP="00997EDA">
      <w:pPr>
        <w:pStyle w:val="ListParagraph"/>
        <w:rPr>
          <w:bCs/>
          <w:szCs w:val="22"/>
        </w:rPr>
      </w:pPr>
    </w:p>
    <w:p w:rsidR="00997EDA" w:rsidRPr="006F393A" w:rsidRDefault="00997EDA" w:rsidP="00997EDA">
      <w:pPr>
        <w:widowControl/>
        <w:numPr>
          <w:ilvl w:val="1"/>
          <w:numId w:val="10"/>
        </w:numPr>
        <w:rPr>
          <w:bCs/>
          <w:szCs w:val="22"/>
        </w:rPr>
      </w:pPr>
      <w:proofErr w:type="gramStart"/>
      <w:r w:rsidRPr="006F393A">
        <w:rPr>
          <w:bCs/>
          <w:szCs w:val="22"/>
        </w:rPr>
        <w:t>the</w:t>
      </w:r>
      <w:proofErr w:type="gramEnd"/>
      <w:r w:rsidRPr="006F393A">
        <w:rPr>
          <w:bCs/>
          <w:szCs w:val="22"/>
        </w:rPr>
        <w:t xml:space="preserve"> number of tablets per day required for treatment differed between Viekira PAK / Viekira PAK-RBV and LDV/SOF. </w:t>
      </w:r>
    </w:p>
    <w:p w:rsidR="00997EDA" w:rsidRPr="006F393A" w:rsidRDefault="00997EDA" w:rsidP="00997EDA">
      <w:pPr>
        <w:pStyle w:val="ListParagraph"/>
        <w:rPr>
          <w:bCs/>
          <w:szCs w:val="22"/>
        </w:rPr>
      </w:pPr>
    </w:p>
    <w:p w:rsidR="00997EDA" w:rsidRPr="006F393A" w:rsidRDefault="00997EDA" w:rsidP="00997EDA">
      <w:pPr>
        <w:widowControl/>
        <w:numPr>
          <w:ilvl w:val="1"/>
          <w:numId w:val="1"/>
        </w:numPr>
        <w:rPr>
          <w:bCs/>
          <w:szCs w:val="22"/>
        </w:rPr>
      </w:pPr>
      <w:r w:rsidRPr="006F393A">
        <w:rPr>
          <w:bCs/>
          <w:szCs w:val="22"/>
        </w:rPr>
        <w:t>Overall, the PBAC considered that the impact of th</w:t>
      </w:r>
      <w:r w:rsidR="00720130" w:rsidRPr="006F393A">
        <w:rPr>
          <w:bCs/>
          <w:szCs w:val="22"/>
        </w:rPr>
        <w:t xml:space="preserve">ese </w:t>
      </w:r>
      <w:r w:rsidRPr="006F393A">
        <w:rPr>
          <w:bCs/>
          <w:szCs w:val="22"/>
        </w:rPr>
        <w:t>difference</w:t>
      </w:r>
      <w:r w:rsidR="00720130" w:rsidRPr="006F393A">
        <w:rPr>
          <w:bCs/>
          <w:szCs w:val="22"/>
        </w:rPr>
        <w:t>s</w:t>
      </w:r>
      <w:r w:rsidRPr="006F393A">
        <w:rPr>
          <w:bCs/>
          <w:szCs w:val="22"/>
        </w:rPr>
        <w:t xml:space="preserve"> on a </w:t>
      </w:r>
      <w:r w:rsidR="00720130" w:rsidRPr="006F393A">
        <w:rPr>
          <w:bCs/>
          <w:szCs w:val="22"/>
        </w:rPr>
        <w:t xml:space="preserve">patient achieving an </w:t>
      </w:r>
      <w:r w:rsidRPr="006F393A">
        <w:rPr>
          <w:bCs/>
          <w:szCs w:val="22"/>
        </w:rPr>
        <w:t xml:space="preserve">SVR12 was unknown but the choice of treatment would be a </w:t>
      </w:r>
      <w:r w:rsidR="00720130" w:rsidRPr="006F393A">
        <w:rPr>
          <w:bCs/>
          <w:szCs w:val="22"/>
        </w:rPr>
        <w:t>clinician</w:t>
      </w:r>
      <w:r w:rsidRPr="006F393A">
        <w:rPr>
          <w:bCs/>
          <w:szCs w:val="22"/>
        </w:rPr>
        <w:t>-patient decision.</w:t>
      </w:r>
    </w:p>
    <w:p w:rsidR="00100643" w:rsidRPr="006F393A" w:rsidRDefault="00100643" w:rsidP="00100643">
      <w:pPr>
        <w:widowControl/>
        <w:ind w:left="720"/>
        <w:rPr>
          <w:bCs/>
          <w:szCs w:val="22"/>
        </w:rPr>
      </w:pPr>
    </w:p>
    <w:p w:rsidR="00997EDA" w:rsidRPr="006F393A" w:rsidRDefault="00997EDA" w:rsidP="00997EDA">
      <w:pPr>
        <w:numPr>
          <w:ilvl w:val="1"/>
          <w:numId w:val="1"/>
        </w:numPr>
        <w:contextualSpacing/>
        <w:rPr>
          <w:szCs w:val="22"/>
        </w:rPr>
      </w:pPr>
      <w:r w:rsidRPr="006F393A">
        <w:rPr>
          <w:szCs w:val="22"/>
        </w:rPr>
        <w:t xml:space="preserve">The PBAC considered that there was no basis on which to make a cost effectiveness recommendation for </w:t>
      </w:r>
      <w:r w:rsidRPr="006F393A">
        <w:rPr>
          <w:bCs/>
          <w:szCs w:val="22"/>
        </w:rPr>
        <w:t xml:space="preserve">Viekira PAK / Viekira PAK-RBV </w:t>
      </w:r>
      <w:r w:rsidRPr="006F393A">
        <w:rPr>
          <w:szCs w:val="22"/>
        </w:rPr>
        <w:t xml:space="preserve">over ledipasvir/sofosbuvir. </w:t>
      </w:r>
    </w:p>
    <w:p w:rsidR="00997EDA" w:rsidRPr="006F393A" w:rsidRDefault="00997EDA" w:rsidP="00997EDA">
      <w:pPr>
        <w:pStyle w:val="ListParagraph"/>
        <w:rPr>
          <w:bCs/>
          <w:szCs w:val="22"/>
        </w:rPr>
      </w:pPr>
    </w:p>
    <w:p w:rsidR="009B0CB1" w:rsidRPr="006F393A" w:rsidRDefault="00997EDA" w:rsidP="00720130">
      <w:pPr>
        <w:widowControl/>
        <w:numPr>
          <w:ilvl w:val="1"/>
          <w:numId w:val="1"/>
        </w:numPr>
        <w:rPr>
          <w:bCs/>
          <w:szCs w:val="22"/>
        </w:rPr>
      </w:pPr>
      <w:r w:rsidRPr="006F393A">
        <w:rPr>
          <w:bCs/>
          <w:szCs w:val="22"/>
        </w:rPr>
        <w:t xml:space="preserve">The PBAC accepted the structure of the economic model presented in the submission and noted the ESC Advice on the </w:t>
      </w:r>
      <w:r w:rsidR="00CF388D" w:rsidRPr="006F393A">
        <w:rPr>
          <w:bCs/>
          <w:szCs w:val="22"/>
        </w:rPr>
        <w:t xml:space="preserve">parameters in </w:t>
      </w:r>
      <w:r w:rsidRPr="006F393A">
        <w:rPr>
          <w:bCs/>
          <w:szCs w:val="22"/>
        </w:rPr>
        <w:t>economic model</w:t>
      </w:r>
      <w:r w:rsidR="00720130" w:rsidRPr="006F393A">
        <w:rPr>
          <w:bCs/>
          <w:szCs w:val="22"/>
        </w:rPr>
        <w:t xml:space="preserve">. </w:t>
      </w:r>
      <w:r w:rsidR="009B0CB1" w:rsidRPr="006F393A">
        <w:rPr>
          <w:szCs w:val="22"/>
        </w:rPr>
        <w:t xml:space="preserve">Overall, the economic model presented in the submission favoured </w:t>
      </w:r>
      <w:r w:rsidR="00720130" w:rsidRPr="006F393A">
        <w:rPr>
          <w:bCs/>
          <w:szCs w:val="22"/>
        </w:rPr>
        <w:t>Viekira PAK / Viekira PAK-RBV</w:t>
      </w:r>
      <w:r w:rsidR="009B0CB1" w:rsidRPr="006F393A">
        <w:rPr>
          <w:szCs w:val="22"/>
        </w:rPr>
        <w:t xml:space="preserve"> and that applying more conservative inputs or sce</w:t>
      </w:r>
      <w:r w:rsidR="00720130" w:rsidRPr="006F393A">
        <w:rPr>
          <w:szCs w:val="22"/>
        </w:rPr>
        <w:t xml:space="preserve">narios increased the ICERs/QALY. </w:t>
      </w:r>
    </w:p>
    <w:p w:rsidR="00720130" w:rsidRPr="006F393A" w:rsidRDefault="00720130" w:rsidP="00720130">
      <w:pPr>
        <w:pStyle w:val="PBACHeading1"/>
        <w:numPr>
          <w:ilvl w:val="0"/>
          <w:numId w:val="0"/>
        </w:numPr>
      </w:pPr>
    </w:p>
    <w:p w:rsidR="00F22176" w:rsidRPr="006F393A" w:rsidRDefault="00F22176" w:rsidP="00610223">
      <w:pPr>
        <w:widowControl/>
        <w:numPr>
          <w:ilvl w:val="1"/>
          <w:numId w:val="1"/>
        </w:numPr>
        <w:rPr>
          <w:bCs/>
          <w:szCs w:val="22"/>
        </w:rPr>
      </w:pPr>
      <w:r w:rsidRPr="006F393A">
        <w:rPr>
          <w:bCs/>
          <w:szCs w:val="22"/>
        </w:rPr>
        <w:t xml:space="preserve">The PBAC recommended a </w:t>
      </w:r>
      <w:r w:rsidRPr="006F393A">
        <w:t>risk-sharing arrangement between sponsor</w:t>
      </w:r>
      <w:r w:rsidR="00B24175" w:rsidRPr="006F393A">
        <w:t>s</w:t>
      </w:r>
      <w:r w:rsidRPr="006F393A">
        <w:t xml:space="preserve"> of </w:t>
      </w:r>
      <w:r w:rsidR="00610223" w:rsidRPr="006F393A">
        <w:t>all IFN-free</w:t>
      </w:r>
      <w:r w:rsidRPr="006F393A">
        <w:t xml:space="preserve"> oral treatments and the Department to give</w:t>
      </w:r>
      <w:r w:rsidRPr="006F393A">
        <w:rPr>
          <w:bCs/>
          <w:szCs w:val="22"/>
        </w:rPr>
        <w:t xml:space="preserve"> budget certainty </w:t>
      </w:r>
      <w:r w:rsidR="00720130" w:rsidRPr="006F393A">
        <w:rPr>
          <w:bCs/>
          <w:szCs w:val="22"/>
        </w:rPr>
        <w:t>to</w:t>
      </w:r>
      <w:r w:rsidRPr="006F393A">
        <w:rPr>
          <w:bCs/>
          <w:szCs w:val="22"/>
        </w:rPr>
        <w:t xml:space="preserve"> the Commonwealth, while not constraining </w:t>
      </w:r>
      <w:r w:rsidR="00B24175" w:rsidRPr="006F393A">
        <w:rPr>
          <w:bCs/>
          <w:szCs w:val="22"/>
        </w:rPr>
        <w:t xml:space="preserve">prescribing and patient </w:t>
      </w:r>
      <w:r w:rsidRPr="006F393A">
        <w:rPr>
          <w:bCs/>
          <w:szCs w:val="22"/>
        </w:rPr>
        <w:t>access</w:t>
      </w:r>
      <w:r w:rsidR="00B24175" w:rsidRPr="006F393A">
        <w:rPr>
          <w:bCs/>
          <w:szCs w:val="22"/>
        </w:rPr>
        <w:t xml:space="preserve"> to</w:t>
      </w:r>
      <w:r w:rsidRPr="006F393A">
        <w:rPr>
          <w:bCs/>
          <w:szCs w:val="22"/>
        </w:rPr>
        <w:t xml:space="preserve"> treatment</w:t>
      </w:r>
      <w:r w:rsidR="00720130" w:rsidRPr="006F393A">
        <w:rPr>
          <w:bCs/>
          <w:szCs w:val="22"/>
        </w:rPr>
        <w:t xml:space="preserve">. </w:t>
      </w:r>
    </w:p>
    <w:p w:rsidR="00720130" w:rsidRPr="006F393A" w:rsidRDefault="00720130" w:rsidP="00720130">
      <w:pPr>
        <w:pStyle w:val="PBACHeading1"/>
        <w:numPr>
          <w:ilvl w:val="0"/>
          <w:numId w:val="0"/>
        </w:numPr>
      </w:pPr>
    </w:p>
    <w:p w:rsidR="009A73B8" w:rsidRPr="006F393A" w:rsidRDefault="009A73B8" w:rsidP="00997EDA">
      <w:pPr>
        <w:widowControl/>
        <w:numPr>
          <w:ilvl w:val="1"/>
          <w:numId w:val="1"/>
        </w:numPr>
        <w:rPr>
          <w:bCs/>
          <w:szCs w:val="22"/>
        </w:rPr>
      </w:pPr>
      <w:r w:rsidRPr="006F393A">
        <w:rPr>
          <w:bCs/>
          <w:szCs w:val="22"/>
        </w:rPr>
        <w:t>In accordance with subsection 101(3BA) of the National Health Act 1953, the PBAC advised that the Committee is of the opinion that, on the basis of the material available at the July 2015 meeting, Viekira PAK / Viekira PAK-RBV should not be treated as interchangeable with other recommended treatments of CHC on an individual patient basis.</w:t>
      </w:r>
    </w:p>
    <w:p w:rsidR="00562243" w:rsidRPr="006F393A" w:rsidRDefault="00562243" w:rsidP="00562243">
      <w:pPr>
        <w:widowControl/>
        <w:ind w:left="720"/>
        <w:rPr>
          <w:bCs/>
          <w:szCs w:val="22"/>
        </w:rPr>
      </w:pPr>
    </w:p>
    <w:p w:rsidR="00562243" w:rsidRPr="006F393A" w:rsidRDefault="00562243" w:rsidP="00997EDA">
      <w:pPr>
        <w:widowControl/>
        <w:numPr>
          <w:ilvl w:val="1"/>
          <w:numId w:val="1"/>
        </w:numPr>
        <w:rPr>
          <w:bCs/>
          <w:szCs w:val="22"/>
        </w:rPr>
      </w:pPr>
      <w:r w:rsidRPr="006F393A">
        <w:rPr>
          <w:bCs/>
          <w:szCs w:val="22"/>
        </w:rPr>
        <w:t>The PBAC noted that suitability of prescribing Viekira PAK / Viekira PAK-RBV by nurse practitioners would depend on the final listing conditions of Viekira PAK / Viekira PAK-RBV. The PBAC were of a mind that in principle nurse practitioners prescribing was likely to be suitable in the context of a share</w:t>
      </w:r>
      <w:r w:rsidR="009F0914" w:rsidRPr="006F393A">
        <w:rPr>
          <w:bCs/>
          <w:szCs w:val="22"/>
        </w:rPr>
        <w:t>d</w:t>
      </w:r>
      <w:r w:rsidRPr="006F393A">
        <w:rPr>
          <w:bCs/>
          <w:szCs w:val="22"/>
        </w:rPr>
        <w:t xml:space="preserve"> care model.</w:t>
      </w:r>
    </w:p>
    <w:p w:rsidR="00562243" w:rsidRPr="006F393A" w:rsidRDefault="00562243" w:rsidP="00562243">
      <w:pPr>
        <w:widowControl/>
        <w:ind w:left="720"/>
        <w:rPr>
          <w:bCs/>
          <w:szCs w:val="22"/>
        </w:rPr>
      </w:pPr>
    </w:p>
    <w:p w:rsidR="00562243" w:rsidRPr="006F393A" w:rsidRDefault="00562243" w:rsidP="00997EDA">
      <w:pPr>
        <w:widowControl/>
        <w:numPr>
          <w:ilvl w:val="1"/>
          <w:numId w:val="1"/>
        </w:numPr>
        <w:rPr>
          <w:bCs/>
          <w:szCs w:val="22"/>
        </w:rPr>
      </w:pPr>
      <w:r w:rsidRPr="006F393A">
        <w:rPr>
          <w:bCs/>
          <w:szCs w:val="22"/>
        </w:rPr>
        <w:t>The PBAC recommended that the Safety Net 20 Day Rule should apply to all the interferon-free DAA regimens</w:t>
      </w:r>
      <w:r w:rsidR="009B0CB1" w:rsidRPr="006F393A">
        <w:rPr>
          <w:bCs/>
          <w:szCs w:val="22"/>
        </w:rPr>
        <w:t>, and would apply to this and previous recommendations for IFN-free treatments</w:t>
      </w:r>
      <w:r w:rsidR="009849B7" w:rsidRPr="006F393A">
        <w:rPr>
          <w:bCs/>
          <w:szCs w:val="22"/>
        </w:rPr>
        <w:t xml:space="preserve">. </w:t>
      </w:r>
    </w:p>
    <w:p w:rsidR="00720130" w:rsidRPr="006F393A" w:rsidRDefault="00720130" w:rsidP="00720130">
      <w:pPr>
        <w:pStyle w:val="PBACHeading1"/>
        <w:numPr>
          <w:ilvl w:val="0"/>
          <w:numId w:val="0"/>
        </w:numPr>
      </w:pPr>
    </w:p>
    <w:p w:rsidR="00562243" w:rsidRPr="006F393A" w:rsidRDefault="00562243" w:rsidP="00997EDA">
      <w:pPr>
        <w:widowControl/>
        <w:numPr>
          <w:ilvl w:val="1"/>
          <w:numId w:val="1"/>
        </w:numPr>
        <w:rPr>
          <w:bCs/>
          <w:szCs w:val="22"/>
        </w:rPr>
      </w:pPr>
      <w:r w:rsidRPr="006F393A">
        <w:rPr>
          <w:bCs/>
          <w:szCs w:val="22"/>
        </w:rPr>
        <w:t>The submission is not eligible for an Independent Review, because the PBAC made a positive recommendation.</w:t>
      </w:r>
    </w:p>
    <w:p w:rsidR="00720130" w:rsidRPr="006F393A" w:rsidRDefault="00720130" w:rsidP="00720130">
      <w:pPr>
        <w:pStyle w:val="PBACHeading1"/>
        <w:numPr>
          <w:ilvl w:val="0"/>
          <w:numId w:val="0"/>
        </w:numPr>
      </w:pPr>
    </w:p>
    <w:p w:rsidR="00997EDA" w:rsidRPr="006F393A" w:rsidRDefault="00997EDA" w:rsidP="00997EDA">
      <w:pPr>
        <w:numPr>
          <w:ilvl w:val="1"/>
          <w:numId w:val="1"/>
        </w:numPr>
        <w:contextualSpacing/>
        <w:rPr>
          <w:szCs w:val="22"/>
        </w:rPr>
      </w:pPr>
      <w:r w:rsidRPr="006F393A">
        <w:rPr>
          <w:szCs w:val="22"/>
        </w:rPr>
        <w:t xml:space="preserve">The PBAC acknowledged that there was a high clinical need for more effective and tolerable treatment for HCV. The PBAC noted that there is a large number (around 230,000) of patients with the chronic HCV who are untreated and that the utilisation of existing listings was low as patients were contraindicated or unwilling to take interferon. Based on the prevalence of HCV and the financial estimate presented in the submission, the PBAC considered that there would be a significant opportunity cost to the Commonwealth of listing oral treatments as their uptake would be substantially higher than currently subsidised medicines. The PBAC reiterated its view that the clinical management of individuals with HCV is moving so rapidly that a broader Government and community approach is needed to maximise the clinical outcomes and patient access to treatment. As well as subsidising new treatment on the PBS, other factors that increase the capacity to treat patients need to be explored. </w:t>
      </w:r>
    </w:p>
    <w:p w:rsidR="00997EDA" w:rsidRPr="006F393A" w:rsidRDefault="00997EDA" w:rsidP="00C33B2D">
      <w:pPr>
        <w:widowControl/>
        <w:jc w:val="left"/>
        <w:rPr>
          <w:szCs w:val="22"/>
        </w:rPr>
      </w:pPr>
    </w:p>
    <w:p w:rsidR="00997EDA" w:rsidRPr="006F393A" w:rsidRDefault="00997EDA" w:rsidP="00997EDA">
      <w:pPr>
        <w:numPr>
          <w:ilvl w:val="1"/>
          <w:numId w:val="1"/>
        </w:numPr>
        <w:contextualSpacing/>
        <w:rPr>
          <w:szCs w:val="22"/>
        </w:rPr>
      </w:pPr>
      <w:r w:rsidRPr="006F393A">
        <w:rPr>
          <w:szCs w:val="22"/>
        </w:rPr>
        <w:t xml:space="preserve">The PBAC wished to </w:t>
      </w:r>
      <w:r w:rsidR="00720130" w:rsidRPr="006F393A">
        <w:rPr>
          <w:szCs w:val="22"/>
        </w:rPr>
        <w:t>re-</w:t>
      </w:r>
      <w:r w:rsidRPr="006F393A">
        <w:rPr>
          <w:szCs w:val="22"/>
        </w:rPr>
        <w:t>advise the Minister that:</w:t>
      </w:r>
    </w:p>
    <w:p w:rsidR="00997EDA" w:rsidRPr="006F393A" w:rsidRDefault="00997EDA" w:rsidP="0012444B">
      <w:pPr>
        <w:numPr>
          <w:ilvl w:val="0"/>
          <w:numId w:val="11"/>
        </w:numPr>
        <w:spacing w:after="200"/>
        <w:ind w:left="993" w:hanging="284"/>
        <w:contextualSpacing/>
        <w:rPr>
          <w:szCs w:val="22"/>
        </w:rPr>
      </w:pPr>
      <w:r w:rsidRPr="006F393A">
        <w:rPr>
          <w:szCs w:val="22"/>
        </w:rPr>
        <w:t xml:space="preserve">While interferon-free oral direct acting antiviral (DAA) agents provide safe and effective treatment options for patients with CHC, there is a substantial opportunity cost associated with the potential listing of these medicines. Given this large opportunity cost, the cost of a course of treatment should be set irrespective of the duration, and that other pricing policies </w:t>
      </w:r>
      <w:proofErr w:type="gramStart"/>
      <w:r w:rsidRPr="006F393A">
        <w:rPr>
          <w:szCs w:val="22"/>
        </w:rPr>
        <w:t>be</w:t>
      </w:r>
      <w:proofErr w:type="gramEnd"/>
      <w:r w:rsidRPr="006F393A">
        <w:rPr>
          <w:szCs w:val="22"/>
        </w:rPr>
        <w:t xml:space="preserve"> considered.</w:t>
      </w:r>
    </w:p>
    <w:p w:rsidR="00997EDA" w:rsidRPr="006F393A" w:rsidRDefault="00997EDA" w:rsidP="0012444B">
      <w:pPr>
        <w:numPr>
          <w:ilvl w:val="0"/>
          <w:numId w:val="11"/>
        </w:numPr>
        <w:spacing w:after="200"/>
        <w:ind w:left="993" w:hanging="284"/>
        <w:contextualSpacing/>
        <w:rPr>
          <w:szCs w:val="22"/>
        </w:rPr>
      </w:pPr>
      <w:r w:rsidRPr="006F393A">
        <w:rPr>
          <w:szCs w:val="22"/>
        </w:rPr>
        <w:t xml:space="preserve">The impact of the new antivirals on patients currently infected has been modelled by Sievert et al. (2014). This modelling shows that the number of people with chronic hepatitis C (CHC) will be reduced by 60% in 2030 compared to the base case of current treatment. The assumptions in the model include up to 13,500 people (including all fibrosis stages) are treated annually by 2018 and the DAA agents are expected to have rates of sustained virologic response (measured at 12 weeks, SVR12) up to 90% for genotype 1 and 80% for genotype 3 by 2016.  The analyses accounted for mortality but did not consider re-infection. </w:t>
      </w:r>
    </w:p>
    <w:p w:rsidR="00997EDA" w:rsidRPr="006F393A" w:rsidRDefault="00997EDA" w:rsidP="0012444B">
      <w:pPr>
        <w:numPr>
          <w:ilvl w:val="0"/>
          <w:numId w:val="11"/>
        </w:numPr>
        <w:spacing w:after="200"/>
        <w:ind w:left="993" w:hanging="284"/>
        <w:contextualSpacing/>
        <w:rPr>
          <w:szCs w:val="22"/>
        </w:rPr>
      </w:pPr>
      <w:r w:rsidRPr="006F393A">
        <w:rPr>
          <w:szCs w:val="22"/>
        </w:rPr>
        <w:t xml:space="preserve">Advice from the Australian Liver Association (ALA) indicated that of the estimated 233,000 people living with Hepatitis C virus (HCV), 193,000 patients have been diagnosed. Listing of oral DAA agents may increase public and clinician awareness of the disease potentially leading to increased testing and diagnosis. </w:t>
      </w:r>
    </w:p>
    <w:p w:rsidR="00997EDA" w:rsidRPr="006F393A" w:rsidRDefault="00997EDA" w:rsidP="0012444B">
      <w:pPr>
        <w:numPr>
          <w:ilvl w:val="0"/>
          <w:numId w:val="11"/>
        </w:numPr>
        <w:spacing w:after="200"/>
        <w:ind w:left="993" w:hanging="284"/>
        <w:contextualSpacing/>
        <w:rPr>
          <w:szCs w:val="22"/>
        </w:rPr>
      </w:pPr>
      <w:r w:rsidRPr="006F393A">
        <w:rPr>
          <w:szCs w:val="22"/>
        </w:rPr>
        <w:t xml:space="preserve">The DUSC analysis shows that </w:t>
      </w:r>
      <w:r w:rsidRPr="00FD184D">
        <w:rPr>
          <w:szCs w:val="22"/>
        </w:rPr>
        <w:t xml:space="preserve">approximately 60 000 patients would be treated </w:t>
      </w:r>
      <w:r w:rsidRPr="006F393A">
        <w:rPr>
          <w:szCs w:val="22"/>
        </w:rPr>
        <w:t>over 5 years, based on treatment targets in the Fourth National Hepatitis C Strategy 2014-2017, together with the advice from the ALA and February 2014 Stakeholder meeting (New oral antivirals for the Treatment of Hepatitis C). However, it is not clear how many people living with CHC will seek treatment, particularly if patients have to be seen in specialist liver clinics or wait for a referral to a liver clinic. Prescribing is likely to continue to be delivered through specialist clinics in the short-term until clinicians in other settings have learned how to use the DAA agents. Patients may still be required to go through the hospital system as part of their clinical management, which could be a limiting factor to uptake.</w:t>
      </w:r>
    </w:p>
    <w:p w:rsidR="00997EDA" w:rsidRPr="006F393A" w:rsidRDefault="00997EDA" w:rsidP="0012444B">
      <w:pPr>
        <w:numPr>
          <w:ilvl w:val="0"/>
          <w:numId w:val="11"/>
        </w:numPr>
        <w:spacing w:after="200"/>
        <w:ind w:left="993" w:hanging="284"/>
        <w:contextualSpacing/>
        <w:rPr>
          <w:szCs w:val="22"/>
        </w:rPr>
      </w:pPr>
      <w:r w:rsidRPr="006F393A">
        <w:rPr>
          <w:szCs w:val="22"/>
        </w:rPr>
        <w:t xml:space="preserve">Given the very large opportunity cost, one option would be to restrict access to treatment to those with the highest clinical need. The PBAC </w:t>
      </w:r>
      <w:r w:rsidR="00720130" w:rsidRPr="006F393A">
        <w:rPr>
          <w:szCs w:val="22"/>
        </w:rPr>
        <w:t>reiterated</w:t>
      </w:r>
      <w:r w:rsidRPr="006F393A">
        <w:rPr>
          <w:szCs w:val="22"/>
        </w:rPr>
        <w:t xml:space="preserve"> that it was inappropriate to restrict access, given the likely benefit of the DAA agents across the full spectrum of patients with CHC, from those with early disease to those</w:t>
      </w:r>
      <w:r w:rsidRPr="00FD184D">
        <w:rPr>
          <w:szCs w:val="22"/>
        </w:rPr>
        <w:t xml:space="preserve"> patients with existing liver cirrhosis and severe portal hypertension, decompensated liver disease, or patients post liver transplant</w:t>
      </w:r>
      <w:r w:rsidRPr="006F393A">
        <w:rPr>
          <w:szCs w:val="22"/>
        </w:rPr>
        <w:t>. The benefits in terms of avoidance or delay of decompensated cirrhosis, hepatocellular carcinoma and morbidity are likely to be seen earlier in the most severely ill, but population benefits, such as reduction in transmission of the disease, are likely to occur with wide access to treatment. This and other benefits may be also realised via other community-based programmes and strategies, such as those described in the Fourth National Hepatitis C Strategy 2014-2017.</w:t>
      </w:r>
    </w:p>
    <w:p w:rsidR="00997EDA" w:rsidRPr="006F393A" w:rsidRDefault="00997EDA" w:rsidP="0012444B">
      <w:pPr>
        <w:numPr>
          <w:ilvl w:val="0"/>
          <w:numId w:val="11"/>
        </w:numPr>
        <w:spacing w:after="200"/>
        <w:ind w:left="993" w:hanging="284"/>
        <w:contextualSpacing/>
        <w:rPr>
          <w:szCs w:val="22"/>
        </w:rPr>
      </w:pPr>
      <w:r w:rsidRPr="006F393A">
        <w:rPr>
          <w:szCs w:val="22"/>
        </w:rPr>
        <w:t xml:space="preserve">The high response (sustained virologic response measured at 12 weeks, SVR12) observed in the clinical trials may only be realised if the adherence of patients in Australia to treatment is similar to those in the clinical trials. While there is a patient preference for shorter treatments, and new shorter treatment regimens are currently being tested, for some patients, 24 weeks of treatment are necessary. Therefore it is critical that appropriate prescribing education be put in place to </w:t>
      </w:r>
      <w:r w:rsidR="00C33B2D">
        <w:rPr>
          <w:szCs w:val="22"/>
        </w:rPr>
        <w:t>maximise</w:t>
      </w:r>
      <w:r w:rsidRPr="006F393A">
        <w:rPr>
          <w:szCs w:val="22"/>
        </w:rPr>
        <w:t xml:space="preserve"> the benefits to the Australian community.</w:t>
      </w:r>
    </w:p>
    <w:p w:rsidR="00997EDA" w:rsidRPr="006F393A" w:rsidRDefault="00997EDA" w:rsidP="0012444B">
      <w:pPr>
        <w:numPr>
          <w:ilvl w:val="0"/>
          <w:numId w:val="11"/>
        </w:numPr>
        <w:spacing w:after="200"/>
        <w:ind w:left="993" w:hanging="284"/>
        <w:contextualSpacing/>
        <w:rPr>
          <w:szCs w:val="22"/>
        </w:rPr>
      </w:pPr>
      <w:r w:rsidRPr="006F393A">
        <w:rPr>
          <w:szCs w:val="22"/>
        </w:rPr>
        <w:t>The treatment landscape of HCV treatment is changing rapidly, as new DAA agents or new combinations or DAA agents become available and treatment guidelines are regularly updated. It is likely that new DAA agents will be produced over the next 2 to 3 years that may further increase treatment options.</w:t>
      </w:r>
    </w:p>
    <w:p w:rsidR="00997EDA" w:rsidRPr="006F393A" w:rsidRDefault="00997EDA" w:rsidP="00720130">
      <w:pPr>
        <w:widowControl/>
        <w:rPr>
          <w:bCs/>
          <w:szCs w:val="22"/>
        </w:rPr>
      </w:pPr>
    </w:p>
    <w:p w:rsidR="00CB0330" w:rsidRPr="006F393A" w:rsidRDefault="00CB0330" w:rsidP="00CB0330">
      <w:pPr>
        <w:widowControl/>
        <w:rPr>
          <w:b/>
          <w:bCs/>
          <w:szCs w:val="22"/>
          <w:lang w:val="en-GB"/>
        </w:rPr>
      </w:pPr>
    </w:p>
    <w:p w:rsidR="00CB0330" w:rsidRPr="006F393A" w:rsidRDefault="00CB0330" w:rsidP="00CB0330">
      <w:pPr>
        <w:widowControl/>
        <w:rPr>
          <w:b/>
          <w:bCs/>
          <w:szCs w:val="22"/>
          <w:lang w:val="en-GB"/>
        </w:rPr>
      </w:pPr>
      <w:r w:rsidRPr="006F393A">
        <w:rPr>
          <w:b/>
          <w:bCs/>
          <w:szCs w:val="22"/>
          <w:lang w:val="en-GB"/>
        </w:rPr>
        <w:t>Outcome:</w:t>
      </w:r>
    </w:p>
    <w:p w:rsidR="00CB0330" w:rsidRPr="006F393A" w:rsidRDefault="00CB5936" w:rsidP="00CB0330">
      <w:pPr>
        <w:widowControl/>
        <w:rPr>
          <w:bCs/>
          <w:szCs w:val="22"/>
          <w:lang w:val="en-GB"/>
        </w:rPr>
      </w:pPr>
      <w:proofErr w:type="gramStart"/>
      <w:r w:rsidRPr="006F393A">
        <w:rPr>
          <w:bCs/>
          <w:szCs w:val="22"/>
          <w:lang w:val="en-GB"/>
        </w:rPr>
        <w:t>Recommended.</w:t>
      </w:r>
      <w:proofErr w:type="gramEnd"/>
    </w:p>
    <w:p w:rsidR="00CB0330" w:rsidRDefault="00CB0330" w:rsidP="00CB0330">
      <w:pPr>
        <w:widowControl/>
        <w:rPr>
          <w:bCs/>
          <w:szCs w:val="22"/>
          <w:lang w:val="en-GB"/>
        </w:rPr>
      </w:pPr>
    </w:p>
    <w:p w:rsidR="0023395B" w:rsidRPr="006F393A" w:rsidRDefault="0023395B" w:rsidP="00CB0330">
      <w:pPr>
        <w:widowControl/>
        <w:rPr>
          <w:bCs/>
          <w:szCs w:val="22"/>
          <w:lang w:val="en-GB"/>
        </w:rPr>
      </w:pPr>
    </w:p>
    <w:p w:rsidR="00CB0330" w:rsidRPr="006F393A" w:rsidRDefault="00CB0330" w:rsidP="00997EDA">
      <w:pPr>
        <w:widowControl/>
        <w:numPr>
          <w:ilvl w:val="0"/>
          <w:numId w:val="1"/>
        </w:numPr>
        <w:rPr>
          <w:b/>
          <w:bCs/>
          <w:szCs w:val="22"/>
          <w:lang w:val="en-GB"/>
        </w:rPr>
      </w:pPr>
      <w:r w:rsidRPr="006F393A">
        <w:rPr>
          <w:b/>
          <w:bCs/>
          <w:szCs w:val="22"/>
          <w:lang w:val="en-GB"/>
        </w:rPr>
        <w:t>Recommended listing</w:t>
      </w:r>
    </w:p>
    <w:p w:rsidR="00CB0330" w:rsidRPr="006F393A" w:rsidRDefault="00CB0330" w:rsidP="00CB0330">
      <w:pPr>
        <w:widowControl/>
        <w:rPr>
          <w:b/>
          <w:bCs/>
          <w:szCs w:val="22"/>
          <w:lang w:val="en-GB"/>
        </w:rPr>
      </w:pPr>
    </w:p>
    <w:p w:rsidR="00CB0330" w:rsidRPr="006F393A" w:rsidRDefault="0028796E" w:rsidP="00997EDA">
      <w:pPr>
        <w:widowControl/>
        <w:numPr>
          <w:ilvl w:val="1"/>
          <w:numId w:val="1"/>
        </w:numPr>
        <w:rPr>
          <w:bCs/>
          <w:szCs w:val="22"/>
        </w:rPr>
      </w:pPr>
      <w:r>
        <w:rPr>
          <w:bCs/>
          <w:szCs w:val="22"/>
        </w:rPr>
        <w:t>Add new item:</w:t>
      </w:r>
    </w:p>
    <w:p w:rsidR="00CB0330" w:rsidRDefault="00CB2BF1" w:rsidP="0028796E">
      <w:pPr>
        <w:widowControl/>
        <w:ind w:firstLine="720"/>
        <w:rPr>
          <w:bCs/>
          <w:szCs w:val="22"/>
        </w:rPr>
      </w:pPr>
      <w:r w:rsidRPr="006F393A">
        <w:rPr>
          <w:bCs/>
          <w:szCs w:val="22"/>
        </w:rPr>
        <w:t>Restriction to be finalised</w:t>
      </w:r>
    </w:p>
    <w:p w:rsidR="0023395B" w:rsidRDefault="0023395B" w:rsidP="00CB0330">
      <w:pPr>
        <w:widowControl/>
        <w:rPr>
          <w:bCs/>
          <w:szCs w:val="22"/>
        </w:rPr>
      </w:pPr>
    </w:p>
    <w:p w:rsidR="003C4CF6" w:rsidRDefault="003C4CF6" w:rsidP="00CB0330">
      <w:pPr>
        <w:widowControl/>
        <w:rPr>
          <w:bCs/>
          <w:szCs w:val="22"/>
        </w:rPr>
      </w:pPr>
    </w:p>
    <w:p w:rsidR="0023395B" w:rsidRPr="0023395B" w:rsidRDefault="0023395B" w:rsidP="0023395B">
      <w:pPr>
        <w:widowControl/>
        <w:numPr>
          <w:ilvl w:val="0"/>
          <w:numId w:val="1"/>
        </w:numPr>
        <w:rPr>
          <w:b/>
          <w:bCs/>
          <w:szCs w:val="22"/>
          <w:lang w:val="en-GB"/>
        </w:rPr>
      </w:pPr>
      <w:r w:rsidRPr="0023395B">
        <w:rPr>
          <w:b/>
          <w:bCs/>
          <w:szCs w:val="22"/>
          <w:lang w:val="en-GB"/>
        </w:rPr>
        <w:t xml:space="preserve">Context for Decision </w:t>
      </w:r>
    </w:p>
    <w:p w:rsidR="0023395B" w:rsidRPr="0023395B" w:rsidRDefault="0023395B" w:rsidP="0023395B">
      <w:pPr>
        <w:widowControl/>
        <w:rPr>
          <w:bCs/>
          <w:szCs w:val="22"/>
        </w:rPr>
      </w:pPr>
    </w:p>
    <w:p w:rsidR="0023395B" w:rsidRDefault="0023395B" w:rsidP="0023395B">
      <w:pPr>
        <w:widowControl/>
        <w:numPr>
          <w:ilvl w:val="1"/>
          <w:numId w:val="1"/>
        </w:numPr>
        <w:rPr>
          <w:bCs/>
          <w:szCs w:val="22"/>
        </w:rPr>
      </w:pPr>
      <w:r w:rsidRPr="0023395B">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3395B" w:rsidRDefault="0023395B" w:rsidP="0023395B">
      <w:pPr>
        <w:widowControl/>
        <w:rPr>
          <w:bCs/>
          <w:szCs w:val="22"/>
        </w:rPr>
      </w:pPr>
    </w:p>
    <w:p w:rsidR="003C4CF6" w:rsidRDefault="003C4CF6" w:rsidP="0023395B">
      <w:pPr>
        <w:widowControl/>
        <w:rPr>
          <w:bCs/>
          <w:szCs w:val="22"/>
        </w:rPr>
      </w:pPr>
    </w:p>
    <w:p w:rsidR="0023395B" w:rsidRDefault="0023395B" w:rsidP="0023395B">
      <w:pPr>
        <w:widowControl/>
        <w:numPr>
          <w:ilvl w:val="0"/>
          <w:numId w:val="1"/>
        </w:numPr>
        <w:rPr>
          <w:b/>
          <w:bCs/>
          <w:szCs w:val="22"/>
          <w:lang w:val="en-GB"/>
        </w:rPr>
      </w:pPr>
      <w:r w:rsidRPr="0023395B">
        <w:rPr>
          <w:b/>
          <w:bCs/>
          <w:szCs w:val="22"/>
          <w:lang w:val="en-GB"/>
        </w:rPr>
        <w:t>Sponsor’s Comment</w:t>
      </w:r>
    </w:p>
    <w:p w:rsidR="0023395B" w:rsidRPr="0023395B" w:rsidRDefault="00571B07" w:rsidP="0023395B">
      <w:pPr>
        <w:widowControl/>
        <w:ind w:left="720"/>
        <w:rPr>
          <w:bCs/>
          <w:szCs w:val="22"/>
          <w:lang w:val="en-GB"/>
        </w:rPr>
      </w:pPr>
      <w:r>
        <w:rPr>
          <w:bCs/>
          <w:szCs w:val="22"/>
          <w:lang w:val="en-GB"/>
        </w:rPr>
        <w:t xml:space="preserve">AbbVie welcomes the PBAC’s decision to recommend the reimbursement of Viekira PAK and Viekira PAK-RBV for patients with genotype 1 chronic hepatitis C and is committed to providing access for patients as quickly as possible. </w:t>
      </w:r>
    </w:p>
    <w:sectPr w:rsidR="0023395B" w:rsidRPr="0023395B" w:rsidSect="00F2224E">
      <w:headerReference w:type="default" r:id="rId9"/>
      <w:footerReference w:type="default" r:id="rId10"/>
      <w:footnotePr>
        <w:numFmt w:val="lowerLetter"/>
      </w:footnotePr>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E85967" w15:done="0"/>
  <w15:commentEx w15:paraId="7BBAB961" w15:paraIdParent="5BE85967" w15:done="0"/>
  <w15:commentEx w15:paraId="4566ACD5" w15:done="0"/>
  <w15:commentEx w15:paraId="0F01451E" w15:done="0"/>
  <w15:commentEx w15:paraId="3EC54C4B" w15:done="0"/>
  <w15:commentEx w15:paraId="320C9C29" w15:done="0"/>
  <w15:commentEx w15:paraId="6E400CFB" w15:done="0"/>
  <w15:commentEx w15:paraId="2A3EEE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712" w:rsidRDefault="00C87712" w:rsidP="00124A51">
      <w:r>
        <w:separator/>
      </w:r>
    </w:p>
  </w:endnote>
  <w:endnote w:type="continuationSeparator" w:id="0">
    <w:p w:rsidR="00C87712" w:rsidRDefault="00C87712" w:rsidP="00124A51">
      <w:r>
        <w:continuationSeparator/>
      </w:r>
    </w:p>
  </w:endnote>
  <w:endnote w:type="continuationNotice" w:id="1">
    <w:p w:rsidR="00C87712" w:rsidRDefault="00C87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712" w:rsidRPr="00BA4343" w:rsidRDefault="00C87712" w:rsidP="00BA4343">
    <w:pPr>
      <w:pStyle w:val="Footer"/>
      <w:jc w:val="center"/>
    </w:pPr>
    <w:r w:rsidRPr="00BA4343">
      <w:fldChar w:fldCharType="begin"/>
    </w:r>
    <w:r w:rsidRPr="00BA4343">
      <w:instrText xml:space="preserve"> PAGE   \* MERGEFORMAT </w:instrText>
    </w:r>
    <w:r w:rsidRPr="00BA4343">
      <w:fldChar w:fldCharType="separate"/>
    </w:r>
    <w:r w:rsidR="007136DC">
      <w:rPr>
        <w:noProof/>
      </w:rPr>
      <w:t>1</w:t>
    </w:r>
    <w:r w:rsidRPr="00BA4343">
      <w:fldChar w:fldCharType="end"/>
    </w:r>
  </w:p>
  <w:p w:rsidR="00C87712" w:rsidRDefault="00C877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712" w:rsidRDefault="00C87712" w:rsidP="00124A51">
      <w:r>
        <w:separator/>
      </w:r>
    </w:p>
  </w:footnote>
  <w:footnote w:type="continuationSeparator" w:id="0">
    <w:p w:rsidR="00C87712" w:rsidRDefault="00C87712" w:rsidP="00124A51">
      <w:r>
        <w:continuationSeparator/>
      </w:r>
    </w:p>
  </w:footnote>
  <w:footnote w:type="continuationNotice" w:id="1">
    <w:p w:rsidR="00C87712" w:rsidRDefault="00C87712"/>
  </w:footnote>
  <w:footnote w:id="2">
    <w:p w:rsidR="00C87712" w:rsidRDefault="00C87712" w:rsidP="005C2830">
      <w:pPr>
        <w:pStyle w:val="FootnoteText"/>
      </w:pPr>
      <w:r>
        <w:rPr>
          <w:rStyle w:val="FootnoteReference"/>
        </w:rPr>
        <w:footnoteRef/>
      </w:r>
      <w:r>
        <w:t xml:space="preserve"> Consistent with the Recomme</w:t>
      </w:r>
      <w:r w:rsidRPr="003E61EA">
        <w:t>ndations from the Australian Liver Association on patients with a high clinical need for treatment with all oral regimes for chronic hepatitis C, November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712" w:rsidRPr="00DF217D" w:rsidRDefault="00C87712" w:rsidP="00FE1F4A">
    <w:pPr>
      <w:pStyle w:val="Header"/>
      <w:jc w:val="center"/>
      <w:rPr>
        <w:i/>
        <w:color w:val="808080"/>
      </w:rPr>
    </w:pPr>
    <w:r>
      <w:rPr>
        <w:i/>
        <w:color w:val="808080"/>
      </w:rPr>
      <w:t xml:space="preserve">Public Summary Document – July 2015 </w:t>
    </w:r>
    <w:r w:rsidRPr="00DF217D">
      <w:rPr>
        <w:i/>
        <w:color w:val="808080"/>
      </w:rPr>
      <w:t>PBAC</w:t>
    </w:r>
    <w:r>
      <w:rPr>
        <w:i/>
        <w:color w:val="808080"/>
      </w:rPr>
      <w:t xml:space="preserve"> </w:t>
    </w:r>
    <w:r w:rsidRPr="00DF217D">
      <w:rPr>
        <w:i/>
        <w:color w:val="808080"/>
      </w:rPr>
      <w:t>Meeting</w:t>
    </w:r>
  </w:p>
  <w:p w:rsidR="00C87712" w:rsidRDefault="00C877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69.1pt;height:169.1pt" o:bullet="t">
        <v:imagedata r:id="rId1" o:title="download"/>
      </v:shape>
    </w:pict>
  </w:numPicBullet>
  <w:abstractNum w:abstractNumId="0">
    <w:nsid w:val="022331B9"/>
    <w:multiLevelType w:val="multilevel"/>
    <w:tmpl w:val="9C829B1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3C00186"/>
    <w:multiLevelType w:val="hybridMultilevel"/>
    <w:tmpl w:val="5EF8B9BC"/>
    <w:lvl w:ilvl="0" w:tplc="0C090001">
      <w:start w:val="1"/>
      <w:numFmt w:val="bullet"/>
      <w:lvlText w:val=""/>
      <w:lvlJc w:val="left"/>
      <w:pPr>
        <w:ind w:left="121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4EC4515"/>
    <w:multiLevelType w:val="hybridMultilevel"/>
    <w:tmpl w:val="B03675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F29125D"/>
    <w:multiLevelType w:val="hybridMultilevel"/>
    <w:tmpl w:val="4C5E017A"/>
    <w:lvl w:ilvl="0" w:tplc="01CE73A0">
      <w:numFmt w:val="bullet"/>
      <w:lvlText w:val=""/>
      <w:lvlPicBulletId w:val="0"/>
      <w:lvlJc w:val="left"/>
      <w:pPr>
        <w:ind w:left="720" w:hanging="360"/>
      </w:pPr>
      <w:rPr>
        <w:rFonts w:ascii="Symbol" w:eastAsia="Times New Roman" w:hAnsi="Symbol" w:cs="Times New Roman"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0C611C"/>
    <w:multiLevelType w:val="hybridMultilevel"/>
    <w:tmpl w:val="53A662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3D86105C"/>
    <w:multiLevelType w:val="hybridMultilevel"/>
    <w:tmpl w:val="7492A0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46963A55"/>
    <w:multiLevelType w:val="hybridMultilevel"/>
    <w:tmpl w:val="05ACDB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A532371"/>
    <w:multiLevelType w:val="hybridMultilevel"/>
    <w:tmpl w:val="D5640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1DC736E"/>
    <w:multiLevelType w:val="hybridMultilevel"/>
    <w:tmpl w:val="0C5A5E4A"/>
    <w:lvl w:ilvl="0" w:tplc="0C090001">
      <w:start w:val="1"/>
      <w:numFmt w:val="bullet"/>
      <w:lvlText w:val=""/>
      <w:lvlJc w:val="left"/>
      <w:pPr>
        <w:ind w:left="1212" w:hanging="360"/>
      </w:pPr>
      <w:rPr>
        <w:rFonts w:ascii="Symbol" w:hAnsi="Symbol"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9">
    <w:nsid w:val="784D033C"/>
    <w:multiLevelType w:val="multilevel"/>
    <w:tmpl w:val="4C46A85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A1F3DFE"/>
    <w:multiLevelType w:val="hybridMultilevel"/>
    <w:tmpl w:val="CF7AF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B931CBD"/>
    <w:multiLevelType w:val="hybridMultilevel"/>
    <w:tmpl w:val="7C5094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7EF55792"/>
    <w:multiLevelType w:val="hybridMultilevel"/>
    <w:tmpl w:val="70A6F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4"/>
  </w:num>
  <w:num w:numId="4">
    <w:abstractNumId w:val="10"/>
  </w:num>
  <w:num w:numId="5">
    <w:abstractNumId w:val="11"/>
  </w:num>
  <w:num w:numId="6">
    <w:abstractNumId w:val="2"/>
  </w:num>
  <w:num w:numId="7">
    <w:abstractNumId w:val="0"/>
  </w:num>
  <w:num w:numId="8">
    <w:abstractNumId w:val="5"/>
  </w:num>
  <w:num w:numId="9">
    <w:abstractNumId w:val="8"/>
  </w:num>
  <w:num w:numId="10">
    <w:abstractNumId w:val="7"/>
  </w:num>
  <w:num w:numId="11">
    <w:abstractNumId w:val="1"/>
  </w:num>
  <w:num w:numId="12">
    <w:abstractNumId w:val="6"/>
  </w:num>
  <w:num w:numId="13">
    <w:abstractNumId w:val="3"/>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Snelling">
    <w15:presenceInfo w15:providerId="AD" w15:userId="S-1-5-21-1982029612-917206853-945835055-19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characterSpacingControl w:val="doNotCompress"/>
  <w:hdrShapeDefaults>
    <o:shapedefaults v:ext="edit" spidmax="2049"/>
  </w:hdrShapeDefaults>
  <w:footnotePr>
    <w:numFmt w:val="lowerLette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dave&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05t905xaxr2eke9vaqxw5xre5f9wpsx9dzx&quot;&gt;ViekiraPAK 20150331&lt;record-ids&gt;&lt;item&gt;2&lt;/item&gt;&lt;item&gt;7&lt;/item&gt;&lt;item&gt;34&lt;/item&gt;&lt;item&gt;102&lt;/item&gt;&lt;item&gt;152&lt;/item&gt;&lt;item&gt;155&lt;/item&gt;&lt;item&gt;157&lt;/item&gt;&lt;item&gt;158&lt;/item&gt;&lt;item&gt;159&lt;/item&gt;&lt;item&gt;190&lt;/item&gt;&lt;item&gt;193&lt;/item&gt;&lt;item&gt;199&lt;/item&gt;&lt;item&gt;200&lt;/item&gt;&lt;item&gt;201&lt;/item&gt;&lt;item&gt;210&lt;/item&gt;&lt;item&gt;229&lt;/item&gt;&lt;item&gt;232&lt;/item&gt;&lt;item&gt;235&lt;/item&gt;&lt;item&gt;254&lt;/item&gt;&lt;item&gt;256&lt;/item&gt;&lt;item&gt;257&lt;/item&gt;&lt;item&gt;258&lt;/item&gt;&lt;item&gt;259&lt;/item&gt;&lt;item&gt;260&lt;/item&gt;&lt;item&gt;262&lt;/item&gt;&lt;item&gt;263&lt;/item&gt;&lt;item&gt;264&lt;/item&gt;&lt;item&gt;265&lt;/item&gt;&lt;item&gt;266&lt;/item&gt;&lt;item&gt;267&lt;/item&gt;&lt;item&gt;268&lt;/item&gt;&lt;item&gt;269&lt;/item&gt;&lt;item&gt;270&lt;/item&gt;&lt;item&gt;271&lt;/item&gt;&lt;item&gt;272&lt;/item&gt;&lt;item&gt;273&lt;/item&gt;&lt;item&gt;274&lt;/item&gt;&lt;item&gt;275&lt;/item&gt;&lt;item&gt;276&lt;/item&gt;&lt;item&gt;277&lt;/item&gt;&lt;item&gt;278&lt;/item&gt;&lt;item&gt;280&lt;/item&gt;&lt;item&gt;281&lt;/item&gt;&lt;item&gt;282&lt;/item&gt;&lt;item&gt;283&lt;/item&gt;&lt;item&gt;284&lt;/item&gt;&lt;item&gt;285&lt;/item&gt;&lt;item&gt;286&lt;/item&gt;&lt;item&gt;287&lt;/item&gt;&lt;item&gt;288&lt;/item&gt;&lt;item&gt;289&lt;/item&gt;&lt;item&gt;292&lt;/item&gt;&lt;item&gt;294&lt;/item&gt;&lt;item&gt;296&lt;/item&gt;&lt;item&gt;297&lt;/item&gt;&lt;item&gt;298&lt;/item&gt;&lt;item&gt;299&lt;/item&gt;&lt;item&gt;300&lt;/item&gt;&lt;item&gt;301&lt;/item&gt;&lt;item&gt;302&lt;/item&gt;&lt;item&gt;303&lt;/item&gt;&lt;item&gt;304&lt;/item&gt;&lt;item&gt;305&lt;/item&gt;&lt;item&gt;306&lt;/item&gt;&lt;item&gt;307&lt;/item&gt;&lt;item&gt;308&lt;/item&gt;&lt;/record-ids&gt;&lt;/item&gt;&lt;/Libraries&gt;"/>
  </w:docVars>
  <w:rsids>
    <w:rsidRoot w:val="00E65E79"/>
    <w:rsid w:val="00000790"/>
    <w:rsid w:val="0000110B"/>
    <w:rsid w:val="00002861"/>
    <w:rsid w:val="00002EF4"/>
    <w:rsid w:val="00003499"/>
    <w:rsid w:val="00003AC3"/>
    <w:rsid w:val="0000495C"/>
    <w:rsid w:val="00006C33"/>
    <w:rsid w:val="00013247"/>
    <w:rsid w:val="00013746"/>
    <w:rsid w:val="00014326"/>
    <w:rsid w:val="000152AB"/>
    <w:rsid w:val="00015886"/>
    <w:rsid w:val="00016229"/>
    <w:rsid w:val="000162CA"/>
    <w:rsid w:val="000162EF"/>
    <w:rsid w:val="00016A51"/>
    <w:rsid w:val="00016AEA"/>
    <w:rsid w:val="0002225F"/>
    <w:rsid w:val="00023763"/>
    <w:rsid w:val="000243AE"/>
    <w:rsid w:val="00024F09"/>
    <w:rsid w:val="00026E0D"/>
    <w:rsid w:val="000270E5"/>
    <w:rsid w:val="000342EA"/>
    <w:rsid w:val="00040895"/>
    <w:rsid w:val="00043ACF"/>
    <w:rsid w:val="00043C37"/>
    <w:rsid w:val="000546D7"/>
    <w:rsid w:val="00055CF4"/>
    <w:rsid w:val="0005726A"/>
    <w:rsid w:val="000576C5"/>
    <w:rsid w:val="00064A0D"/>
    <w:rsid w:val="00064F3B"/>
    <w:rsid w:val="00066ED1"/>
    <w:rsid w:val="00071248"/>
    <w:rsid w:val="000720B9"/>
    <w:rsid w:val="00074C84"/>
    <w:rsid w:val="000812CA"/>
    <w:rsid w:val="0008131F"/>
    <w:rsid w:val="0008444D"/>
    <w:rsid w:val="000846E3"/>
    <w:rsid w:val="00084E4A"/>
    <w:rsid w:val="000864ED"/>
    <w:rsid w:val="00090C7E"/>
    <w:rsid w:val="00091D00"/>
    <w:rsid w:val="00093D24"/>
    <w:rsid w:val="0009575D"/>
    <w:rsid w:val="0009577C"/>
    <w:rsid w:val="000971BC"/>
    <w:rsid w:val="000978AE"/>
    <w:rsid w:val="000A0A2F"/>
    <w:rsid w:val="000A3154"/>
    <w:rsid w:val="000B37BA"/>
    <w:rsid w:val="000B4F30"/>
    <w:rsid w:val="000B5844"/>
    <w:rsid w:val="000B5B08"/>
    <w:rsid w:val="000B6BDA"/>
    <w:rsid w:val="000B6D3B"/>
    <w:rsid w:val="000B77B1"/>
    <w:rsid w:val="000C5785"/>
    <w:rsid w:val="000C709E"/>
    <w:rsid w:val="000C7BE3"/>
    <w:rsid w:val="000D07A8"/>
    <w:rsid w:val="000D1BFC"/>
    <w:rsid w:val="000D77CA"/>
    <w:rsid w:val="000E3608"/>
    <w:rsid w:val="000E678B"/>
    <w:rsid w:val="000E690A"/>
    <w:rsid w:val="000E6FFE"/>
    <w:rsid w:val="000F17AA"/>
    <w:rsid w:val="000F38B9"/>
    <w:rsid w:val="000F4BB8"/>
    <w:rsid w:val="000F7127"/>
    <w:rsid w:val="0010001F"/>
    <w:rsid w:val="00100643"/>
    <w:rsid w:val="00100F8A"/>
    <w:rsid w:val="0010132A"/>
    <w:rsid w:val="00104121"/>
    <w:rsid w:val="001061BE"/>
    <w:rsid w:val="0011032E"/>
    <w:rsid w:val="00112656"/>
    <w:rsid w:val="0011348B"/>
    <w:rsid w:val="00115F17"/>
    <w:rsid w:val="00116561"/>
    <w:rsid w:val="001168C1"/>
    <w:rsid w:val="00120D31"/>
    <w:rsid w:val="00121799"/>
    <w:rsid w:val="001222FC"/>
    <w:rsid w:val="0012444B"/>
    <w:rsid w:val="00124A51"/>
    <w:rsid w:val="00124F6E"/>
    <w:rsid w:val="001261FA"/>
    <w:rsid w:val="00126621"/>
    <w:rsid w:val="00126AD7"/>
    <w:rsid w:val="001301E9"/>
    <w:rsid w:val="00130843"/>
    <w:rsid w:val="0013108A"/>
    <w:rsid w:val="00132413"/>
    <w:rsid w:val="001330D1"/>
    <w:rsid w:val="00137645"/>
    <w:rsid w:val="00137B8E"/>
    <w:rsid w:val="0014015A"/>
    <w:rsid w:val="001403C9"/>
    <w:rsid w:val="001409C9"/>
    <w:rsid w:val="00140E99"/>
    <w:rsid w:val="00141A59"/>
    <w:rsid w:val="00145540"/>
    <w:rsid w:val="001456B0"/>
    <w:rsid w:val="00145CC6"/>
    <w:rsid w:val="001502CA"/>
    <w:rsid w:val="00150D64"/>
    <w:rsid w:val="001563DA"/>
    <w:rsid w:val="00157130"/>
    <w:rsid w:val="00162812"/>
    <w:rsid w:val="00162913"/>
    <w:rsid w:val="00163EFF"/>
    <w:rsid w:val="00164E40"/>
    <w:rsid w:val="001661FB"/>
    <w:rsid w:val="00166C4E"/>
    <w:rsid w:val="00172CF4"/>
    <w:rsid w:val="00174676"/>
    <w:rsid w:val="00180A23"/>
    <w:rsid w:val="001817F6"/>
    <w:rsid w:val="00184E2D"/>
    <w:rsid w:val="00186BAD"/>
    <w:rsid w:val="0018752F"/>
    <w:rsid w:val="001903FA"/>
    <w:rsid w:val="001909DF"/>
    <w:rsid w:val="00195222"/>
    <w:rsid w:val="001975D8"/>
    <w:rsid w:val="001A17A2"/>
    <w:rsid w:val="001A2221"/>
    <w:rsid w:val="001A4649"/>
    <w:rsid w:val="001A66E8"/>
    <w:rsid w:val="001A67EB"/>
    <w:rsid w:val="001B1E9D"/>
    <w:rsid w:val="001B2B02"/>
    <w:rsid w:val="001B3443"/>
    <w:rsid w:val="001B3C78"/>
    <w:rsid w:val="001B47CD"/>
    <w:rsid w:val="001B4CBA"/>
    <w:rsid w:val="001C0498"/>
    <w:rsid w:val="001C0783"/>
    <w:rsid w:val="001C0791"/>
    <w:rsid w:val="001C14F5"/>
    <w:rsid w:val="001C2232"/>
    <w:rsid w:val="001C29D7"/>
    <w:rsid w:val="001C3802"/>
    <w:rsid w:val="001C6E66"/>
    <w:rsid w:val="001D468D"/>
    <w:rsid w:val="001D5071"/>
    <w:rsid w:val="001D731C"/>
    <w:rsid w:val="001E238E"/>
    <w:rsid w:val="001E2B1E"/>
    <w:rsid w:val="001E3E82"/>
    <w:rsid w:val="001E4004"/>
    <w:rsid w:val="001E52EB"/>
    <w:rsid w:val="001E5806"/>
    <w:rsid w:val="001E5C20"/>
    <w:rsid w:val="001E740C"/>
    <w:rsid w:val="001E7A4C"/>
    <w:rsid w:val="001F1235"/>
    <w:rsid w:val="001F1CB3"/>
    <w:rsid w:val="001F4F52"/>
    <w:rsid w:val="001F6AEA"/>
    <w:rsid w:val="001F7361"/>
    <w:rsid w:val="0020385F"/>
    <w:rsid w:val="00203D07"/>
    <w:rsid w:val="002046E4"/>
    <w:rsid w:val="00206325"/>
    <w:rsid w:val="00207021"/>
    <w:rsid w:val="0020753D"/>
    <w:rsid w:val="00207AE9"/>
    <w:rsid w:val="00207D00"/>
    <w:rsid w:val="002105C1"/>
    <w:rsid w:val="002143F2"/>
    <w:rsid w:val="00220B24"/>
    <w:rsid w:val="002229B6"/>
    <w:rsid w:val="00223B49"/>
    <w:rsid w:val="00224DD4"/>
    <w:rsid w:val="002263BB"/>
    <w:rsid w:val="00227472"/>
    <w:rsid w:val="002309CC"/>
    <w:rsid w:val="00231A7B"/>
    <w:rsid w:val="00233018"/>
    <w:rsid w:val="0023395B"/>
    <w:rsid w:val="00235E2B"/>
    <w:rsid w:val="00241789"/>
    <w:rsid w:val="00243616"/>
    <w:rsid w:val="00245D89"/>
    <w:rsid w:val="0024731E"/>
    <w:rsid w:val="00247AF3"/>
    <w:rsid w:val="00250676"/>
    <w:rsid w:val="00251E31"/>
    <w:rsid w:val="00254721"/>
    <w:rsid w:val="00254C95"/>
    <w:rsid w:val="00254DCF"/>
    <w:rsid w:val="0025534B"/>
    <w:rsid w:val="00255BB7"/>
    <w:rsid w:val="00256A98"/>
    <w:rsid w:val="00262A87"/>
    <w:rsid w:val="00263AFD"/>
    <w:rsid w:val="002652DC"/>
    <w:rsid w:val="00266153"/>
    <w:rsid w:val="00270F59"/>
    <w:rsid w:val="00275C5A"/>
    <w:rsid w:val="0027726F"/>
    <w:rsid w:val="0028048D"/>
    <w:rsid w:val="002806B6"/>
    <w:rsid w:val="00281014"/>
    <w:rsid w:val="002818E4"/>
    <w:rsid w:val="002878D7"/>
    <w:rsid w:val="0028796E"/>
    <w:rsid w:val="00292E22"/>
    <w:rsid w:val="00294D8B"/>
    <w:rsid w:val="002977CB"/>
    <w:rsid w:val="002A14AB"/>
    <w:rsid w:val="002A1B81"/>
    <w:rsid w:val="002A3001"/>
    <w:rsid w:val="002B1C1F"/>
    <w:rsid w:val="002B42B4"/>
    <w:rsid w:val="002B432F"/>
    <w:rsid w:val="002B5269"/>
    <w:rsid w:val="002B6CCE"/>
    <w:rsid w:val="002C2775"/>
    <w:rsid w:val="002C27C1"/>
    <w:rsid w:val="002C2A31"/>
    <w:rsid w:val="002C4EC6"/>
    <w:rsid w:val="002C6E7D"/>
    <w:rsid w:val="002D146C"/>
    <w:rsid w:val="002D4C13"/>
    <w:rsid w:val="002D58DD"/>
    <w:rsid w:val="002F1291"/>
    <w:rsid w:val="002F16F8"/>
    <w:rsid w:val="002F434B"/>
    <w:rsid w:val="002F438E"/>
    <w:rsid w:val="002F6B42"/>
    <w:rsid w:val="00301017"/>
    <w:rsid w:val="00301923"/>
    <w:rsid w:val="0030786C"/>
    <w:rsid w:val="00307C9C"/>
    <w:rsid w:val="0031031A"/>
    <w:rsid w:val="00310981"/>
    <w:rsid w:val="00313B54"/>
    <w:rsid w:val="00315498"/>
    <w:rsid w:val="003225E0"/>
    <w:rsid w:val="0032271C"/>
    <w:rsid w:val="0032287C"/>
    <w:rsid w:val="0032537D"/>
    <w:rsid w:val="0032589D"/>
    <w:rsid w:val="0032622E"/>
    <w:rsid w:val="00326512"/>
    <w:rsid w:val="00330FDE"/>
    <w:rsid w:val="003336B0"/>
    <w:rsid w:val="00334CB7"/>
    <w:rsid w:val="003351D6"/>
    <w:rsid w:val="003366C9"/>
    <w:rsid w:val="003371B0"/>
    <w:rsid w:val="00337E2C"/>
    <w:rsid w:val="00341649"/>
    <w:rsid w:val="00344C13"/>
    <w:rsid w:val="00346305"/>
    <w:rsid w:val="0035062B"/>
    <w:rsid w:val="00350DE4"/>
    <w:rsid w:val="00352EBF"/>
    <w:rsid w:val="00353B29"/>
    <w:rsid w:val="00355793"/>
    <w:rsid w:val="0035620E"/>
    <w:rsid w:val="003570FB"/>
    <w:rsid w:val="0035718D"/>
    <w:rsid w:val="00366E80"/>
    <w:rsid w:val="0037047B"/>
    <w:rsid w:val="0037096E"/>
    <w:rsid w:val="003724DC"/>
    <w:rsid w:val="00372C87"/>
    <w:rsid w:val="00377671"/>
    <w:rsid w:val="00383291"/>
    <w:rsid w:val="0038365C"/>
    <w:rsid w:val="003850D4"/>
    <w:rsid w:val="003945F3"/>
    <w:rsid w:val="00395523"/>
    <w:rsid w:val="00395F90"/>
    <w:rsid w:val="0039654C"/>
    <w:rsid w:val="00396594"/>
    <w:rsid w:val="00396FD0"/>
    <w:rsid w:val="00397A58"/>
    <w:rsid w:val="003A0024"/>
    <w:rsid w:val="003A1A7A"/>
    <w:rsid w:val="003A3D77"/>
    <w:rsid w:val="003A4319"/>
    <w:rsid w:val="003A6185"/>
    <w:rsid w:val="003A7845"/>
    <w:rsid w:val="003B3D34"/>
    <w:rsid w:val="003B6060"/>
    <w:rsid w:val="003B76DD"/>
    <w:rsid w:val="003B7AA6"/>
    <w:rsid w:val="003C4CF6"/>
    <w:rsid w:val="003C7631"/>
    <w:rsid w:val="003D1828"/>
    <w:rsid w:val="003D2422"/>
    <w:rsid w:val="003D37A0"/>
    <w:rsid w:val="003D4B63"/>
    <w:rsid w:val="003D5A9B"/>
    <w:rsid w:val="003D62A6"/>
    <w:rsid w:val="003D64B4"/>
    <w:rsid w:val="003D7232"/>
    <w:rsid w:val="003E0676"/>
    <w:rsid w:val="003E077A"/>
    <w:rsid w:val="003E0C9A"/>
    <w:rsid w:val="003E1CDC"/>
    <w:rsid w:val="003E3509"/>
    <w:rsid w:val="003E3893"/>
    <w:rsid w:val="003E3979"/>
    <w:rsid w:val="003E3A51"/>
    <w:rsid w:val="003E6B18"/>
    <w:rsid w:val="003E6C98"/>
    <w:rsid w:val="003E75A3"/>
    <w:rsid w:val="003F29C8"/>
    <w:rsid w:val="003F2CE7"/>
    <w:rsid w:val="003F4156"/>
    <w:rsid w:val="00404111"/>
    <w:rsid w:val="0040637A"/>
    <w:rsid w:val="00407B9C"/>
    <w:rsid w:val="004106D7"/>
    <w:rsid w:val="00410708"/>
    <w:rsid w:val="00410EC7"/>
    <w:rsid w:val="004116D1"/>
    <w:rsid w:val="00411BC2"/>
    <w:rsid w:val="00414476"/>
    <w:rsid w:val="0041453C"/>
    <w:rsid w:val="00414B00"/>
    <w:rsid w:val="00415991"/>
    <w:rsid w:val="00417A97"/>
    <w:rsid w:val="00420B9F"/>
    <w:rsid w:val="004238CC"/>
    <w:rsid w:val="004319F8"/>
    <w:rsid w:val="00433044"/>
    <w:rsid w:val="00433728"/>
    <w:rsid w:val="004342FB"/>
    <w:rsid w:val="004425BA"/>
    <w:rsid w:val="004443A7"/>
    <w:rsid w:val="00445E19"/>
    <w:rsid w:val="004464EB"/>
    <w:rsid w:val="004479C2"/>
    <w:rsid w:val="00450FEA"/>
    <w:rsid w:val="00455D3B"/>
    <w:rsid w:val="00455D45"/>
    <w:rsid w:val="00456587"/>
    <w:rsid w:val="0046225E"/>
    <w:rsid w:val="004640FE"/>
    <w:rsid w:val="00464595"/>
    <w:rsid w:val="00465F44"/>
    <w:rsid w:val="00472F9E"/>
    <w:rsid w:val="0047446E"/>
    <w:rsid w:val="00476D02"/>
    <w:rsid w:val="004801B0"/>
    <w:rsid w:val="00483DF4"/>
    <w:rsid w:val="00485BDD"/>
    <w:rsid w:val="00485E08"/>
    <w:rsid w:val="004867E2"/>
    <w:rsid w:val="00487699"/>
    <w:rsid w:val="00491B12"/>
    <w:rsid w:val="00491B3A"/>
    <w:rsid w:val="00491BC0"/>
    <w:rsid w:val="00492CFD"/>
    <w:rsid w:val="004962D2"/>
    <w:rsid w:val="004A0D51"/>
    <w:rsid w:val="004A0DA1"/>
    <w:rsid w:val="004A133F"/>
    <w:rsid w:val="004A4C97"/>
    <w:rsid w:val="004A6597"/>
    <w:rsid w:val="004B15CB"/>
    <w:rsid w:val="004B1CB4"/>
    <w:rsid w:val="004B2457"/>
    <w:rsid w:val="004B2F18"/>
    <w:rsid w:val="004B3D46"/>
    <w:rsid w:val="004B3DDB"/>
    <w:rsid w:val="004B44FD"/>
    <w:rsid w:val="004B494D"/>
    <w:rsid w:val="004B4AA9"/>
    <w:rsid w:val="004B5CFC"/>
    <w:rsid w:val="004B6E52"/>
    <w:rsid w:val="004C3175"/>
    <w:rsid w:val="004C4AED"/>
    <w:rsid w:val="004C59EC"/>
    <w:rsid w:val="004C68E0"/>
    <w:rsid w:val="004C7506"/>
    <w:rsid w:val="004D72D6"/>
    <w:rsid w:val="004E0EB8"/>
    <w:rsid w:val="004E2ADC"/>
    <w:rsid w:val="004E40A4"/>
    <w:rsid w:val="004E43B2"/>
    <w:rsid w:val="004E4A7A"/>
    <w:rsid w:val="004E6BB7"/>
    <w:rsid w:val="004E7A65"/>
    <w:rsid w:val="004E7D65"/>
    <w:rsid w:val="004F02C0"/>
    <w:rsid w:val="004F1D02"/>
    <w:rsid w:val="004F2679"/>
    <w:rsid w:val="004F2ED3"/>
    <w:rsid w:val="004F5C24"/>
    <w:rsid w:val="004F691D"/>
    <w:rsid w:val="004F7865"/>
    <w:rsid w:val="00506928"/>
    <w:rsid w:val="0051144A"/>
    <w:rsid w:val="00511F84"/>
    <w:rsid w:val="0051293C"/>
    <w:rsid w:val="005151D1"/>
    <w:rsid w:val="005152B5"/>
    <w:rsid w:val="00515B50"/>
    <w:rsid w:val="00521319"/>
    <w:rsid w:val="00522DBC"/>
    <w:rsid w:val="00523C28"/>
    <w:rsid w:val="00527260"/>
    <w:rsid w:val="00527478"/>
    <w:rsid w:val="00531DD7"/>
    <w:rsid w:val="005409EB"/>
    <w:rsid w:val="00542F9A"/>
    <w:rsid w:val="005431B4"/>
    <w:rsid w:val="0054392F"/>
    <w:rsid w:val="00545B2F"/>
    <w:rsid w:val="005475D2"/>
    <w:rsid w:val="005501FC"/>
    <w:rsid w:val="0055146D"/>
    <w:rsid w:val="00552BD3"/>
    <w:rsid w:val="005545BD"/>
    <w:rsid w:val="00555109"/>
    <w:rsid w:val="005562BD"/>
    <w:rsid w:val="00560CAC"/>
    <w:rsid w:val="00560FB4"/>
    <w:rsid w:val="00561CD7"/>
    <w:rsid w:val="00561E71"/>
    <w:rsid w:val="00562243"/>
    <w:rsid w:val="00562F91"/>
    <w:rsid w:val="0056696F"/>
    <w:rsid w:val="005706F6"/>
    <w:rsid w:val="00571B07"/>
    <w:rsid w:val="0057388B"/>
    <w:rsid w:val="005744BE"/>
    <w:rsid w:val="00575D8D"/>
    <w:rsid w:val="005762E5"/>
    <w:rsid w:val="005765C1"/>
    <w:rsid w:val="00576972"/>
    <w:rsid w:val="00580DF9"/>
    <w:rsid w:val="00583699"/>
    <w:rsid w:val="00583970"/>
    <w:rsid w:val="00584D6A"/>
    <w:rsid w:val="005862F8"/>
    <w:rsid w:val="00591E15"/>
    <w:rsid w:val="005933E4"/>
    <w:rsid w:val="00593E45"/>
    <w:rsid w:val="00594D7C"/>
    <w:rsid w:val="00596D05"/>
    <w:rsid w:val="0059717D"/>
    <w:rsid w:val="00597E08"/>
    <w:rsid w:val="005A63B6"/>
    <w:rsid w:val="005B0F55"/>
    <w:rsid w:val="005B1A46"/>
    <w:rsid w:val="005B4436"/>
    <w:rsid w:val="005B577B"/>
    <w:rsid w:val="005B57A9"/>
    <w:rsid w:val="005B5857"/>
    <w:rsid w:val="005B6137"/>
    <w:rsid w:val="005C150A"/>
    <w:rsid w:val="005C1B83"/>
    <w:rsid w:val="005C2830"/>
    <w:rsid w:val="005C346B"/>
    <w:rsid w:val="005C5CD6"/>
    <w:rsid w:val="005C7F65"/>
    <w:rsid w:val="005D044D"/>
    <w:rsid w:val="005D18AD"/>
    <w:rsid w:val="005D4FFD"/>
    <w:rsid w:val="005D59D4"/>
    <w:rsid w:val="005D74B8"/>
    <w:rsid w:val="005E1A34"/>
    <w:rsid w:val="005E4703"/>
    <w:rsid w:val="005E4C80"/>
    <w:rsid w:val="005E59AE"/>
    <w:rsid w:val="005E63D2"/>
    <w:rsid w:val="005E73C0"/>
    <w:rsid w:val="005F2706"/>
    <w:rsid w:val="005F6A8F"/>
    <w:rsid w:val="00604190"/>
    <w:rsid w:val="006042C3"/>
    <w:rsid w:val="0060604A"/>
    <w:rsid w:val="006066CA"/>
    <w:rsid w:val="00606E8F"/>
    <w:rsid w:val="00607669"/>
    <w:rsid w:val="006076EB"/>
    <w:rsid w:val="00610223"/>
    <w:rsid w:val="00611286"/>
    <w:rsid w:val="00612F97"/>
    <w:rsid w:val="00615E52"/>
    <w:rsid w:val="00616802"/>
    <w:rsid w:val="00617E12"/>
    <w:rsid w:val="006203C4"/>
    <w:rsid w:val="006213C8"/>
    <w:rsid w:val="00621477"/>
    <w:rsid w:val="00623DC3"/>
    <w:rsid w:val="00625E1B"/>
    <w:rsid w:val="00630C88"/>
    <w:rsid w:val="00631D6B"/>
    <w:rsid w:val="00631EA0"/>
    <w:rsid w:val="0063479F"/>
    <w:rsid w:val="00634C99"/>
    <w:rsid w:val="006364A1"/>
    <w:rsid w:val="00637179"/>
    <w:rsid w:val="00637BFD"/>
    <w:rsid w:val="006415DF"/>
    <w:rsid w:val="00645F3D"/>
    <w:rsid w:val="006471CC"/>
    <w:rsid w:val="0065079F"/>
    <w:rsid w:val="00652F26"/>
    <w:rsid w:val="006615AA"/>
    <w:rsid w:val="00661AC7"/>
    <w:rsid w:val="00673920"/>
    <w:rsid w:val="00674E1F"/>
    <w:rsid w:val="00674E42"/>
    <w:rsid w:val="0068063F"/>
    <w:rsid w:val="00682112"/>
    <w:rsid w:val="00682811"/>
    <w:rsid w:val="00683927"/>
    <w:rsid w:val="00684621"/>
    <w:rsid w:val="006854BD"/>
    <w:rsid w:val="0068579A"/>
    <w:rsid w:val="0068721A"/>
    <w:rsid w:val="006872BA"/>
    <w:rsid w:val="006917D7"/>
    <w:rsid w:val="00694F44"/>
    <w:rsid w:val="00695AD4"/>
    <w:rsid w:val="00696082"/>
    <w:rsid w:val="006A2889"/>
    <w:rsid w:val="006A6D7E"/>
    <w:rsid w:val="006A70CF"/>
    <w:rsid w:val="006A7F63"/>
    <w:rsid w:val="006B15AA"/>
    <w:rsid w:val="006B17B7"/>
    <w:rsid w:val="006B5077"/>
    <w:rsid w:val="006B5315"/>
    <w:rsid w:val="006B5C83"/>
    <w:rsid w:val="006C1C07"/>
    <w:rsid w:val="006C2107"/>
    <w:rsid w:val="006C2A8E"/>
    <w:rsid w:val="006C2B70"/>
    <w:rsid w:val="006C421A"/>
    <w:rsid w:val="006C42CE"/>
    <w:rsid w:val="006C7BFF"/>
    <w:rsid w:val="006D2206"/>
    <w:rsid w:val="006D3221"/>
    <w:rsid w:val="006D3C7D"/>
    <w:rsid w:val="006D5D5F"/>
    <w:rsid w:val="006E2454"/>
    <w:rsid w:val="006E3B88"/>
    <w:rsid w:val="006E5A03"/>
    <w:rsid w:val="006F12EF"/>
    <w:rsid w:val="006F1B4A"/>
    <w:rsid w:val="006F2C53"/>
    <w:rsid w:val="006F2DF5"/>
    <w:rsid w:val="006F307F"/>
    <w:rsid w:val="006F393A"/>
    <w:rsid w:val="006F48AD"/>
    <w:rsid w:val="006F5093"/>
    <w:rsid w:val="006F63A5"/>
    <w:rsid w:val="006F7959"/>
    <w:rsid w:val="00701484"/>
    <w:rsid w:val="0070276E"/>
    <w:rsid w:val="00702F8F"/>
    <w:rsid w:val="00706693"/>
    <w:rsid w:val="0071169F"/>
    <w:rsid w:val="00711A36"/>
    <w:rsid w:val="00713500"/>
    <w:rsid w:val="007136DC"/>
    <w:rsid w:val="00713BDC"/>
    <w:rsid w:val="00714B52"/>
    <w:rsid w:val="007172AD"/>
    <w:rsid w:val="00720130"/>
    <w:rsid w:val="00720247"/>
    <w:rsid w:val="00720B05"/>
    <w:rsid w:val="00722350"/>
    <w:rsid w:val="0072416F"/>
    <w:rsid w:val="007264F0"/>
    <w:rsid w:val="00726827"/>
    <w:rsid w:val="007270E5"/>
    <w:rsid w:val="007273FF"/>
    <w:rsid w:val="00731572"/>
    <w:rsid w:val="00731DFC"/>
    <w:rsid w:val="00733461"/>
    <w:rsid w:val="00734052"/>
    <w:rsid w:val="00735328"/>
    <w:rsid w:val="00735CBC"/>
    <w:rsid w:val="0073685B"/>
    <w:rsid w:val="00737DBE"/>
    <w:rsid w:val="00741648"/>
    <w:rsid w:val="0074240E"/>
    <w:rsid w:val="0074265D"/>
    <w:rsid w:val="007436AE"/>
    <w:rsid w:val="00743AC6"/>
    <w:rsid w:val="007451B8"/>
    <w:rsid w:val="00747456"/>
    <w:rsid w:val="00747CE6"/>
    <w:rsid w:val="00753209"/>
    <w:rsid w:val="0075355A"/>
    <w:rsid w:val="007555E2"/>
    <w:rsid w:val="00755D16"/>
    <w:rsid w:val="00756BD8"/>
    <w:rsid w:val="00757053"/>
    <w:rsid w:val="00757512"/>
    <w:rsid w:val="00760064"/>
    <w:rsid w:val="00765572"/>
    <w:rsid w:val="007707F1"/>
    <w:rsid w:val="00776197"/>
    <w:rsid w:val="007839DC"/>
    <w:rsid w:val="0079296D"/>
    <w:rsid w:val="00797366"/>
    <w:rsid w:val="007A0A12"/>
    <w:rsid w:val="007A5D85"/>
    <w:rsid w:val="007B03A2"/>
    <w:rsid w:val="007B251D"/>
    <w:rsid w:val="007B2649"/>
    <w:rsid w:val="007B6A5B"/>
    <w:rsid w:val="007B77D1"/>
    <w:rsid w:val="007C361D"/>
    <w:rsid w:val="007C3EFA"/>
    <w:rsid w:val="007C4171"/>
    <w:rsid w:val="007C43F8"/>
    <w:rsid w:val="007C513A"/>
    <w:rsid w:val="007C6BF0"/>
    <w:rsid w:val="007D0B38"/>
    <w:rsid w:val="007D1E78"/>
    <w:rsid w:val="007D4817"/>
    <w:rsid w:val="007E456F"/>
    <w:rsid w:val="007E6B69"/>
    <w:rsid w:val="007F1017"/>
    <w:rsid w:val="007F1E20"/>
    <w:rsid w:val="007F3FAF"/>
    <w:rsid w:val="007F4A3F"/>
    <w:rsid w:val="007F68D0"/>
    <w:rsid w:val="007F68E8"/>
    <w:rsid w:val="00801622"/>
    <w:rsid w:val="008016D3"/>
    <w:rsid w:val="00801DF1"/>
    <w:rsid w:val="00802466"/>
    <w:rsid w:val="00803FC2"/>
    <w:rsid w:val="008046A6"/>
    <w:rsid w:val="00805142"/>
    <w:rsid w:val="00807A8B"/>
    <w:rsid w:val="00811ECF"/>
    <w:rsid w:val="00812149"/>
    <w:rsid w:val="00814F18"/>
    <w:rsid w:val="008154EA"/>
    <w:rsid w:val="008166EF"/>
    <w:rsid w:val="00820933"/>
    <w:rsid w:val="008264EB"/>
    <w:rsid w:val="00833B05"/>
    <w:rsid w:val="00836AFD"/>
    <w:rsid w:val="00837C92"/>
    <w:rsid w:val="00837FF3"/>
    <w:rsid w:val="00840CA2"/>
    <w:rsid w:val="00842C62"/>
    <w:rsid w:val="00843A08"/>
    <w:rsid w:val="00843CD3"/>
    <w:rsid w:val="00844677"/>
    <w:rsid w:val="008453CB"/>
    <w:rsid w:val="00845D00"/>
    <w:rsid w:val="0085146F"/>
    <w:rsid w:val="0085219A"/>
    <w:rsid w:val="00852E81"/>
    <w:rsid w:val="00854A36"/>
    <w:rsid w:val="00855437"/>
    <w:rsid w:val="00855CDB"/>
    <w:rsid w:val="00856E9A"/>
    <w:rsid w:val="00857B45"/>
    <w:rsid w:val="0086181E"/>
    <w:rsid w:val="00862502"/>
    <w:rsid w:val="00862758"/>
    <w:rsid w:val="008634CD"/>
    <w:rsid w:val="00867696"/>
    <w:rsid w:val="00867913"/>
    <w:rsid w:val="00871C76"/>
    <w:rsid w:val="00875589"/>
    <w:rsid w:val="008801C4"/>
    <w:rsid w:val="00882874"/>
    <w:rsid w:val="00882EE1"/>
    <w:rsid w:val="00883787"/>
    <w:rsid w:val="00883AF2"/>
    <w:rsid w:val="00884C6B"/>
    <w:rsid w:val="00884C82"/>
    <w:rsid w:val="00894489"/>
    <w:rsid w:val="00894A83"/>
    <w:rsid w:val="008963A5"/>
    <w:rsid w:val="008A2CF7"/>
    <w:rsid w:val="008A3C3E"/>
    <w:rsid w:val="008A4236"/>
    <w:rsid w:val="008A633D"/>
    <w:rsid w:val="008A79DE"/>
    <w:rsid w:val="008A7F00"/>
    <w:rsid w:val="008B08F1"/>
    <w:rsid w:val="008B1443"/>
    <w:rsid w:val="008B1965"/>
    <w:rsid w:val="008B52A3"/>
    <w:rsid w:val="008B53FA"/>
    <w:rsid w:val="008B57CD"/>
    <w:rsid w:val="008B6E25"/>
    <w:rsid w:val="008B7D7E"/>
    <w:rsid w:val="008C36B5"/>
    <w:rsid w:val="008C38BA"/>
    <w:rsid w:val="008C7ECB"/>
    <w:rsid w:val="008D1C96"/>
    <w:rsid w:val="008D1F19"/>
    <w:rsid w:val="008D3477"/>
    <w:rsid w:val="008D34E1"/>
    <w:rsid w:val="008D757F"/>
    <w:rsid w:val="008E132B"/>
    <w:rsid w:val="008E1B9E"/>
    <w:rsid w:val="008E21AB"/>
    <w:rsid w:val="008E2338"/>
    <w:rsid w:val="008E33B5"/>
    <w:rsid w:val="008E434D"/>
    <w:rsid w:val="008E677D"/>
    <w:rsid w:val="008F120A"/>
    <w:rsid w:val="008F3AE6"/>
    <w:rsid w:val="008F4399"/>
    <w:rsid w:val="008F48EB"/>
    <w:rsid w:val="008F4F0B"/>
    <w:rsid w:val="008F566D"/>
    <w:rsid w:val="008F7AF3"/>
    <w:rsid w:val="009026C6"/>
    <w:rsid w:val="009036D1"/>
    <w:rsid w:val="00903797"/>
    <w:rsid w:val="00905740"/>
    <w:rsid w:val="009062A5"/>
    <w:rsid w:val="00911272"/>
    <w:rsid w:val="00912573"/>
    <w:rsid w:val="00913DF8"/>
    <w:rsid w:val="009156F6"/>
    <w:rsid w:val="00917DA6"/>
    <w:rsid w:val="0092081E"/>
    <w:rsid w:val="00920F8B"/>
    <w:rsid w:val="00922D5B"/>
    <w:rsid w:val="00924A6D"/>
    <w:rsid w:val="00927BC7"/>
    <w:rsid w:val="009308FB"/>
    <w:rsid w:val="009330ED"/>
    <w:rsid w:val="00933EEC"/>
    <w:rsid w:val="00934EE8"/>
    <w:rsid w:val="009374CB"/>
    <w:rsid w:val="009403F9"/>
    <w:rsid w:val="00940C7B"/>
    <w:rsid w:val="00942FD5"/>
    <w:rsid w:val="00951A22"/>
    <w:rsid w:val="00957104"/>
    <w:rsid w:val="00962CB9"/>
    <w:rsid w:val="00964312"/>
    <w:rsid w:val="009679FF"/>
    <w:rsid w:val="00967C25"/>
    <w:rsid w:val="009701B0"/>
    <w:rsid w:val="00971BD0"/>
    <w:rsid w:val="009732EA"/>
    <w:rsid w:val="00977564"/>
    <w:rsid w:val="00980FCB"/>
    <w:rsid w:val="00982A31"/>
    <w:rsid w:val="00983E57"/>
    <w:rsid w:val="009849B7"/>
    <w:rsid w:val="009872AD"/>
    <w:rsid w:val="009919C7"/>
    <w:rsid w:val="0099366A"/>
    <w:rsid w:val="00994185"/>
    <w:rsid w:val="00994B20"/>
    <w:rsid w:val="0099616F"/>
    <w:rsid w:val="00996B1A"/>
    <w:rsid w:val="00997EDA"/>
    <w:rsid w:val="009A0AD3"/>
    <w:rsid w:val="009A2CE8"/>
    <w:rsid w:val="009A7372"/>
    <w:rsid w:val="009A73B8"/>
    <w:rsid w:val="009A77A4"/>
    <w:rsid w:val="009B0CB1"/>
    <w:rsid w:val="009B1045"/>
    <w:rsid w:val="009B1874"/>
    <w:rsid w:val="009B3E26"/>
    <w:rsid w:val="009B59C3"/>
    <w:rsid w:val="009C0B4A"/>
    <w:rsid w:val="009C11F7"/>
    <w:rsid w:val="009C270C"/>
    <w:rsid w:val="009C3C83"/>
    <w:rsid w:val="009C4FA0"/>
    <w:rsid w:val="009D01F4"/>
    <w:rsid w:val="009D0FB3"/>
    <w:rsid w:val="009D5B91"/>
    <w:rsid w:val="009D708F"/>
    <w:rsid w:val="009E4C07"/>
    <w:rsid w:val="009E5468"/>
    <w:rsid w:val="009F07E3"/>
    <w:rsid w:val="009F0914"/>
    <w:rsid w:val="009F4FBA"/>
    <w:rsid w:val="00A002B1"/>
    <w:rsid w:val="00A008A9"/>
    <w:rsid w:val="00A00954"/>
    <w:rsid w:val="00A033B4"/>
    <w:rsid w:val="00A03712"/>
    <w:rsid w:val="00A039B7"/>
    <w:rsid w:val="00A03D43"/>
    <w:rsid w:val="00A04380"/>
    <w:rsid w:val="00A11D16"/>
    <w:rsid w:val="00A13948"/>
    <w:rsid w:val="00A13A77"/>
    <w:rsid w:val="00A14A3D"/>
    <w:rsid w:val="00A14DFE"/>
    <w:rsid w:val="00A202BE"/>
    <w:rsid w:val="00A2053A"/>
    <w:rsid w:val="00A20969"/>
    <w:rsid w:val="00A2199C"/>
    <w:rsid w:val="00A23C85"/>
    <w:rsid w:val="00A23F07"/>
    <w:rsid w:val="00A27AEC"/>
    <w:rsid w:val="00A32FFE"/>
    <w:rsid w:val="00A340EE"/>
    <w:rsid w:val="00A34DE2"/>
    <w:rsid w:val="00A355B4"/>
    <w:rsid w:val="00A35BEB"/>
    <w:rsid w:val="00A35D16"/>
    <w:rsid w:val="00A368B8"/>
    <w:rsid w:val="00A42971"/>
    <w:rsid w:val="00A43180"/>
    <w:rsid w:val="00A43C59"/>
    <w:rsid w:val="00A458A2"/>
    <w:rsid w:val="00A45BE5"/>
    <w:rsid w:val="00A45EFB"/>
    <w:rsid w:val="00A500CB"/>
    <w:rsid w:val="00A50ECD"/>
    <w:rsid w:val="00A52729"/>
    <w:rsid w:val="00A53675"/>
    <w:rsid w:val="00A56B6A"/>
    <w:rsid w:val="00A574AA"/>
    <w:rsid w:val="00A578DC"/>
    <w:rsid w:val="00A61BA5"/>
    <w:rsid w:val="00A62CDC"/>
    <w:rsid w:val="00A65DA9"/>
    <w:rsid w:val="00A6725B"/>
    <w:rsid w:val="00A70C2D"/>
    <w:rsid w:val="00A72DBB"/>
    <w:rsid w:val="00A73D7C"/>
    <w:rsid w:val="00A73F6D"/>
    <w:rsid w:val="00A77167"/>
    <w:rsid w:val="00A77D4A"/>
    <w:rsid w:val="00A8239B"/>
    <w:rsid w:val="00A83589"/>
    <w:rsid w:val="00A84C9D"/>
    <w:rsid w:val="00A86886"/>
    <w:rsid w:val="00A86E8B"/>
    <w:rsid w:val="00A87C3B"/>
    <w:rsid w:val="00A93072"/>
    <w:rsid w:val="00A959D8"/>
    <w:rsid w:val="00AA19BC"/>
    <w:rsid w:val="00AA3960"/>
    <w:rsid w:val="00AA3AF6"/>
    <w:rsid w:val="00AB042A"/>
    <w:rsid w:val="00AB2D34"/>
    <w:rsid w:val="00AB3430"/>
    <w:rsid w:val="00AB508D"/>
    <w:rsid w:val="00AB7CFA"/>
    <w:rsid w:val="00AC1022"/>
    <w:rsid w:val="00AC16CA"/>
    <w:rsid w:val="00AC2EAA"/>
    <w:rsid w:val="00AC3362"/>
    <w:rsid w:val="00AC5916"/>
    <w:rsid w:val="00AC5DE9"/>
    <w:rsid w:val="00AC62C6"/>
    <w:rsid w:val="00AD12F4"/>
    <w:rsid w:val="00AD5AEC"/>
    <w:rsid w:val="00AD6D53"/>
    <w:rsid w:val="00AD7E94"/>
    <w:rsid w:val="00AE2DA9"/>
    <w:rsid w:val="00AE2F03"/>
    <w:rsid w:val="00AE36B9"/>
    <w:rsid w:val="00AF5A46"/>
    <w:rsid w:val="00B05F18"/>
    <w:rsid w:val="00B069DC"/>
    <w:rsid w:val="00B07C42"/>
    <w:rsid w:val="00B12A09"/>
    <w:rsid w:val="00B16C1C"/>
    <w:rsid w:val="00B23535"/>
    <w:rsid w:val="00B24175"/>
    <w:rsid w:val="00B24636"/>
    <w:rsid w:val="00B26466"/>
    <w:rsid w:val="00B2764F"/>
    <w:rsid w:val="00B30E5B"/>
    <w:rsid w:val="00B30EC6"/>
    <w:rsid w:val="00B31D9A"/>
    <w:rsid w:val="00B357E8"/>
    <w:rsid w:val="00B35E17"/>
    <w:rsid w:val="00B361C9"/>
    <w:rsid w:val="00B413AA"/>
    <w:rsid w:val="00B42851"/>
    <w:rsid w:val="00B50DB8"/>
    <w:rsid w:val="00B528E0"/>
    <w:rsid w:val="00B52BB3"/>
    <w:rsid w:val="00B53905"/>
    <w:rsid w:val="00B54B5B"/>
    <w:rsid w:val="00B54DA3"/>
    <w:rsid w:val="00B5562E"/>
    <w:rsid w:val="00B57000"/>
    <w:rsid w:val="00B578AB"/>
    <w:rsid w:val="00B60939"/>
    <w:rsid w:val="00B60AFD"/>
    <w:rsid w:val="00B60EB3"/>
    <w:rsid w:val="00B62715"/>
    <w:rsid w:val="00B63802"/>
    <w:rsid w:val="00B66B21"/>
    <w:rsid w:val="00B67D06"/>
    <w:rsid w:val="00B80BD5"/>
    <w:rsid w:val="00B818A4"/>
    <w:rsid w:val="00B83430"/>
    <w:rsid w:val="00B8478D"/>
    <w:rsid w:val="00B8649C"/>
    <w:rsid w:val="00B864BA"/>
    <w:rsid w:val="00B90B1A"/>
    <w:rsid w:val="00B91846"/>
    <w:rsid w:val="00B92CE9"/>
    <w:rsid w:val="00B92D0B"/>
    <w:rsid w:val="00B936BB"/>
    <w:rsid w:val="00B94945"/>
    <w:rsid w:val="00B9634B"/>
    <w:rsid w:val="00BA1F2B"/>
    <w:rsid w:val="00BA4343"/>
    <w:rsid w:val="00BB0C3B"/>
    <w:rsid w:val="00BB1FA2"/>
    <w:rsid w:val="00BB3647"/>
    <w:rsid w:val="00BB6689"/>
    <w:rsid w:val="00BB6FB4"/>
    <w:rsid w:val="00BB71CA"/>
    <w:rsid w:val="00BB7405"/>
    <w:rsid w:val="00BB7A80"/>
    <w:rsid w:val="00BD06AB"/>
    <w:rsid w:val="00BD0C9D"/>
    <w:rsid w:val="00BD31C5"/>
    <w:rsid w:val="00BD469C"/>
    <w:rsid w:val="00BD5DE5"/>
    <w:rsid w:val="00BD66D9"/>
    <w:rsid w:val="00BD6CF3"/>
    <w:rsid w:val="00BD762B"/>
    <w:rsid w:val="00BE2180"/>
    <w:rsid w:val="00BE2DC6"/>
    <w:rsid w:val="00BE4275"/>
    <w:rsid w:val="00BE4CFF"/>
    <w:rsid w:val="00BF2433"/>
    <w:rsid w:val="00BF36DD"/>
    <w:rsid w:val="00BF61C9"/>
    <w:rsid w:val="00BF64FB"/>
    <w:rsid w:val="00C02D6D"/>
    <w:rsid w:val="00C04988"/>
    <w:rsid w:val="00C050D9"/>
    <w:rsid w:val="00C1115A"/>
    <w:rsid w:val="00C122F0"/>
    <w:rsid w:val="00C12E1B"/>
    <w:rsid w:val="00C13172"/>
    <w:rsid w:val="00C13489"/>
    <w:rsid w:val="00C22ADF"/>
    <w:rsid w:val="00C23249"/>
    <w:rsid w:val="00C25418"/>
    <w:rsid w:val="00C25D9C"/>
    <w:rsid w:val="00C27267"/>
    <w:rsid w:val="00C2762A"/>
    <w:rsid w:val="00C27AF7"/>
    <w:rsid w:val="00C31649"/>
    <w:rsid w:val="00C33B2D"/>
    <w:rsid w:val="00C340B8"/>
    <w:rsid w:val="00C35192"/>
    <w:rsid w:val="00C354B2"/>
    <w:rsid w:val="00C36499"/>
    <w:rsid w:val="00C379DE"/>
    <w:rsid w:val="00C40385"/>
    <w:rsid w:val="00C4074D"/>
    <w:rsid w:val="00C4572F"/>
    <w:rsid w:val="00C46754"/>
    <w:rsid w:val="00C475E7"/>
    <w:rsid w:val="00C536F7"/>
    <w:rsid w:val="00C55674"/>
    <w:rsid w:val="00C57E61"/>
    <w:rsid w:val="00C6535E"/>
    <w:rsid w:val="00C65576"/>
    <w:rsid w:val="00C66165"/>
    <w:rsid w:val="00C662E3"/>
    <w:rsid w:val="00C7409F"/>
    <w:rsid w:val="00C744E2"/>
    <w:rsid w:val="00C74A0C"/>
    <w:rsid w:val="00C750C8"/>
    <w:rsid w:val="00C803CD"/>
    <w:rsid w:val="00C80433"/>
    <w:rsid w:val="00C81D24"/>
    <w:rsid w:val="00C8213F"/>
    <w:rsid w:val="00C8683C"/>
    <w:rsid w:val="00C87712"/>
    <w:rsid w:val="00C8780A"/>
    <w:rsid w:val="00C8797A"/>
    <w:rsid w:val="00C9179E"/>
    <w:rsid w:val="00C938CF"/>
    <w:rsid w:val="00C94808"/>
    <w:rsid w:val="00CA1743"/>
    <w:rsid w:val="00CA1F09"/>
    <w:rsid w:val="00CA2CE7"/>
    <w:rsid w:val="00CA41EC"/>
    <w:rsid w:val="00CA5245"/>
    <w:rsid w:val="00CA77BB"/>
    <w:rsid w:val="00CA7B09"/>
    <w:rsid w:val="00CB0330"/>
    <w:rsid w:val="00CB0C0E"/>
    <w:rsid w:val="00CB2450"/>
    <w:rsid w:val="00CB2BF1"/>
    <w:rsid w:val="00CB2CDC"/>
    <w:rsid w:val="00CB5936"/>
    <w:rsid w:val="00CB5B1A"/>
    <w:rsid w:val="00CC1D93"/>
    <w:rsid w:val="00CC67F6"/>
    <w:rsid w:val="00CC69D8"/>
    <w:rsid w:val="00CD12D2"/>
    <w:rsid w:val="00CD3E8A"/>
    <w:rsid w:val="00CD6ADC"/>
    <w:rsid w:val="00CD7145"/>
    <w:rsid w:val="00CE2987"/>
    <w:rsid w:val="00CE2D17"/>
    <w:rsid w:val="00CE3847"/>
    <w:rsid w:val="00CE4AFC"/>
    <w:rsid w:val="00CE6274"/>
    <w:rsid w:val="00CF0BF0"/>
    <w:rsid w:val="00CF2856"/>
    <w:rsid w:val="00CF388D"/>
    <w:rsid w:val="00CF456B"/>
    <w:rsid w:val="00CF5A22"/>
    <w:rsid w:val="00CF6479"/>
    <w:rsid w:val="00CF7563"/>
    <w:rsid w:val="00CF798A"/>
    <w:rsid w:val="00D00F67"/>
    <w:rsid w:val="00D021A5"/>
    <w:rsid w:val="00D0262E"/>
    <w:rsid w:val="00D02B28"/>
    <w:rsid w:val="00D02BAA"/>
    <w:rsid w:val="00D060FB"/>
    <w:rsid w:val="00D110BD"/>
    <w:rsid w:val="00D1185C"/>
    <w:rsid w:val="00D13FF1"/>
    <w:rsid w:val="00D157C4"/>
    <w:rsid w:val="00D17822"/>
    <w:rsid w:val="00D17D6C"/>
    <w:rsid w:val="00D20B41"/>
    <w:rsid w:val="00D21CF9"/>
    <w:rsid w:val="00D24654"/>
    <w:rsid w:val="00D265BC"/>
    <w:rsid w:val="00D31A1A"/>
    <w:rsid w:val="00D324DD"/>
    <w:rsid w:val="00D32562"/>
    <w:rsid w:val="00D32898"/>
    <w:rsid w:val="00D357FF"/>
    <w:rsid w:val="00D364E8"/>
    <w:rsid w:val="00D407DA"/>
    <w:rsid w:val="00D43316"/>
    <w:rsid w:val="00D45CA9"/>
    <w:rsid w:val="00D45EE1"/>
    <w:rsid w:val="00D504C9"/>
    <w:rsid w:val="00D53016"/>
    <w:rsid w:val="00D54BB5"/>
    <w:rsid w:val="00D55311"/>
    <w:rsid w:val="00D558A1"/>
    <w:rsid w:val="00D559AC"/>
    <w:rsid w:val="00D55AC9"/>
    <w:rsid w:val="00D55EC9"/>
    <w:rsid w:val="00D5721B"/>
    <w:rsid w:val="00D65F2C"/>
    <w:rsid w:val="00D6629A"/>
    <w:rsid w:val="00D67FD1"/>
    <w:rsid w:val="00D74022"/>
    <w:rsid w:val="00D747C8"/>
    <w:rsid w:val="00D76A44"/>
    <w:rsid w:val="00D76E66"/>
    <w:rsid w:val="00D77669"/>
    <w:rsid w:val="00D8223C"/>
    <w:rsid w:val="00D8602B"/>
    <w:rsid w:val="00D87E4F"/>
    <w:rsid w:val="00D931BE"/>
    <w:rsid w:val="00D93753"/>
    <w:rsid w:val="00D94EE3"/>
    <w:rsid w:val="00D96AF8"/>
    <w:rsid w:val="00D97E30"/>
    <w:rsid w:val="00DA71CE"/>
    <w:rsid w:val="00DA77A5"/>
    <w:rsid w:val="00DB14B3"/>
    <w:rsid w:val="00DB5B18"/>
    <w:rsid w:val="00DC07B1"/>
    <w:rsid w:val="00DC13D9"/>
    <w:rsid w:val="00DC5501"/>
    <w:rsid w:val="00DC7698"/>
    <w:rsid w:val="00DD12BE"/>
    <w:rsid w:val="00DD157C"/>
    <w:rsid w:val="00DD20C5"/>
    <w:rsid w:val="00DD3B9B"/>
    <w:rsid w:val="00DD3F28"/>
    <w:rsid w:val="00DD4537"/>
    <w:rsid w:val="00DD4CB6"/>
    <w:rsid w:val="00DD4D2B"/>
    <w:rsid w:val="00DD4E15"/>
    <w:rsid w:val="00DD5044"/>
    <w:rsid w:val="00DD6F54"/>
    <w:rsid w:val="00DE34CB"/>
    <w:rsid w:val="00DE4B6F"/>
    <w:rsid w:val="00DE4FCB"/>
    <w:rsid w:val="00DE6A39"/>
    <w:rsid w:val="00DE6D45"/>
    <w:rsid w:val="00DE7FCF"/>
    <w:rsid w:val="00DF0729"/>
    <w:rsid w:val="00DF33D4"/>
    <w:rsid w:val="00DF4EB8"/>
    <w:rsid w:val="00DF5D2B"/>
    <w:rsid w:val="00DF5EC0"/>
    <w:rsid w:val="00DF6EA5"/>
    <w:rsid w:val="00E03F46"/>
    <w:rsid w:val="00E0413F"/>
    <w:rsid w:val="00E05C95"/>
    <w:rsid w:val="00E061CF"/>
    <w:rsid w:val="00E10149"/>
    <w:rsid w:val="00E12320"/>
    <w:rsid w:val="00E147CC"/>
    <w:rsid w:val="00E14CB8"/>
    <w:rsid w:val="00E15619"/>
    <w:rsid w:val="00E16372"/>
    <w:rsid w:val="00E17A51"/>
    <w:rsid w:val="00E20ED6"/>
    <w:rsid w:val="00E21358"/>
    <w:rsid w:val="00E2249B"/>
    <w:rsid w:val="00E22A0D"/>
    <w:rsid w:val="00E2378A"/>
    <w:rsid w:val="00E2771E"/>
    <w:rsid w:val="00E32920"/>
    <w:rsid w:val="00E336CB"/>
    <w:rsid w:val="00E34FB6"/>
    <w:rsid w:val="00E36055"/>
    <w:rsid w:val="00E3749C"/>
    <w:rsid w:val="00E37569"/>
    <w:rsid w:val="00E41E30"/>
    <w:rsid w:val="00E43D70"/>
    <w:rsid w:val="00E47B2C"/>
    <w:rsid w:val="00E514FE"/>
    <w:rsid w:val="00E51560"/>
    <w:rsid w:val="00E53236"/>
    <w:rsid w:val="00E55424"/>
    <w:rsid w:val="00E55BB5"/>
    <w:rsid w:val="00E618DD"/>
    <w:rsid w:val="00E61AA3"/>
    <w:rsid w:val="00E62420"/>
    <w:rsid w:val="00E6376F"/>
    <w:rsid w:val="00E63A54"/>
    <w:rsid w:val="00E65E79"/>
    <w:rsid w:val="00E67416"/>
    <w:rsid w:val="00E70436"/>
    <w:rsid w:val="00E718B6"/>
    <w:rsid w:val="00E72C5F"/>
    <w:rsid w:val="00E72E5A"/>
    <w:rsid w:val="00E732B0"/>
    <w:rsid w:val="00E73581"/>
    <w:rsid w:val="00E75B57"/>
    <w:rsid w:val="00E75D8E"/>
    <w:rsid w:val="00E768C7"/>
    <w:rsid w:val="00E771E8"/>
    <w:rsid w:val="00E775D1"/>
    <w:rsid w:val="00E8074A"/>
    <w:rsid w:val="00E83BDF"/>
    <w:rsid w:val="00E85675"/>
    <w:rsid w:val="00E8612F"/>
    <w:rsid w:val="00E8715D"/>
    <w:rsid w:val="00E87710"/>
    <w:rsid w:val="00E90392"/>
    <w:rsid w:val="00E9193F"/>
    <w:rsid w:val="00E91F5A"/>
    <w:rsid w:val="00E9515B"/>
    <w:rsid w:val="00E97756"/>
    <w:rsid w:val="00E97AF1"/>
    <w:rsid w:val="00EA17F7"/>
    <w:rsid w:val="00EA3864"/>
    <w:rsid w:val="00EA45A8"/>
    <w:rsid w:val="00EA77FC"/>
    <w:rsid w:val="00EB15B6"/>
    <w:rsid w:val="00EB1AE2"/>
    <w:rsid w:val="00EB414E"/>
    <w:rsid w:val="00EB4916"/>
    <w:rsid w:val="00EB4996"/>
    <w:rsid w:val="00EB6B37"/>
    <w:rsid w:val="00EB6E75"/>
    <w:rsid w:val="00EB7FA4"/>
    <w:rsid w:val="00EC00C9"/>
    <w:rsid w:val="00EC3BCD"/>
    <w:rsid w:val="00EC485F"/>
    <w:rsid w:val="00EC696E"/>
    <w:rsid w:val="00ED0E8D"/>
    <w:rsid w:val="00ED1BAF"/>
    <w:rsid w:val="00ED3017"/>
    <w:rsid w:val="00ED381E"/>
    <w:rsid w:val="00ED46E1"/>
    <w:rsid w:val="00EE07D3"/>
    <w:rsid w:val="00EE139C"/>
    <w:rsid w:val="00EE2446"/>
    <w:rsid w:val="00EE45D2"/>
    <w:rsid w:val="00EE46E1"/>
    <w:rsid w:val="00EE76D7"/>
    <w:rsid w:val="00EF115E"/>
    <w:rsid w:val="00EF1581"/>
    <w:rsid w:val="00EF7207"/>
    <w:rsid w:val="00EF7B41"/>
    <w:rsid w:val="00F01692"/>
    <w:rsid w:val="00F0235C"/>
    <w:rsid w:val="00F040AB"/>
    <w:rsid w:val="00F067A2"/>
    <w:rsid w:val="00F1046A"/>
    <w:rsid w:val="00F10925"/>
    <w:rsid w:val="00F10BBB"/>
    <w:rsid w:val="00F143B4"/>
    <w:rsid w:val="00F17BE6"/>
    <w:rsid w:val="00F20E05"/>
    <w:rsid w:val="00F22176"/>
    <w:rsid w:val="00F2224E"/>
    <w:rsid w:val="00F223FF"/>
    <w:rsid w:val="00F22910"/>
    <w:rsid w:val="00F234E6"/>
    <w:rsid w:val="00F242BF"/>
    <w:rsid w:val="00F24463"/>
    <w:rsid w:val="00F24837"/>
    <w:rsid w:val="00F2575F"/>
    <w:rsid w:val="00F26A9C"/>
    <w:rsid w:val="00F2740D"/>
    <w:rsid w:val="00F32BF3"/>
    <w:rsid w:val="00F33DE9"/>
    <w:rsid w:val="00F34038"/>
    <w:rsid w:val="00F35216"/>
    <w:rsid w:val="00F35518"/>
    <w:rsid w:val="00F3619A"/>
    <w:rsid w:val="00F3767F"/>
    <w:rsid w:val="00F37AF1"/>
    <w:rsid w:val="00F4186C"/>
    <w:rsid w:val="00F442BD"/>
    <w:rsid w:val="00F46CB6"/>
    <w:rsid w:val="00F46D39"/>
    <w:rsid w:val="00F54D70"/>
    <w:rsid w:val="00F55644"/>
    <w:rsid w:val="00F55E73"/>
    <w:rsid w:val="00F56A29"/>
    <w:rsid w:val="00F60092"/>
    <w:rsid w:val="00F618B1"/>
    <w:rsid w:val="00F6206E"/>
    <w:rsid w:val="00F626F9"/>
    <w:rsid w:val="00F65146"/>
    <w:rsid w:val="00F65824"/>
    <w:rsid w:val="00F6639B"/>
    <w:rsid w:val="00F7147B"/>
    <w:rsid w:val="00F75042"/>
    <w:rsid w:val="00F8027C"/>
    <w:rsid w:val="00F80745"/>
    <w:rsid w:val="00F80E5D"/>
    <w:rsid w:val="00F823C9"/>
    <w:rsid w:val="00F830C5"/>
    <w:rsid w:val="00F84311"/>
    <w:rsid w:val="00F851CE"/>
    <w:rsid w:val="00F8629A"/>
    <w:rsid w:val="00F86BE2"/>
    <w:rsid w:val="00F86E8E"/>
    <w:rsid w:val="00F907E4"/>
    <w:rsid w:val="00F96519"/>
    <w:rsid w:val="00F9749E"/>
    <w:rsid w:val="00F97A78"/>
    <w:rsid w:val="00FA08A0"/>
    <w:rsid w:val="00FA1DDD"/>
    <w:rsid w:val="00FA1F29"/>
    <w:rsid w:val="00FA24E7"/>
    <w:rsid w:val="00FA318B"/>
    <w:rsid w:val="00FA79DC"/>
    <w:rsid w:val="00FB02B5"/>
    <w:rsid w:val="00FB0798"/>
    <w:rsid w:val="00FB2B26"/>
    <w:rsid w:val="00FB2FCB"/>
    <w:rsid w:val="00FB424C"/>
    <w:rsid w:val="00FB60CA"/>
    <w:rsid w:val="00FB6315"/>
    <w:rsid w:val="00FC1074"/>
    <w:rsid w:val="00FC1884"/>
    <w:rsid w:val="00FC1CA6"/>
    <w:rsid w:val="00FC52F8"/>
    <w:rsid w:val="00FC77AB"/>
    <w:rsid w:val="00FD184D"/>
    <w:rsid w:val="00FD2100"/>
    <w:rsid w:val="00FD446D"/>
    <w:rsid w:val="00FD5789"/>
    <w:rsid w:val="00FD5B44"/>
    <w:rsid w:val="00FE0F7E"/>
    <w:rsid w:val="00FE1F4A"/>
    <w:rsid w:val="00FE6424"/>
    <w:rsid w:val="00FE71EE"/>
    <w:rsid w:val="00FE7812"/>
    <w:rsid w:val="00FF3DCF"/>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2E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lsdException w:name="heading 5" w:semiHidden="0" w:uiPriority="7" w:unhideWhenUsed="0"/>
    <w:lsdException w:name="heading 6" w:semiHidden="0" w:uiPriority="7" w:unhideWhenUsed="0"/>
    <w:lsdException w:name="heading 7" w:uiPriority="7"/>
    <w:lsdException w:name="heading 8" w:uiPriority="7"/>
    <w:lsdException w:name="heading 9" w:uiPriority="7"/>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annotation text" w:uiPriority="99"/>
    <w:lsdException w:name="header" w:uiPriority="99"/>
    <w:lsdException w:name="footer" w:uiPriority="99"/>
    <w:lsdException w:name="caption" w:qFormat="1"/>
    <w:lsdException w:name="annotation reference" w:uiPriority="99" w:qFormat="1"/>
    <w:lsdException w:name="List Number" w:semiHidden="0" w:uiPriority="9" w:unhideWhenUsed="0"/>
    <w:lsdException w:name="List 4" w:semiHidden="0" w:uiPriority="9" w:unhideWhenUsed="0"/>
    <w:lsdException w:name="List 5" w:semiHidden="0" w:uiPriority="9" w:unhideWhenUsed="0"/>
    <w:lsdException w:name="Title" w:semiHidden="0" w:uiPriority="7" w:unhideWhenUsed="0"/>
    <w:lsdException w:name="Default Paragraph Font" w:uiPriority="1"/>
    <w:lsdException w:name="Body Text" w:uiPriority="9"/>
    <w:lsdException w:name="Body Text Indent" w:uiPriority="9"/>
    <w:lsdException w:name="Subtitle" w:semiHidden="0" w:uiPriority="9" w:unhideWhenUsed="0"/>
    <w:lsdException w:name="Salutation" w:semiHidden="0" w:uiPriority="9" w:unhideWhenUsed="0"/>
    <w:lsdException w:name="Date" w:semiHidden="0" w:uiPriority="9" w:unhideWhenUsed="0"/>
    <w:lsdException w:name="Body Text First Indent" w:semiHidden="0" w:uiPriority="9" w:unhideWhenUsed="0"/>
    <w:lsdException w:name="Body Text 2" w:uiPriority="9"/>
    <w:lsdException w:name="Body Text 3" w:uiPriority="9"/>
    <w:lsdException w:name="Hyperlink" w:uiPriority="99"/>
    <w:lsdException w:name="Strong" w:semiHidden="0" w:uiPriority="22" w:unhideWhenUsed="0" w:qFormat="1"/>
    <w:lsdException w:name="Emphasis" w:semiHidden="0" w:uiPriority="9" w:unhideWhenUsed="0"/>
    <w:lsdException w:name="Normal (Web)" w:uiPriority="99"/>
    <w:lsdException w:name="annotation subject" w:uiPriority="9"/>
    <w:lsdException w:name="No List" w:uiPriority="99"/>
    <w:lsdException w:name="Balloon Text" w:uiPriority="9"/>
    <w:lsdException w:name="Table Grid" w:semiHidden="0" w:uiPriority="59" w:unhideWhenUsed="0"/>
    <w:lsdException w:name="Placeholder Text" w:uiPriority="99" w:unhideWhenUsed="0"/>
    <w:lsdException w:name="No Spacing" w:semiHidden="0" w:uiPriority="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F6E"/>
    <w:pPr>
      <w:widowControl w:val="0"/>
      <w:jc w:val="both"/>
    </w:pPr>
    <w:rPr>
      <w:rFonts w:ascii="Arial" w:hAnsi="Arial" w:cs="Arial"/>
      <w:snapToGrid w:val="0"/>
      <w:sz w:val="22"/>
      <w:lang w:eastAsia="en-US"/>
    </w:rPr>
  </w:style>
  <w:style w:type="paragraph" w:styleId="Heading1">
    <w:name w:val="heading 1"/>
    <w:basedOn w:val="Normal"/>
    <w:next w:val="Normal"/>
    <w:uiPriority w:val="1"/>
    <w:qFormat/>
    <w:rsid w:val="00C6535E"/>
    <w:pPr>
      <w:ind w:left="720" w:hanging="720"/>
      <w:outlineLvl w:val="0"/>
    </w:pPr>
    <w:rPr>
      <w:rFonts w:ascii="Arial Bold" w:hAnsi="Arial Bold"/>
      <w:b/>
      <w:caps/>
    </w:rPr>
  </w:style>
  <w:style w:type="paragraph" w:styleId="Heading2">
    <w:name w:val="heading 2"/>
    <w:basedOn w:val="Normal"/>
    <w:next w:val="Normal"/>
    <w:link w:val="Heading2Char"/>
    <w:uiPriority w:val="1"/>
    <w:qFormat/>
    <w:rsid w:val="00C6535E"/>
    <w:pPr>
      <w:outlineLvl w:val="1"/>
    </w:pPr>
    <w:rPr>
      <w:b/>
    </w:rPr>
  </w:style>
  <w:style w:type="paragraph" w:styleId="Heading3">
    <w:name w:val="heading 3"/>
    <w:basedOn w:val="Normal"/>
    <w:next w:val="Normal"/>
    <w:uiPriority w:val="1"/>
    <w:qFormat/>
    <w:rsid w:val="00C6535E"/>
    <w:pPr>
      <w:outlineLvl w:val="2"/>
    </w:pPr>
    <w:rPr>
      <w:u w:val="single"/>
    </w:rPr>
  </w:style>
  <w:style w:type="paragraph" w:styleId="Heading4">
    <w:name w:val="heading 4"/>
    <w:basedOn w:val="Normal"/>
    <w:next w:val="Normal"/>
    <w:uiPriority w:val="5"/>
    <w:rsid w:val="00124A51"/>
    <w:pPr>
      <w:keepNext/>
      <w:spacing w:before="240" w:after="60"/>
      <w:outlineLvl w:val="3"/>
    </w:pPr>
    <w:rPr>
      <w:b/>
      <w:bCs/>
      <w:i/>
      <w:sz w:val="26"/>
      <w:szCs w:val="28"/>
    </w:rPr>
  </w:style>
  <w:style w:type="paragraph" w:styleId="Heading5">
    <w:name w:val="heading 5"/>
    <w:basedOn w:val="Normal"/>
    <w:next w:val="Normal"/>
    <w:uiPriority w:val="7"/>
    <w:rsid w:val="00124A51"/>
    <w:pPr>
      <w:spacing w:before="240" w:after="60"/>
      <w:outlineLvl w:val="4"/>
    </w:pPr>
    <w:rPr>
      <w:b/>
      <w:bCs/>
      <w:iCs/>
      <w:sz w:val="26"/>
      <w:szCs w:val="26"/>
    </w:rPr>
  </w:style>
  <w:style w:type="paragraph" w:styleId="Heading6">
    <w:name w:val="heading 6"/>
    <w:basedOn w:val="Normal"/>
    <w:next w:val="Normal"/>
    <w:uiPriority w:val="7"/>
    <w:rsid w:val="00124A51"/>
    <w:pPr>
      <w:spacing w:before="240" w:after="60"/>
      <w:outlineLvl w:val="5"/>
    </w:pPr>
    <w:rPr>
      <w:b/>
      <w:bCs/>
      <w:i/>
      <w:szCs w:val="22"/>
    </w:rPr>
  </w:style>
  <w:style w:type="paragraph" w:styleId="Heading7">
    <w:name w:val="heading 7"/>
    <w:basedOn w:val="Normal"/>
    <w:next w:val="Normal"/>
    <w:link w:val="Heading7Char"/>
    <w:uiPriority w:val="7"/>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uiPriority w:val="7"/>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uiPriority w:val="4"/>
    <w:qFormat/>
    <w:rsid w:val="00C6535E"/>
    <w:rPr>
      <w:rFonts w:ascii="Arial Narrow" w:hAnsi="Arial Narrow"/>
      <w:sz w:val="18"/>
    </w:rPr>
  </w:style>
  <w:style w:type="paragraph" w:customStyle="1" w:styleId="TableHeader">
    <w:name w:val="Table Header"/>
    <w:basedOn w:val="Normal"/>
    <w:next w:val="Normal"/>
    <w:uiPriority w:val="3"/>
    <w:qFormat/>
    <w:rsid w:val="00C6535E"/>
    <w:rPr>
      <w:rFonts w:ascii="Arial Narrow" w:hAnsi="Arial Narrow"/>
      <w:b/>
      <w:sz w:val="20"/>
    </w:rPr>
  </w:style>
  <w:style w:type="character" w:customStyle="1" w:styleId="Heading2Char">
    <w:name w:val="Heading 2 Char"/>
    <w:link w:val="Heading2"/>
    <w:uiPriority w:val="1"/>
    <w:rsid w:val="00C6535E"/>
    <w:rPr>
      <w:rFonts w:ascii="Arial" w:hAnsi="Arial" w:cs="Arial"/>
      <w:b/>
      <w:snapToGrid w:val="0"/>
      <w:sz w:val="22"/>
      <w:lang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aliases w:val="Caption Char1,Caption Char Char,Char Char Char,Char Char1,Char Char,Char1,Table caption,Caption 3,c,appendix,IB Caption,Medical Caption,Caption Char1 Char Char,Caption Char Char Char Char,Caption Char Char Char Char Char,Caption Char1 Char1"/>
    <w:basedOn w:val="Normal"/>
    <w:next w:val="TableHeader"/>
    <w:link w:val="CaptionChar"/>
    <w:unhideWhenUsed/>
    <w:qFormat/>
    <w:rsid w:val="005C7F65"/>
    <w:rPr>
      <w:rFonts w:ascii="Arial Narrow" w:hAnsi="Arial Narrow"/>
      <w:b/>
      <w:bCs/>
      <w:sz w:val="20"/>
      <w:szCs w:val="18"/>
    </w:rPr>
  </w:style>
  <w:style w:type="character" w:customStyle="1" w:styleId="CaptionChar">
    <w:name w:val="Caption Char"/>
    <w:aliases w:val="Caption Char1 Char,Caption Char Char Char,Char Char Char Char,Char Char1 Char,Char Char Char1,Char1 Char,Table caption Char,Caption 3 Char,c Char,appendix Char,IB Caption Char,Medical Caption Char,Caption Char1 Char Char Char"/>
    <w:link w:val="Caption"/>
    <w:uiPriority w:val="7"/>
    <w:rsid w:val="005C7F65"/>
    <w:rPr>
      <w:rFonts w:ascii="Arial Narrow" w:hAnsi="Arial Narrow" w:cs="Arial"/>
      <w:b/>
      <w:bCs/>
      <w:snapToGrid w:val="0"/>
      <w:szCs w:val="18"/>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D97E30"/>
    <w:rPr>
      <w:rFonts w:ascii="Cambria" w:hAnsi="Cambria" w:cs="Arial"/>
      <w:b/>
      <w:bCs/>
      <w:snapToGrid w:val="0"/>
      <w:kern w:val="28"/>
      <w:sz w:val="32"/>
      <w:szCs w:val="32"/>
      <w:lang w:eastAsia="en-US"/>
    </w:rPr>
  </w:style>
  <w:style w:type="paragraph" w:styleId="BodyText">
    <w:name w:val="Body Text"/>
    <w:basedOn w:val="Normal"/>
    <w:link w:val="BodyTextChar"/>
    <w:uiPriority w:val="9"/>
    <w:rsid w:val="004B3DDB"/>
    <w:pPr>
      <w:jc w:val="left"/>
    </w:pPr>
  </w:style>
  <w:style w:type="character" w:customStyle="1" w:styleId="BodyTextChar">
    <w:name w:val="Body Text Char"/>
    <w:basedOn w:val="DefaultParagraphFont"/>
    <w:link w:val="BodyText"/>
    <w:uiPriority w:val="9"/>
    <w:rsid w:val="00D97E30"/>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5C7F65"/>
    <w:rPr>
      <w:rFonts w:ascii="Arial Narrow" w:hAnsi="Arial Narrow"/>
      <w:b/>
      <w:sz w:val="20"/>
      <w:szCs w:val="16"/>
    </w:rPr>
  </w:style>
  <w:style w:type="paragraph" w:customStyle="1" w:styleId="Tabletext">
    <w:name w:val="Table text"/>
    <w:basedOn w:val="Normal"/>
    <w:link w:val="TabletextChar"/>
    <w:uiPriority w:val="2"/>
    <w:qFormat/>
    <w:rsid w:val="00C6535E"/>
    <w:pPr>
      <w:widowControl/>
      <w:jc w:val="left"/>
    </w:pPr>
    <w:rPr>
      <w:rFonts w:ascii="Arial Narrow" w:hAnsi="Arial Narrow" w:cs="Times New Roman"/>
      <w:snapToGrid/>
      <w:sz w:val="20"/>
    </w:rPr>
  </w:style>
  <w:style w:type="paragraph" w:customStyle="1" w:styleId="TableHeading">
    <w:name w:val="TableHeading"/>
    <w:basedOn w:val="Normal"/>
    <w:uiPriority w:val="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2"/>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615E52"/>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8154EA"/>
    <w:pPr>
      <w:tabs>
        <w:tab w:val="left" w:pos="851"/>
        <w:tab w:val="right" w:leader="dot" w:pos="9016"/>
      </w:tabs>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97E30"/>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
    <w:rsid w:val="00D97E30"/>
    <w:rPr>
      <w:lang w:eastAsia="en-US"/>
    </w:rPr>
  </w:style>
  <w:style w:type="paragraph" w:styleId="Subtitle">
    <w:name w:val="Subtitle"/>
    <w:basedOn w:val="Normal"/>
    <w:link w:val="SubtitleChar"/>
    <w:uiPriority w:val="9"/>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character" w:customStyle="1" w:styleId="TableTextChar0">
    <w:name w:val="TableText Char"/>
    <w:link w:val="TableText0"/>
    <w:rsid w:val="00BD5DE5"/>
    <w:rPr>
      <w:rFonts w:ascii="Arial Narrow" w:hAnsi="Arial Narrow" w:cs="Arial Narrow"/>
      <w:lang w:eastAsia="en-US"/>
    </w:rPr>
  </w:style>
  <w:style w:type="character" w:customStyle="1" w:styleId="StyleCalibri">
    <w:name w:val="Style Calibri"/>
    <w:basedOn w:val="DefaultParagraphFont"/>
    <w:uiPriority w:val="99"/>
    <w:rsid w:val="00BD5DE5"/>
    <w:rPr>
      <w:rFonts w:ascii="Calibri" w:hAnsi="Calibri"/>
      <w:sz w:val="24"/>
    </w:rPr>
  </w:style>
  <w:style w:type="character" w:customStyle="1" w:styleId="TableItalics">
    <w:name w:val="Table Italics"/>
    <w:uiPriority w:val="4"/>
    <w:qFormat/>
    <w:rsid w:val="00CE3847"/>
    <w:rPr>
      <w:rFonts w:ascii="Calibri" w:hAnsi="Calibri" w:cs="Times New Roman"/>
      <w:i/>
      <w:sz w:val="20"/>
    </w:rPr>
  </w:style>
  <w:style w:type="paragraph" w:styleId="FootnoteText">
    <w:name w:val="footnote text"/>
    <w:basedOn w:val="Normal"/>
    <w:link w:val="FootnoteTextChar"/>
    <w:semiHidden/>
    <w:unhideWhenUsed/>
    <w:rsid w:val="00172CF4"/>
    <w:rPr>
      <w:sz w:val="20"/>
    </w:rPr>
  </w:style>
  <w:style w:type="character" w:customStyle="1" w:styleId="FootnoteTextChar">
    <w:name w:val="Footnote Text Char"/>
    <w:basedOn w:val="DefaultParagraphFont"/>
    <w:link w:val="FootnoteText"/>
    <w:semiHidden/>
    <w:rsid w:val="00172CF4"/>
    <w:rPr>
      <w:rFonts w:ascii="Arial" w:hAnsi="Arial" w:cs="Arial"/>
      <w:snapToGrid w:val="0"/>
      <w:lang w:eastAsia="en-US"/>
    </w:rPr>
  </w:style>
  <w:style w:type="character" w:styleId="FootnoteReference">
    <w:name w:val="footnote reference"/>
    <w:basedOn w:val="DefaultParagraphFont"/>
    <w:semiHidden/>
    <w:unhideWhenUsed/>
    <w:rsid w:val="00172CF4"/>
    <w:rPr>
      <w:vertAlign w:val="superscript"/>
    </w:rPr>
  </w:style>
  <w:style w:type="character" w:customStyle="1" w:styleId="TableText1">
    <w:name w:val="Table Text"/>
    <w:basedOn w:val="DefaultParagraphFont"/>
    <w:uiPriority w:val="99"/>
    <w:qFormat/>
    <w:rsid w:val="00172CF4"/>
    <w:rPr>
      <w:rFonts w:ascii="Calibri" w:hAnsi="Calibri" w:cs="Times New Roman"/>
      <w:sz w:val="20"/>
    </w:rPr>
  </w:style>
  <w:style w:type="paragraph" w:customStyle="1" w:styleId="Default">
    <w:name w:val="Default"/>
    <w:link w:val="DefaultChar"/>
    <w:rsid w:val="00EC3BCD"/>
    <w:pPr>
      <w:autoSpaceDE w:val="0"/>
      <w:autoSpaceDN w:val="0"/>
      <w:adjustRightInd w:val="0"/>
    </w:pPr>
    <w:rPr>
      <w:rFonts w:ascii="Calibri" w:hAnsi="Calibri" w:cs="Calibri"/>
      <w:color w:val="000000"/>
      <w:sz w:val="24"/>
      <w:szCs w:val="24"/>
    </w:rPr>
  </w:style>
  <w:style w:type="character" w:customStyle="1" w:styleId="TableFooterChar">
    <w:name w:val="Table Footer Char"/>
    <w:link w:val="TableFooter"/>
    <w:uiPriority w:val="4"/>
    <w:rsid w:val="00927BC7"/>
    <w:rPr>
      <w:rFonts w:ascii="Arial Narrow" w:hAnsi="Arial Narrow" w:cs="Arial"/>
      <w:snapToGrid w:val="0"/>
      <w:sz w:val="18"/>
      <w:lang w:eastAsia="en-US"/>
    </w:rPr>
  </w:style>
  <w:style w:type="paragraph" w:customStyle="1" w:styleId="TableLeft">
    <w:name w:val="Table Left"/>
    <w:basedOn w:val="Normal"/>
    <w:link w:val="TableLeftChar"/>
    <w:uiPriority w:val="99"/>
    <w:qFormat/>
    <w:rsid w:val="00E97AF1"/>
    <w:pPr>
      <w:widowControl/>
      <w:jc w:val="left"/>
    </w:pPr>
    <w:rPr>
      <w:rFonts w:ascii="Calibri" w:hAnsi="Calibri" w:cs="Times New Roman"/>
      <w:snapToGrid/>
      <w:sz w:val="20"/>
      <w:szCs w:val="22"/>
    </w:rPr>
  </w:style>
  <w:style w:type="character" w:customStyle="1" w:styleId="TableLeftChar">
    <w:name w:val="Table Left Char"/>
    <w:basedOn w:val="DefaultParagraphFont"/>
    <w:link w:val="TableLeft"/>
    <w:uiPriority w:val="99"/>
    <w:locked/>
    <w:rsid w:val="00E97AF1"/>
    <w:rPr>
      <w:rFonts w:ascii="Calibri" w:hAnsi="Calibri"/>
      <w:szCs w:val="22"/>
      <w:lang w:eastAsia="en-US"/>
    </w:rPr>
  </w:style>
  <w:style w:type="character" w:customStyle="1" w:styleId="TableBold">
    <w:name w:val="Table Bold"/>
    <w:basedOn w:val="TableText1"/>
    <w:uiPriority w:val="4"/>
    <w:qFormat/>
    <w:rsid w:val="00E97AF1"/>
    <w:rPr>
      <w:rFonts w:ascii="Calibri" w:hAnsi="Calibri" w:cs="Times New Roman"/>
      <w:b/>
      <w:sz w:val="20"/>
      <w:lang w:val="en-AU"/>
    </w:rPr>
  </w:style>
  <w:style w:type="character" w:customStyle="1" w:styleId="highlightedsearchterm">
    <w:name w:val="highlightedsearchterm"/>
    <w:basedOn w:val="DefaultParagraphFont"/>
    <w:rsid w:val="00B90B1A"/>
  </w:style>
  <w:style w:type="paragraph" w:customStyle="1" w:styleId="style3">
    <w:name w:val="style3"/>
    <w:basedOn w:val="Normal"/>
    <w:rsid w:val="00EC485F"/>
    <w:pPr>
      <w:widowControl/>
      <w:spacing w:before="100" w:beforeAutospacing="1" w:after="100" w:afterAutospacing="1"/>
      <w:jc w:val="left"/>
    </w:pPr>
    <w:rPr>
      <w:rFonts w:ascii="Times New Roman" w:hAnsi="Times New Roman" w:cs="Times New Roman"/>
      <w:snapToGrid/>
      <w:sz w:val="24"/>
      <w:szCs w:val="24"/>
      <w:lang w:eastAsia="en-AU"/>
    </w:rPr>
  </w:style>
  <w:style w:type="character" w:styleId="Strong">
    <w:name w:val="Strong"/>
    <w:basedOn w:val="DefaultParagraphFont"/>
    <w:uiPriority w:val="22"/>
    <w:qFormat/>
    <w:rsid w:val="00EC485F"/>
    <w:rPr>
      <w:b/>
      <w:bCs/>
    </w:rPr>
  </w:style>
  <w:style w:type="character" w:customStyle="1" w:styleId="adobe">
    <w:name w:val="adobe"/>
    <w:basedOn w:val="DefaultParagraphFont"/>
    <w:rsid w:val="00EC485F"/>
  </w:style>
  <w:style w:type="paragraph" w:customStyle="1" w:styleId="TableCentred">
    <w:name w:val="Table Centred"/>
    <w:basedOn w:val="Normal"/>
    <w:link w:val="TableCentredChar"/>
    <w:uiPriority w:val="5"/>
    <w:qFormat/>
    <w:rsid w:val="001A4649"/>
    <w:pPr>
      <w:widowControl/>
      <w:spacing w:line="276" w:lineRule="auto"/>
      <w:jc w:val="center"/>
    </w:pPr>
    <w:rPr>
      <w:rFonts w:ascii="Calibri" w:hAnsi="Calibri" w:cs="Times New Roman"/>
      <w:snapToGrid/>
      <w:sz w:val="20"/>
      <w:szCs w:val="22"/>
    </w:rPr>
  </w:style>
  <w:style w:type="character" w:customStyle="1" w:styleId="TableCentredChar">
    <w:name w:val="Table Centred Char"/>
    <w:basedOn w:val="DefaultParagraphFont"/>
    <w:link w:val="TableCentred"/>
    <w:uiPriority w:val="5"/>
    <w:locked/>
    <w:rsid w:val="001A4649"/>
    <w:rPr>
      <w:rFonts w:ascii="Calibri" w:hAnsi="Calibri"/>
      <w:szCs w:val="22"/>
      <w:lang w:eastAsia="en-US"/>
    </w:rPr>
  </w:style>
  <w:style w:type="paragraph" w:customStyle="1" w:styleId="StyleTable9Calibri">
    <w:name w:val="Style Table9 + Calibri"/>
    <w:basedOn w:val="Normal"/>
    <w:autoRedefine/>
    <w:rsid w:val="001A4649"/>
    <w:pPr>
      <w:widowControl/>
      <w:jc w:val="left"/>
    </w:pPr>
    <w:rPr>
      <w:rFonts w:ascii="Calibri" w:eastAsia="SimSun" w:hAnsi="Calibri" w:cs="Times New Roman"/>
      <w:snapToGrid/>
      <w:sz w:val="20"/>
      <w:szCs w:val="18"/>
      <w:lang w:eastAsia="zh-CN"/>
    </w:rPr>
  </w:style>
  <w:style w:type="paragraph" w:customStyle="1" w:styleId="ListLetters">
    <w:name w:val="List Letters"/>
    <w:basedOn w:val="Normal"/>
    <w:uiPriority w:val="3"/>
    <w:qFormat/>
    <w:rsid w:val="006615AA"/>
    <w:pPr>
      <w:widowControl/>
      <w:spacing w:after="240" w:line="276" w:lineRule="auto"/>
      <w:contextualSpacing/>
    </w:pPr>
    <w:rPr>
      <w:rFonts w:ascii="Calibri" w:hAnsi="Calibri" w:cs="Times New Roman"/>
      <w:snapToGrid/>
      <w:sz w:val="24"/>
      <w:szCs w:val="22"/>
    </w:rPr>
  </w:style>
  <w:style w:type="character" w:customStyle="1" w:styleId="DefaultChar">
    <w:name w:val="Default Char"/>
    <w:basedOn w:val="DefaultParagraphFont"/>
    <w:link w:val="Default"/>
    <w:rsid w:val="00FA1DDD"/>
    <w:rPr>
      <w:rFonts w:ascii="Calibri" w:hAnsi="Calibri" w:cs="Calibri"/>
      <w:color w:val="000000"/>
      <w:sz w:val="24"/>
      <w:szCs w:val="24"/>
    </w:rPr>
  </w:style>
  <w:style w:type="paragraph" w:styleId="DocumentMap">
    <w:name w:val="Document Map"/>
    <w:basedOn w:val="Normal"/>
    <w:link w:val="DocumentMapChar"/>
    <w:semiHidden/>
    <w:unhideWhenUsed/>
    <w:rsid w:val="00FA1DDD"/>
    <w:rPr>
      <w:rFonts w:ascii="Lucida Grande" w:hAnsi="Lucida Grande" w:cs="Lucida Grande"/>
      <w:sz w:val="24"/>
      <w:szCs w:val="24"/>
    </w:rPr>
  </w:style>
  <w:style w:type="character" w:customStyle="1" w:styleId="DocumentMapChar">
    <w:name w:val="Document Map Char"/>
    <w:basedOn w:val="DefaultParagraphFont"/>
    <w:link w:val="DocumentMap"/>
    <w:semiHidden/>
    <w:rsid w:val="00FA1DDD"/>
    <w:rPr>
      <w:rFonts w:ascii="Lucida Grande" w:hAnsi="Lucida Grande" w:cs="Lucida Grande"/>
      <w:snapToGrid w:val="0"/>
      <w:sz w:val="24"/>
      <w:szCs w:val="24"/>
      <w:lang w:eastAsia="en-US"/>
    </w:rPr>
  </w:style>
  <w:style w:type="character" w:customStyle="1" w:styleId="st">
    <w:name w:val="st"/>
    <w:basedOn w:val="DefaultParagraphFont"/>
    <w:rsid w:val="00FA1DDD"/>
  </w:style>
  <w:style w:type="character" w:customStyle="1" w:styleId="tgc">
    <w:name w:val="_tgc"/>
    <w:basedOn w:val="DefaultParagraphFont"/>
    <w:rsid w:val="00AE2DA9"/>
  </w:style>
  <w:style w:type="paragraph" w:customStyle="1" w:styleId="TableNotes">
    <w:name w:val="Table Notes"/>
    <w:basedOn w:val="Normal"/>
    <w:link w:val="TableNotesChar"/>
    <w:qFormat/>
    <w:rsid w:val="00AE2DA9"/>
    <w:pPr>
      <w:widowControl/>
      <w:spacing w:after="40" w:line="276" w:lineRule="auto"/>
    </w:pPr>
    <w:rPr>
      <w:rFonts w:ascii="Calibri" w:hAnsi="Calibri" w:cs="Times New Roman"/>
      <w:snapToGrid/>
      <w:sz w:val="16"/>
      <w:szCs w:val="22"/>
    </w:rPr>
  </w:style>
  <w:style w:type="character" w:customStyle="1" w:styleId="TableNotesChar">
    <w:name w:val="Table Notes Char"/>
    <w:basedOn w:val="DefaultParagraphFont"/>
    <w:link w:val="TableNotes"/>
    <w:locked/>
    <w:rsid w:val="00AE2DA9"/>
    <w:rPr>
      <w:rFonts w:ascii="Calibri" w:hAnsi="Calibri"/>
      <w:sz w:val="16"/>
      <w:szCs w:val="22"/>
      <w:lang w:eastAsia="en-US"/>
    </w:rPr>
  </w:style>
  <w:style w:type="character" w:customStyle="1" w:styleId="ListParagraphChar">
    <w:name w:val="List Paragraph Char"/>
    <w:aliases w:val="BulletPoints Char"/>
    <w:link w:val="ListParagraph"/>
    <w:uiPriority w:val="34"/>
    <w:locked/>
    <w:rsid w:val="00AE2DA9"/>
    <w:rPr>
      <w:rFonts w:ascii="Arial" w:hAnsi="Arial" w:cs="Arial"/>
      <w:snapToGrid w:val="0"/>
      <w:sz w:val="22"/>
      <w:lang w:eastAsia="en-US"/>
    </w:rPr>
  </w:style>
  <w:style w:type="character" w:customStyle="1" w:styleId="NormalFont">
    <w:name w:val="Normal Font"/>
    <w:basedOn w:val="DefaultParagraphFont"/>
    <w:uiPriority w:val="99"/>
    <w:qFormat/>
    <w:rsid w:val="00726827"/>
    <w:rPr>
      <w:rFonts w:ascii="Calibri" w:hAnsi="Calibri" w:cs="Times New Roman"/>
      <w:sz w:val="24"/>
    </w:rPr>
  </w:style>
  <w:style w:type="character" w:styleId="FollowedHyperlink">
    <w:name w:val="FollowedHyperlink"/>
    <w:basedOn w:val="DefaultParagraphFont"/>
    <w:semiHidden/>
    <w:unhideWhenUsed/>
    <w:rsid w:val="004B15CB"/>
    <w:rPr>
      <w:color w:val="800080" w:themeColor="followedHyperlink"/>
      <w:u w:val="single"/>
    </w:rPr>
  </w:style>
  <w:style w:type="paragraph" w:customStyle="1" w:styleId="EndNoteBibliographyTitle">
    <w:name w:val="EndNote Bibliography Title"/>
    <w:basedOn w:val="Normal"/>
    <w:link w:val="EndNoteBibliographyTitleChar"/>
    <w:rsid w:val="00F4186C"/>
    <w:pPr>
      <w:jc w:val="center"/>
    </w:pPr>
    <w:rPr>
      <w:noProof/>
      <w:lang w:val="en-US"/>
    </w:rPr>
  </w:style>
  <w:style w:type="character" w:customStyle="1" w:styleId="EndNoteBibliographyTitleChar">
    <w:name w:val="EndNote Bibliography Title Char"/>
    <w:basedOn w:val="TabletextChar"/>
    <w:link w:val="EndNoteBibliographyTitle"/>
    <w:rsid w:val="00F4186C"/>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F4186C"/>
    <w:rPr>
      <w:noProof/>
      <w:lang w:val="en-US"/>
    </w:rPr>
  </w:style>
  <w:style w:type="character" w:customStyle="1" w:styleId="EndNoteBibliographyChar">
    <w:name w:val="EndNote Bibliography Char"/>
    <w:basedOn w:val="TabletextChar"/>
    <w:link w:val="EndNoteBibliography"/>
    <w:rsid w:val="00F4186C"/>
    <w:rPr>
      <w:rFonts w:ascii="Arial" w:hAnsi="Arial" w:cs="Arial"/>
      <w:noProof/>
      <w:snapToGrid w:val="0"/>
      <w:sz w:val="22"/>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733461"/>
    <w:pPr>
      <w:widowControl/>
      <w:spacing w:after="160" w:line="240" w:lineRule="exact"/>
      <w:jc w:val="left"/>
    </w:pPr>
    <w:rPr>
      <w:rFonts w:ascii="Verdana" w:eastAsia="MS Mincho" w:hAnsi="Verdana" w:cs="Verdana"/>
      <w:snapToGrid/>
      <w:sz w:val="20"/>
      <w:lang w:val="en-US"/>
    </w:rPr>
  </w:style>
  <w:style w:type="table" w:customStyle="1" w:styleId="TableGrid11">
    <w:name w:val="Table Grid11"/>
    <w:basedOn w:val="TableNormal"/>
    <w:next w:val="TableGrid"/>
    <w:rsid w:val="009C0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1E7A4C"/>
    <w:pPr>
      <w:widowControl/>
      <w:spacing w:after="160" w:line="240" w:lineRule="exact"/>
      <w:jc w:val="left"/>
    </w:pPr>
    <w:rPr>
      <w:rFonts w:ascii="Verdana" w:eastAsia="MS Mincho" w:hAnsi="Verdana" w:cs="Verdana"/>
      <w:snapToGrid/>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5" w:unhideWhenUsed="0"/>
    <w:lsdException w:name="heading 5" w:semiHidden="0" w:uiPriority="7" w:unhideWhenUsed="0"/>
    <w:lsdException w:name="heading 6" w:semiHidden="0" w:uiPriority="7" w:unhideWhenUsed="0"/>
    <w:lsdException w:name="heading 7" w:uiPriority="7"/>
    <w:lsdException w:name="heading 8" w:uiPriority="7"/>
    <w:lsdException w:name="heading 9" w:uiPriority="7"/>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annotation text" w:uiPriority="99"/>
    <w:lsdException w:name="header" w:uiPriority="99"/>
    <w:lsdException w:name="footer" w:uiPriority="99"/>
    <w:lsdException w:name="caption" w:qFormat="1"/>
    <w:lsdException w:name="annotation reference" w:uiPriority="99" w:qFormat="1"/>
    <w:lsdException w:name="List Number" w:semiHidden="0" w:uiPriority="9" w:unhideWhenUsed="0"/>
    <w:lsdException w:name="List 4" w:semiHidden="0" w:uiPriority="9" w:unhideWhenUsed="0"/>
    <w:lsdException w:name="List 5" w:semiHidden="0" w:uiPriority="9" w:unhideWhenUsed="0"/>
    <w:lsdException w:name="Title" w:semiHidden="0" w:uiPriority="7" w:unhideWhenUsed="0"/>
    <w:lsdException w:name="Default Paragraph Font" w:uiPriority="1"/>
    <w:lsdException w:name="Body Text" w:uiPriority="9"/>
    <w:lsdException w:name="Body Text Indent" w:uiPriority="9"/>
    <w:lsdException w:name="Subtitle" w:semiHidden="0" w:uiPriority="9" w:unhideWhenUsed="0"/>
    <w:lsdException w:name="Salutation" w:semiHidden="0" w:uiPriority="9" w:unhideWhenUsed="0"/>
    <w:lsdException w:name="Date" w:semiHidden="0" w:uiPriority="9" w:unhideWhenUsed="0"/>
    <w:lsdException w:name="Body Text First Indent" w:semiHidden="0" w:uiPriority="9" w:unhideWhenUsed="0"/>
    <w:lsdException w:name="Body Text 2" w:uiPriority="9"/>
    <w:lsdException w:name="Body Text 3" w:uiPriority="9"/>
    <w:lsdException w:name="Hyperlink" w:uiPriority="99"/>
    <w:lsdException w:name="Strong" w:semiHidden="0" w:uiPriority="22" w:unhideWhenUsed="0" w:qFormat="1"/>
    <w:lsdException w:name="Emphasis" w:semiHidden="0" w:uiPriority="9" w:unhideWhenUsed="0"/>
    <w:lsdException w:name="Normal (Web)" w:uiPriority="99"/>
    <w:lsdException w:name="annotation subject" w:uiPriority="9"/>
    <w:lsdException w:name="No List" w:uiPriority="99"/>
    <w:lsdException w:name="Balloon Text" w:uiPriority="9"/>
    <w:lsdException w:name="Table Grid" w:semiHidden="0" w:uiPriority="59" w:unhideWhenUsed="0"/>
    <w:lsdException w:name="Placeholder Text" w:uiPriority="99" w:unhideWhenUsed="0"/>
    <w:lsdException w:name="No Spacing" w:semiHidden="0" w:uiPriority="7"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F6E"/>
    <w:pPr>
      <w:widowControl w:val="0"/>
      <w:jc w:val="both"/>
    </w:pPr>
    <w:rPr>
      <w:rFonts w:ascii="Arial" w:hAnsi="Arial" w:cs="Arial"/>
      <w:snapToGrid w:val="0"/>
      <w:sz w:val="22"/>
      <w:lang w:eastAsia="en-US"/>
    </w:rPr>
  </w:style>
  <w:style w:type="paragraph" w:styleId="Heading1">
    <w:name w:val="heading 1"/>
    <w:basedOn w:val="Normal"/>
    <w:next w:val="Normal"/>
    <w:uiPriority w:val="1"/>
    <w:qFormat/>
    <w:rsid w:val="00C6535E"/>
    <w:pPr>
      <w:ind w:left="720" w:hanging="720"/>
      <w:outlineLvl w:val="0"/>
    </w:pPr>
    <w:rPr>
      <w:rFonts w:ascii="Arial Bold" w:hAnsi="Arial Bold"/>
      <w:b/>
      <w:caps/>
    </w:rPr>
  </w:style>
  <w:style w:type="paragraph" w:styleId="Heading2">
    <w:name w:val="heading 2"/>
    <w:basedOn w:val="Normal"/>
    <w:next w:val="Normal"/>
    <w:link w:val="Heading2Char"/>
    <w:uiPriority w:val="1"/>
    <w:qFormat/>
    <w:rsid w:val="00C6535E"/>
    <w:pPr>
      <w:outlineLvl w:val="1"/>
    </w:pPr>
    <w:rPr>
      <w:b/>
    </w:rPr>
  </w:style>
  <w:style w:type="paragraph" w:styleId="Heading3">
    <w:name w:val="heading 3"/>
    <w:basedOn w:val="Normal"/>
    <w:next w:val="Normal"/>
    <w:uiPriority w:val="1"/>
    <w:qFormat/>
    <w:rsid w:val="00C6535E"/>
    <w:pPr>
      <w:outlineLvl w:val="2"/>
    </w:pPr>
    <w:rPr>
      <w:u w:val="single"/>
    </w:rPr>
  </w:style>
  <w:style w:type="paragraph" w:styleId="Heading4">
    <w:name w:val="heading 4"/>
    <w:basedOn w:val="Normal"/>
    <w:next w:val="Normal"/>
    <w:uiPriority w:val="5"/>
    <w:rsid w:val="00124A51"/>
    <w:pPr>
      <w:keepNext/>
      <w:spacing w:before="240" w:after="60"/>
      <w:outlineLvl w:val="3"/>
    </w:pPr>
    <w:rPr>
      <w:b/>
      <w:bCs/>
      <w:i/>
      <w:sz w:val="26"/>
      <w:szCs w:val="28"/>
    </w:rPr>
  </w:style>
  <w:style w:type="paragraph" w:styleId="Heading5">
    <w:name w:val="heading 5"/>
    <w:basedOn w:val="Normal"/>
    <w:next w:val="Normal"/>
    <w:uiPriority w:val="7"/>
    <w:rsid w:val="00124A51"/>
    <w:pPr>
      <w:spacing w:before="240" w:after="60"/>
      <w:outlineLvl w:val="4"/>
    </w:pPr>
    <w:rPr>
      <w:b/>
      <w:bCs/>
      <w:iCs/>
      <w:sz w:val="26"/>
      <w:szCs w:val="26"/>
    </w:rPr>
  </w:style>
  <w:style w:type="paragraph" w:styleId="Heading6">
    <w:name w:val="heading 6"/>
    <w:basedOn w:val="Normal"/>
    <w:next w:val="Normal"/>
    <w:uiPriority w:val="7"/>
    <w:rsid w:val="00124A51"/>
    <w:pPr>
      <w:spacing w:before="240" w:after="60"/>
      <w:outlineLvl w:val="5"/>
    </w:pPr>
    <w:rPr>
      <w:b/>
      <w:bCs/>
      <w:i/>
      <w:szCs w:val="22"/>
    </w:rPr>
  </w:style>
  <w:style w:type="paragraph" w:styleId="Heading7">
    <w:name w:val="heading 7"/>
    <w:basedOn w:val="Normal"/>
    <w:next w:val="Normal"/>
    <w:link w:val="Heading7Char"/>
    <w:uiPriority w:val="7"/>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uiPriority w:val="7"/>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uiPriority w:val="4"/>
    <w:qFormat/>
    <w:rsid w:val="00C6535E"/>
    <w:rPr>
      <w:rFonts w:ascii="Arial Narrow" w:hAnsi="Arial Narrow"/>
      <w:sz w:val="18"/>
    </w:rPr>
  </w:style>
  <w:style w:type="paragraph" w:customStyle="1" w:styleId="TableHeader">
    <w:name w:val="Table Header"/>
    <w:basedOn w:val="Normal"/>
    <w:next w:val="Normal"/>
    <w:uiPriority w:val="3"/>
    <w:qFormat/>
    <w:rsid w:val="00C6535E"/>
    <w:rPr>
      <w:rFonts w:ascii="Arial Narrow" w:hAnsi="Arial Narrow"/>
      <w:b/>
      <w:sz w:val="20"/>
    </w:rPr>
  </w:style>
  <w:style w:type="character" w:customStyle="1" w:styleId="Heading2Char">
    <w:name w:val="Heading 2 Char"/>
    <w:link w:val="Heading2"/>
    <w:uiPriority w:val="1"/>
    <w:rsid w:val="00C6535E"/>
    <w:rPr>
      <w:rFonts w:ascii="Arial" w:hAnsi="Arial" w:cs="Arial"/>
      <w:b/>
      <w:snapToGrid w:val="0"/>
      <w:sz w:val="22"/>
      <w:lang w:eastAsia="en-US"/>
    </w:rPr>
  </w:style>
  <w:style w:type="character" w:customStyle="1" w:styleId="Heading7Char">
    <w:name w:val="Heading 7 Char"/>
    <w:basedOn w:val="DefaultParagraphFont"/>
    <w:link w:val="Heading7"/>
    <w:uiPriority w:val="7"/>
    <w:rsid w:val="00D97E30"/>
    <w:rPr>
      <w:rFonts w:ascii="Arial" w:hAnsi="Arial" w:cs="Arial"/>
      <w:b/>
      <w:snapToGrid w:val="0"/>
      <w:lang w:eastAsia="en-US"/>
    </w:rPr>
  </w:style>
  <w:style w:type="character" w:customStyle="1" w:styleId="Heading8Char">
    <w:name w:val="Heading 8 Char"/>
    <w:basedOn w:val="DefaultParagraphFont"/>
    <w:link w:val="Heading8"/>
    <w:uiPriority w:val="7"/>
    <w:rsid w:val="00D97E30"/>
    <w:rPr>
      <w:rFonts w:ascii="Arial" w:hAnsi="Arial" w:cs="Arial"/>
      <w:b/>
      <w:snapToGrid w:val="0"/>
      <w:sz w:val="22"/>
      <w:lang w:eastAsia="en-US"/>
    </w:rPr>
  </w:style>
  <w:style w:type="character" w:customStyle="1" w:styleId="Heading9Char">
    <w:name w:val="Heading 9 Char"/>
    <w:basedOn w:val="DefaultParagraphFont"/>
    <w:link w:val="Heading9"/>
    <w:uiPriority w:val="7"/>
    <w:rsid w:val="00D97E30"/>
    <w:rPr>
      <w:rFonts w:ascii="Arial" w:hAnsi="Arial" w:cs="Arial"/>
      <w:b/>
      <w:snapToGrid w:val="0"/>
      <w:color w:val="000000"/>
      <w:lang w:eastAsia="en-US"/>
    </w:rPr>
  </w:style>
  <w:style w:type="paragraph" w:styleId="Caption">
    <w:name w:val="caption"/>
    <w:aliases w:val="Caption Char1,Caption Char Char,Char Char Char,Char Char1,Char Char,Char1,Table caption,Caption 3,c,appendix,IB Caption,Medical Caption,Caption Char1 Char Char,Caption Char Char Char Char,Caption Char Char Char Char Char,Caption Char1 Char1"/>
    <w:basedOn w:val="Normal"/>
    <w:next w:val="TableHeader"/>
    <w:link w:val="CaptionChar"/>
    <w:unhideWhenUsed/>
    <w:qFormat/>
    <w:rsid w:val="005C7F65"/>
    <w:rPr>
      <w:rFonts w:ascii="Arial Narrow" w:hAnsi="Arial Narrow"/>
      <w:b/>
      <w:bCs/>
      <w:sz w:val="20"/>
      <w:szCs w:val="18"/>
    </w:rPr>
  </w:style>
  <w:style w:type="character" w:customStyle="1" w:styleId="CaptionChar">
    <w:name w:val="Caption Char"/>
    <w:aliases w:val="Caption Char1 Char,Caption Char Char Char,Char Char Char Char,Char Char1 Char,Char Char Char1,Char1 Char,Table caption Char,Caption 3 Char,c Char,appendix Char,IB Caption Char,Medical Caption Char,Caption Char1 Char Char Char"/>
    <w:link w:val="Caption"/>
    <w:uiPriority w:val="7"/>
    <w:rsid w:val="005C7F65"/>
    <w:rPr>
      <w:rFonts w:ascii="Arial Narrow" w:hAnsi="Arial Narrow" w:cs="Arial"/>
      <w:b/>
      <w:bCs/>
      <w:snapToGrid w:val="0"/>
      <w:szCs w:val="18"/>
      <w:lang w:eastAsia="en-US"/>
    </w:rPr>
  </w:style>
  <w:style w:type="paragraph" w:styleId="Title">
    <w:name w:val="Title"/>
    <w:basedOn w:val="Normal"/>
    <w:next w:val="Normal"/>
    <w:link w:val="TitleChar"/>
    <w:uiPriority w:val="7"/>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7"/>
    <w:rsid w:val="00D97E30"/>
    <w:rPr>
      <w:rFonts w:ascii="Cambria" w:hAnsi="Cambria" w:cs="Arial"/>
      <w:b/>
      <w:bCs/>
      <w:snapToGrid w:val="0"/>
      <w:kern w:val="28"/>
      <w:sz w:val="32"/>
      <w:szCs w:val="32"/>
      <w:lang w:eastAsia="en-US"/>
    </w:rPr>
  </w:style>
  <w:style w:type="paragraph" w:styleId="BodyText">
    <w:name w:val="Body Text"/>
    <w:basedOn w:val="Normal"/>
    <w:link w:val="BodyTextChar"/>
    <w:uiPriority w:val="9"/>
    <w:rsid w:val="004B3DDB"/>
    <w:pPr>
      <w:jc w:val="left"/>
    </w:pPr>
  </w:style>
  <w:style w:type="character" w:customStyle="1" w:styleId="BodyTextChar">
    <w:name w:val="Body Text Char"/>
    <w:basedOn w:val="DefaultParagraphFont"/>
    <w:link w:val="BodyText"/>
    <w:uiPriority w:val="9"/>
    <w:rsid w:val="00D97E30"/>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uiPriority w:val="9"/>
    <w:rsid w:val="00124A51"/>
    <w:rPr>
      <w:b/>
    </w:rPr>
  </w:style>
  <w:style w:type="paragraph" w:styleId="NoSpacing">
    <w:name w:val="No Spacing"/>
    <w:uiPriority w:val="7"/>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uiPriority w:val="9"/>
    <w:rsid w:val="00D97E30"/>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5C7F65"/>
    <w:rPr>
      <w:rFonts w:ascii="Arial Narrow" w:hAnsi="Arial Narrow"/>
      <w:b/>
      <w:sz w:val="20"/>
      <w:szCs w:val="16"/>
    </w:rPr>
  </w:style>
  <w:style w:type="paragraph" w:customStyle="1" w:styleId="Tabletext">
    <w:name w:val="Table text"/>
    <w:basedOn w:val="Normal"/>
    <w:link w:val="TabletextChar"/>
    <w:uiPriority w:val="2"/>
    <w:qFormat/>
    <w:rsid w:val="00C6535E"/>
    <w:pPr>
      <w:widowControl/>
      <w:jc w:val="left"/>
    </w:pPr>
    <w:rPr>
      <w:rFonts w:ascii="Arial Narrow" w:hAnsi="Arial Narrow" w:cs="Times New Roman"/>
      <w:snapToGrid/>
      <w:sz w:val="20"/>
    </w:rPr>
  </w:style>
  <w:style w:type="paragraph" w:customStyle="1" w:styleId="TableHeading">
    <w:name w:val="TableHeading"/>
    <w:basedOn w:val="Normal"/>
    <w:uiPriority w:val="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2"/>
    <w:rsid w:val="00C6535E"/>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615E52"/>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8154EA"/>
    <w:pPr>
      <w:tabs>
        <w:tab w:val="left" w:pos="851"/>
        <w:tab w:val="right" w:leader="dot" w:pos="9016"/>
      </w:tabs>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uiPriority w:val="9"/>
    <w:rsid w:val="00CE6274"/>
    <w:rPr>
      <w:rFonts w:ascii="Tahoma" w:hAnsi="Tahoma" w:cs="Tahoma"/>
      <w:sz w:val="16"/>
      <w:szCs w:val="16"/>
    </w:rPr>
  </w:style>
  <w:style w:type="character" w:customStyle="1" w:styleId="BalloonTextChar">
    <w:name w:val="Balloon Text Char"/>
    <w:basedOn w:val="DefaultParagraphFont"/>
    <w:link w:val="BalloonText"/>
    <w:uiPriority w:val="9"/>
    <w:rsid w:val="00D97E30"/>
    <w:rPr>
      <w:rFonts w:ascii="Tahoma" w:hAnsi="Tahoma" w:cs="Tahoma"/>
      <w:snapToGrid w:val="0"/>
      <w:sz w:val="16"/>
      <w:szCs w:val="16"/>
      <w:lang w:eastAsia="en-US"/>
    </w:rPr>
  </w:style>
  <w:style w:type="paragraph" w:styleId="BodyText3">
    <w:name w:val="Body Text 3"/>
    <w:basedOn w:val="Normal"/>
    <w:link w:val="BodyText3Char"/>
    <w:uiPriority w:val="9"/>
    <w:rsid w:val="00CE6274"/>
    <w:pPr>
      <w:spacing w:after="120"/>
    </w:pPr>
    <w:rPr>
      <w:sz w:val="16"/>
      <w:szCs w:val="16"/>
    </w:rPr>
  </w:style>
  <w:style w:type="character" w:customStyle="1" w:styleId="BodyText3Char">
    <w:name w:val="Body Text 3 Char"/>
    <w:basedOn w:val="DefaultParagraphFont"/>
    <w:link w:val="BodyText3"/>
    <w:uiPriority w:val="9"/>
    <w:rsid w:val="00D97E30"/>
    <w:rPr>
      <w:rFonts w:ascii="Arial" w:hAnsi="Arial" w:cs="Arial"/>
      <w:snapToGrid w:val="0"/>
      <w:sz w:val="16"/>
      <w:szCs w:val="16"/>
      <w:lang w:eastAsia="en-US"/>
    </w:rPr>
  </w:style>
  <w:style w:type="paragraph" w:styleId="TOC4">
    <w:name w:val="toc 4"/>
    <w:basedOn w:val="Normal"/>
    <w:next w:val="Normal"/>
    <w:autoRedefine/>
    <w:uiPriority w:val="9"/>
    <w:rsid w:val="00D0262E"/>
    <w:pPr>
      <w:ind w:left="660"/>
      <w:jc w:val="left"/>
    </w:pPr>
    <w:rPr>
      <w:rFonts w:asciiTheme="minorHAnsi" w:hAnsiTheme="minorHAnsi"/>
      <w:sz w:val="20"/>
    </w:rPr>
  </w:style>
  <w:style w:type="paragraph" w:styleId="TOC5">
    <w:name w:val="toc 5"/>
    <w:basedOn w:val="Normal"/>
    <w:next w:val="Normal"/>
    <w:autoRedefine/>
    <w:uiPriority w:val="9"/>
    <w:rsid w:val="00D0262E"/>
    <w:pPr>
      <w:ind w:left="880"/>
      <w:jc w:val="left"/>
    </w:pPr>
    <w:rPr>
      <w:rFonts w:asciiTheme="minorHAnsi" w:hAnsiTheme="minorHAnsi"/>
      <w:sz w:val="20"/>
    </w:rPr>
  </w:style>
  <w:style w:type="paragraph" w:styleId="TOC6">
    <w:name w:val="toc 6"/>
    <w:basedOn w:val="Normal"/>
    <w:next w:val="Normal"/>
    <w:autoRedefine/>
    <w:uiPriority w:val="9"/>
    <w:rsid w:val="00D0262E"/>
    <w:pPr>
      <w:ind w:left="1100"/>
      <w:jc w:val="left"/>
    </w:pPr>
    <w:rPr>
      <w:rFonts w:asciiTheme="minorHAnsi" w:hAnsiTheme="minorHAnsi"/>
      <w:sz w:val="20"/>
    </w:rPr>
  </w:style>
  <w:style w:type="paragraph" w:styleId="TOC7">
    <w:name w:val="toc 7"/>
    <w:basedOn w:val="Normal"/>
    <w:next w:val="Normal"/>
    <w:autoRedefine/>
    <w:uiPriority w:val="9"/>
    <w:rsid w:val="00D0262E"/>
    <w:pPr>
      <w:ind w:left="1320"/>
      <w:jc w:val="left"/>
    </w:pPr>
    <w:rPr>
      <w:rFonts w:asciiTheme="minorHAnsi" w:hAnsiTheme="minorHAnsi"/>
      <w:sz w:val="20"/>
    </w:rPr>
  </w:style>
  <w:style w:type="paragraph" w:styleId="TOC8">
    <w:name w:val="toc 8"/>
    <w:basedOn w:val="Normal"/>
    <w:next w:val="Normal"/>
    <w:autoRedefine/>
    <w:uiPriority w:val="9"/>
    <w:rsid w:val="00D0262E"/>
    <w:pPr>
      <w:ind w:left="1540"/>
      <w:jc w:val="left"/>
    </w:pPr>
    <w:rPr>
      <w:rFonts w:asciiTheme="minorHAnsi" w:hAnsiTheme="minorHAnsi"/>
      <w:sz w:val="20"/>
    </w:rPr>
  </w:style>
  <w:style w:type="paragraph" w:styleId="TOC9">
    <w:name w:val="toc 9"/>
    <w:basedOn w:val="Normal"/>
    <w:next w:val="Normal"/>
    <w:autoRedefine/>
    <w:uiPriority w:val="9"/>
    <w:rsid w:val="00D0262E"/>
    <w:pPr>
      <w:ind w:left="1760"/>
      <w:jc w:val="left"/>
    </w:pPr>
    <w:rPr>
      <w:rFonts w:asciiTheme="minorHAnsi" w:hAnsiTheme="minorHAnsi"/>
      <w:sz w:val="20"/>
    </w:rPr>
  </w:style>
  <w:style w:type="paragraph" w:styleId="BodyText2">
    <w:name w:val="Body Text 2"/>
    <w:basedOn w:val="Normal"/>
    <w:link w:val="BodyText2Char"/>
    <w:uiPriority w:val="9"/>
    <w:rsid w:val="00D17D6C"/>
    <w:pPr>
      <w:spacing w:after="120" w:line="480" w:lineRule="auto"/>
    </w:pPr>
  </w:style>
  <w:style w:type="character" w:customStyle="1" w:styleId="BodyText2Char">
    <w:name w:val="Body Text 2 Char"/>
    <w:basedOn w:val="DefaultParagraphFont"/>
    <w:link w:val="BodyText2"/>
    <w:uiPriority w:val="9"/>
    <w:rsid w:val="00D97E30"/>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
    <w:rsid w:val="00CA7B09"/>
    <w:pPr>
      <w:keepNext w:val="0"/>
      <w:keepLines/>
      <w:spacing w:before="0" w:after="360"/>
      <w:ind w:left="720"/>
    </w:pPr>
    <w:rPr>
      <w:sz w:val="18"/>
      <w:szCs w:val="18"/>
    </w:rPr>
  </w:style>
  <w:style w:type="paragraph" w:customStyle="1" w:styleId="TableNotes0">
    <w:name w:val="TableNotes+0"/>
    <w:basedOn w:val="TableNotes18"/>
    <w:uiPriority w:val="9"/>
    <w:rsid w:val="00CA7B09"/>
    <w:pPr>
      <w:keepNext/>
      <w:spacing w:after="0"/>
    </w:pPr>
  </w:style>
  <w:style w:type="paragraph" w:styleId="CommentSubject">
    <w:name w:val="annotation subject"/>
    <w:basedOn w:val="CommentText"/>
    <w:next w:val="CommentText"/>
    <w:link w:val="CommentSubjectChar"/>
    <w:uiPriority w:val="9"/>
    <w:rsid w:val="004319F8"/>
    <w:rPr>
      <w:rFonts w:ascii="Arial" w:hAnsi="Arial" w:cs="Arial"/>
      <w:b/>
      <w:bCs/>
    </w:rPr>
  </w:style>
  <w:style w:type="character" w:customStyle="1" w:styleId="CommentSubjectChar">
    <w:name w:val="Comment Subject Char"/>
    <w:basedOn w:val="CommentTextChar"/>
    <w:link w:val="CommentSubject"/>
    <w:uiPriority w:val="9"/>
    <w:rsid w:val="00D97E30"/>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
    <w:rsid w:val="00E41E30"/>
    <w:pPr>
      <w:spacing w:after="120"/>
      <w:ind w:left="283"/>
    </w:pPr>
  </w:style>
  <w:style w:type="character" w:customStyle="1" w:styleId="BodyTextIndentChar">
    <w:name w:val="Body Text Indent Char"/>
    <w:basedOn w:val="DefaultParagraphFont"/>
    <w:link w:val="BodyTextIndent"/>
    <w:uiPriority w:val="9"/>
    <w:rsid w:val="00D97E30"/>
    <w:rPr>
      <w:rFonts w:ascii="Arial" w:hAnsi="Arial" w:cs="Arial"/>
      <w:snapToGrid w:val="0"/>
      <w:sz w:val="22"/>
      <w:lang w:eastAsia="en-US"/>
    </w:rPr>
  </w:style>
  <w:style w:type="paragraph" w:customStyle="1" w:styleId="Char1CharCharChar">
    <w:name w:val="Char1 Char Char Char"/>
    <w:basedOn w:val="Normal"/>
    <w:uiPriority w:val="9"/>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uiPriority w:val="9"/>
    <w:rsid w:val="00D97E30"/>
    <w:rPr>
      <w:lang w:eastAsia="en-US"/>
    </w:rPr>
  </w:style>
  <w:style w:type="paragraph" w:styleId="Subtitle">
    <w:name w:val="Subtitle"/>
    <w:basedOn w:val="Normal"/>
    <w:link w:val="SubtitleChar"/>
    <w:uiPriority w:val="9"/>
    <w:rsid w:val="00B50DB8"/>
    <w:pPr>
      <w:widowControl/>
    </w:pPr>
    <w:rPr>
      <w:rFonts w:ascii="Times New Roman" w:hAnsi="Times New Roman" w:cs="Times New Roman"/>
      <w:snapToGrid/>
      <w:sz w:val="20"/>
    </w:rPr>
  </w:style>
  <w:style w:type="character" w:customStyle="1" w:styleId="SubtitleChar1">
    <w:name w:val="Subtitle Char1"/>
    <w:basedOn w:val="DefaultParagraphFont"/>
    <w:uiPriority w:val="9"/>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97E30"/>
  </w:style>
  <w:style w:type="character" w:customStyle="1" w:styleId="TableTextChar0">
    <w:name w:val="TableText Char"/>
    <w:link w:val="TableText0"/>
    <w:rsid w:val="00BD5DE5"/>
    <w:rPr>
      <w:rFonts w:ascii="Arial Narrow" w:hAnsi="Arial Narrow" w:cs="Arial Narrow"/>
      <w:lang w:eastAsia="en-US"/>
    </w:rPr>
  </w:style>
  <w:style w:type="character" w:customStyle="1" w:styleId="StyleCalibri">
    <w:name w:val="Style Calibri"/>
    <w:basedOn w:val="DefaultParagraphFont"/>
    <w:uiPriority w:val="99"/>
    <w:rsid w:val="00BD5DE5"/>
    <w:rPr>
      <w:rFonts w:ascii="Calibri" w:hAnsi="Calibri"/>
      <w:sz w:val="24"/>
    </w:rPr>
  </w:style>
  <w:style w:type="character" w:customStyle="1" w:styleId="TableItalics">
    <w:name w:val="Table Italics"/>
    <w:uiPriority w:val="4"/>
    <w:qFormat/>
    <w:rsid w:val="00CE3847"/>
    <w:rPr>
      <w:rFonts w:ascii="Calibri" w:hAnsi="Calibri" w:cs="Times New Roman"/>
      <w:i/>
      <w:sz w:val="20"/>
    </w:rPr>
  </w:style>
  <w:style w:type="paragraph" w:styleId="FootnoteText">
    <w:name w:val="footnote text"/>
    <w:basedOn w:val="Normal"/>
    <w:link w:val="FootnoteTextChar"/>
    <w:semiHidden/>
    <w:unhideWhenUsed/>
    <w:rsid w:val="00172CF4"/>
    <w:rPr>
      <w:sz w:val="20"/>
    </w:rPr>
  </w:style>
  <w:style w:type="character" w:customStyle="1" w:styleId="FootnoteTextChar">
    <w:name w:val="Footnote Text Char"/>
    <w:basedOn w:val="DefaultParagraphFont"/>
    <w:link w:val="FootnoteText"/>
    <w:semiHidden/>
    <w:rsid w:val="00172CF4"/>
    <w:rPr>
      <w:rFonts w:ascii="Arial" w:hAnsi="Arial" w:cs="Arial"/>
      <w:snapToGrid w:val="0"/>
      <w:lang w:eastAsia="en-US"/>
    </w:rPr>
  </w:style>
  <w:style w:type="character" w:styleId="FootnoteReference">
    <w:name w:val="footnote reference"/>
    <w:basedOn w:val="DefaultParagraphFont"/>
    <w:semiHidden/>
    <w:unhideWhenUsed/>
    <w:rsid w:val="00172CF4"/>
    <w:rPr>
      <w:vertAlign w:val="superscript"/>
    </w:rPr>
  </w:style>
  <w:style w:type="character" w:customStyle="1" w:styleId="TableText1">
    <w:name w:val="Table Text"/>
    <w:basedOn w:val="DefaultParagraphFont"/>
    <w:uiPriority w:val="99"/>
    <w:qFormat/>
    <w:rsid w:val="00172CF4"/>
    <w:rPr>
      <w:rFonts w:ascii="Calibri" w:hAnsi="Calibri" w:cs="Times New Roman"/>
      <w:sz w:val="20"/>
    </w:rPr>
  </w:style>
  <w:style w:type="paragraph" w:customStyle="1" w:styleId="Default">
    <w:name w:val="Default"/>
    <w:link w:val="DefaultChar"/>
    <w:rsid w:val="00EC3BCD"/>
    <w:pPr>
      <w:autoSpaceDE w:val="0"/>
      <w:autoSpaceDN w:val="0"/>
      <w:adjustRightInd w:val="0"/>
    </w:pPr>
    <w:rPr>
      <w:rFonts w:ascii="Calibri" w:hAnsi="Calibri" w:cs="Calibri"/>
      <w:color w:val="000000"/>
      <w:sz w:val="24"/>
      <w:szCs w:val="24"/>
    </w:rPr>
  </w:style>
  <w:style w:type="character" w:customStyle="1" w:styleId="TableFooterChar">
    <w:name w:val="Table Footer Char"/>
    <w:link w:val="TableFooter"/>
    <w:uiPriority w:val="4"/>
    <w:rsid w:val="00927BC7"/>
    <w:rPr>
      <w:rFonts w:ascii="Arial Narrow" w:hAnsi="Arial Narrow" w:cs="Arial"/>
      <w:snapToGrid w:val="0"/>
      <w:sz w:val="18"/>
      <w:lang w:eastAsia="en-US"/>
    </w:rPr>
  </w:style>
  <w:style w:type="paragraph" w:customStyle="1" w:styleId="TableLeft">
    <w:name w:val="Table Left"/>
    <w:basedOn w:val="Normal"/>
    <w:link w:val="TableLeftChar"/>
    <w:uiPriority w:val="99"/>
    <w:qFormat/>
    <w:rsid w:val="00E97AF1"/>
    <w:pPr>
      <w:widowControl/>
      <w:jc w:val="left"/>
    </w:pPr>
    <w:rPr>
      <w:rFonts w:ascii="Calibri" w:hAnsi="Calibri" w:cs="Times New Roman"/>
      <w:snapToGrid/>
      <w:sz w:val="20"/>
      <w:szCs w:val="22"/>
    </w:rPr>
  </w:style>
  <w:style w:type="character" w:customStyle="1" w:styleId="TableLeftChar">
    <w:name w:val="Table Left Char"/>
    <w:basedOn w:val="DefaultParagraphFont"/>
    <w:link w:val="TableLeft"/>
    <w:uiPriority w:val="99"/>
    <w:locked/>
    <w:rsid w:val="00E97AF1"/>
    <w:rPr>
      <w:rFonts w:ascii="Calibri" w:hAnsi="Calibri"/>
      <w:szCs w:val="22"/>
      <w:lang w:eastAsia="en-US"/>
    </w:rPr>
  </w:style>
  <w:style w:type="character" w:customStyle="1" w:styleId="TableBold">
    <w:name w:val="Table Bold"/>
    <w:basedOn w:val="TableText1"/>
    <w:uiPriority w:val="4"/>
    <w:qFormat/>
    <w:rsid w:val="00E97AF1"/>
    <w:rPr>
      <w:rFonts w:ascii="Calibri" w:hAnsi="Calibri" w:cs="Times New Roman"/>
      <w:b/>
      <w:sz w:val="20"/>
      <w:lang w:val="en-AU"/>
    </w:rPr>
  </w:style>
  <w:style w:type="character" w:customStyle="1" w:styleId="highlightedsearchterm">
    <w:name w:val="highlightedsearchterm"/>
    <w:basedOn w:val="DefaultParagraphFont"/>
    <w:rsid w:val="00B90B1A"/>
  </w:style>
  <w:style w:type="paragraph" w:customStyle="1" w:styleId="style3">
    <w:name w:val="style3"/>
    <w:basedOn w:val="Normal"/>
    <w:rsid w:val="00EC485F"/>
    <w:pPr>
      <w:widowControl/>
      <w:spacing w:before="100" w:beforeAutospacing="1" w:after="100" w:afterAutospacing="1"/>
      <w:jc w:val="left"/>
    </w:pPr>
    <w:rPr>
      <w:rFonts w:ascii="Times New Roman" w:hAnsi="Times New Roman" w:cs="Times New Roman"/>
      <w:snapToGrid/>
      <w:sz w:val="24"/>
      <w:szCs w:val="24"/>
      <w:lang w:eastAsia="en-AU"/>
    </w:rPr>
  </w:style>
  <w:style w:type="character" w:styleId="Strong">
    <w:name w:val="Strong"/>
    <w:basedOn w:val="DefaultParagraphFont"/>
    <w:uiPriority w:val="22"/>
    <w:qFormat/>
    <w:rsid w:val="00EC485F"/>
    <w:rPr>
      <w:b/>
      <w:bCs/>
    </w:rPr>
  </w:style>
  <w:style w:type="character" w:customStyle="1" w:styleId="adobe">
    <w:name w:val="adobe"/>
    <w:basedOn w:val="DefaultParagraphFont"/>
    <w:rsid w:val="00EC485F"/>
  </w:style>
  <w:style w:type="paragraph" w:customStyle="1" w:styleId="TableCentred">
    <w:name w:val="Table Centred"/>
    <w:basedOn w:val="Normal"/>
    <w:link w:val="TableCentredChar"/>
    <w:uiPriority w:val="5"/>
    <w:qFormat/>
    <w:rsid w:val="001A4649"/>
    <w:pPr>
      <w:widowControl/>
      <w:spacing w:line="276" w:lineRule="auto"/>
      <w:jc w:val="center"/>
    </w:pPr>
    <w:rPr>
      <w:rFonts w:ascii="Calibri" w:hAnsi="Calibri" w:cs="Times New Roman"/>
      <w:snapToGrid/>
      <w:sz w:val="20"/>
      <w:szCs w:val="22"/>
    </w:rPr>
  </w:style>
  <w:style w:type="character" w:customStyle="1" w:styleId="TableCentredChar">
    <w:name w:val="Table Centred Char"/>
    <w:basedOn w:val="DefaultParagraphFont"/>
    <w:link w:val="TableCentred"/>
    <w:uiPriority w:val="5"/>
    <w:locked/>
    <w:rsid w:val="001A4649"/>
    <w:rPr>
      <w:rFonts w:ascii="Calibri" w:hAnsi="Calibri"/>
      <w:szCs w:val="22"/>
      <w:lang w:eastAsia="en-US"/>
    </w:rPr>
  </w:style>
  <w:style w:type="paragraph" w:customStyle="1" w:styleId="StyleTable9Calibri">
    <w:name w:val="Style Table9 + Calibri"/>
    <w:basedOn w:val="Normal"/>
    <w:autoRedefine/>
    <w:rsid w:val="001A4649"/>
    <w:pPr>
      <w:widowControl/>
      <w:jc w:val="left"/>
    </w:pPr>
    <w:rPr>
      <w:rFonts w:ascii="Calibri" w:eastAsia="SimSun" w:hAnsi="Calibri" w:cs="Times New Roman"/>
      <w:snapToGrid/>
      <w:sz w:val="20"/>
      <w:szCs w:val="18"/>
      <w:lang w:eastAsia="zh-CN"/>
    </w:rPr>
  </w:style>
  <w:style w:type="paragraph" w:customStyle="1" w:styleId="ListLetters">
    <w:name w:val="List Letters"/>
    <w:basedOn w:val="Normal"/>
    <w:uiPriority w:val="3"/>
    <w:qFormat/>
    <w:rsid w:val="006615AA"/>
    <w:pPr>
      <w:widowControl/>
      <w:spacing w:after="240" w:line="276" w:lineRule="auto"/>
      <w:contextualSpacing/>
    </w:pPr>
    <w:rPr>
      <w:rFonts w:ascii="Calibri" w:hAnsi="Calibri" w:cs="Times New Roman"/>
      <w:snapToGrid/>
      <w:sz w:val="24"/>
      <w:szCs w:val="22"/>
    </w:rPr>
  </w:style>
  <w:style w:type="character" w:customStyle="1" w:styleId="DefaultChar">
    <w:name w:val="Default Char"/>
    <w:basedOn w:val="DefaultParagraphFont"/>
    <w:link w:val="Default"/>
    <w:rsid w:val="00FA1DDD"/>
    <w:rPr>
      <w:rFonts w:ascii="Calibri" w:hAnsi="Calibri" w:cs="Calibri"/>
      <w:color w:val="000000"/>
      <w:sz w:val="24"/>
      <w:szCs w:val="24"/>
    </w:rPr>
  </w:style>
  <w:style w:type="paragraph" w:styleId="DocumentMap">
    <w:name w:val="Document Map"/>
    <w:basedOn w:val="Normal"/>
    <w:link w:val="DocumentMapChar"/>
    <w:semiHidden/>
    <w:unhideWhenUsed/>
    <w:rsid w:val="00FA1DDD"/>
    <w:rPr>
      <w:rFonts w:ascii="Lucida Grande" w:hAnsi="Lucida Grande" w:cs="Lucida Grande"/>
      <w:sz w:val="24"/>
      <w:szCs w:val="24"/>
    </w:rPr>
  </w:style>
  <w:style w:type="character" w:customStyle="1" w:styleId="DocumentMapChar">
    <w:name w:val="Document Map Char"/>
    <w:basedOn w:val="DefaultParagraphFont"/>
    <w:link w:val="DocumentMap"/>
    <w:semiHidden/>
    <w:rsid w:val="00FA1DDD"/>
    <w:rPr>
      <w:rFonts w:ascii="Lucida Grande" w:hAnsi="Lucida Grande" w:cs="Lucida Grande"/>
      <w:snapToGrid w:val="0"/>
      <w:sz w:val="24"/>
      <w:szCs w:val="24"/>
      <w:lang w:eastAsia="en-US"/>
    </w:rPr>
  </w:style>
  <w:style w:type="character" w:customStyle="1" w:styleId="st">
    <w:name w:val="st"/>
    <w:basedOn w:val="DefaultParagraphFont"/>
    <w:rsid w:val="00FA1DDD"/>
  </w:style>
  <w:style w:type="character" w:customStyle="1" w:styleId="tgc">
    <w:name w:val="_tgc"/>
    <w:basedOn w:val="DefaultParagraphFont"/>
    <w:rsid w:val="00AE2DA9"/>
  </w:style>
  <w:style w:type="paragraph" w:customStyle="1" w:styleId="TableNotes">
    <w:name w:val="Table Notes"/>
    <w:basedOn w:val="Normal"/>
    <w:link w:val="TableNotesChar"/>
    <w:qFormat/>
    <w:rsid w:val="00AE2DA9"/>
    <w:pPr>
      <w:widowControl/>
      <w:spacing w:after="40" w:line="276" w:lineRule="auto"/>
    </w:pPr>
    <w:rPr>
      <w:rFonts w:ascii="Calibri" w:hAnsi="Calibri" w:cs="Times New Roman"/>
      <w:snapToGrid/>
      <w:sz w:val="16"/>
      <w:szCs w:val="22"/>
    </w:rPr>
  </w:style>
  <w:style w:type="character" w:customStyle="1" w:styleId="TableNotesChar">
    <w:name w:val="Table Notes Char"/>
    <w:basedOn w:val="DefaultParagraphFont"/>
    <w:link w:val="TableNotes"/>
    <w:locked/>
    <w:rsid w:val="00AE2DA9"/>
    <w:rPr>
      <w:rFonts w:ascii="Calibri" w:hAnsi="Calibri"/>
      <w:sz w:val="16"/>
      <w:szCs w:val="22"/>
      <w:lang w:eastAsia="en-US"/>
    </w:rPr>
  </w:style>
  <w:style w:type="character" w:customStyle="1" w:styleId="ListParagraphChar">
    <w:name w:val="List Paragraph Char"/>
    <w:aliases w:val="BulletPoints Char"/>
    <w:link w:val="ListParagraph"/>
    <w:uiPriority w:val="34"/>
    <w:locked/>
    <w:rsid w:val="00AE2DA9"/>
    <w:rPr>
      <w:rFonts w:ascii="Arial" w:hAnsi="Arial" w:cs="Arial"/>
      <w:snapToGrid w:val="0"/>
      <w:sz w:val="22"/>
      <w:lang w:eastAsia="en-US"/>
    </w:rPr>
  </w:style>
  <w:style w:type="character" w:customStyle="1" w:styleId="NormalFont">
    <w:name w:val="Normal Font"/>
    <w:basedOn w:val="DefaultParagraphFont"/>
    <w:uiPriority w:val="99"/>
    <w:qFormat/>
    <w:rsid w:val="00726827"/>
    <w:rPr>
      <w:rFonts w:ascii="Calibri" w:hAnsi="Calibri" w:cs="Times New Roman"/>
      <w:sz w:val="24"/>
    </w:rPr>
  </w:style>
  <w:style w:type="character" w:styleId="FollowedHyperlink">
    <w:name w:val="FollowedHyperlink"/>
    <w:basedOn w:val="DefaultParagraphFont"/>
    <w:semiHidden/>
    <w:unhideWhenUsed/>
    <w:rsid w:val="004B15CB"/>
    <w:rPr>
      <w:color w:val="800080" w:themeColor="followedHyperlink"/>
      <w:u w:val="single"/>
    </w:rPr>
  </w:style>
  <w:style w:type="paragraph" w:customStyle="1" w:styleId="EndNoteBibliographyTitle">
    <w:name w:val="EndNote Bibliography Title"/>
    <w:basedOn w:val="Normal"/>
    <w:link w:val="EndNoteBibliographyTitleChar"/>
    <w:rsid w:val="00F4186C"/>
    <w:pPr>
      <w:jc w:val="center"/>
    </w:pPr>
    <w:rPr>
      <w:noProof/>
      <w:lang w:val="en-US"/>
    </w:rPr>
  </w:style>
  <w:style w:type="character" w:customStyle="1" w:styleId="EndNoteBibliographyTitleChar">
    <w:name w:val="EndNote Bibliography Title Char"/>
    <w:basedOn w:val="TabletextChar"/>
    <w:link w:val="EndNoteBibliographyTitle"/>
    <w:rsid w:val="00F4186C"/>
    <w:rPr>
      <w:rFonts w:ascii="Arial" w:hAnsi="Arial" w:cs="Arial"/>
      <w:noProof/>
      <w:snapToGrid w:val="0"/>
      <w:sz w:val="22"/>
      <w:lang w:val="en-US" w:eastAsia="en-US"/>
    </w:rPr>
  </w:style>
  <w:style w:type="paragraph" w:customStyle="1" w:styleId="EndNoteBibliography">
    <w:name w:val="EndNote Bibliography"/>
    <w:basedOn w:val="Normal"/>
    <w:link w:val="EndNoteBibliographyChar"/>
    <w:rsid w:val="00F4186C"/>
    <w:rPr>
      <w:noProof/>
      <w:lang w:val="en-US"/>
    </w:rPr>
  </w:style>
  <w:style w:type="character" w:customStyle="1" w:styleId="EndNoteBibliographyChar">
    <w:name w:val="EndNote Bibliography Char"/>
    <w:basedOn w:val="TabletextChar"/>
    <w:link w:val="EndNoteBibliography"/>
    <w:rsid w:val="00F4186C"/>
    <w:rPr>
      <w:rFonts w:ascii="Arial" w:hAnsi="Arial" w:cs="Arial"/>
      <w:noProof/>
      <w:snapToGrid w:val="0"/>
      <w:sz w:val="22"/>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733461"/>
    <w:pPr>
      <w:widowControl/>
      <w:spacing w:after="160" w:line="240" w:lineRule="exact"/>
      <w:jc w:val="left"/>
    </w:pPr>
    <w:rPr>
      <w:rFonts w:ascii="Verdana" w:eastAsia="MS Mincho" w:hAnsi="Verdana" w:cs="Verdana"/>
      <w:snapToGrid/>
      <w:sz w:val="20"/>
      <w:lang w:val="en-US"/>
    </w:rPr>
  </w:style>
  <w:style w:type="table" w:customStyle="1" w:styleId="TableGrid11">
    <w:name w:val="Table Grid11"/>
    <w:basedOn w:val="TableNormal"/>
    <w:next w:val="TableGrid"/>
    <w:rsid w:val="009C0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1E7A4C"/>
    <w:pPr>
      <w:widowControl/>
      <w:spacing w:after="160" w:line="240" w:lineRule="exact"/>
      <w:jc w:val="left"/>
    </w:pPr>
    <w:rPr>
      <w:rFonts w:ascii="Verdana" w:eastAsia="MS Mincho" w:hAnsi="Verdana" w:cs="Verdana"/>
      <w:snapToGrid/>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3629">
      <w:bodyDiv w:val="1"/>
      <w:marLeft w:val="0"/>
      <w:marRight w:val="0"/>
      <w:marTop w:val="0"/>
      <w:marBottom w:val="0"/>
      <w:divBdr>
        <w:top w:val="none" w:sz="0" w:space="0" w:color="auto"/>
        <w:left w:val="none" w:sz="0" w:space="0" w:color="auto"/>
        <w:bottom w:val="none" w:sz="0" w:space="0" w:color="auto"/>
        <w:right w:val="none" w:sz="0" w:space="0" w:color="auto"/>
      </w:divBdr>
    </w:div>
    <w:div w:id="106193974">
      <w:bodyDiv w:val="1"/>
      <w:marLeft w:val="0"/>
      <w:marRight w:val="0"/>
      <w:marTop w:val="0"/>
      <w:marBottom w:val="0"/>
      <w:divBdr>
        <w:top w:val="none" w:sz="0" w:space="0" w:color="auto"/>
        <w:left w:val="none" w:sz="0" w:space="0" w:color="auto"/>
        <w:bottom w:val="none" w:sz="0" w:space="0" w:color="auto"/>
        <w:right w:val="none" w:sz="0" w:space="0" w:color="auto"/>
      </w:divBdr>
    </w:div>
    <w:div w:id="144519409">
      <w:bodyDiv w:val="1"/>
      <w:marLeft w:val="0"/>
      <w:marRight w:val="0"/>
      <w:marTop w:val="0"/>
      <w:marBottom w:val="0"/>
      <w:divBdr>
        <w:top w:val="none" w:sz="0" w:space="0" w:color="auto"/>
        <w:left w:val="none" w:sz="0" w:space="0" w:color="auto"/>
        <w:bottom w:val="none" w:sz="0" w:space="0" w:color="auto"/>
        <w:right w:val="none" w:sz="0" w:space="0" w:color="auto"/>
      </w:divBdr>
    </w:div>
    <w:div w:id="194004751">
      <w:bodyDiv w:val="1"/>
      <w:marLeft w:val="0"/>
      <w:marRight w:val="0"/>
      <w:marTop w:val="0"/>
      <w:marBottom w:val="0"/>
      <w:divBdr>
        <w:top w:val="none" w:sz="0" w:space="0" w:color="auto"/>
        <w:left w:val="none" w:sz="0" w:space="0" w:color="auto"/>
        <w:bottom w:val="none" w:sz="0" w:space="0" w:color="auto"/>
        <w:right w:val="none" w:sz="0" w:space="0" w:color="auto"/>
      </w:divBdr>
    </w:div>
    <w:div w:id="248586156">
      <w:bodyDiv w:val="1"/>
      <w:marLeft w:val="0"/>
      <w:marRight w:val="0"/>
      <w:marTop w:val="0"/>
      <w:marBottom w:val="0"/>
      <w:divBdr>
        <w:top w:val="none" w:sz="0" w:space="0" w:color="auto"/>
        <w:left w:val="none" w:sz="0" w:space="0" w:color="auto"/>
        <w:bottom w:val="none" w:sz="0" w:space="0" w:color="auto"/>
        <w:right w:val="none" w:sz="0" w:space="0" w:color="auto"/>
      </w:divBdr>
    </w:div>
    <w:div w:id="293175166">
      <w:bodyDiv w:val="1"/>
      <w:marLeft w:val="0"/>
      <w:marRight w:val="0"/>
      <w:marTop w:val="0"/>
      <w:marBottom w:val="0"/>
      <w:divBdr>
        <w:top w:val="none" w:sz="0" w:space="0" w:color="auto"/>
        <w:left w:val="none" w:sz="0" w:space="0" w:color="auto"/>
        <w:bottom w:val="none" w:sz="0" w:space="0" w:color="auto"/>
        <w:right w:val="none" w:sz="0" w:space="0" w:color="auto"/>
      </w:divBdr>
    </w:div>
    <w:div w:id="412708030">
      <w:bodyDiv w:val="1"/>
      <w:marLeft w:val="0"/>
      <w:marRight w:val="0"/>
      <w:marTop w:val="0"/>
      <w:marBottom w:val="0"/>
      <w:divBdr>
        <w:top w:val="none" w:sz="0" w:space="0" w:color="auto"/>
        <w:left w:val="none" w:sz="0" w:space="0" w:color="auto"/>
        <w:bottom w:val="none" w:sz="0" w:space="0" w:color="auto"/>
        <w:right w:val="none" w:sz="0" w:space="0" w:color="auto"/>
      </w:divBdr>
    </w:div>
    <w:div w:id="446973876">
      <w:bodyDiv w:val="1"/>
      <w:marLeft w:val="0"/>
      <w:marRight w:val="0"/>
      <w:marTop w:val="0"/>
      <w:marBottom w:val="0"/>
      <w:divBdr>
        <w:top w:val="none" w:sz="0" w:space="0" w:color="auto"/>
        <w:left w:val="none" w:sz="0" w:space="0" w:color="auto"/>
        <w:bottom w:val="none" w:sz="0" w:space="0" w:color="auto"/>
        <w:right w:val="none" w:sz="0" w:space="0" w:color="auto"/>
      </w:divBdr>
    </w:div>
    <w:div w:id="516038619">
      <w:bodyDiv w:val="1"/>
      <w:marLeft w:val="0"/>
      <w:marRight w:val="0"/>
      <w:marTop w:val="0"/>
      <w:marBottom w:val="0"/>
      <w:divBdr>
        <w:top w:val="none" w:sz="0" w:space="0" w:color="auto"/>
        <w:left w:val="none" w:sz="0" w:space="0" w:color="auto"/>
        <w:bottom w:val="none" w:sz="0" w:space="0" w:color="auto"/>
        <w:right w:val="none" w:sz="0" w:space="0" w:color="auto"/>
      </w:divBdr>
    </w:div>
    <w:div w:id="866287088">
      <w:bodyDiv w:val="1"/>
      <w:marLeft w:val="0"/>
      <w:marRight w:val="0"/>
      <w:marTop w:val="0"/>
      <w:marBottom w:val="0"/>
      <w:divBdr>
        <w:top w:val="none" w:sz="0" w:space="0" w:color="auto"/>
        <w:left w:val="none" w:sz="0" w:space="0" w:color="auto"/>
        <w:bottom w:val="none" w:sz="0" w:space="0" w:color="auto"/>
        <w:right w:val="none" w:sz="0" w:space="0" w:color="auto"/>
      </w:divBdr>
    </w:div>
    <w:div w:id="885530933">
      <w:bodyDiv w:val="1"/>
      <w:marLeft w:val="0"/>
      <w:marRight w:val="0"/>
      <w:marTop w:val="0"/>
      <w:marBottom w:val="0"/>
      <w:divBdr>
        <w:top w:val="none" w:sz="0" w:space="0" w:color="auto"/>
        <w:left w:val="none" w:sz="0" w:space="0" w:color="auto"/>
        <w:bottom w:val="none" w:sz="0" w:space="0" w:color="auto"/>
        <w:right w:val="none" w:sz="0" w:space="0" w:color="auto"/>
      </w:divBdr>
    </w:div>
    <w:div w:id="921332345">
      <w:bodyDiv w:val="1"/>
      <w:marLeft w:val="0"/>
      <w:marRight w:val="0"/>
      <w:marTop w:val="0"/>
      <w:marBottom w:val="0"/>
      <w:divBdr>
        <w:top w:val="none" w:sz="0" w:space="0" w:color="auto"/>
        <w:left w:val="none" w:sz="0" w:space="0" w:color="auto"/>
        <w:bottom w:val="none" w:sz="0" w:space="0" w:color="auto"/>
        <w:right w:val="none" w:sz="0" w:space="0" w:color="auto"/>
      </w:divBdr>
    </w:div>
    <w:div w:id="932517023">
      <w:bodyDiv w:val="1"/>
      <w:marLeft w:val="0"/>
      <w:marRight w:val="0"/>
      <w:marTop w:val="0"/>
      <w:marBottom w:val="0"/>
      <w:divBdr>
        <w:top w:val="none" w:sz="0" w:space="0" w:color="auto"/>
        <w:left w:val="none" w:sz="0" w:space="0" w:color="auto"/>
        <w:bottom w:val="none" w:sz="0" w:space="0" w:color="auto"/>
        <w:right w:val="none" w:sz="0" w:space="0" w:color="auto"/>
      </w:divBdr>
    </w:div>
    <w:div w:id="997608801">
      <w:bodyDiv w:val="1"/>
      <w:marLeft w:val="0"/>
      <w:marRight w:val="0"/>
      <w:marTop w:val="0"/>
      <w:marBottom w:val="0"/>
      <w:divBdr>
        <w:top w:val="none" w:sz="0" w:space="0" w:color="auto"/>
        <w:left w:val="none" w:sz="0" w:space="0" w:color="auto"/>
        <w:bottom w:val="none" w:sz="0" w:space="0" w:color="auto"/>
        <w:right w:val="none" w:sz="0" w:space="0" w:color="auto"/>
      </w:divBdr>
    </w:div>
    <w:div w:id="1003320388">
      <w:bodyDiv w:val="1"/>
      <w:marLeft w:val="0"/>
      <w:marRight w:val="0"/>
      <w:marTop w:val="0"/>
      <w:marBottom w:val="0"/>
      <w:divBdr>
        <w:top w:val="none" w:sz="0" w:space="0" w:color="auto"/>
        <w:left w:val="none" w:sz="0" w:space="0" w:color="auto"/>
        <w:bottom w:val="none" w:sz="0" w:space="0" w:color="auto"/>
        <w:right w:val="none" w:sz="0" w:space="0" w:color="auto"/>
      </w:divBdr>
    </w:div>
    <w:div w:id="1116100181">
      <w:bodyDiv w:val="1"/>
      <w:marLeft w:val="0"/>
      <w:marRight w:val="0"/>
      <w:marTop w:val="0"/>
      <w:marBottom w:val="0"/>
      <w:divBdr>
        <w:top w:val="none" w:sz="0" w:space="0" w:color="auto"/>
        <w:left w:val="none" w:sz="0" w:space="0" w:color="auto"/>
        <w:bottom w:val="none" w:sz="0" w:space="0" w:color="auto"/>
        <w:right w:val="none" w:sz="0" w:space="0" w:color="auto"/>
      </w:divBdr>
    </w:div>
    <w:div w:id="1174614952">
      <w:bodyDiv w:val="1"/>
      <w:marLeft w:val="0"/>
      <w:marRight w:val="0"/>
      <w:marTop w:val="0"/>
      <w:marBottom w:val="0"/>
      <w:divBdr>
        <w:top w:val="none" w:sz="0" w:space="0" w:color="auto"/>
        <w:left w:val="none" w:sz="0" w:space="0" w:color="auto"/>
        <w:bottom w:val="none" w:sz="0" w:space="0" w:color="auto"/>
        <w:right w:val="none" w:sz="0" w:space="0" w:color="auto"/>
      </w:divBdr>
    </w:div>
    <w:div w:id="1309437715">
      <w:bodyDiv w:val="1"/>
      <w:marLeft w:val="0"/>
      <w:marRight w:val="0"/>
      <w:marTop w:val="0"/>
      <w:marBottom w:val="0"/>
      <w:divBdr>
        <w:top w:val="none" w:sz="0" w:space="0" w:color="auto"/>
        <w:left w:val="none" w:sz="0" w:space="0" w:color="auto"/>
        <w:bottom w:val="none" w:sz="0" w:space="0" w:color="auto"/>
        <w:right w:val="none" w:sz="0" w:space="0" w:color="auto"/>
      </w:divBdr>
    </w:div>
    <w:div w:id="1340616334">
      <w:bodyDiv w:val="1"/>
      <w:marLeft w:val="0"/>
      <w:marRight w:val="0"/>
      <w:marTop w:val="0"/>
      <w:marBottom w:val="0"/>
      <w:divBdr>
        <w:top w:val="none" w:sz="0" w:space="0" w:color="auto"/>
        <w:left w:val="none" w:sz="0" w:space="0" w:color="auto"/>
        <w:bottom w:val="none" w:sz="0" w:space="0" w:color="auto"/>
        <w:right w:val="none" w:sz="0" w:space="0" w:color="auto"/>
      </w:divBdr>
    </w:div>
    <w:div w:id="1412391400">
      <w:bodyDiv w:val="1"/>
      <w:marLeft w:val="0"/>
      <w:marRight w:val="0"/>
      <w:marTop w:val="0"/>
      <w:marBottom w:val="0"/>
      <w:divBdr>
        <w:top w:val="none" w:sz="0" w:space="0" w:color="auto"/>
        <w:left w:val="none" w:sz="0" w:space="0" w:color="auto"/>
        <w:bottom w:val="none" w:sz="0" w:space="0" w:color="auto"/>
        <w:right w:val="none" w:sz="0" w:space="0" w:color="auto"/>
      </w:divBdr>
    </w:div>
    <w:div w:id="1459028546">
      <w:bodyDiv w:val="1"/>
      <w:marLeft w:val="0"/>
      <w:marRight w:val="0"/>
      <w:marTop w:val="0"/>
      <w:marBottom w:val="0"/>
      <w:divBdr>
        <w:top w:val="none" w:sz="0" w:space="0" w:color="auto"/>
        <w:left w:val="none" w:sz="0" w:space="0" w:color="auto"/>
        <w:bottom w:val="none" w:sz="0" w:space="0" w:color="auto"/>
        <w:right w:val="none" w:sz="0" w:space="0" w:color="auto"/>
      </w:divBdr>
    </w:div>
    <w:div w:id="1485009661">
      <w:bodyDiv w:val="1"/>
      <w:marLeft w:val="0"/>
      <w:marRight w:val="0"/>
      <w:marTop w:val="0"/>
      <w:marBottom w:val="0"/>
      <w:divBdr>
        <w:top w:val="none" w:sz="0" w:space="0" w:color="auto"/>
        <w:left w:val="none" w:sz="0" w:space="0" w:color="auto"/>
        <w:bottom w:val="none" w:sz="0" w:space="0" w:color="auto"/>
        <w:right w:val="none" w:sz="0" w:space="0" w:color="auto"/>
      </w:divBdr>
    </w:div>
    <w:div w:id="1490944010">
      <w:bodyDiv w:val="1"/>
      <w:marLeft w:val="0"/>
      <w:marRight w:val="0"/>
      <w:marTop w:val="0"/>
      <w:marBottom w:val="0"/>
      <w:divBdr>
        <w:top w:val="none" w:sz="0" w:space="0" w:color="auto"/>
        <w:left w:val="none" w:sz="0" w:space="0" w:color="auto"/>
        <w:bottom w:val="none" w:sz="0" w:space="0" w:color="auto"/>
        <w:right w:val="none" w:sz="0" w:space="0" w:color="auto"/>
      </w:divBdr>
    </w:div>
    <w:div w:id="1537155144">
      <w:bodyDiv w:val="1"/>
      <w:marLeft w:val="0"/>
      <w:marRight w:val="0"/>
      <w:marTop w:val="0"/>
      <w:marBottom w:val="0"/>
      <w:divBdr>
        <w:top w:val="none" w:sz="0" w:space="0" w:color="auto"/>
        <w:left w:val="none" w:sz="0" w:space="0" w:color="auto"/>
        <w:bottom w:val="none" w:sz="0" w:space="0" w:color="auto"/>
        <w:right w:val="none" w:sz="0" w:space="0" w:color="auto"/>
      </w:divBdr>
    </w:div>
    <w:div w:id="1635675798">
      <w:bodyDiv w:val="1"/>
      <w:marLeft w:val="0"/>
      <w:marRight w:val="0"/>
      <w:marTop w:val="0"/>
      <w:marBottom w:val="0"/>
      <w:divBdr>
        <w:top w:val="none" w:sz="0" w:space="0" w:color="auto"/>
        <w:left w:val="none" w:sz="0" w:space="0" w:color="auto"/>
        <w:bottom w:val="none" w:sz="0" w:space="0" w:color="auto"/>
        <w:right w:val="none" w:sz="0" w:space="0" w:color="auto"/>
      </w:divBdr>
    </w:div>
    <w:div w:id="1646426040">
      <w:bodyDiv w:val="1"/>
      <w:marLeft w:val="0"/>
      <w:marRight w:val="0"/>
      <w:marTop w:val="0"/>
      <w:marBottom w:val="0"/>
      <w:divBdr>
        <w:top w:val="none" w:sz="0" w:space="0" w:color="auto"/>
        <w:left w:val="none" w:sz="0" w:space="0" w:color="auto"/>
        <w:bottom w:val="none" w:sz="0" w:space="0" w:color="auto"/>
        <w:right w:val="none" w:sz="0" w:space="0" w:color="auto"/>
      </w:divBdr>
    </w:div>
    <w:div w:id="1670668105">
      <w:bodyDiv w:val="1"/>
      <w:marLeft w:val="0"/>
      <w:marRight w:val="0"/>
      <w:marTop w:val="0"/>
      <w:marBottom w:val="0"/>
      <w:divBdr>
        <w:top w:val="none" w:sz="0" w:space="0" w:color="auto"/>
        <w:left w:val="none" w:sz="0" w:space="0" w:color="auto"/>
        <w:bottom w:val="none" w:sz="0" w:space="0" w:color="auto"/>
        <w:right w:val="none" w:sz="0" w:space="0" w:color="auto"/>
      </w:divBdr>
    </w:div>
    <w:div w:id="1736853139">
      <w:bodyDiv w:val="1"/>
      <w:marLeft w:val="0"/>
      <w:marRight w:val="0"/>
      <w:marTop w:val="0"/>
      <w:marBottom w:val="0"/>
      <w:divBdr>
        <w:top w:val="none" w:sz="0" w:space="0" w:color="auto"/>
        <w:left w:val="none" w:sz="0" w:space="0" w:color="auto"/>
        <w:bottom w:val="none" w:sz="0" w:space="0" w:color="auto"/>
        <w:right w:val="none" w:sz="0" w:space="0" w:color="auto"/>
      </w:divBdr>
    </w:div>
    <w:div w:id="1790051938">
      <w:bodyDiv w:val="1"/>
      <w:marLeft w:val="0"/>
      <w:marRight w:val="0"/>
      <w:marTop w:val="0"/>
      <w:marBottom w:val="0"/>
      <w:divBdr>
        <w:top w:val="none" w:sz="0" w:space="0" w:color="auto"/>
        <w:left w:val="none" w:sz="0" w:space="0" w:color="auto"/>
        <w:bottom w:val="none" w:sz="0" w:space="0" w:color="auto"/>
        <w:right w:val="none" w:sz="0" w:space="0" w:color="auto"/>
      </w:divBdr>
    </w:div>
    <w:div w:id="1805464313">
      <w:bodyDiv w:val="1"/>
      <w:marLeft w:val="0"/>
      <w:marRight w:val="0"/>
      <w:marTop w:val="0"/>
      <w:marBottom w:val="0"/>
      <w:divBdr>
        <w:top w:val="none" w:sz="0" w:space="0" w:color="auto"/>
        <w:left w:val="none" w:sz="0" w:space="0" w:color="auto"/>
        <w:bottom w:val="none" w:sz="0" w:space="0" w:color="auto"/>
        <w:right w:val="none" w:sz="0" w:space="0" w:color="auto"/>
      </w:divBdr>
    </w:div>
    <w:div w:id="1807549172">
      <w:bodyDiv w:val="1"/>
      <w:marLeft w:val="0"/>
      <w:marRight w:val="0"/>
      <w:marTop w:val="0"/>
      <w:marBottom w:val="0"/>
      <w:divBdr>
        <w:top w:val="none" w:sz="0" w:space="0" w:color="auto"/>
        <w:left w:val="none" w:sz="0" w:space="0" w:color="auto"/>
        <w:bottom w:val="none" w:sz="0" w:space="0" w:color="auto"/>
        <w:right w:val="none" w:sz="0" w:space="0" w:color="auto"/>
      </w:divBdr>
    </w:div>
    <w:div w:id="1852865649">
      <w:bodyDiv w:val="1"/>
      <w:marLeft w:val="0"/>
      <w:marRight w:val="0"/>
      <w:marTop w:val="0"/>
      <w:marBottom w:val="0"/>
      <w:divBdr>
        <w:top w:val="none" w:sz="0" w:space="0" w:color="auto"/>
        <w:left w:val="none" w:sz="0" w:space="0" w:color="auto"/>
        <w:bottom w:val="none" w:sz="0" w:space="0" w:color="auto"/>
        <w:right w:val="none" w:sz="0" w:space="0" w:color="auto"/>
      </w:divBdr>
    </w:div>
    <w:div w:id="1967349293">
      <w:bodyDiv w:val="1"/>
      <w:marLeft w:val="0"/>
      <w:marRight w:val="0"/>
      <w:marTop w:val="0"/>
      <w:marBottom w:val="0"/>
      <w:divBdr>
        <w:top w:val="none" w:sz="0" w:space="0" w:color="auto"/>
        <w:left w:val="none" w:sz="0" w:space="0" w:color="auto"/>
        <w:bottom w:val="none" w:sz="0" w:space="0" w:color="auto"/>
        <w:right w:val="none" w:sz="0" w:space="0" w:color="auto"/>
      </w:divBdr>
    </w:div>
    <w:div w:id="1986003518">
      <w:bodyDiv w:val="1"/>
      <w:marLeft w:val="0"/>
      <w:marRight w:val="0"/>
      <w:marTop w:val="0"/>
      <w:marBottom w:val="0"/>
      <w:divBdr>
        <w:top w:val="none" w:sz="0" w:space="0" w:color="auto"/>
        <w:left w:val="none" w:sz="0" w:space="0" w:color="auto"/>
        <w:bottom w:val="none" w:sz="0" w:space="0" w:color="auto"/>
        <w:right w:val="none" w:sz="0" w:space="0" w:color="auto"/>
      </w:divBdr>
    </w:div>
    <w:div w:id="2005627745">
      <w:bodyDiv w:val="1"/>
      <w:marLeft w:val="0"/>
      <w:marRight w:val="0"/>
      <w:marTop w:val="0"/>
      <w:marBottom w:val="0"/>
      <w:divBdr>
        <w:top w:val="none" w:sz="0" w:space="0" w:color="auto"/>
        <w:left w:val="none" w:sz="0" w:space="0" w:color="auto"/>
        <w:bottom w:val="none" w:sz="0" w:space="0" w:color="auto"/>
        <w:right w:val="none" w:sz="0" w:space="0" w:color="auto"/>
      </w:divBdr>
    </w:div>
    <w:div w:id="2062047974">
      <w:bodyDiv w:val="1"/>
      <w:marLeft w:val="0"/>
      <w:marRight w:val="0"/>
      <w:marTop w:val="0"/>
      <w:marBottom w:val="0"/>
      <w:divBdr>
        <w:top w:val="none" w:sz="0" w:space="0" w:color="auto"/>
        <w:left w:val="none" w:sz="0" w:space="0" w:color="auto"/>
        <w:bottom w:val="none" w:sz="0" w:space="0" w:color="auto"/>
        <w:right w:val="none" w:sz="0" w:space="0" w:color="auto"/>
      </w:divBdr>
    </w:div>
    <w:div w:id="2067531155">
      <w:bodyDiv w:val="1"/>
      <w:marLeft w:val="0"/>
      <w:marRight w:val="0"/>
      <w:marTop w:val="0"/>
      <w:marBottom w:val="0"/>
      <w:divBdr>
        <w:top w:val="none" w:sz="0" w:space="0" w:color="auto"/>
        <w:left w:val="none" w:sz="0" w:space="0" w:color="auto"/>
        <w:bottom w:val="none" w:sz="0" w:space="0" w:color="auto"/>
        <w:right w:val="none" w:sz="0" w:space="0" w:color="auto"/>
      </w:divBdr>
    </w:div>
    <w:div w:id="211205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3B56A-428C-4EB4-8353-91F6E7AFF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13114</Words>
  <Characters>73734</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2015-10-26T00:55:00Z</dcterms:created>
  <dcterms:modified xsi:type="dcterms:W3CDTF">2015-10-26T02:46:00Z</dcterms:modified>
</cp:coreProperties>
</file>