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7B" w:rsidRDefault="00FD557B" w:rsidP="00D14026">
      <w:pPr>
        <w:ind w:left="720" w:hanging="720"/>
        <w:rPr>
          <w:rFonts w:ascii="Arial" w:hAnsi="Arial"/>
          <w:b/>
          <w:sz w:val="28"/>
          <w:szCs w:val="28"/>
        </w:rPr>
      </w:pPr>
      <w:bookmarkStart w:id="0" w:name="_GoBack"/>
      <w:bookmarkEnd w:id="0"/>
      <w:r>
        <w:rPr>
          <w:rFonts w:ascii="Arial" w:hAnsi="Arial"/>
          <w:b/>
          <w:sz w:val="28"/>
          <w:szCs w:val="28"/>
        </w:rPr>
        <w:t xml:space="preserve">Agenda Item </w:t>
      </w:r>
      <w:r w:rsidR="00F767E7">
        <w:rPr>
          <w:rFonts w:ascii="Arial" w:hAnsi="Arial"/>
          <w:b/>
          <w:sz w:val="28"/>
          <w:szCs w:val="28"/>
        </w:rPr>
        <w:t>14.10</w:t>
      </w:r>
      <w:r w:rsidR="007C0F57" w:rsidRPr="006D6EC7">
        <w:rPr>
          <w:rFonts w:ascii="Arial" w:hAnsi="Arial"/>
          <w:b/>
          <w:sz w:val="28"/>
          <w:szCs w:val="28"/>
        </w:rPr>
        <w:tab/>
      </w:r>
    </w:p>
    <w:p w:rsidR="00FD557B" w:rsidRDefault="00FD557B" w:rsidP="00D14026">
      <w:pPr>
        <w:ind w:left="720" w:hanging="720"/>
        <w:rPr>
          <w:rFonts w:ascii="Arial" w:hAnsi="Arial"/>
          <w:b/>
          <w:sz w:val="28"/>
          <w:szCs w:val="28"/>
        </w:rPr>
      </w:pPr>
    </w:p>
    <w:p w:rsidR="00771BEB" w:rsidRPr="006D6EC7" w:rsidRDefault="00F4326B" w:rsidP="00FD557B">
      <w:pPr>
        <w:rPr>
          <w:rFonts w:ascii="Arial" w:hAnsi="Arial"/>
          <w:b/>
          <w:sz w:val="28"/>
          <w:szCs w:val="28"/>
        </w:rPr>
      </w:pPr>
      <w:r>
        <w:rPr>
          <w:rFonts w:ascii="Arial" w:hAnsi="Arial"/>
          <w:b/>
          <w:sz w:val="28"/>
          <w:szCs w:val="28"/>
        </w:rPr>
        <w:t xml:space="preserve">REMOVING (DELISTING) </w:t>
      </w:r>
      <w:r w:rsidR="00FD557B">
        <w:rPr>
          <w:rFonts w:ascii="Arial" w:hAnsi="Arial"/>
          <w:b/>
          <w:sz w:val="28"/>
          <w:szCs w:val="28"/>
        </w:rPr>
        <w:t xml:space="preserve">OVER THE COUNTER MEDICINES FROM </w:t>
      </w:r>
      <w:r>
        <w:rPr>
          <w:rFonts w:ascii="Arial" w:hAnsi="Arial"/>
          <w:b/>
          <w:sz w:val="28"/>
          <w:szCs w:val="28"/>
        </w:rPr>
        <w:t>THE PBS</w:t>
      </w:r>
    </w:p>
    <w:p w:rsidR="00CE10C4" w:rsidRDefault="00CE10C4" w:rsidP="00A5273B">
      <w:pPr>
        <w:rPr>
          <w:rFonts w:ascii="Arial" w:hAnsi="Arial"/>
          <w:b/>
        </w:rPr>
      </w:pPr>
    </w:p>
    <w:p w:rsidR="00771BEB" w:rsidRDefault="00771BEB"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771BEB">
        <w:rPr>
          <w:rFonts w:ascii="Arial" w:hAnsi="Arial"/>
          <w:b/>
          <w:sz w:val="22"/>
          <w:szCs w:val="22"/>
        </w:rPr>
        <w:t>Item</w:t>
      </w:r>
    </w:p>
    <w:p w:rsidR="006A12A5" w:rsidRPr="00882085" w:rsidRDefault="006A12A5" w:rsidP="00882085">
      <w:pPr>
        <w:jc w:val="both"/>
        <w:rPr>
          <w:rFonts w:ascii="Arial" w:hAnsi="Arial"/>
          <w:sz w:val="22"/>
          <w:szCs w:val="22"/>
        </w:rPr>
      </w:pPr>
    </w:p>
    <w:p w:rsidR="00D14026" w:rsidRPr="00D14026" w:rsidRDefault="00D14026" w:rsidP="00EC6904">
      <w:pPr>
        <w:pStyle w:val="ListParagraph"/>
        <w:numPr>
          <w:ilvl w:val="1"/>
          <w:numId w:val="1"/>
        </w:numPr>
        <w:jc w:val="both"/>
        <w:rPr>
          <w:rFonts w:ascii="Arial" w:hAnsi="Arial"/>
          <w:b/>
          <w:sz w:val="22"/>
          <w:szCs w:val="22"/>
        </w:rPr>
      </w:pPr>
      <w:r w:rsidRPr="00D14026">
        <w:rPr>
          <w:rFonts w:ascii="Arial" w:hAnsi="Arial"/>
          <w:sz w:val="22"/>
          <w:szCs w:val="22"/>
        </w:rPr>
        <w:t>The Minister (delegate) request</w:t>
      </w:r>
      <w:r w:rsidR="009C4743">
        <w:rPr>
          <w:rFonts w:ascii="Arial" w:hAnsi="Arial"/>
          <w:sz w:val="22"/>
          <w:szCs w:val="22"/>
        </w:rPr>
        <w:t>ed that</w:t>
      </w:r>
      <w:r w:rsidRPr="00D14026">
        <w:rPr>
          <w:rFonts w:ascii="Arial" w:hAnsi="Arial"/>
          <w:sz w:val="22"/>
          <w:szCs w:val="22"/>
        </w:rPr>
        <w:t xml:space="preserve"> the PBAC provide advice on the following matter(s) under section 101(3) of </w:t>
      </w:r>
      <w:r w:rsidRPr="00D14026">
        <w:rPr>
          <w:rFonts w:ascii="Arial" w:hAnsi="Arial"/>
          <w:i/>
          <w:iCs/>
          <w:sz w:val="22"/>
          <w:szCs w:val="22"/>
        </w:rPr>
        <w:t>the National Health Act, 1953</w:t>
      </w:r>
      <w:r w:rsidRPr="00D14026">
        <w:rPr>
          <w:rFonts w:ascii="Arial" w:hAnsi="Arial"/>
          <w:sz w:val="22"/>
          <w:szCs w:val="22"/>
        </w:rPr>
        <w:t xml:space="preserve"> (the Act)</w:t>
      </w:r>
      <w:r w:rsidR="009C4743">
        <w:rPr>
          <w:rFonts w:ascii="Arial" w:hAnsi="Arial"/>
          <w:sz w:val="22"/>
          <w:szCs w:val="22"/>
        </w:rPr>
        <w:t>:</w:t>
      </w:r>
    </w:p>
    <w:p w:rsidR="00D14026" w:rsidRDefault="00D14026" w:rsidP="00EF44A0">
      <w:pPr>
        <w:pStyle w:val="ListParagraph"/>
        <w:jc w:val="both"/>
        <w:rPr>
          <w:rFonts w:ascii="Arial" w:hAnsi="Arial"/>
          <w:sz w:val="22"/>
          <w:szCs w:val="22"/>
        </w:rPr>
      </w:pPr>
    </w:p>
    <w:p w:rsidR="00F9629A" w:rsidRDefault="00EF44A0" w:rsidP="00D14026">
      <w:pPr>
        <w:pStyle w:val="ListParagraph"/>
        <w:jc w:val="both"/>
        <w:rPr>
          <w:rFonts w:ascii="Arial" w:hAnsi="Arial"/>
          <w:sz w:val="22"/>
          <w:szCs w:val="22"/>
        </w:rPr>
      </w:pPr>
      <w:r>
        <w:rPr>
          <w:rFonts w:ascii="Arial" w:hAnsi="Arial"/>
          <w:sz w:val="22"/>
          <w:szCs w:val="22"/>
        </w:rPr>
        <w:t xml:space="preserve">To </w:t>
      </w:r>
      <w:r w:rsidR="008E73DE">
        <w:rPr>
          <w:rFonts w:ascii="Arial" w:hAnsi="Arial"/>
          <w:sz w:val="22"/>
          <w:szCs w:val="22"/>
        </w:rPr>
        <w:t xml:space="preserve">provide advice as to specific </w:t>
      </w:r>
      <w:r w:rsidR="00D14026">
        <w:rPr>
          <w:rFonts w:ascii="Arial" w:hAnsi="Arial"/>
          <w:sz w:val="22"/>
          <w:szCs w:val="22"/>
        </w:rPr>
        <w:t xml:space="preserve">drugs </w:t>
      </w:r>
      <w:r w:rsidR="008E73DE">
        <w:rPr>
          <w:rFonts w:ascii="Arial" w:hAnsi="Arial"/>
          <w:sz w:val="22"/>
          <w:szCs w:val="22"/>
        </w:rPr>
        <w:t xml:space="preserve">that are </w:t>
      </w:r>
      <w:r w:rsidR="00B72540">
        <w:rPr>
          <w:rFonts w:ascii="Arial" w:hAnsi="Arial"/>
          <w:sz w:val="22"/>
          <w:szCs w:val="22"/>
        </w:rPr>
        <w:t xml:space="preserve">listed on the PBS which are also available for over the counter (OTC) purchase, and to advise which of those items </w:t>
      </w:r>
      <w:r w:rsidR="00C23148">
        <w:rPr>
          <w:rFonts w:ascii="Arial" w:hAnsi="Arial"/>
          <w:sz w:val="22"/>
          <w:szCs w:val="22"/>
        </w:rPr>
        <w:t xml:space="preserve">it </w:t>
      </w:r>
      <w:r w:rsidR="00B72540">
        <w:rPr>
          <w:rFonts w:ascii="Arial" w:hAnsi="Arial"/>
          <w:sz w:val="22"/>
          <w:szCs w:val="22"/>
        </w:rPr>
        <w:t>may be appropriate</w:t>
      </w:r>
      <w:r w:rsidR="00882344">
        <w:rPr>
          <w:rFonts w:ascii="Arial" w:hAnsi="Arial"/>
          <w:sz w:val="22"/>
          <w:szCs w:val="22"/>
        </w:rPr>
        <w:t xml:space="preserve"> </w:t>
      </w:r>
      <w:r w:rsidR="00C23148">
        <w:rPr>
          <w:rFonts w:ascii="Arial" w:hAnsi="Arial"/>
          <w:sz w:val="22"/>
          <w:szCs w:val="22"/>
        </w:rPr>
        <w:t>to</w:t>
      </w:r>
      <w:r w:rsidR="0047064A">
        <w:rPr>
          <w:rFonts w:ascii="Arial" w:hAnsi="Arial"/>
          <w:sz w:val="22"/>
          <w:szCs w:val="22"/>
        </w:rPr>
        <w:t xml:space="preserve"> remove from the PBS.</w:t>
      </w:r>
    </w:p>
    <w:p w:rsidR="009F4A52" w:rsidRDefault="009F4A52" w:rsidP="00D14026">
      <w:pPr>
        <w:pStyle w:val="ListParagraph"/>
        <w:jc w:val="both"/>
        <w:rPr>
          <w:rFonts w:ascii="Arial" w:hAnsi="Arial"/>
          <w:sz w:val="22"/>
          <w:szCs w:val="22"/>
        </w:rPr>
      </w:pPr>
    </w:p>
    <w:p w:rsidR="009F4A52" w:rsidRDefault="009F4A52" w:rsidP="00D14026">
      <w:pPr>
        <w:pStyle w:val="ListParagraph"/>
        <w:jc w:val="both"/>
        <w:rPr>
          <w:rFonts w:ascii="Arial" w:hAnsi="Arial"/>
          <w:sz w:val="22"/>
          <w:szCs w:val="22"/>
        </w:rPr>
      </w:pPr>
      <w:r w:rsidRPr="009F4A52">
        <w:rPr>
          <w:rFonts w:ascii="Arial" w:hAnsi="Arial"/>
          <w:sz w:val="22"/>
          <w:szCs w:val="22"/>
        </w:rPr>
        <w:t xml:space="preserve">For any OTC product that the PBAC considers may be removed from the PBS, the PBAC is requested to provide advice to the Minister under s101(4AAB) of the </w:t>
      </w:r>
      <w:r w:rsidRPr="009F4A52">
        <w:rPr>
          <w:rFonts w:ascii="Arial" w:hAnsi="Arial"/>
          <w:i/>
          <w:iCs/>
          <w:sz w:val="22"/>
          <w:szCs w:val="22"/>
        </w:rPr>
        <w:t>National Health Act 1953</w:t>
      </w:r>
      <w:r w:rsidRPr="009F4A52">
        <w:rPr>
          <w:rFonts w:ascii="Arial" w:hAnsi="Arial"/>
          <w:sz w:val="22"/>
          <w:szCs w:val="22"/>
        </w:rPr>
        <w:t xml:space="preserve"> (Act) in relation to the proposed revocation of the declaration that this is a drug to which Part VII of the Act applies.</w:t>
      </w:r>
    </w:p>
    <w:p w:rsidR="005406F0" w:rsidRPr="00D14026" w:rsidRDefault="005406F0" w:rsidP="00D14026">
      <w:pPr>
        <w:pStyle w:val="ListParagraph"/>
        <w:jc w:val="both"/>
        <w:rPr>
          <w:rFonts w:ascii="Arial" w:hAnsi="Arial"/>
          <w:sz w:val="22"/>
          <w:szCs w:val="22"/>
        </w:rPr>
      </w:pPr>
    </w:p>
    <w:p w:rsidR="005406F0" w:rsidRPr="00882085" w:rsidRDefault="005406F0" w:rsidP="00882085">
      <w:pPr>
        <w:jc w:val="both"/>
        <w:rPr>
          <w:rFonts w:ascii="Arial" w:hAnsi="Arial"/>
          <w:b/>
          <w:sz w:val="22"/>
          <w:szCs w:val="22"/>
        </w:rPr>
      </w:pPr>
    </w:p>
    <w:p w:rsidR="00CE10C4" w:rsidRPr="00882085" w:rsidRDefault="00CE10C4" w:rsidP="00EC6904">
      <w:pPr>
        <w:pStyle w:val="ListParagraph"/>
        <w:numPr>
          <w:ilvl w:val="0"/>
          <w:numId w:val="1"/>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47064A" w:rsidRDefault="006C49E1" w:rsidP="006C49E1">
      <w:pPr>
        <w:pStyle w:val="ListParagraph"/>
        <w:numPr>
          <w:ilvl w:val="1"/>
          <w:numId w:val="1"/>
        </w:numPr>
        <w:jc w:val="both"/>
        <w:rPr>
          <w:rFonts w:ascii="Arial" w:hAnsi="Arial"/>
          <w:sz w:val="22"/>
          <w:szCs w:val="22"/>
        </w:rPr>
      </w:pPr>
      <w:r>
        <w:rPr>
          <w:rFonts w:ascii="Arial" w:hAnsi="Arial"/>
          <w:sz w:val="22"/>
          <w:szCs w:val="22"/>
        </w:rPr>
        <w:t xml:space="preserve">At the April 2015 special meeting, the PBAC </w:t>
      </w:r>
      <w:r w:rsidRPr="006C49E1">
        <w:rPr>
          <w:rFonts w:ascii="Arial" w:hAnsi="Arial"/>
          <w:sz w:val="22"/>
          <w:szCs w:val="22"/>
        </w:rPr>
        <w:t>considered principles to apply to identifying OTC drugs that could be de</w:t>
      </w:r>
      <w:r w:rsidR="00087E96">
        <w:rPr>
          <w:rFonts w:ascii="Arial" w:hAnsi="Arial"/>
          <w:sz w:val="22"/>
          <w:szCs w:val="22"/>
        </w:rPr>
        <w:t>-</w:t>
      </w:r>
      <w:r w:rsidRPr="006C49E1">
        <w:rPr>
          <w:rFonts w:ascii="Arial" w:hAnsi="Arial"/>
          <w:sz w:val="22"/>
          <w:szCs w:val="22"/>
        </w:rPr>
        <w:t>listed</w:t>
      </w:r>
      <w:r w:rsidR="00087E96">
        <w:rPr>
          <w:rFonts w:ascii="Arial" w:hAnsi="Arial"/>
          <w:sz w:val="22"/>
          <w:szCs w:val="22"/>
        </w:rPr>
        <w:t xml:space="preserve"> from the PBS</w:t>
      </w:r>
      <w:r w:rsidRPr="006C49E1">
        <w:rPr>
          <w:rFonts w:ascii="Arial" w:hAnsi="Arial"/>
          <w:sz w:val="22"/>
          <w:szCs w:val="22"/>
        </w:rPr>
        <w:t>.</w:t>
      </w:r>
      <w:r>
        <w:rPr>
          <w:rFonts w:ascii="Arial" w:hAnsi="Arial"/>
          <w:sz w:val="22"/>
          <w:szCs w:val="22"/>
        </w:rPr>
        <w:t xml:space="preserve"> </w:t>
      </w:r>
    </w:p>
    <w:p w:rsidR="009C4743" w:rsidRDefault="009C4743" w:rsidP="009C4743">
      <w:pPr>
        <w:pStyle w:val="ListParagraph"/>
        <w:jc w:val="bot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The PBAC </w:t>
      </w:r>
      <w:r>
        <w:rPr>
          <w:rFonts w:ascii="Arial" w:hAnsi="Arial"/>
          <w:sz w:val="22"/>
          <w:szCs w:val="22"/>
        </w:rPr>
        <w:t xml:space="preserve">applied the following </w:t>
      </w:r>
      <w:r w:rsidRPr="009C4743">
        <w:rPr>
          <w:rFonts w:ascii="Arial" w:hAnsi="Arial"/>
          <w:sz w:val="22"/>
          <w:szCs w:val="22"/>
        </w:rPr>
        <w:t>principles were applied in identifying drugs to be proposed for delisting:</w:t>
      </w:r>
    </w:p>
    <w:p w:rsidR="009C4743" w:rsidRPr="009C4743" w:rsidRDefault="009C4743" w:rsidP="009C4743">
      <w:pPr>
        <w:pStyle w:val="ListParagraph"/>
        <w:numPr>
          <w:ilvl w:val="0"/>
          <w:numId w:val="16"/>
        </w:numPr>
        <w:jc w:val="both"/>
        <w:rPr>
          <w:rFonts w:ascii="Arial" w:hAnsi="Arial"/>
          <w:sz w:val="22"/>
          <w:szCs w:val="22"/>
        </w:rPr>
      </w:pPr>
      <w:r w:rsidRPr="009C4743">
        <w:rPr>
          <w:rFonts w:ascii="Arial" w:hAnsi="Arial"/>
          <w:sz w:val="22"/>
          <w:szCs w:val="22"/>
        </w:rPr>
        <w:t>Schedule 2 or 3 OTC medicine;</w:t>
      </w:r>
    </w:p>
    <w:p w:rsidR="009C4743" w:rsidRPr="009C4743" w:rsidRDefault="009C4743" w:rsidP="009C4743">
      <w:pPr>
        <w:pStyle w:val="ListParagraph"/>
        <w:numPr>
          <w:ilvl w:val="0"/>
          <w:numId w:val="16"/>
        </w:numPr>
        <w:jc w:val="both"/>
        <w:rPr>
          <w:rFonts w:ascii="Arial" w:hAnsi="Arial"/>
          <w:sz w:val="22"/>
          <w:szCs w:val="22"/>
        </w:rPr>
      </w:pPr>
      <w:r w:rsidRPr="009C4743">
        <w:rPr>
          <w:rFonts w:ascii="Arial" w:hAnsi="Arial"/>
          <w:sz w:val="22"/>
          <w:szCs w:val="22"/>
        </w:rPr>
        <w:t>Low ex-manufacturer price, where access is unlikely to change appreciably in the absence of PBS subsidy;</w:t>
      </w:r>
    </w:p>
    <w:p w:rsidR="009C4743" w:rsidRPr="009C4743" w:rsidRDefault="009C4743" w:rsidP="009C4743">
      <w:pPr>
        <w:pStyle w:val="ListParagraph"/>
        <w:numPr>
          <w:ilvl w:val="0"/>
          <w:numId w:val="16"/>
        </w:numPr>
        <w:jc w:val="both"/>
        <w:rPr>
          <w:rFonts w:ascii="Arial" w:hAnsi="Arial"/>
          <w:sz w:val="22"/>
          <w:szCs w:val="22"/>
        </w:rPr>
      </w:pPr>
      <w:r w:rsidRPr="009C4743">
        <w:rPr>
          <w:rFonts w:ascii="Arial" w:hAnsi="Arial"/>
          <w:sz w:val="22"/>
          <w:szCs w:val="22"/>
        </w:rPr>
        <w:t>Products unlikely to be highly reliant on specialist prescribing and management;</w:t>
      </w:r>
    </w:p>
    <w:p w:rsidR="009C4743" w:rsidRPr="009C4743" w:rsidRDefault="009C4743" w:rsidP="009C4743">
      <w:pPr>
        <w:pStyle w:val="ListParagraph"/>
        <w:numPr>
          <w:ilvl w:val="0"/>
          <w:numId w:val="16"/>
        </w:numPr>
        <w:rPr>
          <w:rFonts w:ascii="Arial" w:hAnsi="Arial"/>
          <w:sz w:val="22"/>
          <w:szCs w:val="22"/>
        </w:rPr>
      </w:pPr>
      <w:r w:rsidRPr="009C4743">
        <w:rPr>
          <w:rFonts w:ascii="Arial" w:hAnsi="Arial"/>
          <w:sz w:val="22"/>
          <w:szCs w:val="22"/>
        </w:rPr>
        <w:t>Products where the PBAC has previously considered that the evidence for the current arrangements for subsidy may not be conclusive (e.g. blood glucose test strips).</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The </w:t>
      </w:r>
      <w:r>
        <w:rPr>
          <w:rFonts w:ascii="Arial" w:hAnsi="Arial"/>
          <w:sz w:val="22"/>
          <w:szCs w:val="22"/>
        </w:rPr>
        <w:t xml:space="preserve">PBAC applied the </w:t>
      </w:r>
      <w:r w:rsidRPr="009C4743">
        <w:rPr>
          <w:rFonts w:ascii="Arial" w:hAnsi="Arial"/>
          <w:sz w:val="22"/>
          <w:szCs w:val="22"/>
        </w:rPr>
        <w:t>following principles in identifying drugs that may be considered for retention on the PBS:</w:t>
      </w:r>
    </w:p>
    <w:p w:rsidR="009C4743" w:rsidRPr="009C4743" w:rsidRDefault="009C4743" w:rsidP="009C4743">
      <w:pPr>
        <w:pStyle w:val="ListParagraph"/>
        <w:numPr>
          <w:ilvl w:val="0"/>
          <w:numId w:val="17"/>
        </w:numPr>
        <w:rPr>
          <w:rFonts w:ascii="Arial" w:hAnsi="Arial"/>
          <w:sz w:val="22"/>
          <w:szCs w:val="22"/>
        </w:rPr>
      </w:pPr>
      <w:r w:rsidRPr="009C4743">
        <w:rPr>
          <w:rFonts w:ascii="Arial" w:hAnsi="Arial"/>
          <w:sz w:val="22"/>
          <w:szCs w:val="22"/>
        </w:rPr>
        <w:t>High ex-manufacturer price, likely to prevent access by patients in the absence of PBS subsidy;</w:t>
      </w:r>
    </w:p>
    <w:p w:rsidR="009C4743" w:rsidRPr="009C4743" w:rsidRDefault="009C4743" w:rsidP="009C4743">
      <w:pPr>
        <w:pStyle w:val="ListParagraph"/>
        <w:numPr>
          <w:ilvl w:val="0"/>
          <w:numId w:val="17"/>
        </w:numPr>
        <w:rPr>
          <w:rFonts w:ascii="Arial" w:hAnsi="Arial"/>
          <w:sz w:val="22"/>
          <w:szCs w:val="22"/>
        </w:rPr>
      </w:pPr>
      <w:r w:rsidRPr="009C4743">
        <w:rPr>
          <w:rFonts w:ascii="Arial" w:hAnsi="Arial"/>
          <w:sz w:val="22"/>
          <w:szCs w:val="22"/>
        </w:rPr>
        <w:t>Drugs for urgent or emergency situations, where the fewest possible barriers to access should be maintained;</w:t>
      </w:r>
    </w:p>
    <w:p w:rsidR="009C4743" w:rsidRPr="009C4743" w:rsidRDefault="009C4743" w:rsidP="009C4743">
      <w:pPr>
        <w:pStyle w:val="ListParagraph"/>
        <w:numPr>
          <w:ilvl w:val="0"/>
          <w:numId w:val="17"/>
        </w:numPr>
        <w:rPr>
          <w:rFonts w:ascii="Arial" w:hAnsi="Arial"/>
          <w:sz w:val="22"/>
          <w:szCs w:val="22"/>
        </w:rPr>
      </w:pPr>
      <w:r w:rsidRPr="009C4743">
        <w:rPr>
          <w:rFonts w:ascii="Arial" w:hAnsi="Arial"/>
          <w:sz w:val="22"/>
          <w:szCs w:val="22"/>
        </w:rPr>
        <w:t xml:space="preserve">Products that are considered OTC only because they are not Scheduled medicines, but are unlikely to be purchased OTC; </w:t>
      </w:r>
    </w:p>
    <w:p w:rsidR="009C4743" w:rsidRPr="009C4743" w:rsidRDefault="009C4743" w:rsidP="009C4743">
      <w:pPr>
        <w:pStyle w:val="ListParagraph"/>
        <w:numPr>
          <w:ilvl w:val="0"/>
          <w:numId w:val="17"/>
        </w:numPr>
        <w:rPr>
          <w:rFonts w:ascii="Arial" w:hAnsi="Arial"/>
          <w:sz w:val="22"/>
          <w:szCs w:val="22"/>
        </w:rPr>
      </w:pPr>
      <w:r w:rsidRPr="009C4743">
        <w:rPr>
          <w:rFonts w:ascii="Arial" w:hAnsi="Arial"/>
          <w:sz w:val="22"/>
          <w:szCs w:val="22"/>
        </w:rPr>
        <w:t>Drugs listed on the Palliative Care Schedule or with listings pertaining to Aboriginal or Torres Strait Islander patients.</w:t>
      </w:r>
    </w:p>
    <w:p w:rsidR="000F1E4D" w:rsidRDefault="000F1E4D" w:rsidP="002E588B">
      <w:pPr>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The PBAC advised that the following categories of PBS listed OTC drugs were essential and should be retained on the PBS:</w:t>
      </w:r>
    </w:p>
    <w:p w:rsidR="009C4743" w:rsidRPr="009C4743" w:rsidRDefault="009C4743" w:rsidP="009C4743">
      <w:pPr>
        <w:pStyle w:val="ListParagraph"/>
        <w:jc w:val="bot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Drugs for emergency situations – The PBAC noted that some of these items would not be expensive for patients to purchase without subsidy.  However, the PBAC </w:t>
      </w:r>
      <w:r w:rsidRPr="009C4743">
        <w:rPr>
          <w:rFonts w:ascii="Arial" w:hAnsi="Arial"/>
          <w:sz w:val="22"/>
          <w:szCs w:val="22"/>
        </w:rPr>
        <w:lastRenderedPageBreak/>
        <w:t>considered that the importance of unhindered access to these products required their retention on the PBS</w:t>
      </w:r>
      <w:r>
        <w:rPr>
          <w:rFonts w:ascii="Arial" w:hAnsi="Arial"/>
          <w:sz w:val="22"/>
          <w:szCs w:val="22"/>
        </w:rPr>
        <w:t>:</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Adrenaline</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Glucagon</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Glyceryl Trinitrate</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Isosorbide Dinitrate</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Salbutamol</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Theophylline</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Terbutaline</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Nicotine Replacement Therapy – NRT patches were added to the PBS in 2011 following a submission from of a consortium of not-for-profit organisations. The PBAC recalled that listing was recommended in the context of a public health priority area, noting that reduction of chronic disease caused by smoking is </w:t>
      </w:r>
      <w:r>
        <w:rPr>
          <w:rFonts w:ascii="Arial" w:hAnsi="Arial"/>
          <w:sz w:val="22"/>
          <w:szCs w:val="22"/>
        </w:rPr>
        <w:t>a</w:t>
      </w:r>
      <w:r w:rsidRPr="009C4743">
        <w:rPr>
          <w:rFonts w:ascii="Arial" w:hAnsi="Arial"/>
          <w:sz w:val="22"/>
          <w:szCs w:val="22"/>
        </w:rPr>
        <w:t xml:space="preserve"> key focus of the national health taskforce on prevention.  The PBAC considered that removal of NRT from the PBS would be a retrograde step in addressing a public health need.</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Listings on the Palliative Care Schedule - the Palliative Care Schedule was created in 2011 to provide for patients with “…</w:t>
      </w:r>
      <w:r w:rsidRPr="009C4743">
        <w:rPr>
          <w:rFonts w:ascii="Arial" w:hAnsi="Arial"/>
          <w:i/>
          <w:iCs/>
          <w:sz w:val="22"/>
          <w:szCs w:val="22"/>
        </w:rPr>
        <w:t xml:space="preserve">an active, progressive, far-advanced disease for whom the prognosis is limited and the focus of care is the quality of life.”  </w:t>
      </w:r>
      <w:r w:rsidRPr="009C4743">
        <w:rPr>
          <w:rFonts w:ascii="Arial" w:hAnsi="Arial"/>
          <w:iCs/>
          <w:sz w:val="22"/>
          <w:szCs w:val="22"/>
        </w:rPr>
        <w:t xml:space="preserve">Streamlined listings provide </w:t>
      </w:r>
      <w:r w:rsidRPr="009C4743">
        <w:rPr>
          <w:rFonts w:ascii="Arial" w:hAnsi="Arial"/>
          <w:sz w:val="22"/>
          <w:szCs w:val="22"/>
        </w:rPr>
        <w:t xml:space="preserve">maximum quantities and repeats sufficient for up to 4 months' therapy in total, with consultation with a palliative care physician or service required to access increased repeats for </w:t>
      </w:r>
      <w:r w:rsidRPr="009C4743">
        <w:rPr>
          <w:rFonts w:ascii="Arial" w:hAnsi="Arial"/>
          <w:iCs/>
          <w:sz w:val="22"/>
          <w:szCs w:val="22"/>
        </w:rPr>
        <w:t>continuing</w:t>
      </w:r>
      <w:r w:rsidRPr="009C4743">
        <w:rPr>
          <w:rFonts w:ascii="Arial" w:hAnsi="Arial"/>
          <w:sz w:val="22"/>
          <w:szCs w:val="22"/>
        </w:rPr>
        <w:t xml:space="preserve"> treatment.  Where products listed in the Palliative Care Schedule also having a dual listing in the General Schedule, the PBAC recommended retaining only the Palliative Care listing:</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Benzydamine mouthwash (dual listing)</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 xml:space="preserve">Bisacodyl suppositories, enemas and tablets (dual listings) </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Glycerol suppositories (dual listings)</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Ibuprofen tablets 400mg, 30 (dual listings)</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Lactulose mixture (dual listings)</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Macrogol and macrogol+sodium chloride+potassium chloride+bicarbonate liquid</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Paracetamol suppositories (Palliative care only) and 665mg modified release tablets (dual listing)</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Rhamnus frangula + sterculia (Normacol Plus®) granules (dual listing)</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Sorbitol + citrate + lauryl sulfoacetate sodium enemas (Microlax®, Microlette®) (dual listings)</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Nutritional products - these products are used to manage conditions such as tyrosinaemia, glutaric aciduria type 1</w:t>
      </w:r>
      <w:r w:rsidR="00491C10">
        <w:rPr>
          <w:rFonts w:ascii="Arial" w:hAnsi="Arial"/>
          <w:sz w:val="22"/>
          <w:szCs w:val="22"/>
        </w:rPr>
        <w:t xml:space="preserve"> and methylmalonic acidaemia. </w:t>
      </w:r>
      <w:r w:rsidRPr="009C4743">
        <w:rPr>
          <w:rFonts w:ascii="Arial" w:hAnsi="Arial"/>
          <w:sz w:val="22"/>
          <w:szCs w:val="22"/>
        </w:rPr>
        <w:t>The PBAC noted that the ex-manufacturer price for these formulae can be in excess of $3,000 for a one month supply, and considered that delisting could effectively make them unavailable for many Australian patients.</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OTC listings for patients of Aboriginal or Torres Strait Islander (ATSI) background - the PBAC considered that retention of these products was essential to efforts to improve delivery of healthcare to ATSI patients: </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NRT 21mg/24hour and 25mg/16hour patches</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Ketoconazole cream and shampoo</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Miconazole cream and solution</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Nystatin cream</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Terbinafine cream</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Thiamine tablets</w:t>
      </w:r>
    </w:p>
    <w:p w:rsidR="009C4743" w:rsidRPr="009C4743" w:rsidRDefault="009C4743" w:rsidP="009C4743">
      <w:pPr>
        <w:pStyle w:val="ListParagraph"/>
        <w:numPr>
          <w:ilvl w:val="1"/>
          <w:numId w:val="18"/>
        </w:numPr>
        <w:rPr>
          <w:rFonts w:ascii="Arial" w:hAnsi="Arial"/>
          <w:sz w:val="22"/>
          <w:szCs w:val="22"/>
        </w:rPr>
      </w:pPr>
      <w:r w:rsidRPr="009C4743">
        <w:rPr>
          <w:rFonts w:ascii="Arial" w:hAnsi="Arial"/>
          <w:sz w:val="22"/>
          <w:szCs w:val="22"/>
        </w:rPr>
        <w:t>Magnesium asparate tablets</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PBS listed products intended for IV delivery – the PBAC considered that maintaining the availability of these products was essential, and considered it unlikely that patients would seek to obtain these products by OTC purchase should they be removed from the PBS: </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Electrolyte replacement, solution</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Glucose</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Gelatin – succinylated</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Hydroxyethyl starch 130/0.4</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Sodium chloride</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Sodium chloride with glucose</w:t>
      </w:r>
    </w:p>
    <w:p w:rsidR="009C4743" w:rsidRPr="009C4743" w:rsidRDefault="009C4743" w:rsidP="009C4743">
      <w:pPr>
        <w:pStyle w:val="ListParagraph"/>
        <w:numPr>
          <w:ilvl w:val="0"/>
          <w:numId w:val="19"/>
        </w:numPr>
        <w:rPr>
          <w:rFonts w:ascii="Arial" w:hAnsi="Arial"/>
          <w:sz w:val="22"/>
          <w:szCs w:val="22"/>
        </w:rPr>
      </w:pPr>
      <w:r w:rsidRPr="009C4743">
        <w:rPr>
          <w:rFonts w:ascii="Arial" w:hAnsi="Arial"/>
          <w:sz w:val="22"/>
          <w:szCs w:val="22"/>
        </w:rPr>
        <w:t>Sodium lactate compound</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numPr>
          <w:ilvl w:val="1"/>
          <w:numId w:val="1"/>
        </w:numPr>
        <w:rPr>
          <w:rFonts w:ascii="Arial" w:hAnsi="Arial"/>
          <w:sz w:val="22"/>
          <w:szCs w:val="22"/>
        </w:rPr>
      </w:pPr>
      <w:r w:rsidRPr="009C4743">
        <w:rPr>
          <w:rFonts w:ascii="Arial" w:hAnsi="Arial"/>
          <w:sz w:val="22"/>
          <w:szCs w:val="22"/>
        </w:rPr>
        <w:t xml:space="preserve">Folic Acid 0.5mg – The PBAC recommended retaining of folic acid 0.5mg as a Restricted Benefit listing for Aboriginal or Torres Strait Islander patients. </w:t>
      </w:r>
    </w:p>
    <w:p w:rsidR="009C4743" w:rsidRPr="009C4743" w:rsidRDefault="009C4743" w:rsidP="009C4743">
      <w:pPr>
        <w:pStyle w:val="ListParagraph"/>
        <w:rPr>
          <w:rFonts w:ascii="Arial" w:hAnsi="Arial"/>
          <w:sz w:val="22"/>
          <w:szCs w:val="22"/>
        </w:rPr>
      </w:pPr>
    </w:p>
    <w:p w:rsidR="009C4743" w:rsidRPr="009C4743" w:rsidRDefault="009C4743" w:rsidP="009C4743">
      <w:pPr>
        <w:pStyle w:val="ListParagraph"/>
        <w:rPr>
          <w:rFonts w:ascii="Arial" w:hAnsi="Arial"/>
          <w:sz w:val="22"/>
          <w:szCs w:val="22"/>
          <w:u w:val="single"/>
        </w:rPr>
      </w:pPr>
      <w:r w:rsidRPr="009C4743">
        <w:rPr>
          <w:rFonts w:ascii="Arial" w:hAnsi="Arial"/>
          <w:sz w:val="22"/>
          <w:szCs w:val="22"/>
          <w:u w:val="single"/>
        </w:rPr>
        <w:t>Recommendations to retain products on the PBS due to high cost</w:t>
      </w:r>
    </w:p>
    <w:p w:rsidR="009C4743" w:rsidRPr="009C4743" w:rsidRDefault="009C4743" w:rsidP="009C4743">
      <w:pPr>
        <w:pStyle w:val="ListParagraph"/>
        <w:rPr>
          <w:rFonts w:ascii="Arial" w:hAnsi="Arial"/>
          <w:sz w:val="22"/>
          <w:szCs w:val="22"/>
        </w:rPr>
      </w:pPr>
    </w:p>
    <w:p w:rsidR="009C4743" w:rsidRDefault="009C4743" w:rsidP="009C4743">
      <w:pPr>
        <w:pStyle w:val="ListParagraph"/>
        <w:numPr>
          <w:ilvl w:val="1"/>
          <w:numId w:val="1"/>
        </w:numPr>
        <w:rPr>
          <w:rFonts w:ascii="Arial" w:hAnsi="Arial"/>
          <w:sz w:val="22"/>
          <w:szCs w:val="22"/>
        </w:rPr>
      </w:pPr>
      <w:r w:rsidRPr="009C4743">
        <w:rPr>
          <w:rFonts w:ascii="Arial" w:hAnsi="Arial"/>
          <w:sz w:val="22"/>
          <w:szCs w:val="22"/>
        </w:rPr>
        <w:t>The PBAC advised that where the ex-manufacturer price of an OTC product is over the PBS Concessional co-payment, it should remain on the PBS.  The PBAC considered that this approach would retain access to products that, without PBS subsidy, may be unaffordable for many patients.</w:t>
      </w:r>
    </w:p>
    <w:p w:rsidR="001C3107" w:rsidRPr="009C4743" w:rsidRDefault="001C3107" w:rsidP="001C3107">
      <w:pPr>
        <w:pStyle w:val="ListParagraph"/>
        <w:rPr>
          <w:rFonts w:ascii="Arial" w:hAnsi="Arial"/>
          <w:sz w:val="22"/>
          <w:szCs w:val="22"/>
        </w:rPr>
      </w:pPr>
    </w:p>
    <w:p w:rsidR="009C4743" w:rsidRDefault="009C4743" w:rsidP="002E588B">
      <w:pPr>
        <w:rPr>
          <w:rFonts w:ascii="Arial" w:hAnsi="Arial"/>
          <w:sz w:val="22"/>
          <w:szCs w:val="22"/>
        </w:rPr>
      </w:pPr>
    </w:p>
    <w:p w:rsidR="005A3173" w:rsidRPr="00882085" w:rsidRDefault="001022FC" w:rsidP="00EC6904">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PBAC discussion</w:t>
      </w:r>
    </w:p>
    <w:p w:rsidR="003E33F6" w:rsidRDefault="003E33F6" w:rsidP="003E33F6">
      <w:pPr>
        <w:pStyle w:val="ListParagraph"/>
        <w:jc w:val="both"/>
        <w:rPr>
          <w:rFonts w:ascii="Arial" w:hAnsi="Arial"/>
          <w:sz w:val="22"/>
          <w:szCs w:val="22"/>
        </w:rPr>
      </w:pPr>
    </w:p>
    <w:p w:rsidR="00F740F9" w:rsidRPr="00F740F9" w:rsidRDefault="001022FC" w:rsidP="00601E7C">
      <w:pPr>
        <w:pStyle w:val="ListParagraph"/>
        <w:numPr>
          <w:ilvl w:val="1"/>
          <w:numId w:val="1"/>
        </w:numPr>
        <w:jc w:val="both"/>
        <w:rPr>
          <w:rFonts w:ascii="Arial" w:hAnsi="Arial"/>
          <w:i/>
          <w:sz w:val="22"/>
          <w:szCs w:val="22"/>
        </w:rPr>
      </w:pPr>
      <w:r>
        <w:rPr>
          <w:rFonts w:ascii="Arial" w:hAnsi="Arial"/>
          <w:sz w:val="22"/>
          <w:szCs w:val="22"/>
        </w:rPr>
        <w:t xml:space="preserve">The PBAC noted the products </w:t>
      </w:r>
      <w:r w:rsidR="00F740F9">
        <w:rPr>
          <w:rFonts w:ascii="Arial" w:hAnsi="Arial"/>
          <w:sz w:val="22"/>
          <w:szCs w:val="22"/>
        </w:rPr>
        <w:t>that</w:t>
      </w:r>
      <w:r w:rsidR="001C3C64">
        <w:rPr>
          <w:rFonts w:ascii="Arial" w:hAnsi="Arial"/>
          <w:sz w:val="22"/>
          <w:szCs w:val="22"/>
        </w:rPr>
        <w:t xml:space="preserve"> </w:t>
      </w:r>
      <w:r>
        <w:rPr>
          <w:rFonts w:ascii="Arial" w:hAnsi="Arial"/>
          <w:sz w:val="22"/>
          <w:szCs w:val="22"/>
        </w:rPr>
        <w:t>had been identified for de-listing</w:t>
      </w:r>
      <w:r w:rsidR="00F740F9">
        <w:rPr>
          <w:rFonts w:ascii="Arial" w:hAnsi="Arial"/>
          <w:sz w:val="22"/>
          <w:szCs w:val="22"/>
        </w:rPr>
        <w:t>.</w:t>
      </w:r>
      <w:r w:rsidR="00601E7C">
        <w:rPr>
          <w:rFonts w:ascii="Arial" w:hAnsi="Arial"/>
          <w:sz w:val="22"/>
          <w:szCs w:val="22"/>
        </w:rPr>
        <w:t xml:space="preserve"> </w:t>
      </w:r>
    </w:p>
    <w:p w:rsidR="00F740F9" w:rsidRDefault="00F740F9" w:rsidP="00F740F9">
      <w:pPr>
        <w:pStyle w:val="ListParagraph"/>
        <w:jc w:val="both"/>
        <w:rPr>
          <w:rFonts w:ascii="Arial" w:hAnsi="Arial"/>
          <w:i/>
          <w:sz w:val="22"/>
          <w:szCs w:val="22"/>
        </w:rPr>
      </w:pPr>
    </w:p>
    <w:p w:rsidR="001C3C64" w:rsidRPr="00601E7C" w:rsidRDefault="00601E7C" w:rsidP="00F740F9">
      <w:pPr>
        <w:pStyle w:val="ListParagraph"/>
        <w:jc w:val="both"/>
        <w:rPr>
          <w:rFonts w:ascii="Arial" w:hAnsi="Arial"/>
          <w:i/>
          <w:sz w:val="22"/>
          <w:szCs w:val="22"/>
        </w:rPr>
      </w:pPr>
      <w:r>
        <w:rPr>
          <w:rFonts w:ascii="Arial" w:hAnsi="Arial"/>
          <w:i/>
          <w:sz w:val="22"/>
          <w:szCs w:val="22"/>
        </w:rPr>
        <w:t>A full list of products will be published at a later date</w:t>
      </w:r>
      <w:r w:rsidR="00F740F9">
        <w:rPr>
          <w:rFonts w:ascii="Arial" w:hAnsi="Arial"/>
          <w:i/>
          <w:sz w:val="22"/>
          <w:szCs w:val="22"/>
        </w:rPr>
        <w:t>, separate from the Public Summary Document.</w:t>
      </w:r>
    </w:p>
    <w:p w:rsidR="001C3C64" w:rsidRDefault="001C3C64" w:rsidP="003227FA">
      <w:pPr>
        <w:pStyle w:val="ListParagraph"/>
        <w:jc w:val="both"/>
        <w:rPr>
          <w:rFonts w:ascii="Arial" w:hAnsi="Arial"/>
          <w:sz w:val="22"/>
          <w:szCs w:val="22"/>
        </w:rPr>
      </w:pPr>
    </w:p>
    <w:p w:rsidR="003227FA" w:rsidRDefault="003227FA" w:rsidP="008E73DE">
      <w:pPr>
        <w:pStyle w:val="ListParagraph"/>
        <w:numPr>
          <w:ilvl w:val="1"/>
          <w:numId w:val="1"/>
        </w:numPr>
        <w:jc w:val="both"/>
        <w:rPr>
          <w:rFonts w:ascii="Arial" w:hAnsi="Arial"/>
          <w:sz w:val="22"/>
          <w:szCs w:val="22"/>
        </w:rPr>
      </w:pPr>
      <w:r>
        <w:rPr>
          <w:rFonts w:ascii="Arial" w:hAnsi="Arial"/>
          <w:sz w:val="22"/>
          <w:szCs w:val="22"/>
        </w:rPr>
        <w:t xml:space="preserve">This list is based on </w:t>
      </w:r>
      <w:r w:rsidR="00087E96">
        <w:rPr>
          <w:rFonts w:ascii="Arial" w:hAnsi="Arial"/>
          <w:sz w:val="22"/>
          <w:szCs w:val="22"/>
        </w:rPr>
        <w:t xml:space="preserve">OTC items that have an ex-manufacturer price below the </w:t>
      </w:r>
      <w:r w:rsidR="00BB6C2F">
        <w:rPr>
          <w:rFonts w:ascii="Arial" w:hAnsi="Arial"/>
          <w:sz w:val="22"/>
          <w:szCs w:val="22"/>
        </w:rPr>
        <w:t xml:space="preserve">2015 </w:t>
      </w:r>
      <w:r w:rsidR="00087E96">
        <w:rPr>
          <w:rFonts w:ascii="Arial" w:hAnsi="Arial"/>
          <w:sz w:val="22"/>
          <w:szCs w:val="22"/>
        </w:rPr>
        <w:t xml:space="preserve">concessional co-payment ($6.10) </w:t>
      </w:r>
      <w:r w:rsidR="00087E96" w:rsidRPr="00BB6C2F">
        <w:rPr>
          <w:rFonts w:ascii="Arial" w:hAnsi="Arial"/>
          <w:sz w:val="22"/>
          <w:szCs w:val="22"/>
        </w:rPr>
        <w:t xml:space="preserve">per pack. The list excludes categories of </w:t>
      </w:r>
      <w:r w:rsidR="0040625E" w:rsidRPr="00BB6C2F">
        <w:rPr>
          <w:rFonts w:ascii="Arial" w:hAnsi="Arial"/>
          <w:sz w:val="22"/>
          <w:szCs w:val="22"/>
        </w:rPr>
        <w:t xml:space="preserve">OTC </w:t>
      </w:r>
      <w:r w:rsidR="00087E96" w:rsidRPr="00BB6C2F">
        <w:rPr>
          <w:rFonts w:ascii="Arial" w:hAnsi="Arial"/>
          <w:sz w:val="22"/>
          <w:szCs w:val="22"/>
        </w:rPr>
        <w:t>products that the PBAC considered should</w:t>
      </w:r>
      <w:r w:rsidR="00087E96">
        <w:rPr>
          <w:rFonts w:ascii="Arial" w:hAnsi="Arial"/>
          <w:sz w:val="22"/>
          <w:szCs w:val="22"/>
        </w:rPr>
        <w:t xml:space="preserve"> be retained on the PBS.</w:t>
      </w:r>
    </w:p>
    <w:p w:rsidR="00096937" w:rsidRPr="00096937" w:rsidRDefault="00096937" w:rsidP="00096937">
      <w:pPr>
        <w:pStyle w:val="ListParagraph"/>
        <w:rPr>
          <w:rFonts w:ascii="Arial" w:hAnsi="Arial"/>
          <w:sz w:val="22"/>
          <w:szCs w:val="22"/>
        </w:rPr>
      </w:pPr>
    </w:p>
    <w:p w:rsidR="00096937" w:rsidRDefault="00096937" w:rsidP="00096937">
      <w:pPr>
        <w:pStyle w:val="ListParagraph"/>
        <w:numPr>
          <w:ilvl w:val="1"/>
          <w:numId w:val="1"/>
        </w:numPr>
        <w:jc w:val="both"/>
        <w:rPr>
          <w:rFonts w:ascii="Arial" w:hAnsi="Arial"/>
          <w:sz w:val="22"/>
          <w:szCs w:val="22"/>
        </w:rPr>
      </w:pPr>
      <w:r>
        <w:rPr>
          <w:rFonts w:ascii="Arial" w:hAnsi="Arial"/>
          <w:sz w:val="22"/>
          <w:szCs w:val="22"/>
        </w:rPr>
        <w:t xml:space="preserve">Affected sponsors were invited to </w:t>
      </w:r>
      <w:r w:rsidRPr="00096937">
        <w:rPr>
          <w:rFonts w:ascii="Arial" w:hAnsi="Arial"/>
          <w:sz w:val="22"/>
          <w:szCs w:val="22"/>
        </w:rPr>
        <w:t xml:space="preserve">provide input for </w:t>
      </w:r>
      <w:r>
        <w:rPr>
          <w:rFonts w:ascii="Arial" w:hAnsi="Arial"/>
          <w:sz w:val="22"/>
          <w:szCs w:val="22"/>
        </w:rPr>
        <w:t>the Committee</w:t>
      </w:r>
      <w:r w:rsidRPr="00096937">
        <w:rPr>
          <w:rFonts w:ascii="Arial" w:hAnsi="Arial"/>
          <w:sz w:val="22"/>
          <w:szCs w:val="22"/>
        </w:rPr>
        <w:t>’s consideration</w:t>
      </w:r>
      <w:r>
        <w:rPr>
          <w:rFonts w:ascii="Arial" w:hAnsi="Arial"/>
          <w:sz w:val="22"/>
          <w:szCs w:val="22"/>
        </w:rPr>
        <w:t xml:space="preserve">. </w:t>
      </w:r>
      <w:r w:rsidR="0033793F">
        <w:rPr>
          <w:rFonts w:ascii="Arial" w:hAnsi="Arial"/>
          <w:sz w:val="22"/>
          <w:szCs w:val="22"/>
        </w:rPr>
        <w:t>Only seven affected sponsors elected to provide comment – Aspen Pharmacare, Johnson &amp; Johnson, GlaxoSmithKline, Pharmacor, Petrus Pharmaceuticals, AFT Pharmaceuticals and Roche Diagnostics</w:t>
      </w:r>
      <w:r w:rsidR="00A2373F">
        <w:rPr>
          <w:rFonts w:ascii="Arial" w:hAnsi="Arial"/>
          <w:sz w:val="22"/>
          <w:szCs w:val="22"/>
        </w:rPr>
        <w:t>.</w:t>
      </w:r>
    </w:p>
    <w:p w:rsidR="004968FD" w:rsidRDefault="004968FD" w:rsidP="004B036A">
      <w:pPr>
        <w:jc w:val="both"/>
        <w:rPr>
          <w:rFonts w:ascii="Arial" w:hAnsi="Arial"/>
          <w:sz w:val="22"/>
          <w:szCs w:val="22"/>
          <w:u w:val="single"/>
        </w:rPr>
      </w:pPr>
    </w:p>
    <w:p w:rsidR="004B036A" w:rsidRPr="00045E8F" w:rsidRDefault="00E81C64" w:rsidP="004B036A">
      <w:pPr>
        <w:jc w:val="both"/>
        <w:rPr>
          <w:rFonts w:ascii="Arial" w:hAnsi="Arial"/>
          <w:sz w:val="22"/>
          <w:szCs w:val="22"/>
          <w:u w:val="single"/>
        </w:rPr>
      </w:pPr>
      <w:r w:rsidRPr="00045E8F">
        <w:rPr>
          <w:rFonts w:ascii="Arial" w:hAnsi="Arial"/>
          <w:sz w:val="22"/>
          <w:szCs w:val="22"/>
          <w:u w:val="single"/>
        </w:rPr>
        <w:t>Measures for patients</w:t>
      </w:r>
      <w:r w:rsidR="004B036A" w:rsidRPr="00045E8F">
        <w:rPr>
          <w:rFonts w:ascii="Arial" w:hAnsi="Arial"/>
          <w:sz w:val="22"/>
          <w:szCs w:val="22"/>
          <w:u w:val="single"/>
        </w:rPr>
        <w:t xml:space="preserve"> of Aboriginal or Torres Strait Islander background </w:t>
      </w:r>
    </w:p>
    <w:p w:rsidR="004B036A" w:rsidRPr="00045E8F" w:rsidRDefault="004B036A" w:rsidP="004B036A">
      <w:pPr>
        <w:pStyle w:val="ListParagraph"/>
        <w:jc w:val="both"/>
        <w:rPr>
          <w:rFonts w:ascii="Arial" w:hAnsi="Arial"/>
          <w:sz w:val="22"/>
          <w:szCs w:val="22"/>
        </w:rPr>
      </w:pPr>
    </w:p>
    <w:p w:rsidR="00045E8F" w:rsidRDefault="00E81C64" w:rsidP="00E81C64">
      <w:pPr>
        <w:pStyle w:val="ListParagraph"/>
        <w:numPr>
          <w:ilvl w:val="1"/>
          <w:numId w:val="1"/>
        </w:numPr>
        <w:jc w:val="both"/>
        <w:rPr>
          <w:rFonts w:ascii="Arial" w:hAnsi="Arial"/>
          <w:sz w:val="22"/>
          <w:szCs w:val="22"/>
        </w:rPr>
      </w:pPr>
      <w:r w:rsidRPr="00045E8F">
        <w:rPr>
          <w:rFonts w:ascii="Arial" w:hAnsi="Arial"/>
          <w:sz w:val="22"/>
          <w:szCs w:val="22"/>
        </w:rPr>
        <w:t>T</w:t>
      </w:r>
      <w:r w:rsidR="004B036A" w:rsidRPr="00045E8F">
        <w:rPr>
          <w:rFonts w:ascii="Arial" w:hAnsi="Arial"/>
          <w:sz w:val="22"/>
          <w:szCs w:val="22"/>
        </w:rPr>
        <w:t xml:space="preserve">he </w:t>
      </w:r>
      <w:r w:rsidR="004B036A" w:rsidRPr="00045E8F">
        <w:rPr>
          <w:rFonts w:ascii="Arial" w:hAnsi="Arial"/>
          <w:i/>
          <w:sz w:val="22"/>
          <w:szCs w:val="22"/>
        </w:rPr>
        <w:t>Closing the Gap PBS Co-payment Measure</w:t>
      </w:r>
      <w:r w:rsidRPr="00045E8F">
        <w:rPr>
          <w:rFonts w:ascii="Arial" w:hAnsi="Arial"/>
          <w:i/>
          <w:sz w:val="22"/>
          <w:szCs w:val="22"/>
        </w:rPr>
        <w:t xml:space="preserve"> </w:t>
      </w:r>
      <w:r w:rsidRPr="00045E8F">
        <w:rPr>
          <w:rFonts w:ascii="Arial" w:hAnsi="Arial"/>
          <w:sz w:val="22"/>
          <w:szCs w:val="22"/>
        </w:rPr>
        <w:t xml:space="preserve">provides co-payment relief for </w:t>
      </w:r>
      <w:r w:rsidR="004B036A" w:rsidRPr="00045E8F">
        <w:rPr>
          <w:rFonts w:ascii="Arial" w:hAnsi="Arial"/>
          <w:sz w:val="22"/>
          <w:szCs w:val="22"/>
        </w:rPr>
        <w:t>eligible Aboriginal and Torres Strait Islanders living with, or at risk of, chronic disease</w:t>
      </w:r>
      <w:r w:rsidRPr="00045E8F">
        <w:rPr>
          <w:rFonts w:ascii="Arial" w:hAnsi="Arial"/>
          <w:sz w:val="22"/>
          <w:szCs w:val="22"/>
        </w:rPr>
        <w:t xml:space="preserve">.  </w:t>
      </w:r>
      <w:r w:rsidR="00045E8F" w:rsidRPr="00045E8F">
        <w:rPr>
          <w:rFonts w:ascii="Arial" w:hAnsi="Arial" w:cs="Arial"/>
        </w:rPr>
        <w:t xml:space="preserve">Eligible </w:t>
      </w:r>
      <w:r w:rsidR="004B036A" w:rsidRPr="00045E8F">
        <w:rPr>
          <w:rFonts w:ascii="Arial" w:hAnsi="Arial"/>
          <w:sz w:val="22"/>
          <w:szCs w:val="22"/>
        </w:rPr>
        <w:t xml:space="preserve">General (non-concessional) patients who present a Closing the Gap </w:t>
      </w:r>
      <w:r w:rsidR="00583B4D">
        <w:rPr>
          <w:rFonts w:ascii="Arial" w:hAnsi="Arial"/>
          <w:sz w:val="22"/>
          <w:szCs w:val="22"/>
        </w:rPr>
        <w:t xml:space="preserve">(CTG) </w:t>
      </w:r>
      <w:r w:rsidR="004B036A" w:rsidRPr="00045E8F">
        <w:rPr>
          <w:rFonts w:ascii="Arial" w:hAnsi="Arial"/>
          <w:sz w:val="22"/>
          <w:szCs w:val="22"/>
        </w:rPr>
        <w:t xml:space="preserve">prescription are charged the concessional rate, and concessional patients pay </w:t>
      </w:r>
      <w:r w:rsidR="00B83C0A">
        <w:rPr>
          <w:rFonts w:ascii="Arial" w:hAnsi="Arial"/>
          <w:sz w:val="22"/>
          <w:szCs w:val="22"/>
        </w:rPr>
        <w:t>no</w:t>
      </w:r>
      <w:r w:rsidR="00491C10">
        <w:rPr>
          <w:rFonts w:ascii="Arial" w:hAnsi="Arial"/>
          <w:sz w:val="22"/>
          <w:szCs w:val="22"/>
        </w:rPr>
        <w:t xml:space="preserve"> co-payment.</w:t>
      </w:r>
    </w:p>
    <w:p w:rsidR="00583B4D" w:rsidRDefault="00583B4D" w:rsidP="00583B4D">
      <w:pPr>
        <w:pStyle w:val="ListParagraph"/>
        <w:jc w:val="both"/>
        <w:rPr>
          <w:rFonts w:ascii="Arial" w:hAnsi="Arial"/>
          <w:sz w:val="22"/>
          <w:szCs w:val="22"/>
        </w:rPr>
      </w:pPr>
    </w:p>
    <w:p w:rsidR="00045E8F" w:rsidRPr="00045E8F" w:rsidRDefault="00045E8F" w:rsidP="00E81C64">
      <w:pPr>
        <w:pStyle w:val="ListParagraph"/>
        <w:numPr>
          <w:ilvl w:val="1"/>
          <w:numId w:val="1"/>
        </w:numPr>
        <w:jc w:val="both"/>
        <w:rPr>
          <w:rFonts w:ascii="Arial" w:hAnsi="Arial"/>
          <w:sz w:val="22"/>
          <w:szCs w:val="22"/>
        </w:rPr>
      </w:pPr>
      <w:r w:rsidRPr="00045E8F">
        <w:rPr>
          <w:rFonts w:ascii="Arial" w:hAnsi="Arial"/>
          <w:sz w:val="22"/>
          <w:szCs w:val="22"/>
        </w:rPr>
        <w:t xml:space="preserve">To address identified barriers in accessing the PBS, special arrangements were introduced in 1999 for the supply of PBS medicines to clients of eligible remote area Aboriginal Health Services (AHSs). Under the provisions of section 100 of the </w:t>
      </w:r>
      <w:r w:rsidRPr="00045E8F">
        <w:rPr>
          <w:rFonts w:ascii="Arial" w:hAnsi="Arial"/>
          <w:i/>
          <w:iCs/>
          <w:sz w:val="22"/>
          <w:szCs w:val="22"/>
        </w:rPr>
        <w:t>National Health Act 1953</w:t>
      </w:r>
      <w:r w:rsidRPr="00045E8F">
        <w:rPr>
          <w:rFonts w:ascii="Arial" w:hAnsi="Arial"/>
          <w:sz w:val="22"/>
          <w:szCs w:val="22"/>
        </w:rPr>
        <w:t>, clients of approved remote area AHSs are able to receive medicines from the AHS, without the need for a normal PBS prescription form, and without charge.</w:t>
      </w:r>
    </w:p>
    <w:p w:rsidR="00045E8F" w:rsidRPr="00045E8F" w:rsidRDefault="00045E8F" w:rsidP="00045E8F">
      <w:pPr>
        <w:pStyle w:val="ListParagraph"/>
        <w:jc w:val="both"/>
        <w:rPr>
          <w:rFonts w:ascii="Arial" w:hAnsi="Arial"/>
          <w:sz w:val="22"/>
          <w:szCs w:val="22"/>
        </w:rPr>
      </w:pPr>
    </w:p>
    <w:p w:rsidR="004B036A" w:rsidRPr="00045E8F" w:rsidRDefault="00583B4D" w:rsidP="00E81C64">
      <w:pPr>
        <w:pStyle w:val="ListParagraph"/>
        <w:numPr>
          <w:ilvl w:val="1"/>
          <w:numId w:val="1"/>
        </w:numPr>
        <w:jc w:val="both"/>
        <w:rPr>
          <w:rFonts w:ascii="Arial" w:hAnsi="Arial"/>
          <w:sz w:val="22"/>
          <w:szCs w:val="22"/>
        </w:rPr>
      </w:pPr>
      <w:r>
        <w:rPr>
          <w:rFonts w:ascii="Arial" w:hAnsi="Arial"/>
          <w:sz w:val="22"/>
          <w:szCs w:val="22"/>
        </w:rPr>
        <w:t>Both the CTG measure and supplies from remote area AHSs require PBS listings to operate.</w:t>
      </w:r>
    </w:p>
    <w:p w:rsidR="004B036A" w:rsidRPr="00045E8F" w:rsidRDefault="004B036A" w:rsidP="004B036A">
      <w:pPr>
        <w:jc w:val="both"/>
        <w:rPr>
          <w:rFonts w:ascii="Arial" w:hAnsi="Arial"/>
          <w:sz w:val="22"/>
          <w:szCs w:val="22"/>
        </w:rPr>
      </w:pPr>
    </w:p>
    <w:p w:rsidR="004B036A" w:rsidRPr="00045E8F" w:rsidRDefault="00045E8F" w:rsidP="004B036A">
      <w:pPr>
        <w:jc w:val="both"/>
        <w:rPr>
          <w:rFonts w:ascii="Arial" w:hAnsi="Arial"/>
          <w:sz w:val="22"/>
          <w:szCs w:val="22"/>
          <w:u w:val="single"/>
        </w:rPr>
      </w:pPr>
      <w:r w:rsidRPr="00045E8F">
        <w:rPr>
          <w:rFonts w:ascii="Arial" w:hAnsi="Arial"/>
          <w:sz w:val="22"/>
          <w:szCs w:val="22"/>
          <w:u w:val="single"/>
        </w:rPr>
        <w:t>Th</w:t>
      </w:r>
      <w:r w:rsidR="004B036A" w:rsidRPr="00045E8F">
        <w:rPr>
          <w:rFonts w:ascii="Arial" w:hAnsi="Arial"/>
          <w:sz w:val="22"/>
          <w:szCs w:val="22"/>
          <w:u w:val="single"/>
        </w:rPr>
        <w:t>e Paraplegic and Quadriplegic (Paraquad) Programme</w:t>
      </w:r>
    </w:p>
    <w:p w:rsidR="004B036A" w:rsidRPr="00045E8F" w:rsidRDefault="004B036A" w:rsidP="004B036A">
      <w:pPr>
        <w:pStyle w:val="ListParagraph"/>
        <w:jc w:val="both"/>
        <w:rPr>
          <w:rFonts w:ascii="Arial" w:hAnsi="Arial"/>
          <w:sz w:val="22"/>
          <w:szCs w:val="22"/>
        </w:rPr>
      </w:pPr>
    </w:p>
    <w:p w:rsidR="00BB6C2F" w:rsidRDefault="004B036A" w:rsidP="00BB6C2F">
      <w:pPr>
        <w:pStyle w:val="ListParagraph"/>
        <w:numPr>
          <w:ilvl w:val="1"/>
          <w:numId w:val="1"/>
        </w:numPr>
        <w:jc w:val="both"/>
        <w:rPr>
          <w:rFonts w:ascii="Arial" w:hAnsi="Arial"/>
          <w:sz w:val="22"/>
          <w:szCs w:val="22"/>
        </w:rPr>
      </w:pPr>
      <w:r w:rsidRPr="00045E8F">
        <w:rPr>
          <w:rFonts w:ascii="Arial" w:hAnsi="Arial"/>
          <w:sz w:val="22"/>
          <w:szCs w:val="22"/>
        </w:rPr>
        <w:t>The Paraquad scheme operates under the</w:t>
      </w:r>
      <w:r w:rsidRPr="00045E8F">
        <w:t xml:space="preserve"> </w:t>
      </w:r>
      <w:r w:rsidRPr="00045E8F">
        <w:rPr>
          <w:rFonts w:ascii="Arial" w:hAnsi="Arial"/>
          <w:i/>
          <w:sz w:val="22"/>
          <w:szCs w:val="22"/>
        </w:rPr>
        <w:t>National Health (Paraplegic and Quadriplegic Program) Special Arrangement 2010 (PB 118 of 2010).</w:t>
      </w:r>
      <w:r w:rsidR="00456646">
        <w:rPr>
          <w:rFonts w:ascii="Arial" w:hAnsi="Arial"/>
          <w:i/>
          <w:sz w:val="22"/>
          <w:szCs w:val="22"/>
        </w:rPr>
        <w:t xml:space="preserve">  </w:t>
      </w:r>
      <w:r w:rsidRPr="00456646">
        <w:rPr>
          <w:rFonts w:ascii="Arial" w:hAnsi="Arial"/>
          <w:sz w:val="22"/>
          <w:szCs w:val="22"/>
        </w:rPr>
        <w:t xml:space="preserve">Supply under the ParaQuad programme relies on a product having a PBS listing. </w:t>
      </w:r>
    </w:p>
    <w:p w:rsidR="00BB6C2F" w:rsidRDefault="00BB6C2F" w:rsidP="00BB6C2F">
      <w:pPr>
        <w:pStyle w:val="ListParagraph"/>
        <w:jc w:val="both"/>
        <w:rPr>
          <w:rFonts w:ascii="Arial" w:hAnsi="Arial"/>
          <w:sz w:val="22"/>
          <w:szCs w:val="22"/>
        </w:rPr>
      </w:pPr>
    </w:p>
    <w:p w:rsidR="00F740F9" w:rsidRDefault="004B036A" w:rsidP="00BB6C2F">
      <w:pPr>
        <w:pStyle w:val="ListParagraph"/>
        <w:numPr>
          <w:ilvl w:val="1"/>
          <w:numId w:val="1"/>
        </w:numPr>
        <w:jc w:val="both"/>
        <w:rPr>
          <w:rFonts w:ascii="Arial" w:hAnsi="Arial"/>
          <w:sz w:val="22"/>
          <w:szCs w:val="22"/>
        </w:rPr>
      </w:pPr>
      <w:r w:rsidRPr="00456646">
        <w:rPr>
          <w:rFonts w:ascii="Arial" w:hAnsi="Arial"/>
          <w:sz w:val="22"/>
          <w:szCs w:val="22"/>
        </w:rPr>
        <w:t xml:space="preserve">The </w:t>
      </w:r>
      <w:r w:rsidR="00BB6C2F">
        <w:rPr>
          <w:rFonts w:ascii="Arial" w:hAnsi="Arial"/>
          <w:sz w:val="22"/>
          <w:szCs w:val="22"/>
        </w:rPr>
        <w:t xml:space="preserve">PBAC noted the </w:t>
      </w:r>
      <w:r w:rsidRPr="00456646">
        <w:rPr>
          <w:rFonts w:ascii="Arial" w:hAnsi="Arial"/>
          <w:sz w:val="22"/>
          <w:szCs w:val="22"/>
        </w:rPr>
        <w:t xml:space="preserve">products </w:t>
      </w:r>
      <w:r w:rsidR="00FB7D87">
        <w:rPr>
          <w:rFonts w:ascii="Arial" w:hAnsi="Arial"/>
          <w:sz w:val="22"/>
          <w:szCs w:val="22"/>
        </w:rPr>
        <w:t xml:space="preserve">currently </w:t>
      </w:r>
      <w:r w:rsidRPr="00456646">
        <w:rPr>
          <w:rFonts w:ascii="Arial" w:hAnsi="Arial"/>
          <w:sz w:val="22"/>
          <w:szCs w:val="22"/>
        </w:rPr>
        <w:t>available on the Paraquad programme</w:t>
      </w:r>
      <w:r w:rsidR="00F740F9">
        <w:rPr>
          <w:rFonts w:ascii="Arial" w:hAnsi="Arial"/>
          <w:sz w:val="22"/>
          <w:szCs w:val="22"/>
        </w:rPr>
        <w:t>.</w:t>
      </w:r>
    </w:p>
    <w:p w:rsidR="00F740F9" w:rsidRPr="00F740F9" w:rsidRDefault="00F740F9" w:rsidP="00F740F9">
      <w:pPr>
        <w:pStyle w:val="ListParagraph"/>
        <w:rPr>
          <w:rFonts w:ascii="Arial" w:hAnsi="Arial"/>
          <w:sz w:val="22"/>
          <w:szCs w:val="22"/>
        </w:rPr>
      </w:pPr>
    </w:p>
    <w:p w:rsidR="00BB6C2F" w:rsidRDefault="00BF731D" w:rsidP="00BB6C2F">
      <w:pPr>
        <w:pStyle w:val="ListParagraph"/>
        <w:jc w:val="both"/>
        <w:rPr>
          <w:rFonts w:ascii="Arial" w:hAnsi="Arial"/>
          <w:i/>
          <w:sz w:val="22"/>
          <w:szCs w:val="22"/>
        </w:rPr>
      </w:pPr>
      <w:r>
        <w:rPr>
          <w:rFonts w:ascii="Arial" w:hAnsi="Arial"/>
          <w:i/>
          <w:sz w:val="22"/>
          <w:szCs w:val="22"/>
        </w:rPr>
        <w:t>A full list of products will be published at a later date</w:t>
      </w:r>
      <w:r w:rsidR="00F740F9">
        <w:rPr>
          <w:rFonts w:ascii="Arial" w:hAnsi="Arial"/>
          <w:i/>
          <w:sz w:val="22"/>
          <w:szCs w:val="22"/>
        </w:rPr>
        <w:t>, separately from the Public Summary Document</w:t>
      </w:r>
      <w:r w:rsidR="00A3580B">
        <w:rPr>
          <w:rFonts w:ascii="Arial" w:hAnsi="Arial"/>
          <w:i/>
          <w:sz w:val="22"/>
          <w:szCs w:val="22"/>
        </w:rPr>
        <w:t>.</w:t>
      </w:r>
    </w:p>
    <w:p w:rsidR="00BF731D" w:rsidRDefault="00BF731D" w:rsidP="00BB6C2F">
      <w:pPr>
        <w:pStyle w:val="ListParagraph"/>
        <w:jc w:val="both"/>
        <w:rPr>
          <w:rFonts w:ascii="Arial" w:hAnsi="Arial"/>
          <w:sz w:val="22"/>
          <w:szCs w:val="22"/>
        </w:rPr>
      </w:pPr>
    </w:p>
    <w:p w:rsidR="0099027F" w:rsidRPr="00BB6C2F" w:rsidRDefault="00456646" w:rsidP="00BB6C2F">
      <w:pPr>
        <w:pStyle w:val="ListParagraph"/>
        <w:numPr>
          <w:ilvl w:val="1"/>
          <w:numId w:val="1"/>
        </w:numPr>
        <w:jc w:val="both"/>
        <w:rPr>
          <w:rFonts w:ascii="Arial" w:hAnsi="Arial"/>
          <w:sz w:val="22"/>
          <w:szCs w:val="22"/>
        </w:rPr>
      </w:pPr>
      <w:r w:rsidRPr="00BB6C2F">
        <w:rPr>
          <w:rFonts w:ascii="Arial" w:hAnsi="Arial"/>
          <w:sz w:val="22"/>
          <w:szCs w:val="22"/>
        </w:rPr>
        <w:t xml:space="preserve">Of the OTC products </w:t>
      </w:r>
      <w:r w:rsidR="00692C86">
        <w:rPr>
          <w:rFonts w:ascii="Arial" w:hAnsi="Arial"/>
          <w:sz w:val="22"/>
          <w:szCs w:val="22"/>
        </w:rPr>
        <w:t>identified</w:t>
      </w:r>
      <w:r w:rsidRPr="00BB6C2F">
        <w:rPr>
          <w:rFonts w:ascii="Arial" w:hAnsi="Arial"/>
          <w:sz w:val="22"/>
          <w:szCs w:val="22"/>
        </w:rPr>
        <w:t xml:space="preserve"> for </w:t>
      </w:r>
      <w:r w:rsidR="00692C86">
        <w:rPr>
          <w:rFonts w:ascii="Arial" w:hAnsi="Arial"/>
          <w:sz w:val="22"/>
          <w:szCs w:val="22"/>
        </w:rPr>
        <w:t xml:space="preserve">possible </w:t>
      </w:r>
      <w:r w:rsidRPr="00BB6C2F">
        <w:rPr>
          <w:rFonts w:ascii="Arial" w:hAnsi="Arial"/>
          <w:sz w:val="22"/>
          <w:szCs w:val="22"/>
        </w:rPr>
        <w:t>removal from the PBS, b</w:t>
      </w:r>
      <w:r w:rsidR="00583B4D" w:rsidRPr="00BB6C2F">
        <w:rPr>
          <w:rFonts w:ascii="Arial" w:hAnsi="Arial"/>
          <w:sz w:val="22"/>
          <w:szCs w:val="22"/>
        </w:rPr>
        <w:t>isacodyl suppositories and glycerol suppositories are also available through the Paraquad program.</w:t>
      </w:r>
    </w:p>
    <w:p w:rsidR="004968FD" w:rsidRPr="00BB6C2F" w:rsidRDefault="004968FD" w:rsidP="00BB6C2F">
      <w:pPr>
        <w:pStyle w:val="ListParagraph"/>
        <w:rPr>
          <w:rFonts w:ascii="Arial" w:hAnsi="Arial"/>
          <w:sz w:val="22"/>
          <w:szCs w:val="22"/>
        </w:rPr>
      </w:pPr>
    </w:p>
    <w:p w:rsidR="00BB6C2F" w:rsidRPr="00BB6C2F" w:rsidRDefault="00BB6C2F" w:rsidP="00BB6C2F">
      <w:pPr>
        <w:jc w:val="both"/>
        <w:rPr>
          <w:rFonts w:ascii="Arial" w:hAnsi="Arial"/>
          <w:sz w:val="22"/>
          <w:szCs w:val="22"/>
        </w:rPr>
      </w:pPr>
    </w:p>
    <w:p w:rsidR="00814C5D" w:rsidRPr="00814C5D" w:rsidRDefault="00814C5D" w:rsidP="00814C5D">
      <w:pPr>
        <w:numPr>
          <w:ilvl w:val="0"/>
          <w:numId w:val="1"/>
        </w:numPr>
        <w:contextualSpacing/>
        <w:jc w:val="both"/>
        <w:rPr>
          <w:rFonts w:ascii="Arial" w:hAnsi="Arial" w:cs="Arial"/>
          <w:sz w:val="22"/>
          <w:szCs w:val="22"/>
        </w:rPr>
      </w:pPr>
      <w:r w:rsidRPr="00814C5D">
        <w:rPr>
          <w:rFonts w:ascii="Arial" w:hAnsi="Arial" w:cs="Arial"/>
          <w:b/>
          <w:sz w:val="22"/>
          <w:szCs w:val="22"/>
        </w:rPr>
        <w:t>Consumer comments</w:t>
      </w:r>
    </w:p>
    <w:p w:rsidR="00814C5D" w:rsidRPr="00814C5D" w:rsidRDefault="00814C5D" w:rsidP="00814C5D">
      <w:pPr>
        <w:contextualSpacing/>
        <w:rPr>
          <w:rFonts w:ascii="Arial" w:hAnsi="Arial" w:cs="Arial"/>
          <w:sz w:val="22"/>
          <w:szCs w:val="22"/>
        </w:rPr>
      </w:pPr>
    </w:p>
    <w:p w:rsidR="00814C5D" w:rsidRDefault="00814C5D" w:rsidP="00814C5D">
      <w:pPr>
        <w:numPr>
          <w:ilvl w:val="1"/>
          <w:numId w:val="1"/>
        </w:numPr>
        <w:contextualSpacing/>
        <w:jc w:val="both"/>
        <w:rPr>
          <w:rFonts w:ascii="Arial" w:hAnsi="Arial" w:cs="Arial"/>
          <w:sz w:val="22"/>
          <w:szCs w:val="22"/>
        </w:rPr>
      </w:pPr>
      <w:r w:rsidRPr="00814C5D">
        <w:rPr>
          <w:rFonts w:ascii="Arial" w:hAnsi="Arial" w:cs="Arial"/>
          <w:sz w:val="22"/>
          <w:szCs w:val="22"/>
        </w:rPr>
        <w:t xml:space="preserve">The PBAC noted and welcomed input from the sponsors (7) and   correspondence from organisations:  Arthritis Australia, Australian Rheumatology Association, Haemophilia Foundation Australia and Australian Self-Medication Institute via the Consumer Comments facility on the PBS website. </w:t>
      </w:r>
    </w:p>
    <w:p w:rsidR="009F3A94" w:rsidRDefault="009F3A94" w:rsidP="009F3A94">
      <w:pPr>
        <w:ind w:left="720"/>
        <w:contextualSpacing/>
        <w:jc w:val="both"/>
        <w:rPr>
          <w:rFonts w:ascii="Arial" w:hAnsi="Arial" w:cs="Arial"/>
          <w:sz w:val="22"/>
          <w:szCs w:val="22"/>
        </w:rPr>
      </w:pPr>
    </w:p>
    <w:p w:rsidR="009F3A94" w:rsidRDefault="009F3A94" w:rsidP="00814C5D">
      <w:pPr>
        <w:numPr>
          <w:ilvl w:val="1"/>
          <w:numId w:val="1"/>
        </w:numPr>
        <w:contextualSpacing/>
        <w:jc w:val="both"/>
        <w:rPr>
          <w:rFonts w:ascii="Arial" w:hAnsi="Arial" w:cs="Arial"/>
          <w:sz w:val="22"/>
          <w:szCs w:val="22"/>
        </w:rPr>
      </w:pPr>
      <w:r>
        <w:rPr>
          <w:rFonts w:ascii="Arial" w:hAnsi="Arial" w:cs="Arial"/>
          <w:sz w:val="22"/>
          <w:szCs w:val="22"/>
        </w:rPr>
        <w:t>The PBAC noted the following points raised by sponsors in reply to the PBAC’s advice on delisting of OTC products:</w:t>
      </w:r>
    </w:p>
    <w:p w:rsidR="009F3A94" w:rsidRDefault="009F3A94" w:rsidP="009F3A94">
      <w:pPr>
        <w:pStyle w:val="ListParagraph"/>
        <w:numPr>
          <w:ilvl w:val="0"/>
          <w:numId w:val="22"/>
        </w:numPr>
        <w:jc w:val="both"/>
        <w:rPr>
          <w:rFonts w:ascii="Arial" w:hAnsi="Arial" w:cs="Arial"/>
          <w:sz w:val="22"/>
          <w:szCs w:val="22"/>
        </w:rPr>
      </w:pPr>
      <w:r>
        <w:rPr>
          <w:rFonts w:ascii="Arial" w:hAnsi="Arial" w:cs="Arial"/>
          <w:sz w:val="22"/>
          <w:szCs w:val="22"/>
        </w:rPr>
        <w:t>The need for a specific mechanism for Indigenous peoples to maintain access to these products;</w:t>
      </w:r>
    </w:p>
    <w:p w:rsidR="009F3A94" w:rsidRDefault="009F3A94" w:rsidP="009F3A94">
      <w:pPr>
        <w:pStyle w:val="ListParagraph"/>
        <w:numPr>
          <w:ilvl w:val="0"/>
          <w:numId w:val="22"/>
        </w:numPr>
        <w:jc w:val="both"/>
        <w:rPr>
          <w:rFonts w:ascii="Arial" w:hAnsi="Arial" w:cs="Arial"/>
          <w:sz w:val="22"/>
          <w:szCs w:val="22"/>
        </w:rPr>
      </w:pPr>
      <w:r>
        <w:rPr>
          <w:rFonts w:ascii="Arial" w:hAnsi="Arial" w:cs="Arial"/>
          <w:sz w:val="22"/>
          <w:szCs w:val="22"/>
        </w:rPr>
        <w:t>Chloramphenicol eye drops and eye ointment are predominantly for Concessional card holders, are used in Indigenous patients and removal from the PBS may increase utilisation of fluoroquinolones;</w:t>
      </w:r>
    </w:p>
    <w:p w:rsidR="009F3A94" w:rsidRPr="00B80250" w:rsidRDefault="00B80250" w:rsidP="00B80250">
      <w:pPr>
        <w:pStyle w:val="ListParagraph"/>
        <w:numPr>
          <w:ilvl w:val="0"/>
          <w:numId w:val="22"/>
        </w:numPr>
        <w:jc w:val="both"/>
        <w:rPr>
          <w:rFonts w:ascii="Arial" w:hAnsi="Arial" w:cs="Arial"/>
          <w:sz w:val="22"/>
          <w:szCs w:val="22"/>
        </w:rPr>
      </w:pPr>
      <w:r>
        <w:rPr>
          <w:rFonts w:ascii="Arial" w:hAnsi="Arial" w:cs="Arial"/>
          <w:sz w:val="22"/>
          <w:szCs w:val="22"/>
        </w:rPr>
        <w:t>Patients that use bisacodyl suppositories would include paraplegic and quadriplegic patients, those receiving long-term nursing care, those with terminal malignant neoplasia, those with anorectal congenital abnormalities and those with megacolon.</w:t>
      </w:r>
    </w:p>
    <w:p w:rsidR="00814C5D" w:rsidRDefault="00814C5D" w:rsidP="00814C5D">
      <w:pPr>
        <w:ind w:left="720"/>
        <w:contextualSpacing/>
        <w:jc w:val="both"/>
        <w:rPr>
          <w:rFonts w:ascii="Arial" w:hAnsi="Arial" w:cs="Arial"/>
          <w:sz w:val="22"/>
          <w:szCs w:val="22"/>
        </w:rPr>
      </w:pPr>
    </w:p>
    <w:p w:rsidR="00B80250" w:rsidRDefault="00B80250" w:rsidP="00814C5D">
      <w:pPr>
        <w:numPr>
          <w:ilvl w:val="1"/>
          <w:numId w:val="1"/>
        </w:numPr>
        <w:contextualSpacing/>
        <w:jc w:val="both"/>
        <w:rPr>
          <w:rFonts w:ascii="Arial" w:hAnsi="Arial" w:cs="Arial"/>
          <w:sz w:val="22"/>
          <w:szCs w:val="22"/>
        </w:rPr>
      </w:pPr>
      <w:r>
        <w:rPr>
          <w:rFonts w:ascii="Arial" w:hAnsi="Arial" w:cs="Arial"/>
          <w:sz w:val="22"/>
          <w:szCs w:val="22"/>
        </w:rPr>
        <w:t>With specific regard to the PBAC’s advice on the delisting of paracetamol</w:t>
      </w:r>
      <w:r w:rsidR="0056618C">
        <w:rPr>
          <w:rFonts w:ascii="Arial" w:hAnsi="Arial" w:cs="Arial"/>
          <w:sz w:val="22"/>
          <w:szCs w:val="22"/>
        </w:rPr>
        <w:t xml:space="preserve"> 665mg tablets</w:t>
      </w:r>
      <w:r>
        <w:rPr>
          <w:rFonts w:ascii="Arial" w:hAnsi="Arial" w:cs="Arial"/>
          <w:sz w:val="22"/>
          <w:szCs w:val="22"/>
        </w:rPr>
        <w:t>, the following points were raised to support its continued listing on the PBS:</w:t>
      </w:r>
    </w:p>
    <w:p w:rsidR="00A25A37" w:rsidRDefault="00B80250" w:rsidP="00A25A37">
      <w:pPr>
        <w:pStyle w:val="ListParagraph"/>
        <w:numPr>
          <w:ilvl w:val="0"/>
          <w:numId w:val="23"/>
        </w:numPr>
        <w:jc w:val="both"/>
        <w:rPr>
          <w:rFonts w:ascii="Arial" w:hAnsi="Arial" w:cs="Arial"/>
          <w:sz w:val="22"/>
          <w:szCs w:val="22"/>
        </w:rPr>
      </w:pPr>
      <w:r>
        <w:rPr>
          <w:rFonts w:ascii="Arial" w:hAnsi="Arial" w:cs="Arial"/>
          <w:sz w:val="22"/>
          <w:szCs w:val="22"/>
        </w:rPr>
        <w:t>Continued patient affordability</w:t>
      </w:r>
      <w:r w:rsidR="004964B1">
        <w:rPr>
          <w:rFonts w:ascii="Arial" w:hAnsi="Arial" w:cs="Arial"/>
          <w:sz w:val="22"/>
          <w:szCs w:val="22"/>
        </w:rPr>
        <w:t xml:space="preserve"> and inclusion in PBS Safety Net arrangements</w:t>
      </w:r>
      <w:r>
        <w:rPr>
          <w:rFonts w:ascii="Arial" w:hAnsi="Arial" w:cs="Arial"/>
          <w:sz w:val="22"/>
          <w:szCs w:val="22"/>
        </w:rPr>
        <w:t>;</w:t>
      </w:r>
    </w:p>
    <w:p w:rsidR="00A25A37" w:rsidRPr="00A25A37" w:rsidRDefault="00A25A37" w:rsidP="00A25A37">
      <w:pPr>
        <w:pStyle w:val="ListParagraph"/>
        <w:numPr>
          <w:ilvl w:val="0"/>
          <w:numId w:val="23"/>
        </w:numPr>
        <w:jc w:val="both"/>
        <w:rPr>
          <w:rFonts w:ascii="Arial" w:hAnsi="Arial" w:cs="Arial"/>
          <w:sz w:val="22"/>
          <w:szCs w:val="22"/>
        </w:rPr>
      </w:pPr>
      <w:r>
        <w:rPr>
          <w:rFonts w:ascii="Arial" w:hAnsi="Arial" w:cs="Arial"/>
          <w:sz w:val="22"/>
          <w:szCs w:val="22"/>
        </w:rPr>
        <w:t>Variation of prices for products in OTC market, and limited access to discount pharmacies for specific patients</w:t>
      </w:r>
    </w:p>
    <w:p w:rsidR="00B80250" w:rsidRDefault="004964B1" w:rsidP="00B80250">
      <w:pPr>
        <w:pStyle w:val="ListParagraph"/>
        <w:numPr>
          <w:ilvl w:val="0"/>
          <w:numId w:val="23"/>
        </w:numPr>
        <w:jc w:val="both"/>
        <w:rPr>
          <w:rFonts w:ascii="Arial" w:hAnsi="Arial" w:cs="Arial"/>
          <w:sz w:val="22"/>
          <w:szCs w:val="22"/>
        </w:rPr>
      </w:pPr>
      <w:r>
        <w:rPr>
          <w:rFonts w:ascii="Arial" w:hAnsi="Arial" w:cs="Arial"/>
          <w:sz w:val="22"/>
          <w:szCs w:val="22"/>
        </w:rPr>
        <w:t>Quality Use of Medicines – utilisation moving to other drugs (NSAIDs, COX-2 inhibitors or other analgesics);</w:t>
      </w:r>
    </w:p>
    <w:p w:rsidR="004964B1" w:rsidRDefault="004964B1" w:rsidP="00B80250">
      <w:pPr>
        <w:pStyle w:val="ListParagraph"/>
        <w:numPr>
          <w:ilvl w:val="0"/>
          <w:numId w:val="23"/>
        </w:numPr>
        <w:jc w:val="both"/>
        <w:rPr>
          <w:rFonts w:ascii="Arial" w:hAnsi="Arial" w:cs="Arial"/>
          <w:sz w:val="22"/>
          <w:szCs w:val="22"/>
        </w:rPr>
      </w:pPr>
      <w:r>
        <w:rPr>
          <w:rFonts w:ascii="Arial" w:hAnsi="Arial" w:cs="Arial"/>
          <w:sz w:val="22"/>
          <w:szCs w:val="22"/>
        </w:rPr>
        <w:t>Low cost to the PBS;</w:t>
      </w:r>
    </w:p>
    <w:p w:rsidR="004964B1" w:rsidRDefault="004964B1" w:rsidP="00B80250">
      <w:pPr>
        <w:pStyle w:val="ListParagraph"/>
        <w:numPr>
          <w:ilvl w:val="0"/>
          <w:numId w:val="23"/>
        </w:numPr>
        <w:jc w:val="both"/>
        <w:rPr>
          <w:rFonts w:ascii="Arial" w:hAnsi="Arial" w:cs="Arial"/>
          <w:sz w:val="22"/>
          <w:szCs w:val="22"/>
        </w:rPr>
      </w:pPr>
      <w:r>
        <w:rPr>
          <w:rFonts w:ascii="Arial" w:hAnsi="Arial" w:cs="Arial"/>
          <w:sz w:val="22"/>
          <w:szCs w:val="22"/>
        </w:rPr>
        <w:t>Inclusion in local and international guidelines;</w:t>
      </w:r>
    </w:p>
    <w:p w:rsidR="004964B1" w:rsidRDefault="004964B1" w:rsidP="00B80250">
      <w:pPr>
        <w:pStyle w:val="ListParagraph"/>
        <w:numPr>
          <w:ilvl w:val="0"/>
          <w:numId w:val="23"/>
        </w:numPr>
        <w:jc w:val="both"/>
        <w:rPr>
          <w:rFonts w:ascii="Arial" w:hAnsi="Arial" w:cs="Arial"/>
          <w:sz w:val="22"/>
          <w:szCs w:val="22"/>
        </w:rPr>
      </w:pPr>
      <w:r>
        <w:rPr>
          <w:rFonts w:ascii="Arial" w:hAnsi="Arial" w:cs="Arial"/>
          <w:sz w:val="22"/>
          <w:szCs w:val="22"/>
        </w:rPr>
        <w:t>The impact of osteoarthritis on patients’ quality of life;</w:t>
      </w:r>
    </w:p>
    <w:p w:rsidR="004964B1" w:rsidRDefault="004964B1" w:rsidP="00B80250">
      <w:pPr>
        <w:pStyle w:val="ListParagraph"/>
        <w:numPr>
          <w:ilvl w:val="0"/>
          <w:numId w:val="23"/>
        </w:numPr>
        <w:jc w:val="both"/>
        <w:rPr>
          <w:rFonts w:ascii="Arial" w:hAnsi="Arial" w:cs="Arial"/>
          <w:sz w:val="22"/>
          <w:szCs w:val="22"/>
        </w:rPr>
      </w:pPr>
      <w:r>
        <w:rPr>
          <w:rFonts w:ascii="Arial" w:hAnsi="Arial" w:cs="Arial"/>
          <w:sz w:val="22"/>
          <w:szCs w:val="22"/>
        </w:rPr>
        <w:t>Doctor, pharmacist and patient group support;</w:t>
      </w:r>
    </w:p>
    <w:p w:rsidR="004964B1" w:rsidRDefault="004964B1" w:rsidP="00B80250">
      <w:pPr>
        <w:pStyle w:val="ListParagraph"/>
        <w:numPr>
          <w:ilvl w:val="0"/>
          <w:numId w:val="23"/>
        </w:numPr>
        <w:jc w:val="both"/>
        <w:rPr>
          <w:rFonts w:ascii="Arial" w:hAnsi="Arial" w:cs="Arial"/>
          <w:sz w:val="22"/>
          <w:szCs w:val="22"/>
        </w:rPr>
      </w:pPr>
      <w:r>
        <w:rPr>
          <w:rFonts w:ascii="Arial" w:hAnsi="Arial" w:cs="Arial"/>
          <w:sz w:val="22"/>
          <w:szCs w:val="22"/>
        </w:rPr>
        <w:t>Pharmacy-only distribution</w:t>
      </w:r>
      <w:r w:rsidR="0056618C">
        <w:rPr>
          <w:rFonts w:ascii="Arial" w:hAnsi="Arial" w:cs="Arial"/>
          <w:sz w:val="22"/>
          <w:szCs w:val="22"/>
        </w:rPr>
        <w:t xml:space="preserve"> as a Schedule 2 product</w:t>
      </w:r>
      <w:r>
        <w:rPr>
          <w:rFonts w:ascii="Arial" w:hAnsi="Arial" w:cs="Arial"/>
          <w:sz w:val="22"/>
          <w:szCs w:val="22"/>
        </w:rPr>
        <w:t>;</w:t>
      </w:r>
    </w:p>
    <w:p w:rsidR="00814C5D" w:rsidRDefault="00814C5D" w:rsidP="00FB7D87">
      <w:pPr>
        <w:contextualSpacing/>
        <w:rPr>
          <w:rFonts w:ascii="Arial" w:hAnsi="Arial" w:cs="Arial"/>
          <w:sz w:val="22"/>
          <w:szCs w:val="22"/>
        </w:rPr>
      </w:pPr>
    </w:p>
    <w:p w:rsidR="00FB7D87" w:rsidRPr="00814C5D" w:rsidRDefault="00FB7D87" w:rsidP="00FB7D87">
      <w:pPr>
        <w:contextualSpacing/>
        <w:rPr>
          <w:rFonts w:ascii="Arial" w:hAnsi="Arial" w:cs="Arial"/>
          <w:sz w:val="22"/>
          <w:szCs w:val="22"/>
        </w:rPr>
      </w:pPr>
    </w:p>
    <w:p w:rsidR="00814C5D" w:rsidRPr="00814C5D" w:rsidRDefault="00814C5D" w:rsidP="00764D21">
      <w:pPr>
        <w:keepNext/>
        <w:numPr>
          <w:ilvl w:val="0"/>
          <w:numId w:val="1"/>
        </w:numPr>
        <w:contextualSpacing/>
        <w:jc w:val="both"/>
        <w:rPr>
          <w:rFonts w:ascii="Arial" w:hAnsi="Arial" w:cs="Arial"/>
          <w:sz w:val="22"/>
          <w:szCs w:val="22"/>
        </w:rPr>
      </w:pPr>
      <w:r w:rsidRPr="00814C5D">
        <w:rPr>
          <w:rFonts w:ascii="Arial" w:hAnsi="Arial" w:cs="Arial"/>
          <w:b/>
          <w:sz w:val="22"/>
          <w:szCs w:val="22"/>
        </w:rPr>
        <w:lastRenderedPageBreak/>
        <w:t>PBAC Outcome</w:t>
      </w:r>
    </w:p>
    <w:p w:rsidR="00814C5D" w:rsidRPr="00814C5D" w:rsidRDefault="00814C5D" w:rsidP="00764D21">
      <w:pPr>
        <w:keepNext/>
        <w:ind w:left="720"/>
        <w:contextualSpacing/>
        <w:rPr>
          <w:rFonts w:ascii="Arial" w:hAnsi="Arial" w:cs="Arial"/>
          <w:sz w:val="22"/>
          <w:szCs w:val="22"/>
        </w:rPr>
      </w:pPr>
    </w:p>
    <w:p w:rsidR="00814C5D" w:rsidRPr="00814C5D" w:rsidRDefault="00814C5D" w:rsidP="00814C5D">
      <w:pPr>
        <w:numPr>
          <w:ilvl w:val="1"/>
          <w:numId w:val="1"/>
        </w:numPr>
        <w:contextualSpacing/>
        <w:jc w:val="both"/>
        <w:rPr>
          <w:rFonts w:ascii="Arial" w:hAnsi="Arial" w:cs="Arial"/>
          <w:sz w:val="22"/>
          <w:szCs w:val="22"/>
        </w:rPr>
      </w:pPr>
      <w:r w:rsidRPr="00814C5D">
        <w:rPr>
          <w:rFonts w:ascii="Arial" w:hAnsi="Arial" w:cs="Arial"/>
          <w:sz w:val="22"/>
          <w:szCs w:val="22"/>
        </w:rPr>
        <w:t xml:space="preserve">The PBAC </w:t>
      </w:r>
      <w:r w:rsidR="00FB7D87">
        <w:rPr>
          <w:rFonts w:ascii="Arial" w:hAnsi="Arial" w:cs="Arial"/>
          <w:sz w:val="22"/>
          <w:szCs w:val="22"/>
        </w:rPr>
        <w:t>considered the list of products identified for delisting from the PBS.  The PBAC considered that general subsidy for these products was no</w:t>
      </w:r>
      <w:r w:rsidR="00B3371D">
        <w:rPr>
          <w:rFonts w:ascii="Arial" w:hAnsi="Arial" w:cs="Arial"/>
          <w:sz w:val="22"/>
          <w:szCs w:val="22"/>
        </w:rPr>
        <w:t xml:space="preserve"> longer</w:t>
      </w:r>
      <w:r w:rsidR="00FB7D87">
        <w:rPr>
          <w:rFonts w:ascii="Arial" w:hAnsi="Arial" w:cs="Arial"/>
          <w:sz w:val="22"/>
          <w:szCs w:val="22"/>
        </w:rPr>
        <w:t xml:space="preserve"> appropriate</w:t>
      </w:r>
      <w:r w:rsidR="00B3371D">
        <w:rPr>
          <w:rFonts w:ascii="Arial" w:hAnsi="Arial" w:cs="Arial"/>
          <w:sz w:val="22"/>
          <w:szCs w:val="22"/>
        </w:rPr>
        <w:t xml:space="preserve">.  </w:t>
      </w:r>
      <w:r w:rsidR="00602E18">
        <w:rPr>
          <w:rFonts w:ascii="Arial" w:hAnsi="Arial" w:cs="Arial"/>
          <w:sz w:val="22"/>
          <w:szCs w:val="22"/>
        </w:rPr>
        <w:t xml:space="preserve">The PBAC noted the arguments in favour of retaining these products on the PBS, in particular in support of paracetamol 665mg.  The PBAC considered that </w:t>
      </w:r>
      <w:r w:rsidR="006F041D">
        <w:rPr>
          <w:rFonts w:ascii="Arial" w:hAnsi="Arial" w:cs="Arial"/>
          <w:sz w:val="22"/>
          <w:szCs w:val="22"/>
        </w:rPr>
        <w:t>since these products would remain available to Australian patients in the absence of PBS subsidy, these arguments were not sufficient to justify the required Commonwealth expenditure.</w:t>
      </w:r>
    </w:p>
    <w:p w:rsidR="00814C5D" w:rsidRPr="00814C5D" w:rsidRDefault="00814C5D" w:rsidP="00814C5D">
      <w:pPr>
        <w:ind w:left="720"/>
        <w:contextualSpacing/>
        <w:rPr>
          <w:rFonts w:ascii="Arial" w:hAnsi="Arial" w:cs="Arial"/>
          <w:sz w:val="22"/>
          <w:szCs w:val="22"/>
        </w:rPr>
      </w:pPr>
    </w:p>
    <w:p w:rsidR="00B3371D" w:rsidRDefault="00814C5D" w:rsidP="00814C5D">
      <w:pPr>
        <w:numPr>
          <w:ilvl w:val="1"/>
          <w:numId w:val="1"/>
        </w:numPr>
        <w:contextualSpacing/>
        <w:jc w:val="both"/>
        <w:rPr>
          <w:rFonts w:ascii="Arial" w:hAnsi="Arial" w:cs="Arial"/>
          <w:sz w:val="22"/>
          <w:szCs w:val="22"/>
        </w:rPr>
      </w:pPr>
      <w:r w:rsidRPr="00814C5D">
        <w:rPr>
          <w:rFonts w:ascii="Arial" w:hAnsi="Arial" w:cs="Arial"/>
          <w:sz w:val="22"/>
          <w:szCs w:val="22"/>
        </w:rPr>
        <w:t xml:space="preserve">The PBAC </w:t>
      </w:r>
      <w:r w:rsidR="00B3371D">
        <w:rPr>
          <w:rFonts w:ascii="Arial" w:hAnsi="Arial" w:cs="Arial"/>
          <w:sz w:val="22"/>
          <w:szCs w:val="22"/>
        </w:rPr>
        <w:t xml:space="preserve">noted the issues raised by stakeholders regarding maintenance of access for </w:t>
      </w:r>
      <w:r w:rsidRPr="00814C5D">
        <w:rPr>
          <w:rFonts w:ascii="Arial" w:hAnsi="Arial" w:cs="Arial"/>
          <w:sz w:val="22"/>
          <w:szCs w:val="22"/>
        </w:rPr>
        <w:t>Aboriginal or Torres Strait Islander peoples</w:t>
      </w:r>
      <w:r w:rsidR="00B3371D">
        <w:rPr>
          <w:rFonts w:ascii="Arial" w:hAnsi="Arial" w:cs="Arial"/>
          <w:sz w:val="22"/>
          <w:szCs w:val="22"/>
        </w:rPr>
        <w:t>, and for paraplegic and quadriplegic patients who rely on current access arrangements.</w:t>
      </w:r>
    </w:p>
    <w:p w:rsidR="00B3371D" w:rsidRDefault="00B3371D" w:rsidP="00B3371D">
      <w:pPr>
        <w:pStyle w:val="ListParagraph"/>
        <w:rPr>
          <w:rFonts w:ascii="Arial" w:hAnsi="Arial" w:cs="Arial"/>
          <w:sz w:val="22"/>
          <w:szCs w:val="22"/>
        </w:rPr>
      </w:pPr>
    </w:p>
    <w:p w:rsidR="00814C5D" w:rsidRPr="00814C5D" w:rsidRDefault="00B3371D" w:rsidP="00814C5D">
      <w:pPr>
        <w:numPr>
          <w:ilvl w:val="1"/>
          <w:numId w:val="1"/>
        </w:numPr>
        <w:contextualSpacing/>
        <w:jc w:val="both"/>
        <w:rPr>
          <w:rFonts w:ascii="Arial" w:hAnsi="Arial" w:cs="Arial"/>
          <w:sz w:val="22"/>
          <w:szCs w:val="22"/>
        </w:rPr>
      </w:pPr>
      <w:r>
        <w:rPr>
          <w:rFonts w:ascii="Arial" w:hAnsi="Arial" w:cs="Arial"/>
          <w:sz w:val="22"/>
          <w:szCs w:val="22"/>
        </w:rPr>
        <w:t xml:space="preserve">The PBAC recommended that rather than delisting these drugs from the PBS, it would be appropriate for the PBS listings to be amended to restrict access to patients on Aboriginal or Torres Strait Islander background.  The PBAC noted that such amendments would maintain access via the </w:t>
      </w:r>
      <w:r w:rsidR="00814C5D" w:rsidRPr="00814C5D">
        <w:rPr>
          <w:rFonts w:ascii="Arial" w:hAnsi="Arial" w:cs="Arial"/>
          <w:sz w:val="22"/>
          <w:szCs w:val="22"/>
        </w:rPr>
        <w:t>Closing the Gap PBS Co-payment Measure</w:t>
      </w:r>
      <w:r>
        <w:rPr>
          <w:rFonts w:ascii="Arial" w:hAnsi="Arial" w:cs="Arial"/>
          <w:sz w:val="22"/>
          <w:szCs w:val="22"/>
        </w:rPr>
        <w:t xml:space="preserve"> and via Section 100 Aboriginal Health Services</w:t>
      </w:r>
      <w:r w:rsidR="00814C5D" w:rsidRPr="00814C5D">
        <w:rPr>
          <w:rFonts w:ascii="Arial" w:hAnsi="Arial" w:cs="Arial"/>
          <w:sz w:val="22"/>
          <w:szCs w:val="22"/>
        </w:rPr>
        <w:t>.</w:t>
      </w:r>
    </w:p>
    <w:p w:rsidR="00814C5D" w:rsidRPr="00814C5D" w:rsidRDefault="00814C5D" w:rsidP="00814C5D">
      <w:pPr>
        <w:ind w:left="720"/>
        <w:contextualSpacing/>
        <w:rPr>
          <w:rFonts w:ascii="Arial" w:hAnsi="Arial" w:cs="Arial"/>
          <w:sz w:val="22"/>
          <w:szCs w:val="22"/>
        </w:rPr>
      </w:pPr>
    </w:p>
    <w:p w:rsidR="00BB6C2F" w:rsidRDefault="00B3371D" w:rsidP="00BB6C2F">
      <w:pPr>
        <w:numPr>
          <w:ilvl w:val="1"/>
          <w:numId w:val="1"/>
        </w:numPr>
        <w:contextualSpacing/>
        <w:rPr>
          <w:rFonts w:ascii="Arial" w:hAnsi="Arial" w:cs="Arial"/>
          <w:sz w:val="22"/>
          <w:szCs w:val="22"/>
        </w:rPr>
      </w:pPr>
      <w:r>
        <w:rPr>
          <w:rFonts w:ascii="Arial" w:hAnsi="Arial" w:cs="Arial"/>
          <w:sz w:val="22"/>
          <w:szCs w:val="22"/>
        </w:rPr>
        <w:t xml:space="preserve">With regard to </w:t>
      </w:r>
      <w:r w:rsidR="00814C5D" w:rsidRPr="00814C5D">
        <w:rPr>
          <w:rFonts w:ascii="Arial" w:hAnsi="Arial" w:cs="Arial"/>
          <w:sz w:val="22"/>
          <w:szCs w:val="22"/>
        </w:rPr>
        <w:t>bisacodyl suppositories and glycerol suppositories</w:t>
      </w:r>
      <w:r>
        <w:rPr>
          <w:rFonts w:ascii="Arial" w:hAnsi="Arial" w:cs="Arial"/>
          <w:sz w:val="22"/>
          <w:szCs w:val="22"/>
        </w:rPr>
        <w:t>, the PBAC recommended that the PBS listings for these products be amended to provide access</w:t>
      </w:r>
      <w:r w:rsidR="00814C5D" w:rsidRPr="00814C5D">
        <w:rPr>
          <w:rFonts w:ascii="Arial" w:hAnsi="Arial" w:cs="Arial"/>
          <w:sz w:val="22"/>
          <w:szCs w:val="22"/>
        </w:rPr>
        <w:t xml:space="preserve"> specifically for paraplegic and quadriplegic</w:t>
      </w:r>
      <w:r>
        <w:rPr>
          <w:rFonts w:ascii="Arial" w:hAnsi="Arial" w:cs="Arial"/>
          <w:sz w:val="22"/>
          <w:szCs w:val="22"/>
        </w:rPr>
        <w:t xml:space="preserve"> patients for supply under the P</w:t>
      </w:r>
      <w:r w:rsidR="00814C5D" w:rsidRPr="00814C5D">
        <w:rPr>
          <w:rFonts w:ascii="Arial" w:hAnsi="Arial" w:cs="Arial"/>
          <w:sz w:val="22"/>
          <w:szCs w:val="22"/>
        </w:rPr>
        <w:t xml:space="preserve">araquad programme. </w:t>
      </w:r>
    </w:p>
    <w:p w:rsidR="00BB6C2F" w:rsidRDefault="00BB6C2F" w:rsidP="00BB6C2F">
      <w:pPr>
        <w:pStyle w:val="ListParagraph"/>
        <w:rPr>
          <w:rFonts w:ascii="Arial" w:hAnsi="Arial"/>
          <w:sz w:val="22"/>
          <w:szCs w:val="22"/>
        </w:rPr>
      </w:pPr>
    </w:p>
    <w:p w:rsidR="00874DB6" w:rsidRPr="00601E7C" w:rsidRDefault="00BB6C2F" w:rsidP="003C03DD">
      <w:pPr>
        <w:pStyle w:val="ListParagraph"/>
        <w:numPr>
          <w:ilvl w:val="1"/>
          <w:numId w:val="1"/>
        </w:numPr>
        <w:rPr>
          <w:rFonts w:ascii="Arial" w:hAnsi="Arial"/>
          <w:b/>
          <w:sz w:val="22"/>
          <w:szCs w:val="22"/>
          <w:u w:val="single"/>
        </w:rPr>
      </w:pPr>
      <w:r w:rsidRPr="00601E7C">
        <w:rPr>
          <w:rFonts w:ascii="Arial" w:hAnsi="Arial"/>
          <w:sz w:val="22"/>
          <w:szCs w:val="22"/>
        </w:rPr>
        <w:t xml:space="preserve">The PBAC </w:t>
      </w:r>
      <w:r w:rsidR="004B4AEC" w:rsidRPr="00601E7C">
        <w:rPr>
          <w:rFonts w:ascii="Arial" w:hAnsi="Arial"/>
          <w:sz w:val="22"/>
          <w:szCs w:val="22"/>
        </w:rPr>
        <w:t xml:space="preserve">considered </w:t>
      </w:r>
      <w:r w:rsidR="00B3371D" w:rsidRPr="00601E7C">
        <w:rPr>
          <w:rFonts w:ascii="Arial" w:hAnsi="Arial"/>
          <w:sz w:val="22"/>
          <w:szCs w:val="22"/>
        </w:rPr>
        <w:t>that these recommendations, in conjunction with the listings previously recommended for retention</w:t>
      </w:r>
      <w:r w:rsidR="006F041D" w:rsidRPr="00601E7C">
        <w:rPr>
          <w:rFonts w:ascii="Arial" w:hAnsi="Arial"/>
          <w:sz w:val="22"/>
          <w:szCs w:val="22"/>
        </w:rPr>
        <w:t xml:space="preserve"> (</w:t>
      </w:r>
      <w:r w:rsidR="00B3371D" w:rsidRPr="00601E7C">
        <w:rPr>
          <w:rFonts w:ascii="Arial" w:hAnsi="Arial"/>
          <w:sz w:val="22"/>
          <w:szCs w:val="22"/>
        </w:rPr>
        <w:t xml:space="preserve">including </w:t>
      </w:r>
      <w:r w:rsidR="006F041D" w:rsidRPr="00601E7C">
        <w:rPr>
          <w:rFonts w:ascii="Arial" w:hAnsi="Arial"/>
          <w:sz w:val="22"/>
          <w:szCs w:val="22"/>
        </w:rPr>
        <w:t>those for p</w:t>
      </w:r>
      <w:r w:rsidR="00B3371D" w:rsidRPr="00601E7C">
        <w:rPr>
          <w:rFonts w:ascii="Arial" w:hAnsi="Arial"/>
          <w:sz w:val="22"/>
          <w:szCs w:val="22"/>
        </w:rPr>
        <w:t>alliati</w:t>
      </w:r>
      <w:r w:rsidR="006F041D" w:rsidRPr="00601E7C">
        <w:rPr>
          <w:rFonts w:ascii="Arial" w:hAnsi="Arial"/>
          <w:sz w:val="22"/>
          <w:szCs w:val="22"/>
        </w:rPr>
        <w:t>ve c</w:t>
      </w:r>
      <w:r w:rsidR="00B3371D" w:rsidRPr="00601E7C">
        <w:rPr>
          <w:rFonts w:ascii="Arial" w:hAnsi="Arial"/>
          <w:sz w:val="22"/>
          <w:szCs w:val="22"/>
        </w:rPr>
        <w:t>are</w:t>
      </w:r>
      <w:r w:rsidR="006F041D" w:rsidRPr="00601E7C">
        <w:rPr>
          <w:rFonts w:ascii="Arial" w:hAnsi="Arial"/>
          <w:sz w:val="22"/>
          <w:szCs w:val="22"/>
        </w:rPr>
        <w:t>)</w:t>
      </w:r>
      <w:r w:rsidR="00B3371D" w:rsidRPr="00601E7C">
        <w:rPr>
          <w:rFonts w:ascii="Arial" w:hAnsi="Arial"/>
          <w:sz w:val="22"/>
          <w:szCs w:val="22"/>
        </w:rPr>
        <w:t xml:space="preserve">, would </w:t>
      </w:r>
      <w:r w:rsidR="00602E18" w:rsidRPr="00601E7C">
        <w:rPr>
          <w:rFonts w:ascii="Arial" w:hAnsi="Arial"/>
          <w:sz w:val="22"/>
          <w:szCs w:val="22"/>
        </w:rPr>
        <w:t>address</w:t>
      </w:r>
      <w:r w:rsidR="00B3371D" w:rsidRPr="00601E7C">
        <w:rPr>
          <w:rFonts w:ascii="Arial" w:hAnsi="Arial"/>
          <w:sz w:val="22"/>
          <w:szCs w:val="22"/>
        </w:rPr>
        <w:t xml:space="preserve"> the needs of the most vulnerable Australian patients</w:t>
      </w:r>
      <w:r w:rsidR="00601E7C" w:rsidRPr="00601E7C">
        <w:rPr>
          <w:rFonts w:ascii="Arial" w:hAnsi="Arial"/>
          <w:sz w:val="22"/>
          <w:szCs w:val="22"/>
        </w:rPr>
        <w:t>.</w:t>
      </w:r>
    </w:p>
    <w:sectPr w:rsidR="00874DB6" w:rsidRPr="00601E7C" w:rsidSect="003C03D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8B" w:rsidRDefault="000E0F8B">
      <w:r>
        <w:separator/>
      </w:r>
    </w:p>
  </w:endnote>
  <w:endnote w:type="continuationSeparator" w:id="0">
    <w:p w:rsidR="000E0F8B" w:rsidRDefault="000E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C4743" w:rsidTr="005A3173">
      <w:trPr>
        <w:trHeight w:val="151"/>
      </w:trPr>
      <w:tc>
        <w:tcPr>
          <w:tcW w:w="2250" w:type="pct"/>
          <w:tcBorders>
            <w:top w:val="nil"/>
            <w:left w:val="nil"/>
            <w:bottom w:val="single" w:sz="4" w:space="0" w:color="4F81BD"/>
            <w:right w:val="nil"/>
          </w:tcBorders>
        </w:tcPr>
        <w:p w:rsidR="009C4743" w:rsidRPr="005A3173" w:rsidRDefault="009C474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C4743" w:rsidRPr="005A3173" w:rsidRDefault="009C474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C4743" w:rsidRPr="005A3173" w:rsidRDefault="009C4743" w:rsidP="005A3173">
          <w:pPr>
            <w:pStyle w:val="Header"/>
            <w:spacing w:line="276" w:lineRule="auto"/>
            <w:rPr>
              <w:rFonts w:ascii="Calibri" w:eastAsia="MS Gothic" w:hAnsi="Calibri"/>
              <w:b/>
              <w:bCs/>
              <w:color w:val="4F81BD"/>
            </w:rPr>
          </w:pPr>
        </w:p>
      </w:tc>
    </w:tr>
    <w:tr w:rsidR="009C4743" w:rsidTr="005A3173">
      <w:trPr>
        <w:trHeight w:val="150"/>
      </w:trPr>
      <w:tc>
        <w:tcPr>
          <w:tcW w:w="2250" w:type="pct"/>
          <w:tcBorders>
            <w:top w:val="single" w:sz="4" w:space="0" w:color="4F81BD"/>
            <w:left w:val="nil"/>
            <w:bottom w:val="nil"/>
            <w:right w:val="nil"/>
          </w:tcBorders>
        </w:tcPr>
        <w:p w:rsidR="009C4743" w:rsidRPr="005A3173" w:rsidRDefault="009C4743" w:rsidP="005A3173">
          <w:pPr>
            <w:pStyle w:val="Header"/>
            <w:spacing w:line="276" w:lineRule="auto"/>
            <w:rPr>
              <w:rFonts w:ascii="Calibri" w:eastAsia="MS Gothic" w:hAnsi="Calibri"/>
              <w:b/>
              <w:bCs/>
              <w:color w:val="4F81BD"/>
            </w:rPr>
          </w:pPr>
        </w:p>
      </w:tc>
      <w:tc>
        <w:tcPr>
          <w:tcW w:w="0" w:type="auto"/>
          <w:vMerge/>
          <w:vAlign w:val="center"/>
          <w:hideMark/>
        </w:tcPr>
        <w:p w:rsidR="009C4743" w:rsidRPr="005A3173" w:rsidRDefault="009C474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C4743" w:rsidRPr="005A3173" w:rsidRDefault="009C4743" w:rsidP="005A3173">
          <w:pPr>
            <w:pStyle w:val="Header"/>
            <w:spacing w:line="276" w:lineRule="auto"/>
            <w:rPr>
              <w:rFonts w:ascii="Calibri" w:eastAsia="MS Gothic" w:hAnsi="Calibri"/>
              <w:b/>
              <w:bCs/>
              <w:color w:val="4F81BD"/>
            </w:rPr>
          </w:pPr>
        </w:p>
      </w:tc>
    </w:tr>
  </w:tbl>
  <w:p w:rsidR="009C4743" w:rsidRDefault="009C474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4743" w:rsidRDefault="009C4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B1" w:rsidRPr="00BC0CB1" w:rsidRDefault="00BC0CB1" w:rsidP="00BC0CB1">
    <w:pPr>
      <w:widowControl w:val="0"/>
      <w:tabs>
        <w:tab w:val="center" w:pos="4513"/>
        <w:tab w:val="right" w:pos="9026"/>
      </w:tabs>
      <w:jc w:val="center"/>
      <w:rPr>
        <w:rFonts w:ascii="Arial" w:hAnsi="Arial" w:cs="Arial"/>
        <w:snapToGrid w:val="0"/>
        <w:sz w:val="22"/>
        <w:szCs w:val="20"/>
        <w:lang w:eastAsia="en-US"/>
      </w:rPr>
    </w:pPr>
    <w:r w:rsidRPr="00BC0CB1">
      <w:rPr>
        <w:rFonts w:ascii="Arial" w:hAnsi="Arial" w:cs="Arial"/>
        <w:snapToGrid w:val="0"/>
        <w:sz w:val="22"/>
        <w:szCs w:val="20"/>
        <w:lang w:eastAsia="en-US"/>
      </w:rPr>
      <w:fldChar w:fldCharType="begin"/>
    </w:r>
    <w:r w:rsidRPr="00BC0CB1">
      <w:rPr>
        <w:rFonts w:ascii="Arial" w:hAnsi="Arial" w:cs="Arial"/>
        <w:snapToGrid w:val="0"/>
        <w:sz w:val="22"/>
        <w:szCs w:val="20"/>
        <w:lang w:eastAsia="en-US"/>
      </w:rPr>
      <w:instrText xml:space="preserve"> PAGE   \* MERGEFORMAT </w:instrText>
    </w:r>
    <w:r w:rsidRPr="00BC0CB1">
      <w:rPr>
        <w:rFonts w:ascii="Arial" w:hAnsi="Arial" w:cs="Arial"/>
        <w:snapToGrid w:val="0"/>
        <w:sz w:val="22"/>
        <w:szCs w:val="20"/>
        <w:lang w:eastAsia="en-US"/>
      </w:rPr>
      <w:fldChar w:fldCharType="separate"/>
    </w:r>
    <w:r w:rsidR="00C40721">
      <w:rPr>
        <w:rFonts w:ascii="Arial" w:hAnsi="Arial" w:cs="Arial"/>
        <w:noProof/>
        <w:snapToGrid w:val="0"/>
        <w:sz w:val="22"/>
        <w:szCs w:val="20"/>
        <w:lang w:eastAsia="en-US"/>
      </w:rPr>
      <w:t>2</w:t>
    </w:r>
    <w:r w:rsidRPr="00BC0CB1">
      <w:rPr>
        <w:rFonts w:ascii="Arial" w:hAnsi="Arial" w:cs="Arial"/>
        <w:snapToGrid w:val="0"/>
        <w:sz w:val="22"/>
        <w:szCs w:val="20"/>
        <w:lang w:eastAsia="en-US"/>
      </w:rPr>
      <w:fldChar w:fldCharType="end"/>
    </w:r>
  </w:p>
  <w:p w:rsidR="00BC0CB1" w:rsidRDefault="00BC0CB1">
    <w:pPr>
      <w:pStyle w:val="Footer"/>
    </w:pPr>
  </w:p>
  <w:p w:rsidR="009C4743" w:rsidRPr="008F1434" w:rsidRDefault="009C4743"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C4743" w:rsidTr="005A3173">
      <w:trPr>
        <w:trHeight w:val="151"/>
      </w:trPr>
      <w:tc>
        <w:tcPr>
          <w:tcW w:w="2250" w:type="pct"/>
          <w:tcBorders>
            <w:top w:val="nil"/>
            <w:left w:val="nil"/>
            <w:bottom w:val="single" w:sz="4" w:space="0" w:color="4F81BD"/>
            <w:right w:val="nil"/>
          </w:tcBorders>
        </w:tcPr>
        <w:p w:rsidR="009C4743" w:rsidRPr="005A3173" w:rsidRDefault="009C474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C4743" w:rsidRPr="005A3173" w:rsidRDefault="009C474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C4743" w:rsidRPr="005A3173" w:rsidRDefault="009C4743" w:rsidP="005A3173">
          <w:pPr>
            <w:pStyle w:val="Header"/>
            <w:spacing w:line="276" w:lineRule="auto"/>
            <w:rPr>
              <w:rFonts w:ascii="Calibri" w:eastAsia="MS Gothic" w:hAnsi="Calibri"/>
              <w:b/>
              <w:bCs/>
              <w:color w:val="4F81BD"/>
            </w:rPr>
          </w:pPr>
        </w:p>
      </w:tc>
    </w:tr>
    <w:tr w:rsidR="009C4743" w:rsidTr="005A3173">
      <w:trPr>
        <w:trHeight w:val="150"/>
      </w:trPr>
      <w:tc>
        <w:tcPr>
          <w:tcW w:w="2250" w:type="pct"/>
          <w:tcBorders>
            <w:top w:val="single" w:sz="4" w:space="0" w:color="4F81BD"/>
            <w:left w:val="nil"/>
            <w:bottom w:val="nil"/>
            <w:right w:val="nil"/>
          </w:tcBorders>
        </w:tcPr>
        <w:p w:rsidR="009C4743" w:rsidRPr="005A3173" w:rsidRDefault="009C4743" w:rsidP="005A3173">
          <w:pPr>
            <w:pStyle w:val="Header"/>
            <w:spacing w:line="276" w:lineRule="auto"/>
            <w:rPr>
              <w:rFonts w:ascii="Calibri" w:eastAsia="MS Gothic" w:hAnsi="Calibri"/>
              <w:b/>
              <w:bCs/>
              <w:color w:val="4F81BD"/>
            </w:rPr>
          </w:pPr>
        </w:p>
      </w:tc>
      <w:tc>
        <w:tcPr>
          <w:tcW w:w="0" w:type="auto"/>
          <w:vMerge/>
          <w:vAlign w:val="center"/>
          <w:hideMark/>
        </w:tcPr>
        <w:p w:rsidR="009C4743" w:rsidRPr="005A3173" w:rsidRDefault="009C474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C4743" w:rsidRPr="005A3173" w:rsidRDefault="009C474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C4743" w:rsidTr="005A3173">
      <w:trPr>
        <w:trHeight w:val="151"/>
      </w:trPr>
      <w:tc>
        <w:tcPr>
          <w:tcW w:w="2250" w:type="pct"/>
          <w:tcBorders>
            <w:top w:val="nil"/>
            <w:left w:val="nil"/>
            <w:bottom w:val="single" w:sz="4" w:space="0" w:color="4F81BD"/>
            <w:right w:val="nil"/>
          </w:tcBorders>
        </w:tcPr>
        <w:p w:rsidR="009C4743" w:rsidRPr="005A3173" w:rsidRDefault="009C474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C4743" w:rsidRPr="005A3173" w:rsidRDefault="009C474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C4743" w:rsidRPr="005A3173" w:rsidRDefault="009C4743" w:rsidP="005A3173">
          <w:pPr>
            <w:pStyle w:val="Header"/>
            <w:spacing w:line="276" w:lineRule="auto"/>
            <w:rPr>
              <w:rFonts w:ascii="Calibri" w:eastAsia="MS Gothic" w:hAnsi="Calibri"/>
              <w:b/>
              <w:bCs/>
              <w:color w:val="4F81BD"/>
            </w:rPr>
          </w:pPr>
        </w:p>
      </w:tc>
    </w:tr>
    <w:tr w:rsidR="009C4743" w:rsidTr="005A3173">
      <w:trPr>
        <w:trHeight w:val="150"/>
      </w:trPr>
      <w:tc>
        <w:tcPr>
          <w:tcW w:w="2250" w:type="pct"/>
          <w:tcBorders>
            <w:top w:val="single" w:sz="4" w:space="0" w:color="4F81BD"/>
            <w:left w:val="nil"/>
            <w:bottom w:val="nil"/>
            <w:right w:val="nil"/>
          </w:tcBorders>
        </w:tcPr>
        <w:p w:rsidR="009C4743" w:rsidRPr="005A3173" w:rsidRDefault="009C4743" w:rsidP="005A3173">
          <w:pPr>
            <w:pStyle w:val="Header"/>
            <w:spacing w:line="276" w:lineRule="auto"/>
            <w:rPr>
              <w:rFonts w:ascii="Calibri" w:eastAsia="MS Gothic" w:hAnsi="Calibri"/>
              <w:b/>
              <w:bCs/>
              <w:color w:val="4F81BD"/>
            </w:rPr>
          </w:pPr>
        </w:p>
      </w:tc>
      <w:tc>
        <w:tcPr>
          <w:tcW w:w="0" w:type="auto"/>
          <w:vMerge/>
          <w:vAlign w:val="center"/>
          <w:hideMark/>
        </w:tcPr>
        <w:p w:rsidR="009C4743" w:rsidRPr="005A3173" w:rsidRDefault="009C474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C4743" w:rsidRPr="005A3173" w:rsidRDefault="009C4743" w:rsidP="005A3173">
          <w:pPr>
            <w:pStyle w:val="Header"/>
            <w:spacing w:line="276" w:lineRule="auto"/>
            <w:rPr>
              <w:rFonts w:ascii="Calibri" w:eastAsia="MS Gothic" w:hAnsi="Calibri"/>
              <w:b/>
              <w:bCs/>
              <w:color w:val="4F81BD"/>
            </w:rPr>
          </w:pPr>
        </w:p>
      </w:tc>
    </w:tr>
  </w:tbl>
  <w:p w:rsidR="009C4743" w:rsidRPr="007C0F57" w:rsidRDefault="009C474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C4743" w:rsidRPr="007C0F57" w:rsidRDefault="009C474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8B" w:rsidRDefault="000E0F8B">
      <w:r>
        <w:separator/>
      </w:r>
    </w:p>
  </w:footnote>
  <w:footnote w:type="continuationSeparator" w:id="0">
    <w:p w:rsidR="000E0F8B" w:rsidRDefault="000E0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C4743" w:rsidRPr="008E0D90" w:rsidTr="00A06225">
      <w:trPr>
        <w:trHeight w:val="151"/>
      </w:trPr>
      <w:tc>
        <w:tcPr>
          <w:tcW w:w="2389" w:type="pct"/>
          <w:tcBorders>
            <w:top w:val="nil"/>
            <w:left w:val="nil"/>
            <w:bottom w:val="single" w:sz="4" w:space="0" w:color="4F81BD"/>
            <w:right w:val="nil"/>
          </w:tcBorders>
        </w:tcPr>
        <w:p w:rsidR="009C4743" w:rsidRPr="00A06225" w:rsidRDefault="009C4743">
          <w:pPr>
            <w:pStyle w:val="Header"/>
            <w:spacing w:line="276" w:lineRule="auto"/>
            <w:rPr>
              <w:rFonts w:ascii="Cambria" w:eastAsia="MS Gothic" w:hAnsi="Cambria"/>
              <w:b/>
              <w:bCs/>
              <w:color w:val="4F81BD"/>
            </w:rPr>
          </w:pPr>
        </w:p>
      </w:tc>
      <w:tc>
        <w:tcPr>
          <w:tcW w:w="333" w:type="pct"/>
          <w:vMerge w:val="restart"/>
          <w:noWrap/>
          <w:vAlign w:val="center"/>
          <w:hideMark/>
        </w:tcPr>
        <w:p w:rsidR="009C4743" w:rsidRPr="00A06225" w:rsidRDefault="009C474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C4743" w:rsidRPr="00A06225" w:rsidRDefault="009C4743">
          <w:pPr>
            <w:pStyle w:val="Header"/>
            <w:spacing w:line="276" w:lineRule="auto"/>
            <w:rPr>
              <w:rFonts w:ascii="Cambria" w:eastAsia="MS Gothic" w:hAnsi="Cambria"/>
              <w:b/>
              <w:bCs/>
              <w:color w:val="4F81BD"/>
            </w:rPr>
          </w:pPr>
        </w:p>
      </w:tc>
    </w:tr>
    <w:tr w:rsidR="009C4743" w:rsidRPr="008E0D90" w:rsidTr="00A06225">
      <w:trPr>
        <w:trHeight w:val="150"/>
      </w:trPr>
      <w:tc>
        <w:tcPr>
          <w:tcW w:w="2389" w:type="pct"/>
          <w:tcBorders>
            <w:top w:val="single" w:sz="4" w:space="0" w:color="4F81BD"/>
            <w:left w:val="nil"/>
            <w:bottom w:val="nil"/>
            <w:right w:val="nil"/>
          </w:tcBorders>
        </w:tcPr>
        <w:p w:rsidR="009C4743" w:rsidRPr="00A06225" w:rsidRDefault="009C4743">
          <w:pPr>
            <w:pStyle w:val="Header"/>
            <w:spacing w:line="276" w:lineRule="auto"/>
            <w:rPr>
              <w:rFonts w:ascii="Cambria" w:eastAsia="MS Gothic" w:hAnsi="Cambria"/>
              <w:b/>
              <w:bCs/>
              <w:color w:val="4F81BD"/>
            </w:rPr>
          </w:pPr>
        </w:p>
      </w:tc>
      <w:tc>
        <w:tcPr>
          <w:tcW w:w="0" w:type="auto"/>
          <w:vMerge/>
          <w:vAlign w:val="center"/>
          <w:hideMark/>
        </w:tcPr>
        <w:p w:rsidR="009C4743" w:rsidRPr="00A06225" w:rsidRDefault="009C4743">
          <w:pPr>
            <w:rPr>
              <w:rFonts w:ascii="Cambria" w:hAnsi="Cambria"/>
              <w:color w:val="4F81BD"/>
              <w:sz w:val="22"/>
              <w:szCs w:val="22"/>
            </w:rPr>
          </w:pPr>
        </w:p>
      </w:tc>
      <w:tc>
        <w:tcPr>
          <w:tcW w:w="2278" w:type="pct"/>
          <w:tcBorders>
            <w:top w:val="single" w:sz="4" w:space="0" w:color="4F81BD"/>
            <w:left w:val="nil"/>
            <w:bottom w:val="nil"/>
            <w:right w:val="nil"/>
          </w:tcBorders>
        </w:tcPr>
        <w:p w:rsidR="009C4743" w:rsidRPr="00A06225" w:rsidRDefault="009C4743">
          <w:pPr>
            <w:pStyle w:val="Header"/>
            <w:spacing w:line="276" w:lineRule="auto"/>
            <w:rPr>
              <w:rFonts w:ascii="Cambria" w:eastAsia="MS Gothic" w:hAnsi="Cambria"/>
              <w:b/>
              <w:bCs/>
              <w:color w:val="4F81BD"/>
            </w:rPr>
          </w:pPr>
        </w:p>
      </w:tc>
    </w:tr>
  </w:tbl>
  <w:p w:rsidR="009C4743" w:rsidRDefault="009C4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FD" w:rsidRPr="000302F2" w:rsidRDefault="00764D21" w:rsidP="004968FD">
    <w:pPr>
      <w:tabs>
        <w:tab w:val="left" w:pos="142"/>
        <w:tab w:val="right" w:pos="9026"/>
      </w:tabs>
      <w:ind w:right="-359"/>
      <w:jc w:val="center"/>
      <w:rPr>
        <w:rFonts w:ascii="Arial" w:hAnsi="Arial" w:cs="Arial"/>
        <w:i/>
        <w:color w:val="A6A6A6" w:themeColor="background1" w:themeShade="A6"/>
      </w:rPr>
    </w:pPr>
    <w:r>
      <w:rPr>
        <w:rFonts w:ascii="Arial" w:hAnsi="Arial" w:cs="Arial"/>
        <w:i/>
        <w:color w:val="A6A6A6" w:themeColor="background1" w:themeShade="A6"/>
      </w:rPr>
      <w:t>Public Summary Document</w:t>
    </w:r>
    <w:r w:rsidR="004968FD" w:rsidRPr="000302F2">
      <w:rPr>
        <w:rFonts w:ascii="Arial" w:hAnsi="Arial" w:cs="Arial"/>
        <w:i/>
        <w:color w:val="A6A6A6" w:themeColor="background1" w:themeShade="A6"/>
      </w:rPr>
      <w:t xml:space="preserve"> – July 2015 PBAC Meeting</w:t>
    </w:r>
  </w:p>
  <w:p w:rsidR="009C4743" w:rsidRDefault="009C4743" w:rsidP="00764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10" w:rsidRDefault="00491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795"/>
    <w:multiLevelType w:val="hybridMultilevel"/>
    <w:tmpl w:val="6E0C39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11774E0"/>
    <w:multiLevelType w:val="hybridMultilevel"/>
    <w:tmpl w:val="01B860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1E42C0A"/>
    <w:multiLevelType w:val="hybridMultilevel"/>
    <w:tmpl w:val="6EC61F9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nsid w:val="07783541"/>
    <w:multiLevelType w:val="hybridMultilevel"/>
    <w:tmpl w:val="67160FC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nsid w:val="1D16174A"/>
    <w:multiLevelType w:val="hybridMultilevel"/>
    <w:tmpl w:val="5EC8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C7447C"/>
    <w:multiLevelType w:val="hybridMultilevel"/>
    <w:tmpl w:val="F56A780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7F50AE9"/>
    <w:multiLevelType w:val="hybridMultilevel"/>
    <w:tmpl w:val="A0CE8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A37617"/>
    <w:multiLevelType w:val="hybridMultilevel"/>
    <w:tmpl w:val="5D44616C"/>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nsid w:val="2E187F33"/>
    <w:multiLevelType w:val="hybridMultilevel"/>
    <w:tmpl w:val="22C2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11037A"/>
    <w:multiLevelType w:val="hybridMultilevel"/>
    <w:tmpl w:val="FE688D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3AA3A39"/>
    <w:multiLevelType w:val="hybridMultilevel"/>
    <w:tmpl w:val="32D0C9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DF82315"/>
    <w:multiLevelType w:val="hybridMultilevel"/>
    <w:tmpl w:val="25FCB32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433746D3"/>
    <w:multiLevelType w:val="hybridMultilevel"/>
    <w:tmpl w:val="9AEA7A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411027E"/>
    <w:multiLevelType w:val="hybridMultilevel"/>
    <w:tmpl w:val="D8221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CA67DF"/>
    <w:multiLevelType w:val="hybridMultilevel"/>
    <w:tmpl w:val="7AC424B2"/>
    <w:lvl w:ilvl="0" w:tplc="2000E8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8617763"/>
    <w:multiLevelType w:val="hybridMultilevel"/>
    <w:tmpl w:val="CCDEE9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DC41897"/>
    <w:multiLevelType w:val="hybridMultilevel"/>
    <w:tmpl w:val="2402A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53E0030"/>
    <w:multiLevelType w:val="multilevel"/>
    <w:tmpl w:val="003C7FBA"/>
    <w:lvl w:ilvl="0">
      <w:start w:val="1"/>
      <w:numFmt w:val="bullet"/>
      <w:lvlText w:val=""/>
      <w:lvlJc w:val="left"/>
      <w:pPr>
        <w:ind w:left="1571" w:hanging="720"/>
      </w:pPr>
      <w:rPr>
        <w:rFonts w:ascii="Symbol" w:hAnsi="Symbol" w:hint="default"/>
        <w:b/>
      </w:rPr>
    </w:lvl>
    <w:lvl w:ilvl="1">
      <w:start w:val="1"/>
      <w:numFmt w:val="decimal"/>
      <w:lvlText w:val="%1.%2"/>
      <w:lvlJc w:val="left"/>
      <w:pPr>
        <w:ind w:left="1571" w:hanging="72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2651" w:hanging="1800"/>
      </w:pPr>
      <w:rPr>
        <w:rFonts w:hint="default"/>
      </w:rPr>
    </w:lvl>
  </w:abstractNum>
  <w:abstractNum w:abstractNumId="18">
    <w:nsid w:val="5A86005C"/>
    <w:multiLevelType w:val="hybridMultilevel"/>
    <w:tmpl w:val="09602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FF7634C"/>
    <w:multiLevelType w:val="hybridMultilevel"/>
    <w:tmpl w:val="687A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397666"/>
    <w:multiLevelType w:val="hybridMultilevel"/>
    <w:tmpl w:val="CD18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112DA3"/>
    <w:multiLevelType w:val="hybridMultilevel"/>
    <w:tmpl w:val="FDA2CBB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2">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6"/>
  </w:num>
  <w:num w:numId="3">
    <w:abstractNumId w:val="11"/>
  </w:num>
  <w:num w:numId="4">
    <w:abstractNumId w:val="18"/>
  </w:num>
  <w:num w:numId="5">
    <w:abstractNumId w:val="7"/>
  </w:num>
  <w:num w:numId="6">
    <w:abstractNumId w:val="0"/>
  </w:num>
  <w:num w:numId="7">
    <w:abstractNumId w:val="16"/>
  </w:num>
  <w:num w:numId="8">
    <w:abstractNumId w:val="1"/>
  </w:num>
  <w:num w:numId="9">
    <w:abstractNumId w:val="12"/>
  </w:num>
  <w:num w:numId="10">
    <w:abstractNumId w:val="20"/>
  </w:num>
  <w:num w:numId="11">
    <w:abstractNumId w:val="13"/>
  </w:num>
  <w:num w:numId="12">
    <w:abstractNumId w:val="2"/>
  </w:num>
  <w:num w:numId="13">
    <w:abstractNumId w:val="17"/>
  </w:num>
  <w:num w:numId="14">
    <w:abstractNumId w:val="4"/>
  </w:num>
  <w:num w:numId="15">
    <w:abstractNumId w:val="14"/>
  </w:num>
  <w:num w:numId="16">
    <w:abstractNumId w:val="19"/>
  </w:num>
  <w:num w:numId="17">
    <w:abstractNumId w:val="8"/>
  </w:num>
  <w:num w:numId="18">
    <w:abstractNumId w:val="5"/>
  </w:num>
  <w:num w:numId="19">
    <w:abstractNumId w:val="10"/>
  </w:num>
  <w:num w:numId="20">
    <w:abstractNumId w:val="9"/>
  </w:num>
  <w:num w:numId="21">
    <w:abstractNumId w:val="21"/>
  </w:num>
  <w:num w:numId="22">
    <w:abstractNumId w:val="3"/>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AB1"/>
    <w:rsid w:val="000025AD"/>
    <w:rsid w:val="0002464A"/>
    <w:rsid w:val="00025144"/>
    <w:rsid w:val="000302F2"/>
    <w:rsid w:val="0003106B"/>
    <w:rsid w:val="000320B5"/>
    <w:rsid w:val="000421A1"/>
    <w:rsid w:val="0004240E"/>
    <w:rsid w:val="00045E26"/>
    <w:rsid w:val="00045E8F"/>
    <w:rsid w:val="000514B5"/>
    <w:rsid w:val="00060E64"/>
    <w:rsid w:val="00066755"/>
    <w:rsid w:val="00083418"/>
    <w:rsid w:val="00084F73"/>
    <w:rsid w:val="00087E96"/>
    <w:rsid w:val="00096937"/>
    <w:rsid w:val="000969AD"/>
    <w:rsid w:val="00097A86"/>
    <w:rsid w:val="000A0F3D"/>
    <w:rsid w:val="000A7323"/>
    <w:rsid w:val="000B558D"/>
    <w:rsid w:val="000C4568"/>
    <w:rsid w:val="000C6996"/>
    <w:rsid w:val="000D23BA"/>
    <w:rsid w:val="000E0F8B"/>
    <w:rsid w:val="000E5EB7"/>
    <w:rsid w:val="000E681E"/>
    <w:rsid w:val="000F1E4D"/>
    <w:rsid w:val="000F4E6A"/>
    <w:rsid w:val="001022FC"/>
    <w:rsid w:val="001107BF"/>
    <w:rsid w:val="00112EAC"/>
    <w:rsid w:val="00121B23"/>
    <w:rsid w:val="00121FD2"/>
    <w:rsid w:val="0012417C"/>
    <w:rsid w:val="001256A8"/>
    <w:rsid w:val="00142395"/>
    <w:rsid w:val="00142714"/>
    <w:rsid w:val="001452ED"/>
    <w:rsid w:val="0014727F"/>
    <w:rsid w:val="00157E2A"/>
    <w:rsid w:val="0018080B"/>
    <w:rsid w:val="001830CE"/>
    <w:rsid w:val="00187804"/>
    <w:rsid w:val="00192569"/>
    <w:rsid w:val="00193259"/>
    <w:rsid w:val="00196307"/>
    <w:rsid w:val="001B017F"/>
    <w:rsid w:val="001B5129"/>
    <w:rsid w:val="001C1195"/>
    <w:rsid w:val="001C3107"/>
    <w:rsid w:val="001C3C64"/>
    <w:rsid w:val="001D6238"/>
    <w:rsid w:val="001E1DD1"/>
    <w:rsid w:val="00200695"/>
    <w:rsid w:val="00203ADD"/>
    <w:rsid w:val="00213CFB"/>
    <w:rsid w:val="002266A7"/>
    <w:rsid w:val="00227C2C"/>
    <w:rsid w:val="00236B1F"/>
    <w:rsid w:val="00271BA1"/>
    <w:rsid w:val="00277505"/>
    <w:rsid w:val="00290920"/>
    <w:rsid w:val="0029458F"/>
    <w:rsid w:val="002A104C"/>
    <w:rsid w:val="002A2EA8"/>
    <w:rsid w:val="002A4960"/>
    <w:rsid w:val="002A6274"/>
    <w:rsid w:val="002B1AE6"/>
    <w:rsid w:val="002B30F8"/>
    <w:rsid w:val="002C212F"/>
    <w:rsid w:val="002E588B"/>
    <w:rsid w:val="002E72CA"/>
    <w:rsid w:val="003227FA"/>
    <w:rsid w:val="00325871"/>
    <w:rsid w:val="00326E79"/>
    <w:rsid w:val="003367EF"/>
    <w:rsid w:val="0033793F"/>
    <w:rsid w:val="00341AE4"/>
    <w:rsid w:val="00352477"/>
    <w:rsid w:val="00361657"/>
    <w:rsid w:val="003911FC"/>
    <w:rsid w:val="00394BBC"/>
    <w:rsid w:val="003A5B4A"/>
    <w:rsid w:val="003B23C5"/>
    <w:rsid w:val="003B2A75"/>
    <w:rsid w:val="003C03DD"/>
    <w:rsid w:val="003C5251"/>
    <w:rsid w:val="003C558D"/>
    <w:rsid w:val="003D161D"/>
    <w:rsid w:val="003D4AC4"/>
    <w:rsid w:val="003D63B7"/>
    <w:rsid w:val="003E33F6"/>
    <w:rsid w:val="003E468B"/>
    <w:rsid w:val="003F5C8C"/>
    <w:rsid w:val="0040625E"/>
    <w:rsid w:val="00423D78"/>
    <w:rsid w:val="004465BD"/>
    <w:rsid w:val="00456646"/>
    <w:rsid w:val="00466ADA"/>
    <w:rsid w:val="0047064A"/>
    <w:rsid w:val="00476245"/>
    <w:rsid w:val="00485940"/>
    <w:rsid w:val="00491C10"/>
    <w:rsid w:val="004964B1"/>
    <w:rsid w:val="004968FD"/>
    <w:rsid w:val="004A5A85"/>
    <w:rsid w:val="004A66AA"/>
    <w:rsid w:val="004B036A"/>
    <w:rsid w:val="004B235C"/>
    <w:rsid w:val="004B4AEC"/>
    <w:rsid w:val="004B5640"/>
    <w:rsid w:val="004C1BD7"/>
    <w:rsid w:val="004C691D"/>
    <w:rsid w:val="004E692D"/>
    <w:rsid w:val="004F44C0"/>
    <w:rsid w:val="004F73F5"/>
    <w:rsid w:val="00501554"/>
    <w:rsid w:val="00514CD7"/>
    <w:rsid w:val="00532C74"/>
    <w:rsid w:val="00534E2E"/>
    <w:rsid w:val="005406F0"/>
    <w:rsid w:val="00544552"/>
    <w:rsid w:val="0056618C"/>
    <w:rsid w:val="0057662B"/>
    <w:rsid w:val="00581932"/>
    <w:rsid w:val="00583B4D"/>
    <w:rsid w:val="00586EB1"/>
    <w:rsid w:val="005963BB"/>
    <w:rsid w:val="005A0EB6"/>
    <w:rsid w:val="005A3173"/>
    <w:rsid w:val="005A3223"/>
    <w:rsid w:val="005A3DA3"/>
    <w:rsid w:val="005A52C4"/>
    <w:rsid w:val="005C01B2"/>
    <w:rsid w:val="005C18E1"/>
    <w:rsid w:val="005C2B79"/>
    <w:rsid w:val="005D03AB"/>
    <w:rsid w:val="005D5017"/>
    <w:rsid w:val="005F07BA"/>
    <w:rsid w:val="00601A91"/>
    <w:rsid w:val="00601E7C"/>
    <w:rsid w:val="00602BA3"/>
    <w:rsid w:val="00602E18"/>
    <w:rsid w:val="00614159"/>
    <w:rsid w:val="00614E6A"/>
    <w:rsid w:val="00617C00"/>
    <w:rsid w:val="006263BF"/>
    <w:rsid w:val="0062748A"/>
    <w:rsid w:val="00630A2C"/>
    <w:rsid w:val="0063124B"/>
    <w:rsid w:val="00636D24"/>
    <w:rsid w:val="00651169"/>
    <w:rsid w:val="00653D69"/>
    <w:rsid w:val="00662BBA"/>
    <w:rsid w:val="00670A76"/>
    <w:rsid w:val="006711AA"/>
    <w:rsid w:val="00675622"/>
    <w:rsid w:val="006906DB"/>
    <w:rsid w:val="00692C86"/>
    <w:rsid w:val="006A12A5"/>
    <w:rsid w:val="006B0D94"/>
    <w:rsid w:val="006B2CE6"/>
    <w:rsid w:val="006B485D"/>
    <w:rsid w:val="006C076E"/>
    <w:rsid w:val="006C49E1"/>
    <w:rsid w:val="006C708E"/>
    <w:rsid w:val="006D3F8F"/>
    <w:rsid w:val="006D6EC7"/>
    <w:rsid w:val="006E0FE3"/>
    <w:rsid w:val="006E5733"/>
    <w:rsid w:val="006E5FB5"/>
    <w:rsid w:val="006F041D"/>
    <w:rsid w:val="006F1BC6"/>
    <w:rsid w:val="006F5125"/>
    <w:rsid w:val="00710462"/>
    <w:rsid w:val="007167A9"/>
    <w:rsid w:val="007174BB"/>
    <w:rsid w:val="00721D4D"/>
    <w:rsid w:val="00736A0E"/>
    <w:rsid w:val="00750DBF"/>
    <w:rsid w:val="007568C1"/>
    <w:rsid w:val="00763556"/>
    <w:rsid w:val="0076420C"/>
    <w:rsid w:val="00764D21"/>
    <w:rsid w:val="00771BEB"/>
    <w:rsid w:val="007753C2"/>
    <w:rsid w:val="007838B8"/>
    <w:rsid w:val="00785308"/>
    <w:rsid w:val="00790893"/>
    <w:rsid w:val="00794D17"/>
    <w:rsid w:val="007B1D00"/>
    <w:rsid w:val="007C0F57"/>
    <w:rsid w:val="007C40B6"/>
    <w:rsid w:val="007C729F"/>
    <w:rsid w:val="007D2C6D"/>
    <w:rsid w:val="007E1D28"/>
    <w:rsid w:val="007E3F12"/>
    <w:rsid w:val="007E70C5"/>
    <w:rsid w:val="007F2641"/>
    <w:rsid w:val="007F7C36"/>
    <w:rsid w:val="00806796"/>
    <w:rsid w:val="008147C2"/>
    <w:rsid w:val="00814C5D"/>
    <w:rsid w:val="008211C4"/>
    <w:rsid w:val="00826F6D"/>
    <w:rsid w:val="00856DDD"/>
    <w:rsid w:val="00863E68"/>
    <w:rsid w:val="00874DB6"/>
    <w:rsid w:val="00882085"/>
    <w:rsid w:val="00882344"/>
    <w:rsid w:val="00883188"/>
    <w:rsid w:val="008959C6"/>
    <w:rsid w:val="00897D58"/>
    <w:rsid w:val="008A1956"/>
    <w:rsid w:val="008A4937"/>
    <w:rsid w:val="008D28A3"/>
    <w:rsid w:val="008D3C82"/>
    <w:rsid w:val="008D447E"/>
    <w:rsid w:val="008D5E39"/>
    <w:rsid w:val="008D7A41"/>
    <w:rsid w:val="008E3680"/>
    <w:rsid w:val="008E5870"/>
    <w:rsid w:val="008E73DE"/>
    <w:rsid w:val="008F1434"/>
    <w:rsid w:val="008F7355"/>
    <w:rsid w:val="00901C71"/>
    <w:rsid w:val="009067B7"/>
    <w:rsid w:val="00913833"/>
    <w:rsid w:val="0092473C"/>
    <w:rsid w:val="00930937"/>
    <w:rsid w:val="00932F48"/>
    <w:rsid w:val="00933E6C"/>
    <w:rsid w:val="00942160"/>
    <w:rsid w:val="009602C5"/>
    <w:rsid w:val="00974C21"/>
    <w:rsid w:val="0099027F"/>
    <w:rsid w:val="009B0F67"/>
    <w:rsid w:val="009B1AFA"/>
    <w:rsid w:val="009C189B"/>
    <w:rsid w:val="009C4743"/>
    <w:rsid w:val="009C703C"/>
    <w:rsid w:val="009D275E"/>
    <w:rsid w:val="009D3CAA"/>
    <w:rsid w:val="009E5079"/>
    <w:rsid w:val="009E6B32"/>
    <w:rsid w:val="009E7BE4"/>
    <w:rsid w:val="009F3A94"/>
    <w:rsid w:val="009F4A52"/>
    <w:rsid w:val="009F4E46"/>
    <w:rsid w:val="009F5B65"/>
    <w:rsid w:val="009F5F2E"/>
    <w:rsid w:val="00A06225"/>
    <w:rsid w:val="00A20468"/>
    <w:rsid w:val="00A20DE2"/>
    <w:rsid w:val="00A2373F"/>
    <w:rsid w:val="00A25A37"/>
    <w:rsid w:val="00A3580B"/>
    <w:rsid w:val="00A35C94"/>
    <w:rsid w:val="00A37C8D"/>
    <w:rsid w:val="00A5273B"/>
    <w:rsid w:val="00A53A9D"/>
    <w:rsid w:val="00A55FEE"/>
    <w:rsid w:val="00A62C1A"/>
    <w:rsid w:val="00A6426D"/>
    <w:rsid w:val="00A70622"/>
    <w:rsid w:val="00A70925"/>
    <w:rsid w:val="00A70977"/>
    <w:rsid w:val="00A76F78"/>
    <w:rsid w:val="00A8390C"/>
    <w:rsid w:val="00A906EE"/>
    <w:rsid w:val="00A928BD"/>
    <w:rsid w:val="00A975F6"/>
    <w:rsid w:val="00AA4D1C"/>
    <w:rsid w:val="00AC5206"/>
    <w:rsid w:val="00AE0900"/>
    <w:rsid w:val="00AE11A5"/>
    <w:rsid w:val="00AF26B6"/>
    <w:rsid w:val="00AF68CC"/>
    <w:rsid w:val="00B06F8F"/>
    <w:rsid w:val="00B205AA"/>
    <w:rsid w:val="00B22E84"/>
    <w:rsid w:val="00B25F75"/>
    <w:rsid w:val="00B3371D"/>
    <w:rsid w:val="00B37C59"/>
    <w:rsid w:val="00B43E90"/>
    <w:rsid w:val="00B56118"/>
    <w:rsid w:val="00B6773F"/>
    <w:rsid w:val="00B72540"/>
    <w:rsid w:val="00B768BC"/>
    <w:rsid w:val="00B801BA"/>
    <w:rsid w:val="00B80250"/>
    <w:rsid w:val="00B83C0A"/>
    <w:rsid w:val="00B84EEB"/>
    <w:rsid w:val="00B85722"/>
    <w:rsid w:val="00B86394"/>
    <w:rsid w:val="00B9356F"/>
    <w:rsid w:val="00B97694"/>
    <w:rsid w:val="00B97FA7"/>
    <w:rsid w:val="00BA20CD"/>
    <w:rsid w:val="00BA52D1"/>
    <w:rsid w:val="00BB69F5"/>
    <w:rsid w:val="00BB6C2F"/>
    <w:rsid w:val="00BB7EC3"/>
    <w:rsid w:val="00BC0CB1"/>
    <w:rsid w:val="00BC0E17"/>
    <w:rsid w:val="00BC118C"/>
    <w:rsid w:val="00BC4B9A"/>
    <w:rsid w:val="00BD784C"/>
    <w:rsid w:val="00BF4CB6"/>
    <w:rsid w:val="00BF731D"/>
    <w:rsid w:val="00C00DA7"/>
    <w:rsid w:val="00C057FD"/>
    <w:rsid w:val="00C12768"/>
    <w:rsid w:val="00C21BDD"/>
    <w:rsid w:val="00C23148"/>
    <w:rsid w:val="00C34BF0"/>
    <w:rsid w:val="00C35996"/>
    <w:rsid w:val="00C40721"/>
    <w:rsid w:val="00C40B65"/>
    <w:rsid w:val="00C5342C"/>
    <w:rsid w:val="00C6256A"/>
    <w:rsid w:val="00C91449"/>
    <w:rsid w:val="00C92D10"/>
    <w:rsid w:val="00CA1C48"/>
    <w:rsid w:val="00CB7715"/>
    <w:rsid w:val="00CC5BC9"/>
    <w:rsid w:val="00CD20A2"/>
    <w:rsid w:val="00CE10C4"/>
    <w:rsid w:val="00CE27B5"/>
    <w:rsid w:val="00CE4FB5"/>
    <w:rsid w:val="00D0321E"/>
    <w:rsid w:val="00D07A73"/>
    <w:rsid w:val="00D14026"/>
    <w:rsid w:val="00D1455A"/>
    <w:rsid w:val="00D3280C"/>
    <w:rsid w:val="00D3406A"/>
    <w:rsid w:val="00D469B2"/>
    <w:rsid w:val="00D72AE2"/>
    <w:rsid w:val="00D741EB"/>
    <w:rsid w:val="00D91271"/>
    <w:rsid w:val="00DA2CB5"/>
    <w:rsid w:val="00DA4BAC"/>
    <w:rsid w:val="00DC03D7"/>
    <w:rsid w:val="00DC3709"/>
    <w:rsid w:val="00DD273D"/>
    <w:rsid w:val="00DE2DBC"/>
    <w:rsid w:val="00DE6D27"/>
    <w:rsid w:val="00DF13ED"/>
    <w:rsid w:val="00DF217D"/>
    <w:rsid w:val="00DF26A7"/>
    <w:rsid w:val="00E02845"/>
    <w:rsid w:val="00E07B49"/>
    <w:rsid w:val="00E164B3"/>
    <w:rsid w:val="00E16910"/>
    <w:rsid w:val="00E65E54"/>
    <w:rsid w:val="00E80155"/>
    <w:rsid w:val="00E81C64"/>
    <w:rsid w:val="00E848C0"/>
    <w:rsid w:val="00E91B96"/>
    <w:rsid w:val="00E941A1"/>
    <w:rsid w:val="00E95CE3"/>
    <w:rsid w:val="00EA2825"/>
    <w:rsid w:val="00EA5F49"/>
    <w:rsid w:val="00EB5088"/>
    <w:rsid w:val="00EC6904"/>
    <w:rsid w:val="00ED1644"/>
    <w:rsid w:val="00EF00BA"/>
    <w:rsid w:val="00EF44A0"/>
    <w:rsid w:val="00F02BB7"/>
    <w:rsid w:val="00F050BD"/>
    <w:rsid w:val="00F05657"/>
    <w:rsid w:val="00F10E00"/>
    <w:rsid w:val="00F25578"/>
    <w:rsid w:val="00F258E5"/>
    <w:rsid w:val="00F300BC"/>
    <w:rsid w:val="00F3334E"/>
    <w:rsid w:val="00F42882"/>
    <w:rsid w:val="00F4326B"/>
    <w:rsid w:val="00F50EC4"/>
    <w:rsid w:val="00F57A6D"/>
    <w:rsid w:val="00F638CC"/>
    <w:rsid w:val="00F740F9"/>
    <w:rsid w:val="00F767E7"/>
    <w:rsid w:val="00F8247A"/>
    <w:rsid w:val="00F854D2"/>
    <w:rsid w:val="00F9629A"/>
    <w:rsid w:val="00FA5883"/>
    <w:rsid w:val="00FA6055"/>
    <w:rsid w:val="00FB322F"/>
    <w:rsid w:val="00FB442F"/>
    <w:rsid w:val="00FB7D87"/>
    <w:rsid w:val="00FC1929"/>
    <w:rsid w:val="00FC3738"/>
    <w:rsid w:val="00FC48B4"/>
    <w:rsid w:val="00FC5B46"/>
    <w:rsid w:val="00FD3EA1"/>
    <w:rsid w:val="00FD557B"/>
    <w:rsid w:val="00FE0682"/>
    <w:rsid w:val="00FE06EC"/>
    <w:rsid w:val="00FF00BD"/>
    <w:rsid w:val="00FF1ED4"/>
    <w:rsid w:val="00FF2C28"/>
    <w:rsid w:val="00FF7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styleId="Header">
    <w:name w:val="header"/>
    <w:aliases w:val="Page Header,Header title,he=header,cntr/bld"/>
    <w:basedOn w:val="Normal"/>
    <w:link w:val="HeaderChar"/>
    <w:uiPriority w:val="99"/>
    <w:pPr>
      <w:tabs>
        <w:tab w:val="center" w:pos="4153"/>
        <w:tab w:val="right" w:pos="8306"/>
      </w:tabs>
    </w:p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B205AA"/>
    <w:rPr>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notes">
    <w:name w:val="table notes"/>
    <w:basedOn w:val="BodyText2"/>
    <w:qFormat/>
    <w:rsid w:val="009F5F2E"/>
  </w:style>
  <w:style w:type="character" w:styleId="FootnoteReference">
    <w:name w:val="footnote reference"/>
    <w:basedOn w:val="DefaultParagraphFont"/>
    <w:rsid w:val="00710462"/>
    <w:rPr>
      <w:vertAlign w:val="superscript"/>
    </w:rPr>
  </w:style>
  <w:style w:type="paragraph" w:styleId="FootnoteText">
    <w:name w:val="footnote text"/>
    <w:basedOn w:val="Normal"/>
    <w:link w:val="FootnoteTextChar"/>
    <w:rsid w:val="00710462"/>
    <w:rPr>
      <w:sz w:val="20"/>
      <w:szCs w:val="20"/>
    </w:rPr>
  </w:style>
  <w:style w:type="character" w:customStyle="1" w:styleId="FootnoteTextChar">
    <w:name w:val="Footnote Text Char"/>
    <w:basedOn w:val="DefaultParagraphFont"/>
    <w:link w:val="FootnoteText"/>
    <w:rsid w:val="00710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styleId="Header">
    <w:name w:val="header"/>
    <w:aliases w:val="Page Header,Header title,he=header,cntr/bld"/>
    <w:basedOn w:val="Normal"/>
    <w:link w:val="HeaderChar"/>
    <w:uiPriority w:val="99"/>
    <w:pPr>
      <w:tabs>
        <w:tab w:val="center" w:pos="4153"/>
        <w:tab w:val="right" w:pos="8306"/>
      </w:tabs>
    </w:p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B205AA"/>
    <w:rPr>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notes">
    <w:name w:val="table notes"/>
    <w:basedOn w:val="BodyText2"/>
    <w:qFormat/>
    <w:rsid w:val="009F5F2E"/>
  </w:style>
  <w:style w:type="character" w:styleId="FootnoteReference">
    <w:name w:val="footnote reference"/>
    <w:basedOn w:val="DefaultParagraphFont"/>
    <w:rsid w:val="00710462"/>
    <w:rPr>
      <w:vertAlign w:val="superscript"/>
    </w:rPr>
  </w:style>
  <w:style w:type="paragraph" w:styleId="FootnoteText">
    <w:name w:val="footnote text"/>
    <w:basedOn w:val="Normal"/>
    <w:link w:val="FootnoteTextChar"/>
    <w:rsid w:val="00710462"/>
    <w:rPr>
      <w:sz w:val="20"/>
      <w:szCs w:val="20"/>
    </w:rPr>
  </w:style>
  <w:style w:type="character" w:customStyle="1" w:styleId="FootnoteTextChar">
    <w:name w:val="Footnote Text Char"/>
    <w:basedOn w:val="DefaultParagraphFont"/>
    <w:link w:val="FootnoteText"/>
    <w:rsid w:val="0071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55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4566637">
      <w:bodyDiv w:val="1"/>
      <w:marLeft w:val="0"/>
      <w:marRight w:val="0"/>
      <w:marTop w:val="0"/>
      <w:marBottom w:val="0"/>
      <w:divBdr>
        <w:top w:val="none" w:sz="0" w:space="0" w:color="auto"/>
        <w:left w:val="none" w:sz="0" w:space="0" w:color="auto"/>
        <w:bottom w:val="none" w:sz="0" w:space="0" w:color="auto"/>
        <w:right w:val="none" w:sz="0" w:space="0" w:color="auto"/>
      </w:divBdr>
      <w:divsChild>
        <w:div w:id="532379079">
          <w:marLeft w:val="0"/>
          <w:marRight w:val="0"/>
          <w:marTop w:val="240"/>
          <w:marBottom w:val="480"/>
          <w:divBdr>
            <w:top w:val="none" w:sz="0" w:space="0" w:color="auto"/>
            <w:left w:val="none" w:sz="0" w:space="0" w:color="auto"/>
            <w:bottom w:val="none" w:sz="0" w:space="0" w:color="auto"/>
            <w:right w:val="none" w:sz="0" w:space="0" w:color="auto"/>
          </w:divBdr>
          <w:divsChild>
            <w:div w:id="2069064192">
              <w:marLeft w:val="0"/>
              <w:marRight w:val="0"/>
              <w:marTop w:val="0"/>
              <w:marBottom w:val="0"/>
              <w:divBdr>
                <w:top w:val="none" w:sz="0" w:space="0" w:color="auto"/>
                <w:left w:val="none" w:sz="0" w:space="0" w:color="auto"/>
                <w:bottom w:val="none" w:sz="0" w:space="0" w:color="auto"/>
                <w:right w:val="none" w:sz="0" w:space="0" w:color="auto"/>
              </w:divBdr>
              <w:divsChild>
                <w:div w:id="811947333">
                  <w:marLeft w:val="0"/>
                  <w:marRight w:val="0"/>
                  <w:marTop w:val="0"/>
                  <w:marBottom w:val="0"/>
                  <w:divBdr>
                    <w:top w:val="none" w:sz="0" w:space="0" w:color="auto"/>
                    <w:left w:val="none" w:sz="0" w:space="0" w:color="auto"/>
                    <w:bottom w:val="none" w:sz="0" w:space="0" w:color="auto"/>
                    <w:right w:val="none" w:sz="0" w:space="0" w:color="auto"/>
                  </w:divBdr>
                  <w:divsChild>
                    <w:div w:id="1939368068">
                      <w:marLeft w:val="0"/>
                      <w:marRight w:val="0"/>
                      <w:marTop w:val="0"/>
                      <w:marBottom w:val="0"/>
                      <w:divBdr>
                        <w:top w:val="none" w:sz="0" w:space="0" w:color="auto"/>
                        <w:left w:val="none" w:sz="0" w:space="0" w:color="auto"/>
                        <w:bottom w:val="none" w:sz="0" w:space="0" w:color="auto"/>
                        <w:right w:val="none" w:sz="0" w:space="0" w:color="auto"/>
                      </w:divBdr>
                      <w:divsChild>
                        <w:div w:id="2077387990">
                          <w:marLeft w:val="0"/>
                          <w:marRight w:val="0"/>
                          <w:marTop w:val="0"/>
                          <w:marBottom w:val="0"/>
                          <w:divBdr>
                            <w:top w:val="none" w:sz="0" w:space="0" w:color="auto"/>
                            <w:left w:val="none" w:sz="0" w:space="0" w:color="auto"/>
                            <w:bottom w:val="none" w:sz="0" w:space="0" w:color="auto"/>
                            <w:right w:val="none" w:sz="0" w:space="0" w:color="auto"/>
                          </w:divBdr>
                          <w:divsChild>
                            <w:div w:id="6136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3524">
      <w:bodyDiv w:val="1"/>
      <w:marLeft w:val="0"/>
      <w:marRight w:val="0"/>
      <w:marTop w:val="0"/>
      <w:marBottom w:val="0"/>
      <w:divBdr>
        <w:top w:val="none" w:sz="0" w:space="0" w:color="auto"/>
        <w:left w:val="none" w:sz="0" w:space="0" w:color="auto"/>
        <w:bottom w:val="none" w:sz="0" w:space="0" w:color="auto"/>
        <w:right w:val="none" w:sz="0" w:space="0" w:color="auto"/>
      </w:divBdr>
    </w:div>
    <w:div w:id="244002852">
      <w:bodyDiv w:val="1"/>
      <w:marLeft w:val="0"/>
      <w:marRight w:val="0"/>
      <w:marTop w:val="0"/>
      <w:marBottom w:val="0"/>
      <w:divBdr>
        <w:top w:val="none" w:sz="0" w:space="0" w:color="auto"/>
        <w:left w:val="none" w:sz="0" w:space="0" w:color="auto"/>
        <w:bottom w:val="none" w:sz="0" w:space="0" w:color="auto"/>
        <w:right w:val="none" w:sz="0" w:space="0" w:color="auto"/>
      </w:divBdr>
      <w:divsChild>
        <w:div w:id="224532762">
          <w:marLeft w:val="0"/>
          <w:marRight w:val="0"/>
          <w:marTop w:val="240"/>
          <w:marBottom w:val="480"/>
          <w:divBdr>
            <w:top w:val="none" w:sz="0" w:space="0" w:color="auto"/>
            <w:left w:val="none" w:sz="0" w:space="0" w:color="auto"/>
            <w:bottom w:val="none" w:sz="0" w:space="0" w:color="auto"/>
            <w:right w:val="none" w:sz="0" w:space="0" w:color="auto"/>
          </w:divBdr>
          <w:divsChild>
            <w:div w:id="2021929100">
              <w:marLeft w:val="0"/>
              <w:marRight w:val="0"/>
              <w:marTop w:val="0"/>
              <w:marBottom w:val="0"/>
              <w:divBdr>
                <w:top w:val="none" w:sz="0" w:space="0" w:color="auto"/>
                <w:left w:val="none" w:sz="0" w:space="0" w:color="auto"/>
                <w:bottom w:val="none" w:sz="0" w:space="0" w:color="auto"/>
                <w:right w:val="none" w:sz="0" w:space="0" w:color="auto"/>
              </w:divBdr>
              <w:divsChild>
                <w:div w:id="1154762226">
                  <w:marLeft w:val="0"/>
                  <w:marRight w:val="0"/>
                  <w:marTop w:val="0"/>
                  <w:marBottom w:val="0"/>
                  <w:divBdr>
                    <w:top w:val="none" w:sz="0" w:space="0" w:color="auto"/>
                    <w:left w:val="none" w:sz="0" w:space="0" w:color="auto"/>
                    <w:bottom w:val="none" w:sz="0" w:space="0" w:color="auto"/>
                    <w:right w:val="none" w:sz="0" w:space="0" w:color="auto"/>
                  </w:divBdr>
                  <w:divsChild>
                    <w:div w:id="460273276">
                      <w:marLeft w:val="0"/>
                      <w:marRight w:val="0"/>
                      <w:marTop w:val="0"/>
                      <w:marBottom w:val="0"/>
                      <w:divBdr>
                        <w:top w:val="none" w:sz="0" w:space="0" w:color="auto"/>
                        <w:left w:val="none" w:sz="0" w:space="0" w:color="auto"/>
                        <w:bottom w:val="none" w:sz="0" w:space="0" w:color="auto"/>
                        <w:right w:val="none" w:sz="0" w:space="0" w:color="auto"/>
                      </w:divBdr>
                      <w:divsChild>
                        <w:div w:id="1668511169">
                          <w:marLeft w:val="0"/>
                          <w:marRight w:val="0"/>
                          <w:marTop w:val="0"/>
                          <w:marBottom w:val="0"/>
                          <w:divBdr>
                            <w:top w:val="none" w:sz="0" w:space="0" w:color="auto"/>
                            <w:left w:val="none" w:sz="0" w:space="0" w:color="auto"/>
                            <w:bottom w:val="none" w:sz="0" w:space="0" w:color="auto"/>
                            <w:right w:val="none" w:sz="0" w:space="0" w:color="auto"/>
                          </w:divBdr>
                          <w:divsChild>
                            <w:div w:id="14246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17166">
      <w:bodyDiv w:val="1"/>
      <w:marLeft w:val="0"/>
      <w:marRight w:val="0"/>
      <w:marTop w:val="0"/>
      <w:marBottom w:val="0"/>
      <w:divBdr>
        <w:top w:val="none" w:sz="0" w:space="0" w:color="auto"/>
        <w:left w:val="none" w:sz="0" w:space="0" w:color="auto"/>
        <w:bottom w:val="none" w:sz="0" w:space="0" w:color="auto"/>
        <w:right w:val="none" w:sz="0" w:space="0" w:color="auto"/>
      </w:divBdr>
    </w:div>
    <w:div w:id="534579753">
      <w:bodyDiv w:val="1"/>
      <w:marLeft w:val="0"/>
      <w:marRight w:val="0"/>
      <w:marTop w:val="0"/>
      <w:marBottom w:val="0"/>
      <w:divBdr>
        <w:top w:val="none" w:sz="0" w:space="0" w:color="auto"/>
        <w:left w:val="none" w:sz="0" w:space="0" w:color="auto"/>
        <w:bottom w:val="none" w:sz="0" w:space="0" w:color="auto"/>
        <w:right w:val="none" w:sz="0" w:space="0" w:color="auto"/>
      </w:divBdr>
    </w:div>
    <w:div w:id="63919005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6307266">
      <w:bodyDiv w:val="1"/>
      <w:marLeft w:val="0"/>
      <w:marRight w:val="0"/>
      <w:marTop w:val="0"/>
      <w:marBottom w:val="0"/>
      <w:divBdr>
        <w:top w:val="none" w:sz="0" w:space="0" w:color="auto"/>
        <w:left w:val="none" w:sz="0" w:space="0" w:color="auto"/>
        <w:bottom w:val="none" w:sz="0" w:space="0" w:color="auto"/>
        <w:right w:val="none" w:sz="0" w:space="0" w:color="auto"/>
      </w:divBdr>
    </w:div>
    <w:div w:id="916017533">
      <w:bodyDiv w:val="1"/>
      <w:marLeft w:val="0"/>
      <w:marRight w:val="0"/>
      <w:marTop w:val="0"/>
      <w:marBottom w:val="0"/>
      <w:divBdr>
        <w:top w:val="none" w:sz="0" w:space="0" w:color="auto"/>
        <w:left w:val="none" w:sz="0" w:space="0" w:color="auto"/>
        <w:bottom w:val="none" w:sz="0" w:space="0" w:color="auto"/>
        <w:right w:val="none" w:sz="0" w:space="0" w:color="auto"/>
      </w:divBdr>
      <w:divsChild>
        <w:div w:id="1073545824">
          <w:marLeft w:val="0"/>
          <w:marRight w:val="0"/>
          <w:marTop w:val="240"/>
          <w:marBottom w:val="480"/>
          <w:divBdr>
            <w:top w:val="none" w:sz="0" w:space="0" w:color="auto"/>
            <w:left w:val="none" w:sz="0" w:space="0" w:color="auto"/>
            <w:bottom w:val="none" w:sz="0" w:space="0" w:color="auto"/>
            <w:right w:val="none" w:sz="0" w:space="0" w:color="auto"/>
          </w:divBdr>
          <w:divsChild>
            <w:div w:id="1761565410">
              <w:marLeft w:val="0"/>
              <w:marRight w:val="0"/>
              <w:marTop w:val="0"/>
              <w:marBottom w:val="0"/>
              <w:divBdr>
                <w:top w:val="none" w:sz="0" w:space="0" w:color="auto"/>
                <w:left w:val="none" w:sz="0" w:space="0" w:color="auto"/>
                <w:bottom w:val="none" w:sz="0" w:space="0" w:color="auto"/>
                <w:right w:val="none" w:sz="0" w:space="0" w:color="auto"/>
              </w:divBdr>
              <w:divsChild>
                <w:div w:id="1357198149">
                  <w:marLeft w:val="0"/>
                  <w:marRight w:val="0"/>
                  <w:marTop w:val="0"/>
                  <w:marBottom w:val="0"/>
                  <w:divBdr>
                    <w:top w:val="none" w:sz="0" w:space="0" w:color="auto"/>
                    <w:left w:val="none" w:sz="0" w:space="0" w:color="auto"/>
                    <w:bottom w:val="none" w:sz="0" w:space="0" w:color="auto"/>
                    <w:right w:val="none" w:sz="0" w:space="0" w:color="auto"/>
                  </w:divBdr>
                  <w:divsChild>
                    <w:div w:id="861822468">
                      <w:marLeft w:val="0"/>
                      <w:marRight w:val="0"/>
                      <w:marTop w:val="0"/>
                      <w:marBottom w:val="0"/>
                      <w:divBdr>
                        <w:top w:val="none" w:sz="0" w:space="0" w:color="auto"/>
                        <w:left w:val="none" w:sz="0" w:space="0" w:color="auto"/>
                        <w:bottom w:val="none" w:sz="0" w:space="0" w:color="auto"/>
                        <w:right w:val="none" w:sz="0" w:space="0" w:color="auto"/>
                      </w:divBdr>
                      <w:divsChild>
                        <w:div w:id="1043627955">
                          <w:marLeft w:val="0"/>
                          <w:marRight w:val="0"/>
                          <w:marTop w:val="0"/>
                          <w:marBottom w:val="0"/>
                          <w:divBdr>
                            <w:top w:val="none" w:sz="0" w:space="0" w:color="auto"/>
                            <w:left w:val="none" w:sz="0" w:space="0" w:color="auto"/>
                            <w:bottom w:val="none" w:sz="0" w:space="0" w:color="auto"/>
                            <w:right w:val="none" w:sz="0" w:space="0" w:color="auto"/>
                          </w:divBdr>
                          <w:divsChild>
                            <w:div w:id="13236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348242">
      <w:bodyDiv w:val="1"/>
      <w:marLeft w:val="0"/>
      <w:marRight w:val="0"/>
      <w:marTop w:val="0"/>
      <w:marBottom w:val="0"/>
      <w:divBdr>
        <w:top w:val="none" w:sz="0" w:space="0" w:color="auto"/>
        <w:left w:val="none" w:sz="0" w:space="0" w:color="auto"/>
        <w:bottom w:val="none" w:sz="0" w:space="0" w:color="auto"/>
        <w:right w:val="none" w:sz="0" w:space="0" w:color="auto"/>
      </w:divBdr>
      <w:divsChild>
        <w:div w:id="2082561586">
          <w:marLeft w:val="0"/>
          <w:marRight w:val="0"/>
          <w:marTop w:val="240"/>
          <w:marBottom w:val="480"/>
          <w:divBdr>
            <w:top w:val="none" w:sz="0" w:space="0" w:color="auto"/>
            <w:left w:val="none" w:sz="0" w:space="0" w:color="auto"/>
            <w:bottom w:val="none" w:sz="0" w:space="0" w:color="auto"/>
            <w:right w:val="none" w:sz="0" w:space="0" w:color="auto"/>
          </w:divBdr>
          <w:divsChild>
            <w:div w:id="43915462">
              <w:marLeft w:val="0"/>
              <w:marRight w:val="0"/>
              <w:marTop w:val="0"/>
              <w:marBottom w:val="0"/>
              <w:divBdr>
                <w:top w:val="none" w:sz="0" w:space="0" w:color="auto"/>
                <w:left w:val="none" w:sz="0" w:space="0" w:color="auto"/>
                <w:bottom w:val="none" w:sz="0" w:space="0" w:color="auto"/>
                <w:right w:val="none" w:sz="0" w:space="0" w:color="auto"/>
              </w:divBdr>
              <w:divsChild>
                <w:div w:id="1378356985">
                  <w:marLeft w:val="0"/>
                  <w:marRight w:val="0"/>
                  <w:marTop w:val="0"/>
                  <w:marBottom w:val="0"/>
                  <w:divBdr>
                    <w:top w:val="none" w:sz="0" w:space="0" w:color="auto"/>
                    <w:left w:val="none" w:sz="0" w:space="0" w:color="auto"/>
                    <w:bottom w:val="none" w:sz="0" w:space="0" w:color="auto"/>
                    <w:right w:val="none" w:sz="0" w:space="0" w:color="auto"/>
                  </w:divBdr>
                  <w:divsChild>
                    <w:div w:id="2054115936">
                      <w:marLeft w:val="0"/>
                      <w:marRight w:val="0"/>
                      <w:marTop w:val="0"/>
                      <w:marBottom w:val="0"/>
                      <w:divBdr>
                        <w:top w:val="none" w:sz="0" w:space="0" w:color="auto"/>
                        <w:left w:val="none" w:sz="0" w:space="0" w:color="auto"/>
                        <w:bottom w:val="none" w:sz="0" w:space="0" w:color="auto"/>
                        <w:right w:val="none" w:sz="0" w:space="0" w:color="auto"/>
                      </w:divBdr>
                      <w:divsChild>
                        <w:div w:id="14574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258271">
      <w:bodyDiv w:val="1"/>
      <w:marLeft w:val="0"/>
      <w:marRight w:val="0"/>
      <w:marTop w:val="0"/>
      <w:marBottom w:val="0"/>
      <w:divBdr>
        <w:top w:val="none" w:sz="0" w:space="0" w:color="auto"/>
        <w:left w:val="none" w:sz="0" w:space="0" w:color="auto"/>
        <w:bottom w:val="none" w:sz="0" w:space="0" w:color="auto"/>
        <w:right w:val="none" w:sz="0" w:space="0" w:color="auto"/>
      </w:divBdr>
      <w:divsChild>
        <w:div w:id="848712961">
          <w:marLeft w:val="0"/>
          <w:marRight w:val="0"/>
          <w:marTop w:val="240"/>
          <w:marBottom w:val="480"/>
          <w:divBdr>
            <w:top w:val="none" w:sz="0" w:space="0" w:color="auto"/>
            <w:left w:val="none" w:sz="0" w:space="0" w:color="auto"/>
            <w:bottom w:val="none" w:sz="0" w:space="0" w:color="auto"/>
            <w:right w:val="none" w:sz="0" w:space="0" w:color="auto"/>
          </w:divBdr>
          <w:divsChild>
            <w:div w:id="1363557638">
              <w:marLeft w:val="0"/>
              <w:marRight w:val="0"/>
              <w:marTop w:val="0"/>
              <w:marBottom w:val="0"/>
              <w:divBdr>
                <w:top w:val="none" w:sz="0" w:space="0" w:color="auto"/>
                <w:left w:val="none" w:sz="0" w:space="0" w:color="auto"/>
                <w:bottom w:val="none" w:sz="0" w:space="0" w:color="auto"/>
                <w:right w:val="none" w:sz="0" w:space="0" w:color="auto"/>
              </w:divBdr>
              <w:divsChild>
                <w:div w:id="1287929703">
                  <w:marLeft w:val="0"/>
                  <w:marRight w:val="0"/>
                  <w:marTop w:val="0"/>
                  <w:marBottom w:val="0"/>
                  <w:divBdr>
                    <w:top w:val="none" w:sz="0" w:space="0" w:color="auto"/>
                    <w:left w:val="none" w:sz="0" w:space="0" w:color="auto"/>
                    <w:bottom w:val="none" w:sz="0" w:space="0" w:color="auto"/>
                    <w:right w:val="none" w:sz="0" w:space="0" w:color="auto"/>
                  </w:divBdr>
                  <w:divsChild>
                    <w:div w:id="1746608165">
                      <w:marLeft w:val="0"/>
                      <w:marRight w:val="0"/>
                      <w:marTop w:val="0"/>
                      <w:marBottom w:val="0"/>
                      <w:divBdr>
                        <w:top w:val="none" w:sz="0" w:space="0" w:color="auto"/>
                        <w:left w:val="none" w:sz="0" w:space="0" w:color="auto"/>
                        <w:bottom w:val="none" w:sz="0" w:space="0" w:color="auto"/>
                        <w:right w:val="none" w:sz="0" w:space="0" w:color="auto"/>
                      </w:divBdr>
                      <w:divsChild>
                        <w:div w:id="931547100">
                          <w:marLeft w:val="0"/>
                          <w:marRight w:val="0"/>
                          <w:marTop w:val="0"/>
                          <w:marBottom w:val="0"/>
                          <w:divBdr>
                            <w:top w:val="none" w:sz="0" w:space="0" w:color="auto"/>
                            <w:left w:val="none" w:sz="0" w:space="0" w:color="auto"/>
                            <w:bottom w:val="none" w:sz="0" w:space="0" w:color="auto"/>
                            <w:right w:val="none" w:sz="0" w:space="0" w:color="auto"/>
                          </w:divBdr>
                          <w:divsChild>
                            <w:div w:id="15653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05062">
      <w:bodyDiv w:val="1"/>
      <w:marLeft w:val="0"/>
      <w:marRight w:val="0"/>
      <w:marTop w:val="0"/>
      <w:marBottom w:val="0"/>
      <w:divBdr>
        <w:top w:val="none" w:sz="0" w:space="0" w:color="auto"/>
        <w:left w:val="none" w:sz="0" w:space="0" w:color="auto"/>
        <w:bottom w:val="none" w:sz="0" w:space="0" w:color="auto"/>
        <w:right w:val="none" w:sz="0" w:space="0" w:color="auto"/>
      </w:divBdr>
    </w:div>
    <w:div w:id="1205561518">
      <w:bodyDiv w:val="1"/>
      <w:marLeft w:val="0"/>
      <w:marRight w:val="0"/>
      <w:marTop w:val="0"/>
      <w:marBottom w:val="0"/>
      <w:divBdr>
        <w:top w:val="none" w:sz="0" w:space="0" w:color="auto"/>
        <w:left w:val="none" w:sz="0" w:space="0" w:color="auto"/>
        <w:bottom w:val="none" w:sz="0" w:space="0" w:color="auto"/>
        <w:right w:val="none" w:sz="0" w:space="0" w:color="auto"/>
      </w:divBdr>
    </w:div>
    <w:div w:id="1315181111">
      <w:bodyDiv w:val="1"/>
      <w:marLeft w:val="0"/>
      <w:marRight w:val="0"/>
      <w:marTop w:val="0"/>
      <w:marBottom w:val="0"/>
      <w:divBdr>
        <w:top w:val="none" w:sz="0" w:space="0" w:color="auto"/>
        <w:left w:val="none" w:sz="0" w:space="0" w:color="auto"/>
        <w:bottom w:val="none" w:sz="0" w:space="0" w:color="auto"/>
        <w:right w:val="none" w:sz="0" w:space="0" w:color="auto"/>
      </w:divBdr>
    </w:div>
    <w:div w:id="1402563706">
      <w:bodyDiv w:val="1"/>
      <w:marLeft w:val="0"/>
      <w:marRight w:val="0"/>
      <w:marTop w:val="0"/>
      <w:marBottom w:val="0"/>
      <w:divBdr>
        <w:top w:val="none" w:sz="0" w:space="0" w:color="auto"/>
        <w:left w:val="none" w:sz="0" w:space="0" w:color="auto"/>
        <w:bottom w:val="none" w:sz="0" w:space="0" w:color="auto"/>
        <w:right w:val="none" w:sz="0" w:space="0" w:color="auto"/>
      </w:divBdr>
      <w:divsChild>
        <w:div w:id="420178977">
          <w:marLeft w:val="0"/>
          <w:marRight w:val="0"/>
          <w:marTop w:val="240"/>
          <w:marBottom w:val="480"/>
          <w:divBdr>
            <w:top w:val="none" w:sz="0" w:space="0" w:color="auto"/>
            <w:left w:val="none" w:sz="0" w:space="0" w:color="auto"/>
            <w:bottom w:val="none" w:sz="0" w:space="0" w:color="auto"/>
            <w:right w:val="none" w:sz="0" w:space="0" w:color="auto"/>
          </w:divBdr>
          <w:divsChild>
            <w:div w:id="1753354345">
              <w:marLeft w:val="0"/>
              <w:marRight w:val="0"/>
              <w:marTop w:val="0"/>
              <w:marBottom w:val="0"/>
              <w:divBdr>
                <w:top w:val="none" w:sz="0" w:space="0" w:color="auto"/>
                <w:left w:val="none" w:sz="0" w:space="0" w:color="auto"/>
                <w:bottom w:val="none" w:sz="0" w:space="0" w:color="auto"/>
                <w:right w:val="none" w:sz="0" w:space="0" w:color="auto"/>
              </w:divBdr>
              <w:divsChild>
                <w:div w:id="595671870">
                  <w:marLeft w:val="0"/>
                  <w:marRight w:val="0"/>
                  <w:marTop w:val="0"/>
                  <w:marBottom w:val="0"/>
                  <w:divBdr>
                    <w:top w:val="none" w:sz="0" w:space="0" w:color="auto"/>
                    <w:left w:val="none" w:sz="0" w:space="0" w:color="auto"/>
                    <w:bottom w:val="none" w:sz="0" w:space="0" w:color="auto"/>
                    <w:right w:val="none" w:sz="0" w:space="0" w:color="auto"/>
                  </w:divBdr>
                  <w:divsChild>
                    <w:div w:id="586306236">
                      <w:marLeft w:val="0"/>
                      <w:marRight w:val="0"/>
                      <w:marTop w:val="0"/>
                      <w:marBottom w:val="0"/>
                      <w:divBdr>
                        <w:top w:val="none" w:sz="0" w:space="0" w:color="auto"/>
                        <w:left w:val="none" w:sz="0" w:space="0" w:color="auto"/>
                        <w:bottom w:val="none" w:sz="0" w:space="0" w:color="auto"/>
                        <w:right w:val="none" w:sz="0" w:space="0" w:color="auto"/>
                      </w:divBdr>
                      <w:divsChild>
                        <w:div w:id="1949657543">
                          <w:marLeft w:val="0"/>
                          <w:marRight w:val="0"/>
                          <w:marTop w:val="0"/>
                          <w:marBottom w:val="0"/>
                          <w:divBdr>
                            <w:top w:val="none" w:sz="0" w:space="0" w:color="auto"/>
                            <w:left w:val="none" w:sz="0" w:space="0" w:color="auto"/>
                            <w:bottom w:val="none" w:sz="0" w:space="0" w:color="auto"/>
                            <w:right w:val="none" w:sz="0" w:space="0" w:color="auto"/>
                          </w:divBdr>
                          <w:divsChild>
                            <w:div w:id="9272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736">
      <w:bodyDiv w:val="1"/>
      <w:marLeft w:val="0"/>
      <w:marRight w:val="0"/>
      <w:marTop w:val="0"/>
      <w:marBottom w:val="0"/>
      <w:divBdr>
        <w:top w:val="none" w:sz="0" w:space="0" w:color="auto"/>
        <w:left w:val="none" w:sz="0" w:space="0" w:color="auto"/>
        <w:bottom w:val="none" w:sz="0" w:space="0" w:color="auto"/>
        <w:right w:val="none" w:sz="0" w:space="0" w:color="auto"/>
      </w:divBdr>
    </w:div>
    <w:div w:id="1526097741">
      <w:bodyDiv w:val="1"/>
      <w:marLeft w:val="0"/>
      <w:marRight w:val="0"/>
      <w:marTop w:val="0"/>
      <w:marBottom w:val="0"/>
      <w:divBdr>
        <w:top w:val="none" w:sz="0" w:space="0" w:color="auto"/>
        <w:left w:val="none" w:sz="0" w:space="0" w:color="auto"/>
        <w:bottom w:val="none" w:sz="0" w:space="0" w:color="auto"/>
        <w:right w:val="none" w:sz="0" w:space="0" w:color="auto"/>
      </w:divBdr>
    </w:div>
    <w:div w:id="1581450678">
      <w:bodyDiv w:val="1"/>
      <w:marLeft w:val="0"/>
      <w:marRight w:val="0"/>
      <w:marTop w:val="0"/>
      <w:marBottom w:val="0"/>
      <w:divBdr>
        <w:top w:val="none" w:sz="0" w:space="0" w:color="auto"/>
        <w:left w:val="none" w:sz="0" w:space="0" w:color="auto"/>
        <w:bottom w:val="none" w:sz="0" w:space="0" w:color="auto"/>
        <w:right w:val="none" w:sz="0" w:space="0" w:color="auto"/>
      </w:divBdr>
    </w:div>
    <w:div w:id="1629042868">
      <w:bodyDiv w:val="1"/>
      <w:marLeft w:val="0"/>
      <w:marRight w:val="0"/>
      <w:marTop w:val="0"/>
      <w:marBottom w:val="0"/>
      <w:divBdr>
        <w:top w:val="none" w:sz="0" w:space="0" w:color="auto"/>
        <w:left w:val="none" w:sz="0" w:space="0" w:color="auto"/>
        <w:bottom w:val="none" w:sz="0" w:space="0" w:color="auto"/>
        <w:right w:val="none" w:sz="0" w:space="0" w:color="auto"/>
      </w:divBdr>
    </w:div>
    <w:div w:id="168042754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15636735">
      <w:bodyDiv w:val="1"/>
      <w:marLeft w:val="0"/>
      <w:marRight w:val="0"/>
      <w:marTop w:val="0"/>
      <w:marBottom w:val="0"/>
      <w:divBdr>
        <w:top w:val="none" w:sz="0" w:space="0" w:color="auto"/>
        <w:left w:val="none" w:sz="0" w:space="0" w:color="auto"/>
        <w:bottom w:val="none" w:sz="0" w:space="0" w:color="auto"/>
        <w:right w:val="none" w:sz="0" w:space="0" w:color="auto"/>
      </w:divBdr>
    </w:div>
    <w:div w:id="185390730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8628526">
      <w:bodyDiv w:val="1"/>
      <w:marLeft w:val="0"/>
      <w:marRight w:val="0"/>
      <w:marTop w:val="0"/>
      <w:marBottom w:val="0"/>
      <w:divBdr>
        <w:top w:val="none" w:sz="0" w:space="0" w:color="auto"/>
        <w:left w:val="none" w:sz="0" w:space="0" w:color="auto"/>
        <w:bottom w:val="none" w:sz="0" w:space="0" w:color="auto"/>
        <w:right w:val="none" w:sz="0" w:space="0" w:color="auto"/>
      </w:divBdr>
    </w:div>
    <w:div w:id="2006198250">
      <w:bodyDiv w:val="1"/>
      <w:marLeft w:val="0"/>
      <w:marRight w:val="0"/>
      <w:marTop w:val="0"/>
      <w:marBottom w:val="0"/>
      <w:divBdr>
        <w:top w:val="none" w:sz="0" w:space="0" w:color="auto"/>
        <w:left w:val="none" w:sz="0" w:space="0" w:color="auto"/>
        <w:bottom w:val="none" w:sz="0" w:space="0" w:color="auto"/>
        <w:right w:val="none" w:sz="0" w:space="0" w:color="auto"/>
      </w:divBdr>
    </w:div>
    <w:div w:id="20178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48D4-4313-47F6-A5A3-2C8EE020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2015-08-21T00:57:00Z</dcterms:created>
  <dcterms:modified xsi:type="dcterms:W3CDTF">2015-10-16T05:25:00Z</dcterms:modified>
</cp:coreProperties>
</file>