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39" w:rsidRPr="00F875E6" w:rsidRDefault="00FF2280" w:rsidP="00577717">
      <w:pPr>
        <w:pStyle w:val="Heading1"/>
        <w:rPr>
          <w:sz w:val="28"/>
        </w:rPr>
      </w:pPr>
      <w:bookmarkStart w:id="0" w:name="_Toc419470590"/>
      <w:r w:rsidRPr="00F875E6">
        <w:rPr>
          <w:sz w:val="28"/>
        </w:rPr>
        <w:t>4</w:t>
      </w:r>
      <w:r w:rsidR="00B60939" w:rsidRPr="00F875E6">
        <w:rPr>
          <w:sz w:val="28"/>
        </w:rPr>
        <w:t>.</w:t>
      </w:r>
      <w:r w:rsidRPr="00F875E6">
        <w:rPr>
          <w:sz w:val="28"/>
        </w:rPr>
        <w:t>1</w:t>
      </w:r>
      <w:r w:rsidR="00B60939" w:rsidRPr="00F875E6">
        <w:rPr>
          <w:sz w:val="28"/>
        </w:rPr>
        <w:tab/>
      </w:r>
      <w:r w:rsidR="00305395" w:rsidRPr="00F875E6">
        <w:rPr>
          <w:sz w:val="28"/>
        </w:rPr>
        <w:t xml:space="preserve">PONATINIB </w:t>
      </w:r>
      <w:r w:rsidR="00305395" w:rsidRPr="00F875E6">
        <w:rPr>
          <w:caps w:val="0"/>
          <w:sz w:val="28"/>
        </w:rPr>
        <w:t>tablet, 15 mg and 45 mg</w:t>
      </w:r>
      <w:r w:rsidR="00B60939" w:rsidRPr="00F875E6">
        <w:rPr>
          <w:sz w:val="28"/>
        </w:rPr>
        <w:t xml:space="preserve">, </w:t>
      </w:r>
      <w:r w:rsidR="00305395" w:rsidRPr="00F875E6">
        <w:rPr>
          <w:caps w:val="0"/>
          <w:sz w:val="28"/>
        </w:rPr>
        <w:t>Iclusig</w:t>
      </w:r>
      <w:r w:rsidR="00B60939" w:rsidRPr="00F875E6">
        <w:rPr>
          <w:sz w:val="28"/>
          <w:vertAlign w:val="superscript"/>
        </w:rPr>
        <w:t>®</w:t>
      </w:r>
      <w:r w:rsidR="00B60939" w:rsidRPr="00F875E6">
        <w:rPr>
          <w:sz w:val="28"/>
        </w:rPr>
        <w:t xml:space="preserve">, </w:t>
      </w:r>
      <w:r w:rsidR="00F338FF" w:rsidRPr="00F875E6">
        <w:rPr>
          <w:caps w:val="0"/>
          <w:sz w:val="28"/>
        </w:rPr>
        <w:t>Sp</w:t>
      </w:r>
      <w:r w:rsidR="00305395" w:rsidRPr="00F875E6">
        <w:rPr>
          <w:caps w:val="0"/>
          <w:sz w:val="28"/>
        </w:rPr>
        <w:t>ecialised Therapeutics</w:t>
      </w:r>
      <w:r w:rsidR="00B60939" w:rsidRPr="00F875E6">
        <w:rPr>
          <w:sz w:val="28"/>
        </w:rPr>
        <w:t>.</w:t>
      </w:r>
      <w:bookmarkEnd w:id="0"/>
    </w:p>
    <w:p w:rsidR="00B60939" w:rsidRPr="00F875E6" w:rsidRDefault="00B60939" w:rsidP="00577717"/>
    <w:p w:rsidR="00F338FF" w:rsidRPr="00F875E6" w:rsidRDefault="00F338FF" w:rsidP="00577717"/>
    <w:p w:rsidR="00F338FF" w:rsidRPr="00F875E6" w:rsidRDefault="00F338FF" w:rsidP="005D7E3E">
      <w:pPr>
        <w:pStyle w:val="PBACheading1"/>
        <w:rPr>
          <w:b/>
        </w:rPr>
      </w:pPr>
      <w:bookmarkStart w:id="1" w:name="_Toc419470592"/>
      <w:r w:rsidRPr="00F875E6">
        <w:rPr>
          <w:b/>
        </w:rPr>
        <w:t>Purpose of Application</w:t>
      </w:r>
      <w:bookmarkEnd w:id="1"/>
    </w:p>
    <w:p w:rsidR="00B60939" w:rsidRPr="00F875E6" w:rsidRDefault="00B60939" w:rsidP="00B60939">
      <w:pPr>
        <w:rPr>
          <w:szCs w:val="22"/>
        </w:rPr>
      </w:pPr>
    </w:p>
    <w:p w:rsidR="00DC5B18" w:rsidRPr="00F875E6" w:rsidRDefault="001E238E" w:rsidP="006D1EE0">
      <w:pPr>
        <w:pStyle w:val="ListParagraph"/>
        <w:widowControl/>
        <w:numPr>
          <w:ilvl w:val="1"/>
          <w:numId w:val="4"/>
        </w:numPr>
        <w:rPr>
          <w:szCs w:val="22"/>
        </w:rPr>
      </w:pPr>
      <w:r w:rsidRPr="00F875E6">
        <w:t xml:space="preserve">Authority Required listing for </w:t>
      </w:r>
      <w:r w:rsidR="00DC5B18" w:rsidRPr="00F875E6">
        <w:t>ponatinib</w:t>
      </w:r>
      <w:r w:rsidRPr="00F875E6">
        <w:t xml:space="preserve"> for treatment of </w:t>
      </w:r>
      <w:r w:rsidR="00DC5B18" w:rsidRPr="00F875E6">
        <w:t xml:space="preserve">adult patients: </w:t>
      </w:r>
    </w:p>
    <w:p w:rsidR="00DC5B18" w:rsidRPr="00F875E6" w:rsidRDefault="00DC5B18" w:rsidP="006E35B4">
      <w:pPr>
        <w:pStyle w:val="ListParagraph"/>
        <w:widowControl/>
        <w:numPr>
          <w:ilvl w:val="0"/>
          <w:numId w:val="16"/>
        </w:numPr>
        <w:ind w:left="1134"/>
        <w:rPr>
          <w:szCs w:val="22"/>
        </w:rPr>
      </w:pPr>
      <w:r w:rsidRPr="00F875E6">
        <w:t xml:space="preserve">with chronic myeloid leukaemia (CML) </w:t>
      </w:r>
      <w:r w:rsidR="00546EB9" w:rsidRPr="00F875E6">
        <w:t>who has failed an adequate trial of dasatinib and nilotinib, or where one of nilotinib or dasatinib has failed and who are intolerant of the other drug</w:t>
      </w:r>
      <w:r w:rsidRPr="00F875E6">
        <w:t xml:space="preserve">; </w:t>
      </w:r>
    </w:p>
    <w:p w:rsidR="005132E8" w:rsidRPr="00F875E6" w:rsidRDefault="005132E8" w:rsidP="006E35B4">
      <w:pPr>
        <w:pStyle w:val="ListParagraph"/>
        <w:widowControl/>
        <w:numPr>
          <w:ilvl w:val="0"/>
          <w:numId w:val="16"/>
        </w:numPr>
        <w:ind w:left="1134"/>
        <w:rPr>
          <w:szCs w:val="22"/>
        </w:rPr>
      </w:pPr>
      <w:r w:rsidRPr="00F875E6">
        <w:t>with CML and T315l mutation</w:t>
      </w:r>
      <w:r w:rsidR="00783627" w:rsidRPr="00F875E6">
        <w:t xml:space="preserve"> in B</w:t>
      </w:r>
      <w:bookmarkStart w:id="2" w:name="_GoBack"/>
      <w:bookmarkEnd w:id="2"/>
      <w:r w:rsidR="00783627" w:rsidRPr="00F875E6">
        <w:t>CR-ABL</w:t>
      </w:r>
      <w:r w:rsidRPr="00F875E6">
        <w:t xml:space="preserve"> who have failed first</w:t>
      </w:r>
      <w:r w:rsidR="00B57A27" w:rsidRPr="00F875E6">
        <w:t>-</w:t>
      </w:r>
      <w:r w:rsidRPr="00F875E6">
        <w:t>line therapy with imatinib or dasatinib or nilotinib;</w:t>
      </w:r>
    </w:p>
    <w:p w:rsidR="00DC5B18" w:rsidRPr="00F875E6" w:rsidRDefault="00DC5B18" w:rsidP="006E35B4">
      <w:pPr>
        <w:pStyle w:val="ListParagraph"/>
        <w:widowControl/>
        <w:numPr>
          <w:ilvl w:val="0"/>
          <w:numId w:val="16"/>
        </w:numPr>
        <w:ind w:left="1134"/>
        <w:rPr>
          <w:szCs w:val="22"/>
        </w:rPr>
      </w:pPr>
      <w:r w:rsidRPr="00F875E6">
        <w:t xml:space="preserve">with </w:t>
      </w:r>
      <w:r w:rsidR="005132E8" w:rsidRPr="00F875E6">
        <w:t xml:space="preserve">relapsed or refractory BCR-ABL positive </w:t>
      </w:r>
      <w:r w:rsidRPr="00F875E6">
        <w:t>acute lympho</w:t>
      </w:r>
      <w:r w:rsidR="003F34BA" w:rsidRPr="00F875E6">
        <w:t>bl</w:t>
      </w:r>
      <w:r w:rsidRPr="00F875E6">
        <w:t>astic leukaemia (</w:t>
      </w:r>
      <w:r w:rsidR="005132E8" w:rsidRPr="00F875E6">
        <w:t xml:space="preserve">Ph+ </w:t>
      </w:r>
      <w:r w:rsidRPr="00F875E6">
        <w:t xml:space="preserve">ALL), </w:t>
      </w:r>
      <w:r w:rsidR="005132E8" w:rsidRPr="00F875E6">
        <w:rPr>
          <w:u w:val="single"/>
        </w:rPr>
        <w:t>with or without</w:t>
      </w:r>
      <w:r w:rsidRPr="00F875E6">
        <w:t xml:space="preserve"> the T315l mutation</w:t>
      </w:r>
      <w:r w:rsidR="001E238E" w:rsidRPr="00F875E6">
        <w:t>.</w:t>
      </w:r>
      <w:r w:rsidRPr="00F875E6">
        <w:t xml:space="preserve"> </w:t>
      </w:r>
    </w:p>
    <w:p w:rsidR="005132E8" w:rsidRPr="00F875E6" w:rsidRDefault="005132E8" w:rsidP="00DC5B18">
      <w:pPr>
        <w:widowControl/>
        <w:ind w:left="360" w:firstLine="360"/>
      </w:pPr>
    </w:p>
    <w:p w:rsidR="00406AE8" w:rsidRPr="00F875E6" w:rsidRDefault="00406AE8" w:rsidP="00406AE8">
      <w:pPr>
        <w:pStyle w:val="ListParagraph"/>
        <w:widowControl/>
        <w:numPr>
          <w:ilvl w:val="1"/>
          <w:numId w:val="4"/>
        </w:numPr>
        <w:rPr>
          <w:szCs w:val="22"/>
        </w:rPr>
      </w:pPr>
      <w:r w:rsidRPr="00F875E6">
        <w:t>Ponatinib was deferred at the November 2014 PBAC meeting. The PBAC requested better alignment of the restrictions to the populations of patients most likely to benefit, adjustments of the economic analyses and financial estimates in line with the considerations of the PBAC, and a significant price reduction of ponatinib to account for the significant cost associated with care of patients with vascular occlusive events induced by ponatinib</w:t>
      </w:r>
      <w:r w:rsidR="00B835DE" w:rsidRPr="00F875E6">
        <w:t>.</w:t>
      </w:r>
    </w:p>
    <w:p w:rsidR="001B6188" w:rsidRPr="00F875E6" w:rsidRDefault="001B6188" w:rsidP="00497F10"/>
    <w:p w:rsidR="00C919BF" w:rsidRPr="00F875E6" w:rsidRDefault="00C919BF" w:rsidP="00497F10"/>
    <w:p w:rsidR="00F338FF" w:rsidRPr="00F875E6" w:rsidRDefault="00F338FF" w:rsidP="005D7E3E">
      <w:pPr>
        <w:pStyle w:val="PBACheading1"/>
        <w:rPr>
          <w:b/>
        </w:rPr>
      </w:pPr>
      <w:bookmarkStart w:id="3" w:name="_Toc419470593"/>
      <w:r w:rsidRPr="00F875E6">
        <w:rPr>
          <w:b/>
        </w:rPr>
        <w:t>Requested listing</w:t>
      </w:r>
      <w:bookmarkEnd w:id="3"/>
    </w:p>
    <w:p w:rsidR="00B60939" w:rsidRPr="00F875E6" w:rsidRDefault="00B60939" w:rsidP="00497F10"/>
    <w:p w:rsidR="00B71B75" w:rsidRPr="00F875E6" w:rsidRDefault="00E445EB" w:rsidP="00101AA2">
      <w:pPr>
        <w:pStyle w:val="ListParagraph"/>
        <w:widowControl/>
        <w:numPr>
          <w:ilvl w:val="1"/>
          <w:numId w:val="4"/>
        </w:numPr>
        <w:rPr>
          <w:szCs w:val="22"/>
        </w:rPr>
      </w:pPr>
      <w:r w:rsidRPr="00F875E6">
        <w:rPr>
          <w:szCs w:val="22"/>
        </w:rPr>
        <w:t xml:space="preserve">An abridged version of the requested listing is presented below. </w:t>
      </w:r>
    </w:p>
    <w:p w:rsidR="00C0210F" w:rsidRPr="00F875E6" w:rsidRDefault="00C0210F" w:rsidP="00C0210F">
      <w:pPr>
        <w:pStyle w:val="ListParagraph"/>
        <w:widowControl/>
        <w:rPr>
          <w:i/>
          <w:szCs w:val="22"/>
        </w:rPr>
      </w:pPr>
    </w:p>
    <w:tbl>
      <w:tblPr>
        <w:tblW w:w="4646" w:type="pct"/>
        <w:tblInd w:w="738" w:type="dxa"/>
        <w:tblCellMar>
          <w:left w:w="28" w:type="dxa"/>
          <w:right w:w="28" w:type="dxa"/>
        </w:tblCellMar>
        <w:tblLook w:val="0000" w:firstRow="0" w:lastRow="0" w:firstColumn="0" w:lastColumn="0" w:noHBand="0" w:noVBand="0"/>
      </w:tblPr>
      <w:tblGrid>
        <w:gridCol w:w="3079"/>
        <w:gridCol w:w="670"/>
        <w:gridCol w:w="812"/>
        <w:gridCol w:w="1490"/>
        <w:gridCol w:w="1176"/>
        <w:gridCol w:w="1213"/>
      </w:tblGrid>
      <w:tr w:rsidR="00B71B75" w:rsidRPr="00F875E6" w:rsidTr="00BB49E8">
        <w:trPr>
          <w:cantSplit/>
          <w:trHeight w:val="463"/>
        </w:trPr>
        <w:tc>
          <w:tcPr>
            <w:tcW w:w="1841" w:type="pct"/>
            <w:tcBorders>
              <w:top w:val="single" w:sz="4" w:space="0" w:color="auto"/>
              <w:left w:val="single" w:sz="4" w:space="0" w:color="auto"/>
              <w:bottom w:val="single" w:sz="4" w:space="0" w:color="auto"/>
              <w:right w:val="single" w:sz="4" w:space="0" w:color="auto"/>
            </w:tcBorders>
            <w:vAlign w:val="center"/>
          </w:tcPr>
          <w:p w:rsidR="00B71B75" w:rsidRPr="00F875E6" w:rsidRDefault="00B71B75" w:rsidP="00BB49E8">
            <w:pPr>
              <w:keepNext/>
              <w:rPr>
                <w:sz w:val="20"/>
              </w:rPr>
            </w:pPr>
            <w:r w:rsidRPr="00F875E6">
              <w:rPr>
                <w:sz w:val="20"/>
              </w:rPr>
              <w:t>Name, Restriction,</w:t>
            </w:r>
          </w:p>
          <w:p w:rsidR="00B71B75" w:rsidRPr="00F875E6" w:rsidRDefault="00B71B75" w:rsidP="00BB49E8">
            <w:pPr>
              <w:keepNext/>
              <w:rPr>
                <w:sz w:val="20"/>
              </w:rPr>
            </w:pPr>
            <w:r w:rsidRPr="00F875E6">
              <w:rPr>
                <w:sz w:val="20"/>
              </w:rPr>
              <w:t>Manner of administration and form</w:t>
            </w:r>
          </w:p>
        </w:tc>
        <w:tc>
          <w:tcPr>
            <w:tcW w:w="414" w:type="pct"/>
            <w:tcBorders>
              <w:top w:val="single" w:sz="4" w:space="0" w:color="auto"/>
              <w:left w:val="single" w:sz="4" w:space="0" w:color="auto"/>
              <w:bottom w:val="single" w:sz="4" w:space="0" w:color="auto"/>
              <w:right w:val="single" w:sz="4" w:space="0" w:color="auto"/>
            </w:tcBorders>
            <w:vAlign w:val="center"/>
          </w:tcPr>
          <w:p w:rsidR="00B71B75" w:rsidRPr="00F875E6" w:rsidRDefault="00B71B75" w:rsidP="00BB49E8">
            <w:pPr>
              <w:keepNext/>
              <w:jc w:val="center"/>
              <w:rPr>
                <w:sz w:val="20"/>
              </w:rPr>
            </w:pPr>
            <w:r w:rsidRPr="00F875E6">
              <w:rPr>
                <w:sz w:val="20"/>
              </w:rPr>
              <w:t>Max.</w:t>
            </w:r>
          </w:p>
          <w:p w:rsidR="00B71B75" w:rsidRPr="00F875E6" w:rsidRDefault="00B71B75" w:rsidP="00BB49E8">
            <w:pPr>
              <w:keepNext/>
              <w:jc w:val="center"/>
              <w:rPr>
                <w:sz w:val="20"/>
              </w:rPr>
            </w:pPr>
            <w:r w:rsidRPr="00F875E6">
              <w:rPr>
                <w:sz w:val="20"/>
              </w:rPr>
              <w:t>Qty</w:t>
            </w:r>
          </w:p>
        </w:tc>
        <w:tc>
          <w:tcPr>
            <w:tcW w:w="498" w:type="pct"/>
            <w:tcBorders>
              <w:top w:val="single" w:sz="4" w:space="0" w:color="auto"/>
              <w:left w:val="single" w:sz="4" w:space="0" w:color="auto"/>
              <w:bottom w:val="single" w:sz="4" w:space="0" w:color="auto"/>
              <w:right w:val="single" w:sz="4" w:space="0" w:color="auto"/>
            </w:tcBorders>
            <w:vAlign w:val="center"/>
          </w:tcPr>
          <w:p w:rsidR="00B71B75" w:rsidRPr="00F875E6" w:rsidRDefault="00B71B75" w:rsidP="00BB49E8">
            <w:pPr>
              <w:keepNext/>
              <w:jc w:val="center"/>
              <w:rPr>
                <w:sz w:val="20"/>
              </w:rPr>
            </w:pPr>
            <w:r w:rsidRPr="00F875E6">
              <w:rPr>
                <w:sz w:val="20"/>
              </w:rPr>
              <w:t>№.of</w:t>
            </w:r>
          </w:p>
          <w:p w:rsidR="00B71B75" w:rsidRPr="00F875E6" w:rsidRDefault="00B71B75" w:rsidP="00BB49E8">
            <w:pPr>
              <w:keepNext/>
              <w:jc w:val="center"/>
              <w:rPr>
                <w:sz w:val="20"/>
              </w:rPr>
            </w:pPr>
            <w:r w:rsidRPr="00F875E6">
              <w:rPr>
                <w:sz w:val="20"/>
              </w:rPr>
              <w:t>Rpts</w:t>
            </w:r>
          </w:p>
        </w:tc>
        <w:tc>
          <w:tcPr>
            <w:tcW w:w="900" w:type="pct"/>
            <w:tcBorders>
              <w:top w:val="single" w:sz="4" w:space="0" w:color="auto"/>
              <w:left w:val="single" w:sz="4" w:space="0" w:color="auto"/>
              <w:bottom w:val="single" w:sz="4" w:space="0" w:color="auto"/>
              <w:right w:val="single" w:sz="4" w:space="0" w:color="auto"/>
            </w:tcBorders>
            <w:vAlign w:val="center"/>
          </w:tcPr>
          <w:p w:rsidR="00B71B75" w:rsidRPr="00F875E6" w:rsidRDefault="00B71B75" w:rsidP="00BB49E8">
            <w:pPr>
              <w:keepNext/>
              <w:jc w:val="center"/>
              <w:rPr>
                <w:sz w:val="20"/>
              </w:rPr>
            </w:pPr>
            <w:r w:rsidRPr="00F875E6">
              <w:rPr>
                <w:sz w:val="20"/>
              </w:rPr>
              <w:t>Dispensed Price for Max. Qty</w:t>
            </w:r>
          </w:p>
        </w:tc>
        <w:tc>
          <w:tcPr>
            <w:tcW w:w="1347" w:type="pct"/>
            <w:gridSpan w:val="2"/>
            <w:tcBorders>
              <w:top w:val="single" w:sz="4" w:space="0" w:color="auto"/>
              <w:left w:val="single" w:sz="4" w:space="0" w:color="auto"/>
              <w:bottom w:val="single" w:sz="4" w:space="0" w:color="auto"/>
              <w:right w:val="single" w:sz="4" w:space="0" w:color="auto"/>
            </w:tcBorders>
            <w:vAlign w:val="center"/>
          </w:tcPr>
          <w:p w:rsidR="00B71B75" w:rsidRPr="00F875E6" w:rsidRDefault="00B71B75" w:rsidP="00BB49E8">
            <w:pPr>
              <w:keepNext/>
              <w:jc w:val="center"/>
              <w:rPr>
                <w:sz w:val="20"/>
                <w:lang w:val="fr-FR"/>
              </w:rPr>
            </w:pPr>
            <w:r w:rsidRPr="00F875E6">
              <w:rPr>
                <w:sz w:val="20"/>
              </w:rPr>
              <w:t>Proprietary Name and Manufacturer</w:t>
            </w:r>
          </w:p>
        </w:tc>
      </w:tr>
      <w:tr w:rsidR="00B71B75" w:rsidRPr="00F875E6" w:rsidTr="00BB49E8">
        <w:trPr>
          <w:cantSplit/>
          <w:trHeight w:val="567"/>
        </w:trPr>
        <w:tc>
          <w:tcPr>
            <w:tcW w:w="1841" w:type="pct"/>
            <w:tcBorders>
              <w:top w:val="single" w:sz="4" w:space="0" w:color="auto"/>
              <w:left w:val="single" w:sz="4" w:space="0" w:color="auto"/>
              <w:bottom w:val="single" w:sz="4" w:space="0" w:color="auto"/>
              <w:right w:val="single" w:sz="4" w:space="0" w:color="auto"/>
            </w:tcBorders>
          </w:tcPr>
          <w:p w:rsidR="00B71B75" w:rsidRPr="00F875E6" w:rsidRDefault="00B71B75" w:rsidP="00B71B75">
            <w:pPr>
              <w:pStyle w:val="Tabletext"/>
              <w:keepNext/>
              <w:rPr>
                <w:rFonts w:ascii="Arial" w:hAnsi="Arial" w:cs="Arial"/>
              </w:rPr>
            </w:pPr>
            <w:r w:rsidRPr="00F875E6">
              <w:rPr>
                <w:rFonts w:ascii="Arial" w:hAnsi="Arial" w:cs="Arial"/>
              </w:rPr>
              <w:t>PONATINIB</w:t>
            </w:r>
          </w:p>
          <w:p w:rsidR="00B71B75" w:rsidRPr="00F875E6" w:rsidRDefault="00B71B75" w:rsidP="00B71B75">
            <w:pPr>
              <w:pStyle w:val="Tabletext"/>
              <w:keepNext/>
              <w:rPr>
                <w:rFonts w:ascii="Arial" w:hAnsi="Arial" w:cs="Arial"/>
              </w:rPr>
            </w:pPr>
            <w:r w:rsidRPr="00F875E6">
              <w:rPr>
                <w:rFonts w:ascii="Arial" w:hAnsi="Arial" w:cs="Arial"/>
              </w:rPr>
              <w:t>15 mg tablet, 60</w:t>
            </w:r>
          </w:p>
          <w:p w:rsidR="00B71B75" w:rsidRPr="00F875E6" w:rsidRDefault="00B71B75" w:rsidP="00B71B75">
            <w:pPr>
              <w:pStyle w:val="Tabletext"/>
              <w:keepNext/>
              <w:rPr>
                <w:rFonts w:ascii="Arial" w:hAnsi="Arial" w:cs="Arial"/>
              </w:rPr>
            </w:pPr>
            <w:r w:rsidRPr="00F875E6">
              <w:rPr>
                <w:rFonts w:ascii="Arial" w:hAnsi="Arial" w:cs="Arial"/>
              </w:rPr>
              <w:t>45 mg tablet, 30</w:t>
            </w:r>
          </w:p>
        </w:tc>
        <w:tc>
          <w:tcPr>
            <w:tcW w:w="414" w:type="pct"/>
            <w:tcBorders>
              <w:top w:val="single" w:sz="4" w:space="0" w:color="auto"/>
              <w:left w:val="single" w:sz="4" w:space="0" w:color="auto"/>
              <w:bottom w:val="single" w:sz="4" w:space="0" w:color="auto"/>
              <w:right w:val="single" w:sz="4" w:space="0" w:color="auto"/>
            </w:tcBorders>
          </w:tcPr>
          <w:p w:rsidR="00B71B75" w:rsidRPr="00F875E6" w:rsidRDefault="00B71B75" w:rsidP="00B71B75">
            <w:pPr>
              <w:pStyle w:val="Tabletext"/>
              <w:keepNext/>
              <w:jc w:val="center"/>
              <w:rPr>
                <w:rFonts w:ascii="Arial" w:hAnsi="Arial" w:cs="Arial"/>
              </w:rPr>
            </w:pPr>
          </w:p>
          <w:p w:rsidR="00B71B75" w:rsidRPr="00F875E6" w:rsidRDefault="00B71B75" w:rsidP="00B71B75">
            <w:pPr>
              <w:pStyle w:val="Tabletext"/>
              <w:keepNext/>
              <w:jc w:val="center"/>
              <w:rPr>
                <w:rFonts w:ascii="Arial" w:hAnsi="Arial" w:cs="Arial"/>
              </w:rPr>
            </w:pPr>
            <w:r w:rsidRPr="00F875E6">
              <w:rPr>
                <w:rFonts w:ascii="Arial" w:hAnsi="Arial" w:cs="Arial"/>
              </w:rPr>
              <w:t>1</w:t>
            </w:r>
          </w:p>
          <w:p w:rsidR="00B71B75" w:rsidRPr="00F875E6" w:rsidRDefault="00B71B75" w:rsidP="00B71B75">
            <w:pPr>
              <w:pStyle w:val="Tabletext"/>
              <w:keepNext/>
              <w:jc w:val="center"/>
              <w:rPr>
                <w:rFonts w:ascii="Arial" w:hAnsi="Arial" w:cs="Arial"/>
              </w:rPr>
            </w:pPr>
            <w:r w:rsidRPr="00F875E6">
              <w:rPr>
                <w:rFonts w:ascii="Arial" w:hAnsi="Arial" w:cs="Arial"/>
              </w:rPr>
              <w:t>1</w:t>
            </w:r>
          </w:p>
        </w:tc>
        <w:tc>
          <w:tcPr>
            <w:tcW w:w="498" w:type="pct"/>
            <w:tcBorders>
              <w:top w:val="single" w:sz="4" w:space="0" w:color="auto"/>
              <w:left w:val="single" w:sz="4" w:space="0" w:color="auto"/>
              <w:bottom w:val="single" w:sz="4" w:space="0" w:color="auto"/>
              <w:right w:val="single" w:sz="4" w:space="0" w:color="auto"/>
            </w:tcBorders>
          </w:tcPr>
          <w:p w:rsidR="00B71B75" w:rsidRPr="00F875E6" w:rsidRDefault="00B71B75" w:rsidP="00B71B75">
            <w:pPr>
              <w:pStyle w:val="Tabletext"/>
              <w:keepNext/>
              <w:jc w:val="center"/>
              <w:rPr>
                <w:rFonts w:ascii="Arial" w:hAnsi="Arial" w:cs="Arial"/>
              </w:rPr>
            </w:pPr>
          </w:p>
          <w:p w:rsidR="00B71B75" w:rsidRPr="00F875E6" w:rsidRDefault="00B71B75" w:rsidP="00B71B75">
            <w:pPr>
              <w:pStyle w:val="Tabletext"/>
              <w:keepNext/>
              <w:jc w:val="center"/>
              <w:rPr>
                <w:rFonts w:ascii="Arial" w:hAnsi="Arial" w:cs="Arial"/>
              </w:rPr>
            </w:pPr>
            <w:r w:rsidRPr="00F875E6">
              <w:rPr>
                <w:rFonts w:ascii="Arial" w:hAnsi="Arial" w:cs="Arial"/>
              </w:rPr>
              <w:t>5</w:t>
            </w:r>
          </w:p>
          <w:p w:rsidR="00B71B75" w:rsidRPr="00F875E6" w:rsidRDefault="00B71B75" w:rsidP="00B71B75">
            <w:pPr>
              <w:pStyle w:val="Tabletext"/>
              <w:keepNext/>
              <w:jc w:val="center"/>
              <w:rPr>
                <w:rFonts w:ascii="Arial" w:hAnsi="Arial" w:cs="Arial"/>
              </w:rPr>
            </w:pPr>
            <w:r w:rsidRPr="00F875E6">
              <w:rPr>
                <w:rFonts w:ascii="Arial" w:hAnsi="Arial" w:cs="Arial"/>
              </w:rPr>
              <w:t>5</w:t>
            </w:r>
          </w:p>
          <w:p w:rsidR="00B71B75" w:rsidRPr="00F875E6" w:rsidRDefault="00B71B75" w:rsidP="00B71B75">
            <w:pPr>
              <w:pStyle w:val="Tabletext"/>
              <w:keepNext/>
              <w:jc w:val="center"/>
              <w:rPr>
                <w:rFonts w:ascii="Arial" w:hAnsi="Arial" w:cs="Arial"/>
              </w:rPr>
            </w:pPr>
          </w:p>
        </w:tc>
        <w:tc>
          <w:tcPr>
            <w:tcW w:w="900" w:type="pct"/>
            <w:tcBorders>
              <w:top w:val="single" w:sz="4" w:space="0" w:color="auto"/>
              <w:left w:val="single" w:sz="4" w:space="0" w:color="auto"/>
              <w:bottom w:val="single" w:sz="4" w:space="0" w:color="auto"/>
              <w:right w:val="single" w:sz="4" w:space="0" w:color="auto"/>
            </w:tcBorders>
          </w:tcPr>
          <w:p w:rsidR="00B71B75" w:rsidRPr="00F875E6" w:rsidRDefault="00B71B75" w:rsidP="00B71B75">
            <w:pPr>
              <w:pStyle w:val="Tabletext"/>
              <w:keepNext/>
              <w:jc w:val="center"/>
              <w:rPr>
                <w:rFonts w:ascii="Arial" w:hAnsi="Arial" w:cs="Arial"/>
              </w:rPr>
            </w:pPr>
          </w:p>
          <w:p w:rsidR="00B71B75" w:rsidRPr="00F875E6" w:rsidRDefault="00B71B75" w:rsidP="00B71B75">
            <w:pPr>
              <w:pStyle w:val="Tabletext"/>
              <w:keepNext/>
              <w:jc w:val="center"/>
              <w:rPr>
                <w:rFonts w:ascii="Arial" w:hAnsi="Arial" w:cs="Arial"/>
              </w:rPr>
            </w:pPr>
            <w:r w:rsidRPr="00F875E6">
              <w:rPr>
                <w:rFonts w:ascii="Arial" w:hAnsi="Arial" w:cs="Arial"/>
              </w:rPr>
              <w:t>$</w:t>
            </w:r>
            <w:r w:rsidR="005F7A51">
              <w:rPr>
                <w:rFonts w:ascii="Arial" w:hAnsi="Arial" w:cs="Arial"/>
                <w:noProof/>
                <w:color w:val="000000"/>
                <w:highlight w:val="black"/>
              </w:rPr>
              <w:t>''''''''''''''''''''</w:t>
            </w:r>
          </w:p>
          <w:p w:rsidR="00B71B75" w:rsidRPr="00F875E6" w:rsidRDefault="00B71B75" w:rsidP="00B71B75">
            <w:pPr>
              <w:pStyle w:val="Tabletext"/>
              <w:keepNext/>
              <w:jc w:val="center"/>
              <w:rPr>
                <w:rFonts w:ascii="Arial" w:hAnsi="Arial" w:cs="Arial"/>
              </w:rPr>
            </w:pPr>
            <w:r w:rsidRPr="00F875E6">
              <w:rPr>
                <w:rFonts w:ascii="Arial" w:hAnsi="Arial" w:cs="Arial"/>
              </w:rPr>
              <w:t>$</w:t>
            </w:r>
            <w:r w:rsidR="005F7A51">
              <w:rPr>
                <w:rFonts w:ascii="Arial" w:hAnsi="Arial" w:cs="Arial"/>
                <w:noProof/>
                <w:color w:val="000000"/>
                <w:highlight w:val="black"/>
              </w:rPr>
              <w:t>''''''''''''''''''''''</w:t>
            </w:r>
          </w:p>
        </w:tc>
        <w:tc>
          <w:tcPr>
            <w:tcW w:w="714" w:type="pct"/>
            <w:tcBorders>
              <w:top w:val="single" w:sz="4" w:space="0" w:color="auto"/>
              <w:left w:val="single" w:sz="4" w:space="0" w:color="auto"/>
              <w:bottom w:val="single" w:sz="4" w:space="0" w:color="auto"/>
              <w:right w:val="single" w:sz="4" w:space="0" w:color="auto"/>
            </w:tcBorders>
          </w:tcPr>
          <w:p w:rsidR="00B71B75" w:rsidRPr="00F875E6" w:rsidRDefault="00B71B75" w:rsidP="00B71B75">
            <w:pPr>
              <w:pStyle w:val="Tabletext"/>
              <w:keepNext/>
              <w:jc w:val="center"/>
              <w:rPr>
                <w:rFonts w:ascii="Arial" w:hAnsi="Arial" w:cs="Arial"/>
              </w:rPr>
            </w:pPr>
          </w:p>
          <w:p w:rsidR="00B71B75" w:rsidRPr="00F875E6" w:rsidRDefault="00B71B75" w:rsidP="00B71B75">
            <w:pPr>
              <w:pStyle w:val="Tabletext"/>
              <w:keepNext/>
              <w:jc w:val="center"/>
              <w:rPr>
                <w:rFonts w:ascii="Arial" w:hAnsi="Arial" w:cs="Arial"/>
              </w:rPr>
            </w:pPr>
            <w:r w:rsidRPr="00F875E6">
              <w:rPr>
                <w:rFonts w:ascii="Arial" w:hAnsi="Arial" w:cs="Arial"/>
              </w:rPr>
              <w:t>Iclusig</w:t>
            </w:r>
          </w:p>
        </w:tc>
        <w:tc>
          <w:tcPr>
            <w:tcW w:w="633" w:type="pct"/>
            <w:tcBorders>
              <w:top w:val="single" w:sz="4" w:space="0" w:color="auto"/>
              <w:left w:val="single" w:sz="4" w:space="0" w:color="auto"/>
              <w:bottom w:val="single" w:sz="4" w:space="0" w:color="auto"/>
              <w:right w:val="single" w:sz="4" w:space="0" w:color="auto"/>
            </w:tcBorders>
          </w:tcPr>
          <w:p w:rsidR="00B71B75" w:rsidRPr="00F875E6" w:rsidRDefault="00B71B75" w:rsidP="00B71B75">
            <w:pPr>
              <w:pStyle w:val="Tabletext"/>
              <w:keepNext/>
              <w:jc w:val="center"/>
              <w:rPr>
                <w:rFonts w:ascii="Arial" w:hAnsi="Arial" w:cs="Arial"/>
              </w:rPr>
            </w:pPr>
          </w:p>
          <w:p w:rsidR="00B71B75" w:rsidRPr="00F875E6" w:rsidRDefault="00B71B75" w:rsidP="00B71B75">
            <w:pPr>
              <w:pStyle w:val="Tabletext"/>
              <w:keepNext/>
              <w:jc w:val="center"/>
              <w:rPr>
                <w:rFonts w:ascii="Arial" w:hAnsi="Arial" w:cs="Arial"/>
              </w:rPr>
            </w:pPr>
            <w:r w:rsidRPr="00F875E6">
              <w:rPr>
                <w:rFonts w:ascii="Arial" w:hAnsi="Arial" w:cs="Arial"/>
              </w:rPr>
              <w:t>Specialised Therapeutics</w:t>
            </w:r>
          </w:p>
        </w:tc>
      </w:tr>
    </w:tbl>
    <w:p w:rsidR="00B71B75" w:rsidRPr="00F875E6" w:rsidRDefault="00B71B75" w:rsidP="00B71B75">
      <w:pPr>
        <w:pStyle w:val="ListParagraph"/>
        <w:widowControl/>
        <w:rPr>
          <w:rFonts w:ascii="Arial Narrow" w:hAnsi="Arial Narrow"/>
          <w:b/>
          <w:szCs w:val="22"/>
        </w:rPr>
      </w:pPr>
    </w:p>
    <w:p w:rsidR="007A0402" w:rsidRPr="00F875E6" w:rsidRDefault="007A0402" w:rsidP="00B71B75">
      <w:pPr>
        <w:pStyle w:val="ListParagraph"/>
        <w:widowControl/>
        <w:rPr>
          <w:rFonts w:ascii="Arial Narrow" w:hAnsi="Arial Narrow"/>
          <w:b/>
          <w:szCs w:val="22"/>
        </w:rPr>
      </w:pPr>
      <w:r w:rsidRPr="00F875E6">
        <w:rPr>
          <w:rFonts w:ascii="Arial Narrow" w:hAnsi="Arial Narrow"/>
          <w:b/>
          <w:szCs w:val="22"/>
        </w:rPr>
        <w:t>Authority required (abridged)</w:t>
      </w:r>
    </w:p>
    <w:p w:rsidR="007A0402" w:rsidRPr="00F875E6" w:rsidRDefault="007A0402" w:rsidP="007A0402">
      <w:pPr>
        <w:pStyle w:val="ListParagraph"/>
        <w:widowControl/>
        <w:rPr>
          <w:rFonts w:ascii="Arial Narrow" w:hAnsi="Arial Narrow"/>
          <w:b/>
          <w:szCs w:val="22"/>
          <w:u w:val="single"/>
        </w:rPr>
      </w:pPr>
      <w:r w:rsidRPr="00F875E6">
        <w:rPr>
          <w:rFonts w:ascii="Arial Narrow" w:hAnsi="Arial Narrow"/>
          <w:b/>
          <w:szCs w:val="22"/>
          <w:u w:val="single"/>
        </w:rPr>
        <w:t xml:space="preserve">Chronic myeloid leukaemia: </w:t>
      </w:r>
    </w:p>
    <w:p w:rsidR="007A0402" w:rsidRPr="00F875E6" w:rsidRDefault="007A0402" w:rsidP="007A0402">
      <w:pPr>
        <w:pStyle w:val="ListParagraph"/>
        <w:widowControl/>
        <w:rPr>
          <w:rFonts w:ascii="Arial Narrow" w:hAnsi="Arial Narrow"/>
          <w:szCs w:val="22"/>
        </w:rPr>
      </w:pPr>
      <w:r w:rsidRPr="00F875E6">
        <w:rPr>
          <w:rFonts w:ascii="Arial Narrow" w:hAnsi="Arial Narrow"/>
          <w:szCs w:val="22"/>
          <w:u w:val="single"/>
        </w:rPr>
        <w:t>Initial treatment</w:t>
      </w:r>
      <w:r w:rsidRPr="00F875E6">
        <w:rPr>
          <w:rFonts w:ascii="Arial Narrow" w:hAnsi="Arial Narrow"/>
          <w:szCs w:val="22"/>
        </w:rPr>
        <w:t>, as the sole PBS-subsidised therapy, of a patient with chronic myeloid leukaemia in any disease phase who has failed an adequate trial of dasatinib and nilotinib as second-line treatment, or where one of nilotinib or dasatinib has failed and who are intolerant of the other drug.</w:t>
      </w:r>
    </w:p>
    <w:p w:rsidR="007A0402" w:rsidRPr="00F875E6" w:rsidRDefault="007A0402" w:rsidP="007A0402">
      <w:pPr>
        <w:pStyle w:val="ListParagraph"/>
        <w:widowControl/>
        <w:rPr>
          <w:rFonts w:ascii="Arial Narrow" w:hAnsi="Arial Narrow"/>
          <w:szCs w:val="22"/>
        </w:rPr>
      </w:pPr>
      <w:r w:rsidRPr="00F875E6">
        <w:rPr>
          <w:rFonts w:ascii="Arial Narrow" w:hAnsi="Arial Narrow"/>
          <w:szCs w:val="22"/>
          <w:u w:val="single"/>
        </w:rPr>
        <w:t>Continuing treatment</w:t>
      </w:r>
      <w:r w:rsidRPr="00F875E6">
        <w:rPr>
          <w:rFonts w:ascii="Arial Narrow" w:hAnsi="Arial Narrow"/>
          <w:szCs w:val="22"/>
        </w:rPr>
        <w:t>, as the sole PBS-subsidised therapy, of a patient who has received initial PBS-subsidised treatment with ponatinib for chronic myeloid leukaemia, and who has demonstrated either a major cytogenetic response, or less than 1% BCR-ABL level in the blood, to ponatinib in the preceding 18 months and thereafter at 12 monthly intervals.</w:t>
      </w:r>
    </w:p>
    <w:p w:rsidR="007A0402" w:rsidRPr="00F875E6" w:rsidRDefault="007A0402" w:rsidP="007A0402">
      <w:pPr>
        <w:pStyle w:val="ListParagraph"/>
        <w:widowControl/>
        <w:rPr>
          <w:rFonts w:ascii="Arial Narrow" w:hAnsi="Arial Narrow"/>
          <w:b/>
          <w:szCs w:val="22"/>
          <w:u w:val="single"/>
        </w:rPr>
      </w:pPr>
      <w:r w:rsidRPr="00F875E6">
        <w:rPr>
          <w:rFonts w:ascii="Arial Narrow" w:hAnsi="Arial Narrow"/>
          <w:b/>
          <w:szCs w:val="22"/>
          <w:u w:val="single"/>
        </w:rPr>
        <w:t xml:space="preserve">Chronic myeloid leukaemia with T315I mutation: </w:t>
      </w:r>
    </w:p>
    <w:p w:rsidR="007A0402" w:rsidRPr="00F875E6" w:rsidRDefault="007A0402" w:rsidP="007A0402">
      <w:pPr>
        <w:ind w:left="720"/>
        <w:rPr>
          <w:rFonts w:ascii="Arial Narrow" w:hAnsi="Arial Narrow"/>
          <w:szCs w:val="22"/>
        </w:rPr>
      </w:pPr>
      <w:r w:rsidRPr="00F875E6">
        <w:rPr>
          <w:rFonts w:ascii="Arial Narrow" w:hAnsi="Arial Narrow"/>
          <w:szCs w:val="22"/>
          <w:u w:val="single"/>
        </w:rPr>
        <w:t>Initial treatment</w:t>
      </w:r>
      <w:r w:rsidRPr="00F875E6">
        <w:rPr>
          <w:rFonts w:ascii="Arial Narrow" w:hAnsi="Arial Narrow"/>
          <w:szCs w:val="22"/>
        </w:rPr>
        <w:t xml:space="preserve">, as the sole PBS-subsidised therapy, of a patient with chronic myeloid leukaemia expressing the T315I mutation, in any disease phase who has failed an adequate trial of imatinib or dasatinib or nilotinib. </w:t>
      </w:r>
    </w:p>
    <w:p w:rsidR="007A0402" w:rsidRPr="00F875E6" w:rsidRDefault="007A0402" w:rsidP="007A0402">
      <w:pPr>
        <w:ind w:left="720"/>
        <w:rPr>
          <w:rFonts w:ascii="Arial Narrow" w:hAnsi="Arial Narrow"/>
          <w:szCs w:val="22"/>
        </w:rPr>
      </w:pPr>
      <w:r w:rsidRPr="00F875E6">
        <w:rPr>
          <w:rFonts w:ascii="Arial Narrow" w:hAnsi="Arial Narrow"/>
          <w:szCs w:val="22"/>
          <w:u w:val="single"/>
        </w:rPr>
        <w:t>Continuing treatment</w:t>
      </w:r>
      <w:r w:rsidRPr="00F875E6">
        <w:rPr>
          <w:rFonts w:ascii="Arial Narrow" w:hAnsi="Arial Narrow"/>
          <w:szCs w:val="22"/>
        </w:rPr>
        <w:t xml:space="preserve">, as the sole PBS-subsidised therapy, of a patient who has received initial PBS-subsidised treatment with ponatinib for chronic myeloid leukaemia, and who has demonstrated either a major cytogenetic response, or less than 1% BCR-ABL level in the blood, to ponatinib in the preceding </w:t>
      </w:r>
      <w:r w:rsidRPr="00F875E6">
        <w:rPr>
          <w:rFonts w:ascii="Arial Narrow" w:hAnsi="Arial Narrow"/>
          <w:szCs w:val="22"/>
        </w:rPr>
        <w:lastRenderedPageBreak/>
        <w:t xml:space="preserve">18 months and thereafter at 12 monthly intervals. </w:t>
      </w:r>
    </w:p>
    <w:p w:rsidR="007A0402" w:rsidRPr="00F875E6" w:rsidRDefault="007A0402" w:rsidP="007A0402">
      <w:pPr>
        <w:pStyle w:val="ListParagraph"/>
        <w:widowControl/>
        <w:rPr>
          <w:rFonts w:ascii="Arial Narrow" w:hAnsi="Arial Narrow"/>
          <w:szCs w:val="22"/>
        </w:rPr>
      </w:pPr>
      <w:r w:rsidRPr="00F875E6">
        <w:rPr>
          <w:rFonts w:ascii="Arial Narrow" w:hAnsi="Arial Narrow"/>
          <w:b/>
          <w:szCs w:val="22"/>
          <w:u w:val="single"/>
        </w:rPr>
        <w:t>Philadelphia chromosome positive acute lymphoblastic leukaemia:</w:t>
      </w:r>
      <w:r w:rsidRPr="00F875E6">
        <w:rPr>
          <w:rFonts w:ascii="Arial Narrow" w:hAnsi="Arial Narrow"/>
          <w:szCs w:val="22"/>
        </w:rPr>
        <w:t xml:space="preserve"> </w:t>
      </w:r>
    </w:p>
    <w:p w:rsidR="007A0402" w:rsidRPr="00F875E6" w:rsidRDefault="007A0402" w:rsidP="007A0402">
      <w:pPr>
        <w:ind w:left="720"/>
        <w:rPr>
          <w:rFonts w:ascii="Arial Narrow" w:hAnsi="Arial Narrow"/>
          <w:szCs w:val="22"/>
        </w:rPr>
      </w:pPr>
      <w:r w:rsidRPr="00F875E6">
        <w:rPr>
          <w:rFonts w:ascii="Arial Narrow" w:hAnsi="Arial Narrow"/>
          <w:szCs w:val="22"/>
          <w:u w:val="single"/>
        </w:rPr>
        <w:t>Initial treatment,</w:t>
      </w:r>
      <w:r w:rsidRPr="00F875E6">
        <w:rPr>
          <w:rFonts w:ascii="Arial Narrow" w:hAnsi="Arial Narrow"/>
          <w:szCs w:val="22"/>
        </w:rPr>
        <w:t xml:space="preserve"> as monotherapy, of a patient with acute lymphoblastic leukaemia (ALL) bearing the Philadelphia chromosome or expressing the transcript, BCR-ABL, who has failed treatment with chemotherapy AND imatinib AND dasatinib and where appropriate, allogeneic haemopoietic stem cell transplantation. </w:t>
      </w:r>
    </w:p>
    <w:p w:rsidR="007A0402" w:rsidRPr="00F875E6" w:rsidRDefault="007A0402" w:rsidP="007A0402">
      <w:pPr>
        <w:widowControl/>
        <w:ind w:left="720"/>
        <w:rPr>
          <w:rFonts w:ascii="Arial Narrow" w:hAnsi="Arial Narrow"/>
          <w:szCs w:val="22"/>
        </w:rPr>
      </w:pPr>
      <w:r w:rsidRPr="00F875E6">
        <w:rPr>
          <w:rFonts w:ascii="Arial Narrow" w:hAnsi="Arial Narrow"/>
          <w:szCs w:val="22"/>
        </w:rPr>
        <w:t xml:space="preserve">OR </w:t>
      </w:r>
    </w:p>
    <w:p w:rsidR="007A0402" w:rsidRPr="00F875E6" w:rsidRDefault="007A0402" w:rsidP="007A0402">
      <w:pPr>
        <w:widowControl/>
        <w:ind w:left="720"/>
        <w:rPr>
          <w:rFonts w:ascii="Arial Narrow" w:hAnsi="Arial Narrow"/>
          <w:szCs w:val="22"/>
        </w:rPr>
      </w:pPr>
      <w:r w:rsidRPr="00F875E6">
        <w:rPr>
          <w:rFonts w:ascii="Arial Narrow" w:hAnsi="Arial Narrow"/>
          <w:szCs w:val="22"/>
        </w:rPr>
        <w:t xml:space="preserve">Initial treatment, as monotherapy, of a patient with acute lymphoblastic leukaemia (ALL) bearing the Philadelphia chromosome or expressing the transcript, BCR-ABL, </w:t>
      </w:r>
      <w:r w:rsidR="00783627" w:rsidRPr="00F875E6">
        <w:rPr>
          <w:rFonts w:ascii="Arial Narrow" w:hAnsi="Arial Narrow"/>
          <w:szCs w:val="22"/>
        </w:rPr>
        <w:t>and</w:t>
      </w:r>
      <w:r w:rsidR="0058002C" w:rsidRPr="00F875E6">
        <w:rPr>
          <w:rFonts w:ascii="Arial Narrow" w:hAnsi="Arial Narrow"/>
          <w:szCs w:val="22"/>
        </w:rPr>
        <w:t xml:space="preserve"> expressing the T315I mutation, </w:t>
      </w:r>
      <w:r w:rsidRPr="00F875E6">
        <w:rPr>
          <w:rFonts w:ascii="Arial Narrow" w:hAnsi="Arial Narrow"/>
          <w:szCs w:val="22"/>
        </w:rPr>
        <w:t>who has failed treatment with chemotherapy AND imatinib OR dasatinib and where appropriate, allogeneic haemopoietic stem cell transplantation.</w:t>
      </w:r>
    </w:p>
    <w:p w:rsidR="00617E12" w:rsidRPr="00F875E6" w:rsidRDefault="007A0402" w:rsidP="00B71B75">
      <w:pPr>
        <w:widowControl/>
        <w:ind w:left="720"/>
        <w:rPr>
          <w:szCs w:val="22"/>
        </w:rPr>
      </w:pPr>
      <w:r w:rsidRPr="00F875E6">
        <w:rPr>
          <w:rFonts w:ascii="Arial Narrow" w:hAnsi="Arial Narrow"/>
          <w:szCs w:val="22"/>
          <w:u w:val="single"/>
        </w:rPr>
        <w:t>Continuing treatment</w:t>
      </w:r>
      <w:r w:rsidRPr="00F875E6">
        <w:rPr>
          <w:rFonts w:ascii="Arial Narrow" w:hAnsi="Arial Narrow"/>
          <w:szCs w:val="22"/>
        </w:rPr>
        <w:t>, as monotherapy, of a patient with acute lymphoblastic leukaemia bearing the Philadelphia chromosome or expressing the transcript, BCR-ABL, where the patient has previously been issued with an authority prescription for ponatinib and does not have progressive disease.</w:t>
      </w:r>
    </w:p>
    <w:p w:rsidR="00E445EB" w:rsidRPr="00F875E6" w:rsidRDefault="00E445EB" w:rsidP="00C0210F">
      <w:pPr>
        <w:widowControl/>
      </w:pPr>
    </w:p>
    <w:p w:rsidR="00101AA2" w:rsidRPr="00F875E6" w:rsidRDefault="00101AA2" w:rsidP="00101AA2">
      <w:pPr>
        <w:pStyle w:val="ListParagraph"/>
        <w:widowControl/>
        <w:rPr>
          <w:szCs w:val="22"/>
        </w:rPr>
      </w:pPr>
    </w:p>
    <w:p w:rsidR="007A0402" w:rsidRPr="00F875E6" w:rsidRDefault="007A0402" w:rsidP="00101AA2">
      <w:pPr>
        <w:pStyle w:val="ListParagraph"/>
        <w:widowControl/>
        <w:numPr>
          <w:ilvl w:val="1"/>
          <w:numId w:val="4"/>
        </w:numPr>
      </w:pPr>
      <w:r w:rsidRPr="00F875E6">
        <w:t>The re-submission provided a cost-minimisation analysis based on clinical evidence presented in Section B(ii), and from which the re-submission concluded that ponatinib was non-inferior in terms of efficacy and inferior in terms of safety to dasatinib and nilotinib</w:t>
      </w:r>
      <w:r w:rsidR="00F533E4" w:rsidRPr="00F875E6">
        <w:t xml:space="preserve"> when used second line</w:t>
      </w:r>
      <w:r w:rsidR="002F05A7" w:rsidRPr="00F875E6">
        <w:t xml:space="preserve"> for CML</w:t>
      </w:r>
      <w:r w:rsidRPr="00F875E6">
        <w:t>.</w:t>
      </w:r>
      <w:r w:rsidR="003F5429" w:rsidRPr="00F875E6">
        <w:t xml:space="preserve"> This </w:t>
      </w:r>
      <w:r w:rsidR="0044452A" w:rsidRPr="00F875E6">
        <w:t>wa</w:t>
      </w:r>
      <w:r w:rsidR="003F5429" w:rsidRPr="00F875E6">
        <w:t>s consistent with the PBAC’s November 2014 consideration.</w:t>
      </w:r>
      <w:r w:rsidRPr="00F875E6">
        <w:t xml:space="preserve"> The cost-minimisation included drug therapy costs and costs associated with the treatment of </w:t>
      </w:r>
      <w:r w:rsidR="00A12DB6" w:rsidRPr="00F875E6">
        <w:t>vascular occlusive events</w:t>
      </w:r>
      <w:r w:rsidR="002F05A7" w:rsidRPr="00F875E6">
        <w:t xml:space="preserve"> and pleural effusions</w:t>
      </w:r>
      <w:r w:rsidRPr="00F875E6">
        <w:t xml:space="preserve">. </w:t>
      </w:r>
    </w:p>
    <w:p w:rsidR="00A12DB6" w:rsidRPr="00F875E6" w:rsidRDefault="00A12DB6" w:rsidP="00A12DB6">
      <w:pPr>
        <w:pStyle w:val="ListParagraph"/>
        <w:widowControl/>
        <w:rPr>
          <w:szCs w:val="22"/>
        </w:rPr>
      </w:pPr>
    </w:p>
    <w:p w:rsidR="007A0402" w:rsidRPr="00F875E6" w:rsidRDefault="007A0402" w:rsidP="00101AA2">
      <w:pPr>
        <w:pStyle w:val="ListParagraph"/>
        <w:widowControl/>
        <w:numPr>
          <w:ilvl w:val="1"/>
          <w:numId w:val="4"/>
        </w:numPr>
        <w:rPr>
          <w:szCs w:val="22"/>
        </w:rPr>
      </w:pPr>
      <w:r w:rsidRPr="00F875E6">
        <w:t>In comparison with the previous submission, the following changes were made to the proposed restriction:</w:t>
      </w:r>
    </w:p>
    <w:p w:rsidR="007A0402" w:rsidRPr="00F875E6" w:rsidRDefault="007A0402" w:rsidP="006E35B4">
      <w:pPr>
        <w:pStyle w:val="ListParagraph"/>
        <w:numPr>
          <w:ilvl w:val="1"/>
          <w:numId w:val="29"/>
        </w:numPr>
        <w:tabs>
          <w:tab w:val="clear" w:pos="872"/>
          <w:tab w:val="num" w:pos="1134"/>
        </w:tabs>
        <w:ind w:left="1134"/>
      </w:pPr>
      <w:r w:rsidRPr="00F875E6">
        <w:t xml:space="preserve">CML: The proposed restriction was </w:t>
      </w:r>
      <w:r w:rsidR="002F05A7" w:rsidRPr="00F875E6">
        <w:t xml:space="preserve">changed to be </w:t>
      </w:r>
      <w:r w:rsidRPr="00F875E6">
        <w:t xml:space="preserve">consistent with the PBAC recommendation to provide treatment for patients where both nilotinib and dasatinib have failed or where one of nilotinib or dasatinib has failed and who are intolerant of the other drug. </w:t>
      </w:r>
    </w:p>
    <w:p w:rsidR="007A0402" w:rsidRPr="00F875E6" w:rsidRDefault="007A0402" w:rsidP="006E35B4">
      <w:pPr>
        <w:pStyle w:val="ListParagraph"/>
        <w:numPr>
          <w:ilvl w:val="1"/>
          <w:numId w:val="29"/>
        </w:numPr>
        <w:tabs>
          <w:tab w:val="clear" w:pos="872"/>
          <w:tab w:val="num" w:pos="1134"/>
        </w:tabs>
        <w:ind w:left="1134"/>
      </w:pPr>
      <w:r w:rsidRPr="00F875E6">
        <w:t xml:space="preserve">CML with T315l mutation: </w:t>
      </w:r>
      <w:r w:rsidR="00571DE9" w:rsidRPr="00F875E6">
        <w:t>T</w:t>
      </w:r>
      <w:r w:rsidRPr="00F875E6">
        <w:t xml:space="preserve">here was no change compared with </w:t>
      </w:r>
      <w:r w:rsidR="00571DE9" w:rsidRPr="00F875E6">
        <w:t xml:space="preserve">the </w:t>
      </w:r>
      <w:r w:rsidRPr="00F875E6">
        <w:t>previous submission. This was consistent with the PBAC recommendation.</w:t>
      </w:r>
    </w:p>
    <w:p w:rsidR="00B60939" w:rsidRDefault="007A0402" w:rsidP="00247560">
      <w:pPr>
        <w:pStyle w:val="ListParagraph"/>
        <w:numPr>
          <w:ilvl w:val="1"/>
          <w:numId w:val="29"/>
        </w:numPr>
        <w:tabs>
          <w:tab w:val="clear" w:pos="872"/>
          <w:tab w:val="num" w:pos="1134"/>
        </w:tabs>
        <w:ind w:left="1134"/>
      </w:pPr>
      <w:r w:rsidRPr="00F875E6">
        <w:t xml:space="preserve">Ph+ ALL: The PBAC recommended the restriction for patients with relapsed or refractory BCR-ABL positive Ph+ ALL </w:t>
      </w:r>
      <w:r w:rsidRPr="00F875E6">
        <w:rPr>
          <w:u w:val="single"/>
        </w:rPr>
        <w:t>and</w:t>
      </w:r>
      <w:r w:rsidRPr="00F875E6">
        <w:t xml:space="preserve"> who have the T315l mutation, as there was limited data available for Ph+ ALL patients without the T315I mutation. The re-submission acknowledged the paucity of data</w:t>
      </w:r>
      <w:r w:rsidR="00D52E53" w:rsidRPr="00F875E6">
        <w:t>;</w:t>
      </w:r>
      <w:r w:rsidRPr="00F875E6">
        <w:t xml:space="preserve"> however</w:t>
      </w:r>
      <w:r w:rsidR="00D52E53" w:rsidRPr="00F875E6">
        <w:t>,</w:t>
      </w:r>
      <w:r w:rsidRPr="00F875E6">
        <w:t xml:space="preserve"> it requested the PBAC to reconsider expanding the listing in Ph+ ALL patients to include patients who are refractory or intolerant </w:t>
      </w:r>
      <w:r w:rsidR="006A30D7" w:rsidRPr="00F875E6">
        <w:t>of</w:t>
      </w:r>
      <w:r w:rsidRPr="00F875E6">
        <w:t xml:space="preserve"> imatinib and dasatinib, but </w:t>
      </w:r>
      <w:r w:rsidRPr="00F875E6">
        <w:rPr>
          <w:u w:val="single"/>
        </w:rPr>
        <w:t>do not have</w:t>
      </w:r>
      <w:r w:rsidRPr="00F875E6">
        <w:t xml:space="preserve"> the T315l mutation.</w:t>
      </w:r>
      <w:r w:rsidR="000D195A" w:rsidRPr="00F875E6">
        <w:t xml:space="preserve"> The re-submission argued that ponatinib is the only TKI to uniquely inhibit less common mutations such as F317L and E225V.</w:t>
      </w:r>
      <w:r w:rsidR="00402A45">
        <w:t xml:space="preserve"> The re</w:t>
      </w:r>
      <w:r w:rsidR="00402A45">
        <w:noBreakHyphen/>
      </w:r>
      <w:r w:rsidR="00AB4407" w:rsidRPr="00F875E6">
        <w:t xml:space="preserve">submission provided no further information on patients with these mutations. </w:t>
      </w:r>
    </w:p>
    <w:p w:rsidR="00BB406C" w:rsidRDefault="00BB406C" w:rsidP="00BB406C">
      <w:pPr>
        <w:pStyle w:val="ListParagraph"/>
        <w:ind w:left="152"/>
      </w:pPr>
    </w:p>
    <w:p w:rsidR="00BB406C" w:rsidRPr="00BB406C" w:rsidRDefault="00CA62B3" w:rsidP="00174098">
      <w:pPr>
        <w:pStyle w:val="ListParagraph"/>
        <w:keepNext/>
        <w:widowControl/>
        <w:numPr>
          <w:ilvl w:val="1"/>
          <w:numId w:val="4"/>
        </w:numPr>
        <w:rPr>
          <w:szCs w:val="22"/>
        </w:rPr>
      </w:pPr>
      <w:r w:rsidRPr="00BB406C">
        <w:rPr>
          <w:szCs w:val="22"/>
        </w:rPr>
        <w:t xml:space="preserve">The PBAC noted that </w:t>
      </w:r>
      <w:r w:rsidR="008D0AA9" w:rsidRPr="00BB406C">
        <w:rPr>
          <w:szCs w:val="22"/>
        </w:rPr>
        <w:t xml:space="preserve">the </w:t>
      </w:r>
      <w:r w:rsidR="00BB406C" w:rsidRPr="00BB406C">
        <w:rPr>
          <w:szCs w:val="22"/>
        </w:rPr>
        <w:t xml:space="preserve">CML </w:t>
      </w:r>
      <w:r w:rsidR="008D0AA9" w:rsidRPr="00BB406C">
        <w:rPr>
          <w:szCs w:val="22"/>
        </w:rPr>
        <w:t>restriction for dasatinib and nilotinib state</w:t>
      </w:r>
      <w:r w:rsidR="00BB406C" w:rsidRPr="00BB406C">
        <w:rPr>
          <w:szCs w:val="22"/>
        </w:rPr>
        <w:t>s</w:t>
      </w:r>
      <w:r w:rsidR="008D0AA9" w:rsidRPr="00BB406C">
        <w:rPr>
          <w:szCs w:val="22"/>
        </w:rPr>
        <w:t xml:space="preserve"> ‘Nilotinib is not approved for patients in blast crisis</w:t>
      </w:r>
      <w:r w:rsidR="00BB406C" w:rsidRPr="00BB406C">
        <w:rPr>
          <w:szCs w:val="22"/>
        </w:rPr>
        <w:t xml:space="preserve">’.  </w:t>
      </w:r>
      <w:r w:rsidR="00207BEB">
        <w:rPr>
          <w:szCs w:val="22"/>
        </w:rPr>
        <w:t xml:space="preserve">The PBAC </w:t>
      </w:r>
      <w:r w:rsidR="00BB406C" w:rsidRPr="00BB406C">
        <w:rPr>
          <w:szCs w:val="22"/>
        </w:rPr>
        <w:t xml:space="preserve">considered that criteria </w:t>
      </w:r>
      <w:r w:rsidR="00207BEB">
        <w:rPr>
          <w:szCs w:val="22"/>
        </w:rPr>
        <w:t xml:space="preserve">in the ponatinib restriction </w:t>
      </w:r>
      <w:r w:rsidR="008D0AA9" w:rsidRPr="00BB406C">
        <w:rPr>
          <w:szCs w:val="22"/>
        </w:rPr>
        <w:t xml:space="preserve">for </w:t>
      </w:r>
      <w:r w:rsidRPr="00BB406C">
        <w:rPr>
          <w:szCs w:val="22"/>
        </w:rPr>
        <w:t xml:space="preserve">CML patients </w:t>
      </w:r>
      <w:r w:rsidR="00BB406C" w:rsidRPr="00BB406C">
        <w:rPr>
          <w:szCs w:val="22"/>
        </w:rPr>
        <w:t>(without the T315I mutation) should include an option</w:t>
      </w:r>
      <w:r w:rsidR="00207BEB">
        <w:rPr>
          <w:szCs w:val="22"/>
        </w:rPr>
        <w:t xml:space="preserve"> </w:t>
      </w:r>
      <w:r w:rsidR="00BB406C" w:rsidRPr="00BB406C">
        <w:rPr>
          <w:szCs w:val="22"/>
        </w:rPr>
        <w:t xml:space="preserve"> ‘</w:t>
      </w:r>
      <w:r w:rsidR="00174098" w:rsidRPr="00174098">
        <w:rPr>
          <w:szCs w:val="22"/>
        </w:rPr>
        <w:t xml:space="preserve">Patient must not be eligible for PBS-subsidised treatment with nilotinib because </w:t>
      </w:r>
      <w:r w:rsidR="00174098">
        <w:rPr>
          <w:szCs w:val="22"/>
        </w:rPr>
        <w:t>the patient  has a blast crisis</w:t>
      </w:r>
      <w:r w:rsidR="00BB406C" w:rsidRPr="00BB406C">
        <w:rPr>
          <w:szCs w:val="22"/>
        </w:rPr>
        <w:t>’ in addition to ‘Patient must have failed an adequate trial of nilotinib; OR</w:t>
      </w:r>
    </w:p>
    <w:p w:rsidR="00CA62B3" w:rsidRPr="00BB406C" w:rsidRDefault="00BB406C" w:rsidP="00BB406C">
      <w:pPr>
        <w:pStyle w:val="ListParagraph"/>
        <w:keepNext/>
        <w:widowControl/>
        <w:rPr>
          <w:szCs w:val="22"/>
        </w:rPr>
      </w:pPr>
      <w:r w:rsidRPr="00BB406C">
        <w:rPr>
          <w:szCs w:val="22"/>
        </w:rPr>
        <w:t>Patient must have developed intolerance to nilotinib of a severity necessitating permanent treatment withdrawal’</w:t>
      </w:r>
      <w:r>
        <w:rPr>
          <w:szCs w:val="22"/>
        </w:rPr>
        <w:t>.</w:t>
      </w:r>
    </w:p>
    <w:p w:rsidR="00CA62B3" w:rsidRPr="00F875E6" w:rsidRDefault="00CA62B3" w:rsidP="00CA62B3"/>
    <w:p w:rsidR="00E467D8" w:rsidRPr="00F875E6" w:rsidRDefault="00E467D8" w:rsidP="002766D0">
      <w:pPr>
        <w:ind w:firstLine="720"/>
      </w:pPr>
      <w:r w:rsidRPr="00F875E6">
        <w:rPr>
          <w:i/>
          <w:szCs w:val="22"/>
        </w:rPr>
        <w:lastRenderedPageBreak/>
        <w:t>For more detail on PBAC’s view, see section 7 “PBAC outcome”</w:t>
      </w:r>
    </w:p>
    <w:p w:rsidR="001B6188" w:rsidRPr="00F875E6" w:rsidRDefault="001B6188" w:rsidP="00497F10"/>
    <w:p w:rsidR="003262A9" w:rsidRPr="00F875E6" w:rsidRDefault="003262A9" w:rsidP="00497F10"/>
    <w:p w:rsidR="00F338FF" w:rsidRPr="00F875E6" w:rsidRDefault="00F338FF" w:rsidP="00AB4407">
      <w:pPr>
        <w:pStyle w:val="PBACheading1"/>
        <w:keepNext/>
      </w:pPr>
      <w:bookmarkStart w:id="4" w:name="_Toc419470594"/>
      <w:r w:rsidRPr="00F875E6">
        <w:rPr>
          <w:b/>
        </w:rPr>
        <w:t>Background</w:t>
      </w:r>
      <w:bookmarkEnd w:id="4"/>
    </w:p>
    <w:p w:rsidR="00B60939" w:rsidRPr="00F875E6" w:rsidRDefault="00B60939" w:rsidP="00AB4407">
      <w:pPr>
        <w:keepNext/>
        <w:widowControl/>
        <w:rPr>
          <w:szCs w:val="22"/>
        </w:rPr>
      </w:pPr>
    </w:p>
    <w:p w:rsidR="00B60939" w:rsidRPr="00F875E6" w:rsidRDefault="00B60939" w:rsidP="00AB4407">
      <w:pPr>
        <w:pStyle w:val="ListParagraph"/>
        <w:keepNext/>
        <w:widowControl/>
        <w:numPr>
          <w:ilvl w:val="1"/>
          <w:numId w:val="4"/>
        </w:numPr>
        <w:rPr>
          <w:szCs w:val="22"/>
        </w:rPr>
      </w:pPr>
      <w:r w:rsidRPr="00F875E6">
        <w:rPr>
          <w:szCs w:val="22"/>
        </w:rPr>
        <w:t xml:space="preserve">TGA status: </w:t>
      </w:r>
      <w:r w:rsidR="006A30D7" w:rsidRPr="00F875E6">
        <w:rPr>
          <w:szCs w:val="22"/>
        </w:rPr>
        <w:t>P</w:t>
      </w:r>
      <w:r w:rsidR="00F078D6" w:rsidRPr="00F875E6">
        <w:rPr>
          <w:szCs w:val="22"/>
        </w:rPr>
        <w:t>onatinib</w:t>
      </w:r>
      <w:r w:rsidRPr="00F875E6">
        <w:rPr>
          <w:szCs w:val="22"/>
        </w:rPr>
        <w:t xml:space="preserve"> was TGA registered on </w:t>
      </w:r>
      <w:r w:rsidR="00F078D6" w:rsidRPr="00F875E6">
        <w:rPr>
          <w:szCs w:val="22"/>
        </w:rPr>
        <w:t>26 November 2014</w:t>
      </w:r>
      <w:r w:rsidRPr="00F875E6">
        <w:rPr>
          <w:szCs w:val="22"/>
        </w:rPr>
        <w:t xml:space="preserve"> for </w:t>
      </w:r>
      <w:r w:rsidR="00F078D6" w:rsidRPr="00F875E6">
        <w:rPr>
          <w:szCs w:val="22"/>
        </w:rPr>
        <w:t>the treatment of adult patients with 1) chronic phase, accelerated phase, or blast phase chronic myeloid leukaemia whose disease is resistant to, or who are intolerant of at least two prior TKI</w:t>
      </w:r>
      <w:r w:rsidR="006A30D7" w:rsidRPr="00F875E6">
        <w:rPr>
          <w:szCs w:val="22"/>
        </w:rPr>
        <w:t>s</w:t>
      </w:r>
      <w:r w:rsidR="00F078D6" w:rsidRPr="00F875E6">
        <w:rPr>
          <w:szCs w:val="22"/>
        </w:rPr>
        <w:t>, or where there is a T315l mutation; 2) Ph+ ALL whose disease is resistant to, or who are intolerant of dasatinib and for whom subsequent treatment with imatinib is not clinically appropriate, or where there is a T315l mutation.</w:t>
      </w:r>
    </w:p>
    <w:p w:rsidR="00B60939" w:rsidRPr="00F875E6" w:rsidRDefault="00B60939" w:rsidP="00577717"/>
    <w:p w:rsidR="00B60939" w:rsidRPr="00F875E6" w:rsidRDefault="00406AE8" w:rsidP="006D1EE0">
      <w:pPr>
        <w:pStyle w:val="ListParagraph"/>
        <w:widowControl/>
        <w:numPr>
          <w:ilvl w:val="1"/>
          <w:numId w:val="4"/>
        </w:numPr>
        <w:rPr>
          <w:szCs w:val="22"/>
        </w:rPr>
      </w:pPr>
      <w:r w:rsidRPr="00F875E6">
        <w:rPr>
          <w:szCs w:val="22"/>
        </w:rPr>
        <w:t>The PBAC deferred ponatinib in</w:t>
      </w:r>
      <w:r w:rsidR="009756B6" w:rsidRPr="00F875E6">
        <w:rPr>
          <w:szCs w:val="22"/>
        </w:rPr>
        <w:t xml:space="preserve"> November 2014.</w:t>
      </w:r>
    </w:p>
    <w:p w:rsidR="00B60939" w:rsidRPr="00F875E6" w:rsidRDefault="00B60939" w:rsidP="00577717"/>
    <w:p w:rsidR="001D112E" w:rsidRPr="00F875E6" w:rsidRDefault="00406AE8" w:rsidP="009E1789">
      <w:pPr>
        <w:keepNext/>
        <w:widowControl/>
        <w:ind w:firstLine="720"/>
        <w:rPr>
          <w:rStyle w:val="CommentReference"/>
        </w:rPr>
      </w:pPr>
      <w:r w:rsidRPr="00F875E6">
        <w:rPr>
          <w:rStyle w:val="CommentReference"/>
        </w:rPr>
        <w:t xml:space="preserve">Table </w:t>
      </w:r>
      <w:r w:rsidR="00A76619" w:rsidRPr="00F875E6">
        <w:rPr>
          <w:rStyle w:val="CommentReference"/>
        </w:rPr>
        <w:t>1</w:t>
      </w:r>
      <w:r w:rsidRPr="00F875E6">
        <w:rPr>
          <w:rStyle w:val="CommentReference"/>
        </w:rPr>
        <w:t xml:space="preserve">: </w:t>
      </w:r>
      <w:r w:rsidR="001D112E" w:rsidRPr="00F875E6">
        <w:rPr>
          <w:rStyle w:val="CommentReference"/>
        </w:rPr>
        <w:t>Summary of the previous submission and current re-submission</w:t>
      </w:r>
    </w:p>
    <w:tbl>
      <w:tblPr>
        <w:tblW w:w="844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92"/>
        <w:gridCol w:w="5387"/>
        <w:gridCol w:w="2064"/>
      </w:tblGrid>
      <w:tr w:rsidR="001D112E" w:rsidRPr="00F875E6" w:rsidTr="00792B70">
        <w:trPr>
          <w:cantSplit/>
          <w:trHeight w:val="220"/>
          <w:tblHeader/>
        </w:trPr>
        <w:tc>
          <w:tcPr>
            <w:tcW w:w="992" w:type="dxa"/>
          </w:tcPr>
          <w:p w:rsidR="001D112E" w:rsidRPr="00F875E6" w:rsidRDefault="001D112E" w:rsidP="009E1789">
            <w:pPr>
              <w:keepNext/>
              <w:widowControl/>
              <w:jc w:val="left"/>
              <w:rPr>
                <w:rFonts w:ascii="Arial Narrow" w:hAnsi="Arial Narrow"/>
                <w:sz w:val="19"/>
                <w:szCs w:val="19"/>
              </w:rPr>
            </w:pPr>
          </w:p>
        </w:tc>
        <w:tc>
          <w:tcPr>
            <w:tcW w:w="5387" w:type="dxa"/>
            <w:vAlign w:val="center"/>
          </w:tcPr>
          <w:p w:rsidR="001D112E" w:rsidRPr="00F875E6" w:rsidRDefault="001F4E00" w:rsidP="009E1789">
            <w:pPr>
              <w:keepNext/>
              <w:widowControl/>
              <w:jc w:val="center"/>
              <w:rPr>
                <w:rFonts w:ascii="Arial Narrow" w:hAnsi="Arial Narrow"/>
                <w:b/>
                <w:sz w:val="19"/>
                <w:szCs w:val="19"/>
              </w:rPr>
            </w:pPr>
            <w:r w:rsidRPr="00F875E6">
              <w:rPr>
                <w:rFonts w:ascii="Arial Narrow" w:hAnsi="Arial Narrow"/>
                <w:b/>
                <w:sz w:val="19"/>
                <w:szCs w:val="19"/>
              </w:rPr>
              <w:t>Ponatinib – November 2014</w:t>
            </w:r>
          </w:p>
        </w:tc>
        <w:tc>
          <w:tcPr>
            <w:tcW w:w="2064" w:type="dxa"/>
            <w:vAlign w:val="center"/>
          </w:tcPr>
          <w:p w:rsidR="001D112E" w:rsidRPr="00F875E6" w:rsidRDefault="001D112E" w:rsidP="009E1789">
            <w:pPr>
              <w:keepNext/>
              <w:widowControl/>
              <w:jc w:val="center"/>
              <w:rPr>
                <w:rFonts w:ascii="Arial Narrow" w:hAnsi="Arial Narrow"/>
                <w:b/>
                <w:sz w:val="19"/>
                <w:szCs w:val="19"/>
              </w:rPr>
            </w:pPr>
            <w:r w:rsidRPr="00F875E6">
              <w:rPr>
                <w:rFonts w:ascii="Arial Narrow" w:hAnsi="Arial Narrow"/>
                <w:b/>
                <w:sz w:val="19"/>
                <w:szCs w:val="19"/>
              </w:rPr>
              <w:t>Current re-submission</w:t>
            </w:r>
          </w:p>
        </w:tc>
      </w:tr>
      <w:tr w:rsidR="001D112E" w:rsidRPr="00F875E6" w:rsidTr="00792B70">
        <w:trPr>
          <w:cantSplit/>
          <w:trHeight w:val="794"/>
        </w:trPr>
        <w:tc>
          <w:tcPr>
            <w:tcW w:w="992" w:type="dxa"/>
          </w:tcPr>
          <w:p w:rsidR="001D112E" w:rsidRPr="00F875E6" w:rsidRDefault="001D112E" w:rsidP="009E1789">
            <w:pPr>
              <w:keepNext/>
              <w:widowControl/>
              <w:jc w:val="left"/>
              <w:rPr>
                <w:rFonts w:ascii="Arial Narrow" w:hAnsi="Arial Narrow"/>
                <w:sz w:val="19"/>
                <w:szCs w:val="19"/>
              </w:rPr>
            </w:pPr>
            <w:r w:rsidRPr="00F875E6">
              <w:rPr>
                <w:rFonts w:ascii="Arial Narrow" w:hAnsi="Arial Narrow"/>
                <w:sz w:val="19"/>
                <w:szCs w:val="19"/>
              </w:rPr>
              <w:t>Requested PBS listing</w:t>
            </w:r>
          </w:p>
        </w:tc>
        <w:tc>
          <w:tcPr>
            <w:tcW w:w="5387" w:type="dxa"/>
          </w:tcPr>
          <w:p w:rsidR="001D112E" w:rsidRPr="00F875E6" w:rsidRDefault="005D3F17" w:rsidP="009E1789">
            <w:pPr>
              <w:keepNext/>
              <w:widowControl/>
              <w:jc w:val="left"/>
              <w:rPr>
                <w:rFonts w:ascii="Arial Narrow" w:hAnsi="Arial Narrow"/>
                <w:b/>
                <w:sz w:val="19"/>
                <w:szCs w:val="19"/>
              </w:rPr>
            </w:pPr>
            <w:r w:rsidRPr="00F875E6">
              <w:rPr>
                <w:rFonts w:ascii="Arial Narrow" w:hAnsi="Arial Narrow"/>
                <w:b/>
                <w:sz w:val="19"/>
                <w:szCs w:val="19"/>
              </w:rPr>
              <w:t>Authority required</w:t>
            </w:r>
          </w:p>
          <w:p w:rsidR="005D3F17" w:rsidRPr="00F875E6" w:rsidRDefault="005D3F17" w:rsidP="009E1789">
            <w:pPr>
              <w:keepNext/>
              <w:widowControl/>
              <w:jc w:val="left"/>
              <w:rPr>
                <w:rFonts w:ascii="Arial Narrow" w:hAnsi="Arial Narrow"/>
                <w:b/>
                <w:sz w:val="19"/>
                <w:szCs w:val="19"/>
              </w:rPr>
            </w:pPr>
            <w:r w:rsidRPr="00F875E6">
              <w:rPr>
                <w:rFonts w:ascii="Arial Narrow" w:hAnsi="Arial Narrow"/>
                <w:b/>
                <w:sz w:val="19"/>
                <w:szCs w:val="19"/>
              </w:rPr>
              <w:t>Restriction 1 – CML</w:t>
            </w:r>
          </w:p>
          <w:p w:rsidR="006A30D7" w:rsidRPr="00F875E6" w:rsidRDefault="006A30D7" w:rsidP="009E1789">
            <w:pPr>
              <w:keepNext/>
              <w:widowControl/>
              <w:jc w:val="left"/>
              <w:rPr>
                <w:rFonts w:ascii="Arial Narrow" w:hAnsi="Arial Narrow"/>
                <w:i/>
                <w:sz w:val="19"/>
                <w:szCs w:val="19"/>
              </w:rPr>
            </w:pPr>
            <w:r w:rsidRPr="00F875E6">
              <w:rPr>
                <w:rFonts w:ascii="Arial Narrow" w:hAnsi="Arial Narrow"/>
                <w:i/>
                <w:sz w:val="19"/>
                <w:szCs w:val="19"/>
              </w:rPr>
              <w:t xml:space="preserve">Initial treatment: </w:t>
            </w:r>
          </w:p>
          <w:p w:rsidR="005D3F17" w:rsidRPr="00F875E6" w:rsidRDefault="005D3F17" w:rsidP="009E1789">
            <w:pPr>
              <w:keepNext/>
              <w:widowControl/>
              <w:jc w:val="left"/>
              <w:rPr>
                <w:rFonts w:ascii="Arial Narrow" w:hAnsi="Arial Narrow"/>
                <w:sz w:val="19"/>
                <w:szCs w:val="19"/>
              </w:rPr>
            </w:pPr>
            <w:r w:rsidRPr="00F875E6">
              <w:rPr>
                <w:rFonts w:ascii="Arial Narrow" w:hAnsi="Arial Narrow"/>
                <w:sz w:val="19"/>
                <w:szCs w:val="19"/>
              </w:rPr>
              <w:t>The treatment must have failed second</w:t>
            </w:r>
            <w:r w:rsidR="006A30D7" w:rsidRPr="00F875E6">
              <w:rPr>
                <w:rFonts w:ascii="Arial Narrow" w:hAnsi="Arial Narrow"/>
                <w:sz w:val="19"/>
                <w:szCs w:val="19"/>
              </w:rPr>
              <w:t>-</w:t>
            </w:r>
            <w:r w:rsidRPr="00F875E6">
              <w:rPr>
                <w:rFonts w:ascii="Arial Narrow" w:hAnsi="Arial Narrow"/>
                <w:sz w:val="19"/>
                <w:szCs w:val="19"/>
              </w:rPr>
              <w:t>line therapy of dasatinib OR nilotinib.</w:t>
            </w:r>
          </w:p>
          <w:p w:rsidR="00406AE8" w:rsidRPr="00F875E6" w:rsidRDefault="005D3F17" w:rsidP="009E1789">
            <w:pPr>
              <w:keepNext/>
              <w:widowControl/>
              <w:jc w:val="left"/>
              <w:rPr>
                <w:rFonts w:ascii="Arial Narrow" w:hAnsi="Arial Narrow"/>
                <w:sz w:val="19"/>
                <w:szCs w:val="19"/>
              </w:rPr>
            </w:pPr>
            <w:r w:rsidRPr="00F875E6">
              <w:rPr>
                <w:rFonts w:ascii="Arial Narrow" w:hAnsi="Arial Narrow"/>
                <w:i/>
                <w:sz w:val="19"/>
                <w:szCs w:val="19"/>
              </w:rPr>
              <w:t>Continuing treatment</w:t>
            </w:r>
            <w:r w:rsidRPr="00F875E6">
              <w:rPr>
                <w:rFonts w:ascii="Arial Narrow" w:hAnsi="Arial Narrow"/>
                <w:sz w:val="19"/>
                <w:szCs w:val="19"/>
              </w:rPr>
              <w:t xml:space="preserve">: </w:t>
            </w:r>
          </w:p>
          <w:p w:rsidR="005D3F17" w:rsidRPr="00F875E6" w:rsidRDefault="00406AE8" w:rsidP="009E1789">
            <w:pPr>
              <w:keepNext/>
              <w:widowControl/>
              <w:jc w:val="left"/>
              <w:rPr>
                <w:rFonts w:ascii="Arial Narrow" w:hAnsi="Arial Narrow"/>
                <w:b/>
                <w:sz w:val="19"/>
                <w:szCs w:val="19"/>
              </w:rPr>
            </w:pPr>
            <w:r w:rsidRPr="00F875E6">
              <w:rPr>
                <w:rFonts w:ascii="Arial Narrow" w:hAnsi="Arial Narrow"/>
                <w:sz w:val="19"/>
                <w:szCs w:val="19"/>
              </w:rPr>
              <w:t>P</w:t>
            </w:r>
            <w:r w:rsidR="005D3F17" w:rsidRPr="00F875E6">
              <w:rPr>
                <w:rFonts w:ascii="Arial Narrow" w:hAnsi="Arial Narrow"/>
                <w:sz w:val="19"/>
                <w:szCs w:val="19"/>
              </w:rPr>
              <w:t>atient must have demonstrated either a major cytogenetic response, or less than 1% BCR-ABL level in the blood, to ponatinib</w:t>
            </w:r>
            <w:r w:rsidR="00BA19E5" w:rsidRPr="00F875E6">
              <w:rPr>
                <w:rFonts w:ascii="Arial Narrow" w:hAnsi="Arial Narrow"/>
                <w:sz w:val="19"/>
                <w:szCs w:val="19"/>
              </w:rPr>
              <w:t>.</w:t>
            </w:r>
          </w:p>
          <w:p w:rsidR="00406AE8" w:rsidRPr="00F875E6" w:rsidRDefault="00406AE8" w:rsidP="009E1789">
            <w:pPr>
              <w:keepNext/>
              <w:widowControl/>
              <w:jc w:val="left"/>
              <w:rPr>
                <w:rFonts w:ascii="Arial Narrow" w:hAnsi="Arial Narrow"/>
                <w:b/>
                <w:sz w:val="19"/>
                <w:szCs w:val="19"/>
              </w:rPr>
            </w:pPr>
          </w:p>
          <w:p w:rsidR="005D3F17" w:rsidRPr="00F875E6" w:rsidRDefault="005D3F17" w:rsidP="009E1789">
            <w:pPr>
              <w:keepNext/>
              <w:widowControl/>
              <w:jc w:val="left"/>
              <w:rPr>
                <w:rFonts w:ascii="Arial Narrow" w:hAnsi="Arial Narrow"/>
                <w:b/>
                <w:sz w:val="19"/>
                <w:szCs w:val="19"/>
              </w:rPr>
            </w:pPr>
            <w:r w:rsidRPr="00F875E6">
              <w:rPr>
                <w:rFonts w:ascii="Arial Narrow" w:hAnsi="Arial Narrow"/>
                <w:b/>
                <w:sz w:val="19"/>
                <w:szCs w:val="19"/>
              </w:rPr>
              <w:t>Restriction 2 – CML with T315l mutation</w:t>
            </w:r>
          </w:p>
          <w:p w:rsidR="005D3F17" w:rsidRPr="00F875E6" w:rsidRDefault="00406AE8" w:rsidP="009E1789">
            <w:pPr>
              <w:keepNext/>
              <w:widowControl/>
              <w:jc w:val="left"/>
              <w:rPr>
                <w:rFonts w:ascii="Arial Narrow" w:hAnsi="Arial Narrow"/>
                <w:sz w:val="19"/>
                <w:szCs w:val="19"/>
              </w:rPr>
            </w:pPr>
            <w:r w:rsidRPr="00F875E6">
              <w:rPr>
                <w:rFonts w:ascii="Arial Narrow" w:hAnsi="Arial Narrow"/>
                <w:sz w:val="19"/>
                <w:szCs w:val="19"/>
              </w:rPr>
              <w:t>Patients with the T315I mutation.</w:t>
            </w:r>
          </w:p>
          <w:p w:rsidR="00406AE8" w:rsidRPr="00F875E6" w:rsidRDefault="00406AE8" w:rsidP="009E1789">
            <w:pPr>
              <w:keepNext/>
              <w:widowControl/>
              <w:jc w:val="left"/>
              <w:rPr>
                <w:rFonts w:ascii="Arial Narrow" w:hAnsi="Arial Narrow"/>
                <w:sz w:val="19"/>
                <w:szCs w:val="19"/>
              </w:rPr>
            </w:pPr>
          </w:p>
          <w:p w:rsidR="006A30D7" w:rsidRPr="00F875E6" w:rsidRDefault="006A30D7" w:rsidP="009E1789">
            <w:pPr>
              <w:keepNext/>
              <w:widowControl/>
              <w:jc w:val="left"/>
              <w:rPr>
                <w:rFonts w:ascii="Arial Narrow" w:hAnsi="Arial Narrow"/>
                <w:b/>
                <w:sz w:val="19"/>
                <w:szCs w:val="19"/>
              </w:rPr>
            </w:pPr>
          </w:p>
          <w:p w:rsidR="005D3F17" w:rsidRPr="00F875E6" w:rsidRDefault="005D3F17" w:rsidP="009E1789">
            <w:pPr>
              <w:keepNext/>
              <w:widowControl/>
              <w:jc w:val="left"/>
              <w:rPr>
                <w:rFonts w:ascii="Arial Narrow" w:hAnsi="Arial Narrow"/>
                <w:b/>
                <w:sz w:val="19"/>
                <w:szCs w:val="19"/>
              </w:rPr>
            </w:pPr>
            <w:r w:rsidRPr="00F875E6">
              <w:rPr>
                <w:rFonts w:ascii="Arial Narrow" w:hAnsi="Arial Narrow"/>
                <w:b/>
                <w:sz w:val="19"/>
                <w:szCs w:val="19"/>
              </w:rPr>
              <w:t>Restriction 3 – ALL (Ph+)</w:t>
            </w:r>
          </w:p>
          <w:p w:rsidR="005D3F17" w:rsidRPr="00F875E6" w:rsidRDefault="005D3F17" w:rsidP="009E1789">
            <w:pPr>
              <w:keepNext/>
              <w:widowControl/>
              <w:jc w:val="left"/>
              <w:rPr>
                <w:rFonts w:ascii="Arial Narrow" w:hAnsi="Arial Narrow"/>
                <w:sz w:val="19"/>
                <w:szCs w:val="19"/>
              </w:rPr>
            </w:pPr>
            <w:r w:rsidRPr="00F875E6">
              <w:rPr>
                <w:rFonts w:ascii="Arial Narrow" w:hAnsi="Arial Narrow"/>
                <w:i/>
                <w:sz w:val="19"/>
                <w:szCs w:val="19"/>
              </w:rPr>
              <w:t xml:space="preserve">Initial treatment: </w:t>
            </w:r>
          </w:p>
          <w:p w:rsidR="005D3F17" w:rsidRPr="00F875E6" w:rsidRDefault="007D4DD5" w:rsidP="009E1789">
            <w:pPr>
              <w:keepNext/>
              <w:widowControl/>
              <w:jc w:val="left"/>
              <w:rPr>
                <w:rFonts w:ascii="Arial Narrow" w:hAnsi="Arial Narrow"/>
                <w:sz w:val="19"/>
                <w:szCs w:val="19"/>
              </w:rPr>
            </w:pPr>
            <w:r w:rsidRPr="00F875E6">
              <w:rPr>
                <w:rFonts w:ascii="Arial Narrow" w:hAnsi="Arial Narrow"/>
                <w:sz w:val="19"/>
                <w:szCs w:val="19"/>
              </w:rPr>
              <w:t>P</w:t>
            </w:r>
            <w:r w:rsidR="005D3F17" w:rsidRPr="00F875E6">
              <w:rPr>
                <w:rFonts w:ascii="Arial Narrow" w:hAnsi="Arial Narrow"/>
                <w:sz w:val="19"/>
                <w:szCs w:val="19"/>
              </w:rPr>
              <w:t>atients must have failed treatment with chemotherapy</w:t>
            </w:r>
          </w:p>
          <w:p w:rsidR="005D3F17" w:rsidRPr="00F875E6" w:rsidRDefault="005D3F17" w:rsidP="009E1789">
            <w:pPr>
              <w:keepNext/>
              <w:widowControl/>
              <w:jc w:val="left"/>
              <w:rPr>
                <w:rFonts w:ascii="Arial Narrow" w:hAnsi="Arial Narrow"/>
                <w:sz w:val="19"/>
                <w:szCs w:val="19"/>
              </w:rPr>
            </w:pPr>
            <w:r w:rsidRPr="00F875E6">
              <w:rPr>
                <w:rFonts w:ascii="Arial Narrow" w:hAnsi="Arial Narrow"/>
                <w:sz w:val="19"/>
                <w:szCs w:val="19"/>
              </w:rPr>
              <w:t>AND patient must have failed treatment with imatinib</w:t>
            </w:r>
          </w:p>
          <w:p w:rsidR="005D3F17" w:rsidRPr="00F875E6" w:rsidRDefault="005D3F17" w:rsidP="009E1789">
            <w:pPr>
              <w:keepNext/>
              <w:widowControl/>
              <w:jc w:val="left"/>
              <w:rPr>
                <w:rFonts w:ascii="Arial Narrow" w:hAnsi="Arial Narrow"/>
                <w:sz w:val="19"/>
                <w:szCs w:val="19"/>
              </w:rPr>
            </w:pPr>
            <w:r w:rsidRPr="00F875E6">
              <w:rPr>
                <w:rFonts w:ascii="Arial Narrow" w:hAnsi="Arial Narrow"/>
                <w:sz w:val="19"/>
                <w:szCs w:val="19"/>
              </w:rPr>
              <w:t>AND patient must have failed treatment with dasatinib</w:t>
            </w:r>
          </w:p>
          <w:p w:rsidR="005D3F17" w:rsidRPr="00F875E6" w:rsidRDefault="005D3F17" w:rsidP="009E1789">
            <w:pPr>
              <w:keepNext/>
              <w:widowControl/>
              <w:jc w:val="left"/>
              <w:rPr>
                <w:rFonts w:ascii="Arial Narrow" w:hAnsi="Arial Narrow"/>
                <w:sz w:val="19"/>
                <w:szCs w:val="19"/>
              </w:rPr>
            </w:pPr>
            <w:r w:rsidRPr="00F875E6">
              <w:rPr>
                <w:rFonts w:ascii="Arial Narrow" w:hAnsi="Arial Narrow"/>
                <w:sz w:val="19"/>
                <w:szCs w:val="19"/>
              </w:rPr>
              <w:t>AND patient must have failed allogeneic haemopoietic SCT (where appropriate).</w:t>
            </w:r>
          </w:p>
          <w:p w:rsidR="005D3F17" w:rsidRPr="00F875E6" w:rsidRDefault="005D3F17" w:rsidP="009E1789">
            <w:pPr>
              <w:keepNext/>
              <w:widowControl/>
              <w:jc w:val="left"/>
              <w:rPr>
                <w:rFonts w:ascii="Arial Narrow" w:hAnsi="Arial Narrow"/>
                <w:sz w:val="19"/>
                <w:szCs w:val="19"/>
              </w:rPr>
            </w:pPr>
            <w:r w:rsidRPr="00F875E6">
              <w:rPr>
                <w:rFonts w:ascii="Arial Narrow" w:hAnsi="Arial Narrow"/>
                <w:i/>
                <w:sz w:val="19"/>
                <w:szCs w:val="19"/>
              </w:rPr>
              <w:t>Continuing treatment</w:t>
            </w:r>
            <w:r w:rsidRPr="00F875E6">
              <w:rPr>
                <w:rFonts w:ascii="Arial Narrow" w:hAnsi="Arial Narrow"/>
                <w:sz w:val="19"/>
                <w:szCs w:val="19"/>
              </w:rPr>
              <w:t xml:space="preserve">: </w:t>
            </w:r>
          </w:p>
          <w:p w:rsidR="005D3F17" w:rsidRPr="00F875E6" w:rsidRDefault="00406AE8" w:rsidP="009E1789">
            <w:pPr>
              <w:keepNext/>
              <w:widowControl/>
              <w:jc w:val="left"/>
              <w:rPr>
                <w:rFonts w:ascii="Arial Narrow" w:hAnsi="Arial Narrow"/>
                <w:sz w:val="19"/>
                <w:szCs w:val="19"/>
              </w:rPr>
            </w:pPr>
            <w:r w:rsidRPr="00F875E6">
              <w:rPr>
                <w:rFonts w:ascii="Arial Narrow" w:hAnsi="Arial Narrow"/>
                <w:sz w:val="19"/>
                <w:szCs w:val="19"/>
              </w:rPr>
              <w:t>P</w:t>
            </w:r>
            <w:r w:rsidR="005D3F17" w:rsidRPr="00F875E6">
              <w:rPr>
                <w:rFonts w:ascii="Arial Narrow" w:hAnsi="Arial Narrow"/>
                <w:sz w:val="19"/>
                <w:szCs w:val="19"/>
              </w:rPr>
              <w:t>atient must not have progressive disease.</w:t>
            </w:r>
          </w:p>
          <w:p w:rsidR="001D112E" w:rsidRPr="00F875E6" w:rsidRDefault="001D112E" w:rsidP="009E1789">
            <w:pPr>
              <w:keepNext/>
              <w:widowControl/>
              <w:ind w:left="-108"/>
              <w:jc w:val="left"/>
              <w:rPr>
                <w:rFonts w:ascii="Arial Narrow" w:hAnsi="Arial Narrow"/>
                <w:b/>
                <w:sz w:val="19"/>
                <w:szCs w:val="19"/>
              </w:rPr>
            </w:pPr>
            <w:r w:rsidRPr="00F875E6">
              <w:rPr>
                <w:rFonts w:ascii="Arial Narrow" w:hAnsi="Arial Narrow"/>
                <w:b/>
                <w:sz w:val="19"/>
                <w:szCs w:val="19"/>
              </w:rPr>
              <w:t xml:space="preserve"> </w:t>
            </w:r>
          </w:p>
          <w:p w:rsidR="002F782A" w:rsidRPr="00F875E6" w:rsidRDefault="001D112E" w:rsidP="009E1789">
            <w:pPr>
              <w:keepNext/>
              <w:widowControl/>
              <w:jc w:val="left"/>
              <w:rPr>
                <w:rFonts w:ascii="Arial Narrow" w:hAnsi="Arial Narrow"/>
                <w:sz w:val="19"/>
                <w:szCs w:val="19"/>
              </w:rPr>
            </w:pPr>
            <w:r w:rsidRPr="00F875E6">
              <w:rPr>
                <w:rFonts w:ascii="Arial Narrow" w:hAnsi="Arial Narrow"/>
                <w:b/>
                <w:sz w:val="19"/>
                <w:szCs w:val="19"/>
              </w:rPr>
              <w:t xml:space="preserve">PBAC Comment: </w:t>
            </w:r>
            <w:r w:rsidR="004E7A7A" w:rsidRPr="00F875E6">
              <w:rPr>
                <w:rFonts w:ascii="Arial Narrow" w:hAnsi="Arial Narrow"/>
                <w:sz w:val="19"/>
                <w:szCs w:val="19"/>
              </w:rPr>
              <w:t xml:space="preserve">PBAC </w:t>
            </w:r>
            <w:r w:rsidR="002F782A" w:rsidRPr="00F875E6">
              <w:rPr>
                <w:rFonts w:ascii="Arial Narrow" w:hAnsi="Arial Narrow"/>
                <w:sz w:val="19"/>
                <w:szCs w:val="19"/>
              </w:rPr>
              <w:t>recommended the following restrictions: (i) patients with CML who have failed first</w:t>
            </w:r>
            <w:r w:rsidR="006A30D7" w:rsidRPr="00F875E6">
              <w:rPr>
                <w:rFonts w:ascii="Arial Narrow" w:hAnsi="Arial Narrow"/>
                <w:sz w:val="19"/>
                <w:szCs w:val="19"/>
              </w:rPr>
              <w:t>-</w:t>
            </w:r>
            <w:r w:rsidR="002F782A" w:rsidRPr="00F875E6">
              <w:rPr>
                <w:rFonts w:ascii="Arial Narrow" w:hAnsi="Arial Narrow"/>
                <w:sz w:val="19"/>
                <w:szCs w:val="19"/>
              </w:rPr>
              <w:t xml:space="preserve">line therapy with imatinib or dasatinib or nilotinib and whose CML has the T315l mutation; </w:t>
            </w:r>
          </w:p>
          <w:p w:rsidR="002F782A" w:rsidRPr="00F875E6" w:rsidRDefault="002F782A" w:rsidP="009E1789">
            <w:pPr>
              <w:keepNext/>
              <w:widowControl/>
              <w:jc w:val="left"/>
              <w:rPr>
                <w:rFonts w:ascii="Arial Narrow" w:hAnsi="Arial Narrow"/>
                <w:sz w:val="19"/>
                <w:szCs w:val="19"/>
              </w:rPr>
            </w:pPr>
            <w:r w:rsidRPr="00F875E6">
              <w:rPr>
                <w:rFonts w:ascii="Arial Narrow" w:hAnsi="Arial Narrow"/>
                <w:sz w:val="19"/>
                <w:szCs w:val="19"/>
              </w:rPr>
              <w:t xml:space="preserve">(ii) patients with CML where both nilotinib and dasatinib have failed, or where one of nilotinib or dasatinib has failed and who are intolerant of the other drug; </w:t>
            </w:r>
          </w:p>
          <w:p w:rsidR="001D112E" w:rsidRPr="00F875E6" w:rsidRDefault="002F782A" w:rsidP="009E1789">
            <w:pPr>
              <w:keepNext/>
              <w:widowControl/>
              <w:jc w:val="left"/>
              <w:rPr>
                <w:rFonts w:ascii="Arial Narrow" w:hAnsi="Arial Narrow"/>
                <w:sz w:val="19"/>
                <w:szCs w:val="19"/>
              </w:rPr>
            </w:pPr>
            <w:r w:rsidRPr="00F875E6">
              <w:rPr>
                <w:rFonts w:ascii="Arial Narrow" w:hAnsi="Arial Narrow"/>
                <w:sz w:val="19"/>
                <w:szCs w:val="19"/>
              </w:rPr>
              <w:t xml:space="preserve">(iii) patients with relapsed or refractory BCR-ABL positive ALL and whose ALL </w:t>
            </w:r>
            <w:r w:rsidRPr="00F875E6">
              <w:rPr>
                <w:rFonts w:ascii="Arial Narrow" w:hAnsi="Arial Narrow"/>
                <w:sz w:val="19"/>
                <w:szCs w:val="19"/>
                <w:u w:val="single"/>
              </w:rPr>
              <w:t>has</w:t>
            </w:r>
            <w:r w:rsidRPr="00F875E6">
              <w:rPr>
                <w:rFonts w:ascii="Arial Narrow" w:hAnsi="Arial Narrow"/>
                <w:sz w:val="19"/>
                <w:szCs w:val="19"/>
              </w:rPr>
              <w:t xml:space="preserve"> the T315l mutation</w:t>
            </w:r>
            <w:r w:rsidR="004E7A7A" w:rsidRPr="00F875E6">
              <w:rPr>
                <w:rFonts w:ascii="Arial Narrow" w:hAnsi="Arial Narrow"/>
                <w:sz w:val="19"/>
                <w:szCs w:val="19"/>
              </w:rPr>
              <w:t>.</w:t>
            </w:r>
          </w:p>
        </w:tc>
        <w:tc>
          <w:tcPr>
            <w:tcW w:w="2064" w:type="dxa"/>
          </w:tcPr>
          <w:p w:rsidR="0086632E" w:rsidRPr="00F875E6" w:rsidRDefault="0086632E" w:rsidP="009E1789">
            <w:pPr>
              <w:keepNext/>
              <w:widowControl/>
              <w:jc w:val="left"/>
              <w:rPr>
                <w:rFonts w:ascii="Arial Narrow" w:hAnsi="Arial Narrow"/>
                <w:b/>
                <w:sz w:val="19"/>
                <w:szCs w:val="19"/>
              </w:rPr>
            </w:pPr>
            <w:r w:rsidRPr="00F875E6">
              <w:rPr>
                <w:rFonts w:ascii="Arial Narrow" w:hAnsi="Arial Narrow"/>
                <w:b/>
                <w:sz w:val="19"/>
                <w:szCs w:val="19"/>
              </w:rPr>
              <w:t>Authority required</w:t>
            </w:r>
          </w:p>
          <w:p w:rsidR="0086632E" w:rsidRPr="00F875E6" w:rsidRDefault="0086632E" w:rsidP="009E1789">
            <w:pPr>
              <w:keepNext/>
              <w:widowControl/>
              <w:jc w:val="left"/>
              <w:rPr>
                <w:rFonts w:ascii="Arial Narrow" w:hAnsi="Arial Narrow"/>
                <w:b/>
                <w:sz w:val="19"/>
                <w:szCs w:val="19"/>
              </w:rPr>
            </w:pPr>
            <w:r w:rsidRPr="00F875E6">
              <w:rPr>
                <w:rFonts w:ascii="Arial Narrow" w:hAnsi="Arial Narrow"/>
                <w:b/>
                <w:sz w:val="19"/>
                <w:szCs w:val="19"/>
              </w:rPr>
              <w:t>Restriction 1 – CML</w:t>
            </w:r>
          </w:p>
          <w:p w:rsidR="003B22B8" w:rsidRDefault="00406AE8" w:rsidP="009E1789">
            <w:pPr>
              <w:keepNext/>
              <w:widowControl/>
              <w:jc w:val="left"/>
              <w:rPr>
                <w:rFonts w:ascii="Arial Narrow" w:hAnsi="Arial Narrow"/>
                <w:sz w:val="19"/>
                <w:szCs w:val="19"/>
              </w:rPr>
            </w:pPr>
            <w:r w:rsidRPr="00F875E6">
              <w:rPr>
                <w:rFonts w:ascii="Arial Narrow" w:hAnsi="Arial Narrow"/>
                <w:sz w:val="19"/>
                <w:szCs w:val="19"/>
              </w:rPr>
              <w:t xml:space="preserve">Failed both nilotinib </w:t>
            </w:r>
            <w:r w:rsidRPr="00F875E6">
              <w:rPr>
                <w:rFonts w:ascii="Arial Narrow" w:hAnsi="Arial Narrow"/>
                <w:sz w:val="19"/>
                <w:szCs w:val="19"/>
                <w:u w:val="single"/>
              </w:rPr>
              <w:t xml:space="preserve">and </w:t>
            </w:r>
            <w:r w:rsidRPr="00F875E6">
              <w:rPr>
                <w:rFonts w:ascii="Arial Narrow" w:hAnsi="Arial Narrow"/>
                <w:sz w:val="19"/>
                <w:szCs w:val="19"/>
              </w:rPr>
              <w:t xml:space="preserve">dasatinib </w:t>
            </w:r>
            <w:r w:rsidR="00D43C02" w:rsidRPr="00F875E6">
              <w:rPr>
                <w:rFonts w:ascii="Arial Narrow" w:hAnsi="Arial Narrow"/>
                <w:sz w:val="19"/>
                <w:szCs w:val="19"/>
              </w:rPr>
              <w:t>OR</w:t>
            </w:r>
            <w:r w:rsidRPr="00F875E6">
              <w:rPr>
                <w:rFonts w:ascii="Arial Narrow" w:hAnsi="Arial Narrow"/>
                <w:sz w:val="19"/>
                <w:szCs w:val="19"/>
              </w:rPr>
              <w:t xml:space="preserve"> failed one and intolerant of the other drug</w:t>
            </w:r>
            <w:r w:rsidR="003B22B8">
              <w:rPr>
                <w:rFonts w:ascii="Arial Narrow" w:hAnsi="Arial Narrow"/>
                <w:sz w:val="19"/>
                <w:szCs w:val="19"/>
              </w:rPr>
              <w:t>.</w:t>
            </w:r>
          </w:p>
          <w:p w:rsidR="003B22B8" w:rsidRDefault="003B22B8" w:rsidP="009E1789">
            <w:pPr>
              <w:keepNext/>
              <w:widowControl/>
              <w:jc w:val="left"/>
              <w:rPr>
                <w:rFonts w:ascii="Arial Narrow" w:hAnsi="Arial Narrow"/>
                <w:sz w:val="19"/>
                <w:szCs w:val="19"/>
              </w:rPr>
            </w:pPr>
          </w:p>
          <w:p w:rsidR="003B22B8" w:rsidRDefault="003B22B8" w:rsidP="009E1789">
            <w:pPr>
              <w:keepNext/>
              <w:widowControl/>
              <w:jc w:val="left"/>
              <w:rPr>
                <w:rFonts w:ascii="Arial Narrow" w:hAnsi="Arial Narrow"/>
                <w:sz w:val="19"/>
                <w:szCs w:val="19"/>
              </w:rPr>
            </w:pPr>
          </w:p>
          <w:p w:rsidR="0086632E" w:rsidRPr="00F875E6" w:rsidRDefault="003B22B8" w:rsidP="009E1789">
            <w:pPr>
              <w:keepNext/>
              <w:widowControl/>
              <w:jc w:val="left"/>
              <w:rPr>
                <w:rFonts w:ascii="Arial Narrow" w:hAnsi="Arial Narrow"/>
                <w:sz w:val="19"/>
                <w:szCs w:val="19"/>
              </w:rPr>
            </w:pPr>
            <w:r w:rsidRPr="00F875E6">
              <w:rPr>
                <w:rFonts w:ascii="Arial Narrow" w:hAnsi="Arial Narrow"/>
                <w:sz w:val="19"/>
                <w:szCs w:val="19"/>
              </w:rPr>
              <w:t xml:space="preserve"> </w:t>
            </w:r>
          </w:p>
          <w:p w:rsidR="0086632E" w:rsidRPr="00F875E6" w:rsidRDefault="0086632E" w:rsidP="009E1789">
            <w:pPr>
              <w:keepNext/>
              <w:widowControl/>
              <w:jc w:val="left"/>
              <w:rPr>
                <w:rFonts w:ascii="Arial Narrow" w:hAnsi="Arial Narrow"/>
                <w:b/>
                <w:sz w:val="19"/>
                <w:szCs w:val="19"/>
              </w:rPr>
            </w:pPr>
            <w:r w:rsidRPr="00F875E6">
              <w:rPr>
                <w:rFonts w:ascii="Arial Narrow" w:hAnsi="Arial Narrow"/>
                <w:b/>
                <w:sz w:val="19"/>
                <w:szCs w:val="19"/>
              </w:rPr>
              <w:t>Restriction 2 – CML with T315l mutation</w:t>
            </w:r>
          </w:p>
          <w:p w:rsidR="001D112E" w:rsidRPr="00F875E6" w:rsidRDefault="0086632E" w:rsidP="009E1789">
            <w:pPr>
              <w:keepNext/>
              <w:widowControl/>
              <w:jc w:val="left"/>
              <w:rPr>
                <w:rFonts w:ascii="Arial Narrow" w:hAnsi="Arial Narrow"/>
                <w:sz w:val="19"/>
                <w:szCs w:val="19"/>
              </w:rPr>
            </w:pPr>
            <w:r w:rsidRPr="00F875E6">
              <w:rPr>
                <w:rFonts w:ascii="Arial Narrow" w:hAnsi="Arial Narrow"/>
                <w:sz w:val="19"/>
                <w:szCs w:val="19"/>
              </w:rPr>
              <w:t xml:space="preserve">No change </w:t>
            </w:r>
          </w:p>
          <w:p w:rsidR="006A30D7" w:rsidRPr="00F875E6" w:rsidRDefault="006A30D7" w:rsidP="009E1789">
            <w:pPr>
              <w:keepNext/>
              <w:widowControl/>
              <w:jc w:val="left"/>
              <w:rPr>
                <w:rFonts w:ascii="Arial Narrow" w:hAnsi="Arial Narrow"/>
                <w:b/>
                <w:sz w:val="19"/>
                <w:szCs w:val="19"/>
              </w:rPr>
            </w:pPr>
          </w:p>
          <w:p w:rsidR="0086632E" w:rsidRPr="00F875E6" w:rsidRDefault="0086632E" w:rsidP="009E1789">
            <w:pPr>
              <w:keepNext/>
              <w:widowControl/>
              <w:jc w:val="left"/>
              <w:rPr>
                <w:rFonts w:ascii="Arial Narrow" w:hAnsi="Arial Narrow"/>
                <w:b/>
                <w:sz w:val="19"/>
                <w:szCs w:val="19"/>
              </w:rPr>
            </w:pPr>
            <w:r w:rsidRPr="00F875E6">
              <w:rPr>
                <w:rFonts w:ascii="Arial Narrow" w:hAnsi="Arial Narrow"/>
                <w:b/>
                <w:sz w:val="19"/>
                <w:szCs w:val="19"/>
              </w:rPr>
              <w:t>Restriction 3 – ALL (Ph+)</w:t>
            </w:r>
          </w:p>
          <w:p w:rsidR="0086632E" w:rsidRPr="00F875E6" w:rsidRDefault="00406AE8" w:rsidP="005B3C14">
            <w:pPr>
              <w:keepNext/>
              <w:widowControl/>
              <w:jc w:val="left"/>
              <w:rPr>
                <w:rFonts w:ascii="Arial Narrow" w:hAnsi="Arial Narrow"/>
                <w:sz w:val="19"/>
                <w:szCs w:val="19"/>
              </w:rPr>
            </w:pPr>
            <w:r w:rsidRPr="00F875E6">
              <w:rPr>
                <w:rFonts w:ascii="Arial Narrow" w:hAnsi="Arial Narrow"/>
                <w:sz w:val="19"/>
                <w:szCs w:val="19"/>
              </w:rPr>
              <w:t>I</w:t>
            </w:r>
            <w:r w:rsidR="0086632E" w:rsidRPr="00F875E6">
              <w:rPr>
                <w:rFonts w:ascii="Arial Narrow" w:hAnsi="Arial Narrow"/>
                <w:sz w:val="19"/>
                <w:szCs w:val="19"/>
              </w:rPr>
              <w:t xml:space="preserve">nitial treatment: </w:t>
            </w:r>
            <w:r w:rsidRPr="00F875E6">
              <w:rPr>
                <w:rFonts w:ascii="Arial Narrow" w:hAnsi="Arial Narrow"/>
                <w:sz w:val="19"/>
                <w:szCs w:val="19"/>
              </w:rPr>
              <w:t>P</w:t>
            </w:r>
            <w:r w:rsidR="003E30EF" w:rsidRPr="00F875E6">
              <w:rPr>
                <w:rFonts w:ascii="Arial Narrow" w:hAnsi="Arial Narrow"/>
                <w:sz w:val="19"/>
                <w:szCs w:val="19"/>
              </w:rPr>
              <w:t xml:space="preserve">atients have failed treatment with chemotherapy and imatinib </w:t>
            </w:r>
            <w:r w:rsidR="003E30EF" w:rsidRPr="00F875E6">
              <w:rPr>
                <w:rFonts w:ascii="Arial Narrow" w:hAnsi="Arial Narrow"/>
                <w:sz w:val="19"/>
                <w:szCs w:val="19"/>
                <w:u w:val="single"/>
              </w:rPr>
              <w:t>or</w:t>
            </w:r>
            <w:r w:rsidR="003E30EF" w:rsidRPr="00F875E6">
              <w:rPr>
                <w:rFonts w:ascii="Arial Narrow" w:hAnsi="Arial Narrow"/>
                <w:sz w:val="19"/>
                <w:szCs w:val="19"/>
              </w:rPr>
              <w:t xml:space="preserve"> dasatinib and where appropriate allogeneic haemopoietic SCT.</w:t>
            </w:r>
            <w:r w:rsidR="0086632E" w:rsidRPr="00F875E6">
              <w:rPr>
                <w:rFonts w:ascii="Arial Narrow" w:hAnsi="Arial Narrow"/>
                <w:sz w:val="19"/>
                <w:szCs w:val="19"/>
              </w:rPr>
              <w:t xml:space="preserve"> </w:t>
            </w:r>
            <w:r w:rsidR="00733881" w:rsidRPr="00F875E6">
              <w:rPr>
                <w:rFonts w:ascii="Arial Narrow" w:hAnsi="Arial Narrow"/>
                <w:sz w:val="19"/>
                <w:szCs w:val="19"/>
              </w:rPr>
              <w:t xml:space="preserve">The re-submission </w:t>
            </w:r>
            <w:r w:rsidR="00FD54F8" w:rsidRPr="00F875E6">
              <w:rPr>
                <w:rFonts w:ascii="Arial Narrow" w:hAnsi="Arial Narrow"/>
                <w:sz w:val="19"/>
                <w:szCs w:val="19"/>
              </w:rPr>
              <w:t>noted the paucity of data in patients without the T315I mutation, but requested</w:t>
            </w:r>
            <w:r w:rsidR="00072D1E" w:rsidRPr="00F875E6">
              <w:rPr>
                <w:rFonts w:ascii="Arial Narrow" w:hAnsi="Arial Narrow"/>
                <w:sz w:val="19"/>
                <w:szCs w:val="19"/>
              </w:rPr>
              <w:t xml:space="preserve"> listing</w:t>
            </w:r>
            <w:r w:rsidR="00733881" w:rsidRPr="00F875E6">
              <w:rPr>
                <w:rFonts w:ascii="Arial Narrow" w:hAnsi="Arial Narrow"/>
                <w:sz w:val="19"/>
                <w:szCs w:val="19"/>
              </w:rPr>
              <w:t xml:space="preserve"> for patients with </w:t>
            </w:r>
            <w:r w:rsidR="006A30D7" w:rsidRPr="00F875E6">
              <w:rPr>
                <w:rFonts w:ascii="Arial Narrow" w:hAnsi="Arial Narrow"/>
                <w:sz w:val="19"/>
                <w:szCs w:val="19"/>
              </w:rPr>
              <w:t xml:space="preserve">Ph+ </w:t>
            </w:r>
            <w:r w:rsidR="00733881" w:rsidRPr="00F875E6">
              <w:rPr>
                <w:rFonts w:ascii="Arial Narrow" w:hAnsi="Arial Narrow"/>
                <w:sz w:val="19"/>
                <w:szCs w:val="19"/>
              </w:rPr>
              <w:t xml:space="preserve">ALL </w:t>
            </w:r>
            <w:r w:rsidR="00733881" w:rsidRPr="00F875E6">
              <w:rPr>
                <w:rFonts w:ascii="Arial Narrow" w:hAnsi="Arial Narrow"/>
                <w:sz w:val="19"/>
                <w:szCs w:val="19"/>
                <w:u w:val="single"/>
              </w:rPr>
              <w:t xml:space="preserve">with or without </w:t>
            </w:r>
            <w:r w:rsidR="00733881" w:rsidRPr="00F875E6">
              <w:rPr>
                <w:rFonts w:ascii="Arial Narrow" w:hAnsi="Arial Narrow"/>
                <w:sz w:val="19"/>
                <w:szCs w:val="19"/>
              </w:rPr>
              <w:t>T315l mutation.</w:t>
            </w:r>
          </w:p>
        </w:tc>
      </w:tr>
      <w:tr w:rsidR="001D112E" w:rsidRPr="00F875E6" w:rsidTr="00792B70">
        <w:trPr>
          <w:cantSplit/>
          <w:trHeight w:val="422"/>
        </w:trPr>
        <w:tc>
          <w:tcPr>
            <w:tcW w:w="992" w:type="dxa"/>
          </w:tcPr>
          <w:p w:rsidR="001D112E" w:rsidRPr="00F875E6" w:rsidRDefault="001D112E" w:rsidP="00AA0A07">
            <w:pPr>
              <w:jc w:val="left"/>
              <w:rPr>
                <w:rFonts w:ascii="Arial Narrow" w:hAnsi="Arial Narrow"/>
                <w:sz w:val="19"/>
                <w:szCs w:val="19"/>
              </w:rPr>
            </w:pPr>
            <w:r w:rsidRPr="00F875E6">
              <w:rPr>
                <w:rFonts w:ascii="Arial Narrow" w:hAnsi="Arial Narrow"/>
                <w:sz w:val="19"/>
                <w:szCs w:val="19"/>
              </w:rPr>
              <w:t>Requested price</w:t>
            </w:r>
          </w:p>
        </w:tc>
        <w:tc>
          <w:tcPr>
            <w:tcW w:w="5387" w:type="dxa"/>
          </w:tcPr>
          <w:p w:rsidR="001D112E" w:rsidRPr="00F875E6" w:rsidRDefault="002A11BD" w:rsidP="00AA0A07">
            <w:pPr>
              <w:jc w:val="left"/>
              <w:rPr>
                <w:rFonts w:ascii="Arial Narrow" w:hAnsi="Arial Narrow"/>
                <w:sz w:val="19"/>
                <w:szCs w:val="19"/>
              </w:rPr>
            </w:pPr>
            <w:r w:rsidRPr="00F875E6">
              <w:rPr>
                <w:rFonts w:ascii="Arial Narrow" w:hAnsi="Arial Narrow"/>
                <w:sz w:val="19"/>
                <w:szCs w:val="19"/>
              </w:rPr>
              <w:t>DPMQ 15 mg tablet, 60 = $</w:t>
            </w:r>
            <w:r w:rsidR="005F7A51">
              <w:rPr>
                <w:rFonts w:ascii="Arial Narrow" w:hAnsi="Arial Narrow"/>
                <w:noProof/>
                <w:color w:val="000000"/>
                <w:sz w:val="19"/>
                <w:szCs w:val="19"/>
                <w:highlight w:val="black"/>
              </w:rPr>
              <w:t>'''''''''''''''''''</w:t>
            </w:r>
          </w:p>
          <w:p w:rsidR="002A11BD" w:rsidRPr="00F875E6" w:rsidRDefault="002A11BD" w:rsidP="00AA0A07">
            <w:pPr>
              <w:jc w:val="left"/>
              <w:rPr>
                <w:rFonts w:ascii="Arial Narrow" w:hAnsi="Arial Narrow"/>
                <w:color w:val="0000FF"/>
                <w:sz w:val="19"/>
                <w:szCs w:val="19"/>
              </w:rPr>
            </w:pPr>
            <w:r w:rsidRPr="00F875E6">
              <w:rPr>
                <w:rFonts w:ascii="Arial Narrow" w:hAnsi="Arial Narrow"/>
                <w:sz w:val="19"/>
                <w:szCs w:val="19"/>
              </w:rPr>
              <w:t>DPMQ 45 mg tablet, 30 = $</w:t>
            </w:r>
            <w:r w:rsidR="005F7A51">
              <w:rPr>
                <w:rFonts w:ascii="Arial Narrow" w:hAnsi="Arial Narrow"/>
                <w:noProof/>
                <w:color w:val="000000"/>
                <w:sz w:val="19"/>
                <w:szCs w:val="19"/>
                <w:highlight w:val="black"/>
              </w:rPr>
              <w:t>'''''''''''''''''''''</w:t>
            </w:r>
          </w:p>
        </w:tc>
        <w:tc>
          <w:tcPr>
            <w:tcW w:w="2064" w:type="dxa"/>
          </w:tcPr>
          <w:p w:rsidR="004A1A75" w:rsidRPr="00F875E6" w:rsidRDefault="002638E1" w:rsidP="002638E1">
            <w:pPr>
              <w:jc w:val="left"/>
              <w:rPr>
                <w:rFonts w:ascii="Arial Narrow" w:hAnsi="Arial Narrow"/>
                <w:sz w:val="19"/>
                <w:szCs w:val="19"/>
              </w:rPr>
            </w:pPr>
            <w:r w:rsidRPr="00F875E6">
              <w:rPr>
                <w:rFonts w:ascii="Arial Narrow" w:hAnsi="Arial Narrow"/>
                <w:sz w:val="19"/>
                <w:szCs w:val="19"/>
              </w:rPr>
              <w:t>15 mg tablet, 60 = $</w:t>
            </w:r>
            <w:r w:rsidR="005F7A51">
              <w:rPr>
                <w:rFonts w:ascii="Arial Narrow" w:hAnsi="Arial Narrow"/>
                <w:noProof/>
                <w:color w:val="000000"/>
                <w:sz w:val="19"/>
                <w:szCs w:val="19"/>
                <w:highlight w:val="black"/>
              </w:rPr>
              <w:t>'''''''''''''''''''</w:t>
            </w:r>
          </w:p>
          <w:p w:rsidR="004A1A75" w:rsidRPr="00F875E6" w:rsidRDefault="003B22B8" w:rsidP="004A1A75">
            <w:pPr>
              <w:ind w:left="1106"/>
              <w:jc w:val="left"/>
              <w:rPr>
                <w:rFonts w:ascii="Arial Narrow" w:hAnsi="Arial Narrow"/>
                <w:i/>
                <w:sz w:val="19"/>
                <w:szCs w:val="19"/>
              </w:rPr>
            </w:pPr>
            <w:r>
              <w:rPr>
                <w:rFonts w:ascii="Arial Narrow" w:hAnsi="Arial Narrow"/>
                <w:i/>
                <w:sz w:val="19"/>
                <w:szCs w:val="19"/>
              </w:rPr>
              <w:t xml:space="preserve"> </w:t>
            </w:r>
            <w:r w:rsidR="004A1A75" w:rsidRPr="00F875E6">
              <w:rPr>
                <w:rFonts w:ascii="Arial Narrow" w:hAnsi="Arial Narrow"/>
                <w:i/>
                <w:sz w:val="19"/>
                <w:szCs w:val="19"/>
              </w:rPr>
              <w:t xml:space="preserve"> $</w:t>
            </w:r>
            <w:r w:rsidR="005F7A51">
              <w:rPr>
                <w:rFonts w:ascii="Arial Narrow" w:hAnsi="Arial Narrow"/>
                <w:i/>
                <w:noProof/>
                <w:color w:val="000000"/>
                <w:sz w:val="19"/>
                <w:szCs w:val="19"/>
                <w:highlight w:val="black"/>
              </w:rPr>
              <w:t>'''''''''''''''''''''</w:t>
            </w:r>
          </w:p>
          <w:p w:rsidR="001D112E" w:rsidRPr="00F875E6" w:rsidRDefault="002638E1" w:rsidP="002638E1">
            <w:pPr>
              <w:jc w:val="left"/>
              <w:rPr>
                <w:rFonts w:ascii="Arial Narrow" w:hAnsi="Arial Narrow"/>
                <w:sz w:val="19"/>
                <w:szCs w:val="19"/>
              </w:rPr>
            </w:pPr>
            <w:r w:rsidRPr="00F875E6">
              <w:rPr>
                <w:rFonts w:ascii="Arial Narrow" w:hAnsi="Arial Narrow"/>
                <w:sz w:val="19"/>
                <w:szCs w:val="19"/>
              </w:rPr>
              <w:t>45 mg tablet, 30 = $</w:t>
            </w:r>
            <w:r w:rsidR="005F7A51">
              <w:rPr>
                <w:rFonts w:ascii="Arial Narrow" w:hAnsi="Arial Narrow"/>
                <w:noProof/>
                <w:color w:val="000000"/>
                <w:sz w:val="19"/>
                <w:szCs w:val="19"/>
                <w:highlight w:val="black"/>
              </w:rPr>
              <w:t>''''''''''''''''''</w:t>
            </w:r>
          </w:p>
          <w:p w:rsidR="004A1A75" w:rsidRPr="00F875E6" w:rsidRDefault="004A1A75" w:rsidP="004A1A75">
            <w:pPr>
              <w:ind w:left="1106"/>
              <w:jc w:val="left"/>
              <w:rPr>
                <w:rFonts w:ascii="Arial Narrow" w:hAnsi="Arial Narrow"/>
                <w:color w:val="0000FF"/>
                <w:sz w:val="19"/>
                <w:szCs w:val="19"/>
              </w:rPr>
            </w:pPr>
            <w:r w:rsidRPr="00F875E6">
              <w:rPr>
                <w:rFonts w:ascii="Arial Narrow" w:hAnsi="Arial Narrow"/>
                <w:i/>
                <w:sz w:val="19"/>
                <w:szCs w:val="19"/>
              </w:rPr>
              <w:t xml:space="preserve">  $</w:t>
            </w:r>
            <w:r w:rsidR="005F7A51">
              <w:rPr>
                <w:rFonts w:ascii="Arial Narrow" w:hAnsi="Arial Narrow"/>
                <w:i/>
                <w:noProof/>
                <w:color w:val="000000"/>
                <w:sz w:val="19"/>
                <w:szCs w:val="19"/>
                <w:highlight w:val="black"/>
              </w:rPr>
              <w:t>''''''''''''''''''''</w:t>
            </w:r>
          </w:p>
          <w:p w:rsidR="004A1A75" w:rsidRPr="00F875E6" w:rsidRDefault="00297E64" w:rsidP="002638E1">
            <w:pPr>
              <w:jc w:val="left"/>
              <w:rPr>
                <w:rFonts w:ascii="Arial Narrow" w:hAnsi="Arial Narrow"/>
                <w:i/>
                <w:color w:val="0000FF"/>
                <w:sz w:val="19"/>
                <w:szCs w:val="19"/>
              </w:rPr>
            </w:pPr>
            <w:r w:rsidRPr="00F875E6">
              <w:rPr>
                <w:rFonts w:ascii="Arial Narrow" w:hAnsi="Arial Narrow"/>
                <w:i/>
                <w:sz w:val="19"/>
                <w:szCs w:val="19"/>
              </w:rPr>
              <w:t>Due to errors in the cost of treating vascular occlusive events.</w:t>
            </w:r>
          </w:p>
        </w:tc>
      </w:tr>
      <w:tr w:rsidR="001D112E" w:rsidRPr="00F875E6" w:rsidTr="00792B70">
        <w:trPr>
          <w:cantSplit/>
          <w:trHeight w:val="642"/>
        </w:trPr>
        <w:tc>
          <w:tcPr>
            <w:tcW w:w="992" w:type="dxa"/>
          </w:tcPr>
          <w:p w:rsidR="001D112E" w:rsidRPr="00F875E6" w:rsidRDefault="001D112E" w:rsidP="00AA0A07">
            <w:pPr>
              <w:jc w:val="left"/>
              <w:rPr>
                <w:rFonts w:ascii="Arial Narrow" w:hAnsi="Arial Narrow"/>
                <w:sz w:val="19"/>
                <w:szCs w:val="19"/>
              </w:rPr>
            </w:pPr>
            <w:r w:rsidRPr="00F875E6">
              <w:rPr>
                <w:rFonts w:ascii="Arial Narrow" w:hAnsi="Arial Narrow"/>
                <w:sz w:val="19"/>
                <w:szCs w:val="19"/>
              </w:rPr>
              <w:t>Main comparator</w:t>
            </w:r>
          </w:p>
        </w:tc>
        <w:tc>
          <w:tcPr>
            <w:tcW w:w="5387" w:type="dxa"/>
          </w:tcPr>
          <w:p w:rsidR="001D112E" w:rsidRPr="00F875E6" w:rsidRDefault="00CB0D81" w:rsidP="00AA0A07">
            <w:pPr>
              <w:jc w:val="left"/>
              <w:rPr>
                <w:rFonts w:ascii="Arial Narrow" w:hAnsi="Arial Narrow"/>
                <w:sz w:val="19"/>
                <w:szCs w:val="19"/>
              </w:rPr>
            </w:pPr>
            <w:r w:rsidRPr="00F875E6">
              <w:rPr>
                <w:rFonts w:ascii="Arial Narrow" w:hAnsi="Arial Narrow"/>
                <w:sz w:val="19"/>
                <w:szCs w:val="19"/>
              </w:rPr>
              <w:t>Dasatinib and nilotinib for all indications.</w:t>
            </w:r>
          </w:p>
          <w:p w:rsidR="001D112E" w:rsidRPr="00F875E6" w:rsidRDefault="001D112E" w:rsidP="00AA0A07">
            <w:pPr>
              <w:jc w:val="left"/>
              <w:rPr>
                <w:rFonts w:ascii="Arial Narrow" w:hAnsi="Arial Narrow"/>
                <w:sz w:val="19"/>
                <w:szCs w:val="19"/>
              </w:rPr>
            </w:pPr>
          </w:p>
          <w:p w:rsidR="001D112E" w:rsidRPr="00F875E6" w:rsidRDefault="001D112E" w:rsidP="00A51F78">
            <w:pPr>
              <w:jc w:val="left"/>
              <w:rPr>
                <w:rFonts w:ascii="Arial Narrow" w:hAnsi="Arial Narrow"/>
                <w:sz w:val="19"/>
                <w:szCs w:val="19"/>
              </w:rPr>
            </w:pPr>
            <w:r w:rsidRPr="00F875E6">
              <w:rPr>
                <w:rFonts w:ascii="Arial Narrow" w:hAnsi="Arial Narrow"/>
                <w:b/>
                <w:sz w:val="19"/>
                <w:szCs w:val="19"/>
              </w:rPr>
              <w:t>PBAC Comment:</w:t>
            </w:r>
            <w:r w:rsidRPr="00F875E6">
              <w:rPr>
                <w:rFonts w:ascii="Arial Narrow" w:hAnsi="Arial Narrow"/>
                <w:sz w:val="19"/>
                <w:szCs w:val="19"/>
              </w:rPr>
              <w:t xml:space="preserve"> </w:t>
            </w:r>
          </w:p>
          <w:p w:rsidR="00A51F78" w:rsidRPr="00F875E6" w:rsidRDefault="00A51F78" w:rsidP="00A51F78">
            <w:pPr>
              <w:jc w:val="left"/>
              <w:rPr>
                <w:rFonts w:ascii="Arial Narrow" w:hAnsi="Arial Narrow"/>
                <w:sz w:val="19"/>
                <w:szCs w:val="19"/>
                <w:u w:val="single"/>
              </w:rPr>
            </w:pPr>
            <w:r w:rsidRPr="00F875E6">
              <w:rPr>
                <w:rFonts w:ascii="Arial Narrow" w:hAnsi="Arial Narrow"/>
                <w:sz w:val="19"/>
                <w:szCs w:val="19"/>
                <w:u w:val="single"/>
              </w:rPr>
              <w:t>For treatment of CML or Ph+ ALL without the T315l mutation:</w:t>
            </w:r>
          </w:p>
          <w:p w:rsidR="00A51F78" w:rsidRPr="00F875E6" w:rsidRDefault="00A51F78" w:rsidP="00A51F78">
            <w:pPr>
              <w:jc w:val="left"/>
              <w:rPr>
                <w:rFonts w:ascii="Arial Narrow" w:hAnsi="Arial Narrow"/>
                <w:sz w:val="19"/>
                <w:szCs w:val="19"/>
              </w:rPr>
            </w:pPr>
            <w:r w:rsidRPr="00F875E6">
              <w:rPr>
                <w:rFonts w:ascii="Arial Narrow" w:hAnsi="Arial Narrow"/>
                <w:sz w:val="19"/>
                <w:szCs w:val="19"/>
              </w:rPr>
              <w:t>Dasatinib and nilotinib reasonable comparators in 3</w:t>
            </w:r>
            <w:r w:rsidRPr="00F875E6">
              <w:rPr>
                <w:rFonts w:ascii="Arial Narrow" w:hAnsi="Arial Narrow"/>
                <w:sz w:val="19"/>
                <w:szCs w:val="19"/>
                <w:vertAlign w:val="superscript"/>
              </w:rPr>
              <w:t>rd</w:t>
            </w:r>
            <w:r w:rsidRPr="00F875E6">
              <w:rPr>
                <w:rFonts w:ascii="Arial Narrow" w:hAnsi="Arial Narrow"/>
                <w:sz w:val="19"/>
                <w:szCs w:val="19"/>
              </w:rPr>
              <w:t xml:space="preserve"> line;</w:t>
            </w:r>
          </w:p>
          <w:p w:rsidR="00A51F78" w:rsidRPr="00F875E6" w:rsidRDefault="00A51F78" w:rsidP="00A51F78">
            <w:pPr>
              <w:jc w:val="left"/>
              <w:rPr>
                <w:rFonts w:ascii="Arial Narrow" w:hAnsi="Arial Narrow"/>
                <w:sz w:val="19"/>
                <w:szCs w:val="19"/>
              </w:rPr>
            </w:pPr>
            <w:r w:rsidRPr="00F875E6">
              <w:rPr>
                <w:rFonts w:ascii="Arial Narrow" w:hAnsi="Arial Narrow"/>
                <w:sz w:val="19"/>
                <w:szCs w:val="19"/>
              </w:rPr>
              <w:t>Best supportive and SCT most appropriate comparator in 4</w:t>
            </w:r>
            <w:r w:rsidRPr="00F875E6">
              <w:rPr>
                <w:rFonts w:ascii="Arial Narrow" w:hAnsi="Arial Narrow"/>
                <w:sz w:val="19"/>
                <w:szCs w:val="19"/>
                <w:vertAlign w:val="superscript"/>
              </w:rPr>
              <w:t>th</w:t>
            </w:r>
            <w:r w:rsidRPr="00F875E6">
              <w:rPr>
                <w:rFonts w:ascii="Arial Narrow" w:hAnsi="Arial Narrow"/>
                <w:sz w:val="19"/>
                <w:szCs w:val="19"/>
              </w:rPr>
              <w:t xml:space="preserve"> line</w:t>
            </w:r>
          </w:p>
          <w:p w:rsidR="00A51F78" w:rsidRPr="00F875E6" w:rsidRDefault="00A51F78" w:rsidP="00A51F78">
            <w:pPr>
              <w:jc w:val="left"/>
              <w:rPr>
                <w:rFonts w:ascii="Arial Narrow" w:hAnsi="Arial Narrow"/>
                <w:sz w:val="19"/>
                <w:szCs w:val="19"/>
                <w:u w:val="single"/>
              </w:rPr>
            </w:pPr>
            <w:r w:rsidRPr="00F875E6">
              <w:rPr>
                <w:rFonts w:ascii="Arial Narrow" w:hAnsi="Arial Narrow"/>
                <w:sz w:val="19"/>
                <w:szCs w:val="19"/>
                <w:u w:val="single"/>
              </w:rPr>
              <w:t>For treatment of CML or Ph+ ALL with T315l mutation:</w:t>
            </w:r>
          </w:p>
          <w:p w:rsidR="00A51F78" w:rsidRPr="00F875E6" w:rsidRDefault="00A51F78" w:rsidP="00A51F78">
            <w:pPr>
              <w:jc w:val="left"/>
              <w:rPr>
                <w:rFonts w:ascii="Arial Narrow" w:hAnsi="Arial Narrow"/>
                <w:sz w:val="19"/>
                <w:szCs w:val="19"/>
              </w:rPr>
            </w:pPr>
            <w:r w:rsidRPr="00F875E6">
              <w:rPr>
                <w:rFonts w:ascii="Arial Narrow" w:hAnsi="Arial Narrow"/>
                <w:sz w:val="19"/>
                <w:szCs w:val="19"/>
              </w:rPr>
              <w:t>BSC or allogeneic SCT are the more appropriate comparators</w:t>
            </w:r>
            <w:r w:rsidR="009A57C7" w:rsidRPr="00F875E6">
              <w:rPr>
                <w:rFonts w:ascii="Arial Narrow" w:hAnsi="Arial Narrow"/>
                <w:sz w:val="19"/>
                <w:szCs w:val="19"/>
              </w:rPr>
              <w:t>.</w:t>
            </w:r>
          </w:p>
          <w:p w:rsidR="006D1EE0" w:rsidRPr="00F875E6" w:rsidRDefault="006D1EE0" w:rsidP="00A51F78">
            <w:pPr>
              <w:jc w:val="left"/>
              <w:rPr>
                <w:rFonts w:ascii="Arial Narrow" w:hAnsi="Arial Narrow"/>
                <w:sz w:val="19"/>
                <w:szCs w:val="19"/>
              </w:rPr>
            </w:pPr>
          </w:p>
          <w:p w:rsidR="006D1EE0" w:rsidRPr="00F875E6" w:rsidRDefault="006D1EE0" w:rsidP="00D43C02">
            <w:pPr>
              <w:jc w:val="left"/>
              <w:rPr>
                <w:rFonts w:ascii="Arial Narrow" w:hAnsi="Arial Narrow"/>
                <w:bCs/>
                <w:sz w:val="19"/>
                <w:szCs w:val="19"/>
                <w:lang w:val="en-GB"/>
              </w:rPr>
            </w:pPr>
            <w:r w:rsidRPr="00F875E6">
              <w:rPr>
                <w:rFonts w:ascii="Arial Narrow" w:hAnsi="Arial Narrow"/>
                <w:bCs/>
                <w:sz w:val="19"/>
                <w:szCs w:val="19"/>
                <w:lang w:val="en-GB"/>
              </w:rPr>
              <w:t>The PBAC noted that the comparators for ponatinib are complex. Depending on different clinical scenarios they can be dasatinib or nilotinib or other non-TKI therapies</w:t>
            </w:r>
            <w:r w:rsidR="00594812" w:rsidRPr="00F875E6">
              <w:rPr>
                <w:rFonts w:ascii="Arial Narrow" w:hAnsi="Arial Narrow"/>
                <w:bCs/>
                <w:sz w:val="19"/>
                <w:szCs w:val="19"/>
                <w:lang w:val="en-GB"/>
              </w:rPr>
              <w:t>,</w:t>
            </w:r>
            <w:r w:rsidRPr="00F875E6">
              <w:rPr>
                <w:rFonts w:ascii="Arial Narrow" w:hAnsi="Arial Narrow"/>
                <w:bCs/>
                <w:sz w:val="19"/>
                <w:szCs w:val="19"/>
                <w:lang w:val="en-GB"/>
              </w:rPr>
              <w:t xml:space="preserve"> i.e. hydroxyurea, interferon, allogeneic transplantation and salvage chemotherapy. However, the PBAC considered that benchmarking against nilotinib and dasatinib in second</w:t>
            </w:r>
            <w:r w:rsidR="009A57C7" w:rsidRPr="00F875E6">
              <w:rPr>
                <w:rFonts w:ascii="Arial Narrow" w:hAnsi="Arial Narrow"/>
                <w:bCs/>
                <w:sz w:val="19"/>
                <w:szCs w:val="19"/>
                <w:lang w:val="en-GB"/>
              </w:rPr>
              <w:t>-</w:t>
            </w:r>
            <w:r w:rsidRPr="00F875E6">
              <w:rPr>
                <w:rFonts w:ascii="Arial Narrow" w:hAnsi="Arial Narrow"/>
                <w:bCs/>
                <w:sz w:val="19"/>
                <w:szCs w:val="19"/>
                <w:lang w:val="en-GB"/>
              </w:rPr>
              <w:t xml:space="preserve"> and subsequent line therapy in CML was a reasonable basis for establishing a cost-effective price for ponatinib.</w:t>
            </w:r>
          </w:p>
        </w:tc>
        <w:tc>
          <w:tcPr>
            <w:tcW w:w="2064" w:type="dxa"/>
          </w:tcPr>
          <w:p w:rsidR="002638E1" w:rsidRPr="00F875E6" w:rsidRDefault="002638E1" w:rsidP="002638E1">
            <w:pPr>
              <w:jc w:val="left"/>
              <w:rPr>
                <w:rFonts w:ascii="Arial Narrow" w:hAnsi="Arial Narrow"/>
                <w:i/>
                <w:sz w:val="19"/>
                <w:szCs w:val="19"/>
              </w:rPr>
            </w:pPr>
            <w:r w:rsidRPr="00F875E6">
              <w:rPr>
                <w:rFonts w:ascii="Arial Narrow" w:hAnsi="Arial Narrow"/>
                <w:sz w:val="19"/>
                <w:szCs w:val="19"/>
              </w:rPr>
              <w:t>Dasatinib and nilotinib for all indications. No changes from previous submission.</w:t>
            </w:r>
          </w:p>
          <w:p w:rsidR="001D112E" w:rsidRPr="00F875E6" w:rsidRDefault="001D112E" w:rsidP="00AA0A07">
            <w:pPr>
              <w:jc w:val="left"/>
              <w:rPr>
                <w:rFonts w:ascii="Arial Narrow" w:hAnsi="Arial Narrow"/>
                <w:color w:val="0000FF"/>
                <w:sz w:val="19"/>
                <w:szCs w:val="19"/>
              </w:rPr>
            </w:pPr>
          </w:p>
        </w:tc>
      </w:tr>
      <w:tr w:rsidR="001D112E" w:rsidRPr="00F875E6" w:rsidTr="00792B70">
        <w:trPr>
          <w:cantSplit/>
          <w:trHeight w:val="100"/>
        </w:trPr>
        <w:tc>
          <w:tcPr>
            <w:tcW w:w="992" w:type="dxa"/>
          </w:tcPr>
          <w:p w:rsidR="001D112E" w:rsidRPr="00F875E6" w:rsidRDefault="001D112E" w:rsidP="00AA0A07">
            <w:pPr>
              <w:jc w:val="left"/>
              <w:rPr>
                <w:rFonts w:ascii="Arial Narrow" w:hAnsi="Arial Narrow"/>
                <w:sz w:val="19"/>
                <w:szCs w:val="19"/>
              </w:rPr>
            </w:pPr>
            <w:r w:rsidRPr="00F875E6">
              <w:rPr>
                <w:rFonts w:ascii="Arial Narrow" w:hAnsi="Arial Narrow"/>
                <w:sz w:val="19"/>
                <w:szCs w:val="19"/>
              </w:rPr>
              <w:t>Clinical evidence</w:t>
            </w:r>
          </w:p>
        </w:tc>
        <w:tc>
          <w:tcPr>
            <w:tcW w:w="5387" w:type="dxa"/>
          </w:tcPr>
          <w:p w:rsidR="001D112E" w:rsidRPr="00F875E6" w:rsidRDefault="006A4EDF" w:rsidP="00AA0A07">
            <w:pPr>
              <w:jc w:val="left"/>
              <w:rPr>
                <w:rFonts w:ascii="Arial Narrow" w:hAnsi="Arial Narrow"/>
                <w:sz w:val="19"/>
                <w:szCs w:val="19"/>
              </w:rPr>
            </w:pPr>
            <w:r w:rsidRPr="00F875E6">
              <w:rPr>
                <w:rFonts w:ascii="Arial Narrow" w:hAnsi="Arial Narrow"/>
                <w:sz w:val="19"/>
                <w:szCs w:val="19"/>
              </w:rPr>
              <w:t xml:space="preserve">Nine </w:t>
            </w:r>
            <w:r w:rsidR="00B30A93" w:rsidRPr="00F875E6">
              <w:rPr>
                <w:rFonts w:ascii="Arial Narrow" w:hAnsi="Arial Narrow"/>
                <w:sz w:val="19"/>
                <w:szCs w:val="19"/>
              </w:rPr>
              <w:t>single-arm studies.</w:t>
            </w:r>
            <w:r w:rsidR="002F782A" w:rsidRPr="00F875E6">
              <w:rPr>
                <w:rFonts w:ascii="Arial Narrow" w:hAnsi="Arial Narrow"/>
                <w:sz w:val="19"/>
                <w:szCs w:val="19"/>
              </w:rPr>
              <w:t xml:space="preserve"> The submission excluded Muller 2009</w:t>
            </w:r>
            <w:r w:rsidR="00D51F09" w:rsidRPr="00F875E6">
              <w:rPr>
                <w:rFonts w:ascii="Arial Narrow" w:hAnsi="Arial Narrow"/>
                <w:sz w:val="19"/>
                <w:szCs w:val="19"/>
              </w:rPr>
              <w:t xml:space="preserve"> but this was included during evaluation</w:t>
            </w:r>
            <w:r w:rsidR="002F782A" w:rsidRPr="00F875E6">
              <w:rPr>
                <w:rFonts w:ascii="Arial Narrow" w:hAnsi="Arial Narrow"/>
                <w:sz w:val="19"/>
                <w:szCs w:val="19"/>
              </w:rPr>
              <w:t>.</w:t>
            </w:r>
          </w:p>
          <w:p w:rsidR="001D112E" w:rsidRPr="00F875E6" w:rsidRDefault="001D112E" w:rsidP="00AA0A07">
            <w:pPr>
              <w:jc w:val="left"/>
              <w:rPr>
                <w:rFonts w:ascii="Arial Narrow" w:hAnsi="Arial Narrow"/>
                <w:sz w:val="19"/>
                <w:szCs w:val="19"/>
              </w:rPr>
            </w:pPr>
          </w:p>
          <w:p w:rsidR="002F782A" w:rsidRPr="00F875E6" w:rsidRDefault="001D112E" w:rsidP="00B30A93">
            <w:pPr>
              <w:jc w:val="left"/>
              <w:rPr>
                <w:rFonts w:ascii="Arial Narrow" w:hAnsi="Arial Narrow"/>
                <w:sz w:val="19"/>
                <w:szCs w:val="19"/>
              </w:rPr>
            </w:pPr>
            <w:r w:rsidRPr="00F875E6">
              <w:rPr>
                <w:rFonts w:ascii="Arial Narrow" w:hAnsi="Arial Narrow"/>
                <w:b/>
                <w:sz w:val="19"/>
                <w:szCs w:val="19"/>
              </w:rPr>
              <w:t>PBAC Comment:</w:t>
            </w:r>
            <w:r w:rsidRPr="00F875E6">
              <w:rPr>
                <w:rFonts w:ascii="Arial Narrow" w:hAnsi="Arial Narrow"/>
                <w:sz w:val="19"/>
                <w:szCs w:val="19"/>
              </w:rPr>
              <w:t xml:space="preserve"> </w:t>
            </w:r>
            <w:r w:rsidR="002F782A" w:rsidRPr="00F875E6">
              <w:rPr>
                <w:rFonts w:ascii="Arial Narrow" w:hAnsi="Arial Narrow"/>
                <w:sz w:val="19"/>
                <w:szCs w:val="19"/>
              </w:rPr>
              <w:t xml:space="preserve">It was not appropriate to exclude Muller 2009 as the study reports results for patients with the T315l mutation. </w:t>
            </w:r>
          </w:p>
          <w:p w:rsidR="001D112E" w:rsidRPr="00F875E6" w:rsidRDefault="00C47612" w:rsidP="00B30A93">
            <w:pPr>
              <w:jc w:val="left"/>
              <w:rPr>
                <w:rFonts w:ascii="Arial Narrow" w:hAnsi="Arial Narrow"/>
                <w:color w:val="0000FF"/>
                <w:sz w:val="19"/>
                <w:szCs w:val="19"/>
              </w:rPr>
            </w:pPr>
            <w:r w:rsidRPr="00F875E6">
              <w:rPr>
                <w:rFonts w:ascii="Arial Narrow" w:hAnsi="Arial Narrow"/>
                <w:sz w:val="19"/>
                <w:szCs w:val="19"/>
              </w:rPr>
              <w:t>N</w:t>
            </w:r>
            <w:r w:rsidR="00B30A93" w:rsidRPr="00F875E6">
              <w:rPr>
                <w:rFonts w:ascii="Arial Narrow" w:hAnsi="Arial Narrow"/>
                <w:sz w:val="19"/>
                <w:szCs w:val="19"/>
              </w:rPr>
              <w:t>o common arm to enable an indirect comparison; high level of heterogeneity between the individual studies.</w:t>
            </w:r>
          </w:p>
        </w:tc>
        <w:tc>
          <w:tcPr>
            <w:tcW w:w="2064" w:type="dxa"/>
          </w:tcPr>
          <w:p w:rsidR="001D112E" w:rsidRPr="00F875E6" w:rsidRDefault="00D51F09" w:rsidP="00FF3013">
            <w:pPr>
              <w:jc w:val="left"/>
              <w:rPr>
                <w:rFonts w:ascii="Arial Narrow" w:hAnsi="Arial Narrow"/>
                <w:sz w:val="19"/>
                <w:szCs w:val="19"/>
              </w:rPr>
            </w:pPr>
            <w:r w:rsidRPr="00F875E6">
              <w:rPr>
                <w:rFonts w:ascii="Arial Narrow" w:hAnsi="Arial Narrow"/>
                <w:sz w:val="19"/>
                <w:szCs w:val="19"/>
              </w:rPr>
              <w:t>Updated literature search. 12 single-arm studies, consisting of the nine studies presented in the previous submission, Muller 2009, one new study for ponatinib (Milojkovic 2014), one new study for dasatinib/nilotin</w:t>
            </w:r>
            <w:r w:rsidR="001A2910" w:rsidRPr="00F875E6">
              <w:rPr>
                <w:rFonts w:ascii="Arial Narrow" w:hAnsi="Arial Narrow"/>
                <w:sz w:val="19"/>
                <w:szCs w:val="19"/>
              </w:rPr>
              <w:t>i</w:t>
            </w:r>
            <w:r w:rsidRPr="00F875E6">
              <w:rPr>
                <w:rFonts w:ascii="Arial Narrow" w:hAnsi="Arial Narrow"/>
                <w:sz w:val="19"/>
                <w:szCs w:val="19"/>
              </w:rPr>
              <w:t>b (Lee 2014).</w:t>
            </w:r>
          </w:p>
        </w:tc>
      </w:tr>
      <w:tr w:rsidR="001D112E" w:rsidRPr="00F875E6" w:rsidTr="00792B70">
        <w:trPr>
          <w:cantSplit/>
          <w:trHeight w:val="383"/>
        </w:trPr>
        <w:tc>
          <w:tcPr>
            <w:tcW w:w="992" w:type="dxa"/>
          </w:tcPr>
          <w:p w:rsidR="001D112E" w:rsidRPr="00F875E6" w:rsidRDefault="001D112E" w:rsidP="00AA0A07">
            <w:pPr>
              <w:jc w:val="left"/>
              <w:rPr>
                <w:rFonts w:ascii="Arial Narrow" w:hAnsi="Arial Narrow"/>
                <w:sz w:val="19"/>
                <w:szCs w:val="19"/>
              </w:rPr>
            </w:pPr>
            <w:r w:rsidRPr="00F875E6">
              <w:rPr>
                <w:rFonts w:ascii="Arial Narrow" w:hAnsi="Arial Narrow"/>
                <w:sz w:val="19"/>
                <w:szCs w:val="19"/>
              </w:rPr>
              <w:t>Key effectiveness data</w:t>
            </w:r>
          </w:p>
        </w:tc>
        <w:tc>
          <w:tcPr>
            <w:tcW w:w="5387" w:type="dxa"/>
          </w:tcPr>
          <w:p w:rsidR="00882EA5" w:rsidRPr="00F875E6" w:rsidRDefault="001D112E" w:rsidP="00402A45">
            <w:pPr>
              <w:jc w:val="left"/>
              <w:rPr>
                <w:rFonts w:ascii="Arial Narrow" w:hAnsi="Arial Narrow"/>
                <w:sz w:val="19"/>
                <w:szCs w:val="19"/>
              </w:rPr>
            </w:pPr>
            <w:r w:rsidRPr="00F875E6">
              <w:rPr>
                <w:rFonts w:ascii="Arial Narrow" w:hAnsi="Arial Narrow"/>
                <w:b/>
                <w:sz w:val="19"/>
                <w:szCs w:val="19"/>
              </w:rPr>
              <w:t>PBAC Comment:</w:t>
            </w:r>
            <w:r w:rsidR="002F782A" w:rsidRPr="00F875E6">
              <w:rPr>
                <w:rFonts w:ascii="Arial Narrow" w:hAnsi="Arial Narrow"/>
                <w:sz w:val="19"/>
                <w:szCs w:val="19"/>
              </w:rPr>
              <w:t xml:space="preserve"> </w:t>
            </w:r>
            <w:r w:rsidR="00FA79A8" w:rsidRPr="00F875E6">
              <w:rPr>
                <w:rFonts w:ascii="Arial Narrow" w:hAnsi="Arial Narrow"/>
                <w:sz w:val="19"/>
                <w:szCs w:val="19"/>
              </w:rPr>
              <w:t xml:space="preserve">see below </w:t>
            </w:r>
            <w:r w:rsidR="00FA79A8" w:rsidRPr="00F875E6">
              <w:rPr>
                <w:rFonts w:ascii="Arial Narrow" w:hAnsi="Arial Narrow"/>
                <w:b/>
                <w:sz w:val="19"/>
                <w:szCs w:val="19"/>
              </w:rPr>
              <w:t xml:space="preserve">Paragraph 7.5 in </w:t>
            </w:r>
            <w:r w:rsidR="00FA79A8" w:rsidRPr="005F7A51">
              <w:rPr>
                <w:rFonts w:ascii="Arial Narrow" w:hAnsi="Arial Narrow"/>
                <w:b/>
                <w:sz w:val="19"/>
                <w:szCs w:val="19"/>
              </w:rPr>
              <w:t xml:space="preserve">November  2014 PBAC </w:t>
            </w:r>
            <w:r w:rsidR="00402A45" w:rsidRPr="005F7A51">
              <w:rPr>
                <w:rFonts w:ascii="Arial Narrow" w:hAnsi="Arial Narrow"/>
                <w:b/>
                <w:sz w:val="19"/>
                <w:szCs w:val="19"/>
              </w:rPr>
              <w:t>Public Summary Document</w:t>
            </w:r>
            <w:r w:rsidR="00402A45">
              <w:rPr>
                <w:rFonts w:ascii="Arial Narrow" w:hAnsi="Arial Narrow"/>
                <w:b/>
                <w:sz w:val="19"/>
                <w:szCs w:val="19"/>
              </w:rPr>
              <w:t xml:space="preserve"> (PSD)</w:t>
            </w:r>
            <w:r w:rsidR="00FA79A8" w:rsidRPr="00F875E6">
              <w:rPr>
                <w:rFonts w:ascii="Arial Narrow" w:hAnsi="Arial Narrow"/>
                <w:b/>
                <w:sz w:val="19"/>
                <w:szCs w:val="19"/>
              </w:rPr>
              <w:t xml:space="preserve"> </w:t>
            </w:r>
            <w:r w:rsidR="00882EA5" w:rsidRPr="00F875E6">
              <w:rPr>
                <w:rFonts w:ascii="Arial Narrow" w:hAnsi="Arial Narrow"/>
                <w:sz w:val="19"/>
                <w:szCs w:val="19"/>
              </w:rPr>
              <w:t>.</w:t>
            </w:r>
          </w:p>
        </w:tc>
        <w:tc>
          <w:tcPr>
            <w:tcW w:w="2064" w:type="dxa"/>
          </w:tcPr>
          <w:p w:rsidR="001D112E" w:rsidRPr="00F875E6" w:rsidRDefault="00005990" w:rsidP="00FD28B3">
            <w:pPr>
              <w:jc w:val="left"/>
              <w:rPr>
                <w:rFonts w:ascii="Arial Narrow" w:hAnsi="Arial Narrow"/>
                <w:color w:val="0000FF"/>
                <w:sz w:val="19"/>
                <w:szCs w:val="19"/>
              </w:rPr>
            </w:pPr>
            <w:r w:rsidRPr="00F875E6">
              <w:rPr>
                <w:rFonts w:ascii="Arial Narrow" w:hAnsi="Arial Narrow"/>
                <w:sz w:val="19"/>
                <w:szCs w:val="19"/>
              </w:rPr>
              <w:t xml:space="preserve">Results were only updated for chronic phase CML and T315l mutation. </w:t>
            </w:r>
          </w:p>
        </w:tc>
      </w:tr>
      <w:tr w:rsidR="001D112E" w:rsidRPr="00F875E6" w:rsidTr="00792B70">
        <w:trPr>
          <w:cantSplit/>
          <w:trHeight w:val="860"/>
        </w:trPr>
        <w:tc>
          <w:tcPr>
            <w:tcW w:w="992" w:type="dxa"/>
          </w:tcPr>
          <w:p w:rsidR="001D112E" w:rsidRPr="00F875E6" w:rsidRDefault="001D112E" w:rsidP="00AA0A07">
            <w:pPr>
              <w:jc w:val="left"/>
              <w:rPr>
                <w:rFonts w:ascii="Arial Narrow" w:hAnsi="Arial Narrow"/>
                <w:sz w:val="19"/>
                <w:szCs w:val="19"/>
              </w:rPr>
            </w:pPr>
            <w:r w:rsidRPr="00F875E6">
              <w:rPr>
                <w:rFonts w:ascii="Arial Narrow" w:hAnsi="Arial Narrow"/>
                <w:sz w:val="19"/>
                <w:szCs w:val="19"/>
              </w:rPr>
              <w:t>Key safety data</w:t>
            </w:r>
          </w:p>
        </w:tc>
        <w:tc>
          <w:tcPr>
            <w:tcW w:w="5387" w:type="dxa"/>
          </w:tcPr>
          <w:p w:rsidR="006A4EDF" w:rsidRPr="00F875E6" w:rsidRDefault="006A4EDF" w:rsidP="00AA0A07">
            <w:pPr>
              <w:jc w:val="left"/>
              <w:rPr>
                <w:rFonts w:ascii="Arial Narrow" w:hAnsi="Arial Narrow"/>
                <w:sz w:val="19"/>
                <w:szCs w:val="19"/>
              </w:rPr>
            </w:pPr>
            <w:r w:rsidRPr="00F875E6">
              <w:rPr>
                <w:rFonts w:ascii="Arial Narrow" w:hAnsi="Arial Narrow"/>
                <w:sz w:val="19"/>
                <w:szCs w:val="19"/>
              </w:rPr>
              <w:t>Very limited comparative safety data provided.</w:t>
            </w:r>
          </w:p>
          <w:p w:rsidR="001D112E" w:rsidRPr="00F875E6" w:rsidRDefault="006A4EDF" w:rsidP="00AA0A07">
            <w:pPr>
              <w:jc w:val="left"/>
              <w:rPr>
                <w:rFonts w:ascii="Arial Narrow" w:hAnsi="Arial Narrow"/>
                <w:sz w:val="19"/>
                <w:szCs w:val="19"/>
              </w:rPr>
            </w:pPr>
            <w:r w:rsidRPr="00F875E6">
              <w:rPr>
                <w:rFonts w:ascii="Arial Narrow" w:hAnsi="Arial Narrow"/>
                <w:sz w:val="19"/>
                <w:szCs w:val="19"/>
              </w:rPr>
              <w:t xml:space="preserve">Additional safety information for ponatinib provided on vascular occlusive events. </w:t>
            </w:r>
          </w:p>
          <w:p w:rsidR="006D1EE0" w:rsidRPr="00F875E6" w:rsidRDefault="006D1EE0" w:rsidP="00AA0A07">
            <w:pPr>
              <w:jc w:val="left"/>
              <w:rPr>
                <w:rFonts w:ascii="Arial Narrow" w:hAnsi="Arial Narrow"/>
                <w:sz w:val="19"/>
                <w:szCs w:val="19"/>
              </w:rPr>
            </w:pPr>
          </w:p>
          <w:p w:rsidR="001D112E" w:rsidRPr="00F875E6" w:rsidRDefault="001D112E" w:rsidP="00402A45">
            <w:pPr>
              <w:jc w:val="left"/>
              <w:rPr>
                <w:rFonts w:ascii="Arial Narrow" w:hAnsi="Arial Narrow"/>
                <w:sz w:val="19"/>
                <w:szCs w:val="19"/>
              </w:rPr>
            </w:pPr>
            <w:r w:rsidRPr="00F875E6">
              <w:rPr>
                <w:rFonts w:ascii="Arial Narrow" w:hAnsi="Arial Narrow"/>
                <w:b/>
                <w:sz w:val="19"/>
                <w:szCs w:val="19"/>
              </w:rPr>
              <w:t>PBAC Comment:</w:t>
            </w:r>
            <w:r w:rsidRPr="00F875E6">
              <w:rPr>
                <w:rFonts w:ascii="Arial Narrow" w:hAnsi="Arial Narrow"/>
                <w:sz w:val="19"/>
                <w:szCs w:val="19"/>
              </w:rPr>
              <w:t xml:space="preserve"> </w:t>
            </w:r>
            <w:r w:rsidR="00FA79A8" w:rsidRPr="00F875E6">
              <w:rPr>
                <w:rFonts w:ascii="Arial Narrow" w:hAnsi="Arial Narrow"/>
                <w:sz w:val="19"/>
                <w:szCs w:val="19"/>
              </w:rPr>
              <w:t xml:space="preserve">see below </w:t>
            </w:r>
            <w:r w:rsidR="00FA79A8" w:rsidRPr="00F875E6">
              <w:rPr>
                <w:rFonts w:ascii="Arial Narrow" w:hAnsi="Arial Narrow"/>
                <w:b/>
                <w:sz w:val="19"/>
                <w:szCs w:val="19"/>
              </w:rPr>
              <w:t xml:space="preserve">Paragraph 7.5 in </w:t>
            </w:r>
            <w:r w:rsidR="00402A45" w:rsidRPr="005F7A51">
              <w:rPr>
                <w:rFonts w:ascii="Arial Narrow" w:hAnsi="Arial Narrow"/>
                <w:b/>
                <w:sz w:val="19"/>
                <w:szCs w:val="19"/>
              </w:rPr>
              <w:t>November 2014</w:t>
            </w:r>
            <w:r w:rsidR="00FA79A8" w:rsidRPr="005F7A51">
              <w:rPr>
                <w:rFonts w:ascii="Arial Narrow" w:hAnsi="Arial Narrow"/>
                <w:b/>
                <w:sz w:val="19"/>
                <w:szCs w:val="19"/>
              </w:rPr>
              <w:t xml:space="preserve"> PBAC </w:t>
            </w:r>
            <w:r w:rsidR="00402A45" w:rsidRPr="005F7A51">
              <w:rPr>
                <w:rFonts w:ascii="Arial Narrow" w:hAnsi="Arial Narrow"/>
                <w:b/>
                <w:sz w:val="19"/>
                <w:szCs w:val="19"/>
              </w:rPr>
              <w:t>PSD</w:t>
            </w:r>
            <w:r w:rsidR="0018486C" w:rsidRPr="00F875E6">
              <w:rPr>
                <w:rFonts w:ascii="Arial Narrow" w:hAnsi="Arial Narrow"/>
                <w:sz w:val="19"/>
                <w:szCs w:val="19"/>
              </w:rPr>
              <w:t xml:space="preserve">. </w:t>
            </w:r>
          </w:p>
        </w:tc>
        <w:tc>
          <w:tcPr>
            <w:tcW w:w="2064" w:type="dxa"/>
          </w:tcPr>
          <w:p w:rsidR="001D112E" w:rsidRPr="00F875E6" w:rsidRDefault="00D43C02" w:rsidP="00AA0A07">
            <w:pPr>
              <w:jc w:val="left"/>
              <w:rPr>
                <w:rFonts w:ascii="Arial Narrow" w:hAnsi="Arial Narrow"/>
                <w:color w:val="0000FF"/>
                <w:sz w:val="19"/>
                <w:szCs w:val="19"/>
              </w:rPr>
            </w:pPr>
            <w:r w:rsidRPr="00F875E6">
              <w:rPr>
                <w:rFonts w:ascii="Arial Narrow" w:hAnsi="Arial Narrow"/>
                <w:sz w:val="19"/>
                <w:szCs w:val="19"/>
              </w:rPr>
              <w:t>Submission provided additional safety data on vascular occlusive events and pleural effusions for ponatinib, dasatinib and nilotinib.</w:t>
            </w:r>
          </w:p>
        </w:tc>
      </w:tr>
      <w:tr w:rsidR="001D112E" w:rsidRPr="00F875E6" w:rsidTr="00792B70">
        <w:trPr>
          <w:cantSplit/>
          <w:trHeight w:val="860"/>
        </w:trPr>
        <w:tc>
          <w:tcPr>
            <w:tcW w:w="992" w:type="dxa"/>
          </w:tcPr>
          <w:p w:rsidR="001D112E" w:rsidRPr="00F875E6" w:rsidRDefault="001D112E" w:rsidP="00AA0A07">
            <w:pPr>
              <w:jc w:val="left"/>
              <w:rPr>
                <w:rFonts w:ascii="Arial Narrow" w:hAnsi="Arial Narrow"/>
                <w:sz w:val="19"/>
                <w:szCs w:val="19"/>
              </w:rPr>
            </w:pPr>
            <w:r w:rsidRPr="00F875E6">
              <w:rPr>
                <w:rFonts w:ascii="Arial Narrow" w:hAnsi="Arial Narrow"/>
                <w:sz w:val="19"/>
                <w:szCs w:val="19"/>
              </w:rPr>
              <w:t>Clinical claim</w:t>
            </w:r>
          </w:p>
        </w:tc>
        <w:tc>
          <w:tcPr>
            <w:tcW w:w="5387" w:type="dxa"/>
          </w:tcPr>
          <w:p w:rsidR="001D112E" w:rsidRPr="00F875E6" w:rsidRDefault="0018486C" w:rsidP="00AA0A07">
            <w:pPr>
              <w:jc w:val="left"/>
              <w:rPr>
                <w:rFonts w:ascii="Arial Narrow" w:hAnsi="Arial Narrow"/>
                <w:sz w:val="19"/>
                <w:szCs w:val="19"/>
              </w:rPr>
            </w:pPr>
            <w:r w:rsidRPr="00F875E6">
              <w:rPr>
                <w:rFonts w:ascii="Arial Narrow" w:hAnsi="Arial Narrow"/>
                <w:sz w:val="19"/>
                <w:szCs w:val="19"/>
              </w:rPr>
              <w:t>Ponatinib non-inferior in terms of comparative effectiveness to dasatinib and nilotinib.</w:t>
            </w:r>
          </w:p>
          <w:p w:rsidR="0018486C" w:rsidRPr="00F875E6" w:rsidRDefault="0018486C" w:rsidP="00AA0A07">
            <w:pPr>
              <w:jc w:val="left"/>
              <w:rPr>
                <w:rFonts w:ascii="Arial Narrow" w:hAnsi="Arial Narrow"/>
                <w:sz w:val="19"/>
                <w:szCs w:val="19"/>
              </w:rPr>
            </w:pPr>
            <w:r w:rsidRPr="00F875E6">
              <w:rPr>
                <w:rFonts w:ascii="Arial Narrow" w:hAnsi="Arial Narrow"/>
                <w:sz w:val="19"/>
                <w:szCs w:val="19"/>
              </w:rPr>
              <w:t>No specific claim in terms of comparative safety.</w:t>
            </w:r>
          </w:p>
          <w:p w:rsidR="001D112E" w:rsidRPr="00F875E6" w:rsidRDefault="001D112E" w:rsidP="00AA0A07">
            <w:pPr>
              <w:jc w:val="left"/>
              <w:rPr>
                <w:rFonts w:ascii="Arial Narrow" w:hAnsi="Arial Narrow"/>
                <w:b/>
                <w:sz w:val="19"/>
                <w:szCs w:val="19"/>
              </w:rPr>
            </w:pPr>
          </w:p>
          <w:p w:rsidR="00F01CBA" w:rsidRPr="00F875E6" w:rsidRDefault="001D112E" w:rsidP="0018486C">
            <w:pPr>
              <w:jc w:val="left"/>
              <w:rPr>
                <w:rFonts w:ascii="Arial Narrow" w:hAnsi="Arial Narrow"/>
                <w:sz w:val="19"/>
                <w:szCs w:val="19"/>
              </w:rPr>
            </w:pPr>
            <w:r w:rsidRPr="00F875E6">
              <w:rPr>
                <w:rFonts w:ascii="Arial Narrow" w:hAnsi="Arial Narrow"/>
                <w:b/>
                <w:sz w:val="19"/>
                <w:szCs w:val="19"/>
              </w:rPr>
              <w:t>PBAC Comment:</w:t>
            </w:r>
            <w:r w:rsidR="00F01CBA" w:rsidRPr="00F875E6">
              <w:rPr>
                <w:rFonts w:ascii="Arial Narrow" w:hAnsi="Arial Narrow"/>
                <w:b/>
                <w:sz w:val="19"/>
                <w:szCs w:val="19"/>
              </w:rPr>
              <w:t xml:space="preserve"> [Paragraph 7.5 in </w:t>
            </w:r>
            <w:r w:rsidR="00402A45" w:rsidRPr="005F7A51">
              <w:rPr>
                <w:rFonts w:ascii="Arial Narrow" w:hAnsi="Arial Narrow"/>
                <w:b/>
                <w:sz w:val="19"/>
                <w:szCs w:val="19"/>
              </w:rPr>
              <w:t>November 2014 PBAC PSD</w:t>
            </w:r>
            <w:r w:rsidR="00F01CBA" w:rsidRPr="00F875E6">
              <w:rPr>
                <w:rFonts w:ascii="Arial Narrow" w:hAnsi="Arial Narrow"/>
                <w:b/>
                <w:sz w:val="19"/>
                <w:szCs w:val="19"/>
              </w:rPr>
              <w:t>]</w:t>
            </w:r>
            <w:r w:rsidRPr="00F875E6">
              <w:rPr>
                <w:rFonts w:ascii="Arial Narrow" w:hAnsi="Arial Narrow"/>
                <w:sz w:val="19"/>
                <w:szCs w:val="19"/>
              </w:rPr>
              <w:t xml:space="preserve"> </w:t>
            </w:r>
          </w:p>
          <w:p w:rsidR="00F01CBA" w:rsidRPr="00F875E6" w:rsidRDefault="00F01CBA" w:rsidP="0018486C">
            <w:pPr>
              <w:jc w:val="left"/>
              <w:rPr>
                <w:rFonts w:ascii="Arial Narrow" w:hAnsi="Arial Narrow"/>
                <w:sz w:val="19"/>
                <w:szCs w:val="19"/>
              </w:rPr>
            </w:pPr>
            <w:r w:rsidRPr="00F875E6">
              <w:rPr>
                <w:rFonts w:ascii="Arial Narrow" w:hAnsi="Arial Narrow"/>
                <w:sz w:val="19"/>
                <w:szCs w:val="19"/>
              </w:rPr>
              <w:t>The PBAC considered ponatinib was (1) similar in efficacy in inducing responses in patients with T315I mutant chronic phase CML as other TKIs have been in achieving responses in de novo chronic phase CML; (2) similar in efficacy to dasatinib or nilotinib with respect response rates in 2nd and 3rd line therapy for patients with non-T315I CML; (3) similar in efficacy to dasatinib with respect response rates in dasatinib-naïve patients with blast crisis CML; (4) active at inducing transient responses in P</w:t>
            </w:r>
            <w:r w:rsidR="006E35B4" w:rsidRPr="00F875E6">
              <w:rPr>
                <w:rFonts w:ascii="Arial Narrow" w:hAnsi="Arial Narrow"/>
                <w:sz w:val="19"/>
                <w:szCs w:val="19"/>
              </w:rPr>
              <w:t>h+</w:t>
            </w:r>
            <w:r w:rsidRPr="00F875E6">
              <w:rPr>
                <w:rFonts w:ascii="Arial Narrow" w:hAnsi="Arial Narrow"/>
                <w:sz w:val="19"/>
                <w:szCs w:val="19"/>
              </w:rPr>
              <w:t xml:space="preserve"> ALL with the T315I mutation and (5) probably active in non-T315I Ph+ ALL but the paucity of data for non-T315I ALL was insufficient to enable any confidence in the extent of its effectiveness to be drawn.</w:t>
            </w:r>
          </w:p>
          <w:p w:rsidR="006A4EDF" w:rsidRPr="00F875E6" w:rsidRDefault="00F01CBA" w:rsidP="006D1EE0">
            <w:pPr>
              <w:jc w:val="left"/>
              <w:rPr>
                <w:rFonts w:ascii="Arial Narrow" w:hAnsi="Arial Narrow"/>
                <w:sz w:val="19"/>
                <w:szCs w:val="19"/>
              </w:rPr>
            </w:pPr>
            <w:r w:rsidRPr="00F875E6">
              <w:rPr>
                <w:rFonts w:ascii="Arial Narrow" w:hAnsi="Arial Narrow"/>
                <w:sz w:val="19"/>
                <w:szCs w:val="19"/>
              </w:rPr>
              <w:t>The PBAC considered that ponatinib had an inferior toxicity profile to imatinib, dasatinib, and nilotinib, especially with regard to serious vascular occlusive events. Consequently, the PBAC considered that clinical benefit was only likely to exceed clinical harm in patients where use of all other TKIs had or would fail to induce response, or was not appropriate because of significant toxicities or contraindications.</w:t>
            </w:r>
          </w:p>
        </w:tc>
        <w:tc>
          <w:tcPr>
            <w:tcW w:w="2064" w:type="dxa"/>
          </w:tcPr>
          <w:p w:rsidR="00003AAF" w:rsidRPr="00F875E6" w:rsidRDefault="00003AAF" w:rsidP="00003AAF">
            <w:pPr>
              <w:jc w:val="left"/>
              <w:rPr>
                <w:rFonts w:ascii="Arial Narrow" w:hAnsi="Arial Narrow"/>
                <w:sz w:val="19"/>
                <w:szCs w:val="19"/>
              </w:rPr>
            </w:pPr>
            <w:r w:rsidRPr="00F875E6">
              <w:rPr>
                <w:rFonts w:ascii="Arial Narrow" w:hAnsi="Arial Narrow"/>
                <w:sz w:val="19"/>
                <w:szCs w:val="19"/>
              </w:rPr>
              <w:t>Ponatinib non-inferior in terms of comparative effectiveness and inferior in terms of comparative safety to dasatinib and nilotinib.</w:t>
            </w:r>
          </w:p>
          <w:p w:rsidR="001D112E" w:rsidRPr="00F875E6" w:rsidRDefault="001D112E" w:rsidP="00003AAF">
            <w:pPr>
              <w:jc w:val="left"/>
              <w:rPr>
                <w:rFonts w:ascii="Arial Narrow" w:hAnsi="Arial Narrow"/>
                <w:color w:val="0000FF"/>
                <w:sz w:val="19"/>
                <w:szCs w:val="19"/>
              </w:rPr>
            </w:pPr>
          </w:p>
        </w:tc>
      </w:tr>
      <w:tr w:rsidR="001D112E" w:rsidRPr="00F875E6" w:rsidTr="00792B70">
        <w:trPr>
          <w:cantSplit/>
          <w:trHeight w:val="100"/>
        </w:trPr>
        <w:tc>
          <w:tcPr>
            <w:tcW w:w="992" w:type="dxa"/>
          </w:tcPr>
          <w:p w:rsidR="001D112E" w:rsidRPr="00F875E6" w:rsidRDefault="001D112E" w:rsidP="00AA0A07">
            <w:pPr>
              <w:jc w:val="left"/>
              <w:rPr>
                <w:rFonts w:ascii="Arial Narrow" w:hAnsi="Arial Narrow"/>
                <w:sz w:val="19"/>
                <w:szCs w:val="19"/>
              </w:rPr>
            </w:pPr>
            <w:r w:rsidRPr="00F875E6">
              <w:rPr>
                <w:rFonts w:ascii="Arial Narrow" w:hAnsi="Arial Narrow"/>
                <w:sz w:val="19"/>
                <w:szCs w:val="19"/>
              </w:rPr>
              <w:t>Economic evaluation</w:t>
            </w:r>
          </w:p>
        </w:tc>
        <w:tc>
          <w:tcPr>
            <w:tcW w:w="5387" w:type="dxa"/>
          </w:tcPr>
          <w:p w:rsidR="00571C7B" w:rsidRPr="00F875E6" w:rsidRDefault="001D112E" w:rsidP="00AA0A07">
            <w:pPr>
              <w:jc w:val="left"/>
              <w:rPr>
                <w:rFonts w:ascii="Arial Narrow" w:hAnsi="Arial Narrow"/>
                <w:sz w:val="19"/>
                <w:szCs w:val="19"/>
              </w:rPr>
            </w:pPr>
            <w:r w:rsidRPr="00F875E6">
              <w:rPr>
                <w:rFonts w:ascii="Arial Narrow" w:hAnsi="Arial Narrow"/>
                <w:sz w:val="19"/>
                <w:szCs w:val="19"/>
              </w:rPr>
              <w:t>Cost-minimisation</w:t>
            </w:r>
            <w:r w:rsidR="006D1EE0" w:rsidRPr="00F875E6">
              <w:rPr>
                <w:rFonts w:ascii="Arial Narrow" w:hAnsi="Arial Narrow"/>
                <w:sz w:val="19"/>
                <w:szCs w:val="19"/>
              </w:rPr>
              <w:t xml:space="preserve"> using drug costs only and the following</w:t>
            </w:r>
            <w:r w:rsidRPr="00F875E6">
              <w:rPr>
                <w:rFonts w:ascii="Arial Narrow" w:hAnsi="Arial Narrow"/>
                <w:sz w:val="19"/>
                <w:szCs w:val="19"/>
              </w:rPr>
              <w:t xml:space="preserve"> equi-effective </w:t>
            </w:r>
            <w:r w:rsidR="0018486C" w:rsidRPr="00F875E6">
              <w:rPr>
                <w:rFonts w:ascii="Arial Narrow" w:hAnsi="Arial Narrow"/>
                <w:sz w:val="19"/>
                <w:szCs w:val="19"/>
              </w:rPr>
              <w:t xml:space="preserve">dose: </w:t>
            </w:r>
          </w:p>
          <w:p w:rsidR="001D112E" w:rsidRPr="00F875E6" w:rsidRDefault="0018486C" w:rsidP="00AA0A07">
            <w:pPr>
              <w:jc w:val="left"/>
              <w:rPr>
                <w:rFonts w:ascii="Arial Narrow" w:hAnsi="Arial Narrow"/>
                <w:sz w:val="19"/>
                <w:szCs w:val="19"/>
              </w:rPr>
            </w:pPr>
            <w:r w:rsidRPr="00F875E6">
              <w:rPr>
                <w:rFonts w:ascii="Arial Narrow" w:hAnsi="Arial Narrow"/>
                <w:sz w:val="19"/>
                <w:szCs w:val="19"/>
              </w:rPr>
              <w:t>ponatinib 30.2 mg daily = dasatinib 111.0 mg daily = nilotinib 792.1 mg daily.</w:t>
            </w:r>
          </w:p>
          <w:p w:rsidR="001D112E" w:rsidRPr="00F875E6" w:rsidRDefault="001D112E" w:rsidP="00AA0A07">
            <w:pPr>
              <w:jc w:val="left"/>
              <w:rPr>
                <w:rFonts w:ascii="Arial Narrow" w:hAnsi="Arial Narrow"/>
                <w:b/>
                <w:sz w:val="19"/>
                <w:szCs w:val="19"/>
              </w:rPr>
            </w:pPr>
          </w:p>
          <w:p w:rsidR="006D1EE0" w:rsidRPr="00F875E6" w:rsidRDefault="001D112E" w:rsidP="00882EA5">
            <w:pPr>
              <w:jc w:val="left"/>
              <w:rPr>
                <w:rFonts w:ascii="Arial Narrow" w:hAnsi="Arial Narrow"/>
                <w:sz w:val="19"/>
                <w:szCs w:val="19"/>
              </w:rPr>
            </w:pPr>
            <w:r w:rsidRPr="00F875E6">
              <w:rPr>
                <w:rFonts w:ascii="Arial Narrow" w:hAnsi="Arial Narrow"/>
                <w:b/>
                <w:sz w:val="19"/>
                <w:szCs w:val="19"/>
              </w:rPr>
              <w:t>PBAC Comment:</w:t>
            </w:r>
            <w:r w:rsidRPr="00F875E6">
              <w:rPr>
                <w:rFonts w:ascii="Arial Narrow" w:hAnsi="Arial Narrow"/>
                <w:sz w:val="19"/>
                <w:szCs w:val="19"/>
              </w:rPr>
              <w:t xml:space="preserve"> </w:t>
            </w:r>
            <w:r w:rsidR="00882EA5" w:rsidRPr="00F875E6">
              <w:rPr>
                <w:rFonts w:ascii="Arial Narrow" w:hAnsi="Arial Narrow"/>
                <w:sz w:val="19"/>
                <w:szCs w:val="19"/>
              </w:rPr>
              <w:t>The PBAC considered the equi-effective dose are ponatinib 30.2</w:t>
            </w:r>
            <w:r w:rsidR="00594812" w:rsidRPr="00F875E6">
              <w:rPr>
                <w:rFonts w:ascii="Arial Narrow" w:hAnsi="Arial Narrow"/>
                <w:sz w:val="19"/>
                <w:szCs w:val="19"/>
              </w:rPr>
              <w:t xml:space="preserve"> </w:t>
            </w:r>
            <w:r w:rsidR="00882EA5" w:rsidRPr="00F875E6">
              <w:rPr>
                <w:rFonts w:ascii="Arial Narrow" w:hAnsi="Arial Narrow"/>
                <w:sz w:val="19"/>
                <w:szCs w:val="19"/>
              </w:rPr>
              <w:t>mg daily = dasatinib 102</w:t>
            </w:r>
            <w:r w:rsidR="00594812" w:rsidRPr="00F875E6">
              <w:rPr>
                <w:rFonts w:ascii="Arial Narrow" w:hAnsi="Arial Narrow"/>
                <w:sz w:val="19"/>
                <w:szCs w:val="19"/>
              </w:rPr>
              <w:t xml:space="preserve"> </w:t>
            </w:r>
            <w:r w:rsidR="00882EA5" w:rsidRPr="00F875E6">
              <w:rPr>
                <w:rFonts w:ascii="Arial Narrow" w:hAnsi="Arial Narrow"/>
                <w:sz w:val="19"/>
                <w:szCs w:val="19"/>
              </w:rPr>
              <w:t>mg daily = nilotin</w:t>
            </w:r>
            <w:r w:rsidR="001A2910" w:rsidRPr="00F875E6">
              <w:rPr>
                <w:rFonts w:ascii="Arial Narrow" w:hAnsi="Arial Narrow"/>
                <w:sz w:val="19"/>
                <w:szCs w:val="19"/>
              </w:rPr>
              <w:t>i</w:t>
            </w:r>
            <w:r w:rsidR="00882EA5" w:rsidRPr="00F875E6">
              <w:rPr>
                <w:rFonts w:ascii="Arial Narrow" w:hAnsi="Arial Narrow"/>
                <w:sz w:val="19"/>
                <w:szCs w:val="19"/>
              </w:rPr>
              <w:t>b 797</w:t>
            </w:r>
            <w:r w:rsidR="00594812" w:rsidRPr="00F875E6">
              <w:rPr>
                <w:rFonts w:ascii="Arial Narrow" w:hAnsi="Arial Narrow"/>
                <w:sz w:val="19"/>
                <w:szCs w:val="19"/>
              </w:rPr>
              <w:t xml:space="preserve"> </w:t>
            </w:r>
            <w:r w:rsidR="00882EA5" w:rsidRPr="00F875E6">
              <w:rPr>
                <w:rFonts w:ascii="Arial Narrow" w:hAnsi="Arial Narrow"/>
                <w:sz w:val="19"/>
                <w:szCs w:val="19"/>
              </w:rPr>
              <w:t>mg daily.</w:t>
            </w:r>
            <w:r w:rsidR="003A7E49" w:rsidRPr="00F875E6">
              <w:rPr>
                <w:rFonts w:ascii="Arial Narrow" w:hAnsi="Arial Narrow"/>
                <w:sz w:val="19"/>
                <w:szCs w:val="19"/>
              </w:rPr>
              <w:t xml:space="preserve"> </w:t>
            </w:r>
          </w:p>
          <w:p w:rsidR="006D1EE0" w:rsidRPr="00F875E6" w:rsidRDefault="006D1EE0" w:rsidP="006D1EE0">
            <w:pPr>
              <w:jc w:val="left"/>
              <w:rPr>
                <w:rFonts w:ascii="Arial Narrow" w:hAnsi="Arial Narrow"/>
                <w:sz w:val="19"/>
                <w:szCs w:val="19"/>
              </w:rPr>
            </w:pPr>
            <w:r w:rsidRPr="00F875E6">
              <w:rPr>
                <w:rFonts w:ascii="Arial Narrow" w:hAnsi="Arial Narrow"/>
                <w:sz w:val="19"/>
                <w:szCs w:val="19"/>
              </w:rPr>
              <w:t>The c</w:t>
            </w:r>
            <w:r w:rsidR="006E35B4" w:rsidRPr="00F875E6">
              <w:rPr>
                <w:rFonts w:ascii="Arial Narrow" w:hAnsi="Arial Narrow"/>
                <w:sz w:val="19"/>
                <w:szCs w:val="19"/>
              </w:rPr>
              <w:t>ost-</w:t>
            </w:r>
            <w:r w:rsidRPr="00F875E6">
              <w:rPr>
                <w:rFonts w:ascii="Arial Narrow" w:hAnsi="Arial Narrow"/>
                <w:sz w:val="19"/>
                <w:szCs w:val="19"/>
              </w:rPr>
              <w:t>minimisation analysis may not be accurate as the DPMQ values for ponatinib are higher than the weighted dispensed cost per month. The proposed DP</w:t>
            </w:r>
            <w:r w:rsidR="00A12DB6" w:rsidRPr="00F875E6">
              <w:rPr>
                <w:rFonts w:ascii="Arial Narrow" w:hAnsi="Arial Narrow"/>
                <w:sz w:val="19"/>
                <w:szCs w:val="19"/>
              </w:rPr>
              <w:t>MQ for ponatinib 45 mg per day wa</w:t>
            </w:r>
            <w:r w:rsidRPr="00F875E6">
              <w:rPr>
                <w:rFonts w:ascii="Arial Narrow" w:hAnsi="Arial Narrow"/>
                <w:sz w:val="19"/>
                <w:szCs w:val="19"/>
              </w:rPr>
              <w:t xml:space="preserve">s almost $800 per month more than the 30 mg daily dose, yet the higher dose </w:t>
            </w:r>
            <w:r w:rsidR="00A12DB6" w:rsidRPr="00F875E6">
              <w:rPr>
                <w:rFonts w:ascii="Arial Narrow" w:hAnsi="Arial Narrow"/>
                <w:sz w:val="19"/>
                <w:szCs w:val="19"/>
              </w:rPr>
              <w:t>was</w:t>
            </w:r>
            <w:r w:rsidRPr="00F875E6">
              <w:rPr>
                <w:rFonts w:ascii="Arial Narrow" w:hAnsi="Arial Narrow"/>
                <w:sz w:val="19"/>
                <w:szCs w:val="19"/>
              </w:rPr>
              <w:t xml:space="preserve"> associated with more adverse events and, according to the submission, no additional efficacy.</w:t>
            </w:r>
          </w:p>
          <w:p w:rsidR="006D1EE0" w:rsidRPr="00F875E6" w:rsidRDefault="006D1EE0" w:rsidP="006D1EE0">
            <w:pPr>
              <w:jc w:val="left"/>
              <w:rPr>
                <w:rFonts w:ascii="Arial Narrow" w:hAnsi="Arial Narrow"/>
                <w:sz w:val="19"/>
                <w:szCs w:val="19"/>
              </w:rPr>
            </w:pPr>
          </w:p>
          <w:p w:rsidR="001D112E" w:rsidRPr="00F875E6" w:rsidRDefault="006D1EE0" w:rsidP="00A12DB6">
            <w:pPr>
              <w:jc w:val="left"/>
              <w:rPr>
                <w:rFonts w:ascii="Arial Narrow" w:hAnsi="Arial Narrow"/>
                <w:sz w:val="19"/>
                <w:szCs w:val="19"/>
              </w:rPr>
            </w:pPr>
            <w:r w:rsidRPr="00F875E6">
              <w:rPr>
                <w:rFonts w:ascii="Arial Narrow" w:hAnsi="Arial Narrow"/>
                <w:sz w:val="19"/>
                <w:szCs w:val="19"/>
              </w:rPr>
              <w:t>The PBAC considered</w:t>
            </w:r>
            <w:r w:rsidR="00A12DB6" w:rsidRPr="00F875E6">
              <w:rPr>
                <w:rFonts w:ascii="Arial Narrow" w:hAnsi="Arial Narrow"/>
                <w:sz w:val="19"/>
                <w:szCs w:val="19"/>
              </w:rPr>
              <w:t xml:space="preserve"> the DPMQ should align with the weighted dispensed costs per month. The PBAC also considered</w:t>
            </w:r>
            <w:r w:rsidRPr="00F875E6">
              <w:rPr>
                <w:rFonts w:ascii="Arial Narrow" w:hAnsi="Arial Narrow"/>
                <w:sz w:val="19"/>
                <w:szCs w:val="19"/>
              </w:rPr>
              <w:t xml:space="preserve"> that costs </w:t>
            </w:r>
            <w:r w:rsidR="00A12DB6" w:rsidRPr="00F875E6">
              <w:rPr>
                <w:rFonts w:ascii="Arial Narrow" w:hAnsi="Arial Narrow"/>
                <w:sz w:val="19"/>
                <w:szCs w:val="19"/>
              </w:rPr>
              <w:t>of excessive</w:t>
            </w:r>
            <w:r w:rsidRPr="00F875E6">
              <w:rPr>
                <w:rFonts w:ascii="Arial Narrow" w:hAnsi="Arial Narrow"/>
                <w:sz w:val="19"/>
                <w:szCs w:val="19"/>
              </w:rPr>
              <w:t xml:space="preserve"> vascular occlusive events</w:t>
            </w:r>
            <w:r w:rsidR="00A12DB6" w:rsidRPr="00F875E6">
              <w:rPr>
                <w:rFonts w:ascii="Arial Narrow" w:hAnsi="Arial Narrow"/>
                <w:sz w:val="19"/>
                <w:szCs w:val="19"/>
              </w:rPr>
              <w:t xml:space="preserve"> seen with ponatinib</w:t>
            </w:r>
            <w:r w:rsidRPr="00F875E6">
              <w:rPr>
                <w:rFonts w:ascii="Arial Narrow" w:hAnsi="Arial Narrow"/>
                <w:sz w:val="19"/>
                <w:szCs w:val="19"/>
              </w:rPr>
              <w:t xml:space="preserve"> must be accounted for in </w:t>
            </w:r>
            <w:r w:rsidR="00A12DB6" w:rsidRPr="00F875E6">
              <w:rPr>
                <w:rFonts w:ascii="Arial Narrow" w:hAnsi="Arial Narrow"/>
                <w:sz w:val="19"/>
                <w:szCs w:val="19"/>
              </w:rPr>
              <w:t xml:space="preserve">determining a benchmarked price that ensured ponatinib use was no more expensive than use of dasatinib or nilotinib in patients who had failed treatment with imatinib. </w:t>
            </w:r>
            <w:r w:rsidRPr="00F875E6">
              <w:rPr>
                <w:rFonts w:ascii="Arial Narrow" w:hAnsi="Arial Narrow"/>
                <w:sz w:val="19"/>
                <w:szCs w:val="19"/>
              </w:rPr>
              <w:t xml:space="preserve"> </w:t>
            </w:r>
          </w:p>
        </w:tc>
        <w:tc>
          <w:tcPr>
            <w:tcW w:w="2064" w:type="dxa"/>
          </w:tcPr>
          <w:p w:rsidR="00571C7B" w:rsidRPr="00F875E6" w:rsidRDefault="00F647D3" w:rsidP="00F647D3">
            <w:pPr>
              <w:jc w:val="left"/>
              <w:rPr>
                <w:rFonts w:ascii="Arial Narrow" w:hAnsi="Arial Narrow"/>
                <w:sz w:val="19"/>
                <w:szCs w:val="19"/>
              </w:rPr>
            </w:pPr>
            <w:r w:rsidRPr="00F875E6">
              <w:rPr>
                <w:rFonts w:ascii="Arial Narrow" w:hAnsi="Arial Narrow"/>
                <w:sz w:val="19"/>
                <w:szCs w:val="19"/>
              </w:rPr>
              <w:t xml:space="preserve">Cost-minimisation with equi-effective dose: </w:t>
            </w:r>
          </w:p>
          <w:p w:rsidR="00F647D3" w:rsidRPr="00F875E6" w:rsidRDefault="00571C7B" w:rsidP="00F647D3">
            <w:pPr>
              <w:jc w:val="left"/>
              <w:rPr>
                <w:rFonts w:ascii="Arial Narrow" w:hAnsi="Arial Narrow"/>
                <w:sz w:val="19"/>
                <w:szCs w:val="19"/>
              </w:rPr>
            </w:pPr>
            <w:r w:rsidRPr="00F875E6">
              <w:rPr>
                <w:rFonts w:ascii="Arial Narrow" w:hAnsi="Arial Narrow"/>
                <w:sz w:val="19"/>
                <w:szCs w:val="19"/>
              </w:rPr>
              <w:t>ponatinib 30.2</w:t>
            </w:r>
            <w:r w:rsidR="00594812" w:rsidRPr="00F875E6">
              <w:rPr>
                <w:rFonts w:ascii="Arial Narrow" w:hAnsi="Arial Narrow"/>
                <w:sz w:val="19"/>
                <w:szCs w:val="19"/>
              </w:rPr>
              <w:t xml:space="preserve"> </w:t>
            </w:r>
            <w:r w:rsidRPr="00F875E6">
              <w:rPr>
                <w:rFonts w:ascii="Arial Narrow" w:hAnsi="Arial Narrow"/>
                <w:sz w:val="19"/>
                <w:szCs w:val="19"/>
              </w:rPr>
              <w:t>mg daily = dasatinib 102</w:t>
            </w:r>
            <w:r w:rsidR="00594812" w:rsidRPr="00F875E6">
              <w:rPr>
                <w:rFonts w:ascii="Arial Narrow" w:hAnsi="Arial Narrow"/>
                <w:sz w:val="19"/>
                <w:szCs w:val="19"/>
              </w:rPr>
              <w:t xml:space="preserve"> </w:t>
            </w:r>
            <w:r w:rsidRPr="00F875E6">
              <w:rPr>
                <w:rFonts w:ascii="Arial Narrow" w:hAnsi="Arial Narrow"/>
                <w:sz w:val="19"/>
                <w:szCs w:val="19"/>
              </w:rPr>
              <w:t>mg daily = nilotin</w:t>
            </w:r>
            <w:r w:rsidR="001A2910" w:rsidRPr="00F875E6">
              <w:rPr>
                <w:rFonts w:ascii="Arial Narrow" w:hAnsi="Arial Narrow"/>
                <w:sz w:val="19"/>
                <w:szCs w:val="19"/>
              </w:rPr>
              <w:t>i</w:t>
            </w:r>
            <w:r w:rsidRPr="00F875E6">
              <w:rPr>
                <w:rFonts w:ascii="Arial Narrow" w:hAnsi="Arial Narrow"/>
                <w:sz w:val="19"/>
                <w:szCs w:val="19"/>
              </w:rPr>
              <w:t>b 797</w:t>
            </w:r>
            <w:r w:rsidR="00594812" w:rsidRPr="00F875E6">
              <w:rPr>
                <w:rFonts w:ascii="Arial Narrow" w:hAnsi="Arial Narrow"/>
                <w:sz w:val="19"/>
                <w:szCs w:val="19"/>
              </w:rPr>
              <w:t xml:space="preserve"> </w:t>
            </w:r>
            <w:r w:rsidRPr="00F875E6">
              <w:rPr>
                <w:rFonts w:ascii="Arial Narrow" w:hAnsi="Arial Narrow"/>
                <w:sz w:val="19"/>
                <w:szCs w:val="19"/>
              </w:rPr>
              <w:t>mg daily.</w:t>
            </w:r>
          </w:p>
          <w:p w:rsidR="00A12DB6" w:rsidRPr="00F875E6" w:rsidRDefault="00A12DB6" w:rsidP="00F647D3">
            <w:pPr>
              <w:jc w:val="left"/>
              <w:rPr>
                <w:rFonts w:ascii="Arial Narrow" w:hAnsi="Arial Narrow"/>
                <w:sz w:val="19"/>
                <w:szCs w:val="19"/>
              </w:rPr>
            </w:pPr>
          </w:p>
          <w:p w:rsidR="001D112E" w:rsidRPr="00F875E6" w:rsidRDefault="005C1A9B" w:rsidP="00F34B9F">
            <w:pPr>
              <w:jc w:val="left"/>
              <w:rPr>
                <w:rFonts w:ascii="Arial Narrow" w:hAnsi="Arial Narrow"/>
                <w:color w:val="0000FF"/>
                <w:sz w:val="19"/>
                <w:szCs w:val="19"/>
              </w:rPr>
            </w:pPr>
            <w:r w:rsidRPr="00F875E6">
              <w:rPr>
                <w:rFonts w:ascii="Arial Narrow" w:hAnsi="Arial Narrow"/>
                <w:sz w:val="19"/>
                <w:szCs w:val="19"/>
              </w:rPr>
              <w:t>While the PBAC only expressed concern regarding vascular occlusi</w:t>
            </w:r>
            <w:r w:rsidR="00402A45">
              <w:rPr>
                <w:rFonts w:ascii="Arial Narrow" w:hAnsi="Arial Narrow"/>
                <w:sz w:val="19"/>
                <w:szCs w:val="19"/>
              </w:rPr>
              <w:t>ve events for ponatinib, the re</w:t>
            </w:r>
            <w:r w:rsidR="00402A45">
              <w:rPr>
                <w:rFonts w:ascii="Arial Narrow" w:hAnsi="Arial Narrow"/>
                <w:sz w:val="19"/>
                <w:szCs w:val="19"/>
              </w:rPr>
              <w:noBreakHyphen/>
            </w:r>
            <w:r w:rsidRPr="00F875E6">
              <w:rPr>
                <w:rFonts w:ascii="Arial Narrow" w:hAnsi="Arial Narrow"/>
                <w:sz w:val="19"/>
                <w:szCs w:val="19"/>
              </w:rPr>
              <w:t>submission argued that patients treated with dasatinib had an increased risk of pleural effusions.</w:t>
            </w:r>
            <w:r w:rsidRPr="00F875E6">
              <w:rPr>
                <w:rFonts w:ascii="Arial Narrow" w:hAnsi="Arial Narrow"/>
                <w:i/>
                <w:sz w:val="19"/>
                <w:szCs w:val="19"/>
              </w:rPr>
              <w:t xml:space="preserve"> </w:t>
            </w:r>
            <w:r w:rsidRPr="00F875E6">
              <w:rPr>
                <w:rFonts w:ascii="Arial Narrow" w:hAnsi="Arial Narrow"/>
                <w:sz w:val="19"/>
                <w:szCs w:val="19"/>
              </w:rPr>
              <w:t xml:space="preserve"> Therefore, the c</w:t>
            </w:r>
            <w:r w:rsidR="00A12DB6" w:rsidRPr="00F875E6">
              <w:rPr>
                <w:rFonts w:ascii="Arial Narrow" w:hAnsi="Arial Narrow"/>
                <w:sz w:val="19"/>
                <w:szCs w:val="19"/>
              </w:rPr>
              <w:t>ost-minimisation analysis included</w:t>
            </w:r>
            <w:r w:rsidRPr="00F875E6">
              <w:rPr>
                <w:rFonts w:ascii="Arial Narrow" w:hAnsi="Arial Narrow"/>
                <w:sz w:val="19"/>
                <w:szCs w:val="19"/>
              </w:rPr>
              <w:t xml:space="preserve"> for all three medications</w:t>
            </w:r>
            <w:r w:rsidR="00A12DB6" w:rsidRPr="00F875E6">
              <w:rPr>
                <w:rFonts w:ascii="Arial Narrow" w:hAnsi="Arial Narrow"/>
                <w:sz w:val="19"/>
                <w:szCs w:val="19"/>
              </w:rPr>
              <w:t xml:space="preserve"> the cost of pleural effusions and the cost of vascular occlusive events</w:t>
            </w:r>
            <w:r w:rsidRPr="00F875E6">
              <w:rPr>
                <w:rFonts w:ascii="Arial Narrow" w:hAnsi="Arial Narrow"/>
                <w:sz w:val="19"/>
                <w:szCs w:val="19"/>
              </w:rPr>
              <w:t>.</w:t>
            </w:r>
            <w:r w:rsidR="00A12DB6" w:rsidRPr="00F875E6">
              <w:rPr>
                <w:rFonts w:ascii="Arial Narrow" w:hAnsi="Arial Narrow"/>
                <w:sz w:val="19"/>
                <w:szCs w:val="19"/>
              </w:rPr>
              <w:t xml:space="preserve"> </w:t>
            </w:r>
            <w:r w:rsidR="00F34B9F" w:rsidRPr="00F875E6">
              <w:rPr>
                <w:rFonts w:ascii="Arial Narrow" w:hAnsi="Arial Narrow"/>
                <w:sz w:val="19"/>
                <w:szCs w:val="19"/>
              </w:rPr>
              <w:t>This was reasonable.</w:t>
            </w:r>
            <w:r w:rsidR="00F34B9F" w:rsidRPr="00F875E6">
              <w:rPr>
                <w:rFonts w:ascii="Arial Narrow" w:hAnsi="Arial Narrow"/>
                <w:i/>
                <w:sz w:val="19"/>
                <w:szCs w:val="19"/>
              </w:rPr>
              <w:t xml:space="preserve"> </w:t>
            </w:r>
          </w:p>
        </w:tc>
      </w:tr>
      <w:tr w:rsidR="001D112E" w:rsidRPr="00F875E6" w:rsidTr="00792B70">
        <w:trPr>
          <w:cantSplit/>
          <w:trHeight w:val="845"/>
        </w:trPr>
        <w:tc>
          <w:tcPr>
            <w:tcW w:w="992" w:type="dxa"/>
          </w:tcPr>
          <w:p w:rsidR="001D112E" w:rsidRPr="00F875E6" w:rsidRDefault="001D112E" w:rsidP="00AA0A07">
            <w:pPr>
              <w:jc w:val="left"/>
              <w:rPr>
                <w:rFonts w:ascii="Arial Narrow" w:hAnsi="Arial Narrow"/>
                <w:sz w:val="19"/>
                <w:szCs w:val="19"/>
              </w:rPr>
            </w:pPr>
            <w:r w:rsidRPr="00F875E6">
              <w:rPr>
                <w:rFonts w:ascii="Arial Narrow" w:hAnsi="Arial Narrow"/>
                <w:sz w:val="19"/>
                <w:szCs w:val="19"/>
              </w:rPr>
              <w:t>Number of patients</w:t>
            </w:r>
          </w:p>
        </w:tc>
        <w:tc>
          <w:tcPr>
            <w:tcW w:w="5387" w:type="dxa"/>
          </w:tcPr>
          <w:p w:rsidR="001D112E" w:rsidRPr="00F875E6" w:rsidRDefault="003A7E49" w:rsidP="00AA0A07">
            <w:pPr>
              <w:jc w:val="left"/>
              <w:rPr>
                <w:rFonts w:ascii="Arial Narrow" w:hAnsi="Arial Narrow"/>
                <w:sz w:val="19"/>
                <w:szCs w:val="19"/>
              </w:rPr>
            </w:pPr>
            <w:r w:rsidRPr="00F875E6">
              <w:rPr>
                <w:rFonts w:ascii="Arial Narrow" w:hAnsi="Arial Narrow"/>
                <w:sz w:val="19"/>
                <w:szCs w:val="19"/>
              </w:rPr>
              <w:t xml:space="preserve">• </w:t>
            </w:r>
            <w:r w:rsidR="00402A45">
              <w:rPr>
                <w:rFonts w:ascii="Arial Narrow" w:hAnsi="Arial Narrow"/>
                <w:sz w:val="19"/>
                <w:szCs w:val="19"/>
              </w:rPr>
              <w:t xml:space="preserve">Less than 10,000 </w:t>
            </w:r>
            <w:r w:rsidR="001D112E" w:rsidRPr="00F875E6">
              <w:rPr>
                <w:rFonts w:ascii="Arial Narrow" w:hAnsi="Arial Narrow"/>
                <w:sz w:val="19"/>
                <w:szCs w:val="19"/>
              </w:rPr>
              <w:t>in Year 1 increasing to</w:t>
            </w:r>
            <w:r w:rsidR="00402A45">
              <w:rPr>
                <w:rFonts w:ascii="Arial Narrow" w:hAnsi="Arial Narrow"/>
                <w:sz w:val="19"/>
                <w:szCs w:val="19"/>
              </w:rPr>
              <w:t xml:space="preserve"> also less than 10,000 </w:t>
            </w:r>
            <w:r w:rsidR="001D112E" w:rsidRPr="00F875E6">
              <w:rPr>
                <w:rFonts w:ascii="Arial Narrow" w:hAnsi="Arial Narrow"/>
                <w:sz w:val="19"/>
                <w:szCs w:val="19"/>
              </w:rPr>
              <w:t>in Year 5.</w:t>
            </w:r>
          </w:p>
          <w:p w:rsidR="001D112E" w:rsidRPr="00F875E6" w:rsidRDefault="001D112E" w:rsidP="00AA0A07">
            <w:pPr>
              <w:jc w:val="left"/>
              <w:rPr>
                <w:rFonts w:ascii="Arial Narrow" w:hAnsi="Arial Narrow"/>
                <w:b/>
                <w:sz w:val="19"/>
                <w:szCs w:val="19"/>
              </w:rPr>
            </w:pPr>
          </w:p>
          <w:p w:rsidR="001D112E" w:rsidRPr="00F875E6" w:rsidRDefault="001D112E" w:rsidP="0016377D">
            <w:pPr>
              <w:jc w:val="left"/>
              <w:rPr>
                <w:rFonts w:ascii="Arial Narrow" w:hAnsi="Arial Narrow"/>
                <w:sz w:val="19"/>
                <w:szCs w:val="19"/>
              </w:rPr>
            </w:pPr>
            <w:r w:rsidRPr="00F875E6">
              <w:rPr>
                <w:rFonts w:ascii="Arial Narrow" w:hAnsi="Arial Narrow"/>
                <w:b/>
                <w:sz w:val="19"/>
                <w:szCs w:val="19"/>
              </w:rPr>
              <w:t>PBAC Comment:</w:t>
            </w:r>
            <w:r w:rsidRPr="00F875E6">
              <w:rPr>
                <w:rFonts w:ascii="Arial Narrow" w:hAnsi="Arial Narrow"/>
                <w:sz w:val="19"/>
                <w:szCs w:val="19"/>
              </w:rPr>
              <w:t xml:space="preserve"> </w:t>
            </w:r>
            <w:r w:rsidR="0016377D" w:rsidRPr="00F875E6">
              <w:rPr>
                <w:rFonts w:ascii="Arial Narrow" w:hAnsi="Arial Narrow"/>
                <w:sz w:val="19"/>
                <w:szCs w:val="19"/>
              </w:rPr>
              <w:t>The submission underestimated the number of patients treated with TKIs as compared to the February 2014 DUSC review of TKI use.</w:t>
            </w:r>
          </w:p>
        </w:tc>
        <w:tc>
          <w:tcPr>
            <w:tcW w:w="2064" w:type="dxa"/>
          </w:tcPr>
          <w:p w:rsidR="0014114C" w:rsidRPr="00F875E6" w:rsidRDefault="00055D48" w:rsidP="00571C7B">
            <w:pPr>
              <w:jc w:val="left"/>
              <w:rPr>
                <w:rFonts w:ascii="Arial Narrow" w:hAnsi="Arial Narrow"/>
                <w:sz w:val="19"/>
                <w:szCs w:val="19"/>
              </w:rPr>
            </w:pPr>
            <w:r w:rsidRPr="00F875E6">
              <w:rPr>
                <w:rFonts w:ascii="Arial Narrow" w:hAnsi="Arial Narrow"/>
                <w:sz w:val="19"/>
                <w:szCs w:val="19"/>
              </w:rPr>
              <w:t xml:space="preserve">Similar methodology </w:t>
            </w:r>
            <w:r w:rsidR="00005990" w:rsidRPr="00F875E6">
              <w:rPr>
                <w:rFonts w:ascii="Arial Narrow" w:hAnsi="Arial Narrow"/>
                <w:sz w:val="19"/>
                <w:szCs w:val="19"/>
              </w:rPr>
              <w:t>to previous submission with a number of calculation errors.</w:t>
            </w:r>
          </w:p>
          <w:p w:rsidR="001D112E" w:rsidRPr="00F875E6" w:rsidRDefault="00402A45" w:rsidP="00402A45">
            <w:pPr>
              <w:jc w:val="left"/>
              <w:rPr>
                <w:rFonts w:ascii="Arial Narrow" w:hAnsi="Arial Narrow"/>
                <w:i/>
                <w:color w:val="0000FF"/>
                <w:sz w:val="19"/>
                <w:szCs w:val="19"/>
              </w:rPr>
            </w:pPr>
            <w:r w:rsidRPr="00402A45">
              <w:rPr>
                <w:rFonts w:ascii="Arial Narrow" w:hAnsi="Arial Narrow"/>
                <w:sz w:val="19"/>
                <w:szCs w:val="19"/>
              </w:rPr>
              <w:t>less than 10,000</w:t>
            </w:r>
            <w:r w:rsidRPr="00F875E6">
              <w:rPr>
                <w:rFonts w:ascii="Arial Narrow" w:hAnsi="Arial Narrow"/>
                <w:sz w:val="19"/>
                <w:szCs w:val="19"/>
              </w:rPr>
              <w:t xml:space="preserve"> </w:t>
            </w:r>
            <w:r w:rsidR="001D112E" w:rsidRPr="00F875E6">
              <w:rPr>
                <w:rFonts w:ascii="Arial Narrow" w:hAnsi="Arial Narrow"/>
                <w:sz w:val="19"/>
                <w:szCs w:val="19"/>
              </w:rPr>
              <w:t xml:space="preserve">in Year 1 increasing to </w:t>
            </w:r>
            <w:r w:rsidRPr="00402A45">
              <w:rPr>
                <w:rFonts w:ascii="Arial Narrow" w:hAnsi="Arial Narrow"/>
                <w:sz w:val="19"/>
                <w:szCs w:val="19"/>
              </w:rPr>
              <w:t>also less than 10,000</w:t>
            </w:r>
            <w:r w:rsidRPr="00F875E6">
              <w:rPr>
                <w:rFonts w:ascii="Arial Narrow" w:hAnsi="Arial Narrow"/>
                <w:sz w:val="19"/>
                <w:szCs w:val="19"/>
              </w:rPr>
              <w:t xml:space="preserve"> </w:t>
            </w:r>
            <w:r w:rsidR="001D112E" w:rsidRPr="00F875E6">
              <w:rPr>
                <w:rFonts w:ascii="Arial Narrow" w:hAnsi="Arial Narrow"/>
                <w:sz w:val="19"/>
                <w:szCs w:val="19"/>
              </w:rPr>
              <w:t>in Year 5.</w:t>
            </w:r>
          </w:p>
        </w:tc>
      </w:tr>
      <w:tr w:rsidR="001D112E" w:rsidRPr="00F875E6" w:rsidTr="00792B70">
        <w:trPr>
          <w:cantSplit/>
          <w:trHeight w:val="1080"/>
        </w:trPr>
        <w:tc>
          <w:tcPr>
            <w:tcW w:w="992" w:type="dxa"/>
          </w:tcPr>
          <w:p w:rsidR="001D112E" w:rsidRPr="00F875E6" w:rsidRDefault="001D112E" w:rsidP="00AA0A07">
            <w:pPr>
              <w:jc w:val="left"/>
              <w:rPr>
                <w:rFonts w:ascii="Arial Narrow" w:hAnsi="Arial Narrow"/>
                <w:sz w:val="19"/>
                <w:szCs w:val="19"/>
              </w:rPr>
            </w:pPr>
            <w:r w:rsidRPr="00F875E6">
              <w:rPr>
                <w:rFonts w:ascii="Arial Narrow" w:hAnsi="Arial Narrow"/>
                <w:sz w:val="19"/>
                <w:szCs w:val="19"/>
              </w:rPr>
              <w:t>Estimated cost to PBS</w:t>
            </w:r>
          </w:p>
        </w:tc>
        <w:tc>
          <w:tcPr>
            <w:tcW w:w="5387" w:type="dxa"/>
          </w:tcPr>
          <w:p w:rsidR="001D112E" w:rsidRPr="00F875E6" w:rsidRDefault="0016377D" w:rsidP="00AA0A07">
            <w:pPr>
              <w:jc w:val="left"/>
              <w:rPr>
                <w:rFonts w:ascii="Arial Narrow" w:hAnsi="Arial Narrow"/>
                <w:sz w:val="19"/>
                <w:szCs w:val="19"/>
              </w:rPr>
            </w:pPr>
            <w:r w:rsidRPr="00F875E6">
              <w:rPr>
                <w:rFonts w:ascii="Arial Narrow" w:hAnsi="Arial Narrow"/>
                <w:sz w:val="19"/>
                <w:szCs w:val="19"/>
              </w:rPr>
              <w:t>•</w:t>
            </w:r>
            <w:r w:rsidR="00594812" w:rsidRPr="00F875E6">
              <w:rPr>
                <w:rFonts w:ascii="Arial Narrow" w:hAnsi="Arial Narrow"/>
                <w:sz w:val="19"/>
                <w:szCs w:val="19"/>
              </w:rPr>
              <w:t xml:space="preserve"> </w:t>
            </w:r>
            <w:r w:rsidR="00402A45">
              <w:rPr>
                <w:rFonts w:ascii="Arial Narrow" w:hAnsi="Arial Narrow"/>
                <w:sz w:val="19"/>
                <w:szCs w:val="19"/>
              </w:rPr>
              <w:t xml:space="preserve">Less than </w:t>
            </w:r>
            <w:r w:rsidRPr="00F875E6">
              <w:rPr>
                <w:rFonts w:ascii="Arial Narrow" w:hAnsi="Arial Narrow"/>
                <w:sz w:val="19"/>
                <w:szCs w:val="19"/>
              </w:rPr>
              <w:t>$</w:t>
            </w:r>
            <w:r w:rsidR="00402A45">
              <w:rPr>
                <w:rFonts w:ascii="Arial Narrow" w:hAnsi="Arial Narrow"/>
                <w:sz w:val="19"/>
                <w:szCs w:val="19"/>
              </w:rPr>
              <w:t xml:space="preserve">10 million </w:t>
            </w:r>
            <w:r w:rsidR="001D112E" w:rsidRPr="00F875E6">
              <w:rPr>
                <w:rFonts w:ascii="Arial Narrow" w:hAnsi="Arial Narrow"/>
                <w:sz w:val="19"/>
                <w:szCs w:val="19"/>
              </w:rPr>
              <w:t xml:space="preserve">in Year 1 increasing to </w:t>
            </w:r>
            <w:r w:rsidR="00402A45">
              <w:rPr>
                <w:rFonts w:ascii="Arial Narrow" w:hAnsi="Arial Narrow"/>
                <w:sz w:val="19"/>
                <w:szCs w:val="19"/>
              </w:rPr>
              <w:t xml:space="preserve">less than </w:t>
            </w:r>
            <w:r w:rsidR="001D112E" w:rsidRPr="00F875E6">
              <w:rPr>
                <w:rFonts w:ascii="Arial Narrow" w:hAnsi="Arial Narrow"/>
                <w:sz w:val="19"/>
                <w:szCs w:val="19"/>
              </w:rPr>
              <w:t>$</w:t>
            </w:r>
            <w:r w:rsidR="00402A45">
              <w:rPr>
                <w:rFonts w:ascii="Arial Narrow" w:hAnsi="Arial Narrow"/>
                <w:sz w:val="19"/>
                <w:szCs w:val="19"/>
              </w:rPr>
              <w:t xml:space="preserve">10 million </w:t>
            </w:r>
            <w:r w:rsidR="001D112E" w:rsidRPr="00F875E6">
              <w:rPr>
                <w:rFonts w:ascii="Arial Narrow" w:hAnsi="Arial Narrow"/>
                <w:sz w:val="19"/>
                <w:szCs w:val="19"/>
              </w:rPr>
              <w:t xml:space="preserve">in Year 5 for a total of </w:t>
            </w:r>
            <w:r w:rsidRPr="00F875E6">
              <w:rPr>
                <w:rFonts w:ascii="Arial Narrow" w:hAnsi="Arial Narrow"/>
                <w:sz w:val="19"/>
                <w:szCs w:val="19"/>
              </w:rPr>
              <w:t>$</w:t>
            </w:r>
            <w:r w:rsidRPr="00402A45">
              <w:rPr>
                <w:rFonts w:ascii="Arial Narrow" w:hAnsi="Arial Narrow"/>
                <w:sz w:val="19"/>
                <w:szCs w:val="19"/>
              </w:rPr>
              <w:t>10</w:t>
            </w:r>
            <w:r w:rsidR="00402A45">
              <w:rPr>
                <w:rFonts w:ascii="Arial Narrow" w:hAnsi="Arial Narrow"/>
                <w:sz w:val="19"/>
                <w:szCs w:val="19"/>
              </w:rPr>
              <w:t>-20 million</w:t>
            </w:r>
            <w:r w:rsidR="001D112E" w:rsidRPr="00F875E6">
              <w:rPr>
                <w:rFonts w:ascii="Arial Narrow" w:hAnsi="Arial Narrow"/>
                <w:sz w:val="19"/>
                <w:szCs w:val="19"/>
              </w:rPr>
              <w:t xml:space="preserve"> over the first 5 years of listing.</w:t>
            </w:r>
          </w:p>
          <w:p w:rsidR="001D112E" w:rsidRPr="00F875E6" w:rsidRDefault="001D112E" w:rsidP="00AA0A07">
            <w:pPr>
              <w:jc w:val="left"/>
              <w:rPr>
                <w:rFonts w:ascii="Arial Narrow" w:hAnsi="Arial Narrow"/>
                <w:sz w:val="19"/>
                <w:szCs w:val="19"/>
              </w:rPr>
            </w:pPr>
          </w:p>
          <w:p w:rsidR="00715C70" w:rsidRPr="00F875E6" w:rsidRDefault="001D112E" w:rsidP="00715C70">
            <w:pPr>
              <w:jc w:val="left"/>
              <w:rPr>
                <w:rFonts w:ascii="Arial Narrow" w:hAnsi="Arial Narrow"/>
                <w:sz w:val="19"/>
                <w:szCs w:val="19"/>
              </w:rPr>
            </w:pPr>
            <w:r w:rsidRPr="00F875E6">
              <w:rPr>
                <w:rFonts w:ascii="Arial Narrow" w:hAnsi="Arial Narrow"/>
                <w:b/>
                <w:sz w:val="19"/>
                <w:szCs w:val="19"/>
              </w:rPr>
              <w:t>PBAC Comment:</w:t>
            </w:r>
            <w:r w:rsidRPr="00F875E6">
              <w:rPr>
                <w:rFonts w:ascii="Arial Narrow" w:hAnsi="Arial Narrow"/>
                <w:sz w:val="19"/>
                <w:szCs w:val="19"/>
              </w:rPr>
              <w:t xml:space="preserve"> </w:t>
            </w:r>
            <w:r w:rsidR="00882EA5" w:rsidRPr="00F875E6">
              <w:rPr>
                <w:rFonts w:ascii="Arial Narrow" w:hAnsi="Arial Narrow"/>
                <w:sz w:val="19"/>
                <w:szCs w:val="19"/>
              </w:rPr>
              <w:t xml:space="preserve">The PBAC considered the financial estimates are inaccurate </w:t>
            </w:r>
            <w:r w:rsidR="00715C70" w:rsidRPr="00F875E6">
              <w:rPr>
                <w:rFonts w:ascii="Arial Narrow" w:hAnsi="Arial Narrow"/>
                <w:sz w:val="19"/>
                <w:szCs w:val="19"/>
              </w:rPr>
              <w:t>and required significant revision to reflect:</w:t>
            </w:r>
          </w:p>
          <w:p w:rsidR="0016377D" w:rsidRPr="00F875E6" w:rsidRDefault="00576700" w:rsidP="00F34B9F">
            <w:pPr>
              <w:pStyle w:val="ListParagraph"/>
              <w:numPr>
                <w:ilvl w:val="0"/>
                <w:numId w:val="41"/>
              </w:numPr>
              <w:jc w:val="left"/>
              <w:rPr>
                <w:rFonts w:ascii="Arial Narrow" w:hAnsi="Arial Narrow"/>
                <w:sz w:val="19"/>
                <w:szCs w:val="19"/>
              </w:rPr>
            </w:pPr>
            <w:r w:rsidRPr="00F875E6">
              <w:rPr>
                <w:rFonts w:ascii="Arial Narrow" w:hAnsi="Arial Narrow"/>
                <w:sz w:val="19"/>
                <w:szCs w:val="19"/>
              </w:rPr>
              <w:t>DUSC’s estimates of TKI use by line of therapy and correct calculation of number of patients moving from 1</w:t>
            </w:r>
            <w:r w:rsidRPr="00F875E6">
              <w:rPr>
                <w:rFonts w:ascii="Arial Narrow" w:hAnsi="Arial Narrow"/>
                <w:sz w:val="19"/>
                <w:szCs w:val="19"/>
                <w:vertAlign w:val="superscript"/>
              </w:rPr>
              <w:t>st</w:t>
            </w:r>
            <w:r w:rsidRPr="00F875E6">
              <w:rPr>
                <w:rFonts w:ascii="Arial Narrow" w:hAnsi="Arial Narrow"/>
                <w:sz w:val="19"/>
                <w:szCs w:val="19"/>
              </w:rPr>
              <w:t xml:space="preserve"> to 2</w:t>
            </w:r>
            <w:r w:rsidRPr="00F875E6">
              <w:rPr>
                <w:rFonts w:ascii="Arial Narrow" w:hAnsi="Arial Narrow"/>
                <w:sz w:val="19"/>
                <w:szCs w:val="19"/>
                <w:vertAlign w:val="superscript"/>
              </w:rPr>
              <w:t>nd</w:t>
            </w:r>
            <w:r w:rsidRPr="00F875E6">
              <w:rPr>
                <w:rFonts w:ascii="Arial Narrow" w:hAnsi="Arial Narrow"/>
                <w:sz w:val="19"/>
                <w:szCs w:val="19"/>
              </w:rPr>
              <w:t xml:space="preserve"> and subsequent lines per annum</w:t>
            </w:r>
            <w:r w:rsidR="0016377D" w:rsidRPr="00F875E6">
              <w:rPr>
                <w:rFonts w:ascii="Arial Narrow" w:hAnsi="Arial Narrow"/>
                <w:sz w:val="19"/>
                <w:szCs w:val="19"/>
              </w:rPr>
              <w:t>;</w:t>
            </w:r>
          </w:p>
          <w:p w:rsidR="0016377D" w:rsidRPr="00F875E6" w:rsidRDefault="0016377D" w:rsidP="00F34B9F">
            <w:pPr>
              <w:pStyle w:val="ListParagraph"/>
              <w:numPr>
                <w:ilvl w:val="0"/>
                <w:numId w:val="41"/>
              </w:numPr>
              <w:jc w:val="left"/>
              <w:rPr>
                <w:rFonts w:ascii="Arial Narrow" w:hAnsi="Arial Narrow"/>
                <w:sz w:val="19"/>
                <w:szCs w:val="19"/>
              </w:rPr>
            </w:pPr>
            <w:r w:rsidRPr="00F875E6">
              <w:rPr>
                <w:rFonts w:ascii="Arial Narrow" w:hAnsi="Arial Narrow"/>
                <w:sz w:val="19"/>
                <w:szCs w:val="19"/>
              </w:rPr>
              <w:t>Only 15% of patients failing first line TKI therapy wil</w:t>
            </w:r>
            <w:r w:rsidR="00D43C02" w:rsidRPr="00F875E6">
              <w:rPr>
                <w:rFonts w:ascii="Arial Narrow" w:hAnsi="Arial Narrow"/>
                <w:sz w:val="19"/>
                <w:szCs w:val="19"/>
              </w:rPr>
              <w:t>l</w:t>
            </w:r>
            <w:r w:rsidRPr="00F875E6">
              <w:rPr>
                <w:rFonts w:ascii="Arial Narrow" w:hAnsi="Arial Narrow"/>
                <w:sz w:val="19"/>
                <w:szCs w:val="19"/>
              </w:rPr>
              <w:t xml:space="preserve"> have T315l mutation;</w:t>
            </w:r>
          </w:p>
          <w:p w:rsidR="0016377D" w:rsidRPr="00F875E6" w:rsidRDefault="0016377D" w:rsidP="00F34B9F">
            <w:pPr>
              <w:pStyle w:val="ListParagraph"/>
              <w:numPr>
                <w:ilvl w:val="0"/>
                <w:numId w:val="41"/>
              </w:numPr>
              <w:jc w:val="left"/>
              <w:rPr>
                <w:rFonts w:ascii="Arial Narrow" w:hAnsi="Arial Narrow"/>
                <w:sz w:val="19"/>
                <w:szCs w:val="19"/>
              </w:rPr>
            </w:pPr>
            <w:r w:rsidRPr="00F875E6">
              <w:rPr>
                <w:rFonts w:ascii="Arial Narrow" w:hAnsi="Arial Narrow"/>
                <w:sz w:val="19"/>
                <w:szCs w:val="19"/>
              </w:rPr>
              <w:t>Although uptake in T315l mutation CML will be &gt;90%, it will not</w:t>
            </w:r>
            <w:r w:rsidR="007D26FE" w:rsidRPr="00F875E6">
              <w:rPr>
                <w:rFonts w:ascii="Arial Narrow" w:hAnsi="Arial Narrow"/>
                <w:sz w:val="19"/>
                <w:szCs w:val="19"/>
              </w:rPr>
              <w:t xml:space="preserve"> </w:t>
            </w:r>
            <w:r w:rsidRPr="00F875E6">
              <w:rPr>
                <w:rFonts w:ascii="Arial Narrow" w:hAnsi="Arial Narrow"/>
                <w:sz w:val="19"/>
                <w:szCs w:val="19"/>
              </w:rPr>
              <w:t>be 100% given the risks in patients with pre-existing cardiovascular disease and the availability of allogeneic SCT;</w:t>
            </w:r>
          </w:p>
          <w:p w:rsidR="0016377D" w:rsidRPr="00F875E6" w:rsidRDefault="0016377D" w:rsidP="00F34B9F">
            <w:pPr>
              <w:pStyle w:val="ListParagraph"/>
              <w:numPr>
                <w:ilvl w:val="0"/>
                <w:numId w:val="41"/>
              </w:numPr>
              <w:jc w:val="left"/>
              <w:rPr>
                <w:rFonts w:ascii="Arial Narrow" w:hAnsi="Arial Narrow"/>
                <w:sz w:val="19"/>
                <w:szCs w:val="19"/>
              </w:rPr>
            </w:pPr>
            <w:r w:rsidRPr="00F875E6">
              <w:rPr>
                <w:rFonts w:ascii="Arial Narrow" w:hAnsi="Arial Narrow"/>
                <w:sz w:val="19"/>
                <w:szCs w:val="19"/>
              </w:rPr>
              <w:t>Use of ponatinib only after failure of both nilotinib and dasatinib for patients with non-T315l CML, and use only in T315l mutant Ph+ ALL;</w:t>
            </w:r>
          </w:p>
          <w:p w:rsidR="001D112E" w:rsidRPr="00F875E6" w:rsidRDefault="0016377D" w:rsidP="00F34B9F">
            <w:pPr>
              <w:pStyle w:val="ListParagraph"/>
              <w:numPr>
                <w:ilvl w:val="0"/>
                <w:numId w:val="41"/>
              </w:numPr>
              <w:jc w:val="left"/>
              <w:rPr>
                <w:rFonts w:ascii="Arial Narrow" w:hAnsi="Arial Narrow"/>
                <w:sz w:val="19"/>
                <w:szCs w:val="19"/>
              </w:rPr>
            </w:pPr>
            <w:r w:rsidRPr="00F875E6">
              <w:rPr>
                <w:rFonts w:ascii="Arial Narrow" w:hAnsi="Arial Narrow"/>
                <w:sz w:val="19"/>
                <w:szCs w:val="19"/>
              </w:rPr>
              <w:t>Minimal substitution for nilotinib or dasatinib</w:t>
            </w:r>
            <w:r w:rsidR="00882EA5" w:rsidRPr="00F875E6">
              <w:rPr>
                <w:rFonts w:ascii="Arial Narrow" w:hAnsi="Arial Narrow"/>
                <w:sz w:val="19"/>
                <w:szCs w:val="19"/>
              </w:rPr>
              <w:t>.</w:t>
            </w:r>
          </w:p>
        </w:tc>
        <w:tc>
          <w:tcPr>
            <w:tcW w:w="2064" w:type="dxa"/>
          </w:tcPr>
          <w:p w:rsidR="00005990" w:rsidRPr="00F875E6" w:rsidRDefault="00005990" w:rsidP="007D26FE">
            <w:pPr>
              <w:jc w:val="left"/>
              <w:rPr>
                <w:rFonts w:ascii="Arial Narrow" w:hAnsi="Arial Narrow"/>
                <w:sz w:val="19"/>
                <w:szCs w:val="19"/>
              </w:rPr>
            </w:pPr>
            <w:r w:rsidRPr="00F875E6">
              <w:rPr>
                <w:rFonts w:ascii="Arial Narrow" w:hAnsi="Arial Narrow"/>
                <w:sz w:val="19"/>
                <w:szCs w:val="19"/>
              </w:rPr>
              <w:t>Similar methodology to previous submission with a number of calculation errors</w:t>
            </w:r>
            <w:r w:rsidR="00D43C02" w:rsidRPr="00F875E6">
              <w:rPr>
                <w:rFonts w:ascii="Arial Narrow" w:hAnsi="Arial Narrow"/>
                <w:sz w:val="19"/>
                <w:szCs w:val="19"/>
              </w:rPr>
              <w:t>.</w:t>
            </w:r>
            <w:r w:rsidR="00BC6673" w:rsidRPr="00F875E6">
              <w:rPr>
                <w:rFonts w:ascii="Arial Narrow" w:hAnsi="Arial Narrow"/>
                <w:sz w:val="19"/>
                <w:szCs w:val="19"/>
              </w:rPr>
              <w:t xml:space="preserve"> </w:t>
            </w:r>
            <w:r w:rsidR="003162CF" w:rsidRPr="00F875E6">
              <w:rPr>
                <w:rFonts w:ascii="Arial Narrow" w:hAnsi="Arial Narrow"/>
                <w:sz w:val="19"/>
                <w:szCs w:val="19"/>
              </w:rPr>
              <w:t>The re-submission address</w:t>
            </w:r>
            <w:r w:rsidR="005F3442" w:rsidRPr="00F875E6">
              <w:rPr>
                <w:rFonts w:ascii="Arial Narrow" w:hAnsi="Arial Narrow"/>
                <w:sz w:val="19"/>
                <w:szCs w:val="19"/>
              </w:rPr>
              <w:t>ed most of</w:t>
            </w:r>
            <w:r w:rsidR="003162CF" w:rsidRPr="00F875E6">
              <w:rPr>
                <w:rFonts w:ascii="Arial Narrow" w:hAnsi="Arial Narrow"/>
                <w:sz w:val="19"/>
                <w:szCs w:val="19"/>
              </w:rPr>
              <w:t xml:space="preserve"> the changes recommended by the PBAC</w:t>
            </w:r>
            <w:r w:rsidR="005F3442" w:rsidRPr="00F875E6">
              <w:rPr>
                <w:rFonts w:ascii="Arial Narrow" w:hAnsi="Arial Narrow"/>
                <w:sz w:val="19"/>
                <w:szCs w:val="19"/>
              </w:rPr>
              <w:t xml:space="preserve"> </w:t>
            </w:r>
            <w:r w:rsidR="00F34B9F" w:rsidRPr="00F875E6">
              <w:rPr>
                <w:rFonts w:ascii="Arial Narrow" w:hAnsi="Arial Narrow"/>
                <w:sz w:val="19"/>
                <w:szCs w:val="19"/>
              </w:rPr>
              <w:t>b</w:t>
            </w:r>
            <w:r w:rsidR="00EE0496" w:rsidRPr="00F875E6">
              <w:rPr>
                <w:rFonts w:ascii="Arial Narrow" w:hAnsi="Arial Narrow"/>
                <w:sz w:val="19"/>
                <w:szCs w:val="19"/>
              </w:rPr>
              <w:t>ut</w:t>
            </w:r>
            <w:r w:rsidR="00BC6673" w:rsidRPr="00F875E6">
              <w:rPr>
                <w:rFonts w:ascii="Arial Narrow" w:hAnsi="Arial Narrow"/>
                <w:sz w:val="19"/>
                <w:szCs w:val="19"/>
              </w:rPr>
              <w:t xml:space="preserve"> did not use the DUSC’s estimates of TKI use.</w:t>
            </w:r>
            <w:r w:rsidRPr="00F875E6">
              <w:rPr>
                <w:rFonts w:ascii="Arial Narrow" w:hAnsi="Arial Narrow"/>
                <w:sz w:val="19"/>
                <w:szCs w:val="19"/>
              </w:rPr>
              <w:t xml:space="preserve"> </w:t>
            </w:r>
          </w:p>
          <w:p w:rsidR="00005990" w:rsidRPr="00F875E6" w:rsidRDefault="00005990" w:rsidP="007D26FE">
            <w:pPr>
              <w:jc w:val="left"/>
              <w:rPr>
                <w:rFonts w:ascii="Arial Narrow" w:hAnsi="Arial Narrow"/>
                <w:sz w:val="19"/>
                <w:szCs w:val="19"/>
              </w:rPr>
            </w:pPr>
          </w:p>
          <w:p w:rsidR="001D112E" w:rsidRPr="00F875E6" w:rsidRDefault="00402A45" w:rsidP="00E5037C">
            <w:pPr>
              <w:jc w:val="left"/>
              <w:rPr>
                <w:rFonts w:ascii="Arial Narrow" w:hAnsi="Arial Narrow"/>
                <w:sz w:val="19"/>
                <w:szCs w:val="19"/>
              </w:rPr>
            </w:pPr>
            <w:r>
              <w:rPr>
                <w:rFonts w:ascii="Arial Narrow" w:hAnsi="Arial Narrow"/>
                <w:sz w:val="19"/>
                <w:szCs w:val="19"/>
              </w:rPr>
              <w:t xml:space="preserve">Less than </w:t>
            </w:r>
            <w:r w:rsidR="007D26FE" w:rsidRPr="00F875E6">
              <w:rPr>
                <w:rFonts w:ascii="Arial Narrow" w:hAnsi="Arial Narrow"/>
                <w:sz w:val="19"/>
                <w:szCs w:val="19"/>
              </w:rPr>
              <w:t>$</w:t>
            </w:r>
            <w:r>
              <w:rPr>
                <w:rFonts w:ascii="Arial Narrow" w:hAnsi="Arial Narrow"/>
                <w:sz w:val="19"/>
                <w:szCs w:val="19"/>
              </w:rPr>
              <w:t xml:space="preserve">10 million </w:t>
            </w:r>
            <w:r w:rsidR="001D112E" w:rsidRPr="00F875E6">
              <w:rPr>
                <w:rFonts w:ascii="Arial Narrow" w:hAnsi="Arial Narrow"/>
                <w:sz w:val="19"/>
                <w:szCs w:val="19"/>
              </w:rPr>
              <w:t xml:space="preserve">in Year 1 increasing to </w:t>
            </w:r>
            <w:r>
              <w:rPr>
                <w:rFonts w:ascii="Arial Narrow" w:hAnsi="Arial Narrow"/>
                <w:sz w:val="19"/>
                <w:szCs w:val="19"/>
              </w:rPr>
              <w:t xml:space="preserve">less than </w:t>
            </w:r>
            <w:r w:rsidR="001D112E" w:rsidRPr="00F875E6">
              <w:rPr>
                <w:rFonts w:ascii="Arial Narrow" w:hAnsi="Arial Narrow"/>
                <w:sz w:val="19"/>
                <w:szCs w:val="19"/>
              </w:rPr>
              <w:t>$</w:t>
            </w:r>
            <w:r>
              <w:rPr>
                <w:rFonts w:ascii="Arial Narrow" w:hAnsi="Arial Narrow"/>
                <w:sz w:val="19"/>
                <w:szCs w:val="19"/>
              </w:rPr>
              <w:t xml:space="preserve">10 million </w:t>
            </w:r>
            <w:r w:rsidR="00005990" w:rsidRPr="00F875E6">
              <w:rPr>
                <w:rFonts w:ascii="Arial Narrow" w:hAnsi="Arial Narrow"/>
                <w:sz w:val="19"/>
                <w:szCs w:val="19"/>
              </w:rPr>
              <w:t>in Year 5 for a total of $</w:t>
            </w:r>
            <w:r>
              <w:rPr>
                <w:rFonts w:ascii="Arial Narrow" w:hAnsi="Arial Narrow"/>
                <w:sz w:val="19"/>
                <w:szCs w:val="19"/>
              </w:rPr>
              <w:t>10-20</w:t>
            </w:r>
            <w:r w:rsidR="00005990" w:rsidRPr="00402A45">
              <w:rPr>
                <w:rFonts w:ascii="Arial Narrow" w:hAnsi="Arial Narrow"/>
                <w:sz w:val="19"/>
                <w:szCs w:val="19"/>
              </w:rPr>
              <w:t xml:space="preserve"> million</w:t>
            </w:r>
            <w:r w:rsidR="001D112E" w:rsidRPr="00F875E6">
              <w:rPr>
                <w:rFonts w:ascii="Arial Narrow" w:hAnsi="Arial Narrow"/>
                <w:sz w:val="19"/>
                <w:szCs w:val="19"/>
              </w:rPr>
              <w:t xml:space="preserve"> over the first 5 years of listing.</w:t>
            </w:r>
          </w:p>
          <w:p w:rsidR="0049581E" w:rsidRPr="00F875E6" w:rsidRDefault="0049581E" w:rsidP="00F34B9F">
            <w:pPr>
              <w:jc w:val="left"/>
              <w:rPr>
                <w:rFonts w:ascii="Arial Narrow" w:hAnsi="Arial Narrow"/>
                <w:color w:val="0000FF"/>
                <w:sz w:val="19"/>
                <w:szCs w:val="19"/>
              </w:rPr>
            </w:pPr>
            <w:r w:rsidRPr="00F875E6">
              <w:rPr>
                <w:rFonts w:ascii="Arial Narrow" w:hAnsi="Arial Narrow"/>
                <w:sz w:val="19"/>
                <w:szCs w:val="19"/>
              </w:rPr>
              <w:t>Compared with the previous submission, the number of patients treated was lower and the number of packs higher in the re-submission</w:t>
            </w:r>
            <w:r w:rsidR="00F34B9F" w:rsidRPr="00F875E6">
              <w:rPr>
                <w:rFonts w:ascii="Arial Narrow" w:hAnsi="Arial Narrow"/>
                <w:sz w:val="19"/>
                <w:szCs w:val="19"/>
              </w:rPr>
              <w:t xml:space="preserve"> (see Estimated PBS usage)</w:t>
            </w:r>
            <w:r w:rsidRPr="00F875E6">
              <w:rPr>
                <w:rFonts w:ascii="Arial Narrow" w:hAnsi="Arial Narrow"/>
                <w:sz w:val="19"/>
                <w:szCs w:val="19"/>
              </w:rPr>
              <w:t xml:space="preserve">. </w:t>
            </w:r>
          </w:p>
        </w:tc>
      </w:tr>
      <w:tr w:rsidR="001D112E" w:rsidRPr="00F875E6" w:rsidTr="00792B70">
        <w:trPr>
          <w:cantSplit/>
          <w:trHeight w:val="60"/>
        </w:trPr>
        <w:tc>
          <w:tcPr>
            <w:tcW w:w="992" w:type="dxa"/>
          </w:tcPr>
          <w:p w:rsidR="001D112E" w:rsidRPr="00F875E6" w:rsidRDefault="001D112E" w:rsidP="00AA0A07">
            <w:pPr>
              <w:jc w:val="left"/>
              <w:rPr>
                <w:rFonts w:ascii="Arial Narrow" w:hAnsi="Arial Narrow"/>
                <w:sz w:val="19"/>
                <w:szCs w:val="19"/>
              </w:rPr>
            </w:pPr>
            <w:r w:rsidRPr="00F875E6">
              <w:rPr>
                <w:rFonts w:ascii="Arial Narrow" w:hAnsi="Arial Narrow"/>
              </w:rPr>
              <w:br w:type="page"/>
            </w:r>
            <w:r w:rsidRPr="00F875E6">
              <w:rPr>
                <w:rFonts w:ascii="Arial Narrow" w:hAnsi="Arial Narrow"/>
                <w:sz w:val="19"/>
                <w:szCs w:val="19"/>
              </w:rPr>
              <w:t>PBAC decision</w:t>
            </w:r>
          </w:p>
        </w:tc>
        <w:tc>
          <w:tcPr>
            <w:tcW w:w="5387" w:type="dxa"/>
          </w:tcPr>
          <w:p w:rsidR="001D112E" w:rsidRPr="00F875E6" w:rsidRDefault="00CB0D81" w:rsidP="00AA0A07">
            <w:pPr>
              <w:jc w:val="left"/>
              <w:rPr>
                <w:rFonts w:ascii="Arial Narrow" w:hAnsi="Arial Narrow"/>
                <w:sz w:val="19"/>
                <w:szCs w:val="19"/>
              </w:rPr>
            </w:pPr>
            <w:r w:rsidRPr="00F875E6">
              <w:rPr>
                <w:rFonts w:ascii="Arial Narrow" w:hAnsi="Arial Narrow"/>
                <w:sz w:val="19"/>
                <w:szCs w:val="19"/>
              </w:rPr>
              <w:t>Deferred</w:t>
            </w:r>
            <w:r w:rsidR="005E5B09" w:rsidRPr="00F875E6">
              <w:rPr>
                <w:rFonts w:ascii="Arial Narrow" w:hAnsi="Arial Narrow"/>
                <w:sz w:val="19"/>
                <w:szCs w:val="19"/>
              </w:rPr>
              <w:t>.</w:t>
            </w:r>
          </w:p>
        </w:tc>
        <w:tc>
          <w:tcPr>
            <w:tcW w:w="2064" w:type="dxa"/>
          </w:tcPr>
          <w:p w:rsidR="001D112E" w:rsidRPr="00F875E6" w:rsidRDefault="001D112E" w:rsidP="00AA0A07">
            <w:pPr>
              <w:jc w:val="left"/>
              <w:rPr>
                <w:rFonts w:ascii="Arial Narrow" w:hAnsi="Arial Narrow"/>
                <w:sz w:val="19"/>
                <w:szCs w:val="19"/>
              </w:rPr>
            </w:pPr>
            <w:r w:rsidRPr="00F875E6">
              <w:rPr>
                <w:rFonts w:ascii="Arial Narrow" w:hAnsi="Arial Narrow"/>
                <w:sz w:val="19"/>
                <w:szCs w:val="19"/>
              </w:rPr>
              <w:t>-</w:t>
            </w:r>
          </w:p>
        </w:tc>
      </w:tr>
    </w:tbl>
    <w:p w:rsidR="00B60939" w:rsidRPr="00F875E6" w:rsidRDefault="001D112E" w:rsidP="00F338FF">
      <w:pPr>
        <w:pStyle w:val="TableFooter"/>
        <w:ind w:firstLine="720"/>
      </w:pPr>
      <w:r w:rsidRPr="00F875E6">
        <w:t>Source: Compiled during the evaluation</w:t>
      </w:r>
    </w:p>
    <w:p w:rsidR="00C66D4A" w:rsidRPr="00F875E6" w:rsidRDefault="006E35B4" w:rsidP="0069368B">
      <w:pPr>
        <w:pStyle w:val="TableFooter"/>
        <w:ind w:left="709" w:firstLine="11"/>
      </w:pPr>
      <w:r w:rsidRPr="00F875E6">
        <w:t xml:space="preserve">BSC = best supportive care; </w:t>
      </w:r>
      <w:r w:rsidR="00C66D4A" w:rsidRPr="00F875E6">
        <w:t xml:space="preserve">CML = chronic myeloid leukaemia; DPMQ = dispensed price for maximum quantity; </w:t>
      </w:r>
      <w:r w:rsidR="00511A49" w:rsidRPr="00F875E6">
        <w:rPr>
          <w:rStyle w:val="CommentReference"/>
          <w:b w:val="0"/>
          <w:sz w:val="18"/>
          <w:szCs w:val="20"/>
        </w:rPr>
        <w:t>DUSC = Drug utilisation sub com</w:t>
      </w:r>
      <w:r w:rsidR="00E57599" w:rsidRPr="00F875E6">
        <w:rPr>
          <w:rStyle w:val="CommentReference"/>
          <w:b w:val="0"/>
          <w:sz w:val="18"/>
          <w:szCs w:val="20"/>
        </w:rPr>
        <w:t>m</w:t>
      </w:r>
      <w:r w:rsidR="00511A49" w:rsidRPr="00F875E6">
        <w:rPr>
          <w:rStyle w:val="CommentReference"/>
          <w:b w:val="0"/>
          <w:sz w:val="18"/>
          <w:szCs w:val="20"/>
        </w:rPr>
        <w:t xml:space="preserve">ittee; </w:t>
      </w:r>
      <w:r w:rsidR="008059A9" w:rsidRPr="00F875E6">
        <w:t xml:space="preserve">PBAC = Pharmaceutical Benefits Advisory Committee; </w:t>
      </w:r>
      <w:r w:rsidR="00C66D4A" w:rsidRPr="00F875E6">
        <w:t>Ph+ ALL = Philade</w:t>
      </w:r>
      <w:r w:rsidR="00694A1F" w:rsidRPr="00F875E6">
        <w:t>l</w:t>
      </w:r>
      <w:r w:rsidR="00C66D4A" w:rsidRPr="00F875E6">
        <w:t>phia chromosome positive acute lymphoblastic leukaemia; SCT = stem cell transplant; TKI</w:t>
      </w:r>
      <w:r w:rsidR="001E27FE" w:rsidRPr="00F875E6">
        <w:t> </w:t>
      </w:r>
      <w:r w:rsidR="00C66D4A" w:rsidRPr="00F875E6">
        <w:t>=</w:t>
      </w:r>
      <w:r w:rsidR="001E27FE" w:rsidRPr="00F875E6">
        <w:t> </w:t>
      </w:r>
      <w:r w:rsidR="00C66D4A" w:rsidRPr="00F875E6">
        <w:t>tyrosine kinase inhibitor</w:t>
      </w:r>
      <w:r w:rsidR="00E049F5" w:rsidRPr="00F875E6">
        <w:t>.</w:t>
      </w:r>
    </w:p>
    <w:p w:rsidR="001B6188" w:rsidRPr="00F875E6" w:rsidRDefault="001B6188" w:rsidP="00497F10"/>
    <w:p w:rsidR="0080244B" w:rsidRPr="00F875E6" w:rsidRDefault="0080244B" w:rsidP="00497F10"/>
    <w:p w:rsidR="00F338FF" w:rsidRPr="00F875E6" w:rsidRDefault="00F338FF" w:rsidP="00792B70">
      <w:pPr>
        <w:pStyle w:val="PBACheading1"/>
        <w:keepNext/>
        <w:rPr>
          <w:b/>
        </w:rPr>
      </w:pPr>
      <w:bookmarkStart w:id="5" w:name="_Toc419470595"/>
      <w:r w:rsidRPr="00F875E6">
        <w:rPr>
          <w:b/>
        </w:rPr>
        <w:t>Clinical place for the proposed therapy</w:t>
      </w:r>
      <w:bookmarkEnd w:id="5"/>
    </w:p>
    <w:p w:rsidR="00B60939" w:rsidRPr="00F875E6" w:rsidRDefault="00B60939" w:rsidP="00792B70">
      <w:pPr>
        <w:keepNext/>
        <w:rPr>
          <w:szCs w:val="22"/>
        </w:rPr>
      </w:pPr>
    </w:p>
    <w:p w:rsidR="003B4391" w:rsidRPr="00F875E6" w:rsidRDefault="000544BC" w:rsidP="00792B70">
      <w:pPr>
        <w:pStyle w:val="ListParagraph"/>
        <w:keepNext/>
        <w:widowControl/>
        <w:numPr>
          <w:ilvl w:val="1"/>
          <w:numId w:val="4"/>
        </w:numPr>
        <w:rPr>
          <w:i/>
          <w:szCs w:val="22"/>
        </w:rPr>
      </w:pPr>
      <w:r w:rsidRPr="00F875E6">
        <w:t xml:space="preserve">Compared with the previous submission, the re-submission presented separate clinical algorithms for CML and Ph+ ALL. </w:t>
      </w:r>
      <w:r w:rsidR="003B4391" w:rsidRPr="00F875E6">
        <w:t xml:space="preserve">The re-submission </w:t>
      </w:r>
      <w:r w:rsidR="008450D4" w:rsidRPr="00F875E6">
        <w:t xml:space="preserve">proposed </w:t>
      </w:r>
      <w:r w:rsidR="00D76977" w:rsidRPr="00F875E6">
        <w:t xml:space="preserve">the following clinical place for </w:t>
      </w:r>
      <w:r w:rsidR="003B4391" w:rsidRPr="00F875E6">
        <w:t>ponatinib:</w:t>
      </w:r>
    </w:p>
    <w:p w:rsidR="003B4391" w:rsidRPr="00F875E6" w:rsidRDefault="003B4391" w:rsidP="00792B70">
      <w:pPr>
        <w:pStyle w:val="ListParagraph"/>
        <w:keepNext/>
        <w:numPr>
          <w:ilvl w:val="0"/>
          <w:numId w:val="9"/>
        </w:numPr>
      </w:pPr>
      <w:r w:rsidRPr="00F875E6">
        <w:rPr>
          <w:u w:val="single"/>
        </w:rPr>
        <w:t>Chronic myeloid leukaemia:</w:t>
      </w:r>
    </w:p>
    <w:p w:rsidR="003B4391" w:rsidRPr="00F875E6" w:rsidRDefault="003B4391" w:rsidP="003B4391">
      <w:pPr>
        <w:pStyle w:val="ListParagraph"/>
        <w:numPr>
          <w:ilvl w:val="1"/>
          <w:numId w:val="9"/>
        </w:numPr>
      </w:pPr>
      <w:r w:rsidRPr="00F875E6">
        <w:t>Second-line therapy in patients with T315l mutation</w:t>
      </w:r>
      <w:r w:rsidR="00241A85" w:rsidRPr="00F875E6">
        <w:t>;</w:t>
      </w:r>
    </w:p>
    <w:p w:rsidR="003B4391" w:rsidRPr="00F875E6" w:rsidRDefault="003B4391" w:rsidP="003B4391">
      <w:pPr>
        <w:pStyle w:val="ListParagraph"/>
        <w:numPr>
          <w:ilvl w:val="1"/>
          <w:numId w:val="9"/>
        </w:numPr>
      </w:pPr>
      <w:r w:rsidRPr="00F875E6">
        <w:t>Third-line therapy in patients intolerant of TKI not used in second</w:t>
      </w:r>
      <w:r w:rsidR="00241A85" w:rsidRPr="00F875E6">
        <w:t>-</w:t>
      </w:r>
      <w:r w:rsidRPr="00F875E6">
        <w:t>line or with T315l mutation</w:t>
      </w:r>
      <w:r w:rsidR="00241A85" w:rsidRPr="00F875E6">
        <w:t>;</w:t>
      </w:r>
    </w:p>
    <w:p w:rsidR="003B4391" w:rsidRPr="00F875E6" w:rsidRDefault="003B4391" w:rsidP="003B4391">
      <w:pPr>
        <w:pStyle w:val="ListParagraph"/>
        <w:numPr>
          <w:ilvl w:val="1"/>
          <w:numId w:val="9"/>
        </w:numPr>
      </w:pPr>
      <w:r w:rsidRPr="00F875E6">
        <w:t>Fourth-line therapy, after failure of imatinib, dasatinib and nilotinib</w:t>
      </w:r>
      <w:r w:rsidR="00241A85" w:rsidRPr="00F875E6">
        <w:t>.</w:t>
      </w:r>
    </w:p>
    <w:p w:rsidR="003B4391" w:rsidRPr="00F875E6" w:rsidRDefault="003B4391" w:rsidP="003B4391">
      <w:pPr>
        <w:pStyle w:val="ListParagraph"/>
        <w:numPr>
          <w:ilvl w:val="0"/>
          <w:numId w:val="9"/>
        </w:numPr>
      </w:pPr>
      <w:r w:rsidRPr="00F875E6">
        <w:rPr>
          <w:u w:val="single"/>
        </w:rPr>
        <w:t>Acute lymphoblastic leukaemia:</w:t>
      </w:r>
    </w:p>
    <w:p w:rsidR="003B4391" w:rsidRPr="00F875E6" w:rsidRDefault="003B4391" w:rsidP="003B4391">
      <w:pPr>
        <w:pStyle w:val="ListParagraph"/>
        <w:numPr>
          <w:ilvl w:val="0"/>
          <w:numId w:val="14"/>
        </w:numPr>
        <w:ind w:left="1843"/>
      </w:pPr>
      <w:r w:rsidRPr="00F875E6">
        <w:t>Second-line therapy in patients with T315l mutation</w:t>
      </w:r>
      <w:r w:rsidR="00241A85" w:rsidRPr="00F875E6">
        <w:t>;</w:t>
      </w:r>
    </w:p>
    <w:p w:rsidR="003B4391" w:rsidRPr="00F875E6" w:rsidRDefault="003B4391" w:rsidP="003B4391">
      <w:pPr>
        <w:pStyle w:val="ListParagraph"/>
        <w:numPr>
          <w:ilvl w:val="0"/>
          <w:numId w:val="14"/>
        </w:numPr>
        <w:ind w:left="1843"/>
      </w:pPr>
      <w:r w:rsidRPr="00F875E6">
        <w:t>Third-line therapy in patients intolerant of dasatinib.</w:t>
      </w:r>
    </w:p>
    <w:p w:rsidR="008651FC" w:rsidRPr="00F875E6" w:rsidRDefault="008651FC" w:rsidP="00792B70">
      <w:pPr>
        <w:pStyle w:val="ListParagraph"/>
        <w:rPr>
          <w:i/>
          <w:szCs w:val="22"/>
        </w:rPr>
      </w:pPr>
    </w:p>
    <w:p w:rsidR="001B6188" w:rsidRPr="00F875E6" w:rsidRDefault="008651FC" w:rsidP="00792B70">
      <w:pPr>
        <w:pStyle w:val="ListParagraph"/>
        <w:rPr>
          <w:szCs w:val="22"/>
        </w:rPr>
      </w:pPr>
      <w:r w:rsidRPr="00F875E6">
        <w:rPr>
          <w:szCs w:val="22"/>
        </w:rPr>
        <w:t>This was consistent with the proposed restriction.</w:t>
      </w:r>
    </w:p>
    <w:p w:rsidR="005C1A9B" w:rsidRPr="00F875E6" w:rsidRDefault="005C1A9B" w:rsidP="00792B70">
      <w:pPr>
        <w:pStyle w:val="ListParagraph"/>
        <w:rPr>
          <w:i/>
          <w:szCs w:val="22"/>
        </w:rPr>
      </w:pPr>
    </w:p>
    <w:p w:rsidR="00E467D8" w:rsidRPr="00F875E6" w:rsidRDefault="00E467D8" w:rsidP="00792B70">
      <w:pPr>
        <w:pStyle w:val="ListParagraph"/>
        <w:rPr>
          <w:i/>
          <w:szCs w:val="22"/>
        </w:rPr>
      </w:pPr>
      <w:r w:rsidRPr="00F875E6">
        <w:rPr>
          <w:i/>
          <w:szCs w:val="22"/>
        </w:rPr>
        <w:t>For more detail on PBAC’s view, see section 7 “PBAC outcome”</w:t>
      </w:r>
    </w:p>
    <w:p w:rsidR="00E467D8" w:rsidRPr="00F875E6" w:rsidRDefault="00E467D8" w:rsidP="00792B70">
      <w:pPr>
        <w:pStyle w:val="ListParagraph"/>
        <w:rPr>
          <w:i/>
          <w:szCs w:val="22"/>
        </w:rPr>
      </w:pPr>
    </w:p>
    <w:p w:rsidR="00C919BF" w:rsidRPr="00F875E6" w:rsidRDefault="00C919BF" w:rsidP="00792B70">
      <w:pPr>
        <w:pStyle w:val="ListParagraph"/>
        <w:rPr>
          <w:i/>
          <w:szCs w:val="22"/>
        </w:rPr>
      </w:pPr>
    </w:p>
    <w:p w:rsidR="00F338FF" w:rsidRPr="00F875E6" w:rsidRDefault="00F338FF" w:rsidP="005D7E3E">
      <w:pPr>
        <w:pStyle w:val="PBACheading1"/>
        <w:rPr>
          <w:b/>
        </w:rPr>
      </w:pPr>
      <w:bookmarkStart w:id="6" w:name="_Toc419470596"/>
      <w:r w:rsidRPr="00F875E6">
        <w:rPr>
          <w:b/>
        </w:rPr>
        <w:t>Comparator</w:t>
      </w:r>
      <w:bookmarkEnd w:id="6"/>
    </w:p>
    <w:p w:rsidR="00497F10" w:rsidRPr="00F875E6" w:rsidRDefault="00497F10" w:rsidP="00577717"/>
    <w:p w:rsidR="00A65D4C" w:rsidRPr="00F875E6" w:rsidRDefault="00F161B7" w:rsidP="00A65D4C">
      <w:pPr>
        <w:pStyle w:val="ListParagraph"/>
        <w:widowControl/>
        <w:numPr>
          <w:ilvl w:val="1"/>
          <w:numId w:val="4"/>
        </w:numPr>
      </w:pPr>
      <w:r w:rsidRPr="00F875E6">
        <w:t>The re-submission nominate</w:t>
      </w:r>
      <w:r w:rsidR="008059A9" w:rsidRPr="00F875E6">
        <w:t>d</w:t>
      </w:r>
      <w:r w:rsidRPr="00F875E6">
        <w:t xml:space="preserve"> d</w:t>
      </w:r>
      <w:r w:rsidR="0018486C" w:rsidRPr="00F875E6">
        <w:t>asatinib and nilotin</w:t>
      </w:r>
      <w:r w:rsidR="004B037E" w:rsidRPr="00F875E6">
        <w:t>i</w:t>
      </w:r>
      <w:r w:rsidR="0018486C" w:rsidRPr="00F875E6">
        <w:t>b</w:t>
      </w:r>
      <w:r w:rsidRPr="00F875E6">
        <w:t xml:space="preserve"> for all </w:t>
      </w:r>
      <w:r w:rsidR="00BA4F69" w:rsidRPr="00F875E6">
        <w:t>requested indications</w:t>
      </w:r>
      <w:r w:rsidR="0018486C" w:rsidRPr="00F875E6">
        <w:t>.</w:t>
      </w:r>
      <w:r w:rsidRPr="00F875E6">
        <w:t xml:space="preserve"> These were unchanged from the previous submission</w:t>
      </w:r>
      <w:r w:rsidR="00D43C02" w:rsidRPr="00F875E6">
        <w:t>, and the PBAC considered these acceptable for benchmarking</w:t>
      </w:r>
      <w:r w:rsidRPr="00F875E6">
        <w:t>.</w:t>
      </w:r>
      <w:r w:rsidR="00497F10" w:rsidRPr="00F875E6">
        <w:t xml:space="preserve"> </w:t>
      </w:r>
    </w:p>
    <w:p w:rsidR="001B6188" w:rsidRPr="00F875E6" w:rsidRDefault="001B6188" w:rsidP="00497F10"/>
    <w:p w:rsidR="00A00DE3" w:rsidRPr="00F875E6" w:rsidRDefault="00A00DE3" w:rsidP="00A00DE3">
      <w:pPr>
        <w:pStyle w:val="ListParagraph"/>
        <w:rPr>
          <w:i/>
          <w:szCs w:val="22"/>
        </w:rPr>
      </w:pPr>
      <w:r w:rsidRPr="00F875E6">
        <w:rPr>
          <w:i/>
          <w:szCs w:val="22"/>
        </w:rPr>
        <w:t>For more detail on PBAC’s view, see section 7 “PBAC outcome”</w:t>
      </w:r>
    </w:p>
    <w:p w:rsidR="00A00DE3" w:rsidRPr="00F875E6" w:rsidRDefault="00A00DE3" w:rsidP="00497F10"/>
    <w:p w:rsidR="00C919BF" w:rsidRPr="00F875E6" w:rsidRDefault="00C919BF" w:rsidP="00497F10"/>
    <w:p w:rsidR="00D06FD4" w:rsidRPr="00F875E6" w:rsidRDefault="00472359" w:rsidP="005D7E3E">
      <w:pPr>
        <w:pStyle w:val="PBACheading1"/>
        <w:rPr>
          <w:b/>
        </w:rPr>
      </w:pPr>
      <w:bookmarkStart w:id="7" w:name="_Toc419470597"/>
      <w:r w:rsidRPr="00F875E6">
        <w:rPr>
          <w:b/>
        </w:rPr>
        <w:t>C</w:t>
      </w:r>
      <w:r w:rsidR="00D06FD4" w:rsidRPr="00F875E6">
        <w:rPr>
          <w:b/>
        </w:rPr>
        <w:t>onsideration of the evidence</w:t>
      </w:r>
      <w:bookmarkEnd w:id="7"/>
    </w:p>
    <w:p w:rsidR="00B60939" w:rsidRPr="00F875E6" w:rsidRDefault="00B60939" w:rsidP="00E467D8">
      <w:pPr>
        <w:widowControl/>
        <w:rPr>
          <w:b/>
          <w:szCs w:val="22"/>
        </w:rPr>
      </w:pPr>
    </w:p>
    <w:p w:rsidR="00AC1B72" w:rsidRPr="00F875E6" w:rsidRDefault="00AC1B72" w:rsidP="00AC1B72">
      <w:pPr>
        <w:spacing w:after="200" w:line="276" w:lineRule="auto"/>
        <w:rPr>
          <w:b/>
          <w:bCs/>
          <w:i/>
          <w:szCs w:val="22"/>
        </w:rPr>
      </w:pPr>
      <w:r w:rsidRPr="00F875E6">
        <w:rPr>
          <w:b/>
          <w:bCs/>
          <w:i/>
          <w:szCs w:val="22"/>
        </w:rPr>
        <w:t>Sponsor hearing</w:t>
      </w:r>
    </w:p>
    <w:p w:rsidR="00AC1B72" w:rsidRPr="00F875E6" w:rsidRDefault="00AC1B72" w:rsidP="00AC1B72">
      <w:pPr>
        <w:numPr>
          <w:ilvl w:val="1"/>
          <w:numId w:val="4"/>
        </w:numPr>
        <w:contextualSpacing/>
        <w:rPr>
          <w:bCs/>
          <w:szCs w:val="22"/>
        </w:rPr>
      </w:pPr>
      <w:r w:rsidRPr="00F875E6">
        <w:rPr>
          <w:bCs/>
          <w:szCs w:val="22"/>
        </w:rPr>
        <w:t>The sponsor requested a hearing for this item.  The clinician highlighted the unmet clinical need for treatment in patients with CML who were intolerant or resistant to current PBS-subsidised treatments, and addressed other matters in response to the Committee’s questions.</w:t>
      </w:r>
    </w:p>
    <w:p w:rsidR="00283B96" w:rsidRPr="00F875E6" w:rsidRDefault="00283B96" w:rsidP="00283B96">
      <w:pPr>
        <w:rPr>
          <w:bCs/>
          <w:szCs w:val="22"/>
        </w:rPr>
      </w:pPr>
    </w:p>
    <w:p w:rsidR="00283B96" w:rsidRPr="00F875E6" w:rsidRDefault="00283B96" w:rsidP="00283B96">
      <w:pPr>
        <w:spacing w:after="200" w:line="276" w:lineRule="auto"/>
        <w:rPr>
          <w:b/>
          <w:bCs/>
          <w:i/>
          <w:szCs w:val="22"/>
        </w:rPr>
      </w:pPr>
      <w:r w:rsidRPr="00F875E6">
        <w:rPr>
          <w:b/>
          <w:bCs/>
          <w:i/>
          <w:szCs w:val="22"/>
        </w:rPr>
        <w:t>Consumer comments</w:t>
      </w:r>
    </w:p>
    <w:p w:rsidR="00283B96" w:rsidRPr="00F875E6" w:rsidRDefault="00283B96" w:rsidP="00283B96">
      <w:pPr>
        <w:numPr>
          <w:ilvl w:val="1"/>
          <w:numId w:val="4"/>
        </w:numPr>
        <w:contextualSpacing/>
        <w:rPr>
          <w:bCs/>
          <w:szCs w:val="22"/>
        </w:rPr>
      </w:pPr>
      <w:r w:rsidRPr="00F875E6">
        <w:rPr>
          <w:bCs/>
          <w:szCs w:val="22"/>
        </w:rPr>
        <w:t xml:space="preserve">The PBAC noted and welcomed the input from individuals (2), health care professionals (8) and organisations (2) via the Consumer Comments facility on the PBS website.  The comments described the clinical need for ponatinib in patients who do not respond to currently available PBS-listed treatments. </w:t>
      </w:r>
    </w:p>
    <w:p w:rsidR="00E467D8" w:rsidRPr="00F875E6" w:rsidRDefault="00E467D8" w:rsidP="00E467D8">
      <w:pPr>
        <w:contextualSpacing/>
        <w:rPr>
          <w:bCs/>
          <w:szCs w:val="22"/>
        </w:rPr>
      </w:pPr>
    </w:p>
    <w:p w:rsidR="00275183" w:rsidRPr="00F875E6" w:rsidRDefault="00275183" w:rsidP="00275183">
      <w:pPr>
        <w:numPr>
          <w:ilvl w:val="1"/>
          <w:numId w:val="4"/>
        </w:numPr>
        <w:contextualSpacing/>
        <w:rPr>
          <w:bCs/>
          <w:szCs w:val="22"/>
        </w:rPr>
      </w:pPr>
      <w:r w:rsidRPr="00F875E6">
        <w:rPr>
          <w:bCs/>
          <w:szCs w:val="22"/>
        </w:rPr>
        <w:t>The PBAC noted the advice received from the Haematology Society of Australia and New Zealand (HSANZ) which highlighted the clinical need for ponatinib for patients with CML with the T315I mutation. The PBAC specifically noted the advice that the average doses of ponatinib used in practice would likely be lower than those seen in the PACE study.</w:t>
      </w:r>
    </w:p>
    <w:p w:rsidR="00E467D8" w:rsidRPr="00F875E6" w:rsidRDefault="00E467D8" w:rsidP="00E467D8">
      <w:pPr>
        <w:widowControl/>
        <w:rPr>
          <w:b/>
          <w:szCs w:val="22"/>
        </w:rPr>
      </w:pPr>
    </w:p>
    <w:p w:rsidR="00B60939" w:rsidRPr="00F875E6" w:rsidRDefault="00B60939" w:rsidP="00D164FD">
      <w:pPr>
        <w:pStyle w:val="Heading2"/>
        <w:keepNext/>
        <w:rPr>
          <w:i/>
        </w:rPr>
      </w:pPr>
      <w:bookmarkStart w:id="8" w:name="_Toc419470598"/>
      <w:r w:rsidRPr="00F875E6">
        <w:rPr>
          <w:i/>
        </w:rPr>
        <w:t>Clinical trials</w:t>
      </w:r>
      <w:bookmarkEnd w:id="8"/>
    </w:p>
    <w:p w:rsidR="00B60939" w:rsidRPr="00F875E6" w:rsidRDefault="00B60939" w:rsidP="00D164FD">
      <w:pPr>
        <w:keepNext/>
        <w:rPr>
          <w:szCs w:val="22"/>
        </w:rPr>
      </w:pPr>
    </w:p>
    <w:p w:rsidR="007F1017" w:rsidRPr="00F875E6" w:rsidRDefault="001B6188" w:rsidP="006D1EE0">
      <w:pPr>
        <w:pStyle w:val="ListParagraph"/>
        <w:widowControl/>
        <w:numPr>
          <w:ilvl w:val="1"/>
          <w:numId w:val="4"/>
        </w:numPr>
        <w:rPr>
          <w:szCs w:val="22"/>
        </w:rPr>
      </w:pPr>
      <w:r w:rsidRPr="00F875E6">
        <w:t xml:space="preserve">The re-submission </w:t>
      </w:r>
      <w:r w:rsidR="00FE756E" w:rsidRPr="00F875E6">
        <w:t>wa</w:t>
      </w:r>
      <w:r w:rsidRPr="00F875E6">
        <w:t xml:space="preserve">s based on </w:t>
      </w:r>
      <w:r w:rsidR="00AE0194" w:rsidRPr="00F875E6">
        <w:t>12 single-arm non-randomised studies</w:t>
      </w:r>
      <w:r w:rsidRPr="00F875E6">
        <w:t>.</w:t>
      </w:r>
      <w:r w:rsidR="00AE0194" w:rsidRPr="00F875E6">
        <w:t xml:space="preserve"> These included nine studies presented in the previous submission, one study for dasatinib excluded in the previous submission but presented </w:t>
      </w:r>
      <w:r w:rsidR="005D720D" w:rsidRPr="00F875E6">
        <w:t>in the previous commentary</w:t>
      </w:r>
      <w:r w:rsidR="00AE0194" w:rsidRPr="00F875E6">
        <w:t xml:space="preserve"> (Muller 2009), one new study for ponatinib (Milojkovic 2014) and one new study for dasatinib/nilotinib (Lee 2014).</w:t>
      </w:r>
      <w:r w:rsidRPr="00F875E6">
        <w:rPr>
          <w:color w:val="3366FF"/>
        </w:rPr>
        <w:t xml:space="preserve"> </w:t>
      </w:r>
    </w:p>
    <w:p w:rsidR="001B6188" w:rsidRPr="00F875E6" w:rsidRDefault="001B6188" w:rsidP="001B6188">
      <w:pPr>
        <w:widowControl/>
        <w:rPr>
          <w:szCs w:val="22"/>
        </w:rPr>
      </w:pPr>
    </w:p>
    <w:p w:rsidR="001B6188" w:rsidRPr="00F875E6" w:rsidRDefault="001B6188" w:rsidP="006D1EE0">
      <w:pPr>
        <w:pStyle w:val="ListParagraph"/>
        <w:widowControl/>
        <w:numPr>
          <w:ilvl w:val="1"/>
          <w:numId w:val="4"/>
        </w:numPr>
        <w:rPr>
          <w:szCs w:val="22"/>
        </w:rPr>
      </w:pPr>
      <w:r w:rsidRPr="00F875E6">
        <w:rPr>
          <w:szCs w:val="22"/>
        </w:rPr>
        <w:t xml:space="preserve">Details of the </w:t>
      </w:r>
      <w:r w:rsidR="00EA31E0" w:rsidRPr="00F875E6">
        <w:rPr>
          <w:szCs w:val="22"/>
        </w:rPr>
        <w:t>studies</w:t>
      </w:r>
      <w:r w:rsidRPr="00F875E6">
        <w:rPr>
          <w:szCs w:val="22"/>
        </w:rPr>
        <w:t xml:space="preserve"> presented in the re-submission ar</w:t>
      </w:r>
      <w:r w:rsidR="005B6BD3" w:rsidRPr="00F875E6">
        <w:rPr>
          <w:szCs w:val="22"/>
        </w:rPr>
        <w:t xml:space="preserve">e provided in </w:t>
      </w:r>
      <w:r w:rsidR="004B037E" w:rsidRPr="00F875E6">
        <w:rPr>
          <w:szCs w:val="22"/>
        </w:rPr>
        <w:t>Table 2</w:t>
      </w:r>
      <w:r w:rsidR="005B6BD3" w:rsidRPr="00F875E6">
        <w:rPr>
          <w:szCs w:val="22"/>
        </w:rPr>
        <w:t>.</w:t>
      </w:r>
    </w:p>
    <w:p w:rsidR="001B6188" w:rsidRPr="00F875E6" w:rsidRDefault="001B6188" w:rsidP="001B6188">
      <w:pPr>
        <w:widowControl/>
        <w:rPr>
          <w:szCs w:val="22"/>
        </w:rPr>
      </w:pPr>
    </w:p>
    <w:p w:rsidR="00961AF9" w:rsidRPr="00F875E6" w:rsidRDefault="00961AF9" w:rsidP="0097525A">
      <w:pPr>
        <w:widowControl/>
        <w:ind w:firstLine="720"/>
        <w:rPr>
          <w:rStyle w:val="CommentReference"/>
        </w:rPr>
      </w:pPr>
      <w:r w:rsidRPr="00F875E6">
        <w:rPr>
          <w:rStyle w:val="CommentReference"/>
        </w:rPr>
        <w:t xml:space="preserve">Table </w:t>
      </w:r>
      <w:r w:rsidR="000D195A" w:rsidRPr="00F875E6">
        <w:rPr>
          <w:rStyle w:val="CommentReference"/>
        </w:rPr>
        <w:t>2</w:t>
      </w:r>
      <w:r w:rsidRPr="00F875E6">
        <w:rPr>
          <w:rStyle w:val="CommentReference"/>
        </w:rPr>
        <w:t xml:space="preserve">: </w:t>
      </w:r>
      <w:r w:rsidR="005B6BD3" w:rsidRPr="00F875E6">
        <w:rPr>
          <w:rStyle w:val="CommentReference"/>
        </w:rPr>
        <w:t>Non-randomised s</w:t>
      </w:r>
      <w:r w:rsidR="00B644EA" w:rsidRPr="00F875E6">
        <w:rPr>
          <w:rStyle w:val="CommentReference"/>
        </w:rPr>
        <w:t>tudies</w:t>
      </w:r>
      <w:r w:rsidRPr="00F875E6">
        <w:rPr>
          <w:rStyle w:val="CommentReference"/>
        </w:rPr>
        <w:t xml:space="preserve"> and associated reports presented in the re-submission</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77"/>
        <w:gridCol w:w="5244"/>
        <w:gridCol w:w="1843"/>
      </w:tblGrid>
      <w:tr w:rsidR="00D06FD4" w:rsidRPr="00F875E6" w:rsidTr="00A76AD8">
        <w:trPr>
          <w:cantSplit/>
          <w:trHeight w:val="57"/>
          <w:tblHeader/>
        </w:trPr>
        <w:tc>
          <w:tcPr>
            <w:tcW w:w="763" w:type="pct"/>
            <w:tcBorders>
              <w:top w:val="single" w:sz="4" w:space="0" w:color="auto"/>
              <w:left w:val="single" w:sz="4" w:space="0" w:color="auto"/>
              <w:bottom w:val="single" w:sz="4" w:space="0" w:color="auto"/>
              <w:right w:val="single" w:sz="4" w:space="0" w:color="auto"/>
            </w:tcBorders>
          </w:tcPr>
          <w:p w:rsidR="00D06FD4" w:rsidRPr="00F875E6" w:rsidRDefault="00B644EA" w:rsidP="0097525A">
            <w:pPr>
              <w:widowControl/>
              <w:jc w:val="left"/>
              <w:rPr>
                <w:rFonts w:ascii="Arial Narrow" w:hAnsi="Arial Narrow"/>
                <w:b/>
                <w:sz w:val="20"/>
              </w:rPr>
            </w:pPr>
            <w:r w:rsidRPr="00F875E6">
              <w:rPr>
                <w:rFonts w:ascii="Arial Narrow" w:hAnsi="Arial Narrow"/>
                <w:b/>
                <w:sz w:val="20"/>
              </w:rPr>
              <w:t>Study</w:t>
            </w:r>
            <w:r w:rsidR="00D06FD4" w:rsidRPr="00F875E6">
              <w:rPr>
                <w:rFonts w:ascii="Arial Narrow" w:hAnsi="Arial Narrow"/>
                <w:b/>
                <w:sz w:val="20"/>
              </w:rPr>
              <w:t xml:space="preserve"> ID/</w:t>
            </w:r>
            <w:r w:rsidR="00F752CD" w:rsidRPr="00F875E6">
              <w:rPr>
                <w:rFonts w:ascii="Arial Narrow" w:hAnsi="Arial Narrow"/>
                <w:b/>
                <w:sz w:val="20"/>
              </w:rPr>
              <w:t>f</w:t>
            </w:r>
            <w:r w:rsidR="00D06FD4" w:rsidRPr="00F875E6">
              <w:rPr>
                <w:rFonts w:ascii="Arial Narrow" w:hAnsi="Arial Narrow"/>
                <w:b/>
                <w:sz w:val="20"/>
              </w:rPr>
              <w:t xml:space="preserve">irst </w:t>
            </w:r>
            <w:r w:rsidR="00F752CD" w:rsidRPr="00F875E6">
              <w:rPr>
                <w:rFonts w:ascii="Arial Narrow" w:hAnsi="Arial Narrow"/>
                <w:b/>
                <w:sz w:val="20"/>
              </w:rPr>
              <w:t>a</w:t>
            </w:r>
            <w:r w:rsidR="00D06FD4" w:rsidRPr="00F875E6">
              <w:rPr>
                <w:rFonts w:ascii="Arial Narrow" w:hAnsi="Arial Narrow"/>
                <w:b/>
                <w:sz w:val="20"/>
              </w:rPr>
              <w:t>uthor</w:t>
            </w:r>
          </w:p>
        </w:tc>
        <w:tc>
          <w:tcPr>
            <w:tcW w:w="3135" w:type="pct"/>
            <w:tcBorders>
              <w:top w:val="single" w:sz="4" w:space="0" w:color="auto"/>
              <w:left w:val="single" w:sz="4" w:space="0" w:color="auto"/>
              <w:bottom w:val="single" w:sz="4" w:space="0" w:color="auto"/>
              <w:right w:val="single" w:sz="4" w:space="0" w:color="auto"/>
            </w:tcBorders>
          </w:tcPr>
          <w:p w:rsidR="00D06FD4" w:rsidRPr="00F875E6" w:rsidRDefault="00D06FD4" w:rsidP="0097525A">
            <w:pPr>
              <w:widowControl/>
              <w:jc w:val="center"/>
              <w:rPr>
                <w:rFonts w:ascii="Arial Narrow" w:hAnsi="Arial Narrow"/>
                <w:b/>
                <w:sz w:val="20"/>
              </w:rPr>
            </w:pPr>
            <w:r w:rsidRPr="00F875E6">
              <w:rPr>
                <w:rFonts w:ascii="Arial Narrow" w:hAnsi="Arial Narrow"/>
                <w:b/>
                <w:sz w:val="20"/>
              </w:rPr>
              <w:t xml:space="preserve">Protocol title/ </w:t>
            </w:r>
            <w:r w:rsidR="00F752CD" w:rsidRPr="00F875E6">
              <w:rPr>
                <w:rFonts w:ascii="Arial Narrow" w:hAnsi="Arial Narrow"/>
                <w:b/>
                <w:sz w:val="20"/>
              </w:rPr>
              <w:t>p</w:t>
            </w:r>
            <w:r w:rsidRPr="00F875E6">
              <w:rPr>
                <w:rFonts w:ascii="Arial Narrow" w:hAnsi="Arial Narrow"/>
                <w:b/>
                <w:sz w:val="20"/>
              </w:rPr>
              <w:t>ublication title</w:t>
            </w:r>
          </w:p>
        </w:tc>
        <w:tc>
          <w:tcPr>
            <w:tcW w:w="1102" w:type="pct"/>
            <w:tcBorders>
              <w:top w:val="single" w:sz="4" w:space="0" w:color="auto"/>
              <w:left w:val="single" w:sz="4" w:space="0" w:color="auto"/>
              <w:bottom w:val="single" w:sz="4" w:space="0" w:color="auto"/>
              <w:right w:val="single" w:sz="4" w:space="0" w:color="auto"/>
            </w:tcBorders>
          </w:tcPr>
          <w:p w:rsidR="00D06FD4" w:rsidRPr="00F875E6" w:rsidRDefault="00D06FD4" w:rsidP="0097525A">
            <w:pPr>
              <w:widowControl/>
              <w:jc w:val="center"/>
              <w:rPr>
                <w:rFonts w:ascii="Arial Narrow" w:hAnsi="Arial Narrow"/>
                <w:b/>
                <w:sz w:val="20"/>
              </w:rPr>
            </w:pPr>
            <w:r w:rsidRPr="00F875E6">
              <w:rPr>
                <w:rFonts w:ascii="Arial Narrow" w:hAnsi="Arial Narrow"/>
                <w:b/>
                <w:sz w:val="20"/>
              </w:rPr>
              <w:t>Publication citation</w:t>
            </w:r>
          </w:p>
        </w:tc>
      </w:tr>
      <w:tr w:rsidR="00D06FD4" w:rsidRPr="00F875E6" w:rsidTr="00A76AD8">
        <w:trPr>
          <w:cantSplit/>
          <w:trHeight w:val="57"/>
        </w:trPr>
        <w:tc>
          <w:tcPr>
            <w:tcW w:w="5000" w:type="pct"/>
            <w:gridSpan w:val="3"/>
            <w:tcBorders>
              <w:bottom w:val="single" w:sz="4" w:space="0" w:color="auto"/>
            </w:tcBorders>
          </w:tcPr>
          <w:p w:rsidR="00D06FD4" w:rsidRPr="00F875E6" w:rsidRDefault="00B644EA" w:rsidP="0097525A">
            <w:pPr>
              <w:widowControl/>
              <w:jc w:val="left"/>
              <w:rPr>
                <w:rFonts w:ascii="Arial Narrow" w:hAnsi="Arial Narrow"/>
                <w:b/>
                <w:sz w:val="20"/>
              </w:rPr>
            </w:pPr>
            <w:r w:rsidRPr="00F875E6">
              <w:rPr>
                <w:rFonts w:ascii="Arial Narrow" w:hAnsi="Arial Narrow"/>
                <w:b/>
                <w:sz w:val="20"/>
              </w:rPr>
              <w:t>Ponatinib open-label, non</w:t>
            </w:r>
            <w:r w:rsidR="005B6BD3" w:rsidRPr="00F875E6">
              <w:rPr>
                <w:rFonts w:ascii="Arial Narrow" w:hAnsi="Arial Narrow"/>
                <w:b/>
                <w:sz w:val="20"/>
              </w:rPr>
              <w:t>-</w:t>
            </w:r>
            <w:r w:rsidRPr="00F875E6">
              <w:rPr>
                <w:rFonts w:ascii="Arial Narrow" w:hAnsi="Arial Narrow"/>
                <w:b/>
                <w:sz w:val="20"/>
              </w:rPr>
              <w:t>randomised studies</w:t>
            </w:r>
          </w:p>
        </w:tc>
      </w:tr>
      <w:tr w:rsidR="00B644EA" w:rsidRPr="00F875E6" w:rsidTr="00A76AD8">
        <w:trPr>
          <w:cantSplit/>
          <w:trHeight w:val="57"/>
        </w:trPr>
        <w:tc>
          <w:tcPr>
            <w:tcW w:w="763" w:type="pct"/>
            <w:tcBorders>
              <w:bottom w:val="nil"/>
            </w:tcBorders>
          </w:tcPr>
          <w:p w:rsidR="00B644EA" w:rsidRPr="00F875E6" w:rsidRDefault="00B644EA" w:rsidP="0097525A">
            <w:pPr>
              <w:widowControl/>
              <w:jc w:val="left"/>
              <w:rPr>
                <w:rFonts w:ascii="Arial Narrow" w:hAnsi="Arial Narrow"/>
                <w:sz w:val="20"/>
              </w:rPr>
            </w:pPr>
            <w:r w:rsidRPr="00F875E6">
              <w:rPr>
                <w:rFonts w:ascii="Arial Narrow" w:hAnsi="Arial Narrow"/>
                <w:sz w:val="20"/>
              </w:rPr>
              <w:t>PACE</w:t>
            </w:r>
          </w:p>
        </w:tc>
        <w:tc>
          <w:tcPr>
            <w:tcW w:w="3135" w:type="pct"/>
            <w:tcBorders>
              <w:bottom w:val="nil"/>
            </w:tcBorders>
          </w:tcPr>
          <w:p w:rsidR="00B644EA" w:rsidRDefault="00B644EA" w:rsidP="0097525A">
            <w:pPr>
              <w:widowControl/>
              <w:jc w:val="left"/>
              <w:rPr>
                <w:rFonts w:ascii="Arial Narrow" w:hAnsi="Arial Narrow"/>
                <w:sz w:val="20"/>
              </w:rPr>
            </w:pPr>
            <w:r w:rsidRPr="00F875E6">
              <w:rPr>
                <w:rFonts w:ascii="Arial Narrow" w:hAnsi="Arial Narrow"/>
                <w:sz w:val="20"/>
              </w:rPr>
              <w:t xml:space="preserve">Phase II open-label, nonrandomised, single-arm study in patients with Ph+ leukaemia (CP-CML, AP-CML, BP-CML and Ph+ ALL) resistant or intolerant to prior dasatinib or nilotinib or have the T315I mutation. </w:t>
            </w:r>
          </w:p>
          <w:p w:rsidR="00A76AD8" w:rsidRPr="00F875E6" w:rsidRDefault="00A76AD8" w:rsidP="0097525A">
            <w:pPr>
              <w:widowControl/>
              <w:jc w:val="left"/>
              <w:rPr>
                <w:rFonts w:ascii="Arial Narrow" w:hAnsi="Arial Narrow"/>
                <w:sz w:val="20"/>
              </w:rPr>
            </w:pPr>
          </w:p>
        </w:tc>
        <w:tc>
          <w:tcPr>
            <w:tcW w:w="1102" w:type="pct"/>
            <w:tcBorders>
              <w:bottom w:val="nil"/>
            </w:tcBorders>
          </w:tcPr>
          <w:p w:rsidR="00B644EA" w:rsidRPr="00F875E6" w:rsidRDefault="00B644EA" w:rsidP="0097525A">
            <w:pPr>
              <w:widowControl/>
              <w:jc w:val="left"/>
              <w:rPr>
                <w:rFonts w:ascii="Arial Narrow" w:hAnsi="Arial Narrow"/>
                <w:sz w:val="20"/>
              </w:rPr>
            </w:pPr>
            <w:r w:rsidRPr="00F875E6">
              <w:rPr>
                <w:rFonts w:ascii="Arial Narrow" w:hAnsi="Arial Narrow"/>
                <w:sz w:val="20"/>
              </w:rPr>
              <w:t>13 July 2012</w:t>
            </w:r>
          </w:p>
        </w:tc>
      </w:tr>
      <w:tr w:rsidR="00A76AD8" w:rsidRPr="00F875E6" w:rsidTr="00A76AD8">
        <w:trPr>
          <w:cantSplit/>
          <w:trHeight w:val="57"/>
        </w:trPr>
        <w:tc>
          <w:tcPr>
            <w:tcW w:w="763" w:type="pct"/>
            <w:tcBorders>
              <w:top w:val="nil"/>
              <w:bottom w:val="single" w:sz="4" w:space="0" w:color="auto"/>
            </w:tcBorders>
          </w:tcPr>
          <w:p w:rsidR="00A76AD8" w:rsidRPr="00F875E6" w:rsidRDefault="00A76AD8" w:rsidP="0097525A">
            <w:pPr>
              <w:widowControl/>
              <w:jc w:val="left"/>
              <w:rPr>
                <w:rFonts w:ascii="Arial Narrow" w:hAnsi="Arial Narrow"/>
                <w:sz w:val="20"/>
              </w:rPr>
            </w:pPr>
          </w:p>
        </w:tc>
        <w:tc>
          <w:tcPr>
            <w:tcW w:w="3135" w:type="pct"/>
            <w:tcBorders>
              <w:top w:val="nil"/>
              <w:bottom w:val="single" w:sz="4" w:space="0" w:color="auto"/>
            </w:tcBorders>
          </w:tcPr>
          <w:p w:rsidR="00A76AD8" w:rsidRPr="00F875E6" w:rsidRDefault="00A76AD8" w:rsidP="0097525A">
            <w:pPr>
              <w:widowControl/>
              <w:jc w:val="left"/>
              <w:rPr>
                <w:rFonts w:ascii="Arial Narrow" w:hAnsi="Arial Narrow"/>
                <w:sz w:val="20"/>
              </w:rPr>
            </w:pPr>
            <w:r w:rsidRPr="00F875E6">
              <w:rPr>
                <w:rFonts w:ascii="Arial Narrow" w:hAnsi="Arial Narrow"/>
                <w:sz w:val="20"/>
                <w:lang w:val="fr-FR"/>
              </w:rPr>
              <w:t xml:space="preserve">Cortes JE, Kim DW, Pinilla-Ibarz J, </w:t>
            </w:r>
            <w:r w:rsidRPr="00F875E6">
              <w:rPr>
                <w:rFonts w:ascii="Arial Narrow" w:hAnsi="Arial Narrow"/>
                <w:i/>
                <w:sz w:val="20"/>
                <w:lang w:val="fr-FR"/>
              </w:rPr>
              <w:t>et al</w:t>
            </w:r>
            <w:r w:rsidRPr="00F875E6">
              <w:rPr>
                <w:rFonts w:ascii="Arial Narrow" w:hAnsi="Arial Narrow"/>
                <w:sz w:val="20"/>
                <w:lang w:val="fr-FR"/>
              </w:rPr>
              <w:t xml:space="preserve">. </w:t>
            </w:r>
            <w:r w:rsidRPr="00F875E6">
              <w:rPr>
                <w:rFonts w:ascii="Arial Narrow" w:hAnsi="Arial Narrow"/>
                <w:sz w:val="20"/>
              </w:rPr>
              <w:t>A phase II trial of ponatinib in Philadelphia chromosome-positive leukemias.</w:t>
            </w:r>
          </w:p>
        </w:tc>
        <w:tc>
          <w:tcPr>
            <w:tcW w:w="1102" w:type="pct"/>
            <w:tcBorders>
              <w:top w:val="nil"/>
              <w:bottom w:val="single" w:sz="4" w:space="0" w:color="auto"/>
            </w:tcBorders>
          </w:tcPr>
          <w:p w:rsidR="00A76AD8" w:rsidRPr="00F875E6" w:rsidRDefault="00A76AD8" w:rsidP="0097525A">
            <w:pPr>
              <w:widowControl/>
              <w:jc w:val="left"/>
              <w:rPr>
                <w:rFonts w:ascii="Arial Narrow" w:hAnsi="Arial Narrow"/>
                <w:sz w:val="20"/>
              </w:rPr>
            </w:pPr>
            <w:r w:rsidRPr="00F875E6">
              <w:rPr>
                <w:rFonts w:ascii="Arial Narrow" w:hAnsi="Arial Narrow"/>
                <w:i/>
                <w:sz w:val="20"/>
              </w:rPr>
              <w:t>N Eng J Med</w:t>
            </w:r>
            <w:r w:rsidRPr="00F875E6">
              <w:rPr>
                <w:rFonts w:ascii="Arial Narrow" w:hAnsi="Arial Narrow"/>
                <w:sz w:val="20"/>
              </w:rPr>
              <w:t xml:space="preserve"> 2013; 369(19): 1783-1796.</w:t>
            </w:r>
          </w:p>
        </w:tc>
      </w:tr>
      <w:tr w:rsidR="00B644EA" w:rsidRPr="00F875E6" w:rsidTr="00A76AD8">
        <w:trPr>
          <w:cantSplit/>
          <w:trHeight w:val="57"/>
        </w:trPr>
        <w:tc>
          <w:tcPr>
            <w:tcW w:w="763" w:type="pct"/>
            <w:tcBorders>
              <w:bottom w:val="nil"/>
            </w:tcBorders>
          </w:tcPr>
          <w:p w:rsidR="00B644EA" w:rsidRPr="00F875E6" w:rsidRDefault="00B644EA" w:rsidP="007D4DD5">
            <w:pPr>
              <w:keepNext/>
              <w:widowControl/>
              <w:jc w:val="left"/>
              <w:rPr>
                <w:rFonts w:ascii="Arial Narrow" w:hAnsi="Arial Narrow"/>
                <w:sz w:val="20"/>
              </w:rPr>
            </w:pPr>
            <w:r w:rsidRPr="00F875E6">
              <w:rPr>
                <w:rFonts w:ascii="Arial Narrow" w:hAnsi="Arial Narrow"/>
                <w:sz w:val="20"/>
              </w:rPr>
              <w:t>Study 101</w:t>
            </w:r>
          </w:p>
        </w:tc>
        <w:tc>
          <w:tcPr>
            <w:tcW w:w="3135" w:type="pct"/>
            <w:tcBorders>
              <w:bottom w:val="nil"/>
            </w:tcBorders>
          </w:tcPr>
          <w:p w:rsidR="00B644EA" w:rsidRPr="00F875E6" w:rsidRDefault="00B644EA" w:rsidP="007D4DD5">
            <w:pPr>
              <w:keepNext/>
              <w:widowControl/>
              <w:jc w:val="left"/>
              <w:rPr>
                <w:rFonts w:ascii="Arial Narrow" w:hAnsi="Arial Narrow"/>
                <w:sz w:val="20"/>
                <w:lang w:val="en-GB"/>
              </w:rPr>
            </w:pPr>
            <w:r w:rsidRPr="00F875E6">
              <w:rPr>
                <w:rFonts w:ascii="Arial Narrow" w:hAnsi="Arial Narrow"/>
                <w:sz w:val="20"/>
                <w:lang w:val="en-GB"/>
              </w:rPr>
              <w:t>Phase I open-label, nonrandomised, single-arm dose escalation study, in patients with refractory hematologic malignancies: Ph+ leukaemia (CP-CML, AP-CML, BP-CML and Ph+ ALL), AML, and other hematologic malignancies.</w:t>
            </w:r>
          </w:p>
          <w:p w:rsidR="00B644EA" w:rsidRPr="00F875E6" w:rsidRDefault="00B644EA" w:rsidP="007D4DD5">
            <w:pPr>
              <w:keepNext/>
              <w:widowControl/>
              <w:jc w:val="left"/>
              <w:rPr>
                <w:rFonts w:ascii="Arial Narrow" w:hAnsi="Arial Narrow"/>
                <w:sz w:val="20"/>
              </w:rPr>
            </w:pPr>
          </w:p>
        </w:tc>
        <w:tc>
          <w:tcPr>
            <w:tcW w:w="1102" w:type="pct"/>
            <w:tcBorders>
              <w:bottom w:val="nil"/>
            </w:tcBorders>
          </w:tcPr>
          <w:p w:rsidR="00B644EA" w:rsidRPr="00F875E6" w:rsidRDefault="00B644EA" w:rsidP="007D4DD5">
            <w:pPr>
              <w:keepNext/>
              <w:widowControl/>
              <w:jc w:val="left"/>
              <w:rPr>
                <w:rFonts w:ascii="Arial Narrow" w:hAnsi="Arial Narrow"/>
                <w:sz w:val="20"/>
              </w:rPr>
            </w:pPr>
            <w:r w:rsidRPr="00F875E6">
              <w:rPr>
                <w:rFonts w:ascii="Arial Narrow" w:hAnsi="Arial Narrow"/>
                <w:sz w:val="20"/>
              </w:rPr>
              <w:t>14 June 2012</w:t>
            </w:r>
          </w:p>
          <w:p w:rsidR="00B644EA" w:rsidRPr="00F875E6" w:rsidRDefault="00B644EA" w:rsidP="007D4DD5">
            <w:pPr>
              <w:keepNext/>
              <w:widowControl/>
              <w:jc w:val="left"/>
              <w:rPr>
                <w:rFonts w:ascii="Arial Narrow" w:hAnsi="Arial Narrow"/>
                <w:i/>
                <w:sz w:val="20"/>
              </w:rPr>
            </w:pPr>
          </w:p>
          <w:p w:rsidR="00B644EA" w:rsidRPr="00F875E6" w:rsidRDefault="00B644EA" w:rsidP="007D4DD5">
            <w:pPr>
              <w:keepNext/>
              <w:widowControl/>
              <w:jc w:val="left"/>
              <w:rPr>
                <w:rFonts w:ascii="Arial Narrow" w:hAnsi="Arial Narrow"/>
                <w:b/>
                <w:sz w:val="20"/>
              </w:rPr>
            </w:pPr>
          </w:p>
          <w:p w:rsidR="00B644EA" w:rsidRPr="00F875E6" w:rsidRDefault="00B644EA" w:rsidP="007D4DD5">
            <w:pPr>
              <w:keepNext/>
              <w:widowControl/>
              <w:jc w:val="left"/>
              <w:rPr>
                <w:rFonts w:ascii="Arial Narrow" w:hAnsi="Arial Narrow"/>
                <w:b/>
                <w:sz w:val="20"/>
              </w:rPr>
            </w:pPr>
          </w:p>
          <w:p w:rsidR="00B644EA" w:rsidRPr="00F875E6" w:rsidRDefault="00B644EA" w:rsidP="005C1A9B">
            <w:pPr>
              <w:keepNext/>
              <w:widowControl/>
              <w:jc w:val="left"/>
              <w:rPr>
                <w:rFonts w:ascii="Arial Narrow" w:hAnsi="Arial Narrow"/>
                <w:b/>
                <w:sz w:val="20"/>
              </w:rPr>
            </w:pPr>
          </w:p>
        </w:tc>
      </w:tr>
      <w:tr w:rsidR="00A76AD8" w:rsidRPr="00F875E6" w:rsidTr="00A76AD8">
        <w:trPr>
          <w:cantSplit/>
          <w:trHeight w:val="57"/>
        </w:trPr>
        <w:tc>
          <w:tcPr>
            <w:tcW w:w="763" w:type="pct"/>
            <w:tcBorders>
              <w:top w:val="nil"/>
              <w:bottom w:val="nil"/>
            </w:tcBorders>
          </w:tcPr>
          <w:p w:rsidR="00A76AD8" w:rsidRPr="00F875E6" w:rsidRDefault="00A76AD8" w:rsidP="007D4DD5">
            <w:pPr>
              <w:keepNext/>
              <w:widowControl/>
              <w:jc w:val="left"/>
              <w:rPr>
                <w:rFonts w:ascii="Arial Narrow" w:hAnsi="Arial Narrow"/>
                <w:sz w:val="20"/>
              </w:rPr>
            </w:pPr>
          </w:p>
        </w:tc>
        <w:tc>
          <w:tcPr>
            <w:tcW w:w="3135" w:type="pct"/>
            <w:tcBorders>
              <w:top w:val="nil"/>
              <w:bottom w:val="nil"/>
            </w:tcBorders>
          </w:tcPr>
          <w:p w:rsidR="00A76AD8" w:rsidRPr="00F875E6" w:rsidRDefault="00A76AD8" w:rsidP="00A76AD8">
            <w:pPr>
              <w:keepNext/>
              <w:widowControl/>
              <w:jc w:val="left"/>
              <w:rPr>
                <w:rFonts w:ascii="Arial Narrow" w:hAnsi="Arial Narrow"/>
                <w:sz w:val="20"/>
                <w:lang w:val="en-GB"/>
              </w:rPr>
            </w:pPr>
            <w:r w:rsidRPr="00F875E6">
              <w:rPr>
                <w:rFonts w:ascii="Arial Narrow" w:hAnsi="Arial Narrow"/>
                <w:sz w:val="20"/>
                <w:lang w:val="fr-FR"/>
              </w:rPr>
              <w:t xml:space="preserve">Cortes JE, Kantarjian H, Shah NP, </w:t>
            </w:r>
            <w:r w:rsidRPr="00F875E6">
              <w:rPr>
                <w:rFonts w:ascii="Arial Narrow" w:hAnsi="Arial Narrow"/>
                <w:i/>
                <w:sz w:val="20"/>
                <w:lang w:val="fr-FR"/>
              </w:rPr>
              <w:t>et al</w:t>
            </w:r>
            <w:r w:rsidRPr="00F875E6">
              <w:rPr>
                <w:rFonts w:ascii="Arial Narrow" w:hAnsi="Arial Narrow"/>
                <w:sz w:val="20"/>
                <w:lang w:val="fr-FR"/>
              </w:rPr>
              <w:t xml:space="preserve">. </w:t>
            </w:r>
            <w:r w:rsidRPr="00F875E6">
              <w:rPr>
                <w:rFonts w:ascii="Arial Narrow" w:hAnsi="Arial Narrow"/>
                <w:sz w:val="20"/>
                <w:lang w:val="en-GB"/>
              </w:rPr>
              <w:t>Ponatinib in refractory Philadelphia chromosome-positive leukemias.</w:t>
            </w:r>
          </w:p>
          <w:p w:rsidR="00A76AD8" w:rsidRPr="00F875E6" w:rsidRDefault="00A76AD8" w:rsidP="007D4DD5">
            <w:pPr>
              <w:keepNext/>
              <w:widowControl/>
              <w:jc w:val="left"/>
              <w:rPr>
                <w:rFonts w:ascii="Arial Narrow" w:hAnsi="Arial Narrow"/>
                <w:sz w:val="20"/>
                <w:lang w:val="en-GB"/>
              </w:rPr>
            </w:pPr>
          </w:p>
        </w:tc>
        <w:tc>
          <w:tcPr>
            <w:tcW w:w="1102" w:type="pct"/>
            <w:tcBorders>
              <w:top w:val="nil"/>
              <w:bottom w:val="nil"/>
            </w:tcBorders>
          </w:tcPr>
          <w:p w:rsidR="00A76AD8" w:rsidRPr="00F875E6" w:rsidRDefault="00A76AD8" w:rsidP="00A76AD8">
            <w:pPr>
              <w:keepNext/>
              <w:widowControl/>
              <w:jc w:val="left"/>
              <w:rPr>
                <w:rFonts w:ascii="Arial Narrow" w:hAnsi="Arial Narrow"/>
                <w:sz w:val="20"/>
                <w:lang w:val="en-GB"/>
              </w:rPr>
            </w:pPr>
            <w:r w:rsidRPr="00F875E6">
              <w:rPr>
                <w:rFonts w:ascii="Arial Narrow" w:hAnsi="Arial Narrow"/>
                <w:i/>
                <w:sz w:val="20"/>
                <w:lang w:val="en-GB"/>
              </w:rPr>
              <w:t>N Eng J Med</w:t>
            </w:r>
            <w:r w:rsidRPr="00F875E6">
              <w:rPr>
                <w:rFonts w:ascii="Arial Narrow" w:hAnsi="Arial Narrow"/>
                <w:sz w:val="20"/>
                <w:lang w:val="en-GB"/>
              </w:rPr>
              <w:t xml:space="preserve"> 2012; 367(22): 2075-2088.</w:t>
            </w:r>
          </w:p>
          <w:p w:rsidR="00A76AD8" w:rsidRPr="00F875E6" w:rsidRDefault="00A76AD8" w:rsidP="007D4DD5">
            <w:pPr>
              <w:keepNext/>
              <w:widowControl/>
              <w:jc w:val="left"/>
              <w:rPr>
                <w:rFonts w:ascii="Arial Narrow" w:hAnsi="Arial Narrow"/>
                <w:sz w:val="20"/>
              </w:rPr>
            </w:pPr>
          </w:p>
        </w:tc>
      </w:tr>
      <w:tr w:rsidR="00A76AD8" w:rsidRPr="00F875E6" w:rsidTr="00A76AD8">
        <w:trPr>
          <w:cantSplit/>
          <w:trHeight w:val="57"/>
        </w:trPr>
        <w:tc>
          <w:tcPr>
            <w:tcW w:w="763" w:type="pct"/>
            <w:tcBorders>
              <w:top w:val="nil"/>
              <w:bottom w:val="single" w:sz="4" w:space="0" w:color="auto"/>
            </w:tcBorders>
          </w:tcPr>
          <w:p w:rsidR="00A76AD8" w:rsidRPr="00F875E6" w:rsidRDefault="00A76AD8" w:rsidP="007D4DD5">
            <w:pPr>
              <w:keepNext/>
              <w:widowControl/>
              <w:jc w:val="left"/>
              <w:rPr>
                <w:rFonts w:ascii="Arial Narrow" w:hAnsi="Arial Narrow"/>
                <w:sz w:val="20"/>
              </w:rPr>
            </w:pPr>
          </w:p>
        </w:tc>
        <w:tc>
          <w:tcPr>
            <w:tcW w:w="3135" w:type="pct"/>
            <w:tcBorders>
              <w:top w:val="nil"/>
              <w:bottom w:val="single" w:sz="4" w:space="0" w:color="auto"/>
            </w:tcBorders>
          </w:tcPr>
          <w:p w:rsidR="00A76AD8" w:rsidRPr="00F875E6" w:rsidRDefault="00A76AD8" w:rsidP="007D4DD5">
            <w:pPr>
              <w:keepNext/>
              <w:widowControl/>
              <w:jc w:val="left"/>
              <w:rPr>
                <w:rFonts w:ascii="Arial Narrow" w:hAnsi="Arial Narrow"/>
                <w:sz w:val="20"/>
                <w:lang w:val="en-GB"/>
              </w:rPr>
            </w:pPr>
            <w:r w:rsidRPr="00F875E6">
              <w:rPr>
                <w:rFonts w:ascii="Arial Narrow" w:hAnsi="Arial Narrow"/>
                <w:sz w:val="20"/>
                <w:lang w:val="fr-FR"/>
              </w:rPr>
              <w:t xml:space="preserve">Talpaz M, Cortes JE, Deininger MW, </w:t>
            </w:r>
            <w:r w:rsidRPr="00F875E6">
              <w:rPr>
                <w:rFonts w:ascii="Arial Narrow" w:hAnsi="Arial Narrow"/>
                <w:i/>
                <w:sz w:val="20"/>
                <w:lang w:val="fr-FR"/>
              </w:rPr>
              <w:t>et al</w:t>
            </w:r>
            <w:r w:rsidRPr="00F875E6">
              <w:rPr>
                <w:rFonts w:ascii="Arial Narrow" w:hAnsi="Arial Narrow"/>
                <w:sz w:val="20"/>
                <w:lang w:val="fr-FR"/>
              </w:rPr>
              <w:t xml:space="preserve">. </w:t>
            </w:r>
            <w:r w:rsidRPr="00F875E6">
              <w:rPr>
                <w:rFonts w:ascii="Arial Narrow" w:hAnsi="Arial Narrow"/>
                <w:sz w:val="20"/>
              </w:rPr>
              <w:t>Phase I trial of AP24534 in patients with refractory chronic myeloid leukemia and hematologic malignancies.</w:t>
            </w:r>
          </w:p>
        </w:tc>
        <w:tc>
          <w:tcPr>
            <w:tcW w:w="1102" w:type="pct"/>
            <w:tcBorders>
              <w:top w:val="nil"/>
              <w:bottom w:val="single" w:sz="4" w:space="0" w:color="auto"/>
            </w:tcBorders>
          </w:tcPr>
          <w:p w:rsidR="00A76AD8" w:rsidRPr="00F875E6" w:rsidRDefault="00A76AD8" w:rsidP="007D4DD5">
            <w:pPr>
              <w:keepNext/>
              <w:widowControl/>
              <w:jc w:val="left"/>
              <w:rPr>
                <w:rFonts w:ascii="Arial Narrow" w:hAnsi="Arial Narrow"/>
                <w:sz w:val="20"/>
              </w:rPr>
            </w:pPr>
            <w:r w:rsidRPr="00F875E6">
              <w:rPr>
                <w:rFonts w:ascii="Arial Narrow" w:hAnsi="Arial Narrow"/>
                <w:i/>
                <w:sz w:val="20"/>
              </w:rPr>
              <w:t>Journal of Clinical Oncology</w:t>
            </w:r>
            <w:r w:rsidRPr="00F875E6">
              <w:rPr>
                <w:rFonts w:ascii="Arial Narrow" w:hAnsi="Arial Narrow"/>
                <w:sz w:val="20"/>
              </w:rPr>
              <w:t xml:space="preserve"> 2010;28(15).</w:t>
            </w:r>
          </w:p>
        </w:tc>
      </w:tr>
      <w:tr w:rsidR="00B644EA" w:rsidRPr="00F875E6" w:rsidTr="00A76AD8">
        <w:trPr>
          <w:cantSplit/>
          <w:trHeight w:val="57"/>
        </w:trPr>
        <w:tc>
          <w:tcPr>
            <w:tcW w:w="763" w:type="pct"/>
            <w:shd w:val="clear" w:color="auto" w:fill="auto"/>
          </w:tcPr>
          <w:p w:rsidR="00B644EA" w:rsidRPr="00F875E6" w:rsidRDefault="00B644EA" w:rsidP="00D86357">
            <w:pPr>
              <w:jc w:val="left"/>
              <w:rPr>
                <w:rFonts w:ascii="Arial Narrow" w:hAnsi="Arial Narrow"/>
                <w:sz w:val="20"/>
              </w:rPr>
            </w:pPr>
            <w:r w:rsidRPr="00F875E6">
              <w:rPr>
                <w:rFonts w:ascii="Arial Narrow" w:hAnsi="Arial Narrow"/>
                <w:sz w:val="20"/>
              </w:rPr>
              <w:t>Milojkovic 2014</w:t>
            </w:r>
          </w:p>
        </w:tc>
        <w:tc>
          <w:tcPr>
            <w:tcW w:w="3135" w:type="pct"/>
            <w:shd w:val="clear" w:color="auto" w:fill="auto"/>
          </w:tcPr>
          <w:p w:rsidR="00B644EA" w:rsidRPr="00F875E6" w:rsidRDefault="00B644EA" w:rsidP="00E93A43">
            <w:pPr>
              <w:jc w:val="left"/>
              <w:rPr>
                <w:rFonts w:ascii="Arial Narrow" w:hAnsi="Arial Narrow"/>
                <w:sz w:val="20"/>
                <w:lang w:val="en-GB"/>
              </w:rPr>
            </w:pPr>
            <w:r w:rsidRPr="00F875E6">
              <w:rPr>
                <w:rFonts w:ascii="Arial Narrow" w:hAnsi="Arial Narrow"/>
                <w:sz w:val="20"/>
                <w:lang w:val="fr-FR"/>
              </w:rPr>
              <w:t xml:space="preserve">Milojkovic D, de Lavallade H, Mehta P, </w:t>
            </w:r>
            <w:r w:rsidR="00E93A43" w:rsidRPr="00F875E6">
              <w:rPr>
                <w:rFonts w:ascii="Arial Narrow" w:hAnsi="Arial Narrow"/>
                <w:i/>
                <w:sz w:val="20"/>
                <w:lang w:val="fr-FR"/>
              </w:rPr>
              <w:t>et al.</w:t>
            </w:r>
            <w:r w:rsidRPr="00F875E6">
              <w:rPr>
                <w:rFonts w:ascii="Arial Narrow" w:hAnsi="Arial Narrow"/>
                <w:sz w:val="20"/>
                <w:lang w:val="fr-FR"/>
              </w:rPr>
              <w:t xml:space="preserve"> </w:t>
            </w:r>
            <w:r w:rsidRPr="00F875E6">
              <w:rPr>
                <w:rFonts w:ascii="Arial Narrow" w:hAnsi="Arial Narrow"/>
                <w:sz w:val="20"/>
                <w:lang w:val="en-GB"/>
              </w:rPr>
              <w:t xml:space="preserve">A national experience of the use of ponatinib in patients failing multiple tyrosine kinase inhibitors confirms efficacy in a heavily pre-treated cohort of patients with Ph+ leukaemias. </w:t>
            </w:r>
          </w:p>
        </w:tc>
        <w:tc>
          <w:tcPr>
            <w:tcW w:w="1102" w:type="pct"/>
            <w:shd w:val="clear" w:color="auto" w:fill="auto"/>
          </w:tcPr>
          <w:p w:rsidR="00B644EA" w:rsidRPr="00F875E6" w:rsidRDefault="00B644EA" w:rsidP="00D86357">
            <w:pPr>
              <w:jc w:val="left"/>
              <w:rPr>
                <w:rFonts w:ascii="Arial Narrow" w:hAnsi="Arial Narrow"/>
                <w:sz w:val="20"/>
              </w:rPr>
            </w:pPr>
            <w:r w:rsidRPr="00F875E6">
              <w:rPr>
                <w:rFonts w:ascii="Arial Narrow" w:hAnsi="Arial Narrow"/>
                <w:i/>
                <w:sz w:val="20"/>
                <w:lang w:val="en-GB"/>
              </w:rPr>
              <w:t>Haematologica</w:t>
            </w:r>
            <w:r w:rsidRPr="00F875E6">
              <w:rPr>
                <w:rFonts w:ascii="Arial Narrow" w:hAnsi="Arial Narrow"/>
                <w:sz w:val="20"/>
                <w:lang w:val="en-GB"/>
              </w:rPr>
              <w:t xml:space="preserve"> 2014; 99:333.</w:t>
            </w:r>
          </w:p>
        </w:tc>
      </w:tr>
      <w:tr w:rsidR="00D06FD4" w:rsidRPr="00F875E6" w:rsidTr="00A76AD8">
        <w:trPr>
          <w:cantSplit/>
          <w:trHeight w:val="57"/>
        </w:trPr>
        <w:tc>
          <w:tcPr>
            <w:tcW w:w="5000" w:type="pct"/>
            <w:gridSpan w:val="3"/>
            <w:tcBorders>
              <w:bottom w:val="single" w:sz="4" w:space="0" w:color="auto"/>
            </w:tcBorders>
          </w:tcPr>
          <w:p w:rsidR="00D06FD4" w:rsidRPr="00F875E6" w:rsidRDefault="00B644EA" w:rsidP="009E1789">
            <w:pPr>
              <w:keepNext/>
              <w:widowControl/>
              <w:jc w:val="left"/>
              <w:rPr>
                <w:rFonts w:ascii="Arial Narrow" w:hAnsi="Arial Narrow"/>
                <w:b/>
                <w:sz w:val="20"/>
              </w:rPr>
            </w:pPr>
            <w:r w:rsidRPr="00F875E6">
              <w:rPr>
                <w:rFonts w:ascii="Arial Narrow" w:hAnsi="Arial Narrow"/>
                <w:b/>
                <w:sz w:val="20"/>
              </w:rPr>
              <w:t>Dasatinib studies</w:t>
            </w:r>
          </w:p>
        </w:tc>
      </w:tr>
      <w:tr w:rsidR="00B644EA" w:rsidRPr="00F875E6" w:rsidTr="00A76AD8">
        <w:trPr>
          <w:cantSplit/>
          <w:trHeight w:val="57"/>
        </w:trPr>
        <w:tc>
          <w:tcPr>
            <w:tcW w:w="763" w:type="pct"/>
            <w:shd w:val="clear" w:color="auto" w:fill="auto"/>
          </w:tcPr>
          <w:p w:rsidR="00B644EA" w:rsidRPr="00F875E6" w:rsidRDefault="00B644EA" w:rsidP="009E1789">
            <w:pPr>
              <w:keepNext/>
              <w:widowControl/>
              <w:jc w:val="left"/>
              <w:rPr>
                <w:rFonts w:ascii="Arial Narrow" w:hAnsi="Arial Narrow"/>
                <w:sz w:val="20"/>
              </w:rPr>
            </w:pPr>
            <w:r w:rsidRPr="00F875E6">
              <w:rPr>
                <w:rFonts w:ascii="Arial Narrow" w:hAnsi="Arial Narrow"/>
                <w:sz w:val="20"/>
              </w:rPr>
              <w:t>Muller 2009</w:t>
            </w:r>
          </w:p>
        </w:tc>
        <w:tc>
          <w:tcPr>
            <w:tcW w:w="3135" w:type="pct"/>
            <w:shd w:val="clear" w:color="auto" w:fill="auto"/>
          </w:tcPr>
          <w:p w:rsidR="00B644EA" w:rsidRPr="00F875E6" w:rsidRDefault="00B644EA" w:rsidP="00D86357">
            <w:pPr>
              <w:jc w:val="left"/>
              <w:rPr>
                <w:rFonts w:ascii="Arial Narrow" w:hAnsi="Arial Narrow"/>
                <w:b/>
                <w:sz w:val="20"/>
              </w:rPr>
            </w:pPr>
            <w:r w:rsidRPr="00F875E6">
              <w:rPr>
                <w:rFonts w:ascii="Arial Narrow" w:hAnsi="Arial Narrow"/>
                <w:sz w:val="20"/>
                <w:lang w:val="fr-FR"/>
              </w:rPr>
              <w:t>Muller MC, Cortes JE, Kim DW</w:t>
            </w:r>
            <w:r w:rsidR="00F752CD" w:rsidRPr="00F875E6">
              <w:rPr>
                <w:rFonts w:ascii="Arial Narrow" w:hAnsi="Arial Narrow"/>
                <w:sz w:val="20"/>
                <w:lang w:val="fr-FR"/>
              </w:rPr>
              <w:t>,</w:t>
            </w:r>
            <w:r w:rsidRPr="00F875E6">
              <w:rPr>
                <w:rFonts w:ascii="Arial Narrow" w:hAnsi="Arial Narrow"/>
                <w:sz w:val="20"/>
                <w:lang w:val="fr-FR"/>
              </w:rPr>
              <w:t xml:space="preserve"> </w:t>
            </w:r>
            <w:r w:rsidRPr="00F875E6">
              <w:rPr>
                <w:rFonts w:ascii="Arial Narrow" w:hAnsi="Arial Narrow"/>
                <w:i/>
                <w:sz w:val="20"/>
                <w:lang w:val="fr-FR"/>
              </w:rPr>
              <w:t>et al</w:t>
            </w:r>
            <w:r w:rsidRPr="00F875E6">
              <w:rPr>
                <w:rFonts w:ascii="Arial Narrow" w:hAnsi="Arial Narrow"/>
                <w:sz w:val="20"/>
                <w:lang w:val="fr-FR"/>
              </w:rPr>
              <w:t xml:space="preserve">. </w:t>
            </w:r>
            <w:r w:rsidRPr="00F875E6">
              <w:rPr>
                <w:rFonts w:ascii="Arial Narrow" w:hAnsi="Arial Narrow"/>
                <w:sz w:val="20"/>
              </w:rPr>
              <w:t>Dasatinib treatment of chronic-phase chronic myeloid leukemia: analysis of responses according to preexisting BCR-ABL mutations.</w:t>
            </w:r>
          </w:p>
        </w:tc>
        <w:tc>
          <w:tcPr>
            <w:tcW w:w="1102" w:type="pct"/>
            <w:shd w:val="clear" w:color="auto" w:fill="auto"/>
          </w:tcPr>
          <w:p w:rsidR="00B644EA" w:rsidRPr="00F875E6" w:rsidRDefault="00B644EA" w:rsidP="00D86357">
            <w:pPr>
              <w:jc w:val="left"/>
              <w:rPr>
                <w:rFonts w:ascii="Arial Narrow" w:hAnsi="Arial Narrow"/>
                <w:b/>
                <w:sz w:val="20"/>
              </w:rPr>
            </w:pPr>
            <w:r w:rsidRPr="00F875E6">
              <w:rPr>
                <w:rFonts w:ascii="Arial Narrow" w:hAnsi="Arial Narrow"/>
                <w:i/>
                <w:sz w:val="20"/>
              </w:rPr>
              <w:t>Blood</w:t>
            </w:r>
            <w:r w:rsidRPr="00F875E6">
              <w:rPr>
                <w:rFonts w:ascii="Arial Narrow" w:hAnsi="Arial Narrow"/>
                <w:sz w:val="20"/>
              </w:rPr>
              <w:t xml:space="preserve"> 2009; 114(24): 4944-4953.</w:t>
            </w:r>
          </w:p>
        </w:tc>
      </w:tr>
      <w:tr w:rsidR="00B644EA" w:rsidRPr="00F875E6" w:rsidTr="00A76AD8">
        <w:trPr>
          <w:cantSplit/>
          <w:trHeight w:val="57"/>
        </w:trPr>
        <w:tc>
          <w:tcPr>
            <w:tcW w:w="763" w:type="pct"/>
          </w:tcPr>
          <w:p w:rsidR="00B644EA" w:rsidRPr="00F875E6" w:rsidRDefault="00B644EA" w:rsidP="00D86357">
            <w:pPr>
              <w:jc w:val="left"/>
              <w:rPr>
                <w:rFonts w:ascii="Arial Narrow" w:hAnsi="Arial Narrow"/>
                <w:sz w:val="20"/>
              </w:rPr>
            </w:pPr>
            <w:r w:rsidRPr="00F875E6">
              <w:rPr>
                <w:rFonts w:ascii="Arial Narrow" w:hAnsi="Arial Narrow"/>
                <w:sz w:val="20"/>
              </w:rPr>
              <w:t>Quintas-Cardama 2007</w:t>
            </w:r>
          </w:p>
        </w:tc>
        <w:tc>
          <w:tcPr>
            <w:tcW w:w="3135" w:type="pct"/>
          </w:tcPr>
          <w:p w:rsidR="00B644EA" w:rsidRPr="00F875E6" w:rsidRDefault="00B644EA" w:rsidP="00D86357">
            <w:pPr>
              <w:jc w:val="left"/>
              <w:rPr>
                <w:rFonts w:ascii="Arial Narrow" w:hAnsi="Arial Narrow"/>
                <w:b/>
                <w:sz w:val="20"/>
              </w:rPr>
            </w:pPr>
            <w:r w:rsidRPr="00F875E6">
              <w:rPr>
                <w:rFonts w:ascii="Arial Narrow" w:hAnsi="Arial Narrow"/>
                <w:sz w:val="20"/>
                <w:lang w:val="fr-FR"/>
              </w:rPr>
              <w:t>Quintas-Cardama A, Kantarjian H, Jones D</w:t>
            </w:r>
            <w:r w:rsidR="00F752CD" w:rsidRPr="00F875E6">
              <w:rPr>
                <w:rFonts w:ascii="Arial Narrow" w:hAnsi="Arial Narrow"/>
                <w:sz w:val="20"/>
                <w:lang w:val="fr-FR"/>
              </w:rPr>
              <w:t>,</w:t>
            </w:r>
            <w:r w:rsidRPr="00F875E6">
              <w:rPr>
                <w:rFonts w:ascii="Arial Narrow" w:hAnsi="Arial Narrow"/>
                <w:sz w:val="20"/>
                <w:lang w:val="fr-FR"/>
              </w:rPr>
              <w:t xml:space="preserve"> </w:t>
            </w:r>
            <w:r w:rsidRPr="00F875E6">
              <w:rPr>
                <w:rFonts w:ascii="Arial Narrow" w:hAnsi="Arial Narrow"/>
                <w:i/>
                <w:sz w:val="20"/>
                <w:lang w:val="fr-FR"/>
              </w:rPr>
              <w:t>et al</w:t>
            </w:r>
            <w:r w:rsidRPr="00F875E6">
              <w:rPr>
                <w:rFonts w:ascii="Arial Narrow" w:hAnsi="Arial Narrow"/>
                <w:sz w:val="20"/>
                <w:lang w:val="fr-FR"/>
              </w:rPr>
              <w:t xml:space="preserve">. </w:t>
            </w:r>
            <w:r w:rsidRPr="00F875E6">
              <w:rPr>
                <w:rFonts w:ascii="Arial Narrow" w:hAnsi="Arial Narrow"/>
                <w:sz w:val="20"/>
              </w:rPr>
              <w:t>Dasatinib is active in Philadelphia chromosome-positive chronic myelogenous leukemia after imatinib and nilotinib therapy failure.</w:t>
            </w:r>
          </w:p>
        </w:tc>
        <w:tc>
          <w:tcPr>
            <w:tcW w:w="1102" w:type="pct"/>
          </w:tcPr>
          <w:p w:rsidR="00B644EA" w:rsidRPr="00F875E6" w:rsidRDefault="00B644EA" w:rsidP="00D86357">
            <w:pPr>
              <w:jc w:val="left"/>
              <w:rPr>
                <w:rFonts w:ascii="Arial Narrow" w:hAnsi="Arial Narrow"/>
                <w:b/>
                <w:sz w:val="20"/>
              </w:rPr>
            </w:pPr>
            <w:r w:rsidRPr="00F875E6">
              <w:rPr>
                <w:rFonts w:ascii="Arial Narrow" w:hAnsi="Arial Narrow"/>
                <w:i/>
                <w:sz w:val="20"/>
              </w:rPr>
              <w:t>Blood</w:t>
            </w:r>
            <w:r w:rsidRPr="00F875E6">
              <w:rPr>
                <w:rFonts w:ascii="Arial Narrow" w:hAnsi="Arial Narrow"/>
                <w:sz w:val="20"/>
              </w:rPr>
              <w:t xml:space="preserve"> 2007; 109(2): 497-499.</w:t>
            </w:r>
          </w:p>
        </w:tc>
      </w:tr>
      <w:tr w:rsidR="00D06FD4" w:rsidRPr="00F875E6" w:rsidTr="00A76AD8">
        <w:trPr>
          <w:cantSplit/>
          <w:trHeight w:val="57"/>
        </w:trPr>
        <w:tc>
          <w:tcPr>
            <w:tcW w:w="5000" w:type="pct"/>
            <w:gridSpan w:val="3"/>
          </w:tcPr>
          <w:p w:rsidR="00D06FD4" w:rsidRPr="00F875E6" w:rsidRDefault="00B644EA" w:rsidP="00D06FD4">
            <w:pPr>
              <w:jc w:val="left"/>
              <w:rPr>
                <w:rFonts w:ascii="Arial Narrow" w:hAnsi="Arial Narrow"/>
                <w:b/>
                <w:sz w:val="20"/>
              </w:rPr>
            </w:pPr>
            <w:r w:rsidRPr="00F875E6">
              <w:rPr>
                <w:rFonts w:ascii="Arial Narrow" w:hAnsi="Arial Narrow"/>
                <w:b/>
                <w:sz w:val="20"/>
              </w:rPr>
              <w:t>Nilotinib studies</w:t>
            </w:r>
          </w:p>
        </w:tc>
      </w:tr>
      <w:tr w:rsidR="00B644EA" w:rsidRPr="00F875E6" w:rsidTr="00A76AD8">
        <w:trPr>
          <w:cantSplit/>
          <w:trHeight w:val="57"/>
        </w:trPr>
        <w:tc>
          <w:tcPr>
            <w:tcW w:w="763" w:type="pct"/>
          </w:tcPr>
          <w:p w:rsidR="00B644EA" w:rsidRPr="00F875E6" w:rsidRDefault="00B644EA" w:rsidP="00D86357">
            <w:pPr>
              <w:jc w:val="left"/>
              <w:rPr>
                <w:rFonts w:ascii="Arial Narrow" w:hAnsi="Arial Narrow"/>
                <w:sz w:val="20"/>
              </w:rPr>
            </w:pPr>
            <w:r w:rsidRPr="00F875E6">
              <w:rPr>
                <w:rFonts w:ascii="Arial Narrow" w:hAnsi="Arial Narrow"/>
                <w:sz w:val="20"/>
              </w:rPr>
              <w:t>Giles 2010</w:t>
            </w:r>
          </w:p>
        </w:tc>
        <w:tc>
          <w:tcPr>
            <w:tcW w:w="3135" w:type="pct"/>
          </w:tcPr>
          <w:p w:rsidR="00B644EA" w:rsidRPr="00F875E6" w:rsidRDefault="00B644EA" w:rsidP="00D86357">
            <w:pPr>
              <w:jc w:val="left"/>
              <w:rPr>
                <w:rFonts w:ascii="Arial Narrow" w:hAnsi="Arial Narrow"/>
                <w:b/>
                <w:sz w:val="20"/>
              </w:rPr>
            </w:pPr>
            <w:r w:rsidRPr="00F875E6">
              <w:rPr>
                <w:rFonts w:ascii="Arial Narrow" w:hAnsi="Arial Narrow"/>
                <w:sz w:val="20"/>
                <w:lang w:val="fr-FR"/>
              </w:rPr>
              <w:t>Giles FJ, Abruzzese E, Rosti G</w:t>
            </w:r>
            <w:r w:rsidR="00F752CD" w:rsidRPr="00F875E6">
              <w:rPr>
                <w:rFonts w:ascii="Arial Narrow" w:hAnsi="Arial Narrow"/>
                <w:sz w:val="20"/>
                <w:lang w:val="fr-FR"/>
              </w:rPr>
              <w:t>,</w:t>
            </w:r>
            <w:r w:rsidRPr="00F875E6">
              <w:rPr>
                <w:rFonts w:ascii="Arial Narrow" w:hAnsi="Arial Narrow"/>
                <w:sz w:val="20"/>
                <w:lang w:val="fr-FR"/>
              </w:rPr>
              <w:t xml:space="preserve"> </w:t>
            </w:r>
            <w:r w:rsidRPr="00F875E6">
              <w:rPr>
                <w:rFonts w:ascii="Arial Narrow" w:hAnsi="Arial Narrow"/>
                <w:i/>
                <w:sz w:val="20"/>
                <w:lang w:val="fr-FR"/>
              </w:rPr>
              <w:t>et al</w:t>
            </w:r>
            <w:r w:rsidRPr="00F875E6">
              <w:rPr>
                <w:rFonts w:ascii="Arial Narrow" w:hAnsi="Arial Narrow"/>
                <w:sz w:val="20"/>
                <w:lang w:val="fr-FR"/>
              </w:rPr>
              <w:t xml:space="preserve">. </w:t>
            </w:r>
            <w:r w:rsidRPr="00F875E6">
              <w:rPr>
                <w:rFonts w:ascii="Arial Narrow" w:hAnsi="Arial Narrow"/>
                <w:sz w:val="20"/>
              </w:rPr>
              <w:t>Nilotinib is active in chronic and accelerated phase chronic myeloid leukemia following failure of imatinib and dasatinib therapy.</w:t>
            </w:r>
          </w:p>
        </w:tc>
        <w:tc>
          <w:tcPr>
            <w:tcW w:w="1102" w:type="pct"/>
          </w:tcPr>
          <w:p w:rsidR="00B644EA" w:rsidRPr="00F875E6" w:rsidRDefault="00B644EA" w:rsidP="00D86357">
            <w:pPr>
              <w:jc w:val="left"/>
              <w:rPr>
                <w:rFonts w:ascii="Arial Narrow" w:hAnsi="Arial Narrow"/>
                <w:b/>
                <w:sz w:val="20"/>
              </w:rPr>
            </w:pPr>
            <w:r w:rsidRPr="00F875E6">
              <w:rPr>
                <w:rFonts w:ascii="Arial Narrow" w:hAnsi="Arial Narrow"/>
                <w:i/>
                <w:sz w:val="20"/>
              </w:rPr>
              <w:t>Leukemia</w:t>
            </w:r>
            <w:r w:rsidRPr="00F875E6">
              <w:rPr>
                <w:rFonts w:ascii="Arial Narrow" w:hAnsi="Arial Narrow"/>
                <w:sz w:val="20"/>
              </w:rPr>
              <w:t xml:space="preserve"> 2010; 24(7): 1299-1301.</w:t>
            </w:r>
          </w:p>
        </w:tc>
      </w:tr>
      <w:tr w:rsidR="00B644EA" w:rsidRPr="00F875E6" w:rsidTr="00A76AD8">
        <w:trPr>
          <w:cantSplit/>
          <w:trHeight w:val="57"/>
        </w:trPr>
        <w:tc>
          <w:tcPr>
            <w:tcW w:w="763" w:type="pct"/>
          </w:tcPr>
          <w:p w:rsidR="00B644EA" w:rsidRPr="00F875E6" w:rsidRDefault="00B644EA" w:rsidP="00D86357">
            <w:pPr>
              <w:jc w:val="left"/>
              <w:rPr>
                <w:rFonts w:ascii="Arial Narrow" w:hAnsi="Arial Narrow"/>
                <w:sz w:val="20"/>
              </w:rPr>
            </w:pPr>
            <w:r w:rsidRPr="00F875E6">
              <w:rPr>
                <w:rFonts w:ascii="Arial Narrow" w:hAnsi="Arial Narrow"/>
                <w:sz w:val="20"/>
              </w:rPr>
              <w:t>Nicolini 2009</w:t>
            </w:r>
          </w:p>
        </w:tc>
        <w:tc>
          <w:tcPr>
            <w:tcW w:w="3135" w:type="pct"/>
          </w:tcPr>
          <w:p w:rsidR="00B644EA" w:rsidRPr="00F875E6" w:rsidRDefault="00B644EA" w:rsidP="00D86357">
            <w:pPr>
              <w:jc w:val="left"/>
              <w:rPr>
                <w:rFonts w:ascii="Arial Narrow" w:hAnsi="Arial Narrow"/>
                <w:sz w:val="20"/>
              </w:rPr>
            </w:pPr>
            <w:r w:rsidRPr="00F875E6">
              <w:rPr>
                <w:rFonts w:ascii="Arial Narrow" w:hAnsi="Arial Narrow"/>
                <w:sz w:val="20"/>
                <w:lang w:val="fr-FR"/>
              </w:rPr>
              <w:t>Nicolini FE, Alimena G, Al-Ali HK</w:t>
            </w:r>
            <w:r w:rsidR="00F752CD" w:rsidRPr="00F875E6">
              <w:rPr>
                <w:rFonts w:ascii="Arial Narrow" w:hAnsi="Arial Narrow"/>
                <w:sz w:val="20"/>
                <w:lang w:val="fr-FR"/>
              </w:rPr>
              <w:t>,</w:t>
            </w:r>
            <w:r w:rsidRPr="00F875E6">
              <w:rPr>
                <w:rFonts w:ascii="Arial Narrow" w:hAnsi="Arial Narrow"/>
                <w:sz w:val="20"/>
                <w:lang w:val="fr-FR"/>
              </w:rPr>
              <w:t xml:space="preserve"> </w:t>
            </w:r>
            <w:r w:rsidRPr="00F875E6">
              <w:rPr>
                <w:rFonts w:ascii="Arial Narrow" w:hAnsi="Arial Narrow"/>
                <w:i/>
                <w:sz w:val="20"/>
                <w:lang w:val="fr-FR"/>
              </w:rPr>
              <w:t>et al</w:t>
            </w:r>
            <w:r w:rsidRPr="00F875E6">
              <w:rPr>
                <w:rFonts w:ascii="Arial Narrow" w:hAnsi="Arial Narrow"/>
                <w:sz w:val="20"/>
                <w:lang w:val="fr-FR"/>
              </w:rPr>
              <w:t xml:space="preserve">. </w:t>
            </w:r>
            <w:r w:rsidRPr="00F875E6">
              <w:rPr>
                <w:rFonts w:ascii="Arial Narrow" w:hAnsi="Arial Narrow"/>
                <w:sz w:val="20"/>
              </w:rPr>
              <w:t>Expanding nilotinib access in clinical trials (ENACT) study in adult patients with imatinib-resistant or -intolerant chronic myeloid leukemia: subgroup analysis of patients who failed prior dasatinib therapy.</w:t>
            </w:r>
          </w:p>
        </w:tc>
        <w:tc>
          <w:tcPr>
            <w:tcW w:w="1102" w:type="pct"/>
          </w:tcPr>
          <w:p w:rsidR="00B644EA" w:rsidRPr="00F875E6" w:rsidRDefault="00B644EA" w:rsidP="00D86357">
            <w:pPr>
              <w:jc w:val="left"/>
              <w:rPr>
                <w:rFonts w:ascii="Arial Narrow" w:hAnsi="Arial Narrow"/>
                <w:sz w:val="20"/>
              </w:rPr>
            </w:pPr>
            <w:r w:rsidRPr="00F875E6">
              <w:rPr>
                <w:rFonts w:ascii="Arial Narrow" w:hAnsi="Arial Narrow"/>
                <w:i/>
                <w:sz w:val="20"/>
              </w:rPr>
              <w:t>Haematologica</w:t>
            </w:r>
            <w:r w:rsidRPr="00F875E6">
              <w:rPr>
                <w:rFonts w:ascii="Arial Narrow" w:hAnsi="Arial Narrow"/>
                <w:sz w:val="20"/>
              </w:rPr>
              <w:t xml:space="preserve"> 2009; 94: 257.</w:t>
            </w:r>
          </w:p>
        </w:tc>
      </w:tr>
      <w:tr w:rsidR="00B644EA" w:rsidRPr="00F875E6" w:rsidTr="00A76AD8">
        <w:trPr>
          <w:cantSplit/>
          <w:trHeight w:val="57"/>
        </w:trPr>
        <w:tc>
          <w:tcPr>
            <w:tcW w:w="5000" w:type="pct"/>
            <w:gridSpan w:val="3"/>
          </w:tcPr>
          <w:p w:rsidR="00B644EA" w:rsidRPr="00F875E6" w:rsidRDefault="00B644EA" w:rsidP="00A76AD8">
            <w:pPr>
              <w:keepNext/>
              <w:jc w:val="left"/>
              <w:rPr>
                <w:rFonts w:ascii="Arial Narrow" w:hAnsi="Arial Narrow"/>
                <w:i/>
                <w:sz w:val="20"/>
              </w:rPr>
            </w:pPr>
            <w:r w:rsidRPr="00F875E6">
              <w:rPr>
                <w:rFonts w:ascii="Arial Narrow" w:hAnsi="Arial Narrow"/>
                <w:b/>
                <w:sz w:val="20"/>
              </w:rPr>
              <w:t xml:space="preserve">Dasatinib </w:t>
            </w:r>
            <w:r w:rsidR="005E79F8" w:rsidRPr="00F875E6">
              <w:rPr>
                <w:rFonts w:ascii="Arial Narrow" w:hAnsi="Arial Narrow"/>
                <w:b/>
                <w:sz w:val="20"/>
              </w:rPr>
              <w:t>or</w:t>
            </w:r>
            <w:r w:rsidRPr="00F875E6">
              <w:rPr>
                <w:rFonts w:ascii="Arial Narrow" w:hAnsi="Arial Narrow"/>
                <w:b/>
                <w:sz w:val="20"/>
              </w:rPr>
              <w:t xml:space="preserve"> nilotinib studies</w:t>
            </w:r>
          </w:p>
        </w:tc>
      </w:tr>
      <w:tr w:rsidR="00B644EA" w:rsidRPr="00F875E6" w:rsidTr="00A76AD8">
        <w:trPr>
          <w:cantSplit/>
          <w:trHeight w:val="57"/>
        </w:trPr>
        <w:tc>
          <w:tcPr>
            <w:tcW w:w="763" w:type="pct"/>
          </w:tcPr>
          <w:p w:rsidR="00B644EA" w:rsidRPr="00F875E6" w:rsidRDefault="00B644EA" w:rsidP="00D86357">
            <w:pPr>
              <w:jc w:val="left"/>
              <w:rPr>
                <w:rFonts w:ascii="Arial Narrow" w:hAnsi="Arial Narrow"/>
                <w:sz w:val="20"/>
              </w:rPr>
            </w:pPr>
            <w:r w:rsidRPr="00F875E6">
              <w:rPr>
                <w:rFonts w:ascii="Arial Narrow" w:hAnsi="Arial Narrow"/>
                <w:sz w:val="20"/>
              </w:rPr>
              <w:t>Garcia-Gutierrez 2012</w:t>
            </w:r>
          </w:p>
        </w:tc>
        <w:tc>
          <w:tcPr>
            <w:tcW w:w="3135" w:type="pct"/>
          </w:tcPr>
          <w:p w:rsidR="00B644EA" w:rsidRPr="00F875E6" w:rsidRDefault="00B644EA" w:rsidP="00D86357">
            <w:pPr>
              <w:jc w:val="left"/>
              <w:rPr>
                <w:rFonts w:ascii="Arial Narrow" w:hAnsi="Arial Narrow"/>
                <w:sz w:val="20"/>
              </w:rPr>
            </w:pPr>
            <w:r w:rsidRPr="00F875E6">
              <w:rPr>
                <w:rFonts w:ascii="Arial Narrow" w:hAnsi="Arial Narrow"/>
                <w:sz w:val="20"/>
                <w:lang w:val="fr-FR"/>
              </w:rPr>
              <w:t>Garcia-Gutierrez JV, Maestro B, Casado LF</w:t>
            </w:r>
            <w:r w:rsidR="00F752CD" w:rsidRPr="00F875E6">
              <w:rPr>
                <w:rFonts w:ascii="Arial Narrow" w:hAnsi="Arial Narrow"/>
                <w:sz w:val="20"/>
                <w:lang w:val="fr-FR"/>
              </w:rPr>
              <w:t>,</w:t>
            </w:r>
            <w:r w:rsidRPr="00F875E6">
              <w:rPr>
                <w:rFonts w:ascii="Arial Narrow" w:hAnsi="Arial Narrow"/>
                <w:sz w:val="20"/>
                <w:lang w:val="fr-FR"/>
              </w:rPr>
              <w:t xml:space="preserve"> </w:t>
            </w:r>
            <w:r w:rsidRPr="00F875E6">
              <w:rPr>
                <w:rFonts w:ascii="Arial Narrow" w:hAnsi="Arial Narrow"/>
                <w:i/>
                <w:sz w:val="20"/>
                <w:lang w:val="fr-FR"/>
              </w:rPr>
              <w:t>et al</w:t>
            </w:r>
            <w:r w:rsidRPr="00F875E6">
              <w:rPr>
                <w:rFonts w:ascii="Arial Narrow" w:hAnsi="Arial Narrow"/>
                <w:sz w:val="20"/>
                <w:lang w:val="fr-FR"/>
              </w:rPr>
              <w:t xml:space="preserve">. </w:t>
            </w:r>
            <w:r w:rsidRPr="00F875E6">
              <w:rPr>
                <w:rFonts w:ascii="Arial Narrow" w:hAnsi="Arial Narrow"/>
                <w:sz w:val="20"/>
              </w:rPr>
              <w:t>Outcomes of chronic myeloid leukemia patients who stopped second generation tyrosine kinase inhibitors as second-line treatment. Results of the CML Spanish National Registry.</w:t>
            </w:r>
          </w:p>
        </w:tc>
        <w:tc>
          <w:tcPr>
            <w:tcW w:w="1102" w:type="pct"/>
          </w:tcPr>
          <w:p w:rsidR="00B644EA" w:rsidRPr="00F875E6" w:rsidRDefault="00B644EA" w:rsidP="00D86357">
            <w:pPr>
              <w:jc w:val="left"/>
              <w:rPr>
                <w:rFonts w:ascii="Arial Narrow" w:hAnsi="Arial Narrow"/>
                <w:sz w:val="20"/>
              </w:rPr>
            </w:pPr>
            <w:r w:rsidRPr="00F875E6">
              <w:rPr>
                <w:rFonts w:ascii="Arial Narrow" w:hAnsi="Arial Narrow"/>
                <w:sz w:val="20"/>
              </w:rPr>
              <w:t>ASH Annual Meeting Abstracts 2012; 120(21): 3764.</w:t>
            </w:r>
          </w:p>
        </w:tc>
      </w:tr>
      <w:tr w:rsidR="00B644EA" w:rsidRPr="00F875E6" w:rsidTr="00A76AD8">
        <w:trPr>
          <w:cantSplit/>
          <w:trHeight w:val="57"/>
        </w:trPr>
        <w:tc>
          <w:tcPr>
            <w:tcW w:w="763" w:type="pct"/>
          </w:tcPr>
          <w:p w:rsidR="00B644EA" w:rsidRPr="00F875E6" w:rsidRDefault="00B644EA" w:rsidP="00D86357">
            <w:pPr>
              <w:jc w:val="left"/>
              <w:rPr>
                <w:rFonts w:ascii="Arial Narrow" w:hAnsi="Arial Narrow"/>
                <w:sz w:val="20"/>
              </w:rPr>
            </w:pPr>
            <w:r w:rsidRPr="00F875E6">
              <w:rPr>
                <w:rFonts w:ascii="Arial Narrow" w:hAnsi="Arial Narrow"/>
                <w:sz w:val="20"/>
              </w:rPr>
              <w:t>Garg 2009</w:t>
            </w:r>
          </w:p>
        </w:tc>
        <w:tc>
          <w:tcPr>
            <w:tcW w:w="3135" w:type="pct"/>
          </w:tcPr>
          <w:p w:rsidR="00B644EA" w:rsidRPr="00F875E6" w:rsidRDefault="00B644EA" w:rsidP="00D86357">
            <w:pPr>
              <w:jc w:val="left"/>
              <w:rPr>
                <w:rFonts w:ascii="Arial Narrow" w:hAnsi="Arial Narrow"/>
                <w:sz w:val="20"/>
              </w:rPr>
            </w:pPr>
            <w:r w:rsidRPr="00F875E6">
              <w:rPr>
                <w:rFonts w:ascii="Arial Narrow" w:hAnsi="Arial Narrow"/>
                <w:sz w:val="20"/>
              </w:rPr>
              <w:t>Garg RJ, Kantarjian H, O’Brien S</w:t>
            </w:r>
            <w:r w:rsidR="00F752CD" w:rsidRPr="00F875E6">
              <w:rPr>
                <w:rFonts w:ascii="Arial Narrow" w:hAnsi="Arial Narrow"/>
                <w:sz w:val="20"/>
              </w:rPr>
              <w:t>,</w:t>
            </w:r>
            <w:r w:rsidRPr="00F875E6">
              <w:rPr>
                <w:rFonts w:ascii="Arial Narrow" w:hAnsi="Arial Narrow"/>
                <w:sz w:val="20"/>
              </w:rPr>
              <w:t xml:space="preserve"> </w:t>
            </w:r>
            <w:r w:rsidRPr="00F875E6">
              <w:rPr>
                <w:rFonts w:ascii="Arial Narrow" w:hAnsi="Arial Narrow"/>
                <w:i/>
                <w:sz w:val="20"/>
              </w:rPr>
              <w:t>et al</w:t>
            </w:r>
            <w:r w:rsidRPr="00F875E6">
              <w:rPr>
                <w:rFonts w:ascii="Arial Narrow" w:hAnsi="Arial Narrow"/>
                <w:sz w:val="20"/>
              </w:rPr>
              <w:t>. The use of nilotinib or dasatinib after failure to two prior tyrosine kinase inhibitors: long-term follow up.</w:t>
            </w:r>
          </w:p>
        </w:tc>
        <w:tc>
          <w:tcPr>
            <w:tcW w:w="1102" w:type="pct"/>
          </w:tcPr>
          <w:p w:rsidR="00B644EA" w:rsidRPr="00F875E6" w:rsidRDefault="00B644EA" w:rsidP="00D86357">
            <w:pPr>
              <w:jc w:val="left"/>
              <w:rPr>
                <w:rFonts w:ascii="Arial Narrow" w:hAnsi="Arial Narrow"/>
                <w:sz w:val="20"/>
              </w:rPr>
            </w:pPr>
            <w:r w:rsidRPr="00F875E6">
              <w:rPr>
                <w:rFonts w:ascii="Arial Narrow" w:hAnsi="Arial Narrow"/>
                <w:i/>
                <w:sz w:val="20"/>
              </w:rPr>
              <w:t>Blood</w:t>
            </w:r>
            <w:r w:rsidRPr="00F875E6">
              <w:rPr>
                <w:rFonts w:ascii="Arial Narrow" w:hAnsi="Arial Narrow"/>
                <w:sz w:val="20"/>
              </w:rPr>
              <w:t xml:space="preserve"> 2009; 114(20): 4361-4368. </w:t>
            </w:r>
          </w:p>
        </w:tc>
      </w:tr>
      <w:tr w:rsidR="00B644EA" w:rsidRPr="00F875E6" w:rsidTr="00A76AD8">
        <w:trPr>
          <w:cantSplit/>
          <w:trHeight w:val="57"/>
        </w:trPr>
        <w:tc>
          <w:tcPr>
            <w:tcW w:w="763" w:type="pct"/>
            <w:tcBorders>
              <w:bottom w:val="single" w:sz="4" w:space="0" w:color="auto"/>
            </w:tcBorders>
          </w:tcPr>
          <w:p w:rsidR="00B644EA" w:rsidRPr="00F875E6" w:rsidRDefault="00B644EA" w:rsidP="00D86357">
            <w:pPr>
              <w:jc w:val="left"/>
              <w:rPr>
                <w:rFonts w:ascii="Arial Narrow" w:hAnsi="Arial Narrow"/>
                <w:sz w:val="20"/>
              </w:rPr>
            </w:pPr>
            <w:r w:rsidRPr="00F875E6">
              <w:rPr>
                <w:rFonts w:ascii="Arial Narrow" w:hAnsi="Arial Narrow"/>
                <w:sz w:val="20"/>
              </w:rPr>
              <w:t>Ibrahim 2010</w:t>
            </w:r>
          </w:p>
        </w:tc>
        <w:tc>
          <w:tcPr>
            <w:tcW w:w="3135" w:type="pct"/>
            <w:tcBorders>
              <w:bottom w:val="single" w:sz="4" w:space="0" w:color="auto"/>
            </w:tcBorders>
          </w:tcPr>
          <w:p w:rsidR="00B644EA" w:rsidRPr="00F875E6" w:rsidRDefault="00B644EA" w:rsidP="00D86357">
            <w:pPr>
              <w:jc w:val="left"/>
              <w:rPr>
                <w:rFonts w:ascii="Arial Narrow" w:hAnsi="Arial Narrow"/>
                <w:sz w:val="20"/>
              </w:rPr>
            </w:pPr>
            <w:r w:rsidRPr="00F875E6">
              <w:rPr>
                <w:rFonts w:ascii="Arial Narrow" w:hAnsi="Arial Narrow"/>
                <w:sz w:val="20"/>
                <w:lang w:val="fr-FR"/>
              </w:rPr>
              <w:t>Ibrahim AR, Paliompeis C, Bua M</w:t>
            </w:r>
            <w:r w:rsidR="00F752CD" w:rsidRPr="00F875E6">
              <w:rPr>
                <w:rFonts w:ascii="Arial Narrow" w:hAnsi="Arial Narrow"/>
                <w:sz w:val="20"/>
                <w:lang w:val="fr-FR"/>
              </w:rPr>
              <w:t>,</w:t>
            </w:r>
            <w:r w:rsidRPr="00F875E6">
              <w:rPr>
                <w:rFonts w:ascii="Arial Narrow" w:hAnsi="Arial Narrow"/>
                <w:sz w:val="20"/>
                <w:lang w:val="fr-FR"/>
              </w:rPr>
              <w:t xml:space="preserve"> </w:t>
            </w:r>
            <w:r w:rsidRPr="00F875E6">
              <w:rPr>
                <w:rFonts w:ascii="Arial Narrow" w:hAnsi="Arial Narrow"/>
                <w:i/>
                <w:sz w:val="20"/>
                <w:lang w:val="fr-FR"/>
              </w:rPr>
              <w:t>et al</w:t>
            </w:r>
            <w:r w:rsidRPr="00F875E6">
              <w:rPr>
                <w:rFonts w:ascii="Arial Narrow" w:hAnsi="Arial Narrow"/>
                <w:sz w:val="20"/>
                <w:lang w:val="fr-FR"/>
              </w:rPr>
              <w:t xml:space="preserve">. </w:t>
            </w:r>
            <w:r w:rsidRPr="00F875E6">
              <w:rPr>
                <w:rFonts w:ascii="Arial Narrow" w:hAnsi="Arial Narrow"/>
                <w:sz w:val="20"/>
              </w:rPr>
              <w:t>Efﬁcacy of tyrosine kinase inhibitors (TKI) as third-line therapy in patients with chronic myeloid leukemia in chronic phase who have failed 2 prior lines of TKI therapy.</w:t>
            </w:r>
          </w:p>
        </w:tc>
        <w:tc>
          <w:tcPr>
            <w:tcW w:w="1102" w:type="pct"/>
            <w:tcBorders>
              <w:bottom w:val="single" w:sz="4" w:space="0" w:color="auto"/>
            </w:tcBorders>
          </w:tcPr>
          <w:p w:rsidR="00B644EA" w:rsidRPr="00F875E6" w:rsidRDefault="00B644EA" w:rsidP="00D86357">
            <w:pPr>
              <w:jc w:val="left"/>
              <w:rPr>
                <w:rFonts w:ascii="Arial Narrow" w:hAnsi="Arial Narrow"/>
                <w:sz w:val="20"/>
              </w:rPr>
            </w:pPr>
            <w:r w:rsidRPr="00F875E6">
              <w:rPr>
                <w:rFonts w:ascii="Arial Narrow" w:hAnsi="Arial Narrow"/>
                <w:i/>
                <w:sz w:val="20"/>
              </w:rPr>
              <w:t>Blood</w:t>
            </w:r>
            <w:r w:rsidRPr="00F875E6">
              <w:rPr>
                <w:rFonts w:ascii="Arial Narrow" w:hAnsi="Arial Narrow"/>
                <w:sz w:val="20"/>
              </w:rPr>
              <w:t xml:space="preserve"> 2010: 116(25): 5497-5500.</w:t>
            </w:r>
          </w:p>
        </w:tc>
      </w:tr>
      <w:tr w:rsidR="00B644EA" w:rsidRPr="00F875E6" w:rsidTr="00A76AD8">
        <w:trPr>
          <w:cantSplit/>
          <w:trHeight w:val="57"/>
        </w:trPr>
        <w:tc>
          <w:tcPr>
            <w:tcW w:w="763" w:type="pct"/>
            <w:shd w:val="clear" w:color="auto" w:fill="auto"/>
          </w:tcPr>
          <w:p w:rsidR="00B644EA" w:rsidRPr="00F875E6" w:rsidRDefault="00B644EA" w:rsidP="00D86357">
            <w:pPr>
              <w:jc w:val="left"/>
              <w:rPr>
                <w:rFonts w:ascii="Arial Narrow" w:hAnsi="Arial Narrow"/>
                <w:sz w:val="20"/>
              </w:rPr>
            </w:pPr>
            <w:r w:rsidRPr="00F875E6">
              <w:rPr>
                <w:rFonts w:ascii="Arial Narrow" w:hAnsi="Arial Narrow"/>
                <w:sz w:val="20"/>
              </w:rPr>
              <w:t>Lee 2014</w:t>
            </w:r>
          </w:p>
        </w:tc>
        <w:tc>
          <w:tcPr>
            <w:tcW w:w="3135" w:type="pct"/>
            <w:shd w:val="clear" w:color="auto" w:fill="auto"/>
          </w:tcPr>
          <w:p w:rsidR="00B644EA" w:rsidRPr="00F875E6" w:rsidRDefault="00B644EA" w:rsidP="00E93A43">
            <w:pPr>
              <w:jc w:val="left"/>
              <w:rPr>
                <w:rFonts w:ascii="Arial Narrow" w:hAnsi="Arial Narrow"/>
                <w:sz w:val="20"/>
              </w:rPr>
            </w:pPr>
            <w:r w:rsidRPr="00F875E6">
              <w:rPr>
                <w:rFonts w:ascii="Arial Narrow" w:hAnsi="Arial Narrow"/>
                <w:sz w:val="20"/>
              </w:rPr>
              <w:t xml:space="preserve">Lee SE, Lee MY, Choi SY, </w:t>
            </w:r>
            <w:r w:rsidR="00E93A43" w:rsidRPr="00F875E6">
              <w:rPr>
                <w:rFonts w:ascii="Arial Narrow" w:hAnsi="Arial Narrow"/>
                <w:i/>
                <w:sz w:val="20"/>
              </w:rPr>
              <w:t>et al.</w:t>
            </w:r>
            <w:r w:rsidRPr="00F875E6">
              <w:rPr>
                <w:rFonts w:ascii="Arial Narrow" w:hAnsi="Arial Narrow"/>
                <w:sz w:val="20"/>
              </w:rPr>
              <w:t xml:space="preserve"> Outcomes of third-line BCR-ABL1 tyrosine kinase inhibitors in the treatment failed chronic phase chronic myeloid Leukemia patients who have received two prior T</w:t>
            </w:r>
            <w:r w:rsidR="00511A49" w:rsidRPr="00F875E6">
              <w:rPr>
                <w:rFonts w:ascii="Arial Narrow" w:hAnsi="Arial Narrow"/>
                <w:sz w:val="20"/>
              </w:rPr>
              <w:t>KIs</w:t>
            </w:r>
            <w:r w:rsidRPr="00F875E6">
              <w:rPr>
                <w:rFonts w:ascii="Arial Narrow" w:hAnsi="Arial Narrow"/>
                <w:sz w:val="20"/>
              </w:rPr>
              <w:t xml:space="preserve">. </w:t>
            </w:r>
          </w:p>
        </w:tc>
        <w:tc>
          <w:tcPr>
            <w:tcW w:w="1102" w:type="pct"/>
            <w:shd w:val="clear" w:color="auto" w:fill="auto"/>
          </w:tcPr>
          <w:p w:rsidR="00B644EA" w:rsidRPr="00F875E6" w:rsidRDefault="00B644EA" w:rsidP="00D86357">
            <w:pPr>
              <w:jc w:val="left"/>
              <w:rPr>
                <w:rFonts w:ascii="Arial Narrow" w:hAnsi="Arial Narrow"/>
                <w:i/>
                <w:sz w:val="20"/>
              </w:rPr>
            </w:pPr>
            <w:r w:rsidRPr="00F875E6">
              <w:rPr>
                <w:rFonts w:ascii="Arial Narrow" w:hAnsi="Arial Narrow"/>
                <w:i/>
                <w:sz w:val="20"/>
                <w:lang w:val="fr-FR"/>
              </w:rPr>
              <w:t>Haematologica</w:t>
            </w:r>
            <w:r w:rsidRPr="00F875E6">
              <w:rPr>
                <w:rFonts w:ascii="Arial Narrow" w:hAnsi="Arial Narrow"/>
                <w:sz w:val="20"/>
                <w:lang w:val="fr-FR"/>
              </w:rPr>
              <w:t xml:space="preserve"> 2014; 99:333.</w:t>
            </w:r>
          </w:p>
        </w:tc>
      </w:tr>
      <w:tr w:rsidR="00B644EA" w:rsidRPr="00F875E6" w:rsidTr="00A76AD8">
        <w:trPr>
          <w:cantSplit/>
          <w:trHeight w:val="57"/>
        </w:trPr>
        <w:tc>
          <w:tcPr>
            <w:tcW w:w="763" w:type="pct"/>
          </w:tcPr>
          <w:p w:rsidR="00B644EA" w:rsidRPr="00F875E6" w:rsidRDefault="00B644EA" w:rsidP="00D86357">
            <w:pPr>
              <w:jc w:val="left"/>
              <w:rPr>
                <w:rFonts w:ascii="Arial Narrow" w:hAnsi="Arial Narrow"/>
                <w:sz w:val="20"/>
              </w:rPr>
            </w:pPr>
            <w:r w:rsidRPr="00F875E6">
              <w:rPr>
                <w:rFonts w:ascii="Arial Narrow" w:hAnsi="Arial Narrow"/>
                <w:sz w:val="20"/>
              </w:rPr>
              <w:t>Rossi 2013</w:t>
            </w:r>
          </w:p>
        </w:tc>
        <w:tc>
          <w:tcPr>
            <w:tcW w:w="3135" w:type="pct"/>
          </w:tcPr>
          <w:p w:rsidR="00B644EA" w:rsidRPr="00F875E6" w:rsidRDefault="00B644EA" w:rsidP="00D86357">
            <w:pPr>
              <w:jc w:val="left"/>
              <w:rPr>
                <w:rFonts w:ascii="Arial Narrow" w:hAnsi="Arial Narrow"/>
                <w:sz w:val="20"/>
              </w:rPr>
            </w:pPr>
            <w:r w:rsidRPr="00F875E6">
              <w:rPr>
                <w:rFonts w:ascii="Arial Narrow" w:hAnsi="Arial Narrow"/>
                <w:sz w:val="20"/>
                <w:lang w:val="fr-FR"/>
              </w:rPr>
              <w:t>Rossi AR, Breccia M, Abruzzese E</w:t>
            </w:r>
            <w:r w:rsidR="00F752CD" w:rsidRPr="00F875E6">
              <w:rPr>
                <w:rFonts w:ascii="Arial Narrow" w:hAnsi="Arial Narrow"/>
                <w:sz w:val="20"/>
                <w:lang w:val="fr-FR"/>
              </w:rPr>
              <w:t>,</w:t>
            </w:r>
            <w:r w:rsidRPr="00F875E6">
              <w:rPr>
                <w:rFonts w:ascii="Arial Narrow" w:hAnsi="Arial Narrow"/>
                <w:sz w:val="20"/>
                <w:lang w:val="fr-FR"/>
              </w:rPr>
              <w:t xml:space="preserve"> </w:t>
            </w:r>
            <w:r w:rsidRPr="00F875E6">
              <w:rPr>
                <w:rFonts w:ascii="Arial Narrow" w:hAnsi="Arial Narrow"/>
                <w:i/>
                <w:sz w:val="20"/>
                <w:lang w:val="fr-FR"/>
              </w:rPr>
              <w:t>et al</w:t>
            </w:r>
            <w:r w:rsidRPr="00F875E6">
              <w:rPr>
                <w:rFonts w:ascii="Arial Narrow" w:hAnsi="Arial Narrow"/>
                <w:sz w:val="20"/>
                <w:lang w:val="fr-FR"/>
              </w:rPr>
              <w:t xml:space="preserve">. </w:t>
            </w:r>
            <w:r w:rsidRPr="00F875E6">
              <w:rPr>
                <w:rFonts w:ascii="Arial Narrow" w:hAnsi="Arial Narrow"/>
                <w:sz w:val="20"/>
              </w:rPr>
              <w:t>Outcome of 82 chronic myeloid leukemia patients treated with nilotinib or dasatinib after failure of two prior tyrosine kinase inhibitors.</w:t>
            </w:r>
          </w:p>
        </w:tc>
        <w:tc>
          <w:tcPr>
            <w:tcW w:w="1102" w:type="pct"/>
          </w:tcPr>
          <w:p w:rsidR="00B644EA" w:rsidRPr="00F875E6" w:rsidRDefault="00B644EA" w:rsidP="00D86357">
            <w:pPr>
              <w:jc w:val="left"/>
              <w:rPr>
                <w:rFonts w:ascii="Arial Narrow" w:hAnsi="Arial Narrow"/>
                <w:sz w:val="20"/>
              </w:rPr>
            </w:pPr>
            <w:r w:rsidRPr="00F875E6">
              <w:rPr>
                <w:rFonts w:ascii="Arial Narrow" w:hAnsi="Arial Narrow"/>
                <w:i/>
                <w:sz w:val="20"/>
              </w:rPr>
              <w:t>Haematologica</w:t>
            </w:r>
            <w:r w:rsidRPr="00F875E6">
              <w:rPr>
                <w:rFonts w:ascii="Arial Narrow" w:hAnsi="Arial Narrow"/>
                <w:sz w:val="20"/>
              </w:rPr>
              <w:t xml:space="preserve"> 2013; 98(3): 399-403.</w:t>
            </w:r>
          </w:p>
        </w:tc>
      </w:tr>
    </w:tbl>
    <w:p w:rsidR="00B644EA" w:rsidRPr="00F875E6" w:rsidRDefault="00B644EA" w:rsidP="00B644EA">
      <w:pPr>
        <w:pStyle w:val="TableFooter"/>
        <w:ind w:left="709"/>
      </w:pPr>
      <w:r w:rsidRPr="00F875E6">
        <w:t xml:space="preserve">Source: Table 7, pp55-58 of the </w:t>
      </w:r>
      <w:r w:rsidR="00693B09" w:rsidRPr="00F875E6">
        <w:t>re-</w:t>
      </w:r>
      <w:r w:rsidRPr="00F875E6">
        <w:t>submission</w:t>
      </w:r>
    </w:p>
    <w:p w:rsidR="00B644EA" w:rsidRPr="00F875E6" w:rsidRDefault="00B644EA" w:rsidP="00B644EA">
      <w:pPr>
        <w:pStyle w:val="TableFooter"/>
        <w:ind w:left="709"/>
      </w:pPr>
      <w:r w:rsidRPr="00F875E6">
        <w:t>ALL = acute lymphoblastic leukaemia; AML = acute myeloid leukaemia; AP = accelerated phase; BP = blast phase; CML</w:t>
      </w:r>
      <w:r w:rsidR="001E27FE" w:rsidRPr="00F875E6">
        <w:t> </w:t>
      </w:r>
      <w:r w:rsidRPr="00F875E6">
        <w:t>=</w:t>
      </w:r>
      <w:r w:rsidR="001E27FE" w:rsidRPr="00F875E6">
        <w:t> </w:t>
      </w:r>
      <w:r w:rsidRPr="00F875E6">
        <w:t>chronic myeloid leukaemia; CP = chronic phase; Ph+ = Philadelphia chromosome positive; TKI = tyrosine kinase inhibitor</w:t>
      </w:r>
      <w:r w:rsidR="00693B09" w:rsidRPr="00F875E6">
        <w:t>.</w:t>
      </w:r>
    </w:p>
    <w:p w:rsidR="00B16A39" w:rsidRPr="00F875E6" w:rsidRDefault="00B16A39" w:rsidP="00B644EA">
      <w:pPr>
        <w:pStyle w:val="TableFooter"/>
        <w:ind w:left="709"/>
      </w:pPr>
    </w:p>
    <w:p w:rsidR="00B16A39" w:rsidRPr="00F875E6" w:rsidRDefault="00B16A39" w:rsidP="006679A5">
      <w:pPr>
        <w:pStyle w:val="ListParagraph"/>
      </w:pPr>
      <w:r w:rsidRPr="00F875E6">
        <w:t xml:space="preserve">Lee (2014) was inappropriately included by the </w:t>
      </w:r>
      <w:r w:rsidR="00693B09" w:rsidRPr="00F875E6">
        <w:t>re-</w:t>
      </w:r>
      <w:r w:rsidRPr="00F875E6">
        <w:t xml:space="preserve">submission. </w:t>
      </w:r>
      <w:r w:rsidR="006679A5" w:rsidRPr="00F875E6">
        <w:t>The study included patients treated with dasatinib, nilotinib, radotinib</w:t>
      </w:r>
      <w:r w:rsidR="00693B09" w:rsidRPr="00F875E6">
        <w:t>,</w:t>
      </w:r>
      <w:r w:rsidR="006679A5" w:rsidRPr="00F875E6">
        <w:t xml:space="preserve"> and bosutinib. While major cytogenetic response was reported, the results were not presented by treatment received. </w:t>
      </w:r>
      <w:r w:rsidRPr="00F875E6">
        <w:t>This study was not included during evaluation.</w:t>
      </w:r>
    </w:p>
    <w:p w:rsidR="001B6188" w:rsidRPr="00F875E6" w:rsidRDefault="001B6188" w:rsidP="001B6188">
      <w:pPr>
        <w:widowControl/>
        <w:rPr>
          <w:szCs w:val="22"/>
        </w:rPr>
      </w:pPr>
    </w:p>
    <w:p w:rsidR="00511A49" w:rsidRPr="00F875E6" w:rsidRDefault="00961AF9" w:rsidP="006D1EE0">
      <w:pPr>
        <w:pStyle w:val="ListParagraph"/>
        <w:widowControl/>
        <w:numPr>
          <w:ilvl w:val="1"/>
          <w:numId w:val="4"/>
        </w:numPr>
        <w:rPr>
          <w:szCs w:val="22"/>
        </w:rPr>
      </w:pPr>
      <w:r w:rsidRPr="00F875E6">
        <w:rPr>
          <w:szCs w:val="22"/>
        </w:rPr>
        <w:t xml:space="preserve">The key features of the </w:t>
      </w:r>
      <w:r w:rsidR="00EA31E0" w:rsidRPr="00F875E6">
        <w:rPr>
          <w:szCs w:val="22"/>
        </w:rPr>
        <w:t>non-randomised studies</w:t>
      </w:r>
      <w:r w:rsidRPr="00F875E6">
        <w:rPr>
          <w:szCs w:val="22"/>
        </w:rPr>
        <w:t xml:space="preserve"> are summarised in </w:t>
      </w:r>
      <w:r w:rsidR="00511A49" w:rsidRPr="00F875E6">
        <w:rPr>
          <w:szCs w:val="22"/>
        </w:rPr>
        <w:t>Table 3</w:t>
      </w:r>
      <w:r w:rsidRPr="00F875E6">
        <w:rPr>
          <w:szCs w:val="22"/>
        </w:rPr>
        <w:t>.</w:t>
      </w:r>
    </w:p>
    <w:p w:rsidR="00511A49" w:rsidRPr="00F875E6" w:rsidRDefault="00511A49" w:rsidP="00511A49">
      <w:pPr>
        <w:pStyle w:val="PBACheading1"/>
        <w:numPr>
          <w:ilvl w:val="0"/>
          <w:numId w:val="0"/>
        </w:numPr>
        <w:ind w:left="720" w:hanging="720"/>
      </w:pPr>
    </w:p>
    <w:p w:rsidR="00511A49" w:rsidRPr="00F875E6" w:rsidRDefault="00511A49" w:rsidP="00A76AD8">
      <w:pPr>
        <w:keepNext/>
        <w:widowControl/>
        <w:ind w:firstLine="720"/>
        <w:rPr>
          <w:rStyle w:val="CommentReference"/>
        </w:rPr>
      </w:pPr>
      <w:r w:rsidRPr="00F875E6">
        <w:rPr>
          <w:rStyle w:val="CommentReference"/>
        </w:rPr>
        <w:t>Table 3: Key features of the included evidence</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1"/>
        <w:gridCol w:w="427"/>
        <w:gridCol w:w="1842"/>
        <w:gridCol w:w="565"/>
        <w:gridCol w:w="2556"/>
        <w:gridCol w:w="1843"/>
      </w:tblGrid>
      <w:tr w:rsidR="00511A49" w:rsidRPr="00F875E6" w:rsidTr="004515CA">
        <w:trPr>
          <w:cantSplit/>
          <w:tblHeader/>
        </w:trPr>
        <w:tc>
          <w:tcPr>
            <w:tcW w:w="676" w:type="pct"/>
            <w:shd w:val="clear" w:color="auto" w:fill="auto"/>
            <w:vAlign w:val="center"/>
          </w:tcPr>
          <w:p w:rsidR="00511A49" w:rsidRPr="00F875E6" w:rsidRDefault="00511A49" w:rsidP="00A76AD8">
            <w:pPr>
              <w:keepNext/>
              <w:widowControl/>
              <w:jc w:val="left"/>
              <w:rPr>
                <w:rFonts w:ascii="Arial Narrow" w:hAnsi="Arial Narrow"/>
                <w:b/>
                <w:sz w:val="20"/>
                <w:lang w:val="en-US"/>
              </w:rPr>
            </w:pPr>
            <w:r w:rsidRPr="00F875E6">
              <w:rPr>
                <w:rFonts w:ascii="Arial Narrow" w:hAnsi="Arial Narrow"/>
                <w:b/>
                <w:sz w:val="20"/>
                <w:lang w:val="en-US"/>
              </w:rPr>
              <w:t>Study</w:t>
            </w:r>
          </w:p>
        </w:tc>
        <w:tc>
          <w:tcPr>
            <w:tcW w:w="255" w:type="pct"/>
            <w:shd w:val="clear" w:color="auto" w:fill="auto"/>
            <w:vAlign w:val="center"/>
          </w:tcPr>
          <w:p w:rsidR="00511A49" w:rsidRPr="00F875E6" w:rsidRDefault="00511A49" w:rsidP="00A76AD8">
            <w:pPr>
              <w:keepNext/>
              <w:widowControl/>
              <w:jc w:val="center"/>
              <w:rPr>
                <w:rFonts w:ascii="Arial Narrow" w:hAnsi="Arial Narrow"/>
                <w:b/>
                <w:sz w:val="20"/>
                <w:lang w:val="en-US"/>
              </w:rPr>
            </w:pPr>
            <w:r w:rsidRPr="00F875E6">
              <w:rPr>
                <w:rFonts w:ascii="Arial Narrow" w:hAnsi="Arial Narrow"/>
                <w:b/>
                <w:sz w:val="20"/>
                <w:lang w:val="en-US"/>
              </w:rPr>
              <w:t>N</w:t>
            </w:r>
          </w:p>
        </w:tc>
        <w:tc>
          <w:tcPr>
            <w:tcW w:w="1101" w:type="pct"/>
            <w:shd w:val="clear" w:color="auto" w:fill="auto"/>
            <w:vAlign w:val="center"/>
          </w:tcPr>
          <w:p w:rsidR="00511A49" w:rsidRPr="00F875E6" w:rsidRDefault="00511A49" w:rsidP="00A76AD8">
            <w:pPr>
              <w:keepNext/>
              <w:widowControl/>
              <w:jc w:val="center"/>
              <w:rPr>
                <w:rFonts w:ascii="Arial Narrow" w:hAnsi="Arial Narrow"/>
                <w:b/>
                <w:sz w:val="20"/>
                <w:lang w:val="en-US"/>
              </w:rPr>
            </w:pPr>
            <w:r w:rsidRPr="00F875E6">
              <w:rPr>
                <w:rFonts w:ascii="Arial Narrow" w:hAnsi="Arial Narrow"/>
                <w:b/>
                <w:sz w:val="20"/>
                <w:lang w:val="en-US"/>
              </w:rPr>
              <w:t>Design/ duration</w:t>
            </w:r>
          </w:p>
        </w:tc>
        <w:tc>
          <w:tcPr>
            <w:tcW w:w="338" w:type="pct"/>
            <w:shd w:val="clear" w:color="auto" w:fill="auto"/>
            <w:vAlign w:val="center"/>
          </w:tcPr>
          <w:p w:rsidR="00511A49" w:rsidRPr="00F875E6" w:rsidRDefault="00511A49" w:rsidP="00A76AD8">
            <w:pPr>
              <w:keepNext/>
              <w:widowControl/>
              <w:jc w:val="center"/>
              <w:rPr>
                <w:rFonts w:ascii="Arial Narrow" w:hAnsi="Arial Narrow"/>
                <w:b/>
                <w:sz w:val="20"/>
                <w:lang w:val="en-US"/>
              </w:rPr>
            </w:pPr>
            <w:r w:rsidRPr="00F875E6">
              <w:rPr>
                <w:rFonts w:ascii="Arial Narrow" w:hAnsi="Arial Narrow"/>
                <w:b/>
                <w:sz w:val="20"/>
                <w:lang w:val="en-US"/>
              </w:rPr>
              <w:t>Risk of bias</w:t>
            </w:r>
          </w:p>
        </w:tc>
        <w:tc>
          <w:tcPr>
            <w:tcW w:w="1528" w:type="pct"/>
            <w:shd w:val="clear" w:color="auto" w:fill="auto"/>
            <w:vAlign w:val="center"/>
          </w:tcPr>
          <w:p w:rsidR="00511A49" w:rsidRPr="00F875E6" w:rsidRDefault="00511A49" w:rsidP="00A76AD8">
            <w:pPr>
              <w:keepNext/>
              <w:widowControl/>
              <w:jc w:val="center"/>
              <w:rPr>
                <w:rFonts w:ascii="Arial Narrow" w:hAnsi="Arial Narrow"/>
                <w:b/>
                <w:sz w:val="20"/>
                <w:lang w:val="en-US"/>
              </w:rPr>
            </w:pPr>
            <w:r w:rsidRPr="00F875E6">
              <w:rPr>
                <w:rFonts w:ascii="Arial Narrow" w:hAnsi="Arial Narrow"/>
                <w:b/>
                <w:sz w:val="20"/>
                <w:lang w:val="en-US"/>
              </w:rPr>
              <w:t>Patient population</w:t>
            </w:r>
          </w:p>
        </w:tc>
        <w:tc>
          <w:tcPr>
            <w:tcW w:w="1102" w:type="pct"/>
            <w:shd w:val="clear" w:color="auto" w:fill="auto"/>
            <w:vAlign w:val="center"/>
          </w:tcPr>
          <w:p w:rsidR="00511A49" w:rsidRPr="00F875E6" w:rsidRDefault="00511A49" w:rsidP="00A76AD8">
            <w:pPr>
              <w:keepNext/>
              <w:widowControl/>
              <w:jc w:val="center"/>
              <w:rPr>
                <w:rFonts w:ascii="Arial Narrow" w:hAnsi="Arial Narrow"/>
                <w:b/>
                <w:sz w:val="20"/>
                <w:lang w:val="en-US"/>
              </w:rPr>
            </w:pPr>
            <w:r w:rsidRPr="00F875E6">
              <w:rPr>
                <w:rFonts w:ascii="Arial Narrow" w:hAnsi="Arial Narrow"/>
                <w:b/>
                <w:sz w:val="20"/>
                <w:lang w:val="en-US"/>
              </w:rPr>
              <w:t>Outcomes</w:t>
            </w:r>
          </w:p>
        </w:tc>
      </w:tr>
      <w:tr w:rsidR="00511A49" w:rsidRPr="00F875E6" w:rsidTr="004515CA">
        <w:trPr>
          <w:cantSplit/>
        </w:trPr>
        <w:tc>
          <w:tcPr>
            <w:tcW w:w="5000" w:type="pct"/>
            <w:gridSpan w:val="6"/>
            <w:shd w:val="clear" w:color="auto" w:fill="auto"/>
            <w:vAlign w:val="center"/>
          </w:tcPr>
          <w:p w:rsidR="00511A49" w:rsidRPr="00F875E6" w:rsidRDefault="00511A49" w:rsidP="00A76AD8">
            <w:pPr>
              <w:keepNext/>
              <w:widowControl/>
              <w:jc w:val="left"/>
              <w:rPr>
                <w:rFonts w:ascii="Arial Narrow" w:hAnsi="Arial Narrow"/>
                <w:b/>
                <w:sz w:val="20"/>
                <w:lang w:val="en-US"/>
              </w:rPr>
            </w:pPr>
            <w:r w:rsidRPr="00F875E6">
              <w:rPr>
                <w:rFonts w:ascii="Arial Narrow" w:hAnsi="Arial Narrow"/>
                <w:b/>
                <w:sz w:val="20"/>
                <w:lang w:val="en-US"/>
              </w:rPr>
              <w:t>Ponatinib</w:t>
            </w:r>
          </w:p>
        </w:tc>
      </w:tr>
      <w:tr w:rsidR="00511A49" w:rsidRPr="00F875E6" w:rsidTr="004515CA">
        <w:trPr>
          <w:cantSplit/>
        </w:trPr>
        <w:tc>
          <w:tcPr>
            <w:tcW w:w="676" w:type="pct"/>
            <w:shd w:val="clear" w:color="auto" w:fill="auto"/>
          </w:tcPr>
          <w:p w:rsidR="00511A49" w:rsidRPr="00F875E6" w:rsidRDefault="00511A49" w:rsidP="00A76AD8">
            <w:pPr>
              <w:keepNext/>
              <w:widowControl/>
              <w:jc w:val="left"/>
              <w:rPr>
                <w:rFonts w:ascii="Arial Narrow" w:hAnsi="Arial Narrow"/>
                <w:sz w:val="20"/>
                <w:lang w:val="en-US"/>
              </w:rPr>
            </w:pPr>
            <w:r w:rsidRPr="00F875E6">
              <w:rPr>
                <w:rFonts w:ascii="Arial Narrow" w:hAnsi="Arial Narrow"/>
                <w:sz w:val="20"/>
                <w:szCs w:val="16"/>
                <w:lang w:val="en-US"/>
              </w:rPr>
              <w:t>PACE</w:t>
            </w:r>
          </w:p>
        </w:tc>
        <w:tc>
          <w:tcPr>
            <w:tcW w:w="255" w:type="pct"/>
            <w:shd w:val="clear" w:color="auto" w:fill="auto"/>
          </w:tcPr>
          <w:p w:rsidR="00511A49" w:rsidRPr="00F875E6" w:rsidRDefault="00511A49" w:rsidP="00A76AD8">
            <w:pPr>
              <w:keepNext/>
              <w:widowControl/>
              <w:jc w:val="center"/>
              <w:rPr>
                <w:rFonts w:ascii="Arial Narrow" w:hAnsi="Arial Narrow"/>
                <w:sz w:val="20"/>
                <w:lang w:val="en-US"/>
              </w:rPr>
            </w:pPr>
            <w:r w:rsidRPr="00F875E6">
              <w:rPr>
                <w:rFonts w:ascii="Arial Narrow" w:hAnsi="Arial Narrow"/>
                <w:sz w:val="20"/>
                <w:szCs w:val="16"/>
                <w:lang w:val="en-US"/>
              </w:rPr>
              <w:t>449</w:t>
            </w:r>
          </w:p>
        </w:tc>
        <w:tc>
          <w:tcPr>
            <w:tcW w:w="1101" w:type="pct"/>
            <w:shd w:val="clear" w:color="auto" w:fill="auto"/>
          </w:tcPr>
          <w:p w:rsidR="00511A49" w:rsidRPr="00F875E6" w:rsidRDefault="00511A49" w:rsidP="00A76AD8">
            <w:pPr>
              <w:keepNext/>
              <w:widowControl/>
              <w:jc w:val="left"/>
              <w:rPr>
                <w:rFonts w:ascii="Arial Narrow" w:hAnsi="Arial Narrow"/>
                <w:sz w:val="20"/>
                <w:szCs w:val="16"/>
                <w:lang w:val="en-US"/>
              </w:rPr>
            </w:pPr>
            <w:r w:rsidRPr="00F875E6">
              <w:rPr>
                <w:rFonts w:ascii="Arial Narrow" w:hAnsi="Arial Narrow"/>
                <w:sz w:val="20"/>
                <w:szCs w:val="16"/>
                <w:lang w:val="en-US"/>
              </w:rPr>
              <w:t>Phase II, MC, OL, SA</w:t>
            </w:r>
          </w:p>
          <w:p w:rsidR="00511A49" w:rsidRPr="00F875E6" w:rsidRDefault="00511A49" w:rsidP="00A76AD8">
            <w:pPr>
              <w:keepNext/>
              <w:widowControl/>
              <w:jc w:val="left"/>
              <w:rPr>
                <w:rFonts w:ascii="Arial Narrow" w:hAnsi="Arial Narrow"/>
                <w:sz w:val="20"/>
                <w:lang w:val="en-US"/>
              </w:rPr>
            </w:pPr>
            <w:r w:rsidRPr="00F875E6">
              <w:rPr>
                <w:rFonts w:ascii="Arial Narrow" w:hAnsi="Arial Narrow"/>
                <w:sz w:val="20"/>
                <w:szCs w:val="16"/>
                <w:lang w:val="en-US"/>
              </w:rPr>
              <w:t>9.9 months</w:t>
            </w:r>
          </w:p>
        </w:tc>
        <w:tc>
          <w:tcPr>
            <w:tcW w:w="338" w:type="pct"/>
            <w:shd w:val="clear" w:color="auto" w:fill="auto"/>
          </w:tcPr>
          <w:p w:rsidR="00511A49" w:rsidRPr="00F875E6" w:rsidRDefault="00511A49" w:rsidP="00A76AD8">
            <w:pPr>
              <w:keepNext/>
              <w:widowControl/>
              <w:jc w:val="center"/>
              <w:rPr>
                <w:rFonts w:ascii="Arial Narrow" w:hAnsi="Arial Narrow"/>
                <w:sz w:val="20"/>
                <w:lang w:val="en-US"/>
              </w:rPr>
            </w:pPr>
            <w:r w:rsidRPr="00F875E6">
              <w:rPr>
                <w:rFonts w:ascii="Arial Narrow" w:hAnsi="Arial Narrow"/>
                <w:sz w:val="20"/>
                <w:lang w:val="en-US"/>
              </w:rPr>
              <w:t>High</w:t>
            </w:r>
          </w:p>
        </w:tc>
        <w:tc>
          <w:tcPr>
            <w:tcW w:w="1528" w:type="pct"/>
            <w:shd w:val="clear" w:color="auto" w:fill="auto"/>
            <w:vAlign w:val="center"/>
          </w:tcPr>
          <w:p w:rsidR="00511A49" w:rsidRPr="00F875E6" w:rsidRDefault="00511A49" w:rsidP="00A76AD8">
            <w:pPr>
              <w:keepNext/>
              <w:widowControl/>
              <w:jc w:val="left"/>
              <w:rPr>
                <w:rFonts w:ascii="Arial Narrow" w:hAnsi="Arial Narrow"/>
                <w:sz w:val="20"/>
                <w:szCs w:val="16"/>
                <w:lang w:val="en-US"/>
              </w:rPr>
            </w:pPr>
            <w:r w:rsidRPr="00F875E6">
              <w:rPr>
                <w:rFonts w:ascii="Arial Narrow" w:hAnsi="Arial Narrow"/>
                <w:sz w:val="20"/>
                <w:szCs w:val="16"/>
                <w:lang w:val="en-US"/>
              </w:rPr>
              <w:t>CP (n=270), AP (n=85) and BC CML and Ph+ ALL (n=94):</w:t>
            </w:r>
          </w:p>
          <w:p w:rsidR="00511A49" w:rsidRPr="00F875E6" w:rsidRDefault="00511A49" w:rsidP="00A76AD8">
            <w:pPr>
              <w:keepNext/>
              <w:widowControl/>
              <w:jc w:val="left"/>
              <w:rPr>
                <w:rFonts w:ascii="Arial Narrow" w:hAnsi="Arial Narrow"/>
                <w:sz w:val="20"/>
                <w:szCs w:val="16"/>
                <w:lang w:val="en-US"/>
              </w:rPr>
            </w:pPr>
            <w:r w:rsidRPr="00F875E6">
              <w:rPr>
                <w:rFonts w:ascii="Arial Narrow" w:hAnsi="Arial Narrow"/>
                <w:sz w:val="20"/>
                <w:szCs w:val="16"/>
                <w:lang w:val="en-US"/>
              </w:rPr>
              <w:t xml:space="preserve">- </w:t>
            </w:r>
            <w:r w:rsidR="00693B09" w:rsidRPr="00F875E6">
              <w:rPr>
                <w:rFonts w:ascii="Arial Narrow" w:hAnsi="Arial Narrow"/>
                <w:sz w:val="20"/>
                <w:szCs w:val="16"/>
                <w:lang w:val="en-US"/>
              </w:rPr>
              <w:t>resistant or intolerant of</w:t>
            </w:r>
            <w:r w:rsidRPr="00F875E6">
              <w:rPr>
                <w:rFonts w:ascii="Arial Narrow" w:hAnsi="Arial Narrow"/>
                <w:sz w:val="20"/>
                <w:szCs w:val="16"/>
                <w:lang w:val="en-US"/>
              </w:rPr>
              <w:t xml:space="preserve"> dasatinib or nilotinib; or </w:t>
            </w:r>
          </w:p>
          <w:p w:rsidR="00511A49" w:rsidRPr="00F875E6" w:rsidRDefault="00511A49" w:rsidP="00A76AD8">
            <w:pPr>
              <w:keepNext/>
              <w:widowControl/>
              <w:jc w:val="left"/>
              <w:rPr>
                <w:rFonts w:ascii="Arial Narrow" w:hAnsi="Arial Narrow"/>
                <w:sz w:val="20"/>
                <w:lang w:val="en-US"/>
              </w:rPr>
            </w:pPr>
            <w:r w:rsidRPr="00F875E6">
              <w:rPr>
                <w:rFonts w:ascii="Arial Narrow" w:hAnsi="Arial Narrow"/>
                <w:sz w:val="20"/>
                <w:szCs w:val="16"/>
                <w:lang w:val="en-US"/>
              </w:rPr>
              <w:t>- who have the T315I mutation.</w:t>
            </w:r>
          </w:p>
        </w:tc>
        <w:tc>
          <w:tcPr>
            <w:tcW w:w="1102" w:type="pct"/>
            <w:shd w:val="clear" w:color="auto" w:fill="auto"/>
          </w:tcPr>
          <w:p w:rsidR="00511A49" w:rsidRPr="00F875E6" w:rsidRDefault="00511A49" w:rsidP="00A76AD8">
            <w:pPr>
              <w:keepNext/>
              <w:widowControl/>
              <w:jc w:val="left"/>
              <w:rPr>
                <w:rFonts w:ascii="Arial Narrow" w:hAnsi="Arial Narrow"/>
                <w:sz w:val="20"/>
                <w:szCs w:val="16"/>
                <w:lang w:val="en-US"/>
              </w:rPr>
            </w:pPr>
            <w:r w:rsidRPr="00F875E6">
              <w:rPr>
                <w:rFonts w:ascii="Arial Narrow" w:hAnsi="Arial Narrow"/>
                <w:sz w:val="20"/>
                <w:szCs w:val="16"/>
                <w:u w:val="single"/>
                <w:lang w:val="en-US"/>
              </w:rPr>
              <w:t>CP CML</w:t>
            </w:r>
            <w:r w:rsidRPr="00F875E6">
              <w:rPr>
                <w:rFonts w:ascii="Arial Narrow" w:hAnsi="Arial Narrow"/>
                <w:sz w:val="20"/>
                <w:szCs w:val="16"/>
                <w:lang w:val="en-US"/>
              </w:rPr>
              <w:t>: MCyR (CCyR, PCyR)</w:t>
            </w:r>
          </w:p>
          <w:p w:rsidR="00511A49" w:rsidRPr="00F875E6" w:rsidRDefault="00511A49" w:rsidP="00A76AD8">
            <w:pPr>
              <w:keepNext/>
              <w:widowControl/>
              <w:jc w:val="left"/>
              <w:rPr>
                <w:rFonts w:ascii="Arial Narrow" w:hAnsi="Arial Narrow"/>
                <w:sz w:val="20"/>
                <w:lang w:val="en-US"/>
              </w:rPr>
            </w:pPr>
            <w:r w:rsidRPr="00F875E6">
              <w:rPr>
                <w:rFonts w:ascii="Arial Narrow" w:hAnsi="Arial Narrow"/>
                <w:sz w:val="20"/>
                <w:szCs w:val="16"/>
                <w:u w:val="single"/>
                <w:lang w:val="en-US"/>
              </w:rPr>
              <w:t>AP and BC CML and Ph+ ALL</w:t>
            </w:r>
            <w:r w:rsidRPr="00F875E6">
              <w:rPr>
                <w:rFonts w:ascii="Arial Narrow" w:hAnsi="Arial Narrow"/>
                <w:sz w:val="20"/>
                <w:szCs w:val="16"/>
                <w:lang w:val="en-US"/>
              </w:rPr>
              <w:t>: MHR (CHR or NEL)</w:t>
            </w:r>
          </w:p>
        </w:tc>
      </w:tr>
      <w:tr w:rsidR="00511A49" w:rsidRPr="00F875E6" w:rsidTr="004515CA">
        <w:trPr>
          <w:cantSplit/>
        </w:trPr>
        <w:tc>
          <w:tcPr>
            <w:tcW w:w="676" w:type="pct"/>
            <w:tcBorders>
              <w:bottom w:val="single" w:sz="4" w:space="0" w:color="auto"/>
            </w:tcBorders>
            <w:shd w:val="clear" w:color="auto" w:fill="auto"/>
          </w:tcPr>
          <w:p w:rsidR="00511A49" w:rsidRPr="00F875E6" w:rsidRDefault="00511A49" w:rsidP="00A76AD8">
            <w:pPr>
              <w:keepNext/>
              <w:jc w:val="left"/>
              <w:rPr>
                <w:rFonts w:ascii="Arial Narrow" w:hAnsi="Arial Narrow"/>
                <w:sz w:val="20"/>
                <w:lang w:val="en-US"/>
              </w:rPr>
            </w:pPr>
            <w:r w:rsidRPr="00F875E6">
              <w:rPr>
                <w:rFonts w:ascii="Arial Narrow" w:hAnsi="Arial Narrow"/>
                <w:sz w:val="20"/>
                <w:szCs w:val="16"/>
                <w:lang w:val="en-US"/>
              </w:rPr>
              <w:t>Study 101</w:t>
            </w:r>
          </w:p>
        </w:tc>
        <w:tc>
          <w:tcPr>
            <w:tcW w:w="255" w:type="pct"/>
            <w:tcBorders>
              <w:bottom w:val="single" w:sz="4" w:space="0" w:color="auto"/>
            </w:tcBorders>
            <w:shd w:val="clear" w:color="auto" w:fill="auto"/>
          </w:tcPr>
          <w:p w:rsidR="00511A49" w:rsidRPr="00F875E6" w:rsidRDefault="00511A49" w:rsidP="00A76AD8">
            <w:pPr>
              <w:keepNext/>
              <w:jc w:val="center"/>
              <w:rPr>
                <w:rFonts w:ascii="Arial Narrow" w:hAnsi="Arial Narrow"/>
                <w:sz w:val="20"/>
                <w:szCs w:val="16"/>
                <w:lang w:val="en-US"/>
              </w:rPr>
            </w:pPr>
            <w:r w:rsidRPr="00F875E6">
              <w:rPr>
                <w:rFonts w:ascii="Arial Narrow" w:hAnsi="Arial Narrow"/>
                <w:sz w:val="20"/>
                <w:szCs w:val="16"/>
                <w:lang w:val="en-US"/>
              </w:rPr>
              <w:t>81</w:t>
            </w:r>
          </w:p>
        </w:tc>
        <w:tc>
          <w:tcPr>
            <w:tcW w:w="1101" w:type="pct"/>
            <w:tcBorders>
              <w:bottom w:val="single" w:sz="4" w:space="0" w:color="auto"/>
            </w:tcBorders>
            <w:shd w:val="clear" w:color="auto" w:fill="auto"/>
          </w:tcPr>
          <w:p w:rsidR="00511A49" w:rsidRPr="00F875E6" w:rsidRDefault="00511A49" w:rsidP="00A76AD8">
            <w:pPr>
              <w:keepNext/>
              <w:jc w:val="left"/>
              <w:rPr>
                <w:rFonts w:ascii="Arial Narrow" w:hAnsi="Arial Narrow"/>
                <w:sz w:val="20"/>
                <w:szCs w:val="16"/>
                <w:lang w:val="en-US"/>
              </w:rPr>
            </w:pPr>
            <w:r w:rsidRPr="00F875E6">
              <w:rPr>
                <w:rFonts w:ascii="Arial Narrow" w:hAnsi="Arial Narrow"/>
                <w:sz w:val="20"/>
                <w:szCs w:val="16"/>
                <w:lang w:val="en-US"/>
              </w:rPr>
              <w:t>Phase I, MC, OL, SA;</w:t>
            </w:r>
          </w:p>
          <w:p w:rsidR="00511A49" w:rsidRPr="00F875E6" w:rsidRDefault="00511A49" w:rsidP="00A76AD8">
            <w:pPr>
              <w:keepNext/>
              <w:jc w:val="left"/>
              <w:rPr>
                <w:rFonts w:ascii="Arial Narrow" w:hAnsi="Arial Narrow"/>
                <w:sz w:val="20"/>
                <w:szCs w:val="16"/>
                <w:lang w:val="en-US"/>
              </w:rPr>
            </w:pPr>
            <w:r w:rsidRPr="00F875E6">
              <w:rPr>
                <w:rFonts w:ascii="Arial Narrow" w:hAnsi="Arial Narrow"/>
                <w:sz w:val="20"/>
                <w:szCs w:val="16"/>
                <w:lang w:val="en-US"/>
              </w:rPr>
              <w:t>19.5 months</w:t>
            </w:r>
          </w:p>
        </w:tc>
        <w:tc>
          <w:tcPr>
            <w:tcW w:w="338" w:type="pct"/>
            <w:tcBorders>
              <w:bottom w:val="single" w:sz="4" w:space="0" w:color="auto"/>
            </w:tcBorders>
            <w:shd w:val="clear" w:color="auto" w:fill="auto"/>
          </w:tcPr>
          <w:p w:rsidR="00511A49" w:rsidRPr="00F875E6" w:rsidRDefault="00511A49" w:rsidP="00A76AD8">
            <w:pPr>
              <w:keepNext/>
              <w:jc w:val="center"/>
              <w:rPr>
                <w:rFonts w:ascii="Arial Narrow" w:hAnsi="Arial Narrow"/>
                <w:sz w:val="20"/>
                <w:lang w:val="en-US"/>
              </w:rPr>
            </w:pPr>
            <w:r w:rsidRPr="00F875E6">
              <w:rPr>
                <w:rFonts w:ascii="Arial Narrow" w:hAnsi="Arial Narrow"/>
                <w:sz w:val="20"/>
                <w:lang w:val="en-US"/>
              </w:rPr>
              <w:t>High</w:t>
            </w:r>
          </w:p>
        </w:tc>
        <w:tc>
          <w:tcPr>
            <w:tcW w:w="1528" w:type="pct"/>
            <w:tcBorders>
              <w:bottom w:val="single" w:sz="4" w:space="0" w:color="auto"/>
            </w:tcBorders>
            <w:shd w:val="clear" w:color="auto" w:fill="auto"/>
          </w:tcPr>
          <w:p w:rsidR="00511A49" w:rsidRPr="00F875E6" w:rsidRDefault="00511A49" w:rsidP="00A76AD8">
            <w:pPr>
              <w:keepNext/>
              <w:jc w:val="left"/>
              <w:rPr>
                <w:rFonts w:ascii="Arial Narrow" w:hAnsi="Arial Narrow"/>
                <w:sz w:val="20"/>
                <w:szCs w:val="16"/>
                <w:lang w:val="en-US"/>
              </w:rPr>
            </w:pPr>
            <w:r w:rsidRPr="00F875E6">
              <w:rPr>
                <w:rFonts w:ascii="Arial Narrow" w:hAnsi="Arial Narrow"/>
                <w:sz w:val="20"/>
                <w:szCs w:val="16"/>
                <w:lang w:val="en-US"/>
              </w:rPr>
              <w:t>Refractory haematologic malignancies (CP (n=43), AP (n=9) and BC CML (n=8), Ph + ALL (n=5)) and AML (n=12) and other malignancies (n=4).</w:t>
            </w:r>
          </w:p>
        </w:tc>
        <w:tc>
          <w:tcPr>
            <w:tcW w:w="1102" w:type="pct"/>
            <w:tcBorders>
              <w:bottom w:val="single" w:sz="4" w:space="0" w:color="auto"/>
            </w:tcBorders>
            <w:shd w:val="clear" w:color="auto" w:fill="auto"/>
          </w:tcPr>
          <w:p w:rsidR="00511A49" w:rsidRPr="00F875E6" w:rsidRDefault="00511A49" w:rsidP="00A76AD8">
            <w:pPr>
              <w:keepNext/>
              <w:jc w:val="left"/>
              <w:rPr>
                <w:rFonts w:ascii="Arial Narrow" w:hAnsi="Arial Narrow"/>
                <w:sz w:val="20"/>
                <w:lang w:val="en-US"/>
              </w:rPr>
            </w:pPr>
            <w:r w:rsidRPr="00F875E6">
              <w:rPr>
                <w:rFonts w:ascii="Arial Narrow" w:hAnsi="Arial Narrow"/>
                <w:sz w:val="20"/>
                <w:szCs w:val="16"/>
                <w:lang w:val="en-US"/>
              </w:rPr>
              <w:t>To determine the recommended dose; safety and efficacy.</w:t>
            </w:r>
          </w:p>
        </w:tc>
      </w:tr>
      <w:tr w:rsidR="00511A49" w:rsidRPr="00F875E6" w:rsidTr="004515CA">
        <w:trPr>
          <w:cantSplit/>
        </w:trPr>
        <w:tc>
          <w:tcPr>
            <w:tcW w:w="676" w:type="pct"/>
            <w:shd w:val="clear" w:color="auto" w:fill="auto"/>
          </w:tcPr>
          <w:p w:rsidR="00511A49" w:rsidRPr="00F875E6" w:rsidRDefault="00511A49" w:rsidP="00A76AD8">
            <w:pPr>
              <w:keepNext/>
              <w:jc w:val="left"/>
              <w:rPr>
                <w:rFonts w:ascii="Arial Narrow" w:hAnsi="Arial Narrow"/>
                <w:sz w:val="20"/>
                <w:szCs w:val="16"/>
                <w:lang w:val="en-US"/>
              </w:rPr>
            </w:pPr>
            <w:r w:rsidRPr="00F875E6">
              <w:rPr>
                <w:rFonts w:ascii="Arial Narrow" w:hAnsi="Arial Narrow"/>
                <w:sz w:val="20"/>
              </w:rPr>
              <w:t>Milojkovic 2014</w:t>
            </w:r>
          </w:p>
        </w:tc>
        <w:tc>
          <w:tcPr>
            <w:tcW w:w="255" w:type="pct"/>
            <w:shd w:val="clear" w:color="auto" w:fill="auto"/>
          </w:tcPr>
          <w:p w:rsidR="00511A49" w:rsidRPr="00F875E6" w:rsidRDefault="00511A49" w:rsidP="00A76AD8">
            <w:pPr>
              <w:keepNext/>
              <w:jc w:val="center"/>
              <w:rPr>
                <w:rFonts w:ascii="Arial Narrow" w:hAnsi="Arial Narrow"/>
                <w:sz w:val="20"/>
                <w:szCs w:val="16"/>
                <w:lang w:val="en-US"/>
              </w:rPr>
            </w:pPr>
            <w:r w:rsidRPr="00F875E6">
              <w:rPr>
                <w:rFonts w:ascii="Arial Narrow" w:hAnsi="Arial Narrow"/>
                <w:sz w:val="20"/>
                <w:szCs w:val="16"/>
                <w:lang w:val="en-US"/>
              </w:rPr>
              <w:t>51</w:t>
            </w:r>
          </w:p>
        </w:tc>
        <w:tc>
          <w:tcPr>
            <w:tcW w:w="1101" w:type="pct"/>
            <w:shd w:val="clear" w:color="auto" w:fill="auto"/>
          </w:tcPr>
          <w:p w:rsidR="00511A49" w:rsidRPr="00F875E6" w:rsidRDefault="00511A49" w:rsidP="00A76AD8">
            <w:pPr>
              <w:keepNext/>
              <w:jc w:val="left"/>
              <w:rPr>
                <w:rFonts w:ascii="Arial Narrow" w:hAnsi="Arial Narrow"/>
                <w:sz w:val="20"/>
                <w:szCs w:val="16"/>
                <w:lang w:val="en-US"/>
              </w:rPr>
            </w:pPr>
            <w:r w:rsidRPr="00F875E6">
              <w:rPr>
                <w:rFonts w:ascii="Arial Narrow" w:hAnsi="Arial Narrow"/>
                <w:sz w:val="20"/>
                <w:szCs w:val="16"/>
                <w:lang w:val="en-US"/>
              </w:rPr>
              <w:t>Observational, SA, 9 months</w:t>
            </w:r>
          </w:p>
        </w:tc>
        <w:tc>
          <w:tcPr>
            <w:tcW w:w="338" w:type="pct"/>
            <w:shd w:val="clear" w:color="auto" w:fill="auto"/>
          </w:tcPr>
          <w:p w:rsidR="00511A49" w:rsidRPr="00F875E6" w:rsidRDefault="00511A49" w:rsidP="00A76AD8">
            <w:pPr>
              <w:keepNext/>
              <w:jc w:val="center"/>
              <w:rPr>
                <w:rFonts w:ascii="Arial Narrow" w:hAnsi="Arial Narrow"/>
                <w:sz w:val="20"/>
                <w:lang w:val="en-US"/>
              </w:rPr>
            </w:pPr>
            <w:r w:rsidRPr="00F875E6">
              <w:rPr>
                <w:rFonts w:ascii="Arial Narrow" w:hAnsi="Arial Narrow"/>
                <w:sz w:val="20"/>
                <w:lang w:val="en-US"/>
              </w:rPr>
              <w:t>High</w:t>
            </w:r>
          </w:p>
        </w:tc>
        <w:tc>
          <w:tcPr>
            <w:tcW w:w="1528" w:type="pct"/>
            <w:shd w:val="clear" w:color="auto" w:fill="auto"/>
          </w:tcPr>
          <w:p w:rsidR="00511A49" w:rsidRPr="00F875E6" w:rsidRDefault="00511A49" w:rsidP="00A76AD8">
            <w:pPr>
              <w:keepNext/>
              <w:jc w:val="left"/>
              <w:rPr>
                <w:rFonts w:ascii="Arial Narrow" w:hAnsi="Arial Narrow"/>
                <w:sz w:val="20"/>
              </w:rPr>
            </w:pPr>
            <w:r w:rsidRPr="00F875E6">
              <w:rPr>
                <w:rFonts w:ascii="Arial Narrow" w:hAnsi="Arial Narrow"/>
                <w:sz w:val="20"/>
              </w:rPr>
              <w:t>CP CML (n=51)</w:t>
            </w:r>
          </w:p>
          <w:p w:rsidR="00511A49" w:rsidRPr="00F875E6" w:rsidRDefault="00511A49" w:rsidP="00A76AD8">
            <w:pPr>
              <w:keepNext/>
              <w:jc w:val="left"/>
              <w:rPr>
                <w:rFonts w:ascii="Arial Narrow" w:hAnsi="Arial Narrow"/>
                <w:sz w:val="20"/>
                <w:szCs w:val="16"/>
                <w:lang w:val="en-US"/>
              </w:rPr>
            </w:pPr>
            <w:r w:rsidRPr="00F875E6">
              <w:rPr>
                <w:rFonts w:ascii="Arial Narrow" w:hAnsi="Arial Narrow"/>
                <w:sz w:val="20"/>
              </w:rPr>
              <w:t>With T315l mutation (6/51)</w:t>
            </w:r>
          </w:p>
        </w:tc>
        <w:tc>
          <w:tcPr>
            <w:tcW w:w="1102" w:type="pct"/>
            <w:shd w:val="clear" w:color="auto" w:fill="auto"/>
          </w:tcPr>
          <w:p w:rsidR="00511A49" w:rsidRPr="00F875E6" w:rsidRDefault="00511A49" w:rsidP="00A76AD8">
            <w:pPr>
              <w:keepNext/>
              <w:jc w:val="left"/>
              <w:rPr>
                <w:rFonts w:ascii="Arial Narrow" w:hAnsi="Arial Narrow"/>
                <w:sz w:val="20"/>
                <w:szCs w:val="16"/>
                <w:lang w:val="en-US"/>
              </w:rPr>
            </w:pPr>
            <w:r w:rsidRPr="00F875E6">
              <w:rPr>
                <w:rFonts w:ascii="Arial Narrow" w:hAnsi="Arial Narrow"/>
                <w:sz w:val="20"/>
                <w:szCs w:val="16"/>
                <w:lang w:val="en-US"/>
              </w:rPr>
              <w:t>CCyR, MMR</w:t>
            </w:r>
          </w:p>
        </w:tc>
      </w:tr>
      <w:tr w:rsidR="00511A49" w:rsidRPr="00F875E6" w:rsidTr="004515CA">
        <w:trPr>
          <w:cantSplit/>
        </w:trPr>
        <w:tc>
          <w:tcPr>
            <w:tcW w:w="5000" w:type="pct"/>
            <w:gridSpan w:val="6"/>
            <w:shd w:val="clear" w:color="auto" w:fill="auto"/>
            <w:vAlign w:val="center"/>
          </w:tcPr>
          <w:p w:rsidR="00511A49" w:rsidRPr="00F875E6" w:rsidRDefault="00511A49" w:rsidP="00A76AD8">
            <w:pPr>
              <w:keepNext/>
              <w:jc w:val="left"/>
              <w:rPr>
                <w:rFonts w:ascii="Arial Narrow" w:hAnsi="Arial Narrow"/>
                <w:b/>
                <w:sz w:val="20"/>
                <w:lang w:val="en-US"/>
              </w:rPr>
            </w:pPr>
            <w:r w:rsidRPr="00F875E6">
              <w:rPr>
                <w:rFonts w:ascii="Arial Narrow" w:hAnsi="Arial Narrow"/>
                <w:b/>
                <w:sz w:val="20"/>
                <w:lang w:val="en-US"/>
              </w:rPr>
              <w:t>Dasatinib</w:t>
            </w:r>
          </w:p>
        </w:tc>
      </w:tr>
      <w:tr w:rsidR="00511A49" w:rsidRPr="00F875E6" w:rsidTr="004515CA">
        <w:trPr>
          <w:cantSplit/>
        </w:trPr>
        <w:tc>
          <w:tcPr>
            <w:tcW w:w="676" w:type="pct"/>
            <w:tcBorders>
              <w:bottom w:val="single" w:sz="4" w:space="0" w:color="auto"/>
            </w:tcBorders>
            <w:shd w:val="clear" w:color="auto" w:fill="auto"/>
          </w:tcPr>
          <w:p w:rsidR="00511A49" w:rsidRPr="00F875E6" w:rsidRDefault="00511A49" w:rsidP="00A76AD8">
            <w:pPr>
              <w:keepNext/>
              <w:jc w:val="left"/>
              <w:rPr>
                <w:rFonts w:ascii="Arial Narrow" w:hAnsi="Arial Narrow"/>
                <w:sz w:val="20"/>
                <w:szCs w:val="16"/>
                <w:lang w:val="en-US"/>
              </w:rPr>
            </w:pPr>
            <w:r w:rsidRPr="00F875E6">
              <w:rPr>
                <w:rFonts w:ascii="Arial Narrow" w:hAnsi="Arial Narrow"/>
                <w:sz w:val="20"/>
                <w:szCs w:val="16"/>
                <w:lang w:val="en-US"/>
              </w:rPr>
              <w:t>Quintas-Cardama 2007</w:t>
            </w:r>
          </w:p>
        </w:tc>
        <w:tc>
          <w:tcPr>
            <w:tcW w:w="255" w:type="pct"/>
            <w:tcBorders>
              <w:bottom w:val="single" w:sz="4" w:space="0" w:color="auto"/>
            </w:tcBorders>
            <w:shd w:val="clear" w:color="auto" w:fill="auto"/>
          </w:tcPr>
          <w:p w:rsidR="00511A49" w:rsidRPr="00F875E6" w:rsidRDefault="00511A49" w:rsidP="00A76AD8">
            <w:pPr>
              <w:keepNext/>
              <w:jc w:val="center"/>
              <w:rPr>
                <w:rFonts w:ascii="Arial Narrow" w:hAnsi="Arial Narrow"/>
                <w:sz w:val="20"/>
                <w:szCs w:val="16"/>
                <w:lang w:val="en-US"/>
              </w:rPr>
            </w:pPr>
            <w:r w:rsidRPr="00F875E6">
              <w:rPr>
                <w:rFonts w:ascii="Arial Narrow" w:hAnsi="Arial Narrow"/>
                <w:sz w:val="20"/>
                <w:szCs w:val="16"/>
                <w:lang w:val="en-US"/>
              </w:rPr>
              <w:t>23</w:t>
            </w:r>
          </w:p>
        </w:tc>
        <w:tc>
          <w:tcPr>
            <w:tcW w:w="1101" w:type="pct"/>
            <w:tcBorders>
              <w:bottom w:val="single" w:sz="4" w:space="0" w:color="auto"/>
            </w:tcBorders>
            <w:shd w:val="clear" w:color="auto" w:fill="auto"/>
          </w:tcPr>
          <w:p w:rsidR="00511A49" w:rsidRPr="00F875E6" w:rsidRDefault="00511A49" w:rsidP="00A76AD8">
            <w:pPr>
              <w:keepNext/>
              <w:jc w:val="left"/>
              <w:rPr>
                <w:rFonts w:ascii="Arial Narrow" w:hAnsi="Arial Narrow"/>
                <w:sz w:val="20"/>
                <w:szCs w:val="16"/>
                <w:lang w:val="en-US"/>
              </w:rPr>
            </w:pPr>
            <w:r w:rsidRPr="00F875E6">
              <w:rPr>
                <w:rFonts w:ascii="Arial Narrow" w:hAnsi="Arial Narrow"/>
                <w:sz w:val="20"/>
                <w:szCs w:val="16"/>
                <w:lang w:val="en-US"/>
              </w:rPr>
              <w:t>Observational, SC, SA;</w:t>
            </w:r>
          </w:p>
          <w:p w:rsidR="00511A49" w:rsidRPr="00F875E6" w:rsidRDefault="00511A49" w:rsidP="00A76AD8">
            <w:pPr>
              <w:keepNext/>
              <w:jc w:val="left"/>
              <w:rPr>
                <w:rFonts w:ascii="Arial Narrow" w:hAnsi="Arial Narrow"/>
                <w:sz w:val="20"/>
                <w:szCs w:val="16"/>
                <w:lang w:val="en-US"/>
              </w:rPr>
            </w:pPr>
            <w:r w:rsidRPr="00F875E6">
              <w:rPr>
                <w:rFonts w:ascii="Arial Narrow" w:hAnsi="Arial Narrow"/>
                <w:sz w:val="20"/>
                <w:szCs w:val="16"/>
                <w:lang w:val="en-US"/>
              </w:rPr>
              <w:t>7.8 months</w:t>
            </w:r>
          </w:p>
        </w:tc>
        <w:tc>
          <w:tcPr>
            <w:tcW w:w="338" w:type="pct"/>
            <w:tcBorders>
              <w:bottom w:val="single" w:sz="4" w:space="0" w:color="auto"/>
            </w:tcBorders>
            <w:shd w:val="clear" w:color="auto" w:fill="auto"/>
          </w:tcPr>
          <w:p w:rsidR="00511A49" w:rsidRPr="00F875E6" w:rsidRDefault="00511A49" w:rsidP="00A76AD8">
            <w:pPr>
              <w:keepNext/>
              <w:jc w:val="center"/>
              <w:rPr>
                <w:rFonts w:ascii="Arial Narrow" w:hAnsi="Arial Narrow"/>
                <w:sz w:val="20"/>
                <w:lang w:val="en-US"/>
              </w:rPr>
            </w:pPr>
            <w:r w:rsidRPr="00F875E6">
              <w:rPr>
                <w:rFonts w:ascii="Arial Narrow" w:hAnsi="Arial Narrow"/>
                <w:sz w:val="20"/>
                <w:lang w:val="en-US"/>
              </w:rPr>
              <w:t>High</w:t>
            </w:r>
          </w:p>
        </w:tc>
        <w:tc>
          <w:tcPr>
            <w:tcW w:w="1528" w:type="pct"/>
            <w:tcBorders>
              <w:bottom w:val="single" w:sz="4" w:space="0" w:color="auto"/>
            </w:tcBorders>
            <w:shd w:val="clear" w:color="auto" w:fill="auto"/>
          </w:tcPr>
          <w:p w:rsidR="00511A49" w:rsidRPr="00F875E6" w:rsidRDefault="00511A49" w:rsidP="00A76AD8">
            <w:pPr>
              <w:keepNext/>
              <w:jc w:val="left"/>
              <w:rPr>
                <w:rFonts w:ascii="Arial Narrow" w:hAnsi="Arial Narrow"/>
                <w:sz w:val="20"/>
                <w:szCs w:val="16"/>
                <w:lang w:val="en-US"/>
              </w:rPr>
            </w:pPr>
            <w:r w:rsidRPr="00F875E6">
              <w:rPr>
                <w:rFonts w:ascii="Arial Narrow" w:hAnsi="Arial Narrow"/>
                <w:sz w:val="20"/>
                <w:szCs w:val="16"/>
                <w:lang w:val="en-US"/>
              </w:rPr>
              <w:t>CP (n=4), AP and BC CML (n=19):</w:t>
            </w:r>
          </w:p>
          <w:p w:rsidR="00511A49" w:rsidRPr="00F875E6" w:rsidRDefault="00511A49" w:rsidP="00A76AD8">
            <w:pPr>
              <w:keepNext/>
              <w:jc w:val="left"/>
              <w:rPr>
                <w:rFonts w:ascii="Arial Narrow" w:hAnsi="Arial Narrow"/>
                <w:sz w:val="20"/>
                <w:szCs w:val="16"/>
                <w:lang w:val="en-US"/>
              </w:rPr>
            </w:pPr>
            <w:r w:rsidRPr="00F875E6">
              <w:rPr>
                <w:rFonts w:ascii="Arial Narrow" w:hAnsi="Arial Narrow"/>
                <w:sz w:val="20"/>
                <w:szCs w:val="16"/>
                <w:lang w:val="en-US"/>
              </w:rPr>
              <w:t>- resistant or intolerant to imatinib and nilotinib.</w:t>
            </w:r>
          </w:p>
        </w:tc>
        <w:tc>
          <w:tcPr>
            <w:tcW w:w="1102" w:type="pct"/>
            <w:tcBorders>
              <w:bottom w:val="single" w:sz="4" w:space="0" w:color="auto"/>
            </w:tcBorders>
            <w:shd w:val="clear" w:color="auto" w:fill="auto"/>
          </w:tcPr>
          <w:p w:rsidR="00511A49" w:rsidRPr="00F875E6" w:rsidRDefault="00511A49" w:rsidP="00A76AD8">
            <w:pPr>
              <w:keepNext/>
              <w:jc w:val="left"/>
              <w:rPr>
                <w:rFonts w:ascii="Arial Narrow" w:hAnsi="Arial Narrow"/>
                <w:sz w:val="20"/>
                <w:lang w:val="en-US"/>
              </w:rPr>
            </w:pPr>
            <w:r w:rsidRPr="00F875E6">
              <w:rPr>
                <w:rFonts w:ascii="Arial Narrow" w:hAnsi="Arial Narrow"/>
                <w:sz w:val="20"/>
                <w:szCs w:val="16"/>
                <w:lang w:val="en-US"/>
              </w:rPr>
              <w:t>CHR, CCyR, PCyR,</w:t>
            </w:r>
          </w:p>
        </w:tc>
      </w:tr>
      <w:tr w:rsidR="00511A49" w:rsidRPr="00F875E6" w:rsidTr="004515CA">
        <w:trPr>
          <w:cantSplit/>
        </w:trPr>
        <w:tc>
          <w:tcPr>
            <w:tcW w:w="676" w:type="pct"/>
            <w:shd w:val="clear" w:color="auto" w:fill="auto"/>
          </w:tcPr>
          <w:p w:rsidR="00511A49" w:rsidRPr="00F875E6" w:rsidRDefault="00511A49" w:rsidP="00A76AD8">
            <w:pPr>
              <w:keepNext/>
              <w:jc w:val="left"/>
              <w:rPr>
                <w:rFonts w:ascii="Arial Narrow" w:hAnsi="Arial Narrow"/>
                <w:sz w:val="20"/>
                <w:szCs w:val="16"/>
                <w:lang w:val="en-US"/>
              </w:rPr>
            </w:pPr>
            <w:r w:rsidRPr="00F875E6">
              <w:rPr>
                <w:rFonts w:ascii="Arial Narrow" w:hAnsi="Arial Narrow"/>
                <w:sz w:val="20"/>
                <w:szCs w:val="16"/>
                <w:lang w:val="en-US"/>
              </w:rPr>
              <w:t>Muller 2009</w:t>
            </w:r>
          </w:p>
        </w:tc>
        <w:tc>
          <w:tcPr>
            <w:tcW w:w="255" w:type="pct"/>
            <w:shd w:val="clear" w:color="auto" w:fill="auto"/>
          </w:tcPr>
          <w:p w:rsidR="00511A49" w:rsidRPr="00F875E6" w:rsidRDefault="00511A49" w:rsidP="00A76AD8">
            <w:pPr>
              <w:keepNext/>
              <w:jc w:val="center"/>
              <w:rPr>
                <w:rFonts w:ascii="Arial Narrow" w:hAnsi="Arial Narrow"/>
                <w:sz w:val="20"/>
                <w:szCs w:val="16"/>
                <w:lang w:val="en-US"/>
              </w:rPr>
            </w:pPr>
            <w:r w:rsidRPr="00F875E6">
              <w:rPr>
                <w:rFonts w:ascii="Arial Narrow" w:hAnsi="Arial Narrow"/>
                <w:sz w:val="20"/>
                <w:szCs w:val="16"/>
                <w:lang w:val="en-US"/>
              </w:rPr>
              <w:t>21</w:t>
            </w:r>
          </w:p>
        </w:tc>
        <w:tc>
          <w:tcPr>
            <w:tcW w:w="1101" w:type="pct"/>
            <w:shd w:val="clear" w:color="auto" w:fill="auto"/>
          </w:tcPr>
          <w:p w:rsidR="00511A49" w:rsidRPr="00F875E6" w:rsidRDefault="00511A49" w:rsidP="00A76AD8">
            <w:pPr>
              <w:keepNext/>
              <w:jc w:val="left"/>
              <w:rPr>
                <w:rFonts w:ascii="Arial Narrow" w:hAnsi="Arial Narrow"/>
                <w:sz w:val="20"/>
                <w:szCs w:val="16"/>
                <w:lang w:val="en-US"/>
              </w:rPr>
            </w:pPr>
            <w:r w:rsidRPr="00F875E6">
              <w:rPr>
                <w:rFonts w:ascii="Arial Narrow" w:hAnsi="Arial Narrow"/>
                <w:sz w:val="20"/>
                <w:szCs w:val="16"/>
                <w:lang w:val="en-US"/>
              </w:rPr>
              <w:t>Subgroup analyses of 3 studies;</w:t>
            </w:r>
          </w:p>
          <w:p w:rsidR="00511A49" w:rsidRPr="00F875E6" w:rsidRDefault="00511A49" w:rsidP="00A76AD8">
            <w:pPr>
              <w:keepNext/>
              <w:jc w:val="left"/>
              <w:rPr>
                <w:rFonts w:ascii="Arial Narrow" w:hAnsi="Arial Narrow"/>
                <w:sz w:val="20"/>
                <w:szCs w:val="16"/>
                <w:lang w:val="en-US"/>
              </w:rPr>
            </w:pPr>
            <w:r w:rsidRPr="00F875E6">
              <w:rPr>
                <w:rFonts w:ascii="Arial Narrow" w:hAnsi="Arial Narrow"/>
                <w:sz w:val="20"/>
                <w:szCs w:val="16"/>
                <w:lang w:val="en-US"/>
              </w:rPr>
              <w:t>Duration not reported</w:t>
            </w:r>
          </w:p>
        </w:tc>
        <w:tc>
          <w:tcPr>
            <w:tcW w:w="338" w:type="pct"/>
            <w:shd w:val="clear" w:color="auto" w:fill="auto"/>
          </w:tcPr>
          <w:p w:rsidR="00511A49" w:rsidRPr="00F875E6" w:rsidRDefault="00511A49" w:rsidP="00A76AD8">
            <w:pPr>
              <w:keepNext/>
              <w:jc w:val="center"/>
              <w:rPr>
                <w:rFonts w:ascii="Arial Narrow" w:hAnsi="Arial Narrow"/>
                <w:sz w:val="20"/>
                <w:lang w:val="en-US"/>
              </w:rPr>
            </w:pPr>
            <w:r w:rsidRPr="00F875E6">
              <w:rPr>
                <w:rFonts w:ascii="Arial Narrow" w:hAnsi="Arial Narrow"/>
                <w:sz w:val="20"/>
                <w:lang w:val="en-US"/>
              </w:rPr>
              <w:t>High</w:t>
            </w:r>
          </w:p>
        </w:tc>
        <w:tc>
          <w:tcPr>
            <w:tcW w:w="1528" w:type="pct"/>
            <w:shd w:val="clear" w:color="auto" w:fill="auto"/>
          </w:tcPr>
          <w:p w:rsidR="00511A49" w:rsidRPr="00F875E6" w:rsidRDefault="00511A49" w:rsidP="00A76AD8">
            <w:pPr>
              <w:keepNext/>
              <w:jc w:val="left"/>
              <w:rPr>
                <w:rFonts w:ascii="Arial Narrow" w:hAnsi="Arial Narrow"/>
                <w:sz w:val="20"/>
                <w:szCs w:val="16"/>
                <w:lang w:val="en-US"/>
              </w:rPr>
            </w:pPr>
            <w:r w:rsidRPr="00F875E6">
              <w:rPr>
                <w:rFonts w:ascii="Arial Narrow" w:hAnsi="Arial Narrow"/>
                <w:sz w:val="20"/>
                <w:szCs w:val="16"/>
                <w:lang w:val="en-US"/>
              </w:rPr>
              <w:t>CP CML:</w:t>
            </w:r>
          </w:p>
          <w:p w:rsidR="00511A49" w:rsidRPr="00F875E6" w:rsidRDefault="00511A49" w:rsidP="00A76AD8">
            <w:pPr>
              <w:keepNext/>
              <w:jc w:val="left"/>
              <w:rPr>
                <w:rFonts w:ascii="Arial Narrow" w:hAnsi="Arial Narrow"/>
                <w:sz w:val="20"/>
                <w:szCs w:val="16"/>
                <w:lang w:val="en-US"/>
              </w:rPr>
            </w:pPr>
            <w:r w:rsidRPr="00F875E6">
              <w:rPr>
                <w:rFonts w:ascii="Arial Narrow" w:hAnsi="Arial Narrow"/>
                <w:sz w:val="20"/>
                <w:szCs w:val="16"/>
                <w:lang w:val="en-US"/>
              </w:rPr>
              <w:t>- resistant or intolerant to imatinib; or</w:t>
            </w:r>
          </w:p>
          <w:p w:rsidR="00511A49" w:rsidRPr="00F875E6" w:rsidRDefault="00511A49" w:rsidP="00A76AD8">
            <w:pPr>
              <w:keepNext/>
              <w:jc w:val="left"/>
              <w:rPr>
                <w:rFonts w:ascii="Arial Narrow" w:hAnsi="Arial Narrow"/>
                <w:sz w:val="20"/>
                <w:szCs w:val="16"/>
                <w:lang w:val="en-US"/>
              </w:rPr>
            </w:pPr>
            <w:r w:rsidRPr="00F875E6">
              <w:rPr>
                <w:rFonts w:ascii="Arial Narrow" w:hAnsi="Arial Narrow"/>
                <w:sz w:val="20"/>
                <w:szCs w:val="16"/>
                <w:lang w:val="en-US"/>
              </w:rPr>
              <w:t>- who have the T315I mutation.</w:t>
            </w:r>
          </w:p>
        </w:tc>
        <w:tc>
          <w:tcPr>
            <w:tcW w:w="1102" w:type="pct"/>
            <w:shd w:val="clear" w:color="auto" w:fill="auto"/>
          </w:tcPr>
          <w:p w:rsidR="00511A49" w:rsidRPr="00F875E6" w:rsidRDefault="00511A49" w:rsidP="00A76AD8">
            <w:pPr>
              <w:keepNext/>
              <w:jc w:val="left"/>
              <w:rPr>
                <w:rFonts w:ascii="Arial Narrow" w:hAnsi="Arial Narrow"/>
                <w:sz w:val="20"/>
                <w:lang w:val="en-US"/>
              </w:rPr>
            </w:pPr>
            <w:r w:rsidRPr="00F875E6">
              <w:rPr>
                <w:rFonts w:ascii="Arial Narrow" w:hAnsi="Arial Narrow"/>
                <w:sz w:val="20"/>
                <w:szCs w:val="16"/>
                <w:lang w:val="en-US"/>
              </w:rPr>
              <w:t>CHR, MCyR, CCyR</w:t>
            </w:r>
          </w:p>
        </w:tc>
      </w:tr>
      <w:tr w:rsidR="00511A49" w:rsidRPr="00F875E6" w:rsidTr="004515CA">
        <w:trPr>
          <w:cantSplit/>
        </w:trPr>
        <w:tc>
          <w:tcPr>
            <w:tcW w:w="5000" w:type="pct"/>
            <w:gridSpan w:val="6"/>
            <w:shd w:val="clear" w:color="auto" w:fill="auto"/>
            <w:vAlign w:val="center"/>
          </w:tcPr>
          <w:p w:rsidR="00511A49" w:rsidRPr="00F875E6" w:rsidRDefault="00511A49" w:rsidP="00A76AD8">
            <w:pPr>
              <w:keepNext/>
              <w:jc w:val="left"/>
              <w:rPr>
                <w:rFonts w:ascii="Arial Narrow" w:hAnsi="Arial Narrow"/>
                <w:b/>
                <w:sz w:val="20"/>
                <w:lang w:val="en-US"/>
              </w:rPr>
            </w:pPr>
            <w:r w:rsidRPr="00F875E6">
              <w:rPr>
                <w:rFonts w:ascii="Arial Narrow" w:hAnsi="Arial Narrow"/>
                <w:b/>
                <w:sz w:val="20"/>
                <w:lang w:val="en-US"/>
              </w:rPr>
              <w:t>Nilotinib</w:t>
            </w:r>
          </w:p>
        </w:tc>
      </w:tr>
      <w:tr w:rsidR="00511A49" w:rsidRPr="00F875E6" w:rsidTr="004515CA">
        <w:trPr>
          <w:cantSplit/>
        </w:trPr>
        <w:tc>
          <w:tcPr>
            <w:tcW w:w="676" w:type="pct"/>
            <w:shd w:val="clear" w:color="auto" w:fill="auto"/>
          </w:tcPr>
          <w:p w:rsidR="00511A49" w:rsidRPr="00F875E6" w:rsidRDefault="00511A49" w:rsidP="00A76AD8">
            <w:pPr>
              <w:keepNext/>
              <w:jc w:val="left"/>
              <w:rPr>
                <w:rFonts w:ascii="Arial Narrow" w:hAnsi="Arial Narrow"/>
                <w:sz w:val="20"/>
                <w:szCs w:val="16"/>
                <w:lang w:val="en-US"/>
              </w:rPr>
            </w:pPr>
            <w:r w:rsidRPr="00F875E6">
              <w:rPr>
                <w:rFonts w:ascii="Arial Narrow" w:hAnsi="Arial Narrow"/>
                <w:sz w:val="20"/>
                <w:szCs w:val="16"/>
                <w:lang w:val="en-US"/>
              </w:rPr>
              <w:t>Giles 2010</w:t>
            </w:r>
          </w:p>
        </w:tc>
        <w:tc>
          <w:tcPr>
            <w:tcW w:w="255" w:type="pct"/>
            <w:shd w:val="clear" w:color="auto" w:fill="auto"/>
          </w:tcPr>
          <w:p w:rsidR="00511A49" w:rsidRPr="00F875E6" w:rsidRDefault="00511A49" w:rsidP="00A76AD8">
            <w:pPr>
              <w:keepNext/>
              <w:jc w:val="center"/>
              <w:rPr>
                <w:rFonts w:ascii="Arial Narrow" w:hAnsi="Arial Narrow"/>
                <w:sz w:val="20"/>
                <w:szCs w:val="16"/>
                <w:lang w:val="en-US"/>
              </w:rPr>
            </w:pPr>
            <w:r w:rsidRPr="00F875E6">
              <w:rPr>
                <w:rFonts w:ascii="Arial Narrow" w:hAnsi="Arial Narrow"/>
                <w:sz w:val="20"/>
                <w:szCs w:val="16"/>
                <w:lang w:val="en-US"/>
              </w:rPr>
              <w:t>60</w:t>
            </w:r>
          </w:p>
        </w:tc>
        <w:tc>
          <w:tcPr>
            <w:tcW w:w="1101" w:type="pct"/>
            <w:shd w:val="clear" w:color="auto" w:fill="auto"/>
          </w:tcPr>
          <w:p w:rsidR="00511A49" w:rsidRPr="00F875E6" w:rsidRDefault="00511A49" w:rsidP="00A76AD8">
            <w:pPr>
              <w:keepNext/>
              <w:jc w:val="left"/>
              <w:rPr>
                <w:rFonts w:ascii="Arial Narrow" w:hAnsi="Arial Narrow"/>
                <w:sz w:val="20"/>
                <w:szCs w:val="16"/>
                <w:lang w:val="fr-FR"/>
              </w:rPr>
            </w:pPr>
            <w:r w:rsidRPr="00F875E6">
              <w:rPr>
                <w:rFonts w:ascii="Arial Narrow" w:hAnsi="Arial Narrow"/>
                <w:sz w:val="20"/>
                <w:szCs w:val="16"/>
                <w:lang w:val="fr-FR"/>
              </w:rPr>
              <w:t>Phase II, MC, SA, non-comparative;</w:t>
            </w:r>
          </w:p>
          <w:p w:rsidR="00511A49" w:rsidRPr="00F875E6" w:rsidRDefault="00511A49" w:rsidP="00A76AD8">
            <w:pPr>
              <w:keepNext/>
              <w:jc w:val="left"/>
              <w:rPr>
                <w:rFonts w:ascii="Arial Narrow" w:hAnsi="Arial Narrow"/>
                <w:sz w:val="20"/>
                <w:szCs w:val="16"/>
                <w:lang w:val="en-US"/>
              </w:rPr>
            </w:pPr>
            <w:r w:rsidRPr="00F875E6">
              <w:rPr>
                <w:rFonts w:ascii="Arial Narrow" w:hAnsi="Arial Narrow"/>
                <w:sz w:val="20"/>
                <w:szCs w:val="16"/>
                <w:lang w:val="en-US"/>
              </w:rPr>
              <w:t>12 months</w:t>
            </w:r>
          </w:p>
        </w:tc>
        <w:tc>
          <w:tcPr>
            <w:tcW w:w="338" w:type="pct"/>
            <w:shd w:val="clear" w:color="auto" w:fill="auto"/>
          </w:tcPr>
          <w:p w:rsidR="00511A49" w:rsidRPr="00F875E6" w:rsidRDefault="00511A49" w:rsidP="00A76AD8">
            <w:pPr>
              <w:keepNext/>
              <w:jc w:val="center"/>
              <w:rPr>
                <w:rFonts w:ascii="Arial Narrow" w:hAnsi="Arial Narrow"/>
                <w:sz w:val="20"/>
                <w:lang w:val="en-US"/>
              </w:rPr>
            </w:pPr>
            <w:r w:rsidRPr="00F875E6">
              <w:rPr>
                <w:rFonts w:ascii="Arial Narrow" w:hAnsi="Arial Narrow"/>
                <w:sz w:val="20"/>
                <w:lang w:val="en-US"/>
              </w:rPr>
              <w:t>High</w:t>
            </w:r>
          </w:p>
        </w:tc>
        <w:tc>
          <w:tcPr>
            <w:tcW w:w="1528" w:type="pct"/>
            <w:shd w:val="clear" w:color="auto" w:fill="auto"/>
          </w:tcPr>
          <w:p w:rsidR="00511A49" w:rsidRPr="00F875E6" w:rsidRDefault="00511A49" w:rsidP="00A76AD8">
            <w:pPr>
              <w:keepNext/>
              <w:jc w:val="left"/>
              <w:rPr>
                <w:rFonts w:ascii="Arial Narrow" w:hAnsi="Arial Narrow"/>
                <w:sz w:val="20"/>
                <w:szCs w:val="16"/>
                <w:lang w:val="en-US"/>
              </w:rPr>
            </w:pPr>
            <w:r w:rsidRPr="00F875E6">
              <w:rPr>
                <w:rFonts w:ascii="Arial Narrow" w:hAnsi="Arial Narrow"/>
                <w:sz w:val="20"/>
                <w:szCs w:val="16"/>
                <w:lang w:val="en-US"/>
              </w:rPr>
              <w:t>CP (n=39) and AP CML (n=21):</w:t>
            </w:r>
          </w:p>
          <w:p w:rsidR="00511A49" w:rsidRPr="00F875E6" w:rsidRDefault="00511A49" w:rsidP="00A76AD8">
            <w:pPr>
              <w:keepNext/>
              <w:jc w:val="left"/>
              <w:rPr>
                <w:rFonts w:ascii="Arial Narrow" w:hAnsi="Arial Narrow"/>
                <w:sz w:val="20"/>
                <w:szCs w:val="16"/>
                <w:lang w:val="en-US"/>
              </w:rPr>
            </w:pPr>
            <w:r w:rsidRPr="00F875E6">
              <w:rPr>
                <w:rFonts w:ascii="Arial Narrow" w:hAnsi="Arial Narrow"/>
                <w:sz w:val="20"/>
                <w:szCs w:val="16"/>
                <w:lang w:val="en-US"/>
              </w:rPr>
              <w:t>- resistant or intolerant to imatinib and dasatinib.</w:t>
            </w:r>
          </w:p>
        </w:tc>
        <w:tc>
          <w:tcPr>
            <w:tcW w:w="1102" w:type="pct"/>
            <w:shd w:val="clear" w:color="auto" w:fill="auto"/>
          </w:tcPr>
          <w:p w:rsidR="00511A49" w:rsidRPr="00F875E6" w:rsidRDefault="00511A49" w:rsidP="00A76AD8">
            <w:pPr>
              <w:keepNext/>
              <w:jc w:val="left"/>
              <w:rPr>
                <w:rFonts w:ascii="Arial Narrow" w:hAnsi="Arial Narrow"/>
                <w:sz w:val="20"/>
                <w:szCs w:val="16"/>
                <w:lang w:val="en-US"/>
              </w:rPr>
            </w:pPr>
            <w:r w:rsidRPr="00F875E6">
              <w:rPr>
                <w:rFonts w:ascii="Arial Narrow" w:hAnsi="Arial Narrow"/>
                <w:sz w:val="20"/>
                <w:szCs w:val="16"/>
                <w:u w:val="single"/>
                <w:lang w:val="en-US"/>
              </w:rPr>
              <w:t>CP CML</w:t>
            </w:r>
            <w:r w:rsidRPr="00F875E6">
              <w:rPr>
                <w:rFonts w:ascii="Arial Narrow" w:hAnsi="Arial Narrow"/>
                <w:sz w:val="20"/>
                <w:szCs w:val="16"/>
                <w:lang w:val="en-US"/>
              </w:rPr>
              <w:t>: MCyR (CCyR, PCyR)</w:t>
            </w:r>
          </w:p>
          <w:p w:rsidR="00511A49" w:rsidRPr="00F875E6" w:rsidRDefault="00511A49" w:rsidP="00A76AD8">
            <w:pPr>
              <w:keepNext/>
              <w:jc w:val="left"/>
              <w:rPr>
                <w:rFonts w:ascii="Arial Narrow" w:hAnsi="Arial Narrow"/>
                <w:sz w:val="20"/>
                <w:lang w:val="en-US"/>
              </w:rPr>
            </w:pPr>
            <w:r w:rsidRPr="00F875E6">
              <w:rPr>
                <w:rFonts w:ascii="Arial Narrow" w:hAnsi="Arial Narrow"/>
                <w:sz w:val="20"/>
                <w:szCs w:val="16"/>
                <w:u w:val="single"/>
                <w:lang w:val="en-US"/>
              </w:rPr>
              <w:t>AP CML</w:t>
            </w:r>
            <w:r w:rsidRPr="00F875E6">
              <w:rPr>
                <w:rFonts w:ascii="Arial Narrow" w:hAnsi="Arial Narrow"/>
                <w:sz w:val="20"/>
                <w:szCs w:val="16"/>
                <w:lang w:val="en-US"/>
              </w:rPr>
              <w:t>: MHR (CHR or NEL)</w:t>
            </w:r>
          </w:p>
        </w:tc>
      </w:tr>
      <w:tr w:rsidR="00511A49" w:rsidRPr="00F875E6" w:rsidTr="004515CA">
        <w:trPr>
          <w:cantSplit/>
        </w:trPr>
        <w:tc>
          <w:tcPr>
            <w:tcW w:w="676" w:type="pct"/>
            <w:shd w:val="clear" w:color="auto" w:fill="auto"/>
          </w:tcPr>
          <w:p w:rsidR="00511A49" w:rsidRPr="00F875E6" w:rsidRDefault="00511A49" w:rsidP="00A76AD8">
            <w:pPr>
              <w:keepNext/>
              <w:jc w:val="left"/>
              <w:rPr>
                <w:rFonts w:ascii="Arial Narrow" w:hAnsi="Arial Narrow"/>
                <w:sz w:val="20"/>
                <w:szCs w:val="16"/>
                <w:lang w:val="en-US"/>
              </w:rPr>
            </w:pPr>
            <w:r w:rsidRPr="00F875E6">
              <w:rPr>
                <w:rFonts w:ascii="Arial Narrow" w:hAnsi="Arial Narrow"/>
                <w:sz w:val="20"/>
                <w:szCs w:val="16"/>
                <w:lang w:val="en-US"/>
              </w:rPr>
              <w:t>Nicolini 2009</w:t>
            </w:r>
          </w:p>
          <w:p w:rsidR="00511A49" w:rsidRPr="00F875E6" w:rsidRDefault="00511A49" w:rsidP="00A76AD8">
            <w:pPr>
              <w:keepNext/>
              <w:jc w:val="left"/>
              <w:rPr>
                <w:rFonts w:ascii="Arial Narrow" w:hAnsi="Arial Narrow"/>
                <w:sz w:val="20"/>
                <w:szCs w:val="16"/>
                <w:lang w:val="en-US"/>
              </w:rPr>
            </w:pPr>
          </w:p>
        </w:tc>
        <w:tc>
          <w:tcPr>
            <w:tcW w:w="255" w:type="pct"/>
            <w:shd w:val="clear" w:color="auto" w:fill="auto"/>
          </w:tcPr>
          <w:p w:rsidR="00511A49" w:rsidRPr="00F875E6" w:rsidRDefault="00511A49" w:rsidP="00A76AD8">
            <w:pPr>
              <w:keepNext/>
              <w:jc w:val="center"/>
              <w:rPr>
                <w:rFonts w:ascii="Arial Narrow" w:hAnsi="Arial Narrow"/>
                <w:sz w:val="20"/>
                <w:szCs w:val="16"/>
                <w:lang w:val="en-US"/>
              </w:rPr>
            </w:pPr>
            <w:r w:rsidRPr="00F875E6">
              <w:rPr>
                <w:rFonts w:ascii="Arial Narrow" w:hAnsi="Arial Narrow"/>
                <w:sz w:val="20"/>
                <w:szCs w:val="16"/>
                <w:lang w:val="en-US"/>
              </w:rPr>
              <w:t>292</w:t>
            </w:r>
          </w:p>
        </w:tc>
        <w:tc>
          <w:tcPr>
            <w:tcW w:w="1101" w:type="pct"/>
            <w:shd w:val="clear" w:color="auto" w:fill="auto"/>
          </w:tcPr>
          <w:p w:rsidR="00511A49" w:rsidRPr="00F875E6" w:rsidRDefault="00511A49" w:rsidP="00A76AD8">
            <w:pPr>
              <w:keepNext/>
              <w:jc w:val="left"/>
              <w:rPr>
                <w:rFonts w:ascii="Arial Narrow" w:hAnsi="Arial Narrow"/>
                <w:sz w:val="20"/>
                <w:szCs w:val="16"/>
                <w:lang w:val="en-US"/>
              </w:rPr>
            </w:pPr>
            <w:r w:rsidRPr="00F875E6">
              <w:rPr>
                <w:rFonts w:ascii="Arial Narrow" w:hAnsi="Arial Narrow"/>
                <w:i/>
                <w:sz w:val="20"/>
                <w:szCs w:val="16"/>
                <w:lang w:val="en-US"/>
              </w:rPr>
              <w:t>Post-hoc</w:t>
            </w:r>
            <w:r w:rsidRPr="00F875E6">
              <w:rPr>
                <w:rFonts w:ascii="Arial Narrow" w:hAnsi="Arial Narrow"/>
                <w:sz w:val="20"/>
                <w:szCs w:val="16"/>
                <w:lang w:val="en-US"/>
              </w:rPr>
              <w:t xml:space="preserve"> sub-group analysis of OL, SA, NR study;</w:t>
            </w:r>
          </w:p>
          <w:p w:rsidR="00511A49" w:rsidRPr="00F875E6" w:rsidRDefault="00511A49" w:rsidP="00A76AD8">
            <w:pPr>
              <w:keepNext/>
              <w:jc w:val="left"/>
              <w:rPr>
                <w:rFonts w:ascii="Arial Narrow" w:hAnsi="Arial Narrow"/>
                <w:sz w:val="20"/>
                <w:szCs w:val="16"/>
                <w:lang w:val="en-US"/>
              </w:rPr>
            </w:pPr>
            <w:r w:rsidRPr="00F875E6">
              <w:rPr>
                <w:rFonts w:ascii="Arial Narrow" w:hAnsi="Arial Narrow"/>
                <w:sz w:val="20"/>
                <w:szCs w:val="16"/>
                <w:lang w:val="en-US"/>
              </w:rPr>
              <w:t>Duration not reported</w:t>
            </w:r>
          </w:p>
        </w:tc>
        <w:tc>
          <w:tcPr>
            <w:tcW w:w="338" w:type="pct"/>
            <w:shd w:val="clear" w:color="auto" w:fill="auto"/>
          </w:tcPr>
          <w:p w:rsidR="00511A49" w:rsidRPr="00F875E6" w:rsidRDefault="00511A49" w:rsidP="00A76AD8">
            <w:pPr>
              <w:keepNext/>
              <w:jc w:val="center"/>
              <w:rPr>
                <w:rFonts w:ascii="Arial Narrow" w:hAnsi="Arial Narrow"/>
                <w:sz w:val="20"/>
                <w:lang w:val="en-US"/>
              </w:rPr>
            </w:pPr>
            <w:r w:rsidRPr="00F875E6">
              <w:rPr>
                <w:rFonts w:ascii="Arial Narrow" w:hAnsi="Arial Narrow"/>
                <w:sz w:val="20"/>
                <w:lang w:val="en-US"/>
              </w:rPr>
              <w:t>High</w:t>
            </w:r>
          </w:p>
        </w:tc>
        <w:tc>
          <w:tcPr>
            <w:tcW w:w="1528" w:type="pct"/>
            <w:shd w:val="clear" w:color="auto" w:fill="auto"/>
          </w:tcPr>
          <w:p w:rsidR="00511A49" w:rsidRPr="00F875E6" w:rsidRDefault="00511A49" w:rsidP="00A76AD8">
            <w:pPr>
              <w:keepNext/>
              <w:jc w:val="left"/>
              <w:rPr>
                <w:rFonts w:ascii="Arial Narrow" w:hAnsi="Arial Narrow"/>
                <w:sz w:val="20"/>
                <w:szCs w:val="16"/>
                <w:lang w:val="en-US"/>
              </w:rPr>
            </w:pPr>
            <w:r w:rsidRPr="00F875E6">
              <w:rPr>
                <w:rFonts w:ascii="Arial Narrow" w:hAnsi="Arial Narrow"/>
                <w:sz w:val="20"/>
                <w:szCs w:val="16"/>
                <w:lang w:val="en-US"/>
              </w:rPr>
              <w:t xml:space="preserve">CP (n=218), AP (n=34) and BC (n=40) CML: </w:t>
            </w:r>
          </w:p>
          <w:p w:rsidR="00511A49" w:rsidRPr="00F875E6" w:rsidRDefault="00511A49" w:rsidP="00A76AD8">
            <w:pPr>
              <w:keepNext/>
              <w:jc w:val="left"/>
              <w:rPr>
                <w:rFonts w:ascii="Arial Narrow" w:hAnsi="Arial Narrow"/>
                <w:sz w:val="20"/>
                <w:szCs w:val="16"/>
                <w:lang w:val="en-US"/>
              </w:rPr>
            </w:pPr>
            <w:r w:rsidRPr="00F875E6">
              <w:rPr>
                <w:rFonts w:ascii="Arial Narrow" w:hAnsi="Arial Narrow"/>
                <w:sz w:val="20"/>
                <w:szCs w:val="16"/>
                <w:lang w:val="en-US"/>
              </w:rPr>
              <w:t>- resistant or intolerant to imatinib and dasatinib.</w:t>
            </w:r>
          </w:p>
        </w:tc>
        <w:tc>
          <w:tcPr>
            <w:tcW w:w="1102" w:type="pct"/>
            <w:shd w:val="clear" w:color="auto" w:fill="auto"/>
          </w:tcPr>
          <w:p w:rsidR="00511A49" w:rsidRPr="00F875E6" w:rsidRDefault="00511A49" w:rsidP="00A76AD8">
            <w:pPr>
              <w:keepNext/>
              <w:jc w:val="left"/>
              <w:rPr>
                <w:rFonts w:ascii="Arial Narrow" w:hAnsi="Arial Narrow"/>
                <w:sz w:val="20"/>
                <w:lang w:val="en-US"/>
              </w:rPr>
            </w:pPr>
            <w:r w:rsidRPr="00F875E6">
              <w:rPr>
                <w:rFonts w:ascii="Arial Narrow" w:hAnsi="Arial Narrow"/>
                <w:sz w:val="20"/>
                <w:szCs w:val="16"/>
                <w:lang w:val="en-US"/>
              </w:rPr>
              <w:t>CHR, MCyR, CCyR</w:t>
            </w:r>
          </w:p>
        </w:tc>
      </w:tr>
      <w:tr w:rsidR="00511A49" w:rsidRPr="00F875E6" w:rsidTr="004515CA">
        <w:trPr>
          <w:cantSplit/>
        </w:trPr>
        <w:tc>
          <w:tcPr>
            <w:tcW w:w="5000" w:type="pct"/>
            <w:gridSpan w:val="6"/>
            <w:shd w:val="clear" w:color="auto" w:fill="auto"/>
            <w:vAlign w:val="center"/>
          </w:tcPr>
          <w:p w:rsidR="00511A49" w:rsidRPr="00F875E6" w:rsidRDefault="00511A49" w:rsidP="00A76AD8">
            <w:pPr>
              <w:keepNext/>
              <w:jc w:val="left"/>
              <w:rPr>
                <w:rFonts w:ascii="Arial Narrow" w:hAnsi="Arial Narrow"/>
                <w:b/>
                <w:sz w:val="20"/>
                <w:lang w:val="en-US"/>
              </w:rPr>
            </w:pPr>
            <w:r w:rsidRPr="00F875E6">
              <w:rPr>
                <w:rFonts w:ascii="Arial Narrow" w:hAnsi="Arial Narrow"/>
                <w:b/>
                <w:sz w:val="20"/>
                <w:lang w:val="en-US"/>
              </w:rPr>
              <w:t xml:space="preserve">Dasatinib </w:t>
            </w:r>
            <w:r w:rsidR="005E79F8" w:rsidRPr="00F875E6">
              <w:rPr>
                <w:rFonts w:ascii="Arial Narrow" w:hAnsi="Arial Narrow"/>
                <w:b/>
                <w:sz w:val="20"/>
                <w:lang w:val="en-US"/>
              </w:rPr>
              <w:t xml:space="preserve">or </w:t>
            </w:r>
            <w:r w:rsidRPr="00F875E6">
              <w:rPr>
                <w:rFonts w:ascii="Arial Narrow" w:hAnsi="Arial Narrow"/>
                <w:b/>
                <w:sz w:val="20"/>
                <w:lang w:val="en-US"/>
              </w:rPr>
              <w:t>nilotinib</w:t>
            </w:r>
          </w:p>
        </w:tc>
      </w:tr>
      <w:tr w:rsidR="00511A49" w:rsidRPr="00F875E6" w:rsidTr="004515CA">
        <w:trPr>
          <w:cantSplit/>
        </w:trPr>
        <w:tc>
          <w:tcPr>
            <w:tcW w:w="676" w:type="pct"/>
            <w:shd w:val="clear" w:color="auto" w:fill="auto"/>
          </w:tcPr>
          <w:p w:rsidR="00511A49" w:rsidRPr="00F875E6" w:rsidRDefault="00511A49" w:rsidP="00A76AD8">
            <w:pPr>
              <w:keepNext/>
              <w:jc w:val="left"/>
              <w:rPr>
                <w:rFonts w:ascii="Arial Narrow" w:hAnsi="Arial Narrow"/>
                <w:sz w:val="20"/>
                <w:szCs w:val="16"/>
                <w:lang w:val="en-US"/>
              </w:rPr>
            </w:pPr>
            <w:r w:rsidRPr="00F875E6">
              <w:rPr>
                <w:rFonts w:ascii="Arial Narrow" w:hAnsi="Arial Narrow"/>
                <w:sz w:val="20"/>
                <w:szCs w:val="16"/>
                <w:lang w:val="en-US"/>
              </w:rPr>
              <w:t>Garcia-Gutierrez 2012</w:t>
            </w:r>
          </w:p>
        </w:tc>
        <w:tc>
          <w:tcPr>
            <w:tcW w:w="255" w:type="pct"/>
            <w:shd w:val="clear" w:color="auto" w:fill="auto"/>
          </w:tcPr>
          <w:p w:rsidR="00511A49" w:rsidRPr="00F875E6" w:rsidRDefault="00511A49" w:rsidP="00A76AD8">
            <w:pPr>
              <w:keepNext/>
              <w:jc w:val="center"/>
              <w:rPr>
                <w:rFonts w:ascii="Arial Narrow" w:hAnsi="Arial Narrow"/>
                <w:sz w:val="20"/>
                <w:szCs w:val="16"/>
                <w:lang w:val="en-US"/>
              </w:rPr>
            </w:pPr>
            <w:r w:rsidRPr="00F875E6">
              <w:rPr>
                <w:rFonts w:ascii="Arial Narrow" w:hAnsi="Arial Narrow"/>
                <w:sz w:val="20"/>
                <w:szCs w:val="16"/>
                <w:lang w:val="en-US"/>
              </w:rPr>
              <w:t>31</w:t>
            </w:r>
          </w:p>
        </w:tc>
        <w:tc>
          <w:tcPr>
            <w:tcW w:w="1101" w:type="pct"/>
            <w:shd w:val="clear" w:color="auto" w:fill="auto"/>
          </w:tcPr>
          <w:p w:rsidR="00511A49" w:rsidRPr="00F875E6" w:rsidRDefault="00511A49" w:rsidP="00A76AD8">
            <w:pPr>
              <w:keepNext/>
              <w:jc w:val="left"/>
              <w:rPr>
                <w:rFonts w:ascii="Arial Narrow" w:hAnsi="Arial Narrow"/>
                <w:sz w:val="20"/>
                <w:szCs w:val="16"/>
                <w:lang w:val="en-US"/>
              </w:rPr>
            </w:pPr>
            <w:r w:rsidRPr="00F875E6">
              <w:rPr>
                <w:rFonts w:ascii="Arial Narrow" w:hAnsi="Arial Narrow"/>
                <w:sz w:val="20"/>
                <w:szCs w:val="16"/>
                <w:lang w:val="en-US"/>
              </w:rPr>
              <w:t>Analysis of national registry data;</w:t>
            </w:r>
          </w:p>
          <w:p w:rsidR="00511A49" w:rsidRPr="00F875E6" w:rsidRDefault="00511A49" w:rsidP="00A76AD8">
            <w:pPr>
              <w:keepNext/>
              <w:jc w:val="left"/>
              <w:rPr>
                <w:rFonts w:ascii="Arial Narrow" w:hAnsi="Arial Narrow"/>
                <w:sz w:val="20"/>
                <w:szCs w:val="16"/>
                <w:lang w:val="en-US"/>
              </w:rPr>
            </w:pPr>
            <w:r w:rsidRPr="00F875E6">
              <w:rPr>
                <w:rFonts w:ascii="Arial Narrow" w:hAnsi="Arial Narrow"/>
                <w:sz w:val="20"/>
                <w:szCs w:val="16"/>
                <w:lang w:val="en-US"/>
              </w:rPr>
              <w:t>9 months</w:t>
            </w:r>
          </w:p>
        </w:tc>
        <w:tc>
          <w:tcPr>
            <w:tcW w:w="338" w:type="pct"/>
            <w:shd w:val="clear" w:color="auto" w:fill="auto"/>
          </w:tcPr>
          <w:p w:rsidR="00511A49" w:rsidRPr="00F875E6" w:rsidRDefault="00511A49" w:rsidP="00A76AD8">
            <w:pPr>
              <w:keepNext/>
              <w:jc w:val="center"/>
              <w:rPr>
                <w:rFonts w:ascii="Arial Narrow" w:hAnsi="Arial Narrow"/>
                <w:sz w:val="20"/>
                <w:lang w:val="en-US"/>
              </w:rPr>
            </w:pPr>
            <w:r w:rsidRPr="00F875E6">
              <w:rPr>
                <w:rFonts w:ascii="Arial Narrow" w:hAnsi="Arial Narrow"/>
                <w:sz w:val="20"/>
                <w:lang w:val="en-US"/>
              </w:rPr>
              <w:t>High</w:t>
            </w:r>
          </w:p>
        </w:tc>
        <w:tc>
          <w:tcPr>
            <w:tcW w:w="1528" w:type="pct"/>
            <w:shd w:val="clear" w:color="auto" w:fill="auto"/>
          </w:tcPr>
          <w:p w:rsidR="00511A49" w:rsidRPr="00F875E6" w:rsidRDefault="00511A49" w:rsidP="00A76AD8">
            <w:pPr>
              <w:keepNext/>
              <w:jc w:val="left"/>
              <w:rPr>
                <w:rFonts w:ascii="Arial Narrow" w:hAnsi="Arial Narrow"/>
                <w:sz w:val="20"/>
                <w:szCs w:val="16"/>
                <w:lang w:val="en-US"/>
              </w:rPr>
            </w:pPr>
            <w:r w:rsidRPr="00F875E6">
              <w:rPr>
                <w:rFonts w:ascii="Arial Narrow" w:hAnsi="Arial Narrow"/>
                <w:sz w:val="20"/>
                <w:szCs w:val="16"/>
                <w:lang w:val="en-US"/>
              </w:rPr>
              <w:t>CP CML:</w:t>
            </w:r>
          </w:p>
          <w:p w:rsidR="00511A49" w:rsidRPr="00F875E6" w:rsidRDefault="00511A49" w:rsidP="00A76AD8">
            <w:pPr>
              <w:keepNext/>
              <w:jc w:val="left"/>
              <w:rPr>
                <w:rFonts w:ascii="Arial Narrow" w:hAnsi="Arial Narrow"/>
                <w:sz w:val="20"/>
                <w:szCs w:val="16"/>
                <w:lang w:val="en-US"/>
              </w:rPr>
            </w:pPr>
            <w:r w:rsidRPr="00F875E6">
              <w:rPr>
                <w:rFonts w:ascii="Arial Narrow" w:hAnsi="Arial Narrow"/>
                <w:sz w:val="20"/>
                <w:szCs w:val="16"/>
                <w:lang w:val="en-US"/>
              </w:rPr>
              <w:t>- resistant or intolerant to imatinib and a 2</w:t>
            </w:r>
            <w:r w:rsidRPr="00F875E6">
              <w:rPr>
                <w:rFonts w:ascii="Arial Narrow" w:hAnsi="Arial Narrow"/>
                <w:sz w:val="20"/>
                <w:szCs w:val="16"/>
                <w:vertAlign w:val="superscript"/>
                <w:lang w:val="en-US"/>
              </w:rPr>
              <w:t>nd</w:t>
            </w:r>
            <w:r w:rsidRPr="00F875E6">
              <w:rPr>
                <w:rFonts w:ascii="Arial Narrow" w:hAnsi="Arial Narrow"/>
                <w:sz w:val="20"/>
                <w:szCs w:val="16"/>
                <w:lang w:val="en-US"/>
              </w:rPr>
              <w:t xml:space="preserve"> generation TKI.</w:t>
            </w:r>
          </w:p>
        </w:tc>
        <w:tc>
          <w:tcPr>
            <w:tcW w:w="1102" w:type="pct"/>
            <w:shd w:val="clear" w:color="auto" w:fill="auto"/>
          </w:tcPr>
          <w:p w:rsidR="00511A49" w:rsidRPr="00F875E6" w:rsidRDefault="00511A49" w:rsidP="00A76AD8">
            <w:pPr>
              <w:keepNext/>
              <w:jc w:val="left"/>
              <w:rPr>
                <w:rFonts w:ascii="Arial Narrow" w:hAnsi="Arial Narrow"/>
                <w:sz w:val="20"/>
                <w:lang w:val="en-US"/>
              </w:rPr>
            </w:pPr>
            <w:r w:rsidRPr="00F875E6">
              <w:rPr>
                <w:rFonts w:ascii="Arial Narrow" w:hAnsi="Arial Narrow"/>
                <w:sz w:val="20"/>
                <w:szCs w:val="16"/>
                <w:lang w:val="en-US"/>
              </w:rPr>
              <w:t>CCyR, CHR</w:t>
            </w:r>
          </w:p>
        </w:tc>
      </w:tr>
      <w:tr w:rsidR="00511A49" w:rsidRPr="00F875E6" w:rsidTr="004515CA">
        <w:trPr>
          <w:cantSplit/>
        </w:trPr>
        <w:tc>
          <w:tcPr>
            <w:tcW w:w="676" w:type="pct"/>
            <w:shd w:val="clear" w:color="auto" w:fill="auto"/>
          </w:tcPr>
          <w:p w:rsidR="00511A49" w:rsidRPr="00F875E6" w:rsidRDefault="00511A49" w:rsidP="00A76AD8">
            <w:pPr>
              <w:keepNext/>
              <w:jc w:val="left"/>
              <w:rPr>
                <w:rFonts w:ascii="Arial Narrow" w:hAnsi="Arial Narrow"/>
                <w:sz w:val="20"/>
                <w:szCs w:val="16"/>
                <w:lang w:val="en-US"/>
              </w:rPr>
            </w:pPr>
            <w:r w:rsidRPr="00F875E6">
              <w:rPr>
                <w:rFonts w:ascii="Arial Narrow" w:hAnsi="Arial Narrow"/>
                <w:sz w:val="20"/>
                <w:szCs w:val="16"/>
                <w:lang w:val="en-US"/>
              </w:rPr>
              <w:t>Garg 2009</w:t>
            </w:r>
          </w:p>
        </w:tc>
        <w:tc>
          <w:tcPr>
            <w:tcW w:w="255" w:type="pct"/>
            <w:shd w:val="clear" w:color="auto" w:fill="auto"/>
          </w:tcPr>
          <w:p w:rsidR="00511A49" w:rsidRPr="00F875E6" w:rsidRDefault="00511A49" w:rsidP="00A76AD8">
            <w:pPr>
              <w:keepNext/>
              <w:jc w:val="center"/>
              <w:rPr>
                <w:rFonts w:ascii="Arial Narrow" w:hAnsi="Arial Narrow"/>
                <w:sz w:val="20"/>
                <w:szCs w:val="16"/>
                <w:lang w:val="en-US"/>
              </w:rPr>
            </w:pPr>
            <w:r w:rsidRPr="00F875E6">
              <w:rPr>
                <w:rFonts w:ascii="Arial Narrow" w:hAnsi="Arial Narrow"/>
                <w:sz w:val="20"/>
                <w:szCs w:val="16"/>
                <w:lang w:val="en-US"/>
              </w:rPr>
              <w:t>48</w:t>
            </w:r>
          </w:p>
        </w:tc>
        <w:tc>
          <w:tcPr>
            <w:tcW w:w="1101" w:type="pct"/>
            <w:shd w:val="clear" w:color="auto" w:fill="auto"/>
          </w:tcPr>
          <w:p w:rsidR="00511A49" w:rsidRPr="00F875E6" w:rsidRDefault="00511A49" w:rsidP="00A76AD8">
            <w:pPr>
              <w:keepNext/>
              <w:jc w:val="left"/>
              <w:rPr>
                <w:rFonts w:ascii="Arial Narrow" w:hAnsi="Arial Narrow"/>
                <w:sz w:val="20"/>
                <w:szCs w:val="16"/>
                <w:lang w:val="en-US"/>
              </w:rPr>
            </w:pPr>
            <w:r w:rsidRPr="00F875E6">
              <w:rPr>
                <w:rFonts w:ascii="Arial Narrow" w:hAnsi="Arial Narrow"/>
                <w:sz w:val="20"/>
                <w:szCs w:val="16"/>
                <w:lang w:val="en-US"/>
              </w:rPr>
              <w:t>Observational, SC, SA;</w:t>
            </w:r>
          </w:p>
          <w:p w:rsidR="00511A49" w:rsidRPr="00F875E6" w:rsidRDefault="00511A49" w:rsidP="00A76AD8">
            <w:pPr>
              <w:keepNext/>
              <w:jc w:val="left"/>
              <w:rPr>
                <w:rFonts w:ascii="Arial Narrow" w:hAnsi="Arial Narrow"/>
                <w:sz w:val="20"/>
                <w:szCs w:val="16"/>
                <w:lang w:val="en-US"/>
              </w:rPr>
            </w:pPr>
            <w:r w:rsidRPr="00F875E6">
              <w:rPr>
                <w:rFonts w:ascii="Arial Narrow" w:hAnsi="Arial Narrow"/>
                <w:sz w:val="20"/>
                <w:szCs w:val="16"/>
                <w:lang w:val="en-US"/>
              </w:rPr>
              <w:t>13 months</w:t>
            </w:r>
          </w:p>
        </w:tc>
        <w:tc>
          <w:tcPr>
            <w:tcW w:w="338" w:type="pct"/>
            <w:shd w:val="clear" w:color="auto" w:fill="auto"/>
          </w:tcPr>
          <w:p w:rsidR="00511A49" w:rsidRPr="00F875E6" w:rsidRDefault="00511A49" w:rsidP="00A76AD8">
            <w:pPr>
              <w:keepNext/>
              <w:jc w:val="center"/>
              <w:rPr>
                <w:rFonts w:ascii="Arial Narrow" w:hAnsi="Arial Narrow"/>
                <w:sz w:val="20"/>
                <w:lang w:val="en-US"/>
              </w:rPr>
            </w:pPr>
            <w:r w:rsidRPr="00F875E6">
              <w:rPr>
                <w:rFonts w:ascii="Arial Narrow" w:hAnsi="Arial Narrow"/>
                <w:sz w:val="20"/>
                <w:lang w:val="en-US"/>
              </w:rPr>
              <w:t>High</w:t>
            </w:r>
          </w:p>
        </w:tc>
        <w:tc>
          <w:tcPr>
            <w:tcW w:w="1528" w:type="pct"/>
            <w:shd w:val="clear" w:color="auto" w:fill="auto"/>
          </w:tcPr>
          <w:p w:rsidR="00511A49" w:rsidRPr="00F875E6" w:rsidRDefault="00511A49" w:rsidP="00A76AD8">
            <w:pPr>
              <w:keepNext/>
              <w:jc w:val="left"/>
              <w:rPr>
                <w:rFonts w:ascii="Arial Narrow" w:hAnsi="Arial Narrow"/>
                <w:sz w:val="20"/>
                <w:szCs w:val="16"/>
                <w:lang w:val="en-US"/>
              </w:rPr>
            </w:pPr>
            <w:r w:rsidRPr="00F875E6">
              <w:rPr>
                <w:rFonts w:ascii="Arial Narrow" w:hAnsi="Arial Narrow"/>
                <w:sz w:val="20"/>
                <w:szCs w:val="16"/>
                <w:lang w:val="en-US"/>
              </w:rPr>
              <w:t>Dasatinib (n= 34) and nilotinib (n=14) CP, AP and BC CML:</w:t>
            </w:r>
          </w:p>
          <w:p w:rsidR="00511A49" w:rsidRPr="00F875E6" w:rsidRDefault="00511A49" w:rsidP="00A76AD8">
            <w:pPr>
              <w:keepNext/>
              <w:jc w:val="left"/>
              <w:rPr>
                <w:rFonts w:ascii="Arial Narrow" w:hAnsi="Arial Narrow"/>
                <w:sz w:val="20"/>
                <w:szCs w:val="16"/>
                <w:lang w:val="en-US"/>
              </w:rPr>
            </w:pPr>
            <w:r w:rsidRPr="00F875E6">
              <w:rPr>
                <w:rFonts w:ascii="Arial Narrow" w:hAnsi="Arial Narrow"/>
                <w:sz w:val="20"/>
                <w:szCs w:val="16"/>
                <w:lang w:val="en-US"/>
              </w:rPr>
              <w:t>- switched to 2</w:t>
            </w:r>
            <w:r w:rsidRPr="00F875E6">
              <w:rPr>
                <w:rFonts w:ascii="Arial Narrow" w:hAnsi="Arial Narrow"/>
                <w:sz w:val="20"/>
                <w:szCs w:val="16"/>
                <w:vertAlign w:val="superscript"/>
                <w:lang w:val="en-US"/>
              </w:rPr>
              <w:t>nd</w:t>
            </w:r>
            <w:r w:rsidRPr="00F875E6">
              <w:rPr>
                <w:rFonts w:ascii="Arial Narrow" w:hAnsi="Arial Narrow"/>
                <w:sz w:val="20"/>
                <w:szCs w:val="16"/>
                <w:lang w:val="en-US"/>
              </w:rPr>
              <w:t xml:space="preserve"> or 3</w:t>
            </w:r>
            <w:r w:rsidRPr="00F875E6">
              <w:rPr>
                <w:rFonts w:ascii="Arial Narrow" w:hAnsi="Arial Narrow"/>
                <w:sz w:val="20"/>
                <w:szCs w:val="16"/>
                <w:vertAlign w:val="superscript"/>
                <w:lang w:val="en-US"/>
              </w:rPr>
              <w:t>rd</w:t>
            </w:r>
            <w:r w:rsidRPr="00F875E6">
              <w:rPr>
                <w:rFonts w:ascii="Arial Narrow" w:hAnsi="Arial Narrow"/>
                <w:sz w:val="20"/>
                <w:szCs w:val="16"/>
                <w:lang w:val="en-US"/>
              </w:rPr>
              <w:t xml:space="preserve"> line TKI following treatment failure.</w:t>
            </w:r>
          </w:p>
        </w:tc>
        <w:tc>
          <w:tcPr>
            <w:tcW w:w="1102" w:type="pct"/>
            <w:shd w:val="clear" w:color="auto" w:fill="auto"/>
          </w:tcPr>
          <w:p w:rsidR="00511A49" w:rsidRPr="00F875E6" w:rsidRDefault="00511A49" w:rsidP="00A76AD8">
            <w:pPr>
              <w:keepNext/>
              <w:jc w:val="left"/>
              <w:rPr>
                <w:rFonts w:ascii="Arial Narrow" w:hAnsi="Arial Narrow"/>
                <w:sz w:val="20"/>
                <w:lang w:val="en-US"/>
              </w:rPr>
            </w:pPr>
            <w:r w:rsidRPr="00F875E6">
              <w:rPr>
                <w:rFonts w:ascii="Arial Narrow" w:hAnsi="Arial Narrow"/>
                <w:sz w:val="20"/>
                <w:szCs w:val="16"/>
                <w:lang w:val="en-US"/>
              </w:rPr>
              <w:t>CHR, MCyR (CCyR, PCyR), MMR</w:t>
            </w:r>
          </w:p>
        </w:tc>
      </w:tr>
      <w:tr w:rsidR="00511A49" w:rsidRPr="00F875E6" w:rsidTr="004515CA">
        <w:trPr>
          <w:cantSplit/>
        </w:trPr>
        <w:tc>
          <w:tcPr>
            <w:tcW w:w="676" w:type="pct"/>
            <w:shd w:val="clear" w:color="auto" w:fill="auto"/>
          </w:tcPr>
          <w:p w:rsidR="00511A49" w:rsidRPr="00F875E6" w:rsidRDefault="00511A49" w:rsidP="00A76AD8">
            <w:pPr>
              <w:keepNext/>
              <w:jc w:val="left"/>
              <w:rPr>
                <w:rFonts w:ascii="Arial Narrow" w:hAnsi="Arial Narrow"/>
                <w:sz w:val="20"/>
                <w:szCs w:val="16"/>
                <w:lang w:val="en-US"/>
              </w:rPr>
            </w:pPr>
            <w:r w:rsidRPr="00F875E6">
              <w:rPr>
                <w:rFonts w:ascii="Arial Narrow" w:hAnsi="Arial Narrow"/>
                <w:sz w:val="20"/>
                <w:szCs w:val="16"/>
                <w:lang w:val="en-US"/>
              </w:rPr>
              <w:t>Ibrahim 2010</w:t>
            </w:r>
          </w:p>
        </w:tc>
        <w:tc>
          <w:tcPr>
            <w:tcW w:w="255" w:type="pct"/>
            <w:shd w:val="clear" w:color="auto" w:fill="auto"/>
          </w:tcPr>
          <w:p w:rsidR="00511A49" w:rsidRPr="00F875E6" w:rsidRDefault="00511A49" w:rsidP="00A76AD8">
            <w:pPr>
              <w:keepNext/>
              <w:jc w:val="center"/>
              <w:rPr>
                <w:rFonts w:ascii="Arial Narrow" w:hAnsi="Arial Narrow"/>
                <w:sz w:val="20"/>
                <w:szCs w:val="16"/>
                <w:lang w:val="en-US"/>
              </w:rPr>
            </w:pPr>
            <w:r w:rsidRPr="00F875E6">
              <w:rPr>
                <w:rFonts w:ascii="Arial Narrow" w:hAnsi="Arial Narrow"/>
                <w:sz w:val="20"/>
                <w:szCs w:val="16"/>
                <w:lang w:val="en-US"/>
              </w:rPr>
              <w:t>26</w:t>
            </w:r>
          </w:p>
        </w:tc>
        <w:tc>
          <w:tcPr>
            <w:tcW w:w="1101" w:type="pct"/>
            <w:shd w:val="clear" w:color="auto" w:fill="auto"/>
          </w:tcPr>
          <w:p w:rsidR="00511A49" w:rsidRPr="00F875E6" w:rsidRDefault="00511A49" w:rsidP="00A76AD8">
            <w:pPr>
              <w:keepNext/>
              <w:jc w:val="left"/>
              <w:rPr>
                <w:rFonts w:ascii="Arial Narrow" w:hAnsi="Arial Narrow"/>
                <w:sz w:val="20"/>
                <w:szCs w:val="16"/>
                <w:lang w:val="en-US"/>
              </w:rPr>
            </w:pPr>
            <w:r w:rsidRPr="00F875E6">
              <w:rPr>
                <w:rFonts w:ascii="Arial Narrow" w:hAnsi="Arial Narrow"/>
                <w:sz w:val="20"/>
                <w:szCs w:val="16"/>
                <w:lang w:val="en-US"/>
              </w:rPr>
              <w:t>Observational, SC, SA;</w:t>
            </w:r>
          </w:p>
          <w:p w:rsidR="00511A49" w:rsidRPr="00F875E6" w:rsidRDefault="00511A49" w:rsidP="00A76AD8">
            <w:pPr>
              <w:keepNext/>
              <w:jc w:val="left"/>
              <w:rPr>
                <w:rFonts w:ascii="Arial Narrow" w:hAnsi="Arial Narrow"/>
                <w:sz w:val="20"/>
                <w:szCs w:val="16"/>
                <w:lang w:val="en-US"/>
              </w:rPr>
            </w:pPr>
            <w:r w:rsidRPr="00F875E6">
              <w:rPr>
                <w:rFonts w:ascii="Arial Narrow" w:hAnsi="Arial Narrow"/>
                <w:sz w:val="20"/>
                <w:szCs w:val="16"/>
                <w:lang w:val="en-US"/>
              </w:rPr>
              <w:t>21.5 months</w:t>
            </w:r>
          </w:p>
        </w:tc>
        <w:tc>
          <w:tcPr>
            <w:tcW w:w="338" w:type="pct"/>
            <w:shd w:val="clear" w:color="auto" w:fill="auto"/>
          </w:tcPr>
          <w:p w:rsidR="00511A49" w:rsidRPr="00F875E6" w:rsidRDefault="00511A49" w:rsidP="00A76AD8">
            <w:pPr>
              <w:keepNext/>
              <w:jc w:val="center"/>
              <w:rPr>
                <w:rFonts w:ascii="Arial Narrow" w:hAnsi="Arial Narrow"/>
                <w:sz w:val="20"/>
                <w:lang w:val="en-US"/>
              </w:rPr>
            </w:pPr>
            <w:r w:rsidRPr="00F875E6">
              <w:rPr>
                <w:rFonts w:ascii="Arial Narrow" w:hAnsi="Arial Narrow"/>
                <w:sz w:val="20"/>
                <w:lang w:val="en-US"/>
              </w:rPr>
              <w:t>High</w:t>
            </w:r>
          </w:p>
        </w:tc>
        <w:tc>
          <w:tcPr>
            <w:tcW w:w="1528" w:type="pct"/>
            <w:shd w:val="clear" w:color="auto" w:fill="auto"/>
          </w:tcPr>
          <w:p w:rsidR="00511A49" w:rsidRPr="00F875E6" w:rsidRDefault="00511A49" w:rsidP="00A76AD8">
            <w:pPr>
              <w:keepNext/>
              <w:jc w:val="left"/>
              <w:rPr>
                <w:rFonts w:ascii="Arial Narrow" w:hAnsi="Arial Narrow"/>
                <w:sz w:val="20"/>
                <w:szCs w:val="16"/>
                <w:lang w:val="en-US"/>
              </w:rPr>
            </w:pPr>
            <w:r w:rsidRPr="00F875E6">
              <w:rPr>
                <w:rFonts w:ascii="Arial Narrow" w:hAnsi="Arial Narrow"/>
                <w:sz w:val="20"/>
                <w:szCs w:val="16"/>
                <w:lang w:val="en-US"/>
              </w:rPr>
              <w:t>CP CML:</w:t>
            </w:r>
          </w:p>
          <w:p w:rsidR="00511A49" w:rsidRPr="00F875E6" w:rsidRDefault="00511A49" w:rsidP="00A76AD8">
            <w:pPr>
              <w:keepNext/>
              <w:jc w:val="left"/>
              <w:rPr>
                <w:rFonts w:ascii="Arial Narrow" w:hAnsi="Arial Narrow"/>
                <w:sz w:val="20"/>
                <w:szCs w:val="16"/>
                <w:lang w:val="en-US"/>
              </w:rPr>
            </w:pPr>
            <w:r w:rsidRPr="00F875E6">
              <w:rPr>
                <w:rFonts w:ascii="Arial Narrow" w:hAnsi="Arial Narrow"/>
                <w:sz w:val="20"/>
                <w:szCs w:val="16"/>
                <w:lang w:val="en-US"/>
              </w:rPr>
              <w:t>- treated with dasatinib or nilotinib after failing imatinib.</w:t>
            </w:r>
          </w:p>
        </w:tc>
        <w:tc>
          <w:tcPr>
            <w:tcW w:w="1102" w:type="pct"/>
            <w:shd w:val="clear" w:color="auto" w:fill="auto"/>
          </w:tcPr>
          <w:p w:rsidR="00511A49" w:rsidRPr="00F875E6" w:rsidRDefault="00511A49" w:rsidP="00A76AD8">
            <w:pPr>
              <w:keepNext/>
              <w:jc w:val="left"/>
              <w:rPr>
                <w:rFonts w:ascii="Arial Narrow" w:hAnsi="Arial Narrow"/>
                <w:sz w:val="20"/>
                <w:lang w:val="en-US"/>
              </w:rPr>
            </w:pPr>
            <w:r w:rsidRPr="00F875E6">
              <w:rPr>
                <w:rFonts w:ascii="Arial Narrow" w:hAnsi="Arial Narrow"/>
                <w:sz w:val="20"/>
                <w:szCs w:val="16"/>
                <w:lang w:val="en-US"/>
              </w:rPr>
              <w:t>MCyR, CCyR, MMR</w:t>
            </w:r>
          </w:p>
        </w:tc>
      </w:tr>
      <w:tr w:rsidR="00511A49" w:rsidRPr="00F875E6" w:rsidTr="004515CA">
        <w:trPr>
          <w:cantSplit/>
        </w:trPr>
        <w:tc>
          <w:tcPr>
            <w:tcW w:w="676" w:type="pct"/>
            <w:shd w:val="clear" w:color="auto" w:fill="auto"/>
          </w:tcPr>
          <w:p w:rsidR="00511A49" w:rsidRPr="00F875E6" w:rsidRDefault="00511A49" w:rsidP="00A76AD8">
            <w:pPr>
              <w:keepNext/>
              <w:jc w:val="left"/>
              <w:rPr>
                <w:rFonts w:ascii="Arial Narrow" w:hAnsi="Arial Narrow"/>
                <w:sz w:val="20"/>
                <w:szCs w:val="16"/>
                <w:lang w:val="en-US"/>
              </w:rPr>
            </w:pPr>
            <w:r w:rsidRPr="00F875E6">
              <w:rPr>
                <w:rFonts w:ascii="Arial Narrow" w:hAnsi="Arial Narrow"/>
                <w:sz w:val="20"/>
                <w:szCs w:val="16"/>
                <w:lang w:val="en-US"/>
              </w:rPr>
              <w:t>Rossi 2013</w:t>
            </w:r>
          </w:p>
        </w:tc>
        <w:tc>
          <w:tcPr>
            <w:tcW w:w="255" w:type="pct"/>
            <w:shd w:val="clear" w:color="auto" w:fill="auto"/>
          </w:tcPr>
          <w:p w:rsidR="00511A49" w:rsidRPr="00F875E6" w:rsidRDefault="00511A49" w:rsidP="00A76AD8">
            <w:pPr>
              <w:keepNext/>
              <w:jc w:val="center"/>
              <w:rPr>
                <w:rFonts w:ascii="Arial Narrow" w:hAnsi="Arial Narrow"/>
                <w:sz w:val="20"/>
                <w:szCs w:val="16"/>
                <w:lang w:val="en-US"/>
              </w:rPr>
            </w:pPr>
            <w:r w:rsidRPr="00F875E6">
              <w:rPr>
                <w:rFonts w:ascii="Arial Narrow" w:hAnsi="Arial Narrow"/>
                <w:sz w:val="20"/>
                <w:szCs w:val="16"/>
                <w:lang w:val="en-US"/>
              </w:rPr>
              <w:t>82</w:t>
            </w:r>
          </w:p>
        </w:tc>
        <w:tc>
          <w:tcPr>
            <w:tcW w:w="1101" w:type="pct"/>
            <w:shd w:val="clear" w:color="auto" w:fill="auto"/>
          </w:tcPr>
          <w:p w:rsidR="00511A49" w:rsidRPr="00F875E6" w:rsidRDefault="00511A49" w:rsidP="00A76AD8">
            <w:pPr>
              <w:keepNext/>
              <w:jc w:val="left"/>
              <w:rPr>
                <w:rFonts w:ascii="Arial Narrow" w:hAnsi="Arial Narrow"/>
                <w:sz w:val="20"/>
                <w:szCs w:val="16"/>
                <w:lang w:val="en-US"/>
              </w:rPr>
            </w:pPr>
            <w:r w:rsidRPr="00F875E6">
              <w:rPr>
                <w:rFonts w:ascii="Arial Narrow" w:hAnsi="Arial Narrow"/>
                <w:sz w:val="20"/>
                <w:szCs w:val="16"/>
                <w:lang w:val="en-US"/>
              </w:rPr>
              <w:t>Prospective, observational, SA;</w:t>
            </w:r>
          </w:p>
          <w:p w:rsidR="00511A49" w:rsidRPr="00F875E6" w:rsidRDefault="00511A49" w:rsidP="00A76AD8">
            <w:pPr>
              <w:keepNext/>
              <w:jc w:val="left"/>
              <w:rPr>
                <w:rFonts w:ascii="Arial Narrow" w:hAnsi="Arial Narrow"/>
                <w:sz w:val="20"/>
                <w:szCs w:val="16"/>
                <w:lang w:val="en-US"/>
              </w:rPr>
            </w:pPr>
            <w:r w:rsidRPr="00F875E6">
              <w:rPr>
                <w:rFonts w:ascii="Arial Narrow" w:hAnsi="Arial Narrow"/>
                <w:sz w:val="20"/>
                <w:szCs w:val="16"/>
                <w:lang w:val="en-US"/>
              </w:rPr>
              <w:t>14 months</w:t>
            </w:r>
          </w:p>
        </w:tc>
        <w:tc>
          <w:tcPr>
            <w:tcW w:w="338" w:type="pct"/>
            <w:shd w:val="clear" w:color="auto" w:fill="auto"/>
          </w:tcPr>
          <w:p w:rsidR="00511A49" w:rsidRPr="00F875E6" w:rsidRDefault="00511A49" w:rsidP="00A76AD8">
            <w:pPr>
              <w:keepNext/>
              <w:jc w:val="center"/>
              <w:rPr>
                <w:rFonts w:ascii="Arial Narrow" w:hAnsi="Arial Narrow"/>
                <w:sz w:val="20"/>
                <w:lang w:val="en-US"/>
              </w:rPr>
            </w:pPr>
            <w:r w:rsidRPr="00F875E6">
              <w:rPr>
                <w:rFonts w:ascii="Arial Narrow" w:hAnsi="Arial Narrow"/>
                <w:sz w:val="20"/>
                <w:lang w:val="en-US"/>
              </w:rPr>
              <w:t>High</w:t>
            </w:r>
          </w:p>
        </w:tc>
        <w:tc>
          <w:tcPr>
            <w:tcW w:w="1528" w:type="pct"/>
            <w:shd w:val="clear" w:color="auto" w:fill="auto"/>
          </w:tcPr>
          <w:p w:rsidR="00511A49" w:rsidRPr="00F875E6" w:rsidRDefault="00511A49" w:rsidP="00A76AD8">
            <w:pPr>
              <w:keepNext/>
              <w:jc w:val="left"/>
              <w:rPr>
                <w:rFonts w:ascii="Arial Narrow" w:hAnsi="Arial Narrow"/>
                <w:sz w:val="20"/>
                <w:szCs w:val="16"/>
                <w:lang w:val="en-US"/>
              </w:rPr>
            </w:pPr>
            <w:r w:rsidRPr="00F875E6">
              <w:rPr>
                <w:rFonts w:ascii="Arial Narrow" w:hAnsi="Arial Narrow"/>
                <w:sz w:val="20"/>
                <w:szCs w:val="16"/>
                <w:lang w:val="en-US"/>
              </w:rPr>
              <w:t>CP, AP or BC CML:</w:t>
            </w:r>
          </w:p>
          <w:p w:rsidR="00511A49" w:rsidRPr="00F875E6" w:rsidRDefault="00511A49" w:rsidP="00A76AD8">
            <w:pPr>
              <w:keepNext/>
              <w:jc w:val="left"/>
              <w:rPr>
                <w:rFonts w:ascii="Arial Narrow" w:hAnsi="Arial Narrow"/>
                <w:sz w:val="20"/>
                <w:szCs w:val="16"/>
                <w:lang w:val="en-US"/>
              </w:rPr>
            </w:pPr>
            <w:r w:rsidRPr="00F875E6">
              <w:rPr>
                <w:rFonts w:ascii="Arial Narrow" w:hAnsi="Arial Narrow"/>
                <w:sz w:val="20"/>
                <w:szCs w:val="16"/>
                <w:lang w:val="en-US"/>
              </w:rPr>
              <w:t>- Sequentially treated with 3 TKIs.</w:t>
            </w:r>
          </w:p>
        </w:tc>
        <w:tc>
          <w:tcPr>
            <w:tcW w:w="1102" w:type="pct"/>
            <w:shd w:val="clear" w:color="auto" w:fill="auto"/>
          </w:tcPr>
          <w:p w:rsidR="00511A49" w:rsidRPr="00F875E6" w:rsidRDefault="00511A49" w:rsidP="00A76AD8">
            <w:pPr>
              <w:keepNext/>
              <w:jc w:val="left"/>
              <w:rPr>
                <w:rFonts w:ascii="Arial Narrow" w:hAnsi="Arial Narrow"/>
                <w:sz w:val="20"/>
                <w:lang w:val="en-US"/>
              </w:rPr>
            </w:pPr>
            <w:r w:rsidRPr="00F875E6">
              <w:rPr>
                <w:rFonts w:ascii="Arial Narrow" w:hAnsi="Arial Narrow"/>
                <w:sz w:val="20"/>
                <w:szCs w:val="16"/>
                <w:lang w:val="en-US"/>
              </w:rPr>
              <w:t>CCyR, PCyR, mCyR, CHR, MMR</w:t>
            </w:r>
          </w:p>
        </w:tc>
      </w:tr>
    </w:tbl>
    <w:p w:rsidR="00511A49" w:rsidRPr="00F875E6" w:rsidRDefault="00511A49" w:rsidP="00511A49">
      <w:pPr>
        <w:pStyle w:val="TableFooter"/>
        <w:ind w:firstLine="720"/>
      </w:pPr>
      <w:r w:rsidRPr="00F875E6">
        <w:t>Source: compiled during the evaluation</w:t>
      </w:r>
      <w:r w:rsidR="00693B09" w:rsidRPr="00F875E6">
        <w:t>.</w:t>
      </w:r>
    </w:p>
    <w:p w:rsidR="00511A49" w:rsidRPr="00F875E6" w:rsidRDefault="00511A49" w:rsidP="00511A49">
      <w:pPr>
        <w:pStyle w:val="TableFooter"/>
        <w:ind w:left="720"/>
        <w:rPr>
          <w:b/>
        </w:rPr>
      </w:pPr>
      <w:r w:rsidRPr="00F875E6">
        <w:t>ALL = acute lymphoblastic leukaemia; AML = acute myeloid leukaemia; AP = accelerated phase; BC = blast crisis; CCyR = complete cytogenetic response; CHR = complete haematological response; CML = chronic myeloid leukaemia; CP = chronic phase; MC = multi-centre; MCyR = major cytogenetic response; mCyR = minor cytogenetic response; MHR = major haematological response; MMR = major molecular response; NEL = no evidence of leukaemia; NR = non-randomised; OL = open-label; PCyR = partial cytogenetic response; Ph+ = Philadelphia chromosome positive; SA = single-arm; SC = single centre; TKI = tyrosine kinase inhibitor</w:t>
      </w:r>
      <w:r w:rsidR="00693B09" w:rsidRPr="00F875E6">
        <w:t>.</w:t>
      </w:r>
    </w:p>
    <w:p w:rsidR="00511A49" w:rsidRPr="00F875E6" w:rsidRDefault="00511A49" w:rsidP="00511A49">
      <w:pPr>
        <w:pStyle w:val="PBACheading1"/>
        <w:numPr>
          <w:ilvl w:val="0"/>
          <w:numId w:val="0"/>
        </w:numPr>
        <w:ind w:left="720" w:hanging="720"/>
      </w:pPr>
    </w:p>
    <w:p w:rsidR="00511A49" w:rsidRPr="00F875E6" w:rsidRDefault="00511A49" w:rsidP="00511A49">
      <w:pPr>
        <w:pStyle w:val="Heading2"/>
        <w:rPr>
          <w:i/>
        </w:rPr>
      </w:pPr>
      <w:bookmarkStart w:id="9" w:name="_Toc419470599"/>
      <w:r w:rsidRPr="00F875E6">
        <w:rPr>
          <w:i/>
        </w:rPr>
        <w:t>Comparative effectiveness</w:t>
      </w:r>
      <w:bookmarkEnd w:id="9"/>
    </w:p>
    <w:p w:rsidR="00511A49" w:rsidRPr="00F875E6" w:rsidRDefault="00511A49" w:rsidP="00511A49">
      <w:pPr>
        <w:pStyle w:val="PBACheading1"/>
        <w:numPr>
          <w:ilvl w:val="0"/>
          <w:numId w:val="0"/>
        </w:numPr>
        <w:ind w:left="720" w:hanging="720"/>
      </w:pPr>
    </w:p>
    <w:p w:rsidR="004D4F94" w:rsidRPr="00F875E6" w:rsidRDefault="0061517E" w:rsidP="004D4F94">
      <w:pPr>
        <w:pStyle w:val="ListParagraph"/>
        <w:widowControl/>
        <w:numPr>
          <w:ilvl w:val="1"/>
          <w:numId w:val="4"/>
        </w:numPr>
        <w:rPr>
          <w:szCs w:val="22"/>
        </w:rPr>
      </w:pPr>
      <w:r w:rsidRPr="00F875E6">
        <w:t xml:space="preserve">The new studies included in the re-submission included patients in chronic phase CML only. Therefore, efficacy results were only updated for chronic phase CML. </w:t>
      </w:r>
      <w:r w:rsidR="003302C4" w:rsidRPr="00F875E6">
        <w:t>The complete cytogenetic response for chronic phase CML and major cytogenetic response for accelerated phase and blast crisis CML or Ph+ ALL results are presented in Table 4.</w:t>
      </w:r>
    </w:p>
    <w:p w:rsidR="00511A49" w:rsidRPr="00F875E6" w:rsidRDefault="00511A49" w:rsidP="00511A49">
      <w:pPr>
        <w:pStyle w:val="PBACheading1"/>
        <w:numPr>
          <w:ilvl w:val="0"/>
          <w:numId w:val="0"/>
        </w:numPr>
        <w:ind w:left="720" w:hanging="720"/>
      </w:pPr>
    </w:p>
    <w:p w:rsidR="00511A49" w:rsidRPr="00F875E6" w:rsidRDefault="00511A49" w:rsidP="00BA4F69">
      <w:pPr>
        <w:pStyle w:val="ListParagraph"/>
        <w:keepNext/>
        <w:widowControl/>
        <w:rPr>
          <w:rStyle w:val="CommentReference"/>
        </w:rPr>
      </w:pPr>
      <w:r w:rsidRPr="00F875E6">
        <w:rPr>
          <w:rStyle w:val="CommentReference"/>
        </w:rPr>
        <w:t xml:space="preserve">Table 4: Complete cytogenetic or major cytogenetic response results across the nonrandomised studies </w:t>
      </w:r>
    </w:p>
    <w:tbl>
      <w:tblPr>
        <w:tblW w:w="4602" w:type="pct"/>
        <w:tblInd w:w="737" w:type="dxa"/>
        <w:tblLook w:val="04A0" w:firstRow="1" w:lastRow="0" w:firstColumn="1" w:lastColumn="0" w:noHBand="0" w:noVBand="1"/>
      </w:tblPr>
      <w:tblGrid>
        <w:gridCol w:w="2127"/>
        <w:gridCol w:w="1558"/>
        <w:gridCol w:w="1562"/>
        <w:gridCol w:w="1558"/>
        <w:gridCol w:w="1555"/>
      </w:tblGrid>
      <w:tr w:rsidR="00511A49" w:rsidRPr="00F875E6" w:rsidTr="006A30D7">
        <w:trPr>
          <w:cantSplit/>
          <w:trHeight w:val="20"/>
          <w:tblHeader/>
        </w:trPr>
        <w:tc>
          <w:tcPr>
            <w:tcW w:w="127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11A49" w:rsidRPr="00F875E6" w:rsidRDefault="00511A49" w:rsidP="00BA4F69">
            <w:pPr>
              <w:keepNext/>
              <w:widowControl/>
              <w:jc w:val="left"/>
              <w:rPr>
                <w:rFonts w:ascii="Arial Narrow" w:hAnsi="Arial Narrow" w:cs="Times New Roman"/>
                <w:b/>
                <w:bCs/>
                <w:snapToGrid/>
                <w:color w:val="000000"/>
                <w:sz w:val="20"/>
                <w:lang w:val="en-GB" w:eastAsia="en-GB"/>
              </w:rPr>
            </w:pPr>
            <w:r w:rsidRPr="00F875E6">
              <w:rPr>
                <w:rFonts w:ascii="Arial Narrow" w:hAnsi="Arial Narrow" w:cs="Times New Roman"/>
                <w:b/>
                <w:bCs/>
                <w:snapToGrid/>
                <w:color w:val="000000"/>
                <w:sz w:val="20"/>
                <w:lang w:eastAsia="en-GB"/>
              </w:rPr>
              <w:t>Study</w:t>
            </w:r>
          </w:p>
        </w:tc>
        <w:tc>
          <w:tcPr>
            <w:tcW w:w="932" w:type="pct"/>
            <w:tcBorders>
              <w:top w:val="single" w:sz="4" w:space="0" w:color="auto"/>
              <w:left w:val="nil"/>
              <w:bottom w:val="single" w:sz="4" w:space="0" w:color="auto"/>
              <w:right w:val="double" w:sz="4" w:space="0" w:color="auto"/>
            </w:tcBorders>
            <w:shd w:val="clear" w:color="auto" w:fill="auto"/>
            <w:tcMar>
              <w:left w:w="28" w:type="dxa"/>
              <w:right w:w="28" w:type="dxa"/>
            </w:tcMar>
            <w:vAlign w:val="center"/>
            <w:hideMark/>
          </w:tcPr>
          <w:p w:rsidR="00511A49" w:rsidRPr="00F875E6" w:rsidRDefault="00511A49" w:rsidP="00BA4F69">
            <w:pPr>
              <w:keepNext/>
              <w:widowControl/>
              <w:jc w:val="center"/>
              <w:rPr>
                <w:rFonts w:ascii="Arial Narrow" w:hAnsi="Arial Narrow" w:cs="Times New Roman"/>
                <w:b/>
                <w:bCs/>
                <w:snapToGrid/>
                <w:color w:val="000000"/>
                <w:sz w:val="20"/>
                <w:lang w:eastAsia="en-GB"/>
              </w:rPr>
            </w:pPr>
            <w:r w:rsidRPr="00F875E6">
              <w:rPr>
                <w:rFonts w:ascii="Arial Narrow" w:hAnsi="Arial Narrow" w:cs="Times New Roman"/>
                <w:b/>
                <w:bCs/>
                <w:snapToGrid/>
                <w:color w:val="000000"/>
                <w:sz w:val="20"/>
                <w:lang w:eastAsia="en-GB"/>
              </w:rPr>
              <w:t xml:space="preserve">Ponatinib; </w:t>
            </w:r>
          </w:p>
          <w:p w:rsidR="00511A49" w:rsidRPr="00F875E6" w:rsidRDefault="00511A49" w:rsidP="00BA4F69">
            <w:pPr>
              <w:keepNext/>
              <w:widowControl/>
              <w:jc w:val="center"/>
              <w:rPr>
                <w:rFonts w:ascii="Arial Narrow" w:hAnsi="Arial Narrow" w:cs="Times New Roman"/>
                <w:b/>
                <w:bCs/>
                <w:snapToGrid/>
                <w:color w:val="000000"/>
                <w:sz w:val="20"/>
                <w:lang w:val="en-GB" w:eastAsia="en-GB"/>
              </w:rPr>
            </w:pPr>
            <w:r w:rsidRPr="00F875E6">
              <w:rPr>
                <w:rFonts w:ascii="Arial Narrow" w:hAnsi="Arial Narrow" w:cs="Times New Roman"/>
                <w:b/>
                <w:bCs/>
                <w:snapToGrid/>
                <w:color w:val="000000"/>
                <w:sz w:val="20"/>
                <w:lang w:eastAsia="en-GB"/>
              </w:rPr>
              <w:t>n/N (%)</w:t>
            </w:r>
          </w:p>
        </w:tc>
        <w:tc>
          <w:tcPr>
            <w:tcW w:w="934" w:type="pct"/>
            <w:tcBorders>
              <w:top w:val="single" w:sz="4" w:space="0" w:color="auto"/>
              <w:left w:val="double" w:sz="4" w:space="0" w:color="auto"/>
              <w:bottom w:val="single" w:sz="4" w:space="0" w:color="auto"/>
              <w:right w:val="single" w:sz="4" w:space="0" w:color="auto"/>
            </w:tcBorders>
            <w:shd w:val="clear" w:color="auto" w:fill="auto"/>
            <w:tcMar>
              <w:left w:w="28" w:type="dxa"/>
              <w:right w:w="28" w:type="dxa"/>
            </w:tcMar>
            <w:vAlign w:val="center"/>
            <w:hideMark/>
          </w:tcPr>
          <w:p w:rsidR="00511A49" w:rsidRPr="00F875E6" w:rsidRDefault="00511A49" w:rsidP="00BA4F69">
            <w:pPr>
              <w:keepNext/>
              <w:widowControl/>
              <w:jc w:val="center"/>
              <w:rPr>
                <w:rFonts w:ascii="Arial Narrow" w:hAnsi="Arial Narrow" w:cs="Times New Roman"/>
                <w:b/>
                <w:bCs/>
                <w:snapToGrid/>
                <w:color w:val="000000"/>
                <w:sz w:val="20"/>
                <w:lang w:eastAsia="en-GB"/>
              </w:rPr>
            </w:pPr>
            <w:r w:rsidRPr="00F875E6">
              <w:rPr>
                <w:rFonts w:ascii="Arial Narrow" w:hAnsi="Arial Narrow" w:cs="Times New Roman"/>
                <w:b/>
                <w:bCs/>
                <w:snapToGrid/>
                <w:color w:val="000000"/>
                <w:sz w:val="20"/>
                <w:lang w:eastAsia="en-GB"/>
              </w:rPr>
              <w:t>Dasatinib;</w:t>
            </w:r>
          </w:p>
          <w:p w:rsidR="00511A49" w:rsidRPr="00F875E6" w:rsidRDefault="00511A49" w:rsidP="00BA4F69">
            <w:pPr>
              <w:keepNext/>
              <w:widowControl/>
              <w:jc w:val="center"/>
              <w:rPr>
                <w:rFonts w:ascii="Arial Narrow" w:hAnsi="Arial Narrow" w:cs="Times New Roman"/>
                <w:b/>
                <w:bCs/>
                <w:snapToGrid/>
                <w:color w:val="000000"/>
                <w:sz w:val="20"/>
                <w:lang w:val="en-GB" w:eastAsia="en-GB"/>
              </w:rPr>
            </w:pPr>
            <w:r w:rsidRPr="00F875E6">
              <w:rPr>
                <w:rFonts w:ascii="Arial Narrow" w:hAnsi="Arial Narrow" w:cs="Times New Roman"/>
                <w:b/>
                <w:bCs/>
                <w:snapToGrid/>
                <w:color w:val="000000"/>
                <w:sz w:val="20"/>
                <w:lang w:eastAsia="en-GB"/>
              </w:rPr>
              <w:t>n/N (%)</w:t>
            </w:r>
          </w:p>
        </w:tc>
        <w:tc>
          <w:tcPr>
            <w:tcW w:w="93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511A49" w:rsidRPr="00F875E6" w:rsidRDefault="00511A49" w:rsidP="00BA4F69">
            <w:pPr>
              <w:keepNext/>
              <w:widowControl/>
              <w:jc w:val="center"/>
              <w:rPr>
                <w:rFonts w:ascii="Arial Narrow" w:hAnsi="Arial Narrow" w:cs="Times New Roman"/>
                <w:b/>
                <w:bCs/>
                <w:snapToGrid/>
                <w:color w:val="000000"/>
                <w:sz w:val="20"/>
                <w:lang w:eastAsia="en-GB"/>
              </w:rPr>
            </w:pPr>
            <w:r w:rsidRPr="00F875E6">
              <w:rPr>
                <w:rFonts w:ascii="Arial Narrow" w:hAnsi="Arial Narrow" w:cs="Times New Roman"/>
                <w:b/>
                <w:bCs/>
                <w:snapToGrid/>
                <w:color w:val="000000"/>
                <w:sz w:val="20"/>
                <w:lang w:eastAsia="en-GB"/>
              </w:rPr>
              <w:t xml:space="preserve">Nilotinib; </w:t>
            </w:r>
          </w:p>
          <w:p w:rsidR="00511A49" w:rsidRPr="00F875E6" w:rsidRDefault="00511A49" w:rsidP="00BA4F69">
            <w:pPr>
              <w:keepNext/>
              <w:widowControl/>
              <w:jc w:val="center"/>
              <w:rPr>
                <w:rFonts w:ascii="Arial Narrow" w:hAnsi="Arial Narrow" w:cs="Times New Roman"/>
                <w:b/>
                <w:bCs/>
                <w:snapToGrid/>
                <w:color w:val="000000"/>
                <w:sz w:val="20"/>
                <w:lang w:val="en-GB" w:eastAsia="en-GB"/>
              </w:rPr>
            </w:pPr>
            <w:r w:rsidRPr="00F875E6">
              <w:rPr>
                <w:rFonts w:ascii="Arial Narrow" w:hAnsi="Arial Narrow" w:cs="Times New Roman"/>
                <w:b/>
                <w:bCs/>
                <w:snapToGrid/>
                <w:color w:val="000000"/>
                <w:sz w:val="20"/>
                <w:lang w:eastAsia="en-GB"/>
              </w:rPr>
              <w:t>n/N (%)</w:t>
            </w:r>
          </w:p>
        </w:tc>
        <w:tc>
          <w:tcPr>
            <w:tcW w:w="9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511A49" w:rsidRPr="00F875E6" w:rsidRDefault="00511A49" w:rsidP="00BA4F69">
            <w:pPr>
              <w:keepNext/>
              <w:widowControl/>
              <w:jc w:val="center"/>
              <w:rPr>
                <w:rFonts w:ascii="Arial Narrow" w:hAnsi="Arial Narrow" w:cs="Times New Roman"/>
                <w:b/>
                <w:bCs/>
                <w:snapToGrid/>
                <w:color w:val="000000"/>
                <w:sz w:val="20"/>
                <w:lang w:val="en-GB" w:eastAsia="en-GB"/>
              </w:rPr>
            </w:pPr>
            <w:r w:rsidRPr="00F875E6">
              <w:rPr>
                <w:rFonts w:ascii="Arial Narrow" w:hAnsi="Arial Narrow" w:cs="Times New Roman"/>
                <w:b/>
                <w:bCs/>
                <w:snapToGrid/>
                <w:color w:val="000000"/>
                <w:sz w:val="20"/>
                <w:lang w:eastAsia="en-GB"/>
              </w:rPr>
              <w:t>Dasatinib or nilotinib; n/N (%)</w:t>
            </w:r>
          </w:p>
        </w:tc>
      </w:tr>
      <w:tr w:rsidR="00511A49" w:rsidRPr="00F875E6" w:rsidTr="006A30D7">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rsidR="00511A49" w:rsidRPr="00F875E6" w:rsidRDefault="00511A49" w:rsidP="00BA4F69">
            <w:pPr>
              <w:keepNext/>
              <w:widowControl/>
              <w:jc w:val="left"/>
              <w:rPr>
                <w:rFonts w:ascii="Arial Narrow" w:hAnsi="Arial Narrow" w:cs="Times New Roman"/>
                <w:b/>
                <w:bCs/>
                <w:snapToGrid/>
                <w:color w:val="000000"/>
                <w:sz w:val="20"/>
                <w:lang w:eastAsia="en-GB"/>
              </w:rPr>
            </w:pPr>
            <w:r w:rsidRPr="00F875E6">
              <w:rPr>
                <w:rFonts w:ascii="Arial Narrow" w:hAnsi="Arial Narrow" w:cs="Times New Roman"/>
                <w:b/>
                <w:bCs/>
                <w:snapToGrid/>
                <w:color w:val="000000"/>
                <w:sz w:val="20"/>
                <w:lang w:eastAsia="en-GB"/>
              </w:rPr>
              <w:t>Chronic phase CML – CCyR</w:t>
            </w:r>
          </w:p>
        </w:tc>
      </w:tr>
      <w:tr w:rsidR="00511A49" w:rsidRPr="00F875E6" w:rsidTr="006A30D7">
        <w:trPr>
          <w:trHeight w:val="20"/>
        </w:trPr>
        <w:tc>
          <w:tcPr>
            <w:tcW w:w="127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11A49" w:rsidRPr="00F875E6" w:rsidRDefault="00511A49" w:rsidP="00BA4F69">
            <w:pPr>
              <w:keepNext/>
              <w:widowControl/>
              <w:jc w:val="left"/>
              <w:rPr>
                <w:rFonts w:ascii="Arial Narrow" w:hAnsi="Arial Narrow" w:cs="Times New Roman"/>
                <w:snapToGrid/>
                <w:color w:val="000000"/>
                <w:sz w:val="20"/>
                <w:lang w:val="en-GB" w:eastAsia="en-GB"/>
              </w:rPr>
            </w:pPr>
            <w:r w:rsidRPr="00F875E6">
              <w:rPr>
                <w:rFonts w:ascii="Arial Narrow" w:hAnsi="Arial Narrow" w:cs="Times New Roman"/>
                <w:snapToGrid/>
                <w:color w:val="000000"/>
                <w:sz w:val="20"/>
                <w:lang w:eastAsia="en-GB"/>
              </w:rPr>
              <w:t xml:space="preserve">PACE </w:t>
            </w:r>
            <w:r w:rsidRPr="00F875E6">
              <w:rPr>
                <w:rFonts w:ascii="Arial Narrow" w:hAnsi="Arial Narrow" w:cs="Times New Roman"/>
                <w:snapToGrid/>
                <w:color w:val="000000"/>
                <w:sz w:val="20"/>
                <w:vertAlign w:val="superscript"/>
                <w:lang w:eastAsia="en-GB"/>
              </w:rPr>
              <w:t>a</w:t>
            </w:r>
          </w:p>
        </w:tc>
        <w:tc>
          <w:tcPr>
            <w:tcW w:w="932" w:type="pct"/>
            <w:tcBorders>
              <w:top w:val="nil"/>
              <w:left w:val="nil"/>
              <w:bottom w:val="single" w:sz="4" w:space="0" w:color="auto"/>
              <w:right w:val="double" w:sz="4" w:space="0" w:color="auto"/>
            </w:tcBorders>
            <w:shd w:val="clear" w:color="auto" w:fill="auto"/>
            <w:tcMar>
              <w:left w:w="28" w:type="dxa"/>
              <w:right w:w="28" w:type="dxa"/>
            </w:tcMar>
            <w:vAlign w:val="center"/>
            <w:hideMark/>
          </w:tcPr>
          <w:p w:rsidR="00511A49" w:rsidRPr="00F875E6" w:rsidRDefault="00511A49" w:rsidP="00BA4F69">
            <w:pPr>
              <w:keepNext/>
              <w:widowControl/>
              <w:jc w:val="center"/>
              <w:rPr>
                <w:rFonts w:ascii="Arial Narrow" w:hAnsi="Arial Narrow" w:cs="Times New Roman"/>
                <w:snapToGrid/>
                <w:color w:val="000000"/>
                <w:sz w:val="20"/>
                <w:lang w:val="en-GB" w:eastAsia="en-GB"/>
              </w:rPr>
            </w:pPr>
            <w:r w:rsidRPr="00F875E6">
              <w:rPr>
                <w:rFonts w:ascii="Arial Narrow" w:hAnsi="Arial Narrow" w:cs="Times New Roman"/>
                <w:snapToGrid/>
                <w:color w:val="000000"/>
                <w:sz w:val="20"/>
                <w:lang w:eastAsia="en-GB"/>
              </w:rPr>
              <w:t>118/267 (44%)</w:t>
            </w:r>
          </w:p>
        </w:tc>
        <w:tc>
          <w:tcPr>
            <w:tcW w:w="934" w:type="pct"/>
            <w:tcBorders>
              <w:top w:val="nil"/>
              <w:left w:val="double" w:sz="4" w:space="0" w:color="auto"/>
              <w:bottom w:val="single" w:sz="4" w:space="0" w:color="auto"/>
              <w:right w:val="single" w:sz="4" w:space="0" w:color="auto"/>
            </w:tcBorders>
            <w:shd w:val="clear" w:color="000000" w:fill="7F7F7F"/>
            <w:tcMar>
              <w:left w:w="28" w:type="dxa"/>
              <w:right w:w="28" w:type="dxa"/>
            </w:tcMar>
            <w:vAlign w:val="center"/>
            <w:hideMark/>
          </w:tcPr>
          <w:p w:rsidR="00511A49" w:rsidRPr="00F875E6" w:rsidRDefault="00511A49" w:rsidP="00BA4F69">
            <w:pPr>
              <w:keepNext/>
              <w:widowControl/>
              <w:jc w:val="center"/>
              <w:rPr>
                <w:rFonts w:ascii="Arial Narrow" w:hAnsi="Arial Narrow" w:cs="Times New Roman"/>
                <w:snapToGrid/>
                <w:color w:val="000000"/>
                <w:sz w:val="20"/>
                <w:lang w:val="en-GB" w:eastAsia="en-GB"/>
              </w:rPr>
            </w:pPr>
          </w:p>
        </w:tc>
        <w:tc>
          <w:tcPr>
            <w:tcW w:w="932" w:type="pct"/>
            <w:tcBorders>
              <w:top w:val="nil"/>
              <w:left w:val="nil"/>
              <w:bottom w:val="single" w:sz="4" w:space="0" w:color="auto"/>
              <w:right w:val="single" w:sz="4" w:space="0" w:color="auto"/>
            </w:tcBorders>
            <w:shd w:val="clear" w:color="000000" w:fill="7F7F7F"/>
            <w:tcMar>
              <w:left w:w="28" w:type="dxa"/>
              <w:right w:w="28" w:type="dxa"/>
            </w:tcMar>
            <w:vAlign w:val="center"/>
            <w:hideMark/>
          </w:tcPr>
          <w:p w:rsidR="00511A49" w:rsidRPr="00F875E6" w:rsidRDefault="00511A49" w:rsidP="00BA4F69">
            <w:pPr>
              <w:keepNext/>
              <w:widowControl/>
              <w:jc w:val="center"/>
              <w:rPr>
                <w:rFonts w:ascii="Arial Narrow" w:hAnsi="Arial Narrow" w:cs="Times New Roman"/>
                <w:snapToGrid/>
                <w:color w:val="000000"/>
                <w:sz w:val="20"/>
                <w:lang w:val="en-GB" w:eastAsia="en-GB"/>
              </w:rPr>
            </w:pPr>
          </w:p>
        </w:tc>
        <w:tc>
          <w:tcPr>
            <w:tcW w:w="930" w:type="pct"/>
            <w:tcBorders>
              <w:top w:val="nil"/>
              <w:left w:val="nil"/>
              <w:bottom w:val="single" w:sz="4" w:space="0" w:color="auto"/>
              <w:right w:val="single" w:sz="4" w:space="0" w:color="auto"/>
            </w:tcBorders>
            <w:shd w:val="clear" w:color="000000" w:fill="7F7F7F"/>
            <w:tcMar>
              <w:left w:w="28" w:type="dxa"/>
              <w:right w:w="28" w:type="dxa"/>
            </w:tcMar>
            <w:vAlign w:val="center"/>
            <w:hideMark/>
          </w:tcPr>
          <w:p w:rsidR="00511A49" w:rsidRPr="00F875E6" w:rsidRDefault="00511A49" w:rsidP="00BA4F69">
            <w:pPr>
              <w:keepNext/>
              <w:widowControl/>
              <w:jc w:val="center"/>
              <w:rPr>
                <w:rFonts w:ascii="Arial Narrow" w:hAnsi="Arial Narrow" w:cs="Times New Roman"/>
                <w:snapToGrid/>
                <w:color w:val="000000"/>
                <w:sz w:val="20"/>
                <w:lang w:val="en-GB" w:eastAsia="en-GB"/>
              </w:rPr>
            </w:pPr>
          </w:p>
        </w:tc>
      </w:tr>
      <w:tr w:rsidR="00511A49" w:rsidRPr="00F875E6" w:rsidTr="006A30D7">
        <w:trPr>
          <w:trHeight w:val="20"/>
        </w:trPr>
        <w:tc>
          <w:tcPr>
            <w:tcW w:w="127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11A49" w:rsidRPr="00F875E6" w:rsidRDefault="00511A49" w:rsidP="00BA4F69">
            <w:pPr>
              <w:keepNext/>
              <w:widowControl/>
              <w:jc w:val="left"/>
              <w:rPr>
                <w:rFonts w:ascii="Arial Narrow" w:hAnsi="Arial Narrow" w:cs="Times New Roman"/>
                <w:snapToGrid/>
                <w:color w:val="000000"/>
                <w:sz w:val="20"/>
                <w:lang w:val="en-GB" w:eastAsia="en-GB"/>
              </w:rPr>
            </w:pPr>
            <w:r w:rsidRPr="00F875E6">
              <w:rPr>
                <w:rFonts w:ascii="Arial Narrow" w:hAnsi="Arial Narrow" w:cs="Times New Roman"/>
                <w:snapToGrid/>
                <w:color w:val="000000"/>
                <w:sz w:val="20"/>
                <w:lang w:eastAsia="en-GB"/>
              </w:rPr>
              <w:t>Study 101</w:t>
            </w:r>
          </w:p>
        </w:tc>
        <w:tc>
          <w:tcPr>
            <w:tcW w:w="932" w:type="pct"/>
            <w:tcBorders>
              <w:top w:val="nil"/>
              <w:left w:val="nil"/>
              <w:bottom w:val="single" w:sz="4" w:space="0" w:color="auto"/>
              <w:right w:val="double" w:sz="4" w:space="0" w:color="auto"/>
            </w:tcBorders>
            <w:shd w:val="clear" w:color="auto" w:fill="auto"/>
            <w:tcMar>
              <w:left w:w="28" w:type="dxa"/>
              <w:right w:w="28" w:type="dxa"/>
            </w:tcMar>
            <w:vAlign w:val="center"/>
            <w:hideMark/>
          </w:tcPr>
          <w:p w:rsidR="00511A49" w:rsidRPr="00F875E6" w:rsidRDefault="00511A49" w:rsidP="00BA4F69">
            <w:pPr>
              <w:keepNext/>
              <w:widowControl/>
              <w:jc w:val="center"/>
              <w:rPr>
                <w:rFonts w:ascii="Arial Narrow" w:hAnsi="Arial Narrow" w:cs="Times New Roman"/>
                <w:snapToGrid/>
                <w:color w:val="000000"/>
                <w:sz w:val="20"/>
                <w:lang w:val="en-GB" w:eastAsia="en-GB"/>
              </w:rPr>
            </w:pPr>
            <w:r w:rsidRPr="00F875E6">
              <w:rPr>
                <w:rFonts w:ascii="Arial Narrow" w:hAnsi="Arial Narrow" w:cs="Times New Roman"/>
                <w:snapToGrid/>
                <w:color w:val="000000"/>
                <w:sz w:val="20"/>
                <w:lang w:eastAsia="en-GB"/>
              </w:rPr>
              <w:t>28/43 (65%)</w:t>
            </w:r>
          </w:p>
        </w:tc>
        <w:tc>
          <w:tcPr>
            <w:tcW w:w="934" w:type="pct"/>
            <w:tcBorders>
              <w:top w:val="nil"/>
              <w:left w:val="double" w:sz="4" w:space="0" w:color="auto"/>
              <w:bottom w:val="single" w:sz="4" w:space="0" w:color="auto"/>
              <w:right w:val="single" w:sz="4" w:space="0" w:color="auto"/>
            </w:tcBorders>
            <w:shd w:val="clear" w:color="auto" w:fill="808080" w:themeFill="background1" w:themeFillShade="80"/>
            <w:tcMar>
              <w:left w:w="28" w:type="dxa"/>
              <w:right w:w="28" w:type="dxa"/>
            </w:tcMar>
            <w:vAlign w:val="center"/>
            <w:hideMark/>
          </w:tcPr>
          <w:p w:rsidR="00511A49" w:rsidRPr="00F875E6" w:rsidRDefault="00511A49" w:rsidP="00BA4F69">
            <w:pPr>
              <w:keepNext/>
              <w:widowControl/>
              <w:jc w:val="center"/>
              <w:rPr>
                <w:rFonts w:ascii="Arial Narrow" w:hAnsi="Arial Narrow" w:cs="Times New Roman"/>
                <w:snapToGrid/>
                <w:color w:val="000000"/>
                <w:sz w:val="20"/>
                <w:lang w:val="en-GB" w:eastAsia="en-GB"/>
              </w:rPr>
            </w:pPr>
          </w:p>
        </w:tc>
        <w:tc>
          <w:tcPr>
            <w:tcW w:w="932" w:type="pct"/>
            <w:tcBorders>
              <w:top w:val="nil"/>
              <w:left w:val="nil"/>
              <w:bottom w:val="single" w:sz="4" w:space="0" w:color="auto"/>
              <w:right w:val="single" w:sz="4" w:space="0" w:color="auto"/>
            </w:tcBorders>
            <w:shd w:val="clear" w:color="auto" w:fill="808080" w:themeFill="background1" w:themeFillShade="80"/>
            <w:tcMar>
              <w:left w:w="28" w:type="dxa"/>
              <w:right w:w="28" w:type="dxa"/>
            </w:tcMar>
            <w:vAlign w:val="center"/>
            <w:hideMark/>
          </w:tcPr>
          <w:p w:rsidR="00511A49" w:rsidRPr="00F875E6" w:rsidRDefault="00511A49" w:rsidP="00BA4F69">
            <w:pPr>
              <w:keepNext/>
              <w:widowControl/>
              <w:jc w:val="center"/>
              <w:rPr>
                <w:rFonts w:ascii="Arial Narrow" w:hAnsi="Arial Narrow" w:cs="Times New Roman"/>
                <w:snapToGrid/>
                <w:color w:val="000000"/>
                <w:sz w:val="20"/>
                <w:lang w:val="en-GB" w:eastAsia="en-GB"/>
              </w:rPr>
            </w:pPr>
          </w:p>
        </w:tc>
        <w:tc>
          <w:tcPr>
            <w:tcW w:w="930" w:type="pct"/>
            <w:tcBorders>
              <w:top w:val="nil"/>
              <w:left w:val="nil"/>
              <w:bottom w:val="single" w:sz="4" w:space="0" w:color="auto"/>
              <w:right w:val="single" w:sz="4" w:space="0" w:color="auto"/>
            </w:tcBorders>
            <w:shd w:val="clear" w:color="000000" w:fill="7F7F7F"/>
            <w:tcMar>
              <w:left w:w="28" w:type="dxa"/>
              <w:right w:w="28" w:type="dxa"/>
            </w:tcMar>
            <w:vAlign w:val="center"/>
            <w:hideMark/>
          </w:tcPr>
          <w:p w:rsidR="00511A49" w:rsidRPr="00F875E6" w:rsidRDefault="00511A49" w:rsidP="00BA4F69">
            <w:pPr>
              <w:keepNext/>
              <w:widowControl/>
              <w:jc w:val="center"/>
              <w:rPr>
                <w:rFonts w:ascii="Arial Narrow" w:hAnsi="Arial Narrow" w:cs="Times New Roman"/>
                <w:snapToGrid/>
                <w:color w:val="000000"/>
                <w:sz w:val="20"/>
                <w:lang w:val="en-GB" w:eastAsia="en-GB"/>
              </w:rPr>
            </w:pPr>
          </w:p>
        </w:tc>
      </w:tr>
      <w:tr w:rsidR="00511A49" w:rsidRPr="00F875E6" w:rsidTr="00F34B9F">
        <w:trPr>
          <w:trHeight w:val="20"/>
        </w:trPr>
        <w:tc>
          <w:tcPr>
            <w:tcW w:w="127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511A49" w:rsidRPr="00F875E6" w:rsidRDefault="00511A49" w:rsidP="00BA4F69">
            <w:pPr>
              <w:keepNext/>
              <w:widowControl/>
              <w:jc w:val="left"/>
              <w:rPr>
                <w:rFonts w:ascii="Arial Narrow" w:hAnsi="Arial Narrow" w:cs="Times New Roman"/>
                <w:snapToGrid/>
                <w:color w:val="000000"/>
                <w:sz w:val="20"/>
                <w:lang w:eastAsia="en-GB"/>
              </w:rPr>
            </w:pPr>
            <w:r w:rsidRPr="00F875E6">
              <w:rPr>
                <w:rFonts w:ascii="Arial Narrow" w:hAnsi="Arial Narrow" w:cs="Times New Roman"/>
                <w:snapToGrid/>
                <w:color w:val="000000"/>
                <w:sz w:val="20"/>
                <w:lang w:eastAsia="en-GB"/>
              </w:rPr>
              <w:t xml:space="preserve">Milojkovic 2014 </w:t>
            </w:r>
            <w:r w:rsidRPr="00F875E6">
              <w:rPr>
                <w:rFonts w:ascii="Arial Narrow" w:hAnsi="Arial Narrow" w:cs="Times New Roman"/>
                <w:snapToGrid/>
                <w:color w:val="000000"/>
                <w:sz w:val="20"/>
                <w:vertAlign w:val="superscript"/>
                <w:lang w:eastAsia="en-GB"/>
              </w:rPr>
              <w:t>b</w:t>
            </w:r>
          </w:p>
        </w:tc>
        <w:tc>
          <w:tcPr>
            <w:tcW w:w="932" w:type="pct"/>
            <w:tcBorders>
              <w:top w:val="nil"/>
              <w:left w:val="nil"/>
              <w:bottom w:val="single" w:sz="4" w:space="0" w:color="auto"/>
              <w:right w:val="double" w:sz="4" w:space="0" w:color="auto"/>
            </w:tcBorders>
            <w:shd w:val="clear" w:color="auto" w:fill="auto"/>
            <w:tcMar>
              <w:left w:w="28" w:type="dxa"/>
              <w:right w:w="28" w:type="dxa"/>
            </w:tcMar>
            <w:vAlign w:val="center"/>
          </w:tcPr>
          <w:p w:rsidR="00511A49" w:rsidRPr="00F875E6" w:rsidRDefault="00511A49" w:rsidP="00BA4F69">
            <w:pPr>
              <w:keepNext/>
              <w:widowControl/>
              <w:jc w:val="center"/>
              <w:rPr>
                <w:rFonts w:ascii="Arial Narrow" w:hAnsi="Arial Narrow" w:cs="Times New Roman"/>
                <w:i/>
                <w:snapToGrid/>
                <w:color w:val="000000"/>
                <w:sz w:val="20"/>
                <w:lang w:val="en-GB" w:eastAsia="en-GB"/>
              </w:rPr>
            </w:pPr>
            <w:r w:rsidRPr="00F875E6">
              <w:rPr>
                <w:rFonts w:ascii="Arial Narrow" w:hAnsi="Arial Narrow" w:cs="Times New Roman"/>
                <w:i/>
                <w:snapToGrid/>
                <w:color w:val="000000"/>
                <w:sz w:val="20"/>
                <w:lang w:val="en-GB" w:eastAsia="en-GB"/>
              </w:rPr>
              <w:t>12/36 (33%)</w:t>
            </w:r>
          </w:p>
        </w:tc>
        <w:tc>
          <w:tcPr>
            <w:tcW w:w="934" w:type="pct"/>
            <w:tcBorders>
              <w:top w:val="nil"/>
              <w:left w:val="double" w:sz="4" w:space="0" w:color="auto"/>
              <w:bottom w:val="single" w:sz="4" w:space="0" w:color="auto"/>
              <w:right w:val="single" w:sz="4" w:space="0" w:color="auto"/>
            </w:tcBorders>
            <w:shd w:val="clear" w:color="auto" w:fill="808080" w:themeFill="background1" w:themeFillShade="80"/>
            <w:tcMar>
              <w:left w:w="28" w:type="dxa"/>
              <w:right w:w="28" w:type="dxa"/>
            </w:tcMar>
            <w:vAlign w:val="center"/>
          </w:tcPr>
          <w:p w:rsidR="00511A49" w:rsidRPr="00F875E6" w:rsidRDefault="00511A49" w:rsidP="00BA4F69">
            <w:pPr>
              <w:keepNext/>
              <w:widowControl/>
              <w:jc w:val="center"/>
              <w:rPr>
                <w:rFonts w:ascii="Arial Narrow" w:hAnsi="Arial Narrow" w:cs="Times New Roman"/>
                <w:i/>
                <w:snapToGrid/>
                <w:color w:val="000000"/>
                <w:sz w:val="20"/>
                <w:lang w:eastAsia="en-GB"/>
              </w:rPr>
            </w:pPr>
          </w:p>
        </w:tc>
        <w:tc>
          <w:tcPr>
            <w:tcW w:w="932" w:type="pct"/>
            <w:tcBorders>
              <w:top w:val="nil"/>
              <w:left w:val="nil"/>
              <w:bottom w:val="single" w:sz="4" w:space="0" w:color="auto"/>
              <w:right w:val="single" w:sz="4" w:space="0" w:color="auto"/>
            </w:tcBorders>
            <w:shd w:val="clear" w:color="auto" w:fill="808080" w:themeFill="background1" w:themeFillShade="80"/>
            <w:tcMar>
              <w:left w:w="28" w:type="dxa"/>
              <w:right w:w="28" w:type="dxa"/>
            </w:tcMar>
            <w:vAlign w:val="center"/>
          </w:tcPr>
          <w:p w:rsidR="00511A49" w:rsidRPr="00F875E6" w:rsidRDefault="00511A49" w:rsidP="00BA4F69">
            <w:pPr>
              <w:keepNext/>
              <w:widowControl/>
              <w:jc w:val="center"/>
              <w:rPr>
                <w:rFonts w:ascii="Arial Narrow" w:hAnsi="Arial Narrow" w:cs="Times New Roman"/>
                <w:snapToGrid/>
                <w:color w:val="000000"/>
                <w:sz w:val="20"/>
                <w:lang w:val="en-GB" w:eastAsia="en-GB"/>
              </w:rPr>
            </w:pPr>
          </w:p>
        </w:tc>
        <w:tc>
          <w:tcPr>
            <w:tcW w:w="930" w:type="pct"/>
            <w:tcBorders>
              <w:top w:val="nil"/>
              <w:left w:val="nil"/>
              <w:bottom w:val="single" w:sz="4" w:space="0" w:color="auto"/>
              <w:right w:val="single" w:sz="4" w:space="0" w:color="auto"/>
            </w:tcBorders>
            <w:shd w:val="clear" w:color="000000" w:fill="808080"/>
            <w:tcMar>
              <w:left w:w="28" w:type="dxa"/>
              <w:right w:w="28" w:type="dxa"/>
            </w:tcMar>
            <w:vAlign w:val="center"/>
          </w:tcPr>
          <w:p w:rsidR="00511A49" w:rsidRPr="00F875E6" w:rsidRDefault="00511A49" w:rsidP="00BA4F69">
            <w:pPr>
              <w:keepNext/>
              <w:widowControl/>
              <w:jc w:val="center"/>
              <w:rPr>
                <w:rFonts w:ascii="Arial Narrow" w:hAnsi="Arial Narrow" w:cs="Times New Roman"/>
                <w:snapToGrid/>
                <w:color w:val="000000"/>
                <w:sz w:val="20"/>
                <w:lang w:val="en-GB" w:eastAsia="en-GB"/>
              </w:rPr>
            </w:pPr>
          </w:p>
        </w:tc>
      </w:tr>
      <w:tr w:rsidR="00511A49" w:rsidRPr="00F875E6" w:rsidTr="006A30D7">
        <w:trPr>
          <w:trHeight w:val="20"/>
        </w:trPr>
        <w:tc>
          <w:tcPr>
            <w:tcW w:w="127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11A49" w:rsidRPr="00F875E6" w:rsidRDefault="00511A49" w:rsidP="006A30D7">
            <w:pPr>
              <w:jc w:val="left"/>
              <w:rPr>
                <w:rFonts w:ascii="Arial Narrow" w:hAnsi="Arial Narrow" w:cs="Times New Roman"/>
                <w:snapToGrid/>
                <w:color w:val="000000"/>
                <w:sz w:val="20"/>
                <w:lang w:val="en-GB" w:eastAsia="en-GB"/>
              </w:rPr>
            </w:pPr>
            <w:r w:rsidRPr="00F875E6">
              <w:rPr>
                <w:rFonts w:ascii="Arial Narrow" w:hAnsi="Arial Narrow" w:cs="Times New Roman"/>
                <w:snapToGrid/>
                <w:color w:val="000000"/>
                <w:sz w:val="20"/>
                <w:lang w:eastAsia="en-GB"/>
              </w:rPr>
              <w:t>Quintas-Cardama 2007</w:t>
            </w:r>
          </w:p>
        </w:tc>
        <w:tc>
          <w:tcPr>
            <w:tcW w:w="932" w:type="pct"/>
            <w:tcBorders>
              <w:top w:val="nil"/>
              <w:left w:val="nil"/>
              <w:bottom w:val="single" w:sz="4" w:space="0" w:color="auto"/>
              <w:right w:val="double" w:sz="4" w:space="0" w:color="auto"/>
            </w:tcBorders>
            <w:shd w:val="clear" w:color="000000" w:fill="7F7F7F"/>
            <w:tcMar>
              <w:left w:w="28" w:type="dxa"/>
              <w:right w:w="28" w:type="dxa"/>
            </w:tcMar>
            <w:vAlign w:val="center"/>
            <w:hideMark/>
          </w:tcPr>
          <w:p w:rsidR="00511A49" w:rsidRPr="00F875E6" w:rsidRDefault="00511A49" w:rsidP="006A30D7">
            <w:pPr>
              <w:jc w:val="center"/>
              <w:rPr>
                <w:rFonts w:ascii="Arial Narrow" w:hAnsi="Arial Narrow" w:cs="Times New Roman"/>
                <w:snapToGrid/>
                <w:color w:val="000000"/>
                <w:sz w:val="20"/>
                <w:lang w:val="en-GB" w:eastAsia="en-GB"/>
              </w:rPr>
            </w:pPr>
          </w:p>
        </w:tc>
        <w:tc>
          <w:tcPr>
            <w:tcW w:w="934" w:type="pct"/>
            <w:tcBorders>
              <w:top w:val="nil"/>
              <w:left w:val="double" w:sz="4" w:space="0" w:color="auto"/>
              <w:bottom w:val="single" w:sz="4" w:space="0" w:color="auto"/>
              <w:right w:val="single" w:sz="4" w:space="0" w:color="auto"/>
            </w:tcBorders>
            <w:shd w:val="clear" w:color="auto" w:fill="auto"/>
            <w:tcMar>
              <w:left w:w="28" w:type="dxa"/>
              <w:right w:w="28" w:type="dxa"/>
            </w:tcMar>
            <w:vAlign w:val="center"/>
            <w:hideMark/>
          </w:tcPr>
          <w:p w:rsidR="00511A49" w:rsidRPr="00F875E6" w:rsidRDefault="00511A49" w:rsidP="006A30D7">
            <w:pPr>
              <w:jc w:val="center"/>
              <w:rPr>
                <w:rFonts w:ascii="Arial Narrow" w:hAnsi="Arial Narrow" w:cs="Times New Roman"/>
                <w:snapToGrid/>
                <w:color w:val="000000"/>
                <w:sz w:val="20"/>
                <w:lang w:val="en-GB" w:eastAsia="en-GB"/>
              </w:rPr>
            </w:pPr>
            <w:r w:rsidRPr="00F875E6">
              <w:rPr>
                <w:rFonts w:ascii="Arial Narrow" w:hAnsi="Arial Narrow" w:cs="Times New Roman"/>
                <w:snapToGrid/>
                <w:color w:val="000000"/>
                <w:sz w:val="20"/>
                <w:lang w:eastAsia="en-GB"/>
              </w:rPr>
              <w:t xml:space="preserve">0/4 (0%) </w:t>
            </w:r>
            <w:r w:rsidRPr="00F875E6">
              <w:rPr>
                <w:rFonts w:ascii="Arial Narrow" w:hAnsi="Arial Narrow" w:cs="Times New Roman"/>
                <w:snapToGrid/>
                <w:color w:val="000000"/>
                <w:sz w:val="20"/>
                <w:vertAlign w:val="superscript"/>
                <w:lang w:eastAsia="en-GB"/>
              </w:rPr>
              <w:t>c</w:t>
            </w:r>
          </w:p>
        </w:tc>
        <w:tc>
          <w:tcPr>
            <w:tcW w:w="932" w:type="pct"/>
            <w:tcBorders>
              <w:top w:val="nil"/>
              <w:left w:val="nil"/>
              <w:bottom w:val="single" w:sz="4" w:space="0" w:color="auto"/>
              <w:right w:val="single" w:sz="4" w:space="0" w:color="auto"/>
            </w:tcBorders>
            <w:shd w:val="clear" w:color="000000" w:fill="808080"/>
            <w:tcMar>
              <w:left w:w="28" w:type="dxa"/>
              <w:right w:w="28" w:type="dxa"/>
            </w:tcMar>
            <w:vAlign w:val="center"/>
            <w:hideMark/>
          </w:tcPr>
          <w:p w:rsidR="00511A49" w:rsidRPr="00F875E6" w:rsidRDefault="00511A49" w:rsidP="006A30D7">
            <w:pPr>
              <w:jc w:val="center"/>
              <w:rPr>
                <w:rFonts w:ascii="Arial Narrow" w:hAnsi="Arial Narrow" w:cs="Times New Roman"/>
                <w:snapToGrid/>
                <w:color w:val="000000"/>
                <w:sz w:val="20"/>
                <w:lang w:val="en-GB" w:eastAsia="en-GB"/>
              </w:rPr>
            </w:pPr>
          </w:p>
        </w:tc>
        <w:tc>
          <w:tcPr>
            <w:tcW w:w="930" w:type="pct"/>
            <w:tcBorders>
              <w:top w:val="nil"/>
              <w:left w:val="nil"/>
              <w:bottom w:val="single" w:sz="4" w:space="0" w:color="auto"/>
              <w:right w:val="single" w:sz="4" w:space="0" w:color="auto"/>
            </w:tcBorders>
            <w:shd w:val="clear" w:color="000000" w:fill="808080"/>
            <w:tcMar>
              <w:left w:w="28" w:type="dxa"/>
              <w:right w:w="28" w:type="dxa"/>
            </w:tcMar>
            <w:vAlign w:val="center"/>
          </w:tcPr>
          <w:p w:rsidR="00511A49" w:rsidRPr="00F875E6" w:rsidRDefault="00511A49" w:rsidP="006A30D7">
            <w:pPr>
              <w:jc w:val="center"/>
              <w:rPr>
                <w:rFonts w:ascii="Arial Narrow" w:hAnsi="Arial Narrow" w:cs="Times New Roman"/>
                <w:snapToGrid/>
                <w:color w:val="000000"/>
                <w:sz w:val="20"/>
                <w:lang w:val="en-GB" w:eastAsia="en-GB"/>
              </w:rPr>
            </w:pPr>
          </w:p>
        </w:tc>
      </w:tr>
      <w:tr w:rsidR="00511A49" w:rsidRPr="00F875E6" w:rsidTr="006A30D7">
        <w:trPr>
          <w:trHeight w:val="20"/>
        </w:trPr>
        <w:tc>
          <w:tcPr>
            <w:tcW w:w="127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11A49" w:rsidRPr="00F875E6" w:rsidRDefault="00511A49" w:rsidP="00693B09">
            <w:pPr>
              <w:widowControl/>
              <w:jc w:val="left"/>
              <w:rPr>
                <w:rFonts w:ascii="Arial Narrow" w:hAnsi="Arial Narrow" w:cs="Times New Roman"/>
                <w:snapToGrid/>
                <w:color w:val="000000"/>
                <w:sz w:val="20"/>
                <w:lang w:val="en-GB" w:eastAsia="en-GB"/>
              </w:rPr>
            </w:pPr>
            <w:r w:rsidRPr="00F875E6">
              <w:rPr>
                <w:rFonts w:ascii="Arial Narrow" w:hAnsi="Arial Narrow" w:cs="Times New Roman"/>
                <w:snapToGrid/>
                <w:color w:val="000000"/>
                <w:sz w:val="20"/>
                <w:lang w:eastAsia="en-GB"/>
              </w:rPr>
              <w:t xml:space="preserve">Giles 2010 </w:t>
            </w:r>
            <w:r w:rsidR="00693B09" w:rsidRPr="00F875E6">
              <w:rPr>
                <w:rFonts w:ascii="Arial Narrow" w:hAnsi="Arial Narrow" w:cs="Times New Roman"/>
                <w:snapToGrid/>
                <w:color w:val="000000"/>
                <w:sz w:val="20"/>
                <w:vertAlign w:val="superscript"/>
                <w:lang w:eastAsia="en-GB"/>
              </w:rPr>
              <w:t>d</w:t>
            </w:r>
          </w:p>
        </w:tc>
        <w:tc>
          <w:tcPr>
            <w:tcW w:w="932" w:type="pct"/>
            <w:tcBorders>
              <w:top w:val="nil"/>
              <w:left w:val="nil"/>
              <w:bottom w:val="single" w:sz="4" w:space="0" w:color="auto"/>
              <w:right w:val="double" w:sz="4" w:space="0" w:color="auto"/>
            </w:tcBorders>
            <w:shd w:val="clear" w:color="000000" w:fill="7F7F7F"/>
            <w:tcMar>
              <w:left w:w="28" w:type="dxa"/>
              <w:right w:w="28" w:type="dxa"/>
            </w:tcMar>
            <w:vAlign w:val="center"/>
            <w:hideMark/>
          </w:tcPr>
          <w:p w:rsidR="00511A49" w:rsidRPr="00F875E6" w:rsidRDefault="00511A49" w:rsidP="006A30D7">
            <w:pPr>
              <w:widowControl/>
              <w:jc w:val="center"/>
              <w:rPr>
                <w:rFonts w:ascii="Arial Narrow" w:hAnsi="Arial Narrow" w:cs="Times New Roman"/>
                <w:snapToGrid/>
                <w:color w:val="000000"/>
                <w:sz w:val="20"/>
                <w:lang w:val="en-GB" w:eastAsia="en-GB"/>
              </w:rPr>
            </w:pPr>
          </w:p>
        </w:tc>
        <w:tc>
          <w:tcPr>
            <w:tcW w:w="934" w:type="pct"/>
            <w:tcBorders>
              <w:top w:val="nil"/>
              <w:left w:val="double" w:sz="4" w:space="0" w:color="auto"/>
              <w:bottom w:val="single" w:sz="4" w:space="0" w:color="auto"/>
              <w:right w:val="single" w:sz="4" w:space="0" w:color="auto"/>
            </w:tcBorders>
            <w:shd w:val="clear" w:color="000000" w:fill="808080"/>
            <w:tcMar>
              <w:left w:w="28" w:type="dxa"/>
              <w:right w:w="28" w:type="dxa"/>
            </w:tcMar>
            <w:vAlign w:val="center"/>
          </w:tcPr>
          <w:p w:rsidR="00511A49" w:rsidRPr="00F875E6" w:rsidRDefault="00511A49" w:rsidP="006A30D7">
            <w:pPr>
              <w:widowControl/>
              <w:jc w:val="center"/>
              <w:rPr>
                <w:rFonts w:ascii="Arial Narrow" w:hAnsi="Arial Narrow" w:cs="Times New Roman"/>
                <w:snapToGrid/>
                <w:color w:val="000000"/>
                <w:sz w:val="20"/>
                <w:lang w:val="en-GB" w:eastAsia="en-GB"/>
              </w:rPr>
            </w:pPr>
          </w:p>
        </w:tc>
        <w:tc>
          <w:tcPr>
            <w:tcW w:w="93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11A49" w:rsidRPr="00F875E6" w:rsidRDefault="00511A49" w:rsidP="006A30D7">
            <w:pPr>
              <w:widowControl/>
              <w:jc w:val="center"/>
              <w:rPr>
                <w:rFonts w:ascii="Arial Narrow" w:hAnsi="Arial Narrow" w:cs="Times New Roman"/>
                <w:snapToGrid/>
                <w:color w:val="000000"/>
                <w:sz w:val="20"/>
                <w:lang w:val="en-GB" w:eastAsia="en-GB"/>
              </w:rPr>
            </w:pPr>
            <w:r w:rsidRPr="00F875E6">
              <w:rPr>
                <w:rFonts w:ascii="Arial Narrow" w:hAnsi="Arial Narrow" w:cs="Times New Roman"/>
                <w:snapToGrid/>
                <w:color w:val="000000"/>
                <w:sz w:val="20"/>
                <w:lang w:eastAsia="en-GB"/>
              </w:rPr>
              <w:t>9/37 (24%)</w:t>
            </w:r>
          </w:p>
        </w:tc>
        <w:tc>
          <w:tcPr>
            <w:tcW w:w="930" w:type="pct"/>
            <w:tcBorders>
              <w:top w:val="nil"/>
              <w:left w:val="nil"/>
              <w:bottom w:val="single" w:sz="4" w:space="0" w:color="auto"/>
              <w:right w:val="single" w:sz="4" w:space="0" w:color="auto"/>
            </w:tcBorders>
            <w:shd w:val="clear" w:color="000000" w:fill="808080"/>
            <w:tcMar>
              <w:left w:w="28" w:type="dxa"/>
              <w:right w:w="28" w:type="dxa"/>
            </w:tcMar>
            <w:vAlign w:val="center"/>
          </w:tcPr>
          <w:p w:rsidR="00511A49" w:rsidRPr="00F875E6" w:rsidRDefault="00511A49" w:rsidP="006A30D7">
            <w:pPr>
              <w:widowControl/>
              <w:jc w:val="center"/>
              <w:rPr>
                <w:rFonts w:ascii="Arial Narrow" w:hAnsi="Arial Narrow" w:cs="Times New Roman"/>
                <w:snapToGrid/>
                <w:color w:val="000000"/>
                <w:sz w:val="20"/>
                <w:lang w:val="en-GB" w:eastAsia="en-GB"/>
              </w:rPr>
            </w:pPr>
          </w:p>
        </w:tc>
      </w:tr>
      <w:tr w:rsidR="00511A49" w:rsidRPr="00F875E6" w:rsidTr="006A30D7">
        <w:trPr>
          <w:trHeight w:val="20"/>
        </w:trPr>
        <w:tc>
          <w:tcPr>
            <w:tcW w:w="127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11A49" w:rsidRPr="00F875E6" w:rsidRDefault="00511A49" w:rsidP="006A30D7">
            <w:pPr>
              <w:widowControl/>
              <w:jc w:val="left"/>
              <w:rPr>
                <w:rFonts w:ascii="Arial Narrow" w:hAnsi="Arial Narrow" w:cs="Times New Roman"/>
                <w:snapToGrid/>
                <w:color w:val="000000"/>
                <w:sz w:val="20"/>
                <w:lang w:val="en-GB" w:eastAsia="en-GB"/>
              </w:rPr>
            </w:pPr>
            <w:r w:rsidRPr="00F875E6">
              <w:rPr>
                <w:rFonts w:ascii="Arial Narrow" w:hAnsi="Arial Narrow" w:cs="Times New Roman"/>
                <w:snapToGrid/>
                <w:color w:val="000000"/>
                <w:sz w:val="20"/>
                <w:lang w:eastAsia="en-GB"/>
              </w:rPr>
              <w:t>Nicolini 2009</w:t>
            </w:r>
          </w:p>
        </w:tc>
        <w:tc>
          <w:tcPr>
            <w:tcW w:w="932" w:type="pct"/>
            <w:tcBorders>
              <w:top w:val="nil"/>
              <w:left w:val="nil"/>
              <w:bottom w:val="single" w:sz="4" w:space="0" w:color="auto"/>
              <w:right w:val="double" w:sz="4" w:space="0" w:color="auto"/>
            </w:tcBorders>
            <w:shd w:val="clear" w:color="000000" w:fill="7F7F7F"/>
            <w:tcMar>
              <w:left w:w="28" w:type="dxa"/>
              <w:right w:w="28" w:type="dxa"/>
            </w:tcMar>
            <w:vAlign w:val="center"/>
            <w:hideMark/>
          </w:tcPr>
          <w:p w:rsidR="00511A49" w:rsidRPr="00F875E6" w:rsidRDefault="00511A49" w:rsidP="006A30D7">
            <w:pPr>
              <w:widowControl/>
              <w:jc w:val="center"/>
              <w:rPr>
                <w:rFonts w:ascii="Arial Narrow" w:hAnsi="Arial Narrow" w:cs="Times New Roman"/>
                <w:snapToGrid/>
                <w:color w:val="000000"/>
                <w:sz w:val="20"/>
                <w:lang w:val="en-GB" w:eastAsia="en-GB"/>
              </w:rPr>
            </w:pPr>
          </w:p>
        </w:tc>
        <w:tc>
          <w:tcPr>
            <w:tcW w:w="934" w:type="pct"/>
            <w:tcBorders>
              <w:top w:val="nil"/>
              <w:left w:val="double" w:sz="4" w:space="0" w:color="auto"/>
              <w:bottom w:val="single" w:sz="4" w:space="0" w:color="auto"/>
              <w:right w:val="single" w:sz="4" w:space="0" w:color="auto"/>
            </w:tcBorders>
            <w:shd w:val="clear" w:color="000000" w:fill="808080"/>
            <w:tcMar>
              <w:left w:w="28" w:type="dxa"/>
              <w:right w:w="28" w:type="dxa"/>
            </w:tcMar>
            <w:vAlign w:val="center"/>
          </w:tcPr>
          <w:p w:rsidR="00511A49" w:rsidRPr="00F875E6" w:rsidRDefault="00511A49" w:rsidP="006A30D7">
            <w:pPr>
              <w:widowControl/>
              <w:jc w:val="center"/>
              <w:rPr>
                <w:rFonts w:ascii="Arial Narrow" w:hAnsi="Arial Narrow" w:cs="Times New Roman"/>
                <w:snapToGrid/>
                <w:color w:val="000000"/>
                <w:sz w:val="20"/>
                <w:lang w:val="en-GB" w:eastAsia="en-GB"/>
              </w:rPr>
            </w:pPr>
          </w:p>
        </w:tc>
        <w:tc>
          <w:tcPr>
            <w:tcW w:w="93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11A49" w:rsidRPr="00F875E6" w:rsidRDefault="00511A49" w:rsidP="006A30D7">
            <w:pPr>
              <w:widowControl/>
              <w:jc w:val="center"/>
              <w:rPr>
                <w:rFonts w:ascii="Arial Narrow" w:hAnsi="Arial Narrow" w:cs="Times New Roman"/>
                <w:snapToGrid/>
                <w:color w:val="000000"/>
                <w:sz w:val="20"/>
                <w:lang w:val="en-GB" w:eastAsia="en-GB"/>
              </w:rPr>
            </w:pPr>
            <w:r w:rsidRPr="00F875E6">
              <w:rPr>
                <w:rFonts w:ascii="Arial Narrow" w:hAnsi="Arial Narrow" w:cs="Times New Roman"/>
                <w:snapToGrid/>
                <w:color w:val="000000"/>
                <w:sz w:val="20"/>
                <w:lang w:eastAsia="en-GB"/>
              </w:rPr>
              <w:t xml:space="preserve">60/218 (28%) </w:t>
            </w:r>
            <w:r w:rsidRPr="00F875E6">
              <w:rPr>
                <w:rFonts w:ascii="Arial Narrow" w:hAnsi="Arial Narrow" w:cs="Times New Roman"/>
                <w:snapToGrid/>
                <w:color w:val="000000"/>
                <w:sz w:val="20"/>
                <w:vertAlign w:val="superscript"/>
                <w:lang w:eastAsia="en-GB"/>
              </w:rPr>
              <w:t>c</w:t>
            </w:r>
          </w:p>
        </w:tc>
        <w:tc>
          <w:tcPr>
            <w:tcW w:w="930" w:type="pct"/>
            <w:tcBorders>
              <w:top w:val="nil"/>
              <w:left w:val="nil"/>
              <w:bottom w:val="single" w:sz="4" w:space="0" w:color="auto"/>
              <w:right w:val="single" w:sz="4" w:space="0" w:color="auto"/>
            </w:tcBorders>
            <w:shd w:val="clear" w:color="000000" w:fill="808080"/>
            <w:tcMar>
              <w:left w:w="28" w:type="dxa"/>
              <w:right w:w="28" w:type="dxa"/>
            </w:tcMar>
            <w:vAlign w:val="center"/>
          </w:tcPr>
          <w:p w:rsidR="00511A49" w:rsidRPr="00F875E6" w:rsidRDefault="00511A49" w:rsidP="006A30D7">
            <w:pPr>
              <w:widowControl/>
              <w:jc w:val="center"/>
              <w:rPr>
                <w:rFonts w:ascii="Arial Narrow" w:hAnsi="Arial Narrow" w:cs="Times New Roman"/>
                <w:snapToGrid/>
                <w:color w:val="000000"/>
                <w:sz w:val="20"/>
                <w:lang w:val="en-GB" w:eastAsia="en-GB"/>
              </w:rPr>
            </w:pPr>
          </w:p>
        </w:tc>
      </w:tr>
      <w:tr w:rsidR="00FA6F09" w:rsidRPr="00F875E6" w:rsidTr="00FA6F09">
        <w:trPr>
          <w:trHeight w:val="20"/>
        </w:trPr>
        <w:tc>
          <w:tcPr>
            <w:tcW w:w="127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FA6F09" w:rsidRPr="00F875E6" w:rsidRDefault="00FA6F09" w:rsidP="00693B09">
            <w:pPr>
              <w:widowControl/>
              <w:jc w:val="left"/>
              <w:rPr>
                <w:rFonts w:ascii="Arial Narrow" w:hAnsi="Arial Narrow" w:cs="Times New Roman"/>
                <w:snapToGrid/>
                <w:color w:val="000000"/>
                <w:sz w:val="20"/>
                <w:lang w:eastAsia="en-GB"/>
              </w:rPr>
            </w:pPr>
            <w:r w:rsidRPr="00F875E6">
              <w:rPr>
                <w:rFonts w:ascii="Arial Narrow" w:hAnsi="Arial Narrow" w:cs="Times New Roman"/>
                <w:snapToGrid/>
                <w:color w:val="000000"/>
                <w:sz w:val="20"/>
                <w:lang w:eastAsia="en-GB"/>
              </w:rPr>
              <w:t>Garcia-Gutierrez 2012</w:t>
            </w:r>
          </w:p>
        </w:tc>
        <w:tc>
          <w:tcPr>
            <w:tcW w:w="932" w:type="pct"/>
            <w:tcBorders>
              <w:top w:val="nil"/>
              <w:left w:val="nil"/>
              <w:bottom w:val="single" w:sz="4" w:space="0" w:color="auto"/>
              <w:right w:val="double" w:sz="4" w:space="0" w:color="auto"/>
            </w:tcBorders>
            <w:shd w:val="clear" w:color="000000" w:fill="7F7F7F"/>
            <w:tcMar>
              <w:left w:w="28" w:type="dxa"/>
              <w:right w:w="28" w:type="dxa"/>
            </w:tcMar>
            <w:vAlign w:val="center"/>
          </w:tcPr>
          <w:p w:rsidR="00FA6F09" w:rsidRPr="00F875E6" w:rsidRDefault="00FA6F09" w:rsidP="006A30D7">
            <w:pPr>
              <w:widowControl/>
              <w:jc w:val="center"/>
              <w:rPr>
                <w:rFonts w:ascii="Arial Narrow" w:hAnsi="Arial Narrow" w:cs="Times New Roman"/>
                <w:snapToGrid/>
                <w:color w:val="000000"/>
                <w:sz w:val="20"/>
                <w:lang w:val="en-GB" w:eastAsia="en-GB"/>
              </w:rPr>
            </w:pPr>
          </w:p>
        </w:tc>
        <w:tc>
          <w:tcPr>
            <w:tcW w:w="934" w:type="pct"/>
            <w:tcBorders>
              <w:top w:val="nil"/>
              <w:left w:val="double" w:sz="4" w:space="0" w:color="auto"/>
              <w:bottom w:val="single" w:sz="4" w:space="0" w:color="auto"/>
              <w:right w:val="single" w:sz="4" w:space="0" w:color="auto"/>
            </w:tcBorders>
            <w:shd w:val="clear" w:color="auto" w:fill="808080" w:themeFill="background1" w:themeFillShade="80"/>
            <w:tcMar>
              <w:left w:w="28" w:type="dxa"/>
              <w:right w:w="28" w:type="dxa"/>
            </w:tcMar>
            <w:vAlign w:val="center"/>
          </w:tcPr>
          <w:p w:rsidR="00FA6F09" w:rsidRPr="00F875E6" w:rsidRDefault="00FA6F09" w:rsidP="006A30D7">
            <w:pPr>
              <w:widowControl/>
              <w:jc w:val="center"/>
              <w:rPr>
                <w:rFonts w:ascii="Arial Narrow" w:hAnsi="Arial Narrow" w:cs="Times New Roman"/>
                <w:snapToGrid/>
                <w:color w:val="000000"/>
                <w:sz w:val="20"/>
                <w:lang w:eastAsia="en-GB"/>
              </w:rPr>
            </w:pPr>
          </w:p>
        </w:tc>
        <w:tc>
          <w:tcPr>
            <w:tcW w:w="932" w:type="pct"/>
            <w:tcBorders>
              <w:top w:val="nil"/>
              <w:left w:val="nil"/>
              <w:bottom w:val="single" w:sz="4" w:space="0" w:color="auto"/>
              <w:right w:val="single" w:sz="4" w:space="0" w:color="auto"/>
            </w:tcBorders>
            <w:shd w:val="clear" w:color="auto" w:fill="808080" w:themeFill="background1" w:themeFillShade="80"/>
            <w:tcMar>
              <w:left w:w="28" w:type="dxa"/>
              <w:right w:w="28" w:type="dxa"/>
            </w:tcMar>
            <w:vAlign w:val="center"/>
          </w:tcPr>
          <w:p w:rsidR="00FA6F09" w:rsidRPr="00F875E6" w:rsidRDefault="00FA6F09" w:rsidP="006A30D7">
            <w:pPr>
              <w:widowControl/>
              <w:jc w:val="center"/>
              <w:rPr>
                <w:rFonts w:ascii="Arial Narrow" w:hAnsi="Arial Narrow" w:cs="Times New Roman"/>
                <w:snapToGrid/>
                <w:color w:val="000000"/>
                <w:sz w:val="20"/>
                <w:lang w:eastAsia="en-GB"/>
              </w:rPr>
            </w:pPr>
          </w:p>
        </w:tc>
        <w:tc>
          <w:tcPr>
            <w:tcW w:w="930" w:type="pct"/>
            <w:tcBorders>
              <w:top w:val="nil"/>
              <w:left w:val="nil"/>
              <w:bottom w:val="single" w:sz="4" w:space="0" w:color="auto"/>
              <w:right w:val="single" w:sz="4" w:space="0" w:color="auto"/>
            </w:tcBorders>
            <w:shd w:val="clear" w:color="auto" w:fill="auto"/>
            <w:tcMar>
              <w:left w:w="28" w:type="dxa"/>
              <w:right w:w="28" w:type="dxa"/>
            </w:tcMar>
            <w:vAlign w:val="center"/>
          </w:tcPr>
          <w:p w:rsidR="00FA6F09" w:rsidRPr="00F875E6" w:rsidRDefault="00FA6F09" w:rsidP="006A30D7">
            <w:pPr>
              <w:widowControl/>
              <w:jc w:val="center"/>
              <w:rPr>
                <w:rFonts w:ascii="Arial Narrow" w:hAnsi="Arial Narrow" w:cs="Times New Roman"/>
                <w:snapToGrid/>
                <w:color w:val="000000"/>
                <w:sz w:val="20"/>
                <w:lang w:val="en-GB" w:eastAsia="en-GB"/>
              </w:rPr>
            </w:pPr>
            <w:r w:rsidRPr="00F875E6">
              <w:rPr>
                <w:rFonts w:ascii="Arial Narrow" w:hAnsi="Arial Narrow" w:cs="Times New Roman"/>
                <w:snapToGrid/>
                <w:color w:val="000000"/>
                <w:sz w:val="20"/>
                <w:lang w:val="en-GB" w:eastAsia="en-GB"/>
              </w:rPr>
              <w:t xml:space="preserve">&lt; 20% </w:t>
            </w:r>
            <w:r w:rsidRPr="00F875E6">
              <w:rPr>
                <w:rFonts w:ascii="Arial Narrow" w:hAnsi="Arial Narrow" w:cs="Times New Roman"/>
                <w:snapToGrid/>
                <w:color w:val="000000"/>
                <w:sz w:val="20"/>
                <w:vertAlign w:val="superscript"/>
                <w:lang w:val="en-GB" w:eastAsia="en-GB"/>
              </w:rPr>
              <w:t>c</w:t>
            </w:r>
          </w:p>
        </w:tc>
      </w:tr>
      <w:tr w:rsidR="00511A49" w:rsidRPr="00F875E6" w:rsidTr="006A30D7">
        <w:trPr>
          <w:trHeight w:val="20"/>
        </w:trPr>
        <w:tc>
          <w:tcPr>
            <w:tcW w:w="127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11A49" w:rsidRPr="00F875E6" w:rsidRDefault="00511A49" w:rsidP="00693B09">
            <w:pPr>
              <w:widowControl/>
              <w:jc w:val="left"/>
              <w:rPr>
                <w:rFonts w:ascii="Arial Narrow" w:hAnsi="Arial Narrow" w:cs="Times New Roman"/>
                <w:snapToGrid/>
                <w:color w:val="000000"/>
                <w:sz w:val="20"/>
                <w:lang w:val="en-GB" w:eastAsia="en-GB"/>
              </w:rPr>
            </w:pPr>
            <w:r w:rsidRPr="00F875E6">
              <w:rPr>
                <w:rFonts w:ascii="Arial Narrow" w:hAnsi="Arial Narrow" w:cs="Times New Roman"/>
                <w:snapToGrid/>
                <w:color w:val="000000"/>
                <w:sz w:val="20"/>
                <w:lang w:eastAsia="en-GB"/>
              </w:rPr>
              <w:t xml:space="preserve">Garg 2009 </w:t>
            </w:r>
            <w:r w:rsidR="00693B09" w:rsidRPr="00F875E6">
              <w:rPr>
                <w:rFonts w:ascii="Arial Narrow" w:hAnsi="Arial Narrow" w:cs="Times New Roman"/>
                <w:snapToGrid/>
                <w:color w:val="000000"/>
                <w:sz w:val="20"/>
                <w:vertAlign w:val="superscript"/>
                <w:lang w:eastAsia="en-GB"/>
              </w:rPr>
              <w:t>e</w:t>
            </w:r>
          </w:p>
        </w:tc>
        <w:tc>
          <w:tcPr>
            <w:tcW w:w="932" w:type="pct"/>
            <w:tcBorders>
              <w:top w:val="nil"/>
              <w:left w:val="nil"/>
              <w:bottom w:val="single" w:sz="4" w:space="0" w:color="auto"/>
              <w:right w:val="double" w:sz="4" w:space="0" w:color="auto"/>
            </w:tcBorders>
            <w:shd w:val="clear" w:color="000000" w:fill="7F7F7F"/>
            <w:tcMar>
              <w:left w:w="28" w:type="dxa"/>
              <w:right w:w="28" w:type="dxa"/>
            </w:tcMar>
            <w:vAlign w:val="center"/>
            <w:hideMark/>
          </w:tcPr>
          <w:p w:rsidR="00511A49" w:rsidRPr="00F875E6" w:rsidRDefault="00511A49" w:rsidP="006A30D7">
            <w:pPr>
              <w:widowControl/>
              <w:jc w:val="center"/>
              <w:rPr>
                <w:rFonts w:ascii="Arial Narrow" w:hAnsi="Arial Narrow" w:cs="Times New Roman"/>
                <w:snapToGrid/>
                <w:color w:val="000000"/>
                <w:sz w:val="20"/>
                <w:lang w:val="en-GB" w:eastAsia="en-GB"/>
              </w:rPr>
            </w:pPr>
          </w:p>
        </w:tc>
        <w:tc>
          <w:tcPr>
            <w:tcW w:w="934" w:type="pct"/>
            <w:tcBorders>
              <w:top w:val="nil"/>
              <w:left w:val="double" w:sz="4" w:space="0" w:color="auto"/>
              <w:bottom w:val="single" w:sz="4" w:space="0" w:color="auto"/>
              <w:right w:val="single" w:sz="4" w:space="0" w:color="auto"/>
            </w:tcBorders>
            <w:shd w:val="clear" w:color="auto" w:fill="auto"/>
            <w:tcMar>
              <w:left w:w="28" w:type="dxa"/>
              <w:right w:w="28" w:type="dxa"/>
            </w:tcMar>
            <w:vAlign w:val="center"/>
            <w:hideMark/>
          </w:tcPr>
          <w:p w:rsidR="00511A49" w:rsidRPr="00F875E6" w:rsidRDefault="00511A49" w:rsidP="006A30D7">
            <w:pPr>
              <w:widowControl/>
              <w:jc w:val="center"/>
              <w:rPr>
                <w:rFonts w:ascii="Arial Narrow" w:hAnsi="Arial Narrow" w:cs="Times New Roman"/>
                <w:snapToGrid/>
                <w:color w:val="000000"/>
                <w:sz w:val="20"/>
                <w:lang w:val="en-GB" w:eastAsia="en-GB"/>
              </w:rPr>
            </w:pPr>
            <w:r w:rsidRPr="00F875E6">
              <w:rPr>
                <w:rFonts w:ascii="Arial Narrow" w:hAnsi="Arial Narrow" w:cs="Times New Roman"/>
                <w:snapToGrid/>
                <w:color w:val="000000"/>
                <w:sz w:val="20"/>
                <w:lang w:eastAsia="en-GB"/>
              </w:rPr>
              <w:t>5/16 (31%)</w:t>
            </w:r>
          </w:p>
        </w:tc>
        <w:tc>
          <w:tcPr>
            <w:tcW w:w="93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11A49" w:rsidRPr="00F875E6" w:rsidRDefault="00511A49" w:rsidP="006A30D7">
            <w:pPr>
              <w:widowControl/>
              <w:jc w:val="center"/>
              <w:rPr>
                <w:rFonts w:ascii="Arial Narrow" w:hAnsi="Arial Narrow" w:cs="Times New Roman"/>
                <w:snapToGrid/>
                <w:color w:val="000000"/>
                <w:sz w:val="20"/>
                <w:lang w:val="en-GB" w:eastAsia="en-GB"/>
              </w:rPr>
            </w:pPr>
            <w:r w:rsidRPr="00F875E6">
              <w:rPr>
                <w:rFonts w:ascii="Arial Narrow" w:hAnsi="Arial Narrow" w:cs="Times New Roman"/>
                <w:snapToGrid/>
                <w:color w:val="000000"/>
                <w:sz w:val="20"/>
                <w:lang w:eastAsia="en-GB"/>
              </w:rPr>
              <w:t>1/9 (11%)</w:t>
            </w:r>
          </w:p>
        </w:tc>
        <w:tc>
          <w:tcPr>
            <w:tcW w:w="930" w:type="pct"/>
            <w:tcBorders>
              <w:top w:val="nil"/>
              <w:left w:val="nil"/>
              <w:bottom w:val="single" w:sz="4" w:space="0" w:color="auto"/>
              <w:right w:val="single" w:sz="4" w:space="0" w:color="auto"/>
            </w:tcBorders>
            <w:shd w:val="clear" w:color="000000" w:fill="808080"/>
            <w:tcMar>
              <w:left w:w="28" w:type="dxa"/>
              <w:right w:w="28" w:type="dxa"/>
            </w:tcMar>
            <w:vAlign w:val="center"/>
          </w:tcPr>
          <w:p w:rsidR="00511A49" w:rsidRPr="00F875E6" w:rsidRDefault="00511A49" w:rsidP="006A30D7">
            <w:pPr>
              <w:widowControl/>
              <w:jc w:val="center"/>
              <w:rPr>
                <w:rFonts w:ascii="Arial Narrow" w:hAnsi="Arial Narrow" w:cs="Times New Roman"/>
                <w:snapToGrid/>
                <w:color w:val="000000"/>
                <w:sz w:val="20"/>
                <w:lang w:val="en-GB" w:eastAsia="en-GB"/>
              </w:rPr>
            </w:pPr>
          </w:p>
        </w:tc>
      </w:tr>
      <w:tr w:rsidR="00511A49" w:rsidRPr="00F875E6" w:rsidTr="006A30D7">
        <w:trPr>
          <w:trHeight w:val="20"/>
        </w:trPr>
        <w:tc>
          <w:tcPr>
            <w:tcW w:w="127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11A49" w:rsidRPr="00F875E6" w:rsidRDefault="00511A49" w:rsidP="006A30D7">
            <w:pPr>
              <w:widowControl/>
              <w:jc w:val="left"/>
              <w:rPr>
                <w:rFonts w:ascii="Arial Narrow" w:hAnsi="Arial Narrow" w:cs="Times New Roman"/>
                <w:snapToGrid/>
                <w:color w:val="000000"/>
                <w:sz w:val="20"/>
                <w:lang w:val="en-GB" w:eastAsia="en-GB"/>
              </w:rPr>
            </w:pPr>
            <w:r w:rsidRPr="00F875E6">
              <w:rPr>
                <w:rFonts w:ascii="Arial Narrow" w:hAnsi="Arial Narrow" w:cs="Times New Roman"/>
                <w:snapToGrid/>
                <w:color w:val="000000"/>
                <w:sz w:val="20"/>
                <w:lang w:eastAsia="en-GB"/>
              </w:rPr>
              <w:t>Ibrahim 2010</w:t>
            </w:r>
          </w:p>
        </w:tc>
        <w:tc>
          <w:tcPr>
            <w:tcW w:w="932" w:type="pct"/>
            <w:tcBorders>
              <w:top w:val="nil"/>
              <w:left w:val="nil"/>
              <w:bottom w:val="single" w:sz="4" w:space="0" w:color="auto"/>
              <w:right w:val="double" w:sz="4" w:space="0" w:color="auto"/>
            </w:tcBorders>
            <w:shd w:val="clear" w:color="000000" w:fill="7F7F7F"/>
            <w:tcMar>
              <w:left w:w="28" w:type="dxa"/>
              <w:right w:w="28" w:type="dxa"/>
            </w:tcMar>
            <w:vAlign w:val="center"/>
            <w:hideMark/>
          </w:tcPr>
          <w:p w:rsidR="00511A49" w:rsidRPr="00F875E6" w:rsidRDefault="00511A49" w:rsidP="006A30D7">
            <w:pPr>
              <w:widowControl/>
              <w:jc w:val="center"/>
              <w:rPr>
                <w:rFonts w:ascii="Arial Narrow" w:hAnsi="Arial Narrow" w:cs="Times New Roman"/>
                <w:snapToGrid/>
                <w:color w:val="000000"/>
                <w:sz w:val="20"/>
                <w:lang w:val="en-GB" w:eastAsia="en-GB"/>
              </w:rPr>
            </w:pPr>
          </w:p>
        </w:tc>
        <w:tc>
          <w:tcPr>
            <w:tcW w:w="934" w:type="pct"/>
            <w:tcBorders>
              <w:top w:val="nil"/>
              <w:left w:val="double" w:sz="4" w:space="0" w:color="auto"/>
              <w:bottom w:val="single" w:sz="4" w:space="0" w:color="auto"/>
              <w:right w:val="single" w:sz="4" w:space="0" w:color="auto"/>
            </w:tcBorders>
            <w:shd w:val="clear" w:color="000000" w:fill="808080"/>
            <w:tcMar>
              <w:left w:w="28" w:type="dxa"/>
              <w:right w:w="28" w:type="dxa"/>
            </w:tcMar>
            <w:vAlign w:val="center"/>
          </w:tcPr>
          <w:p w:rsidR="00511A49" w:rsidRPr="00F875E6" w:rsidRDefault="00511A49" w:rsidP="006A30D7">
            <w:pPr>
              <w:widowControl/>
              <w:jc w:val="center"/>
              <w:rPr>
                <w:rFonts w:ascii="Arial Narrow" w:hAnsi="Arial Narrow" w:cs="Times New Roman"/>
                <w:snapToGrid/>
                <w:color w:val="000000"/>
                <w:sz w:val="20"/>
                <w:lang w:val="en-GB" w:eastAsia="en-GB"/>
              </w:rPr>
            </w:pPr>
          </w:p>
        </w:tc>
        <w:tc>
          <w:tcPr>
            <w:tcW w:w="932" w:type="pct"/>
            <w:tcBorders>
              <w:top w:val="nil"/>
              <w:left w:val="nil"/>
              <w:bottom w:val="single" w:sz="4" w:space="0" w:color="auto"/>
              <w:right w:val="single" w:sz="4" w:space="0" w:color="auto"/>
            </w:tcBorders>
            <w:shd w:val="clear" w:color="000000" w:fill="808080"/>
            <w:tcMar>
              <w:left w:w="28" w:type="dxa"/>
              <w:right w:w="28" w:type="dxa"/>
            </w:tcMar>
            <w:vAlign w:val="center"/>
          </w:tcPr>
          <w:p w:rsidR="00511A49" w:rsidRPr="00F875E6" w:rsidRDefault="00511A49" w:rsidP="006A30D7">
            <w:pPr>
              <w:widowControl/>
              <w:jc w:val="center"/>
              <w:rPr>
                <w:rFonts w:ascii="Arial Narrow" w:hAnsi="Arial Narrow" w:cs="Times New Roman"/>
                <w:snapToGrid/>
                <w:color w:val="000000"/>
                <w:sz w:val="20"/>
                <w:lang w:val="en-GB" w:eastAsia="en-GB"/>
              </w:rPr>
            </w:pPr>
          </w:p>
        </w:tc>
        <w:tc>
          <w:tcPr>
            <w:tcW w:w="93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11A49" w:rsidRPr="00F875E6" w:rsidRDefault="00511A49" w:rsidP="006A30D7">
            <w:pPr>
              <w:widowControl/>
              <w:jc w:val="center"/>
              <w:rPr>
                <w:rFonts w:ascii="Arial Narrow" w:hAnsi="Arial Narrow" w:cs="Times New Roman"/>
                <w:snapToGrid/>
                <w:color w:val="000000"/>
                <w:sz w:val="20"/>
                <w:lang w:val="en-GB" w:eastAsia="en-GB"/>
              </w:rPr>
            </w:pPr>
            <w:r w:rsidRPr="00F875E6">
              <w:rPr>
                <w:rFonts w:ascii="Arial Narrow" w:hAnsi="Arial Narrow" w:cs="Times New Roman"/>
                <w:snapToGrid/>
                <w:color w:val="000000"/>
                <w:sz w:val="20"/>
                <w:lang w:eastAsia="en-GB"/>
              </w:rPr>
              <w:t>9/26 (35%)</w:t>
            </w:r>
          </w:p>
        </w:tc>
      </w:tr>
      <w:tr w:rsidR="00511A49" w:rsidRPr="00F875E6" w:rsidTr="006A30D7">
        <w:trPr>
          <w:trHeight w:val="20"/>
        </w:trPr>
        <w:tc>
          <w:tcPr>
            <w:tcW w:w="127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11A49" w:rsidRPr="00F875E6" w:rsidRDefault="00511A49" w:rsidP="006A30D7">
            <w:pPr>
              <w:widowControl/>
              <w:jc w:val="left"/>
              <w:rPr>
                <w:rFonts w:ascii="Arial Narrow" w:hAnsi="Arial Narrow" w:cs="Times New Roman"/>
                <w:snapToGrid/>
                <w:color w:val="000000"/>
                <w:sz w:val="20"/>
                <w:lang w:val="en-GB" w:eastAsia="en-GB"/>
              </w:rPr>
            </w:pPr>
            <w:r w:rsidRPr="00F875E6">
              <w:rPr>
                <w:rFonts w:ascii="Arial Narrow" w:hAnsi="Arial Narrow" w:cs="Times New Roman"/>
                <w:snapToGrid/>
                <w:color w:val="000000"/>
                <w:sz w:val="20"/>
                <w:lang w:eastAsia="en-GB"/>
              </w:rPr>
              <w:t>Rossi 2013</w:t>
            </w:r>
          </w:p>
        </w:tc>
        <w:tc>
          <w:tcPr>
            <w:tcW w:w="932" w:type="pct"/>
            <w:tcBorders>
              <w:top w:val="nil"/>
              <w:left w:val="nil"/>
              <w:bottom w:val="single" w:sz="4" w:space="0" w:color="auto"/>
              <w:right w:val="double" w:sz="4" w:space="0" w:color="auto"/>
            </w:tcBorders>
            <w:shd w:val="clear" w:color="000000" w:fill="7F7F7F"/>
            <w:tcMar>
              <w:left w:w="28" w:type="dxa"/>
              <w:right w:w="28" w:type="dxa"/>
            </w:tcMar>
            <w:vAlign w:val="center"/>
            <w:hideMark/>
          </w:tcPr>
          <w:p w:rsidR="00511A49" w:rsidRPr="00F875E6" w:rsidRDefault="00511A49" w:rsidP="006A30D7">
            <w:pPr>
              <w:widowControl/>
              <w:jc w:val="center"/>
              <w:rPr>
                <w:rFonts w:ascii="Arial Narrow" w:hAnsi="Arial Narrow" w:cs="Times New Roman"/>
                <w:snapToGrid/>
                <w:color w:val="000000"/>
                <w:sz w:val="20"/>
                <w:lang w:val="en-GB" w:eastAsia="en-GB"/>
              </w:rPr>
            </w:pPr>
          </w:p>
        </w:tc>
        <w:tc>
          <w:tcPr>
            <w:tcW w:w="934" w:type="pct"/>
            <w:tcBorders>
              <w:top w:val="nil"/>
              <w:left w:val="double" w:sz="4" w:space="0" w:color="auto"/>
              <w:bottom w:val="single" w:sz="4" w:space="0" w:color="auto"/>
              <w:right w:val="single" w:sz="4" w:space="0" w:color="auto"/>
            </w:tcBorders>
            <w:shd w:val="clear" w:color="000000" w:fill="808080"/>
            <w:tcMar>
              <w:left w:w="28" w:type="dxa"/>
              <w:right w:w="28" w:type="dxa"/>
            </w:tcMar>
            <w:vAlign w:val="center"/>
          </w:tcPr>
          <w:p w:rsidR="00511A49" w:rsidRPr="00F875E6" w:rsidRDefault="00511A49" w:rsidP="006A30D7">
            <w:pPr>
              <w:widowControl/>
              <w:jc w:val="center"/>
              <w:rPr>
                <w:rFonts w:ascii="Arial Narrow" w:hAnsi="Arial Narrow" w:cs="Times New Roman"/>
                <w:snapToGrid/>
                <w:color w:val="000000"/>
                <w:sz w:val="20"/>
                <w:lang w:val="en-GB" w:eastAsia="en-GB"/>
              </w:rPr>
            </w:pPr>
          </w:p>
        </w:tc>
        <w:tc>
          <w:tcPr>
            <w:tcW w:w="932" w:type="pct"/>
            <w:tcBorders>
              <w:top w:val="nil"/>
              <w:left w:val="nil"/>
              <w:bottom w:val="single" w:sz="4" w:space="0" w:color="auto"/>
              <w:right w:val="single" w:sz="4" w:space="0" w:color="auto"/>
            </w:tcBorders>
            <w:shd w:val="clear" w:color="000000" w:fill="808080"/>
            <w:tcMar>
              <w:left w:w="28" w:type="dxa"/>
              <w:right w:w="28" w:type="dxa"/>
            </w:tcMar>
            <w:vAlign w:val="center"/>
          </w:tcPr>
          <w:p w:rsidR="00511A49" w:rsidRPr="00F875E6" w:rsidRDefault="00511A49" w:rsidP="006A30D7">
            <w:pPr>
              <w:widowControl/>
              <w:jc w:val="center"/>
              <w:rPr>
                <w:rFonts w:ascii="Arial Narrow" w:hAnsi="Arial Narrow" w:cs="Times New Roman"/>
                <w:snapToGrid/>
                <w:color w:val="000000"/>
                <w:sz w:val="20"/>
                <w:lang w:val="en-GB" w:eastAsia="en-GB"/>
              </w:rPr>
            </w:pPr>
          </w:p>
        </w:tc>
        <w:tc>
          <w:tcPr>
            <w:tcW w:w="93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11A49" w:rsidRPr="00F875E6" w:rsidRDefault="00511A49" w:rsidP="006A30D7">
            <w:pPr>
              <w:widowControl/>
              <w:jc w:val="center"/>
              <w:rPr>
                <w:rFonts w:ascii="Arial Narrow" w:hAnsi="Arial Narrow" w:cs="Times New Roman"/>
                <w:snapToGrid/>
                <w:color w:val="000000"/>
                <w:sz w:val="20"/>
                <w:lang w:val="en-GB" w:eastAsia="en-GB"/>
              </w:rPr>
            </w:pPr>
            <w:r w:rsidRPr="00F875E6">
              <w:rPr>
                <w:rFonts w:ascii="Arial Narrow" w:hAnsi="Arial Narrow" w:cs="Times New Roman"/>
                <w:snapToGrid/>
                <w:color w:val="000000"/>
                <w:sz w:val="20"/>
                <w:lang w:eastAsia="en-GB"/>
              </w:rPr>
              <w:t xml:space="preserve">27/82 (33%) </w:t>
            </w:r>
            <w:r w:rsidRPr="00F875E6">
              <w:rPr>
                <w:rFonts w:ascii="Arial Narrow" w:hAnsi="Arial Narrow" w:cs="Times New Roman"/>
                <w:snapToGrid/>
                <w:color w:val="000000"/>
                <w:sz w:val="20"/>
                <w:vertAlign w:val="superscript"/>
                <w:lang w:eastAsia="en-GB"/>
              </w:rPr>
              <w:t>c</w:t>
            </w:r>
          </w:p>
        </w:tc>
      </w:tr>
      <w:tr w:rsidR="00511A49" w:rsidRPr="00F875E6" w:rsidTr="006A30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000" w:type="pct"/>
            <w:gridSpan w:val="5"/>
            <w:shd w:val="clear" w:color="auto" w:fill="FFFFFF" w:themeFill="background1"/>
            <w:tcMar>
              <w:left w:w="28" w:type="dxa"/>
              <w:right w:w="28" w:type="dxa"/>
            </w:tcMar>
            <w:vAlign w:val="center"/>
            <w:hideMark/>
          </w:tcPr>
          <w:p w:rsidR="00511A49" w:rsidRPr="00F875E6" w:rsidRDefault="00511A49" w:rsidP="006A30D7">
            <w:pPr>
              <w:jc w:val="left"/>
              <w:rPr>
                <w:rFonts w:ascii="Arial Narrow" w:hAnsi="Arial Narrow" w:cs="Times New Roman"/>
                <w:b/>
                <w:bCs/>
                <w:snapToGrid/>
                <w:color w:val="000000"/>
                <w:sz w:val="20"/>
                <w:lang w:val="en-GB" w:eastAsia="en-GB"/>
              </w:rPr>
            </w:pPr>
            <w:r w:rsidRPr="00F875E6">
              <w:rPr>
                <w:rFonts w:ascii="Arial Narrow" w:hAnsi="Arial Narrow" w:cs="Times New Roman"/>
                <w:b/>
                <w:bCs/>
                <w:snapToGrid/>
                <w:color w:val="000000"/>
                <w:sz w:val="20"/>
                <w:lang w:eastAsia="en-GB"/>
              </w:rPr>
              <w:t>Accelerated phase CML – MCyR</w:t>
            </w:r>
          </w:p>
        </w:tc>
      </w:tr>
      <w:tr w:rsidR="00511A49" w:rsidRPr="00F875E6" w:rsidTr="006A30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272" w:type="pct"/>
            <w:shd w:val="clear" w:color="auto" w:fill="auto"/>
            <w:tcMar>
              <w:left w:w="28" w:type="dxa"/>
              <w:right w:w="28" w:type="dxa"/>
            </w:tcMar>
            <w:vAlign w:val="center"/>
            <w:hideMark/>
          </w:tcPr>
          <w:p w:rsidR="00511A49" w:rsidRPr="00F875E6" w:rsidRDefault="00511A49" w:rsidP="006A30D7">
            <w:pPr>
              <w:jc w:val="left"/>
              <w:rPr>
                <w:rFonts w:ascii="Arial Narrow" w:hAnsi="Arial Narrow" w:cs="Times New Roman"/>
                <w:snapToGrid/>
                <w:color w:val="000000"/>
                <w:sz w:val="20"/>
                <w:lang w:val="en-GB" w:eastAsia="en-GB"/>
              </w:rPr>
            </w:pPr>
            <w:r w:rsidRPr="00F875E6">
              <w:rPr>
                <w:rFonts w:ascii="Arial Narrow" w:hAnsi="Arial Narrow" w:cs="Times New Roman"/>
                <w:snapToGrid/>
                <w:color w:val="000000"/>
                <w:sz w:val="20"/>
                <w:lang w:eastAsia="en-GB"/>
              </w:rPr>
              <w:t xml:space="preserve">PACE </w:t>
            </w:r>
            <w:r w:rsidRPr="00F875E6">
              <w:rPr>
                <w:rFonts w:ascii="Arial Narrow" w:hAnsi="Arial Narrow" w:cs="Times New Roman"/>
                <w:snapToGrid/>
                <w:color w:val="000000"/>
                <w:sz w:val="20"/>
                <w:vertAlign w:val="superscript"/>
                <w:lang w:eastAsia="en-GB"/>
              </w:rPr>
              <w:t>a</w:t>
            </w:r>
          </w:p>
        </w:tc>
        <w:tc>
          <w:tcPr>
            <w:tcW w:w="932" w:type="pct"/>
            <w:shd w:val="clear" w:color="auto" w:fill="auto"/>
            <w:tcMar>
              <w:left w:w="28" w:type="dxa"/>
              <w:right w:w="28" w:type="dxa"/>
            </w:tcMar>
            <w:vAlign w:val="center"/>
            <w:hideMark/>
          </w:tcPr>
          <w:p w:rsidR="00511A49" w:rsidRPr="00F875E6" w:rsidRDefault="00511A49" w:rsidP="006A30D7">
            <w:pPr>
              <w:jc w:val="center"/>
              <w:rPr>
                <w:rFonts w:ascii="Arial Narrow" w:hAnsi="Arial Narrow" w:cs="Times New Roman"/>
                <w:snapToGrid/>
                <w:color w:val="000000"/>
                <w:sz w:val="20"/>
                <w:lang w:val="en-GB" w:eastAsia="en-GB"/>
              </w:rPr>
            </w:pPr>
            <w:r w:rsidRPr="00F875E6">
              <w:rPr>
                <w:rFonts w:ascii="Arial Narrow" w:hAnsi="Arial Narrow" w:cs="Times New Roman"/>
                <w:snapToGrid/>
                <w:color w:val="000000"/>
                <w:sz w:val="20"/>
                <w:lang w:eastAsia="en-GB"/>
              </w:rPr>
              <w:t>32/83 (39%)</w:t>
            </w:r>
          </w:p>
        </w:tc>
        <w:tc>
          <w:tcPr>
            <w:tcW w:w="934" w:type="pct"/>
            <w:shd w:val="clear" w:color="000000" w:fill="7F7F7F"/>
            <w:tcMar>
              <w:left w:w="28" w:type="dxa"/>
              <w:right w:w="28" w:type="dxa"/>
            </w:tcMar>
            <w:vAlign w:val="center"/>
            <w:hideMark/>
          </w:tcPr>
          <w:p w:rsidR="00511A49" w:rsidRPr="00F875E6" w:rsidRDefault="00511A49" w:rsidP="006A30D7">
            <w:pPr>
              <w:jc w:val="center"/>
              <w:rPr>
                <w:rFonts w:ascii="Arial Narrow" w:hAnsi="Arial Narrow" w:cs="Times New Roman"/>
                <w:snapToGrid/>
                <w:color w:val="000000"/>
                <w:sz w:val="20"/>
                <w:lang w:val="en-GB" w:eastAsia="en-GB"/>
              </w:rPr>
            </w:pPr>
          </w:p>
        </w:tc>
        <w:tc>
          <w:tcPr>
            <w:tcW w:w="932" w:type="pct"/>
            <w:shd w:val="clear" w:color="000000" w:fill="7F7F7F"/>
            <w:tcMar>
              <w:left w:w="28" w:type="dxa"/>
              <w:right w:w="28" w:type="dxa"/>
            </w:tcMar>
            <w:vAlign w:val="center"/>
            <w:hideMark/>
          </w:tcPr>
          <w:p w:rsidR="00511A49" w:rsidRPr="00F875E6" w:rsidRDefault="00511A49" w:rsidP="006A30D7">
            <w:pPr>
              <w:jc w:val="center"/>
              <w:rPr>
                <w:rFonts w:ascii="Arial Narrow" w:hAnsi="Arial Narrow" w:cs="Times New Roman"/>
                <w:snapToGrid/>
                <w:color w:val="000000"/>
                <w:sz w:val="20"/>
                <w:lang w:val="en-GB" w:eastAsia="en-GB"/>
              </w:rPr>
            </w:pPr>
          </w:p>
        </w:tc>
        <w:tc>
          <w:tcPr>
            <w:tcW w:w="930" w:type="pct"/>
            <w:shd w:val="clear" w:color="000000" w:fill="7F7F7F"/>
            <w:tcMar>
              <w:left w:w="28" w:type="dxa"/>
              <w:right w:w="28" w:type="dxa"/>
            </w:tcMar>
            <w:vAlign w:val="center"/>
            <w:hideMark/>
          </w:tcPr>
          <w:p w:rsidR="00511A49" w:rsidRPr="00F875E6" w:rsidRDefault="00511A49" w:rsidP="006A30D7">
            <w:pPr>
              <w:jc w:val="center"/>
              <w:rPr>
                <w:rFonts w:ascii="Arial Narrow" w:hAnsi="Arial Narrow" w:cs="Times New Roman"/>
                <w:snapToGrid/>
                <w:color w:val="000000"/>
                <w:sz w:val="20"/>
                <w:lang w:val="en-GB" w:eastAsia="en-GB"/>
              </w:rPr>
            </w:pPr>
          </w:p>
        </w:tc>
      </w:tr>
      <w:tr w:rsidR="00511A49" w:rsidRPr="00F875E6" w:rsidTr="006A30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272" w:type="pct"/>
            <w:shd w:val="clear" w:color="auto" w:fill="auto"/>
            <w:tcMar>
              <w:left w:w="28" w:type="dxa"/>
              <w:right w:w="28" w:type="dxa"/>
            </w:tcMar>
            <w:vAlign w:val="center"/>
            <w:hideMark/>
          </w:tcPr>
          <w:p w:rsidR="00511A49" w:rsidRPr="00F875E6" w:rsidRDefault="00511A49" w:rsidP="006A30D7">
            <w:pPr>
              <w:jc w:val="left"/>
              <w:rPr>
                <w:rFonts w:ascii="Arial Narrow" w:hAnsi="Arial Narrow" w:cs="Times New Roman"/>
                <w:snapToGrid/>
                <w:color w:val="000000"/>
                <w:sz w:val="20"/>
                <w:lang w:val="en-GB" w:eastAsia="en-GB"/>
              </w:rPr>
            </w:pPr>
            <w:r w:rsidRPr="00F875E6">
              <w:rPr>
                <w:rFonts w:ascii="Arial Narrow" w:hAnsi="Arial Narrow" w:cs="Times New Roman"/>
                <w:snapToGrid/>
                <w:color w:val="000000"/>
                <w:sz w:val="20"/>
                <w:lang w:eastAsia="en-GB"/>
              </w:rPr>
              <w:t>Study 101</w:t>
            </w:r>
          </w:p>
        </w:tc>
        <w:tc>
          <w:tcPr>
            <w:tcW w:w="932" w:type="pct"/>
            <w:shd w:val="clear" w:color="auto" w:fill="auto"/>
            <w:tcMar>
              <w:left w:w="28" w:type="dxa"/>
              <w:right w:w="28" w:type="dxa"/>
            </w:tcMar>
            <w:vAlign w:val="center"/>
            <w:hideMark/>
          </w:tcPr>
          <w:p w:rsidR="00511A49" w:rsidRPr="00F875E6" w:rsidRDefault="00511A49" w:rsidP="006A30D7">
            <w:pPr>
              <w:jc w:val="center"/>
              <w:rPr>
                <w:rFonts w:ascii="Arial Narrow" w:hAnsi="Arial Narrow" w:cs="Times New Roman"/>
                <w:snapToGrid/>
                <w:color w:val="000000"/>
                <w:sz w:val="20"/>
                <w:lang w:val="en-GB" w:eastAsia="en-GB"/>
              </w:rPr>
            </w:pPr>
            <w:r w:rsidRPr="00F875E6">
              <w:rPr>
                <w:rFonts w:ascii="Arial Narrow" w:hAnsi="Arial Narrow" w:cs="Times New Roman"/>
                <w:snapToGrid/>
                <w:color w:val="000000"/>
                <w:sz w:val="20"/>
                <w:lang w:eastAsia="en-GB"/>
              </w:rPr>
              <w:t>2/9 (22%)</w:t>
            </w:r>
          </w:p>
        </w:tc>
        <w:tc>
          <w:tcPr>
            <w:tcW w:w="934" w:type="pct"/>
            <w:shd w:val="clear" w:color="000000" w:fill="7F7F7F"/>
            <w:tcMar>
              <w:left w:w="28" w:type="dxa"/>
              <w:right w:w="28" w:type="dxa"/>
            </w:tcMar>
            <w:vAlign w:val="center"/>
            <w:hideMark/>
          </w:tcPr>
          <w:p w:rsidR="00511A49" w:rsidRPr="00F875E6" w:rsidRDefault="00511A49" w:rsidP="006A30D7">
            <w:pPr>
              <w:jc w:val="center"/>
              <w:rPr>
                <w:rFonts w:ascii="Arial Narrow" w:hAnsi="Arial Narrow" w:cs="Times New Roman"/>
                <w:snapToGrid/>
                <w:color w:val="000000"/>
                <w:sz w:val="20"/>
                <w:lang w:val="en-GB" w:eastAsia="en-GB"/>
              </w:rPr>
            </w:pPr>
          </w:p>
        </w:tc>
        <w:tc>
          <w:tcPr>
            <w:tcW w:w="932" w:type="pct"/>
            <w:shd w:val="clear" w:color="000000" w:fill="7F7F7F"/>
            <w:tcMar>
              <w:left w:w="28" w:type="dxa"/>
              <w:right w:w="28" w:type="dxa"/>
            </w:tcMar>
            <w:vAlign w:val="center"/>
            <w:hideMark/>
          </w:tcPr>
          <w:p w:rsidR="00511A49" w:rsidRPr="00F875E6" w:rsidRDefault="00511A49" w:rsidP="006A30D7">
            <w:pPr>
              <w:jc w:val="center"/>
              <w:rPr>
                <w:rFonts w:ascii="Arial Narrow" w:hAnsi="Arial Narrow" w:cs="Times New Roman"/>
                <w:snapToGrid/>
                <w:color w:val="000000"/>
                <w:sz w:val="20"/>
                <w:lang w:val="en-GB" w:eastAsia="en-GB"/>
              </w:rPr>
            </w:pPr>
          </w:p>
        </w:tc>
        <w:tc>
          <w:tcPr>
            <w:tcW w:w="930" w:type="pct"/>
            <w:shd w:val="clear" w:color="000000" w:fill="7F7F7F"/>
            <w:tcMar>
              <w:left w:w="28" w:type="dxa"/>
              <w:right w:w="28" w:type="dxa"/>
            </w:tcMar>
            <w:vAlign w:val="center"/>
            <w:hideMark/>
          </w:tcPr>
          <w:p w:rsidR="00511A49" w:rsidRPr="00F875E6" w:rsidRDefault="00511A49" w:rsidP="006A30D7">
            <w:pPr>
              <w:jc w:val="center"/>
              <w:rPr>
                <w:rFonts w:ascii="Arial Narrow" w:hAnsi="Arial Narrow" w:cs="Times New Roman"/>
                <w:snapToGrid/>
                <w:color w:val="000000"/>
                <w:sz w:val="20"/>
                <w:lang w:val="en-GB" w:eastAsia="en-GB"/>
              </w:rPr>
            </w:pPr>
          </w:p>
        </w:tc>
      </w:tr>
      <w:tr w:rsidR="00511A49" w:rsidRPr="00F875E6" w:rsidTr="006A30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272" w:type="pct"/>
            <w:shd w:val="clear" w:color="auto" w:fill="auto"/>
            <w:tcMar>
              <w:left w:w="28" w:type="dxa"/>
              <w:right w:w="28" w:type="dxa"/>
            </w:tcMar>
            <w:vAlign w:val="center"/>
            <w:hideMark/>
          </w:tcPr>
          <w:p w:rsidR="00511A49" w:rsidRPr="00F875E6" w:rsidRDefault="00511A49" w:rsidP="006A30D7">
            <w:pPr>
              <w:widowControl/>
              <w:jc w:val="left"/>
              <w:rPr>
                <w:rFonts w:ascii="Arial Narrow" w:hAnsi="Arial Narrow" w:cs="Times New Roman"/>
                <w:snapToGrid/>
                <w:color w:val="000000"/>
                <w:sz w:val="20"/>
                <w:lang w:val="en-GB" w:eastAsia="en-GB"/>
              </w:rPr>
            </w:pPr>
            <w:r w:rsidRPr="00F875E6">
              <w:rPr>
                <w:rFonts w:ascii="Arial Narrow" w:hAnsi="Arial Narrow" w:cs="Times New Roman"/>
                <w:snapToGrid/>
                <w:color w:val="000000"/>
                <w:sz w:val="20"/>
                <w:lang w:eastAsia="en-GB"/>
              </w:rPr>
              <w:t>Quintas-Cardama 2007</w:t>
            </w:r>
          </w:p>
        </w:tc>
        <w:tc>
          <w:tcPr>
            <w:tcW w:w="932" w:type="pct"/>
            <w:shd w:val="clear" w:color="000000" w:fill="7F7F7F"/>
            <w:tcMar>
              <w:left w:w="28" w:type="dxa"/>
              <w:right w:w="28" w:type="dxa"/>
            </w:tcMar>
            <w:vAlign w:val="center"/>
            <w:hideMark/>
          </w:tcPr>
          <w:p w:rsidR="00511A49" w:rsidRPr="00F875E6" w:rsidRDefault="00511A49" w:rsidP="006A30D7">
            <w:pPr>
              <w:widowControl/>
              <w:jc w:val="center"/>
              <w:rPr>
                <w:rFonts w:ascii="Arial Narrow" w:hAnsi="Arial Narrow" w:cs="Times New Roman"/>
                <w:snapToGrid/>
                <w:color w:val="000000"/>
                <w:sz w:val="20"/>
                <w:lang w:val="en-GB" w:eastAsia="en-GB"/>
              </w:rPr>
            </w:pPr>
          </w:p>
        </w:tc>
        <w:tc>
          <w:tcPr>
            <w:tcW w:w="934" w:type="pct"/>
            <w:shd w:val="clear" w:color="auto" w:fill="auto"/>
            <w:tcMar>
              <w:left w:w="28" w:type="dxa"/>
              <w:right w:w="28" w:type="dxa"/>
            </w:tcMar>
            <w:vAlign w:val="center"/>
            <w:hideMark/>
          </w:tcPr>
          <w:p w:rsidR="00511A49" w:rsidRPr="00F875E6" w:rsidRDefault="00511A49" w:rsidP="00693B09">
            <w:pPr>
              <w:widowControl/>
              <w:jc w:val="center"/>
              <w:rPr>
                <w:rFonts w:ascii="Arial Narrow" w:hAnsi="Arial Narrow" w:cs="Times New Roman"/>
                <w:snapToGrid/>
                <w:color w:val="000000"/>
                <w:sz w:val="20"/>
                <w:lang w:val="en-GB" w:eastAsia="en-GB"/>
              </w:rPr>
            </w:pPr>
            <w:r w:rsidRPr="00F875E6">
              <w:rPr>
                <w:rFonts w:ascii="Arial Narrow" w:hAnsi="Arial Narrow" w:cs="Times New Roman"/>
                <w:i/>
                <w:snapToGrid/>
                <w:color w:val="000000"/>
                <w:sz w:val="20"/>
                <w:lang w:val="en-GB" w:eastAsia="en-GB"/>
              </w:rPr>
              <w:t>4/10 (40%)</w:t>
            </w:r>
            <w:r w:rsidRPr="00F875E6">
              <w:rPr>
                <w:rFonts w:ascii="Arial Narrow" w:hAnsi="Arial Narrow" w:cs="Times New Roman"/>
                <w:snapToGrid/>
                <w:color w:val="000000"/>
                <w:sz w:val="20"/>
                <w:lang w:val="en-GB" w:eastAsia="en-GB"/>
              </w:rPr>
              <w:t xml:space="preserve"> </w:t>
            </w:r>
            <w:r w:rsidR="00693B09" w:rsidRPr="00F875E6">
              <w:rPr>
                <w:rFonts w:ascii="Arial Narrow" w:hAnsi="Arial Narrow" w:cs="Times New Roman"/>
                <w:i/>
                <w:snapToGrid/>
                <w:color w:val="000000"/>
                <w:sz w:val="20"/>
                <w:vertAlign w:val="superscript"/>
                <w:lang w:val="en-GB" w:eastAsia="en-GB"/>
              </w:rPr>
              <w:t>f</w:t>
            </w:r>
          </w:p>
        </w:tc>
        <w:tc>
          <w:tcPr>
            <w:tcW w:w="932" w:type="pct"/>
            <w:shd w:val="clear" w:color="000000" w:fill="808080"/>
            <w:tcMar>
              <w:left w:w="28" w:type="dxa"/>
              <w:right w:w="28" w:type="dxa"/>
            </w:tcMar>
            <w:vAlign w:val="center"/>
            <w:hideMark/>
          </w:tcPr>
          <w:p w:rsidR="00511A49" w:rsidRPr="00F875E6" w:rsidRDefault="00511A49" w:rsidP="006A30D7">
            <w:pPr>
              <w:widowControl/>
              <w:jc w:val="center"/>
              <w:rPr>
                <w:rFonts w:ascii="Arial Narrow" w:hAnsi="Arial Narrow" w:cs="Times New Roman"/>
                <w:snapToGrid/>
                <w:color w:val="000000"/>
                <w:sz w:val="20"/>
                <w:lang w:val="en-GB" w:eastAsia="en-GB"/>
              </w:rPr>
            </w:pPr>
          </w:p>
        </w:tc>
        <w:tc>
          <w:tcPr>
            <w:tcW w:w="930" w:type="pct"/>
            <w:shd w:val="clear" w:color="000000" w:fill="808080"/>
            <w:tcMar>
              <w:left w:w="28" w:type="dxa"/>
              <w:right w:w="28" w:type="dxa"/>
            </w:tcMar>
            <w:vAlign w:val="center"/>
          </w:tcPr>
          <w:p w:rsidR="00511A49" w:rsidRPr="00F875E6" w:rsidRDefault="00511A49" w:rsidP="006A30D7">
            <w:pPr>
              <w:widowControl/>
              <w:jc w:val="center"/>
              <w:rPr>
                <w:rFonts w:ascii="Arial Narrow" w:hAnsi="Arial Narrow" w:cs="Times New Roman"/>
                <w:snapToGrid/>
                <w:color w:val="000000"/>
                <w:sz w:val="20"/>
                <w:lang w:val="en-GB" w:eastAsia="en-GB"/>
              </w:rPr>
            </w:pPr>
          </w:p>
        </w:tc>
      </w:tr>
      <w:tr w:rsidR="00511A49" w:rsidRPr="00F875E6" w:rsidTr="006A30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272" w:type="pct"/>
            <w:shd w:val="clear" w:color="auto" w:fill="auto"/>
            <w:tcMar>
              <w:left w:w="28" w:type="dxa"/>
              <w:right w:w="28" w:type="dxa"/>
            </w:tcMar>
            <w:vAlign w:val="center"/>
            <w:hideMark/>
          </w:tcPr>
          <w:p w:rsidR="00511A49" w:rsidRPr="00F875E6" w:rsidRDefault="00511A49" w:rsidP="00693B09">
            <w:pPr>
              <w:widowControl/>
              <w:jc w:val="left"/>
              <w:rPr>
                <w:rFonts w:ascii="Arial Narrow" w:hAnsi="Arial Narrow" w:cs="Times New Roman"/>
                <w:snapToGrid/>
                <w:color w:val="000000"/>
                <w:sz w:val="20"/>
                <w:lang w:val="en-GB" w:eastAsia="en-GB"/>
              </w:rPr>
            </w:pPr>
            <w:r w:rsidRPr="00F875E6">
              <w:rPr>
                <w:rFonts w:ascii="Arial Narrow" w:hAnsi="Arial Narrow" w:cs="Times New Roman"/>
                <w:snapToGrid/>
                <w:color w:val="000000"/>
                <w:sz w:val="20"/>
                <w:lang w:eastAsia="en-GB"/>
              </w:rPr>
              <w:t xml:space="preserve">Giles 2010 </w:t>
            </w:r>
            <w:r w:rsidR="00693B09" w:rsidRPr="00F875E6">
              <w:rPr>
                <w:rFonts w:ascii="Arial Narrow" w:hAnsi="Arial Narrow" w:cs="Times New Roman"/>
                <w:snapToGrid/>
                <w:color w:val="000000"/>
                <w:sz w:val="20"/>
                <w:vertAlign w:val="superscript"/>
                <w:lang w:eastAsia="en-GB"/>
              </w:rPr>
              <w:t>d</w:t>
            </w:r>
          </w:p>
        </w:tc>
        <w:tc>
          <w:tcPr>
            <w:tcW w:w="932" w:type="pct"/>
            <w:shd w:val="clear" w:color="000000" w:fill="7F7F7F"/>
            <w:tcMar>
              <w:left w:w="28" w:type="dxa"/>
              <w:right w:w="28" w:type="dxa"/>
            </w:tcMar>
            <w:vAlign w:val="center"/>
            <w:hideMark/>
          </w:tcPr>
          <w:p w:rsidR="00511A49" w:rsidRPr="00F875E6" w:rsidRDefault="00511A49" w:rsidP="006A30D7">
            <w:pPr>
              <w:widowControl/>
              <w:jc w:val="center"/>
              <w:rPr>
                <w:rFonts w:ascii="Arial Narrow" w:hAnsi="Arial Narrow" w:cs="Times New Roman"/>
                <w:snapToGrid/>
                <w:color w:val="000000"/>
                <w:sz w:val="20"/>
                <w:lang w:val="en-GB" w:eastAsia="en-GB"/>
              </w:rPr>
            </w:pPr>
          </w:p>
        </w:tc>
        <w:tc>
          <w:tcPr>
            <w:tcW w:w="934" w:type="pct"/>
            <w:shd w:val="clear" w:color="000000" w:fill="808080"/>
            <w:tcMar>
              <w:left w:w="28" w:type="dxa"/>
              <w:right w:w="28" w:type="dxa"/>
            </w:tcMar>
            <w:vAlign w:val="center"/>
          </w:tcPr>
          <w:p w:rsidR="00511A49" w:rsidRPr="00F875E6" w:rsidRDefault="00511A49" w:rsidP="006A30D7">
            <w:pPr>
              <w:widowControl/>
              <w:jc w:val="center"/>
              <w:rPr>
                <w:rFonts w:ascii="Arial Narrow" w:hAnsi="Arial Narrow" w:cs="Times New Roman"/>
                <w:snapToGrid/>
                <w:color w:val="000000"/>
                <w:sz w:val="20"/>
                <w:lang w:val="en-GB" w:eastAsia="en-GB"/>
              </w:rPr>
            </w:pPr>
          </w:p>
        </w:tc>
        <w:tc>
          <w:tcPr>
            <w:tcW w:w="932" w:type="pct"/>
            <w:shd w:val="clear" w:color="auto" w:fill="auto"/>
            <w:tcMar>
              <w:left w:w="28" w:type="dxa"/>
              <w:right w:w="28" w:type="dxa"/>
            </w:tcMar>
            <w:vAlign w:val="center"/>
            <w:hideMark/>
          </w:tcPr>
          <w:p w:rsidR="00511A49" w:rsidRPr="00F875E6" w:rsidRDefault="00511A49" w:rsidP="006A30D7">
            <w:pPr>
              <w:widowControl/>
              <w:jc w:val="center"/>
              <w:rPr>
                <w:rFonts w:ascii="Arial Narrow" w:hAnsi="Arial Narrow" w:cs="Times New Roman"/>
                <w:snapToGrid/>
                <w:color w:val="000000"/>
                <w:sz w:val="20"/>
                <w:lang w:val="en-GB" w:eastAsia="en-GB"/>
              </w:rPr>
            </w:pPr>
            <w:r w:rsidRPr="00F875E6">
              <w:rPr>
                <w:rFonts w:ascii="Arial Narrow" w:hAnsi="Arial Narrow" w:cs="Times New Roman"/>
                <w:snapToGrid/>
                <w:color w:val="000000"/>
                <w:sz w:val="20"/>
                <w:lang w:eastAsia="en-GB"/>
              </w:rPr>
              <w:t>2/17 (12%)</w:t>
            </w:r>
          </w:p>
        </w:tc>
        <w:tc>
          <w:tcPr>
            <w:tcW w:w="930" w:type="pct"/>
            <w:shd w:val="clear" w:color="000000" w:fill="808080"/>
            <w:tcMar>
              <w:left w:w="28" w:type="dxa"/>
              <w:right w:w="28" w:type="dxa"/>
            </w:tcMar>
            <w:vAlign w:val="center"/>
          </w:tcPr>
          <w:p w:rsidR="00511A49" w:rsidRPr="00F875E6" w:rsidRDefault="00511A49" w:rsidP="006A30D7">
            <w:pPr>
              <w:widowControl/>
              <w:jc w:val="center"/>
              <w:rPr>
                <w:rFonts w:ascii="Arial Narrow" w:hAnsi="Arial Narrow" w:cs="Times New Roman"/>
                <w:snapToGrid/>
                <w:color w:val="000000"/>
                <w:sz w:val="20"/>
                <w:lang w:val="en-GB" w:eastAsia="en-GB"/>
              </w:rPr>
            </w:pPr>
          </w:p>
        </w:tc>
      </w:tr>
      <w:tr w:rsidR="00511A49" w:rsidRPr="00F875E6" w:rsidTr="006A30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272" w:type="pct"/>
            <w:shd w:val="clear" w:color="auto" w:fill="auto"/>
            <w:tcMar>
              <w:left w:w="28" w:type="dxa"/>
              <w:right w:w="28" w:type="dxa"/>
            </w:tcMar>
            <w:vAlign w:val="center"/>
            <w:hideMark/>
          </w:tcPr>
          <w:p w:rsidR="00511A49" w:rsidRPr="00F875E6" w:rsidRDefault="00511A49" w:rsidP="006A30D7">
            <w:pPr>
              <w:widowControl/>
              <w:jc w:val="left"/>
              <w:rPr>
                <w:rFonts w:ascii="Arial Narrow" w:hAnsi="Arial Narrow" w:cs="Times New Roman"/>
                <w:snapToGrid/>
                <w:color w:val="000000"/>
                <w:sz w:val="20"/>
                <w:lang w:val="en-GB" w:eastAsia="en-GB"/>
              </w:rPr>
            </w:pPr>
            <w:r w:rsidRPr="00F875E6">
              <w:rPr>
                <w:rFonts w:ascii="Arial Narrow" w:hAnsi="Arial Narrow" w:cs="Times New Roman"/>
                <w:snapToGrid/>
                <w:color w:val="000000"/>
                <w:sz w:val="20"/>
                <w:lang w:eastAsia="en-GB"/>
              </w:rPr>
              <w:t>Nicolini 2009</w:t>
            </w:r>
          </w:p>
        </w:tc>
        <w:tc>
          <w:tcPr>
            <w:tcW w:w="932" w:type="pct"/>
            <w:shd w:val="clear" w:color="000000" w:fill="7F7F7F"/>
            <w:tcMar>
              <w:left w:w="28" w:type="dxa"/>
              <w:right w:w="28" w:type="dxa"/>
            </w:tcMar>
            <w:vAlign w:val="center"/>
            <w:hideMark/>
          </w:tcPr>
          <w:p w:rsidR="00511A49" w:rsidRPr="00F875E6" w:rsidRDefault="00511A49" w:rsidP="006A30D7">
            <w:pPr>
              <w:widowControl/>
              <w:jc w:val="center"/>
              <w:rPr>
                <w:rFonts w:ascii="Arial Narrow" w:hAnsi="Arial Narrow" w:cs="Times New Roman"/>
                <w:snapToGrid/>
                <w:color w:val="000000"/>
                <w:sz w:val="20"/>
                <w:lang w:val="en-GB" w:eastAsia="en-GB"/>
              </w:rPr>
            </w:pPr>
          </w:p>
        </w:tc>
        <w:tc>
          <w:tcPr>
            <w:tcW w:w="934" w:type="pct"/>
            <w:shd w:val="clear" w:color="000000" w:fill="808080"/>
            <w:tcMar>
              <w:left w:w="28" w:type="dxa"/>
              <w:right w:w="28" w:type="dxa"/>
            </w:tcMar>
            <w:vAlign w:val="center"/>
          </w:tcPr>
          <w:p w:rsidR="00511A49" w:rsidRPr="00F875E6" w:rsidRDefault="00511A49" w:rsidP="006A30D7">
            <w:pPr>
              <w:widowControl/>
              <w:jc w:val="center"/>
              <w:rPr>
                <w:rFonts w:ascii="Arial Narrow" w:hAnsi="Arial Narrow" w:cs="Times New Roman"/>
                <w:snapToGrid/>
                <w:color w:val="000000"/>
                <w:sz w:val="20"/>
                <w:lang w:val="en-GB" w:eastAsia="en-GB"/>
              </w:rPr>
            </w:pPr>
          </w:p>
        </w:tc>
        <w:tc>
          <w:tcPr>
            <w:tcW w:w="932" w:type="pct"/>
            <w:shd w:val="clear" w:color="auto" w:fill="auto"/>
            <w:tcMar>
              <w:left w:w="28" w:type="dxa"/>
              <w:right w:w="28" w:type="dxa"/>
            </w:tcMar>
            <w:vAlign w:val="center"/>
            <w:hideMark/>
          </w:tcPr>
          <w:p w:rsidR="00511A49" w:rsidRPr="00F875E6" w:rsidRDefault="00511A49" w:rsidP="006A30D7">
            <w:pPr>
              <w:widowControl/>
              <w:jc w:val="center"/>
              <w:rPr>
                <w:rFonts w:ascii="Arial Narrow" w:hAnsi="Arial Narrow" w:cs="Times New Roman"/>
                <w:snapToGrid/>
                <w:color w:val="000000"/>
                <w:sz w:val="20"/>
                <w:lang w:val="en-GB" w:eastAsia="en-GB"/>
              </w:rPr>
            </w:pPr>
            <w:r w:rsidRPr="00F875E6">
              <w:rPr>
                <w:rFonts w:ascii="Arial Narrow" w:hAnsi="Arial Narrow" w:cs="Times New Roman"/>
                <w:snapToGrid/>
                <w:color w:val="000000"/>
                <w:sz w:val="20"/>
                <w:lang w:eastAsia="en-GB"/>
              </w:rPr>
              <w:t>2/34 (7%)</w:t>
            </w:r>
          </w:p>
        </w:tc>
        <w:tc>
          <w:tcPr>
            <w:tcW w:w="930" w:type="pct"/>
            <w:shd w:val="clear" w:color="000000" w:fill="808080"/>
            <w:tcMar>
              <w:left w:w="28" w:type="dxa"/>
              <w:right w:w="28" w:type="dxa"/>
            </w:tcMar>
            <w:vAlign w:val="center"/>
          </w:tcPr>
          <w:p w:rsidR="00511A49" w:rsidRPr="00F875E6" w:rsidRDefault="00511A49" w:rsidP="006A30D7">
            <w:pPr>
              <w:widowControl/>
              <w:jc w:val="center"/>
              <w:rPr>
                <w:rFonts w:ascii="Arial Narrow" w:hAnsi="Arial Narrow" w:cs="Times New Roman"/>
                <w:snapToGrid/>
                <w:color w:val="000000"/>
                <w:sz w:val="20"/>
                <w:lang w:val="en-GB" w:eastAsia="en-GB"/>
              </w:rPr>
            </w:pPr>
          </w:p>
        </w:tc>
      </w:tr>
      <w:tr w:rsidR="00511A49" w:rsidRPr="00F875E6" w:rsidTr="006A30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272" w:type="pct"/>
            <w:shd w:val="clear" w:color="auto" w:fill="auto"/>
            <w:tcMar>
              <w:left w:w="28" w:type="dxa"/>
              <w:right w:w="28" w:type="dxa"/>
            </w:tcMar>
            <w:vAlign w:val="center"/>
            <w:hideMark/>
          </w:tcPr>
          <w:p w:rsidR="00511A49" w:rsidRPr="00F875E6" w:rsidRDefault="00511A49" w:rsidP="00693B09">
            <w:pPr>
              <w:widowControl/>
              <w:jc w:val="left"/>
              <w:rPr>
                <w:rFonts w:ascii="Arial Narrow" w:hAnsi="Arial Narrow" w:cs="Times New Roman"/>
                <w:snapToGrid/>
                <w:color w:val="000000"/>
                <w:sz w:val="20"/>
                <w:lang w:val="en-GB" w:eastAsia="en-GB"/>
              </w:rPr>
            </w:pPr>
            <w:r w:rsidRPr="00F875E6">
              <w:rPr>
                <w:rFonts w:ascii="Arial Narrow" w:hAnsi="Arial Narrow" w:cs="Times New Roman"/>
                <w:snapToGrid/>
                <w:color w:val="000000"/>
                <w:sz w:val="20"/>
                <w:lang w:eastAsia="en-GB"/>
              </w:rPr>
              <w:t>Garg 2009</w:t>
            </w:r>
            <w:r w:rsidRPr="00F875E6">
              <w:rPr>
                <w:rFonts w:ascii="Arial Narrow" w:hAnsi="Arial Narrow" w:cs="Times New Roman"/>
                <w:snapToGrid/>
                <w:color w:val="000000"/>
                <w:sz w:val="20"/>
                <w:vertAlign w:val="superscript"/>
                <w:lang w:eastAsia="en-GB"/>
              </w:rPr>
              <w:t xml:space="preserve"> </w:t>
            </w:r>
            <w:r w:rsidR="00693B09" w:rsidRPr="00F875E6">
              <w:rPr>
                <w:rFonts w:ascii="Arial Narrow" w:hAnsi="Arial Narrow" w:cs="Times New Roman"/>
                <w:snapToGrid/>
                <w:color w:val="000000"/>
                <w:sz w:val="20"/>
                <w:vertAlign w:val="superscript"/>
                <w:lang w:eastAsia="en-GB"/>
              </w:rPr>
              <w:t>e</w:t>
            </w:r>
          </w:p>
        </w:tc>
        <w:tc>
          <w:tcPr>
            <w:tcW w:w="932" w:type="pct"/>
            <w:shd w:val="clear" w:color="000000" w:fill="7F7F7F"/>
            <w:tcMar>
              <w:left w:w="28" w:type="dxa"/>
              <w:right w:w="28" w:type="dxa"/>
            </w:tcMar>
            <w:vAlign w:val="center"/>
            <w:hideMark/>
          </w:tcPr>
          <w:p w:rsidR="00511A49" w:rsidRPr="00F875E6" w:rsidRDefault="00511A49" w:rsidP="006A30D7">
            <w:pPr>
              <w:widowControl/>
              <w:jc w:val="center"/>
              <w:rPr>
                <w:rFonts w:ascii="Arial Narrow" w:hAnsi="Arial Narrow" w:cs="Times New Roman"/>
                <w:snapToGrid/>
                <w:color w:val="000000"/>
                <w:sz w:val="20"/>
                <w:lang w:val="en-GB" w:eastAsia="en-GB"/>
              </w:rPr>
            </w:pPr>
          </w:p>
        </w:tc>
        <w:tc>
          <w:tcPr>
            <w:tcW w:w="934" w:type="pct"/>
            <w:shd w:val="clear" w:color="auto" w:fill="auto"/>
            <w:tcMar>
              <w:left w:w="28" w:type="dxa"/>
              <w:right w:w="28" w:type="dxa"/>
            </w:tcMar>
            <w:vAlign w:val="center"/>
            <w:hideMark/>
          </w:tcPr>
          <w:p w:rsidR="00511A49" w:rsidRPr="00F875E6" w:rsidRDefault="00511A49" w:rsidP="006A30D7">
            <w:pPr>
              <w:widowControl/>
              <w:jc w:val="center"/>
              <w:rPr>
                <w:rFonts w:ascii="Arial Narrow" w:hAnsi="Arial Narrow" w:cs="Times New Roman"/>
                <w:snapToGrid/>
                <w:color w:val="000000"/>
                <w:sz w:val="20"/>
                <w:lang w:val="en-GB" w:eastAsia="en-GB"/>
              </w:rPr>
            </w:pPr>
            <w:r w:rsidRPr="00F875E6">
              <w:rPr>
                <w:rFonts w:ascii="Arial Narrow" w:hAnsi="Arial Narrow" w:cs="Times New Roman"/>
                <w:snapToGrid/>
                <w:color w:val="000000"/>
                <w:sz w:val="20"/>
                <w:lang w:eastAsia="en-GB"/>
              </w:rPr>
              <w:t>3/8 (38%)</w:t>
            </w:r>
          </w:p>
        </w:tc>
        <w:tc>
          <w:tcPr>
            <w:tcW w:w="932" w:type="pct"/>
            <w:shd w:val="clear" w:color="auto" w:fill="auto"/>
            <w:tcMar>
              <w:left w:w="28" w:type="dxa"/>
              <w:right w:w="28" w:type="dxa"/>
            </w:tcMar>
            <w:vAlign w:val="center"/>
            <w:hideMark/>
          </w:tcPr>
          <w:p w:rsidR="00511A49" w:rsidRPr="00F875E6" w:rsidRDefault="00511A49" w:rsidP="006A30D7">
            <w:pPr>
              <w:widowControl/>
              <w:jc w:val="center"/>
              <w:rPr>
                <w:rFonts w:ascii="Arial Narrow" w:hAnsi="Arial Narrow" w:cs="Times New Roman"/>
                <w:snapToGrid/>
                <w:color w:val="000000"/>
                <w:sz w:val="20"/>
                <w:lang w:val="en-GB" w:eastAsia="en-GB"/>
              </w:rPr>
            </w:pPr>
            <w:r w:rsidRPr="00F875E6">
              <w:rPr>
                <w:rFonts w:ascii="Arial Narrow" w:hAnsi="Arial Narrow" w:cs="Times New Roman"/>
                <w:snapToGrid/>
                <w:color w:val="000000"/>
                <w:sz w:val="20"/>
                <w:lang w:eastAsia="en-GB"/>
              </w:rPr>
              <w:t>1/2 (50%)</w:t>
            </w:r>
          </w:p>
        </w:tc>
        <w:tc>
          <w:tcPr>
            <w:tcW w:w="930" w:type="pct"/>
            <w:shd w:val="clear" w:color="000000" w:fill="808080"/>
            <w:tcMar>
              <w:left w:w="28" w:type="dxa"/>
              <w:right w:w="28" w:type="dxa"/>
            </w:tcMar>
            <w:vAlign w:val="center"/>
          </w:tcPr>
          <w:p w:rsidR="00511A49" w:rsidRPr="00F875E6" w:rsidRDefault="00511A49" w:rsidP="006A30D7">
            <w:pPr>
              <w:widowControl/>
              <w:jc w:val="center"/>
              <w:rPr>
                <w:rFonts w:ascii="Arial Narrow" w:hAnsi="Arial Narrow" w:cs="Times New Roman"/>
                <w:snapToGrid/>
                <w:color w:val="000000"/>
                <w:sz w:val="20"/>
                <w:lang w:val="en-GB" w:eastAsia="en-GB"/>
              </w:rPr>
            </w:pPr>
          </w:p>
        </w:tc>
      </w:tr>
      <w:tr w:rsidR="00511A49" w:rsidRPr="00F875E6" w:rsidTr="006A30D7">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511A49" w:rsidRPr="00F875E6" w:rsidRDefault="00511A49" w:rsidP="006A30D7">
            <w:pPr>
              <w:jc w:val="left"/>
              <w:rPr>
                <w:rFonts w:ascii="Arial Narrow" w:hAnsi="Arial Narrow" w:cs="Times New Roman"/>
                <w:b/>
                <w:bCs/>
                <w:snapToGrid/>
                <w:color w:val="000000"/>
                <w:sz w:val="20"/>
                <w:lang w:val="en-GB" w:eastAsia="en-GB"/>
              </w:rPr>
            </w:pPr>
            <w:r w:rsidRPr="00F875E6">
              <w:rPr>
                <w:rFonts w:ascii="Arial Narrow" w:hAnsi="Arial Narrow" w:cs="Times New Roman"/>
                <w:b/>
                <w:bCs/>
                <w:snapToGrid/>
                <w:color w:val="000000"/>
                <w:sz w:val="20"/>
                <w:lang w:eastAsia="en-GB"/>
              </w:rPr>
              <w:t>Blast crisis CML or Ph+ ALL – MCyR</w:t>
            </w:r>
          </w:p>
        </w:tc>
      </w:tr>
      <w:tr w:rsidR="00511A49" w:rsidRPr="00F875E6" w:rsidTr="006A30D7">
        <w:trPr>
          <w:trHeight w:val="20"/>
        </w:trPr>
        <w:tc>
          <w:tcPr>
            <w:tcW w:w="127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11A49" w:rsidRPr="00F875E6" w:rsidRDefault="00511A49" w:rsidP="006A30D7">
            <w:pPr>
              <w:jc w:val="left"/>
              <w:rPr>
                <w:rFonts w:ascii="Arial Narrow" w:hAnsi="Arial Narrow" w:cs="Times New Roman"/>
                <w:snapToGrid/>
                <w:color w:val="000000"/>
                <w:sz w:val="20"/>
                <w:lang w:val="en-GB" w:eastAsia="en-GB"/>
              </w:rPr>
            </w:pPr>
            <w:r w:rsidRPr="00F875E6">
              <w:rPr>
                <w:rFonts w:ascii="Arial Narrow" w:hAnsi="Arial Narrow" w:cs="Times New Roman"/>
                <w:snapToGrid/>
                <w:color w:val="000000"/>
                <w:sz w:val="20"/>
                <w:lang w:eastAsia="en-GB"/>
              </w:rPr>
              <w:t>PACE</w:t>
            </w:r>
          </w:p>
        </w:tc>
        <w:tc>
          <w:tcPr>
            <w:tcW w:w="932" w:type="pct"/>
            <w:tcBorders>
              <w:top w:val="nil"/>
              <w:left w:val="nil"/>
              <w:bottom w:val="single" w:sz="4" w:space="0" w:color="auto"/>
              <w:right w:val="double" w:sz="4" w:space="0" w:color="auto"/>
            </w:tcBorders>
            <w:shd w:val="clear" w:color="auto" w:fill="auto"/>
            <w:tcMar>
              <w:left w:w="28" w:type="dxa"/>
              <w:right w:w="28" w:type="dxa"/>
            </w:tcMar>
            <w:vAlign w:val="center"/>
            <w:hideMark/>
          </w:tcPr>
          <w:p w:rsidR="00511A49" w:rsidRPr="00F875E6" w:rsidRDefault="00511A49" w:rsidP="006A30D7">
            <w:pPr>
              <w:jc w:val="center"/>
              <w:rPr>
                <w:rFonts w:ascii="Arial Narrow" w:hAnsi="Arial Narrow" w:cs="Times New Roman"/>
                <w:snapToGrid/>
                <w:color w:val="000000"/>
                <w:sz w:val="20"/>
                <w:lang w:val="en-GB" w:eastAsia="en-GB"/>
              </w:rPr>
            </w:pPr>
            <w:r w:rsidRPr="00F875E6">
              <w:rPr>
                <w:rFonts w:ascii="Arial Narrow" w:hAnsi="Arial Narrow" w:cs="Times New Roman"/>
                <w:snapToGrid/>
                <w:color w:val="000000"/>
                <w:sz w:val="20"/>
                <w:lang w:eastAsia="en-GB"/>
              </w:rPr>
              <w:t>29/94 (31%)</w:t>
            </w:r>
          </w:p>
        </w:tc>
        <w:tc>
          <w:tcPr>
            <w:tcW w:w="934" w:type="pct"/>
            <w:tcBorders>
              <w:top w:val="nil"/>
              <w:left w:val="double" w:sz="4" w:space="0" w:color="auto"/>
              <w:bottom w:val="single" w:sz="4" w:space="0" w:color="auto"/>
              <w:right w:val="single" w:sz="4" w:space="0" w:color="auto"/>
            </w:tcBorders>
            <w:shd w:val="clear" w:color="000000" w:fill="7F7F7F"/>
            <w:tcMar>
              <w:left w:w="28" w:type="dxa"/>
              <w:right w:w="28" w:type="dxa"/>
            </w:tcMar>
            <w:vAlign w:val="center"/>
            <w:hideMark/>
          </w:tcPr>
          <w:p w:rsidR="00511A49" w:rsidRPr="00F875E6" w:rsidRDefault="00511A49" w:rsidP="006A30D7">
            <w:pPr>
              <w:jc w:val="center"/>
              <w:rPr>
                <w:rFonts w:ascii="Arial Narrow" w:hAnsi="Arial Narrow" w:cs="Times New Roman"/>
                <w:snapToGrid/>
                <w:color w:val="000000"/>
                <w:sz w:val="20"/>
                <w:lang w:val="en-GB" w:eastAsia="en-GB"/>
              </w:rPr>
            </w:pPr>
          </w:p>
        </w:tc>
        <w:tc>
          <w:tcPr>
            <w:tcW w:w="932" w:type="pct"/>
            <w:tcBorders>
              <w:top w:val="nil"/>
              <w:left w:val="nil"/>
              <w:bottom w:val="single" w:sz="4" w:space="0" w:color="auto"/>
              <w:right w:val="single" w:sz="4" w:space="0" w:color="auto"/>
            </w:tcBorders>
            <w:shd w:val="clear" w:color="000000" w:fill="7F7F7F"/>
            <w:tcMar>
              <w:left w:w="28" w:type="dxa"/>
              <w:right w:w="28" w:type="dxa"/>
            </w:tcMar>
            <w:vAlign w:val="center"/>
            <w:hideMark/>
          </w:tcPr>
          <w:p w:rsidR="00511A49" w:rsidRPr="00F875E6" w:rsidRDefault="00511A49" w:rsidP="006A30D7">
            <w:pPr>
              <w:jc w:val="center"/>
              <w:rPr>
                <w:rFonts w:ascii="Arial Narrow" w:hAnsi="Arial Narrow" w:cs="Times New Roman"/>
                <w:snapToGrid/>
                <w:color w:val="000000"/>
                <w:sz w:val="20"/>
                <w:lang w:val="en-GB" w:eastAsia="en-GB"/>
              </w:rPr>
            </w:pPr>
          </w:p>
        </w:tc>
        <w:tc>
          <w:tcPr>
            <w:tcW w:w="930" w:type="pct"/>
            <w:tcBorders>
              <w:top w:val="nil"/>
              <w:left w:val="nil"/>
              <w:bottom w:val="single" w:sz="4" w:space="0" w:color="auto"/>
              <w:right w:val="single" w:sz="4" w:space="0" w:color="auto"/>
            </w:tcBorders>
            <w:shd w:val="clear" w:color="000000" w:fill="7F7F7F"/>
            <w:tcMar>
              <w:left w:w="28" w:type="dxa"/>
              <w:right w:w="28" w:type="dxa"/>
            </w:tcMar>
            <w:vAlign w:val="center"/>
            <w:hideMark/>
          </w:tcPr>
          <w:p w:rsidR="00511A49" w:rsidRPr="00F875E6" w:rsidRDefault="00511A49" w:rsidP="006A30D7">
            <w:pPr>
              <w:jc w:val="center"/>
              <w:rPr>
                <w:rFonts w:ascii="Arial Narrow" w:hAnsi="Arial Narrow" w:cs="Times New Roman"/>
                <w:snapToGrid/>
                <w:color w:val="000000"/>
                <w:sz w:val="20"/>
                <w:lang w:val="en-GB" w:eastAsia="en-GB"/>
              </w:rPr>
            </w:pPr>
          </w:p>
        </w:tc>
      </w:tr>
      <w:tr w:rsidR="00511A49" w:rsidRPr="00F875E6" w:rsidTr="006A30D7">
        <w:trPr>
          <w:trHeight w:val="20"/>
        </w:trPr>
        <w:tc>
          <w:tcPr>
            <w:tcW w:w="127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11A49" w:rsidRPr="00F875E6" w:rsidRDefault="00511A49" w:rsidP="006A30D7">
            <w:pPr>
              <w:jc w:val="left"/>
              <w:rPr>
                <w:rFonts w:ascii="Arial Narrow" w:hAnsi="Arial Narrow" w:cs="Times New Roman"/>
                <w:snapToGrid/>
                <w:color w:val="000000"/>
                <w:sz w:val="20"/>
                <w:lang w:val="en-GB" w:eastAsia="en-GB"/>
              </w:rPr>
            </w:pPr>
            <w:r w:rsidRPr="00F875E6">
              <w:rPr>
                <w:rFonts w:ascii="Arial Narrow" w:hAnsi="Arial Narrow" w:cs="Times New Roman"/>
                <w:snapToGrid/>
                <w:color w:val="000000"/>
                <w:sz w:val="20"/>
                <w:lang w:eastAsia="en-GB"/>
              </w:rPr>
              <w:t>Study 101</w:t>
            </w:r>
          </w:p>
        </w:tc>
        <w:tc>
          <w:tcPr>
            <w:tcW w:w="932" w:type="pct"/>
            <w:tcBorders>
              <w:top w:val="nil"/>
              <w:left w:val="nil"/>
              <w:bottom w:val="single" w:sz="4" w:space="0" w:color="auto"/>
              <w:right w:val="double" w:sz="4" w:space="0" w:color="auto"/>
            </w:tcBorders>
            <w:shd w:val="clear" w:color="auto" w:fill="auto"/>
            <w:tcMar>
              <w:left w:w="28" w:type="dxa"/>
              <w:right w:w="28" w:type="dxa"/>
            </w:tcMar>
            <w:vAlign w:val="center"/>
            <w:hideMark/>
          </w:tcPr>
          <w:p w:rsidR="00511A49" w:rsidRPr="00F875E6" w:rsidRDefault="00511A49" w:rsidP="006A30D7">
            <w:pPr>
              <w:jc w:val="center"/>
              <w:rPr>
                <w:rFonts w:ascii="Arial Narrow" w:hAnsi="Arial Narrow" w:cs="Times New Roman"/>
                <w:snapToGrid/>
                <w:color w:val="000000"/>
                <w:sz w:val="20"/>
                <w:lang w:val="en-GB" w:eastAsia="en-GB"/>
              </w:rPr>
            </w:pPr>
            <w:r w:rsidRPr="00F875E6">
              <w:rPr>
                <w:rFonts w:ascii="Arial Narrow" w:hAnsi="Arial Narrow" w:cs="Times New Roman"/>
                <w:snapToGrid/>
                <w:color w:val="000000"/>
                <w:sz w:val="20"/>
                <w:lang w:eastAsia="en-GB"/>
              </w:rPr>
              <w:t>5/13 (38%)</w:t>
            </w:r>
          </w:p>
        </w:tc>
        <w:tc>
          <w:tcPr>
            <w:tcW w:w="934" w:type="pct"/>
            <w:tcBorders>
              <w:top w:val="nil"/>
              <w:left w:val="double" w:sz="4" w:space="0" w:color="auto"/>
              <w:bottom w:val="single" w:sz="4" w:space="0" w:color="auto"/>
              <w:right w:val="single" w:sz="4" w:space="0" w:color="auto"/>
            </w:tcBorders>
            <w:shd w:val="clear" w:color="000000" w:fill="7F7F7F"/>
            <w:tcMar>
              <w:left w:w="28" w:type="dxa"/>
              <w:right w:w="28" w:type="dxa"/>
            </w:tcMar>
            <w:vAlign w:val="center"/>
            <w:hideMark/>
          </w:tcPr>
          <w:p w:rsidR="00511A49" w:rsidRPr="00F875E6" w:rsidRDefault="00511A49" w:rsidP="006A30D7">
            <w:pPr>
              <w:jc w:val="center"/>
              <w:rPr>
                <w:rFonts w:ascii="Arial Narrow" w:hAnsi="Arial Narrow" w:cs="Times New Roman"/>
                <w:snapToGrid/>
                <w:color w:val="000000"/>
                <w:sz w:val="20"/>
                <w:lang w:val="en-GB" w:eastAsia="en-GB"/>
              </w:rPr>
            </w:pPr>
          </w:p>
        </w:tc>
        <w:tc>
          <w:tcPr>
            <w:tcW w:w="932" w:type="pct"/>
            <w:tcBorders>
              <w:top w:val="nil"/>
              <w:left w:val="nil"/>
              <w:bottom w:val="single" w:sz="4" w:space="0" w:color="auto"/>
              <w:right w:val="single" w:sz="4" w:space="0" w:color="auto"/>
            </w:tcBorders>
            <w:shd w:val="clear" w:color="000000" w:fill="7F7F7F"/>
            <w:tcMar>
              <w:left w:w="28" w:type="dxa"/>
              <w:right w:w="28" w:type="dxa"/>
            </w:tcMar>
            <w:vAlign w:val="center"/>
            <w:hideMark/>
          </w:tcPr>
          <w:p w:rsidR="00511A49" w:rsidRPr="00F875E6" w:rsidRDefault="00511A49" w:rsidP="006A30D7">
            <w:pPr>
              <w:jc w:val="center"/>
              <w:rPr>
                <w:rFonts w:ascii="Arial Narrow" w:hAnsi="Arial Narrow" w:cs="Times New Roman"/>
                <w:snapToGrid/>
                <w:color w:val="000000"/>
                <w:sz w:val="20"/>
                <w:lang w:val="en-GB" w:eastAsia="en-GB"/>
              </w:rPr>
            </w:pPr>
          </w:p>
        </w:tc>
        <w:tc>
          <w:tcPr>
            <w:tcW w:w="930" w:type="pct"/>
            <w:tcBorders>
              <w:top w:val="nil"/>
              <w:left w:val="nil"/>
              <w:bottom w:val="single" w:sz="4" w:space="0" w:color="auto"/>
              <w:right w:val="single" w:sz="4" w:space="0" w:color="auto"/>
            </w:tcBorders>
            <w:shd w:val="clear" w:color="000000" w:fill="7F7F7F"/>
            <w:tcMar>
              <w:left w:w="28" w:type="dxa"/>
              <w:right w:w="28" w:type="dxa"/>
            </w:tcMar>
            <w:vAlign w:val="center"/>
            <w:hideMark/>
          </w:tcPr>
          <w:p w:rsidR="00511A49" w:rsidRPr="00F875E6" w:rsidRDefault="00511A49" w:rsidP="006A30D7">
            <w:pPr>
              <w:jc w:val="center"/>
              <w:rPr>
                <w:rFonts w:ascii="Arial Narrow" w:hAnsi="Arial Narrow" w:cs="Times New Roman"/>
                <w:snapToGrid/>
                <w:color w:val="000000"/>
                <w:sz w:val="20"/>
                <w:lang w:val="en-GB" w:eastAsia="en-GB"/>
              </w:rPr>
            </w:pPr>
          </w:p>
        </w:tc>
      </w:tr>
      <w:tr w:rsidR="00511A49" w:rsidRPr="00F875E6" w:rsidTr="006A30D7">
        <w:trPr>
          <w:trHeight w:val="20"/>
        </w:trPr>
        <w:tc>
          <w:tcPr>
            <w:tcW w:w="127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11A49" w:rsidRPr="00F875E6" w:rsidRDefault="00511A49" w:rsidP="006A30D7">
            <w:pPr>
              <w:widowControl/>
              <w:jc w:val="left"/>
              <w:rPr>
                <w:rFonts w:ascii="Arial Narrow" w:hAnsi="Arial Narrow" w:cs="Times New Roman"/>
                <w:snapToGrid/>
                <w:color w:val="000000"/>
                <w:sz w:val="20"/>
                <w:lang w:val="en-GB" w:eastAsia="en-GB"/>
              </w:rPr>
            </w:pPr>
            <w:r w:rsidRPr="00F875E6">
              <w:rPr>
                <w:rFonts w:ascii="Arial Narrow" w:hAnsi="Arial Narrow" w:cs="Times New Roman"/>
                <w:snapToGrid/>
                <w:color w:val="000000"/>
                <w:sz w:val="20"/>
                <w:lang w:eastAsia="en-GB"/>
              </w:rPr>
              <w:t>Quintas-Cardama 2007</w:t>
            </w:r>
          </w:p>
        </w:tc>
        <w:tc>
          <w:tcPr>
            <w:tcW w:w="932" w:type="pct"/>
            <w:tcBorders>
              <w:top w:val="nil"/>
              <w:left w:val="nil"/>
              <w:bottom w:val="single" w:sz="4" w:space="0" w:color="auto"/>
              <w:right w:val="double" w:sz="4" w:space="0" w:color="auto"/>
            </w:tcBorders>
            <w:shd w:val="clear" w:color="000000" w:fill="7F7F7F"/>
            <w:tcMar>
              <w:left w:w="28" w:type="dxa"/>
              <w:right w:w="28" w:type="dxa"/>
            </w:tcMar>
            <w:vAlign w:val="center"/>
            <w:hideMark/>
          </w:tcPr>
          <w:p w:rsidR="00511A49" w:rsidRPr="00F875E6" w:rsidRDefault="00511A49" w:rsidP="006A30D7">
            <w:pPr>
              <w:widowControl/>
              <w:jc w:val="center"/>
              <w:rPr>
                <w:rFonts w:ascii="Arial Narrow" w:hAnsi="Arial Narrow" w:cs="Times New Roman"/>
                <w:snapToGrid/>
                <w:color w:val="000000"/>
                <w:sz w:val="20"/>
                <w:lang w:val="en-GB" w:eastAsia="en-GB"/>
              </w:rPr>
            </w:pPr>
          </w:p>
        </w:tc>
        <w:tc>
          <w:tcPr>
            <w:tcW w:w="934" w:type="pct"/>
            <w:tcBorders>
              <w:top w:val="nil"/>
              <w:left w:val="double" w:sz="4" w:space="0" w:color="auto"/>
              <w:bottom w:val="single" w:sz="4" w:space="0" w:color="auto"/>
              <w:right w:val="single" w:sz="4" w:space="0" w:color="auto"/>
            </w:tcBorders>
            <w:shd w:val="clear" w:color="auto" w:fill="auto"/>
            <w:tcMar>
              <w:left w:w="28" w:type="dxa"/>
              <w:right w:w="28" w:type="dxa"/>
            </w:tcMar>
            <w:vAlign w:val="center"/>
            <w:hideMark/>
          </w:tcPr>
          <w:p w:rsidR="00511A49" w:rsidRPr="00F875E6" w:rsidRDefault="00511A49" w:rsidP="006A30D7">
            <w:pPr>
              <w:widowControl/>
              <w:jc w:val="center"/>
              <w:rPr>
                <w:rFonts w:ascii="Arial Narrow" w:hAnsi="Arial Narrow" w:cs="Times New Roman"/>
                <w:snapToGrid/>
                <w:color w:val="000000"/>
                <w:sz w:val="20"/>
                <w:lang w:val="en-GB" w:eastAsia="en-GB"/>
              </w:rPr>
            </w:pPr>
            <w:r w:rsidRPr="00F875E6">
              <w:rPr>
                <w:rFonts w:ascii="Arial Narrow" w:hAnsi="Arial Narrow" w:cs="Times New Roman"/>
                <w:i/>
                <w:snapToGrid/>
                <w:color w:val="000000"/>
                <w:sz w:val="20"/>
                <w:lang w:eastAsia="en-GB"/>
              </w:rPr>
              <w:t>1/9 (11%)</w:t>
            </w:r>
            <w:r w:rsidRPr="00F875E6">
              <w:rPr>
                <w:rFonts w:ascii="Arial Narrow" w:hAnsi="Arial Narrow" w:cs="Times New Roman"/>
                <w:snapToGrid/>
                <w:color w:val="000000"/>
                <w:sz w:val="20"/>
                <w:lang w:eastAsia="en-GB"/>
              </w:rPr>
              <w:t xml:space="preserve"> </w:t>
            </w:r>
            <w:r w:rsidRPr="00F875E6">
              <w:rPr>
                <w:rFonts w:ascii="Arial Narrow" w:hAnsi="Arial Narrow" w:cs="Times New Roman"/>
                <w:i/>
                <w:snapToGrid/>
                <w:color w:val="000000"/>
                <w:sz w:val="20"/>
                <w:vertAlign w:val="superscript"/>
                <w:lang w:eastAsia="en-GB"/>
              </w:rPr>
              <w:t>d</w:t>
            </w:r>
          </w:p>
        </w:tc>
        <w:tc>
          <w:tcPr>
            <w:tcW w:w="932" w:type="pct"/>
            <w:tcBorders>
              <w:top w:val="nil"/>
              <w:left w:val="nil"/>
              <w:bottom w:val="single" w:sz="4" w:space="0" w:color="auto"/>
              <w:right w:val="single" w:sz="4" w:space="0" w:color="auto"/>
            </w:tcBorders>
            <w:shd w:val="clear" w:color="000000" w:fill="808080"/>
            <w:tcMar>
              <w:left w:w="28" w:type="dxa"/>
              <w:right w:w="28" w:type="dxa"/>
            </w:tcMar>
            <w:vAlign w:val="center"/>
            <w:hideMark/>
          </w:tcPr>
          <w:p w:rsidR="00511A49" w:rsidRPr="00F875E6" w:rsidRDefault="00511A49" w:rsidP="006A30D7">
            <w:pPr>
              <w:widowControl/>
              <w:jc w:val="center"/>
              <w:rPr>
                <w:rFonts w:ascii="Arial Narrow" w:hAnsi="Arial Narrow" w:cs="Times New Roman"/>
                <w:snapToGrid/>
                <w:color w:val="000000"/>
                <w:sz w:val="20"/>
                <w:lang w:val="en-GB" w:eastAsia="en-GB"/>
              </w:rPr>
            </w:pPr>
          </w:p>
        </w:tc>
        <w:tc>
          <w:tcPr>
            <w:tcW w:w="930" w:type="pct"/>
            <w:tcBorders>
              <w:top w:val="nil"/>
              <w:left w:val="nil"/>
              <w:bottom w:val="single" w:sz="4" w:space="0" w:color="auto"/>
              <w:right w:val="single" w:sz="4" w:space="0" w:color="auto"/>
            </w:tcBorders>
            <w:shd w:val="clear" w:color="000000" w:fill="808080"/>
            <w:tcMar>
              <w:left w:w="28" w:type="dxa"/>
              <w:right w:w="28" w:type="dxa"/>
            </w:tcMar>
            <w:vAlign w:val="center"/>
          </w:tcPr>
          <w:p w:rsidR="00511A49" w:rsidRPr="00F875E6" w:rsidRDefault="00511A49" w:rsidP="006A30D7">
            <w:pPr>
              <w:widowControl/>
              <w:jc w:val="center"/>
              <w:rPr>
                <w:rFonts w:ascii="Arial Narrow" w:hAnsi="Arial Narrow" w:cs="Times New Roman"/>
                <w:snapToGrid/>
                <w:color w:val="000000"/>
                <w:sz w:val="20"/>
                <w:lang w:val="en-GB" w:eastAsia="en-GB"/>
              </w:rPr>
            </w:pPr>
          </w:p>
        </w:tc>
      </w:tr>
      <w:tr w:rsidR="00511A49" w:rsidRPr="00F875E6" w:rsidTr="006A30D7">
        <w:trPr>
          <w:trHeight w:val="20"/>
        </w:trPr>
        <w:tc>
          <w:tcPr>
            <w:tcW w:w="127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511A49" w:rsidRPr="00F875E6" w:rsidRDefault="00511A49" w:rsidP="006A30D7">
            <w:pPr>
              <w:widowControl/>
              <w:jc w:val="left"/>
              <w:rPr>
                <w:rFonts w:ascii="Arial Narrow" w:hAnsi="Arial Narrow" w:cs="Times New Roman"/>
                <w:snapToGrid/>
                <w:color w:val="000000"/>
                <w:sz w:val="20"/>
                <w:lang w:eastAsia="en-GB"/>
              </w:rPr>
            </w:pPr>
            <w:r w:rsidRPr="00F875E6">
              <w:rPr>
                <w:rFonts w:ascii="Arial Narrow" w:hAnsi="Arial Narrow" w:cs="Times New Roman"/>
                <w:snapToGrid/>
                <w:color w:val="000000"/>
                <w:sz w:val="20"/>
                <w:lang w:eastAsia="en-GB"/>
              </w:rPr>
              <w:t>Nicolini 2009</w:t>
            </w:r>
          </w:p>
        </w:tc>
        <w:tc>
          <w:tcPr>
            <w:tcW w:w="932" w:type="pct"/>
            <w:tcBorders>
              <w:top w:val="nil"/>
              <w:left w:val="nil"/>
              <w:bottom w:val="single" w:sz="4" w:space="0" w:color="auto"/>
              <w:right w:val="double" w:sz="4" w:space="0" w:color="auto"/>
            </w:tcBorders>
            <w:shd w:val="clear" w:color="000000" w:fill="7F7F7F"/>
            <w:tcMar>
              <w:left w:w="28" w:type="dxa"/>
              <w:right w:w="28" w:type="dxa"/>
            </w:tcMar>
            <w:vAlign w:val="center"/>
          </w:tcPr>
          <w:p w:rsidR="00511A49" w:rsidRPr="00F875E6" w:rsidRDefault="00511A49" w:rsidP="006A30D7">
            <w:pPr>
              <w:widowControl/>
              <w:jc w:val="center"/>
              <w:rPr>
                <w:rFonts w:ascii="Arial Narrow" w:hAnsi="Arial Narrow" w:cs="Times New Roman"/>
                <w:snapToGrid/>
                <w:color w:val="000000"/>
                <w:sz w:val="20"/>
                <w:lang w:val="en-GB" w:eastAsia="en-GB"/>
              </w:rPr>
            </w:pPr>
          </w:p>
        </w:tc>
        <w:tc>
          <w:tcPr>
            <w:tcW w:w="934" w:type="pct"/>
            <w:tcBorders>
              <w:top w:val="nil"/>
              <w:left w:val="double" w:sz="4" w:space="0" w:color="auto"/>
              <w:bottom w:val="single" w:sz="4" w:space="0" w:color="auto"/>
              <w:right w:val="single" w:sz="4" w:space="0" w:color="auto"/>
            </w:tcBorders>
            <w:shd w:val="clear" w:color="auto" w:fill="7F7F7F" w:themeFill="text1" w:themeFillTint="80"/>
            <w:tcMar>
              <w:left w:w="28" w:type="dxa"/>
              <w:right w:w="28" w:type="dxa"/>
            </w:tcMar>
            <w:vAlign w:val="center"/>
          </w:tcPr>
          <w:p w:rsidR="00511A49" w:rsidRPr="00F875E6" w:rsidRDefault="00511A49" w:rsidP="006A30D7">
            <w:pPr>
              <w:widowControl/>
              <w:jc w:val="center"/>
              <w:rPr>
                <w:rFonts w:ascii="Arial Narrow" w:hAnsi="Arial Narrow" w:cs="Times New Roman"/>
                <w:snapToGrid/>
                <w:color w:val="000000"/>
                <w:sz w:val="20"/>
                <w:lang w:eastAsia="en-GB"/>
              </w:rPr>
            </w:pPr>
          </w:p>
        </w:tc>
        <w:tc>
          <w:tcPr>
            <w:tcW w:w="932" w:type="pct"/>
            <w:tcBorders>
              <w:top w:val="nil"/>
              <w:left w:val="nil"/>
              <w:bottom w:val="single" w:sz="4" w:space="0" w:color="auto"/>
              <w:right w:val="single" w:sz="4" w:space="0" w:color="auto"/>
            </w:tcBorders>
            <w:shd w:val="clear" w:color="auto" w:fill="auto"/>
            <w:tcMar>
              <w:left w:w="28" w:type="dxa"/>
              <w:right w:w="28" w:type="dxa"/>
            </w:tcMar>
            <w:vAlign w:val="center"/>
          </w:tcPr>
          <w:p w:rsidR="00511A49" w:rsidRPr="00F875E6" w:rsidRDefault="00511A49" w:rsidP="006A30D7">
            <w:pPr>
              <w:widowControl/>
              <w:jc w:val="center"/>
              <w:rPr>
                <w:rFonts w:ascii="Arial Narrow" w:hAnsi="Arial Narrow" w:cs="Times New Roman"/>
                <w:i/>
                <w:snapToGrid/>
                <w:color w:val="000000"/>
                <w:sz w:val="20"/>
                <w:lang w:eastAsia="en-GB"/>
              </w:rPr>
            </w:pPr>
            <w:r w:rsidRPr="00F875E6">
              <w:rPr>
                <w:rFonts w:ascii="Arial Narrow" w:hAnsi="Arial Narrow" w:cs="Times New Roman"/>
                <w:snapToGrid/>
                <w:color w:val="000000"/>
                <w:sz w:val="20"/>
                <w:lang w:eastAsia="en-GB"/>
              </w:rPr>
              <w:t>6/40 (14%)</w:t>
            </w:r>
          </w:p>
        </w:tc>
        <w:tc>
          <w:tcPr>
            <w:tcW w:w="930" w:type="pct"/>
            <w:tcBorders>
              <w:top w:val="nil"/>
              <w:left w:val="nil"/>
              <w:bottom w:val="single" w:sz="4" w:space="0" w:color="auto"/>
              <w:right w:val="single" w:sz="4" w:space="0" w:color="auto"/>
            </w:tcBorders>
            <w:shd w:val="clear" w:color="000000" w:fill="808080"/>
            <w:tcMar>
              <w:left w:w="28" w:type="dxa"/>
              <w:right w:w="28" w:type="dxa"/>
            </w:tcMar>
            <w:vAlign w:val="center"/>
          </w:tcPr>
          <w:p w:rsidR="00511A49" w:rsidRPr="00F875E6" w:rsidRDefault="00511A49" w:rsidP="006A30D7">
            <w:pPr>
              <w:widowControl/>
              <w:jc w:val="center"/>
              <w:rPr>
                <w:rFonts w:ascii="Arial Narrow" w:hAnsi="Arial Narrow" w:cs="Times New Roman"/>
                <w:snapToGrid/>
                <w:color w:val="000000"/>
                <w:sz w:val="20"/>
                <w:lang w:val="en-GB" w:eastAsia="en-GB"/>
              </w:rPr>
            </w:pPr>
          </w:p>
        </w:tc>
      </w:tr>
      <w:tr w:rsidR="00511A49" w:rsidRPr="00F875E6" w:rsidTr="006A30D7">
        <w:trPr>
          <w:trHeight w:val="20"/>
        </w:trPr>
        <w:tc>
          <w:tcPr>
            <w:tcW w:w="127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11A49" w:rsidRPr="00F875E6" w:rsidRDefault="00511A49" w:rsidP="00693B09">
            <w:pPr>
              <w:widowControl/>
              <w:jc w:val="left"/>
              <w:rPr>
                <w:rFonts w:ascii="Arial Narrow" w:hAnsi="Arial Narrow" w:cs="Times New Roman"/>
                <w:snapToGrid/>
                <w:color w:val="000000"/>
                <w:sz w:val="20"/>
                <w:lang w:val="en-GB" w:eastAsia="en-GB"/>
              </w:rPr>
            </w:pPr>
            <w:r w:rsidRPr="00F875E6">
              <w:rPr>
                <w:rFonts w:ascii="Arial Narrow" w:hAnsi="Arial Narrow" w:cs="Times New Roman"/>
                <w:snapToGrid/>
                <w:color w:val="000000"/>
                <w:sz w:val="20"/>
                <w:lang w:eastAsia="en-GB"/>
              </w:rPr>
              <w:t>Garg 2009</w:t>
            </w:r>
            <w:r w:rsidRPr="00F875E6">
              <w:rPr>
                <w:rFonts w:ascii="Arial Narrow" w:hAnsi="Arial Narrow" w:cs="Times New Roman"/>
                <w:snapToGrid/>
                <w:color w:val="000000"/>
                <w:sz w:val="20"/>
                <w:vertAlign w:val="superscript"/>
                <w:lang w:eastAsia="en-GB"/>
              </w:rPr>
              <w:t xml:space="preserve"> </w:t>
            </w:r>
            <w:r w:rsidR="00693B09" w:rsidRPr="00F875E6">
              <w:rPr>
                <w:rFonts w:ascii="Arial Narrow" w:hAnsi="Arial Narrow" w:cs="Times New Roman"/>
                <w:snapToGrid/>
                <w:color w:val="000000"/>
                <w:sz w:val="20"/>
                <w:vertAlign w:val="superscript"/>
                <w:lang w:eastAsia="en-GB"/>
              </w:rPr>
              <w:t>e</w:t>
            </w:r>
          </w:p>
        </w:tc>
        <w:tc>
          <w:tcPr>
            <w:tcW w:w="932" w:type="pct"/>
            <w:tcBorders>
              <w:top w:val="nil"/>
              <w:left w:val="nil"/>
              <w:bottom w:val="single" w:sz="4" w:space="0" w:color="auto"/>
              <w:right w:val="double" w:sz="4" w:space="0" w:color="auto"/>
            </w:tcBorders>
            <w:shd w:val="clear" w:color="000000" w:fill="7F7F7F"/>
            <w:tcMar>
              <w:left w:w="28" w:type="dxa"/>
              <w:right w:w="28" w:type="dxa"/>
            </w:tcMar>
            <w:vAlign w:val="center"/>
            <w:hideMark/>
          </w:tcPr>
          <w:p w:rsidR="00511A49" w:rsidRPr="00F875E6" w:rsidRDefault="00511A49" w:rsidP="006A30D7">
            <w:pPr>
              <w:widowControl/>
              <w:jc w:val="center"/>
              <w:rPr>
                <w:rFonts w:ascii="Arial Narrow" w:hAnsi="Arial Narrow" w:cs="Times New Roman"/>
                <w:snapToGrid/>
                <w:color w:val="000000"/>
                <w:sz w:val="20"/>
                <w:lang w:val="en-GB" w:eastAsia="en-GB"/>
              </w:rPr>
            </w:pPr>
          </w:p>
        </w:tc>
        <w:tc>
          <w:tcPr>
            <w:tcW w:w="934" w:type="pct"/>
            <w:tcBorders>
              <w:top w:val="nil"/>
              <w:left w:val="double" w:sz="4" w:space="0" w:color="auto"/>
              <w:bottom w:val="single" w:sz="4" w:space="0" w:color="auto"/>
              <w:right w:val="single" w:sz="4" w:space="0" w:color="auto"/>
            </w:tcBorders>
            <w:shd w:val="clear" w:color="auto" w:fill="auto"/>
            <w:tcMar>
              <w:left w:w="28" w:type="dxa"/>
              <w:right w:w="28" w:type="dxa"/>
            </w:tcMar>
            <w:vAlign w:val="center"/>
            <w:hideMark/>
          </w:tcPr>
          <w:p w:rsidR="00511A49" w:rsidRPr="00F875E6" w:rsidRDefault="00511A49" w:rsidP="006A30D7">
            <w:pPr>
              <w:widowControl/>
              <w:jc w:val="center"/>
              <w:rPr>
                <w:rFonts w:ascii="Arial Narrow" w:hAnsi="Arial Narrow" w:cs="Times New Roman"/>
                <w:snapToGrid/>
                <w:color w:val="000000"/>
                <w:sz w:val="20"/>
                <w:lang w:val="en-GB" w:eastAsia="en-GB"/>
              </w:rPr>
            </w:pPr>
            <w:r w:rsidRPr="00F875E6">
              <w:rPr>
                <w:rFonts w:ascii="Arial Narrow" w:hAnsi="Arial Narrow" w:cs="Times New Roman"/>
                <w:snapToGrid/>
                <w:color w:val="000000"/>
                <w:sz w:val="20"/>
                <w:lang w:eastAsia="en-GB"/>
              </w:rPr>
              <w:t>3/10 (30%)</w:t>
            </w:r>
          </w:p>
        </w:tc>
        <w:tc>
          <w:tcPr>
            <w:tcW w:w="93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11A49" w:rsidRPr="00F875E6" w:rsidRDefault="00511A49" w:rsidP="006A30D7">
            <w:pPr>
              <w:widowControl/>
              <w:jc w:val="center"/>
              <w:rPr>
                <w:rFonts w:ascii="Arial Narrow" w:hAnsi="Arial Narrow" w:cs="Times New Roman"/>
                <w:snapToGrid/>
                <w:color w:val="000000"/>
                <w:sz w:val="20"/>
                <w:lang w:val="en-GB" w:eastAsia="en-GB"/>
              </w:rPr>
            </w:pPr>
            <w:r w:rsidRPr="00F875E6">
              <w:rPr>
                <w:rFonts w:ascii="Arial Narrow" w:hAnsi="Arial Narrow" w:cs="Times New Roman"/>
                <w:snapToGrid/>
                <w:color w:val="000000"/>
                <w:sz w:val="20"/>
                <w:lang w:eastAsia="en-GB"/>
              </w:rPr>
              <w:t>1/3 (33%)</w:t>
            </w:r>
          </w:p>
        </w:tc>
        <w:tc>
          <w:tcPr>
            <w:tcW w:w="930" w:type="pct"/>
            <w:tcBorders>
              <w:top w:val="nil"/>
              <w:left w:val="nil"/>
              <w:bottom w:val="single" w:sz="4" w:space="0" w:color="auto"/>
              <w:right w:val="single" w:sz="4" w:space="0" w:color="auto"/>
            </w:tcBorders>
            <w:shd w:val="clear" w:color="000000" w:fill="808080"/>
            <w:tcMar>
              <w:left w:w="28" w:type="dxa"/>
              <w:right w:w="28" w:type="dxa"/>
            </w:tcMar>
            <w:vAlign w:val="center"/>
          </w:tcPr>
          <w:p w:rsidR="00511A49" w:rsidRPr="00F875E6" w:rsidRDefault="00511A49" w:rsidP="006A30D7">
            <w:pPr>
              <w:widowControl/>
              <w:jc w:val="center"/>
              <w:rPr>
                <w:rFonts w:ascii="Arial Narrow" w:hAnsi="Arial Narrow" w:cs="Times New Roman"/>
                <w:snapToGrid/>
                <w:color w:val="000000"/>
                <w:sz w:val="20"/>
                <w:lang w:val="en-GB" w:eastAsia="en-GB"/>
              </w:rPr>
            </w:pPr>
          </w:p>
        </w:tc>
      </w:tr>
    </w:tbl>
    <w:p w:rsidR="00511A49" w:rsidRPr="00F875E6" w:rsidRDefault="00511A49" w:rsidP="00511A49">
      <w:pPr>
        <w:pStyle w:val="TableFooter"/>
        <w:ind w:left="720"/>
      </w:pPr>
      <w:r w:rsidRPr="00F875E6">
        <w:t xml:space="preserve">Source: Table 19, p78; </w:t>
      </w:r>
      <w:r w:rsidRPr="00F875E6">
        <w:rPr>
          <w:rStyle w:val="CommentReference"/>
          <w:b w:val="0"/>
          <w:sz w:val="18"/>
          <w:szCs w:val="20"/>
        </w:rPr>
        <w:t xml:space="preserve">Table 33, p97; Table 45, p109; </w:t>
      </w:r>
      <w:r w:rsidRPr="00F875E6">
        <w:t xml:space="preserve">of the re-submission; </w:t>
      </w:r>
      <w:r w:rsidR="00732BAB" w:rsidRPr="00F875E6">
        <w:t xml:space="preserve">Table B(ii).6.2, p5.9.COM37 of November 2014 commentary, </w:t>
      </w:r>
      <w:r w:rsidRPr="00F875E6">
        <w:t>and individual trial papers</w:t>
      </w:r>
      <w:r w:rsidR="00693B09" w:rsidRPr="00F875E6">
        <w:t>.</w:t>
      </w:r>
    </w:p>
    <w:p w:rsidR="00511A49" w:rsidRPr="00F875E6" w:rsidRDefault="00511A49" w:rsidP="00511A49">
      <w:pPr>
        <w:pStyle w:val="TableFooter"/>
        <w:ind w:left="720"/>
      </w:pPr>
      <w:r w:rsidRPr="00F875E6">
        <w:t>ALL = acute lymphoblastic leukaemia; AP = accelerated phase; BC = blast crisis; CP = chronic phase; CCyR = complete cytogenetic response; CML = chronic myeloid leukaemia; MCyR = major cytogenetic response; MMR = major molecular response; PCyR = partial cytogenetic response; Ph+ = Philadelphia chromosome positive; Italics = extracted during evaluation</w:t>
      </w:r>
    </w:p>
    <w:p w:rsidR="00511A49" w:rsidRPr="00F875E6" w:rsidRDefault="00511A49" w:rsidP="00511A49">
      <w:pPr>
        <w:pStyle w:val="TableFooter"/>
        <w:ind w:firstLine="720"/>
      </w:pPr>
      <w:r w:rsidRPr="00F875E6">
        <w:rPr>
          <w:vertAlign w:val="superscript"/>
        </w:rPr>
        <w:t>a</w:t>
      </w:r>
      <w:r w:rsidRPr="00F875E6">
        <w:t xml:space="preserve"> In the PACE study, 267/270 patients in CP-CML and 83/85 patients in AP-CML were evaluated for efficacy.</w:t>
      </w:r>
    </w:p>
    <w:p w:rsidR="00511A49" w:rsidRPr="00F875E6" w:rsidRDefault="00511A49" w:rsidP="00511A49">
      <w:pPr>
        <w:pStyle w:val="TableFooter"/>
        <w:ind w:left="851" w:hanging="131"/>
      </w:pPr>
      <w:r w:rsidRPr="00F875E6">
        <w:rPr>
          <w:vertAlign w:val="superscript"/>
        </w:rPr>
        <w:t>b</w:t>
      </w:r>
      <w:r w:rsidRPr="00F875E6">
        <w:t xml:space="preserve"> In the Milojkovic study, 48 patients were evaluated but 6 patients commenced treatment in CCyR. Results are presented for 42 patients, including 6 patients with T315l mutation.</w:t>
      </w:r>
    </w:p>
    <w:p w:rsidR="00511A49" w:rsidRPr="00F875E6" w:rsidRDefault="00511A49" w:rsidP="00511A49">
      <w:pPr>
        <w:pStyle w:val="TableFooter"/>
        <w:ind w:firstLine="720"/>
      </w:pPr>
      <w:r w:rsidRPr="00F875E6">
        <w:rPr>
          <w:vertAlign w:val="superscript"/>
        </w:rPr>
        <w:t>c</w:t>
      </w:r>
      <w:r w:rsidRPr="00F875E6">
        <w:t xml:space="preserve"> When best response is reported: CCyR = MMR + CCyR</w:t>
      </w:r>
    </w:p>
    <w:p w:rsidR="00511A49" w:rsidRPr="00F875E6" w:rsidRDefault="00693B09" w:rsidP="00511A49">
      <w:pPr>
        <w:pStyle w:val="TableFooter"/>
        <w:ind w:firstLine="720"/>
      </w:pPr>
      <w:r w:rsidRPr="00F875E6">
        <w:rPr>
          <w:vertAlign w:val="superscript"/>
        </w:rPr>
        <w:t>d</w:t>
      </w:r>
      <w:r w:rsidR="00511A49" w:rsidRPr="00F875E6">
        <w:t xml:space="preserve"> In the Giles study, 37/39 patients in CP-CML and 17/21 patients in AP-CML were included in the efficacy analysis.</w:t>
      </w:r>
    </w:p>
    <w:p w:rsidR="00511A49" w:rsidRPr="00F875E6" w:rsidRDefault="00693B09" w:rsidP="00511A49">
      <w:pPr>
        <w:pStyle w:val="TableFooter"/>
        <w:ind w:left="851" w:hanging="131"/>
      </w:pPr>
      <w:r w:rsidRPr="00F875E6">
        <w:rPr>
          <w:vertAlign w:val="superscript"/>
        </w:rPr>
        <w:t>e</w:t>
      </w:r>
      <w:r w:rsidR="00511A49" w:rsidRPr="00F875E6">
        <w:t xml:space="preserve"> In the Garg study, in the 34 patients who received dasatinib, 16/34 were in CP-CML, 8/34 were in AP-CML and 10/34 were in BC-CML or Ph+ALL. In the 14 patients who received nilotinib, 9/14 were in CP-CML, 2/14 were in AP-CML and 3/14 were in BC-CML or Ph+ALL</w:t>
      </w:r>
    </w:p>
    <w:p w:rsidR="00693B09" w:rsidRPr="00F875E6" w:rsidRDefault="00693B09" w:rsidP="00693B09">
      <w:pPr>
        <w:pStyle w:val="TableFooter"/>
        <w:ind w:firstLine="720"/>
      </w:pPr>
      <w:r w:rsidRPr="00F875E6">
        <w:rPr>
          <w:vertAlign w:val="superscript"/>
        </w:rPr>
        <w:t>f</w:t>
      </w:r>
      <w:r w:rsidRPr="00F875E6">
        <w:t xml:space="preserve"> When best response is reported: MCyR = MMR + CCyR + PCyR</w:t>
      </w:r>
    </w:p>
    <w:p w:rsidR="00511A49" w:rsidRPr="00F875E6" w:rsidRDefault="00511A49" w:rsidP="00511A49">
      <w:pPr>
        <w:rPr>
          <w:szCs w:val="22"/>
        </w:rPr>
      </w:pPr>
    </w:p>
    <w:p w:rsidR="00511A49" w:rsidRPr="00F875E6" w:rsidRDefault="00511A49" w:rsidP="00F033A6">
      <w:pPr>
        <w:pStyle w:val="ListParagraph"/>
        <w:widowControl/>
        <w:numPr>
          <w:ilvl w:val="1"/>
          <w:numId w:val="4"/>
        </w:numPr>
      </w:pPr>
      <w:r w:rsidRPr="00F875E6">
        <w:t>The</w:t>
      </w:r>
      <w:r w:rsidRPr="00F875E6">
        <w:rPr>
          <w:rStyle w:val="CommentReference"/>
          <w:rFonts w:ascii="Arial" w:hAnsi="Arial"/>
          <w:b w:val="0"/>
          <w:sz w:val="22"/>
          <w:szCs w:val="22"/>
        </w:rPr>
        <w:t xml:space="preserve"> rates of complete cytogenetic response or major cytogenetic response did not suggest differences </w:t>
      </w:r>
      <w:r w:rsidR="0096193E" w:rsidRPr="00F875E6">
        <w:rPr>
          <w:rStyle w:val="CommentReference"/>
          <w:rFonts w:ascii="Arial" w:hAnsi="Arial"/>
          <w:b w:val="0"/>
          <w:sz w:val="22"/>
          <w:szCs w:val="22"/>
        </w:rPr>
        <w:t>in</w:t>
      </w:r>
      <w:r w:rsidRPr="00F875E6">
        <w:rPr>
          <w:rStyle w:val="CommentReference"/>
          <w:rFonts w:ascii="Arial" w:hAnsi="Arial"/>
          <w:b w:val="0"/>
          <w:sz w:val="22"/>
          <w:szCs w:val="22"/>
        </w:rPr>
        <w:t xml:space="preserve"> ponatinib, dasatinib or nilotinib. There were significant </w:t>
      </w:r>
      <w:r w:rsidRPr="00F875E6">
        <w:t xml:space="preserve">differences in study design, CML disease phase, time of reporting, heterogeneity within and between the studies. </w:t>
      </w:r>
    </w:p>
    <w:p w:rsidR="00511A49" w:rsidRPr="00F875E6" w:rsidRDefault="00511A49" w:rsidP="00511A49">
      <w:pPr>
        <w:ind w:left="720"/>
        <w:rPr>
          <w:i/>
        </w:rPr>
      </w:pPr>
    </w:p>
    <w:p w:rsidR="00511A49" w:rsidRPr="00F875E6" w:rsidRDefault="00511A49" w:rsidP="00982112">
      <w:pPr>
        <w:ind w:left="709"/>
        <w:rPr>
          <w:rStyle w:val="CommentReference"/>
        </w:rPr>
      </w:pPr>
      <w:r w:rsidRPr="00F875E6">
        <w:rPr>
          <w:rStyle w:val="CommentReference"/>
        </w:rPr>
        <w:t xml:space="preserve">Table 5: Response rates for patients with the T315I mutation in chronic phase CML </w:t>
      </w:r>
    </w:p>
    <w:tbl>
      <w:tblPr>
        <w:tblStyle w:val="TableGrid"/>
        <w:tblW w:w="4607" w:type="pct"/>
        <w:tblInd w:w="737" w:type="dxa"/>
        <w:tblCellMar>
          <w:left w:w="28" w:type="dxa"/>
          <w:right w:w="28" w:type="dxa"/>
        </w:tblCellMar>
        <w:tblLook w:val="04A0" w:firstRow="1" w:lastRow="0" w:firstColumn="1" w:lastColumn="0" w:noHBand="0" w:noVBand="1"/>
        <w:tblCaption w:val="Table 5: Response rates for patients with the T315I mutation in chronic phase CML"/>
        <w:tblDescription w:val="The table shows the response rates for patients with the T315I mutation in chronic phase CML"/>
      </w:tblPr>
      <w:tblGrid>
        <w:gridCol w:w="1226"/>
        <w:gridCol w:w="1609"/>
        <w:gridCol w:w="1751"/>
        <w:gridCol w:w="1716"/>
        <w:gridCol w:w="2067"/>
      </w:tblGrid>
      <w:tr w:rsidR="00511A49" w:rsidRPr="00F875E6" w:rsidTr="006A30D7">
        <w:trPr>
          <w:cantSplit/>
          <w:trHeight w:val="117"/>
          <w:tblHeader/>
        </w:trPr>
        <w:tc>
          <w:tcPr>
            <w:tcW w:w="733" w:type="pct"/>
            <w:vMerge w:val="restart"/>
            <w:tcMar>
              <w:left w:w="28" w:type="dxa"/>
              <w:right w:w="28" w:type="dxa"/>
            </w:tcMar>
            <w:vAlign w:val="center"/>
          </w:tcPr>
          <w:p w:rsidR="00511A49" w:rsidRPr="00F875E6" w:rsidRDefault="00511A49" w:rsidP="00982112">
            <w:pPr>
              <w:jc w:val="left"/>
              <w:rPr>
                <w:rStyle w:val="CommentReference"/>
              </w:rPr>
            </w:pPr>
          </w:p>
        </w:tc>
        <w:tc>
          <w:tcPr>
            <w:tcW w:w="3032" w:type="pct"/>
            <w:gridSpan w:val="3"/>
            <w:tcMar>
              <w:left w:w="28" w:type="dxa"/>
              <w:right w:w="28" w:type="dxa"/>
            </w:tcMar>
            <w:vAlign w:val="center"/>
          </w:tcPr>
          <w:p w:rsidR="00511A49" w:rsidRPr="00F875E6" w:rsidRDefault="00511A49" w:rsidP="00982112">
            <w:pPr>
              <w:jc w:val="center"/>
              <w:rPr>
                <w:rStyle w:val="CommentReference"/>
                <w:i/>
              </w:rPr>
            </w:pPr>
            <w:r w:rsidRPr="00F875E6">
              <w:rPr>
                <w:rStyle w:val="CommentReference"/>
              </w:rPr>
              <w:t>Ponatinib – 2</w:t>
            </w:r>
            <w:r w:rsidRPr="00F875E6">
              <w:rPr>
                <w:rStyle w:val="CommentReference"/>
                <w:vertAlign w:val="superscript"/>
              </w:rPr>
              <w:t>nd</w:t>
            </w:r>
            <w:r w:rsidRPr="00F875E6">
              <w:rPr>
                <w:rStyle w:val="CommentReference"/>
              </w:rPr>
              <w:t>, 3</w:t>
            </w:r>
            <w:r w:rsidRPr="00F875E6">
              <w:rPr>
                <w:rStyle w:val="CommentReference"/>
                <w:vertAlign w:val="superscript"/>
              </w:rPr>
              <w:t>rd</w:t>
            </w:r>
            <w:r w:rsidRPr="00F875E6">
              <w:rPr>
                <w:rStyle w:val="CommentReference"/>
              </w:rPr>
              <w:t xml:space="preserve"> and 4</w:t>
            </w:r>
            <w:r w:rsidRPr="00F875E6">
              <w:rPr>
                <w:rStyle w:val="CommentReference"/>
                <w:vertAlign w:val="superscript"/>
              </w:rPr>
              <w:t>th</w:t>
            </w:r>
            <w:r w:rsidRPr="00F875E6">
              <w:rPr>
                <w:rStyle w:val="CommentReference"/>
              </w:rPr>
              <w:t xml:space="preserve"> line</w:t>
            </w:r>
          </w:p>
        </w:tc>
        <w:tc>
          <w:tcPr>
            <w:tcW w:w="1235" w:type="pct"/>
            <w:vAlign w:val="center"/>
          </w:tcPr>
          <w:p w:rsidR="00511A49" w:rsidRPr="00F875E6" w:rsidRDefault="00511A49" w:rsidP="00982112">
            <w:pPr>
              <w:jc w:val="center"/>
              <w:rPr>
                <w:rStyle w:val="CommentReference"/>
              </w:rPr>
            </w:pPr>
            <w:r w:rsidRPr="00F875E6">
              <w:rPr>
                <w:rStyle w:val="CommentReference"/>
              </w:rPr>
              <w:t>Dasatinib – 2</w:t>
            </w:r>
            <w:r w:rsidRPr="00F875E6">
              <w:rPr>
                <w:rStyle w:val="CommentReference"/>
                <w:vertAlign w:val="superscript"/>
              </w:rPr>
              <w:t>nd</w:t>
            </w:r>
            <w:r w:rsidRPr="00F875E6">
              <w:rPr>
                <w:rStyle w:val="CommentReference"/>
              </w:rPr>
              <w:t xml:space="preserve"> line</w:t>
            </w:r>
          </w:p>
        </w:tc>
      </w:tr>
      <w:tr w:rsidR="00511A49" w:rsidRPr="00F875E6" w:rsidTr="00F34B9F">
        <w:trPr>
          <w:cantSplit/>
          <w:trHeight w:val="150"/>
          <w:tblHeader/>
        </w:trPr>
        <w:tc>
          <w:tcPr>
            <w:tcW w:w="733" w:type="pct"/>
            <w:vMerge/>
            <w:tcMar>
              <w:left w:w="28" w:type="dxa"/>
              <w:right w:w="28" w:type="dxa"/>
            </w:tcMar>
            <w:vAlign w:val="center"/>
          </w:tcPr>
          <w:p w:rsidR="00511A49" w:rsidRPr="00F875E6" w:rsidRDefault="00511A49" w:rsidP="00982112">
            <w:pPr>
              <w:jc w:val="left"/>
              <w:rPr>
                <w:rStyle w:val="CommentReference"/>
              </w:rPr>
            </w:pPr>
          </w:p>
        </w:tc>
        <w:tc>
          <w:tcPr>
            <w:tcW w:w="961" w:type="pct"/>
            <w:tcMar>
              <w:left w:w="28" w:type="dxa"/>
              <w:right w:w="28" w:type="dxa"/>
            </w:tcMar>
            <w:vAlign w:val="center"/>
          </w:tcPr>
          <w:p w:rsidR="00511A49" w:rsidRPr="00F875E6" w:rsidRDefault="00511A49" w:rsidP="00982112">
            <w:pPr>
              <w:jc w:val="center"/>
              <w:rPr>
                <w:rStyle w:val="CommentReference"/>
              </w:rPr>
            </w:pPr>
            <w:r w:rsidRPr="00F875E6">
              <w:rPr>
                <w:rStyle w:val="CommentReference"/>
              </w:rPr>
              <w:t>PACE</w:t>
            </w:r>
          </w:p>
        </w:tc>
        <w:tc>
          <w:tcPr>
            <w:tcW w:w="1046" w:type="pct"/>
            <w:tcMar>
              <w:left w:w="28" w:type="dxa"/>
              <w:right w:w="28" w:type="dxa"/>
            </w:tcMar>
            <w:vAlign w:val="center"/>
          </w:tcPr>
          <w:p w:rsidR="00511A49" w:rsidRPr="00F875E6" w:rsidRDefault="00511A49" w:rsidP="00982112">
            <w:pPr>
              <w:jc w:val="center"/>
              <w:rPr>
                <w:rStyle w:val="CommentReference"/>
              </w:rPr>
            </w:pPr>
            <w:r w:rsidRPr="00F875E6">
              <w:rPr>
                <w:rStyle w:val="CommentReference"/>
              </w:rPr>
              <w:t>Study 101</w:t>
            </w:r>
          </w:p>
        </w:tc>
        <w:tc>
          <w:tcPr>
            <w:tcW w:w="1025" w:type="pct"/>
            <w:shd w:val="clear" w:color="auto" w:fill="auto"/>
          </w:tcPr>
          <w:p w:rsidR="00511A49" w:rsidRPr="00F875E6" w:rsidRDefault="00511A49" w:rsidP="00982112">
            <w:pPr>
              <w:jc w:val="center"/>
              <w:rPr>
                <w:rStyle w:val="CommentReference"/>
              </w:rPr>
            </w:pPr>
            <w:r w:rsidRPr="00F875E6">
              <w:rPr>
                <w:rStyle w:val="CommentReference"/>
              </w:rPr>
              <w:t>Milojkovic 2014</w:t>
            </w:r>
          </w:p>
        </w:tc>
        <w:tc>
          <w:tcPr>
            <w:tcW w:w="1235" w:type="pct"/>
            <w:shd w:val="clear" w:color="auto" w:fill="auto"/>
            <w:vAlign w:val="center"/>
          </w:tcPr>
          <w:p w:rsidR="00511A49" w:rsidRPr="00F875E6" w:rsidRDefault="00511A49" w:rsidP="00982112">
            <w:pPr>
              <w:jc w:val="center"/>
              <w:rPr>
                <w:rStyle w:val="CommentReference"/>
              </w:rPr>
            </w:pPr>
            <w:r w:rsidRPr="00F875E6">
              <w:rPr>
                <w:rStyle w:val="CommentReference"/>
              </w:rPr>
              <w:t>Muller 2009</w:t>
            </w:r>
          </w:p>
        </w:tc>
      </w:tr>
      <w:tr w:rsidR="00511A49" w:rsidRPr="00F875E6" w:rsidTr="00F34B9F">
        <w:trPr>
          <w:cantSplit/>
        </w:trPr>
        <w:tc>
          <w:tcPr>
            <w:tcW w:w="733" w:type="pct"/>
            <w:tcMar>
              <w:left w:w="28" w:type="dxa"/>
              <w:right w:w="28" w:type="dxa"/>
            </w:tcMar>
            <w:vAlign w:val="center"/>
          </w:tcPr>
          <w:p w:rsidR="00511A49" w:rsidRPr="00F875E6" w:rsidRDefault="00511A49" w:rsidP="00982112">
            <w:pPr>
              <w:jc w:val="left"/>
              <w:rPr>
                <w:rStyle w:val="CommentReference"/>
                <w:b w:val="0"/>
              </w:rPr>
            </w:pPr>
            <w:r w:rsidRPr="00F875E6">
              <w:rPr>
                <w:rStyle w:val="CommentReference"/>
                <w:b w:val="0"/>
              </w:rPr>
              <w:t>CCyR</w:t>
            </w:r>
          </w:p>
        </w:tc>
        <w:tc>
          <w:tcPr>
            <w:tcW w:w="961" w:type="pct"/>
            <w:tcMar>
              <w:left w:w="28" w:type="dxa"/>
              <w:right w:w="28" w:type="dxa"/>
            </w:tcMar>
            <w:vAlign w:val="center"/>
          </w:tcPr>
          <w:p w:rsidR="00511A49" w:rsidRPr="00F875E6" w:rsidRDefault="00511A49" w:rsidP="00982112">
            <w:pPr>
              <w:jc w:val="center"/>
              <w:rPr>
                <w:rStyle w:val="CommentReference"/>
                <w:b w:val="0"/>
              </w:rPr>
            </w:pPr>
            <w:r w:rsidRPr="00F875E6">
              <w:rPr>
                <w:rStyle w:val="CommentReference"/>
                <w:b w:val="0"/>
              </w:rPr>
              <w:t>42/64 (66%)</w:t>
            </w:r>
          </w:p>
        </w:tc>
        <w:tc>
          <w:tcPr>
            <w:tcW w:w="1046" w:type="pct"/>
            <w:tcMar>
              <w:left w:w="28" w:type="dxa"/>
              <w:right w:w="28" w:type="dxa"/>
            </w:tcMar>
            <w:vAlign w:val="center"/>
          </w:tcPr>
          <w:p w:rsidR="00511A49" w:rsidRPr="00F875E6" w:rsidRDefault="00511A49" w:rsidP="00982112">
            <w:pPr>
              <w:jc w:val="center"/>
              <w:rPr>
                <w:rStyle w:val="CommentReference"/>
                <w:b w:val="0"/>
              </w:rPr>
            </w:pPr>
            <w:r w:rsidRPr="00F875E6">
              <w:rPr>
                <w:rStyle w:val="CommentReference"/>
                <w:b w:val="0"/>
              </w:rPr>
              <w:t>10/12 (83%)</w:t>
            </w:r>
          </w:p>
        </w:tc>
        <w:tc>
          <w:tcPr>
            <w:tcW w:w="1025" w:type="pct"/>
            <w:shd w:val="clear" w:color="auto" w:fill="auto"/>
          </w:tcPr>
          <w:p w:rsidR="00511A49" w:rsidRPr="00F875E6" w:rsidRDefault="00511A49" w:rsidP="00982112">
            <w:pPr>
              <w:jc w:val="center"/>
              <w:rPr>
                <w:rStyle w:val="CommentReference"/>
                <w:b w:val="0"/>
              </w:rPr>
            </w:pPr>
            <w:r w:rsidRPr="00F875E6">
              <w:rPr>
                <w:rStyle w:val="CommentReference"/>
                <w:b w:val="0"/>
              </w:rPr>
              <w:t>3/6 (50%)</w:t>
            </w:r>
          </w:p>
        </w:tc>
        <w:tc>
          <w:tcPr>
            <w:tcW w:w="1235" w:type="pct"/>
            <w:shd w:val="clear" w:color="auto" w:fill="auto"/>
            <w:vAlign w:val="center"/>
          </w:tcPr>
          <w:p w:rsidR="00511A49" w:rsidRPr="00F875E6" w:rsidRDefault="00511A49" w:rsidP="00982112">
            <w:pPr>
              <w:jc w:val="center"/>
              <w:rPr>
                <w:rStyle w:val="CommentReference"/>
                <w:b w:val="0"/>
              </w:rPr>
            </w:pPr>
            <w:r w:rsidRPr="00F875E6">
              <w:rPr>
                <w:rStyle w:val="CommentReference"/>
                <w:b w:val="0"/>
              </w:rPr>
              <w:t>0/21 (0%)</w:t>
            </w:r>
          </w:p>
        </w:tc>
      </w:tr>
      <w:tr w:rsidR="00511A49" w:rsidRPr="00F875E6" w:rsidTr="00F34B9F">
        <w:trPr>
          <w:cantSplit/>
        </w:trPr>
        <w:tc>
          <w:tcPr>
            <w:tcW w:w="733" w:type="pct"/>
            <w:tcMar>
              <w:left w:w="28" w:type="dxa"/>
              <w:right w:w="28" w:type="dxa"/>
            </w:tcMar>
            <w:vAlign w:val="center"/>
          </w:tcPr>
          <w:p w:rsidR="00511A49" w:rsidRPr="00F875E6" w:rsidRDefault="00511A49" w:rsidP="00982112">
            <w:pPr>
              <w:jc w:val="left"/>
              <w:rPr>
                <w:rStyle w:val="CommentReference"/>
                <w:b w:val="0"/>
              </w:rPr>
            </w:pPr>
            <w:r w:rsidRPr="00F875E6">
              <w:rPr>
                <w:rStyle w:val="CommentReference"/>
                <w:b w:val="0"/>
              </w:rPr>
              <w:t>MCyR</w:t>
            </w:r>
          </w:p>
        </w:tc>
        <w:tc>
          <w:tcPr>
            <w:tcW w:w="961" w:type="pct"/>
            <w:tcMar>
              <w:left w:w="28" w:type="dxa"/>
              <w:right w:w="28" w:type="dxa"/>
            </w:tcMar>
            <w:vAlign w:val="center"/>
          </w:tcPr>
          <w:p w:rsidR="00511A49" w:rsidRPr="00F875E6" w:rsidRDefault="00511A49" w:rsidP="00982112">
            <w:pPr>
              <w:jc w:val="center"/>
              <w:rPr>
                <w:rStyle w:val="CommentReference"/>
                <w:b w:val="0"/>
              </w:rPr>
            </w:pPr>
            <w:r w:rsidRPr="00F875E6">
              <w:rPr>
                <w:rStyle w:val="CommentReference"/>
                <w:b w:val="0"/>
              </w:rPr>
              <w:t>45/64 (70%)</w:t>
            </w:r>
          </w:p>
        </w:tc>
        <w:tc>
          <w:tcPr>
            <w:tcW w:w="1046" w:type="pct"/>
            <w:tcMar>
              <w:left w:w="28" w:type="dxa"/>
              <w:right w:w="28" w:type="dxa"/>
            </w:tcMar>
            <w:vAlign w:val="center"/>
          </w:tcPr>
          <w:p w:rsidR="00511A49" w:rsidRPr="00F875E6" w:rsidRDefault="00511A49" w:rsidP="00982112">
            <w:pPr>
              <w:jc w:val="center"/>
              <w:rPr>
                <w:rStyle w:val="CommentReference"/>
                <w:b w:val="0"/>
              </w:rPr>
            </w:pPr>
            <w:r w:rsidRPr="00F875E6">
              <w:rPr>
                <w:rStyle w:val="CommentReference"/>
                <w:b w:val="0"/>
              </w:rPr>
              <w:t>11/12 (92%)</w:t>
            </w:r>
          </w:p>
        </w:tc>
        <w:tc>
          <w:tcPr>
            <w:tcW w:w="1025" w:type="pct"/>
            <w:shd w:val="clear" w:color="auto" w:fill="auto"/>
          </w:tcPr>
          <w:p w:rsidR="00511A49" w:rsidRPr="00F875E6" w:rsidRDefault="00511A49" w:rsidP="00982112">
            <w:pPr>
              <w:jc w:val="center"/>
              <w:rPr>
                <w:rStyle w:val="CommentReference"/>
                <w:b w:val="0"/>
              </w:rPr>
            </w:pPr>
            <w:r w:rsidRPr="00F875E6">
              <w:rPr>
                <w:rStyle w:val="CommentReference"/>
                <w:b w:val="0"/>
              </w:rPr>
              <w:t>3/6 (50%)</w:t>
            </w:r>
          </w:p>
        </w:tc>
        <w:tc>
          <w:tcPr>
            <w:tcW w:w="1235" w:type="pct"/>
            <w:shd w:val="clear" w:color="auto" w:fill="auto"/>
            <w:vAlign w:val="center"/>
          </w:tcPr>
          <w:p w:rsidR="00511A49" w:rsidRPr="00F875E6" w:rsidRDefault="00511A49" w:rsidP="00982112">
            <w:pPr>
              <w:jc w:val="center"/>
              <w:rPr>
                <w:rStyle w:val="CommentReference"/>
                <w:b w:val="0"/>
              </w:rPr>
            </w:pPr>
            <w:r w:rsidRPr="00F875E6">
              <w:rPr>
                <w:rStyle w:val="CommentReference"/>
                <w:b w:val="0"/>
              </w:rPr>
              <w:t>2/21 (10%)</w:t>
            </w:r>
          </w:p>
        </w:tc>
      </w:tr>
      <w:tr w:rsidR="00511A49" w:rsidRPr="00F875E6" w:rsidTr="00F34B9F">
        <w:trPr>
          <w:cantSplit/>
        </w:trPr>
        <w:tc>
          <w:tcPr>
            <w:tcW w:w="733" w:type="pct"/>
            <w:tcMar>
              <w:left w:w="28" w:type="dxa"/>
              <w:right w:w="28" w:type="dxa"/>
            </w:tcMar>
            <w:vAlign w:val="center"/>
          </w:tcPr>
          <w:p w:rsidR="00511A49" w:rsidRPr="00F875E6" w:rsidRDefault="00511A49" w:rsidP="00982112">
            <w:pPr>
              <w:jc w:val="left"/>
              <w:rPr>
                <w:rStyle w:val="CommentReference"/>
                <w:b w:val="0"/>
              </w:rPr>
            </w:pPr>
            <w:r w:rsidRPr="00F875E6">
              <w:rPr>
                <w:rStyle w:val="CommentReference"/>
                <w:b w:val="0"/>
              </w:rPr>
              <w:t>CHR</w:t>
            </w:r>
          </w:p>
        </w:tc>
        <w:tc>
          <w:tcPr>
            <w:tcW w:w="961" w:type="pct"/>
            <w:tcMar>
              <w:left w:w="28" w:type="dxa"/>
              <w:right w:w="28" w:type="dxa"/>
            </w:tcMar>
            <w:vAlign w:val="center"/>
          </w:tcPr>
          <w:p w:rsidR="00511A49" w:rsidRPr="00F875E6" w:rsidRDefault="00511A49" w:rsidP="00982112">
            <w:pPr>
              <w:jc w:val="center"/>
              <w:rPr>
                <w:rStyle w:val="CommentReference"/>
                <w:b w:val="0"/>
              </w:rPr>
            </w:pPr>
            <w:r w:rsidRPr="00F875E6">
              <w:rPr>
                <w:rStyle w:val="CommentReference"/>
                <w:b w:val="0"/>
              </w:rPr>
              <w:t>58/64 (91%)</w:t>
            </w:r>
          </w:p>
        </w:tc>
        <w:tc>
          <w:tcPr>
            <w:tcW w:w="1046" w:type="pct"/>
            <w:tcMar>
              <w:left w:w="28" w:type="dxa"/>
              <w:right w:w="28" w:type="dxa"/>
            </w:tcMar>
            <w:vAlign w:val="center"/>
          </w:tcPr>
          <w:p w:rsidR="00511A49" w:rsidRPr="00F875E6" w:rsidRDefault="00511A49" w:rsidP="00982112">
            <w:pPr>
              <w:jc w:val="center"/>
              <w:rPr>
                <w:rStyle w:val="CommentReference"/>
                <w:b w:val="0"/>
              </w:rPr>
            </w:pPr>
            <w:r w:rsidRPr="00F875E6">
              <w:rPr>
                <w:rStyle w:val="CommentReference"/>
                <w:b w:val="0"/>
              </w:rPr>
              <w:t>12/12 (100%)</w:t>
            </w:r>
          </w:p>
        </w:tc>
        <w:tc>
          <w:tcPr>
            <w:tcW w:w="1025" w:type="pct"/>
            <w:shd w:val="clear" w:color="auto" w:fill="auto"/>
          </w:tcPr>
          <w:p w:rsidR="00511A49" w:rsidRPr="00F875E6" w:rsidRDefault="00511A49" w:rsidP="00982112">
            <w:pPr>
              <w:jc w:val="center"/>
              <w:rPr>
                <w:rStyle w:val="CommentReference"/>
                <w:b w:val="0"/>
              </w:rPr>
            </w:pPr>
            <w:r w:rsidRPr="00F875E6">
              <w:rPr>
                <w:rStyle w:val="CommentReference"/>
                <w:b w:val="0"/>
              </w:rPr>
              <w:t>-</w:t>
            </w:r>
          </w:p>
        </w:tc>
        <w:tc>
          <w:tcPr>
            <w:tcW w:w="1235" w:type="pct"/>
            <w:shd w:val="clear" w:color="auto" w:fill="auto"/>
            <w:vAlign w:val="center"/>
          </w:tcPr>
          <w:p w:rsidR="00511A49" w:rsidRPr="00F875E6" w:rsidRDefault="00511A49" w:rsidP="00982112">
            <w:pPr>
              <w:jc w:val="center"/>
              <w:rPr>
                <w:rStyle w:val="CommentReference"/>
                <w:b w:val="0"/>
              </w:rPr>
            </w:pPr>
            <w:r w:rsidRPr="00F875E6">
              <w:rPr>
                <w:rStyle w:val="CommentReference"/>
                <w:b w:val="0"/>
              </w:rPr>
              <w:t>6/21 (29%)</w:t>
            </w:r>
          </w:p>
        </w:tc>
      </w:tr>
      <w:tr w:rsidR="00511A49" w:rsidRPr="00F875E6" w:rsidTr="00F34B9F">
        <w:trPr>
          <w:cantSplit/>
        </w:trPr>
        <w:tc>
          <w:tcPr>
            <w:tcW w:w="733" w:type="pct"/>
            <w:tcMar>
              <w:left w:w="28" w:type="dxa"/>
              <w:right w:w="28" w:type="dxa"/>
            </w:tcMar>
            <w:vAlign w:val="center"/>
          </w:tcPr>
          <w:p w:rsidR="00511A49" w:rsidRPr="00F875E6" w:rsidRDefault="00511A49" w:rsidP="00982112">
            <w:pPr>
              <w:jc w:val="left"/>
              <w:rPr>
                <w:rStyle w:val="CommentReference"/>
                <w:b w:val="0"/>
              </w:rPr>
            </w:pPr>
            <w:r w:rsidRPr="00F875E6">
              <w:rPr>
                <w:rStyle w:val="CommentReference"/>
                <w:b w:val="0"/>
              </w:rPr>
              <w:t>MMR</w:t>
            </w:r>
          </w:p>
        </w:tc>
        <w:tc>
          <w:tcPr>
            <w:tcW w:w="961" w:type="pct"/>
            <w:tcMar>
              <w:left w:w="28" w:type="dxa"/>
              <w:right w:w="28" w:type="dxa"/>
            </w:tcMar>
            <w:vAlign w:val="center"/>
          </w:tcPr>
          <w:p w:rsidR="00511A49" w:rsidRPr="00F875E6" w:rsidRDefault="00511A49" w:rsidP="00982112">
            <w:pPr>
              <w:jc w:val="center"/>
              <w:rPr>
                <w:rStyle w:val="CommentReference"/>
                <w:b w:val="0"/>
              </w:rPr>
            </w:pPr>
            <w:r w:rsidRPr="00F875E6">
              <w:rPr>
                <w:rStyle w:val="CommentReference"/>
                <w:b w:val="0"/>
              </w:rPr>
              <w:t>32/64 (50%)</w:t>
            </w:r>
          </w:p>
        </w:tc>
        <w:tc>
          <w:tcPr>
            <w:tcW w:w="1046" w:type="pct"/>
            <w:tcMar>
              <w:left w:w="28" w:type="dxa"/>
              <w:right w:w="28" w:type="dxa"/>
            </w:tcMar>
            <w:vAlign w:val="center"/>
          </w:tcPr>
          <w:p w:rsidR="00511A49" w:rsidRPr="00F875E6" w:rsidRDefault="00511A49" w:rsidP="00982112">
            <w:pPr>
              <w:jc w:val="center"/>
              <w:rPr>
                <w:rStyle w:val="CommentReference"/>
                <w:b w:val="0"/>
              </w:rPr>
            </w:pPr>
            <w:r w:rsidRPr="00F875E6">
              <w:rPr>
                <w:rStyle w:val="CommentReference"/>
                <w:b w:val="0"/>
              </w:rPr>
              <w:t>8/12 (67%)</w:t>
            </w:r>
          </w:p>
        </w:tc>
        <w:tc>
          <w:tcPr>
            <w:tcW w:w="1025" w:type="pct"/>
            <w:shd w:val="clear" w:color="auto" w:fill="auto"/>
          </w:tcPr>
          <w:p w:rsidR="00511A49" w:rsidRPr="00F875E6" w:rsidRDefault="00511A49" w:rsidP="00982112">
            <w:pPr>
              <w:jc w:val="center"/>
              <w:rPr>
                <w:rStyle w:val="CommentReference"/>
                <w:b w:val="0"/>
              </w:rPr>
            </w:pPr>
            <w:r w:rsidRPr="00F875E6">
              <w:rPr>
                <w:rStyle w:val="CommentReference"/>
                <w:b w:val="0"/>
              </w:rPr>
              <w:t>-</w:t>
            </w:r>
          </w:p>
        </w:tc>
        <w:tc>
          <w:tcPr>
            <w:tcW w:w="1235" w:type="pct"/>
            <w:shd w:val="clear" w:color="auto" w:fill="auto"/>
            <w:vAlign w:val="center"/>
          </w:tcPr>
          <w:p w:rsidR="00511A49" w:rsidRPr="00F875E6" w:rsidRDefault="00511A49" w:rsidP="00982112">
            <w:pPr>
              <w:jc w:val="center"/>
              <w:rPr>
                <w:rStyle w:val="CommentReference"/>
                <w:b w:val="0"/>
              </w:rPr>
            </w:pPr>
            <w:r w:rsidRPr="00F875E6">
              <w:rPr>
                <w:rStyle w:val="CommentReference"/>
                <w:b w:val="0"/>
              </w:rPr>
              <w:t>-</w:t>
            </w:r>
          </w:p>
        </w:tc>
      </w:tr>
    </w:tbl>
    <w:p w:rsidR="00511A49" w:rsidRPr="00F875E6" w:rsidRDefault="00511A49" w:rsidP="00982112">
      <w:pPr>
        <w:pStyle w:val="TableFooter"/>
        <w:ind w:left="709"/>
        <w:rPr>
          <w:rStyle w:val="CommentReference"/>
          <w:b w:val="0"/>
          <w:sz w:val="18"/>
          <w:szCs w:val="20"/>
        </w:rPr>
      </w:pPr>
      <w:r w:rsidRPr="00F875E6">
        <w:rPr>
          <w:rStyle w:val="CommentReference"/>
          <w:b w:val="0"/>
          <w:sz w:val="18"/>
          <w:szCs w:val="20"/>
        </w:rPr>
        <w:t>Source: Table 30, p86 of the submission</w:t>
      </w:r>
      <w:r w:rsidRPr="00F875E6">
        <w:rPr>
          <w:rStyle w:val="CommentReference"/>
          <w:b w:val="0"/>
          <w:i/>
          <w:sz w:val="18"/>
          <w:szCs w:val="20"/>
        </w:rPr>
        <w:t>.</w:t>
      </w:r>
    </w:p>
    <w:p w:rsidR="00511A49" w:rsidRPr="00F875E6" w:rsidRDefault="00511A49" w:rsidP="00982112">
      <w:pPr>
        <w:pStyle w:val="TableFooter"/>
        <w:ind w:left="709"/>
        <w:rPr>
          <w:rStyle w:val="CommentReference"/>
          <w:b w:val="0"/>
          <w:sz w:val="18"/>
          <w:szCs w:val="20"/>
        </w:rPr>
      </w:pPr>
      <w:r w:rsidRPr="00F875E6">
        <w:rPr>
          <w:rStyle w:val="CommentReference"/>
          <w:b w:val="0"/>
          <w:sz w:val="18"/>
          <w:szCs w:val="20"/>
        </w:rPr>
        <w:t>CCyR = complete cytogenetic response; CHR = complete haematological response; CML = acute myeloid leukaemia; MCyR = major cytogenetic response; MMR = major molecular response.</w:t>
      </w:r>
    </w:p>
    <w:p w:rsidR="00511A49" w:rsidRPr="00F875E6" w:rsidRDefault="00511A49" w:rsidP="00511A49">
      <w:pPr>
        <w:ind w:left="720"/>
        <w:rPr>
          <w:i/>
        </w:rPr>
      </w:pPr>
    </w:p>
    <w:p w:rsidR="00511A49" w:rsidRPr="00F875E6" w:rsidRDefault="00511A49" w:rsidP="00F033A6">
      <w:pPr>
        <w:pStyle w:val="ListParagraph"/>
        <w:widowControl/>
        <w:numPr>
          <w:ilvl w:val="1"/>
          <w:numId w:val="4"/>
        </w:numPr>
        <w:rPr>
          <w:rStyle w:val="CommentReference"/>
          <w:rFonts w:ascii="Arial" w:hAnsi="Arial"/>
          <w:b w:val="0"/>
          <w:sz w:val="22"/>
          <w:szCs w:val="22"/>
        </w:rPr>
      </w:pPr>
      <w:r w:rsidRPr="00F875E6">
        <w:rPr>
          <w:rStyle w:val="CommentReference"/>
          <w:rFonts w:ascii="Arial" w:hAnsi="Arial"/>
          <w:b w:val="0"/>
          <w:sz w:val="22"/>
          <w:szCs w:val="22"/>
        </w:rPr>
        <w:t xml:space="preserve">For chronic phase CML patients with the T315I mutation, the response rates were higher for ponatinib than for dasatinib. There was no data for dasatinib or nilotinib to allow a comparison in patients with accelerated phase CML or blast crisis CML/Ph+ ALL with the T315I mutation. Therefore, it is unknown whether ponatinib has similar efficacy in these situations. </w:t>
      </w:r>
    </w:p>
    <w:p w:rsidR="00511A49" w:rsidRPr="00F875E6" w:rsidRDefault="00511A49" w:rsidP="00511A49">
      <w:pPr>
        <w:ind w:left="720"/>
        <w:rPr>
          <w:i/>
        </w:rPr>
      </w:pPr>
    </w:p>
    <w:p w:rsidR="00511A49" w:rsidRPr="00F875E6" w:rsidRDefault="00511A49" w:rsidP="00D164FD">
      <w:pPr>
        <w:pStyle w:val="Heading2"/>
        <w:keepNext/>
        <w:rPr>
          <w:i/>
        </w:rPr>
      </w:pPr>
      <w:bookmarkStart w:id="10" w:name="_Toc419470600"/>
      <w:r w:rsidRPr="00F875E6">
        <w:rPr>
          <w:i/>
        </w:rPr>
        <w:t>Comparative harms</w:t>
      </w:r>
      <w:bookmarkEnd w:id="10"/>
    </w:p>
    <w:p w:rsidR="00511A49" w:rsidRPr="00F875E6" w:rsidRDefault="00511A49" w:rsidP="00D164FD">
      <w:pPr>
        <w:pStyle w:val="PBACheading1"/>
        <w:keepNext/>
        <w:numPr>
          <w:ilvl w:val="0"/>
          <w:numId w:val="0"/>
        </w:numPr>
        <w:ind w:left="720" w:hanging="720"/>
      </w:pPr>
    </w:p>
    <w:p w:rsidR="00D3355D" w:rsidRPr="00F875E6" w:rsidRDefault="00D3355D" w:rsidP="00D3355D">
      <w:pPr>
        <w:pStyle w:val="ListParagraph"/>
        <w:widowControl/>
        <w:numPr>
          <w:ilvl w:val="1"/>
          <w:numId w:val="4"/>
        </w:numPr>
        <w:rPr>
          <w:szCs w:val="22"/>
        </w:rPr>
      </w:pPr>
      <w:r w:rsidRPr="00F875E6">
        <w:t xml:space="preserve">The new studies identified in the re-submission </w:t>
      </w:r>
      <w:r w:rsidR="00B16A39" w:rsidRPr="00F875E6">
        <w:t xml:space="preserve">from the systematic literature review </w:t>
      </w:r>
      <w:r w:rsidRPr="00F875E6">
        <w:t>did not provide safety outcomes.</w:t>
      </w:r>
      <w:r w:rsidR="00976EF7" w:rsidRPr="00F875E6">
        <w:t xml:space="preserve"> The previous submission provided very limited comparative safety data for ponatinib, dasatinib, and nilotinib. Based on FDA information and data from the PACE study, Study 101, and the EPIC trial, the PBAC considered that ponatinib had an inferior toxicity profile to imatinib, dasatinib, and nilotinib.</w:t>
      </w:r>
      <w:r w:rsidRPr="00F875E6">
        <w:t xml:space="preserve"> </w:t>
      </w:r>
    </w:p>
    <w:p w:rsidR="00B60939" w:rsidRPr="00F875E6" w:rsidRDefault="00B60939" w:rsidP="007F1017">
      <w:pPr>
        <w:pStyle w:val="ListParagraph"/>
        <w:ind w:left="0"/>
        <w:rPr>
          <w:szCs w:val="22"/>
        </w:rPr>
      </w:pPr>
    </w:p>
    <w:p w:rsidR="00BD302A" w:rsidRPr="00F875E6" w:rsidRDefault="00B05989" w:rsidP="006D1EE0">
      <w:pPr>
        <w:pStyle w:val="ListParagraph"/>
        <w:widowControl/>
        <w:numPr>
          <w:ilvl w:val="1"/>
          <w:numId w:val="4"/>
        </w:numPr>
        <w:rPr>
          <w:szCs w:val="22"/>
        </w:rPr>
      </w:pPr>
      <w:r w:rsidRPr="00F875E6">
        <w:rPr>
          <w:szCs w:val="22"/>
        </w:rPr>
        <w:t xml:space="preserve">The re-submission provided additional data on potential safety concerns beyond those identified in the non-randomised studies. The re-submission estimated an average rate of pleural effusions and vascular occlusive events for </w:t>
      </w:r>
      <w:r w:rsidR="00D6707F" w:rsidRPr="00F875E6">
        <w:rPr>
          <w:szCs w:val="22"/>
        </w:rPr>
        <w:t xml:space="preserve">ponatinib, dasatinib, and </w:t>
      </w:r>
      <w:r w:rsidRPr="00F875E6">
        <w:rPr>
          <w:szCs w:val="22"/>
        </w:rPr>
        <w:t>nilotinib based on studies reviewed in the li</w:t>
      </w:r>
      <w:r w:rsidR="00663C29" w:rsidRPr="00F875E6">
        <w:rPr>
          <w:szCs w:val="22"/>
        </w:rPr>
        <w:t xml:space="preserve">terature. </w:t>
      </w:r>
      <w:r w:rsidR="00976EF7" w:rsidRPr="00F875E6">
        <w:rPr>
          <w:szCs w:val="22"/>
        </w:rPr>
        <w:t xml:space="preserve">While the PBAC considered that </w:t>
      </w:r>
      <w:r w:rsidR="00E07773" w:rsidRPr="00F875E6">
        <w:rPr>
          <w:szCs w:val="22"/>
        </w:rPr>
        <w:t>ponatinib was associated with a higher frequency of vascular occlusive events than nilotinib and dasatinib</w:t>
      </w:r>
      <w:r w:rsidR="00976EF7" w:rsidRPr="00F875E6">
        <w:rPr>
          <w:szCs w:val="22"/>
        </w:rPr>
        <w:t xml:space="preserve">; the </w:t>
      </w:r>
      <w:r w:rsidR="00E07773" w:rsidRPr="00F875E6">
        <w:rPr>
          <w:szCs w:val="22"/>
        </w:rPr>
        <w:t>re-</w:t>
      </w:r>
      <w:r w:rsidR="00976EF7" w:rsidRPr="00F875E6">
        <w:rPr>
          <w:szCs w:val="22"/>
        </w:rPr>
        <w:t>submission argued that patients treated with dasatinib had an increased risk of pleural effusions and patients treated with nilotinib had a high risk of Grade 3 or 4 cardiovascular events.</w:t>
      </w:r>
      <w:r w:rsidR="00E07773" w:rsidRPr="00F875E6">
        <w:rPr>
          <w:szCs w:val="22"/>
        </w:rPr>
        <w:t xml:space="preserve"> </w:t>
      </w:r>
      <w:r w:rsidR="00F34B9F" w:rsidRPr="00F875E6">
        <w:rPr>
          <w:szCs w:val="22"/>
        </w:rPr>
        <w:t>Th</w:t>
      </w:r>
      <w:r w:rsidR="00313846" w:rsidRPr="00F875E6">
        <w:rPr>
          <w:szCs w:val="22"/>
        </w:rPr>
        <w:t>e submission only provided safety data for pleural effusions, which was</w:t>
      </w:r>
      <w:r w:rsidR="00F34B9F" w:rsidRPr="00F875E6">
        <w:rPr>
          <w:szCs w:val="22"/>
        </w:rPr>
        <w:t xml:space="preserve"> reasonable</w:t>
      </w:r>
      <w:r w:rsidR="002F05A7" w:rsidRPr="00F875E6">
        <w:rPr>
          <w:szCs w:val="22"/>
        </w:rPr>
        <w:t xml:space="preserve"> in the context of the submission</w:t>
      </w:r>
      <w:r w:rsidR="00F34B9F" w:rsidRPr="00F875E6">
        <w:rPr>
          <w:szCs w:val="22"/>
        </w:rPr>
        <w:t>.</w:t>
      </w:r>
    </w:p>
    <w:p w:rsidR="00B05989" w:rsidRPr="00F875E6" w:rsidRDefault="00B05989" w:rsidP="00B05989">
      <w:pPr>
        <w:widowControl/>
        <w:rPr>
          <w:i/>
          <w:szCs w:val="22"/>
        </w:rPr>
      </w:pPr>
    </w:p>
    <w:p w:rsidR="00B05989" w:rsidRPr="00F875E6" w:rsidRDefault="00821D7D" w:rsidP="00AB4407">
      <w:pPr>
        <w:pStyle w:val="ListParagraph"/>
        <w:keepNext/>
        <w:widowControl/>
        <w:rPr>
          <w:rStyle w:val="CommentReference"/>
        </w:rPr>
      </w:pPr>
      <w:r w:rsidRPr="00F875E6">
        <w:rPr>
          <w:rStyle w:val="CommentReference"/>
        </w:rPr>
        <w:t xml:space="preserve">Table </w:t>
      </w:r>
      <w:r w:rsidR="000D195A" w:rsidRPr="00F875E6">
        <w:rPr>
          <w:rStyle w:val="CommentReference"/>
        </w:rPr>
        <w:t>6</w:t>
      </w:r>
      <w:r w:rsidRPr="00F875E6">
        <w:rPr>
          <w:rStyle w:val="CommentReference"/>
        </w:rPr>
        <w:t>: Rates of pleural effusions and vascular occlusive events used in Section D(i).</w:t>
      </w:r>
    </w:p>
    <w:tbl>
      <w:tblPr>
        <w:tblW w:w="455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1151"/>
        <w:gridCol w:w="1914"/>
        <w:gridCol w:w="1881"/>
        <w:gridCol w:w="1749"/>
      </w:tblGrid>
      <w:tr w:rsidR="00CB64F5" w:rsidRPr="00F875E6" w:rsidTr="00AB4407">
        <w:trPr>
          <w:trHeight w:val="20"/>
          <w:tblHeader/>
        </w:trPr>
        <w:tc>
          <w:tcPr>
            <w:tcW w:w="1710" w:type="pct"/>
            <w:gridSpan w:val="2"/>
            <w:shd w:val="clear" w:color="auto" w:fill="auto"/>
            <w:noWrap/>
            <w:vAlign w:val="center"/>
            <w:hideMark/>
          </w:tcPr>
          <w:p w:rsidR="00CB64F5" w:rsidRPr="00F875E6" w:rsidRDefault="00CB64F5" w:rsidP="00AB4407">
            <w:pPr>
              <w:pStyle w:val="Tabletext"/>
              <w:keepNext/>
              <w:rPr>
                <w:b/>
                <w:lang w:val="en-GB" w:eastAsia="en-GB"/>
              </w:rPr>
            </w:pPr>
            <w:r w:rsidRPr="00F875E6">
              <w:rPr>
                <w:b/>
                <w:lang w:eastAsia="en-GB"/>
              </w:rPr>
              <w:t>Type of event</w:t>
            </w:r>
          </w:p>
        </w:tc>
        <w:tc>
          <w:tcPr>
            <w:tcW w:w="1136" w:type="pct"/>
            <w:shd w:val="clear" w:color="auto" w:fill="auto"/>
            <w:noWrap/>
            <w:vAlign w:val="center"/>
            <w:hideMark/>
          </w:tcPr>
          <w:p w:rsidR="00CB64F5" w:rsidRPr="00F875E6" w:rsidRDefault="00CB64F5" w:rsidP="00AB4407">
            <w:pPr>
              <w:pStyle w:val="Tabletext"/>
              <w:keepNext/>
              <w:jc w:val="center"/>
              <w:rPr>
                <w:b/>
                <w:lang w:val="en-GB" w:eastAsia="en-GB"/>
              </w:rPr>
            </w:pPr>
            <w:r w:rsidRPr="00F875E6">
              <w:rPr>
                <w:b/>
                <w:lang w:eastAsia="en-GB"/>
              </w:rPr>
              <w:t>Ponatinib</w:t>
            </w:r>
          </w:p>
        </w:tc>
        <w:tc>
          <w:tcPr>
            <w:tcW w:w="1116" w:type="pct"/>
            <w:shd w:val="clear" w:color="auto" w:fill="auto"/>
            <w:noWrap/>
            <w:vAlign w:val="center"/>
            <w:hideMark/>
          </w:tcPr>
          <w:p w:rsidR="00CB64F5" w:rsidRPr="00F875E6" w:rsidRDefault="00CB64F5" w:rsidP="00AB4407">
            <w:pPr>
              <w:pStyle w:val="Tabletext"/>
              <w:keepNext/>
              <w:jc w:val="center"/>
              <w:rPr>
                <w:b/>
                <w:lang w:val="en-GB" w:eastAsia="en-GB"/>
              </w:rPr>
            </w:pPr>
            <w:r w:rsidRPr="00F875E6">
              <w:rPr>
                <w:b/>
                <w:lang w:eastAsia="en-GB"/>
              </w:rPr>
              <w:t>Dasatinib</w:t>
            </w:r>
          </w:p>
        </w:tc>
        <w:tc>
          <w:tcPr>
            <w:tcW w:w="1038" w:type="pct"/>
            <w:shd w:val="clear" w:color="auto" w:fill="auto"/>
            <w:noWrap/>
            <w:vAlign w:val="center"/>
            <w:hideMark/>
          </w:tcPr>
          <w:p w:rsidR="00CB64F5" w:rsidRPr="00F875E6" w:rsidRDefault="00CB64F5" w:rsidP="00AB4407">
            <w:pPr>
              <w:pStyle w:val="Tabletext"/>
              <w:keepNext/>
              <w:jc w:val="center"/>
              <w:rPr>
                <w:b/>
                <w:lang w:val="en-GB" w:eastAsia="en-GB"/>
              </w:rPr>
            </w:pPr>
            <w:r w:rsidRPr="00F875E6">
              <w:rPr>
                <w:b/>
                <w:lang w:eastAsia="en-GB"/>
              </w:rPr>
              <w:t>Nilotinib</w:t>
            </w:r>
          </w:p>
        </w:tc>
      </w:tr>
      <w:tr w:rsidR="00343B1E" w:rsidRPr="00F875E6" w:rsidTr="00343B1E">
        <w:trPr>
          <w:trHeight w:val="20"/>
        </w:trPr>
        <w:tc>
          <w:tcPr>
            <w:tcW w:w="5000" w:type="pct"/>
            <w:gridSpan w:val="5"/>
            <w:shd w:val="clear" w:color="auto" w:fill="auto"/>
            <w:noWrap/>
            <w:vAlign w:val="center"/>
            <w:hideMark/>
          </w:tcPr>
          <w:p w:rsidR="00343B1E" w:rsidRPr="00F875E6" w:rsidRDefault="00343B1E" w:rsidP="00AB4407">
            <w:pPr>
              <w:pStyle w:val="Tabletext"/>
              <w:keepNext/>
              <w:rPr>
                <w:b/>
                <w:lang w:val="en-GB" w:eastAsia="en-GB"/>
              </w:rPr>
            </w:pPr>
            <w:r w:rsidRPr="00F875E6">
              <w:rPr>
                <w:b/>
                <w:lang w:eastAsia="en-GB"/>
              </w:rPr>
              <w:t>Vascular occlusive event</w:t>
            </w:r>
          </w:p>
        </w:tc>
      </w:tr>
      <w:tr w:rsidR="00343B1E" w:rsidRPr="00F875E6" w:rsidTr="007D4DD5">
        <w:trPr>
          <w:trHeight w:val="20"/>
        </w:trPr>
        <w:tc>
          <w:tcPr>
            <w:tcW w:w="1027" w:type="pct"/>
            <w:vMerge w:val="restart"/>
            <w:shd w:val="clear" w:color="auto" w:fill="auto"/>
            <w:noWrap/>
            <w:vAlign w:val="center"/>
            <w:hideMark/>
          </w:tcPr>
          <w:p w:rsidR="00343B1E" w:rsidRPr="00F875E6" w:rsidRDefault="00343B1E" w:rsidP="00AB4407">
            <w:pPr>
              <w:pStyle w:val="Tabletext"/>
              <w:keepNext/>
              <w:rPr>
                <w:lang w:val="en-GB" w:eastAsia="en-GB"/>
              </w:rPr>
            </w:pPr>
            <w:r w:rsidRPr="00F875E6">
              <w:rPr>
                <w:lang w:val="en-GB" w:eastAsia="en-GB"/>
              </w:rPr>
              <w:t>All grades</w:t>
            </w:r>
          </w:p>
        </w:tc>
        <w:tc>
          <w:tcPr>
            <w:tcW w:w="683" w:type="pct"/>
            <w:shd w:val="clear" w:color="auto" w:fill="auto"/>
            <w:noWrap/>
            <w:vAlign w:val="center"/>
            <w:hideMark/>
          </w:tcPr>
          <w:p w:rsidR="00343B1E" w:rsidRPr="00F875E6" w:rsidRDefault="00343B1E" w:rsidP="00AB4407">
            <w:pPr>
              <w:pStyle w:val="Tabletext"/>
              <w:keepNext/>
              <w:rPr>
                <w:lang w:val="en-GB" w:eastAsia="en-GB"/>
              </w:rPr>
            </w:pPr>
            <w:r w:rsidRPr="00F875E6">
              <w:rPr>
                <w:lang w:eastAsia="en-GB"/>
              </w:rPr>
              <w:t>Re-sub</w:t>
            </w:r>
          </w:p>
        </w:tc>
        <w:tc>
          <w:tcPr>
            <w:tcW w:w="1136" w:type="pct"/>
            <w:shd w:val="clear" w:color="auto" w:fill="auto"/>
            <w:noWrap/>
            <w:vAlign w:val="center"/>
            <w:hideMark/>
          </w:tcPr>
          <w:p w:rsidR="00343B1E" w:rsidRPr="00F875E6" w:rsidRDefault="00343B1E" w:rsidP="00AB4407">
            <w:pPr>
              <w:pStyle w:val="Tabletext"/>
              <w:keepNext/>
              <w:jc w:val="center"/>
              <w:rPr>
                <w:lang w:val="en-GB" w:eastAsia="en-GB"/>
              </w:rPr>
            </w:pPr>
            <w:r w:rsidRPr="00F875E6">
              <w:rPr>
                <w:lang w:eastAsia="en-GB"/>
              </w:rPr>
              <w:t>17.1%</w:t>
            </w:r>
          </w:p>
        </w:tc>
        <w:tc>
          <w:tcPr>
            <w:tcW w:w="1116" w:type="pct"/>
            <w:shd w:val="clear" w:color="auto" w:fill="auto"/>
            <w:noWrap/>
            <w:vAlign w:val="center"/>
            <w:hideMark/>
          </w:tcPr>
          <w:p w:rsidR="00343B1E" w:rsidRPr="00F875E6" w:rsidRDefault="00343B1E" w:rsidP="00AB4407">
            <w:pPr>
              <w:pStyle w:val="Tabletext"/>
              <w:keepNext/>
              <w:jc w:val="center"/>
              <w:rPr>
                <w:lang w:val="en-GB" w:eastAsia="en-GB"/>
              </w:rPr>
            </w:pPr>
            <w:r w:rsidRPr="00F875E6">
              <w:rPr>
                <w:lang w:eastAsia="en-GB"/>
              </w:rPr>
              <w:t>2.9%</w:t>
            </w:r>
          </w:p>
        </w:tc>
        <w:tc>
          <w:tcPr>
            <w:tcW w:w="1038" w:type="pct"/>
            <w:shd w:val="clear" w:color="auto" w:fill="auto"/>
            <w:noWrap/>
            <w:vAlign w:val="center"/>
            <w:hideMark/>
          </w:tcPr>
          <w:p w:rsidR="00343B1E" w:rsidRPr="00F875E6" w:rsidRDefault="00343B1E" w:rsidP="00AB4407">
            <w:pPr>
              <w:pStyle w:val="Tabletext"/>
              <w:keepNext/>
              <w:jc w:val="center"/>
              <w:rPr>
                <w:lang w:val="en-GB" w:eastAsia="en-GB"/>
              </w:rPr>
            </w:pPr>
            <w:r w:rsidRPr="00F875E6">
              <w:rPr>
                <w:lang w:eastAsia="en-GB"/>
              </w:rPr>
              <w:t>11.5%</w:t>
            </w:r>
          </w:p>
        </w:tc>
      </w:tr>
      <w:tr w:rsidR="00343B1E" w:rsidRPr="00F875E6" w:rsidTr="007D4DD5">
        <w:trPr>
          <w:trHeight w:val="20"/>
        </w:trPr>
        <w:tc>
          <w:tcPr>
            <w:tcW w:w="1027" w:type="pct"/>
            <w:vMerge/>
            <w:shd w:val="clear" w:color="auto" w:fill="auto"/>
            <w:noWrap/>
            <w:vAlign w:val="center"/>
            <w:hideMark/>
          </w:tcPr>
          <w:p w:rsidR="00343B1E" w:rsidRPr="00F875E6" w:rsidRDefault="00343B1E" w:rsidP="00AB4407">
            <w:pPr>
              <w:pStyle w:val="Tabletext"/>
              <w:keepNext/>
              <w:rPr>
                <w:lang w:val="en-GB" w:eastAsia="en-GB"/>
              </w:rPr>
            </w:pPr>
          </w:p>
        </w:tc>
        <w:tc>
          <w:tcPr>
            <w:tcW w:w="683" w:type="pct"/>
            <w:shd w:val="clear" w:color="auto" w:fill="auto"/>
            <w:noWrap/>
            <w:vAlign w:val="center"/>
            <w:hideMark/>
          </w:tcPr>
          <w:p w:rsidR="00343B1E" w:rsidRPr="00F875E6" w:rsidRDefault="00343B1E" w:rsidP="00AB4407">
            <w:pPr>
              <w:pStyle w:val="Tabletext"/>
              <w:keepNext/>
              <w:rPr>
                <w:i/>
                <w:lang w:val="en-GB" w:eastAsia="en-GB"/>
              </w:rPr>
            </w:pPr>
            <w:r w:rsidRPr="00F875E6">
              <w:rPr>
                <w:i/>
                <w:lang w:eastAsia="en-GB"/>
              </w:rPr>
              <w:t>Com</w:t>
            </w:r>
          </w:p>
        </w:tc>
        <w:tc>
          <w:tcPr>
            <w:tcW w:w="1136" w:type="pct"/>
            <w:shd w:val="clear" w:color="auto" w:fill="auto"/>
            <w:noWrap/>
            <w:vAlign w:val="center"/>
            <w:hideMark/>
          </w:tcPr>
          <w:p w:rsidR="00343B1E" w:rsidRPr="00F875E6" w:rsidRDefault="00343B1E" w:rsidP="00AB4407">
            <w:pPr>
              <w:pStyle w:val="Tabletext"/>
              <w:keepNext/>
              <w:jc w:val="center"/>
              <w:rPr>
                <w:i/>
                <w:lang w:val="en-GB" w:eastAsia="en-GB"/>
              </w:rPr>
            </w:pPr>
            <w:r w:rsidRPr="00F875E6">
              <w:rPr>
                <w:i/>
                <w:lang w:eastAsia="en-GB"/>
              </w:rPr>
              <w:t>22.5%</w:t>
            </w:r>
          </w:p>
        </w:tc>
        <w:tc>
          <w:tcPr>
            <w:tcW w:w="1116" w:type="pct"/>
            <w:shd w:val="clear" w:color="auto" w:fill="auto"/>
            <w:noWrap/>
            <w:vAlign w:val="center"/>
            <w:hideMark/>
          </w:tcPr>
          <w:p w:rsidR="00343B1E" w:rsidRPr="00F875E6" w:rsidRDefault="00343B1E" w:rsidP="00AB4407">
            <w:pPr>
              <w:pStyle w:val="Tabletext"/>
              <w:keepNext/>
              <w:jc w:val="center"/>
              <w:rPr>
                <w:i/>
                <w:lang w:val="en-GB" w:eastAsia="en-GB"/>
              </w:rPr>
            </w:pPr>
            <w:r w:rsidRPr="00F875E6">
              <w:rPr>
                <w:i/>
                <w:lang w:eastAsia="en-GB"/>
              </w:rPr>
              <w:t>3.0%</w:t>
            </w:r>
          </w:p>
        </w:tc>
        <w:tc>
          <w:tcPr>
            <w:tcW w:w="1038" w:type="pct"/>
            <w:shd w:val="clear" w:color="auto" w:fill="auto"/>
            <w:noWrap/>
            <w:vAlign w:val="center"/>
            <w:hideMark/>
          </w:tcPr>
          <w:p w:rsidR="00343B1E" w:rsidRPr="00F875E6" w:rsidRDefault="00343B1E" w:rsidP="00AB4407">
            <w:pPr>
              <w:pStyle w:val="Tabletext"/>
              <w:keepNext/>
              <w:jc w:val="center"/>
              <w:rPr>
                <w:i/>
                <w:lang w:val="en-GB" w:eastAsia="en-GB"/>
              </w:rPr>
            </w:pPr>
            <w:r w:rsidRPr="00F875E6">
              <w:rPr>
                <w:i/>
                <w:lang w:eastAsia="en-GB"/>
              </w:rPr>
              <w:t>4.9%</w:t>
            </w:r>
          </w:p>
        </w:tc>
      </w:tr>
      <w:tr w:rsidR="00343B1E" w:rsidRPr="00F875E6" w:rsidTr="007D4DD5">
        <w:trPr>
          <w:trHeight w:val="20"/>
        </w:trPr>
        <w:tc>
          <w:tcPr>
            <w:tcW w:w="1027" w:type="pct"/>
            <w:vMerge w:val="restart"/>
            <w:shd w:val="clear" w:color="auto" w:fill="auto"/>
            <w:noWrap/>
            <w:vAlign w:val="center"/>
            <w:hideMark/>
          </w:tcPr>
          <w:p w:rsidR="00343B1E" w:rsidRPr="00F875E6" w:rsidRDefault="008135E2" w:rsidP="00AB4407">
            <w:pPr>
              <w:pStyle w:val="Tabletext"/>
              <w:keepNext/>
              <w:rPr>
                <w:lang w:val="en-GB" w:eastAsia="en-GB"/>
              </w:rPr>
            </w:pPr>
            <w:r w:rsidRPr="00F875E6">
              <w:rPr>
                <w:lang w:val="en-GB" w:eastAsia="en-GB"/>
              </w:rPr>
              <w:t xml:space="preserve">Grade 3 or </w:t>
            </w:r>
            <w:r w:rsidR="00343B1E" w:rsidRPr="00F875E6">
              <w:rPr>
                <w:lang w:val="en-GB" w:eastAsia="en-GB"/>
              </w:rPr>
              <w:t>4</w:t>
            </w:r>
          </w:p>
        </w:tc>
        <w:tc>
          <w:tcPr>
            <w:tcW w:w="683" w:type="pct"/>
            <w:shd w:val="clear" w:color="auto" w:fill="auto"/>
            <w:noWrap/>
            <w:vAlign w:val="center"/>
            <w:hideMark/>
          </w:tcPr>
          <w:p w:rsidR="00343B1E" w:rsidRPr="00F875E6" w:rsidRDefault="00343B1E" w:rsidP="00AB4407">
            <w:pPr>
              <w:pStyle w:val="Tabletext"/>
              <w:keepNext/>
              <w:rPr>
                <w:lang w:val="en-GB" w:eastAsia="en-GB"/>
              </w:rPr>
            </w:pPr>
            <w:r w:rsidRPr="00F875E6">
              <w:rPr>
                <w:lang w:eastAsia="en-GB"/>
              </w:rPr>
              <w:t>Re-sub</w:t>
            </w:r>
          </w:p>
        </w:tc>
        <w:tc>
          <w:tcPr>
            <w:tcW w:w="1136" w:type="pct"/>
            <w:shd w:val="clear" w:color="auto" w:fill="auto"/>
            <w:noWrap/>
            <w:vAlign w:val="center"/>
            <w:hideMark/>
          </w:tcPr>
          <w:p w:rsidR="00343B1E" w:rsidRPr="00F875E6" w:rsidRDefault="00343B1E" w:rsidP="00AB4407">
            <w:pPr>
              <w:pStyle w:val="Tabletext"/>
              <w:keepNext/>
              <w:jc w:val="center"/>
              <w:rPr>
                <w:lang w:val="en-GB" w:eastAsia="en-GB"/>
              </w:rPr>
            </w:pPr>
            <w:r w:rsidRPr="00F875E6">
              <w:rPr>
                <w:lang w:eastAsia="en-GB"/>
              </w:rPr>
              <w:t>11.7%</w:t>
            </w:r>
          </w:p>
        </w:tc>
        <w:tc>
          <w:tcPr>
            <w:tcW w:w="1116" w:type="pct"/>
            <w:shd w:val="clear" w:color="auto" w:fill="auto"/>
            <w:noWrap/>
            <w:vAlign w:val="center"/>
            <w:hideMark/>
          </w:tcPr>
          <w:p w:rsidR="00343B1E" w:rsidRPr="00F875E6" w:rsidRDefault="00343B1E" w:rsidP="00AB4407">
            <w:pPr>
              <w:pStyle w:val="Tabletext"/>
              <w:keepNext/>
              <w:jc w:val="center"/>
              <w:rPr>
                <w:lang w:val="en-GB" w:eastAsia="en-GB"/>
              </w:rPr>
            </w:pPr>
            <w:r w:rsidRPr="00F875E6">
              <w:rPr>
                <w:lang w:eastAsia="en-GB"/>
              </w:rPr>
              <w:t>2.0%</w:t>
            </w:r>
          </w:p>
        </w:tc>
        <w:tc>
          <w:tcPr>
            <w:tcW w:w="1038" w:type="pct"/>
            <w:shd w:val="clear" w:color="auto" w:fill="auto"/>
            <w:noWrap/>
            <w:vAlign w:val="center"/>
            <w:hideMark/>
          </w:tcPr>
          <w:p w:rsidR="00343B1E" w:rsidRPr="00F875E6" w:rsidRDefault="00343B1E" w:rsidP="00AB4407">
            <w:pPr>
              <w:pStyle w:val="Tabletext"/>
              <w:keepNext/>
              <w:jc w:val="center"/>
              <w:rPr>
                <w:lang w:val="en-GB" w:eastAsia="en-GB"/>
              </w:rPr>
            </w:pPr>
            <w:r w:rsidRPr="00F875E6">
              <w:rPr>
                <w:lang w:eastAsia="en-GB"/>
              </w:rPr>
              <w:t>7.9%</w:t>
            </w:r>
          </w:p>
        </w:tc>
      </w:tr>
      <w:tr w:rsidR="00343B1E" w:rsidRPr="00F875E6" w:rsidTr="007D4DD5">
        <w:trPr>
          <w:trHeight w:val="20"/>
        </w:trPr>
        <w:tc>
          <w:tcPr>
            <w:tcW w:w="1027" w:type="pct"/>
            <w:vMerge/>
            <w:shd w:val="clear" w:color="auto" w:fill="auto"/>
            <w:noWrap/>
            <w:vAlign w:val="center"/>
            <w:hideMark/>
          </w:tcPr>
          <w:p w:rsidR="00343B1E" w:rsidRPr="00F875E6" w:rsidRDefault="00343B1E" w:rsidP="00AB4407">
            <w:pPr>
              <w:pStyle w:val="Tabletext"/>
              <w:keepNext/>
              <w:rPr>
                <w:lang w:val="en-GB" w:eastAsia="en-GB"/>
              </w:rPr>
            </w:pPr>
          </w:p>
        </w:tc>
        <w:tc>
          <w:tcPr>
            <w:tcW w:w="683" w:type="pct"/>
            <w:shd w:val="clear" w:color="auto" w:fill="auto"/>
            <w:noWrap/>
            <w:vAlign w:val="center"/>
            <w:hideMark/>
          </w:tcPr>
          <w:p w:rsidR="00343B1E" w:rsidRPr="00F875E6" w:rsidRDefault="00343B1E" w:rsidP="00AB4407">
            <w:pPr>
              <w:pStyle w:val="Tabletext"/>
              <w:keepNext/>
              <w:rPr>
                <w:i/>
                <w:lang w:val="en-GB" w:eastAsia="en-GB"/>
              </w:rPr>
            </w:pPr>
            <w:r w:rsidRPr="00F875E6">
              <w:rPr>
                <w:i/>
                <w:lang w:eastAsia="en-GB"/>
              </w:rPr>
              <w:t>Com</w:t>
            </w:r>
          </w:p>
        </w:tc>
        <w:tc>
          <w:tcPr>
            <w:tcW w:w="1136" w:type="pct"/>
            <w:shd w:val="clear" w:color="auto" w:fill="auto"/>
            <w:noWrap/>
            <w:vAlign w:val="center"/>
            <w:hideMark/>
          </w:tcPr>
          <w:p w:rsidR="00343B1E" w:rsidRPr="00F875E6" w:rsidRDefault="00343B1E" w:rsidP="00AB4407">
            <w:pPr>
              <w:pStyle w:val="Tabletext"/>
              <w:keepNext/>
              <w:jc w:val="center"/>
              <w:rPr>
                <w:i/>
                <w:lang w:val="en-GB" w:eastAsia="en-GB"/>
              </w:rPr>
            </w:pPr>
            <w:r w:rsidRPr="00F875E6">
              <w:rPr>
                <w:i/>
                <w:lang w:eastAsia="en-GB"/>
              </w:rPr>
              <w:t>16.0%</w:t>
            </w:r>
          </w:p>
        </w:tc>
        <w:tc>
          <w:tcPr>
            <w:tcW w:w="1116" w:type="pct"/>
            <w:shd w:val="clear" w:color="auto" w:fill="auto"/>
            <w:noWrap/>
            <w:vAlign w:val="center"/>
            <w:hideMark/>
          </w:tcPr>
          <w:p w:rsidR="00343B1E" w:rsidRPr="00F875E6" w:rsidRDefault="00343B1E" w:rsidP="00AB4407">
            <w:pPr>
              <w:pStyle w:val="Tabletext"/>
              <w:keepNext/>
              <w:jc w:val="center"/>
              <w:rPr>
                <w:i/>
                <w:lang w:val="en-GB" w:eastAsia="en-GB"/>
              </w:rPr>
            </w:pPr>
            <w:r w:rsidRPr="00F875E6">
              <w:rPr>
                <w:i/>
                <w:lang w:eastAsia="en-GB"/>
              </w:rPr>
              <w:t>2.1%</w:t>
            </w:r>
          </w:p>
        </w:tc>
        <w:tc>
          <w:tcPr>
            <w:tcW w:w="1038" w:type="pct"/>
            <w:shd w:val="clear" w:color="auto" w:fill="auto"/>
            <w:noWrap/>
            <w:vAlign w:val="center"/>
            <w:hideMark/>
          </w:tcPr>
          <w:p w:rsidR="00343B1E" w:rsidRPr="00F875E6" w:rsidRDefault="00343B1E" w:rsidP="00AB4407">
            <w:pPr>
              <w:pStyle w:val="Tabletext"/>
              <w:keepNext/>
              <w:jc w:val="center"/>
              <w:rPr>
                <w:i/>
                <w:lang w:val="en-GB" w:eastAsia="en-GB"/>
              </w:rPr>
            </w:pPr>
            <w:r w:rsidRPr="00F875E6">
              <w:rPr>
                <w:i/>
                <w:lang w:eastAsia="en-GB"/>
              </w:rPr>
              <w:t>3.5%</w:t>
            </w:r>
          </w:p>
        </w:tc>
      </w:tr>
      <w:tr w:rsidR="00343B1E" w:rsidRPr="00F875E6" w:rsidTr="007D4DD5">
        <w:trPr>
          <w:trHeight w:val="20"/>
        </w:trPr>
        <w:tc>
          <w:tcPr>
            <w:tcW w:w="5000" w:type="pct"/>
            <w:gridSpan w:val="5"/>
            <w:shd w:val="clear" w:color="auto" w:fill="auto"/>
            <w:noWrap/>
            <w:vAlign w:val="center"/>
          </w:tcPr>
          <w:p w:rsidR="00343B1E" w:rsidRPr="00F875E6" w:rsidRDefault="00343B1E" w:rsidP="00AB4407">
            <w:pPr>
              <w:pStyle w:val="Tabletext"/>
              <w:keepNext/>
              <w:rPr>
                <w:b/>
                <w:lang w:eastAsia="en-GB"/>
              </w:rPr>
            </w:pPr>
            <w:r w:rsidRPr="00F875E6">
              <w:rPr>
                <w:b/>
                <w:lang w:eastAsia="en-GB"/>
              </w:rPr>
              <w:t>Pleural effusions</w:t>
            </w:r>
          </w:p>
        </w:tc>
      </w:tr>
      <w:tr w:rsidR="00343B1E" w:rsidRPr="00F875E6" w:rsidTr="007D4DD5">
        <w:trPr>
          <w:trHeight w:val="20"/>
        </w:trPr>
        <w:tc>
          <w:tcPr>
            <w:tcW w:w="1027" w:type="pct"/>
            <w:vMerge w:val="restart"/>
            <w:shd w:val="clear" w:color="auto" w:fill="auto"/>
            <w:noWrap/>
            <w:vAlign w:val="center"/>
            <w:hideMark/>
          </w:tcPr>
          <w:p w:rsidR="00343B1E" w:rsidRPr="00F875E6" w:rsidRDefault="00343B1E" w:rsidP="00AB4407">
            <w:pPr>
              <w:pStyle w:val="Tabletext"/>
              <w:keepNext/>
              <w:rPr>
                <w:lang w:val="en-GB" w:eastAsia="en-GB"/>
              </w:rPr>
            </w:pPr>
            <w:r w:rsidRPr="00F875E6">
              <w:rPr>
                <w:lang w:val="en-GB" w:eastAsia="en-GB"/>
              </w:rPr>
              <w:t>All grades</w:t>
            </w:r>
          </w:p>
        </w:tc>
        <w:tc>
          <w:tcPr>
            <w:tcW w:w="683" w:type="pct"/>
            <w:shd w:val="clear" w:color="auto" w:fill="auto"/>
            <w:noWrap/>
            <w:vAlign w:val="center"/>
            <w:hideMark/>
          </w:tcPr>
          <w:p w:rsidR="00343B1E" w:rsidRPr="00F875E6" w:rsidRDefault="00343B1E" w:rsidP="00AB4407">
            <w:pPr>
              <w:pStyle w:val="Tabletext"/>
              <w:keepNext/>
              <w:rPr>
                <w:lang w:val="en-GB" w:eastAsia="en-GB"/>
              </w:rPr>
            </w:pPr>
            <w:r w:rsidRPr="00F875E6">
              <w:rPr>
                <w:lang w:eastAsia="en-GB"/>
              </w:rPr>
              <w:t>Re-sub</w:t>
            </w:r>
          </w:p>
        </w:tc>
        <w:tc>
          <w:tcPr>
            <w:tcW w:w="1136" w:type="pct"/>
            <w:shd w:val="clear" w:color="auto" w:fill="auto"/>
            <w:noWrap/>
            <w:vAlign w:val="center"/>
            <w:hideMark/>
          </w:tcPr>
          <w:p w:rsidR="00343B1E" w:rsidRPr="00F875E6" w:rsidRDefault="00343B1E" w:rsidP="00AB4407">
            <w:pPr>
              <w:pStyle w:val="Tabletext"/>
              <w:keepNext/>
              <w:jc w:val="center"/>
              <w:rPr>
                <w:lang w:val="en-GB" w:eastAsia="en-GB"/>
              </w:rPr>
            </w:pPr>
            <w:r w:rsidRPr="00F875E6">
              <w:rPr>
                <w:lang w:eastAsia="en-GB"/>
              </w:rPr>
              <w:t>8.1%</w:t>
            </w:r>
          </w:p>
        </w:tc>
        <w:tc>
          <w:tcPr>
            <w:tcW w:w="1116" w:type="pct"/>
            <w:shd w:val="clear" w:color="auto" w:fill="auto"/>
            <w:noWrap/>
            <w:vAlign w:val="center"/>
            <w:hideMark/>
          </w:tcPr>
          <w:p w:rsidR="00343B1E" w:rsidRPr="00F875E6" w:rsidRDefault="00343B1E" w:rsidP="00AB4407">
            <w:pPr>
              <w:pStyle w:val="Tabletext"/>
              <w:keepNext/>
              <w:jc w:val="center"/>
              <w:rPr>
                <w:lang w:val="en-GB" w:eastAsia="en-GB"/>
              </w:rPr>
            </w:pPr>
            <w:r w:rsidRPr="00F875E6">
              <w:rPr>
                <w:lang w:eastAsia="en-GB"/>
              </w:rPr>
              <w:t>24.0%</w:t>
            </w:r>
          </w:p>
        </w:tc>
        <w:tc>
          <w:tcPr>
            <w:tcW w:w="1038" w:type="pct"/>
            <w:shd w:val="clear" w:color="auto" w:fill="auto"/>
            <w:noWrap/>
            <w:vAlign w:val="center"/>
            <w:hideMark/>
          </w:tcPr>
          <w:p w:rsidR="00343B1E" w:rsidRPr="00F875E6" w:rsidRDefault="00343B1E" w:rsidP="00AB4407">
            <w:pPr>
              <w:pStyle w:val="Tabletext"/>
              <w:keepNext/>
              <w:jc w:val="center"/>
              <w:rPr>
                <w:lang w:val="en-GB" w:eastAsia="en-GB"/>
              </w:rPr>
            </w:pPr>
            <w:r w:rsidRPr="00F875E6">
              <w:rPr>
                <w:lang w:eastAsia="en-GB"/>
              </w:rPr>
              <w:t>1.7%</w:t>
            </w:r>
          </w:p>
        </w:tc>
      </w:tr>
      <w:tr w:rsidR="00343B1E" w:rsidRPr="00F875E6" w:rsidTr="007D4DD5">
        <w:trPr>
          <w:trHeight w:val="20"/>
        </w:trPr>
        <w:tc>
          <w:tcPr>
            <w:tcW w:w="1027" w:type="pct"/>
            <w:vMerge/>
            <w:shd w:val="clear" w:color="auto" w:fill="auto"/>
            <w:noWrap/>
            <w:vAlign w:val="center"/>
            <w:hideMark/>
          </w:tcPr>
          <w:p w:rsidR="00343B1E" w:rsidRPr="00F875E6" w:rsidRDefault="00343B1E" w:rsidP="00AB4407">
            <w:pPr>
              <w:pStyle w:val="Tabletext"/>
              <w:keepNext/>
              <w:rPr>
                <w:lang w:val="en-GB" w:eastAsia="en-GB"/>
              </w:rPr>
            </w:pPr>
          </w:p>
        </w:tc>
        <w:tc>
          <w:tcPr>
            <w:tcW w:w="683" w:type="pct"/>
            <w:shd w:val="clear" w:color="auto" w:fill="auto"/>
            <w:noWrap/>
            <w:vAlign w:val="center"/>
            <w:hideMark/>
          </w:tcPr>
          <w:p w:rsidR="00343B1E" w:rsidRPr="00F875E6" w:rsidRDefault="00343B1E" w:rsidP="00AB4407">
            <w:pPr>
              <w:pStyle w:val="Tabletext"/>
              <w:keepNext/>
              <w:rPr>
                <w:i/>
                <w:lang w:val="en-GB" w:eastAsia="en-GB"/>
              </w:rPr>
            </w:pPr>
            <w:r w:rsidRPr="00F875E6">
              <w:rPr>
                <w:i/>
                <w:lang w:eastAsia="en-GB"/>
              </w:rPr>
              <w:t>Com</w:t>
            </w:r>
          </w:p>
        </w:tc>
        <w:tc>
          <w:tcPr>
            <w:tcW w:w="1136" w:type="pct"/>
            <w:shd w:val="clear" w:color="auto" w:fill="auto"/>
            <w:noWrap/>
            <w:vAlign w:val="center"/>
            <w:hideMark/>
          </w:tcPr>
          <w:p w:rsidR="00343B1E" w:rsidRPr="00F875E6" w:rsidRDefault="00343B1E" w:rsidP="00AB4407">
            <w:pPr>
              <w:pStyle w:val="Tabletext"/>
              <w:keepNext/>
              <w:jc w:val="center"/>
              <w:rPr>
                <w:i/>
                <w:lang w:val="en-GB" w:eastAsia="en-GB"/>
              </w:rPr>
            </w:pPr>
            <w:r w:rsidRPr="00F875E6">
              <w:rPr>
                <w:i/>
                <w:lang w:eastAsia="en-GB"/>
              </w:rPr>
              <w:t>7.6%</w:t>
            </w:r>
          </w:p>
        </w:tc>
        <w:tc>
          <w:tcPr>
            <w:tcW w:w="1116" w:type="pct"/>
            <w:shd w:val="clear" w:color="auto" w:fill="auto"/>
            <w:noWrap/>
            <w:vAlign w:val="center"/>
            <w:hideMark/>
          </w:tcPr>
          <w:p w:rsidR="00343B1E" w:rsidRPr="00F875E6" w:rsidRDefault="00343B1E" w:rsidP="00AB4407">
            <w:pPr>
              <w:pStyle w:val="Tabletext"/>
              <w:keepNext/>
              <w:jc w:val="center"/>
              <w:rPr>
                <w:i/>
                <w:lang w:val="en-GB" w:eastAsia="en-GB"/>
              </w:rPr>
            </w:pPr>
            <w:r w:rsidRPr="00F875E6">
              <w:rPr>
                <w:i/>
                <w:lang w:eastAsia="en-GB"/>
              </w:rPr>
              <w:t>23.8%</w:t>
            </w:r>
          </w:p>
        </w:tc>
        <w:tc>
          <w:tcPr>
            <w:tcW w:w="1038" w:type="pct"/>
            <w:shd w:val="clear" w:color="auto" w:fill="auto"/>
            <w:noWrap/>
            <w:vAlign w:val="center"/>
            <w:hideMark/>
          </w:tcPr>
          <w:p w:rsidR="00343B1E" w:rsidRPr="00F875E6" w:rsidRDefault="00343B1E" w:rsidP="00AB4407">
            <w:pPr>
              <w:pStyle w:val="Tabletext"/>
              <w:keepNext/>
              <w:jc w:val="center"/>
              <w:rPr>
                <w:i/>
                <w:lang w:val="en-GB" w:eastAsia="en-GB"/>
              </w:rPr>
            </w:pPr>
            <w:r w:rsidRPr="00F875E6">
              <w:rPr>
                <w:i/>
                <w:lang w:eastAsia="en-GB"/>
              </w:rPr>
              <w:t>1.7%</w:t>
            </w:r>
          </w:p>
        </w:tc>
      </w:tr>
      <w:tr w:rsidR="00343B1E" w:rsidRPr="00F875E6" w:rsidTr="007D4DD5">
        <w:trPr>
          <w:trHeight w:val="20"/>
        </w:trPr>
        <w:tc>
          <w:tcPr>
            <w:tcW w:w="1027" w:type="pct"/>
            <w:vMerge w:val="restart"/>
            <w:shd w:val="clear" w:color="auto" w:fill="auto"/>
            <w:noWrap/>
            <w:vAlign w:val="center"/>
            <w:hideMark/>
          </w:tcPr>
          <w:p w:rsidR="00343B1E" w:rsidRPr="00F875E6" w:rsidRDefault="00343B1E" w:rsidP="00AB4407">
            <w:pPr>
              <w:pStyle w:val="Tabletext"/>
              <w:keepNext/>
              <w:rPr>
                <w:lang w:val="en-GB" w:eastAsia="en-GB"/>
              </w:rPr>
            </w:pPr>
            <w:r w:rsidRPr="00F875E6">
              <w:rPr>
                <w:lang w:val="en-GB" w:eastAsia="en-GB"/>
              </w:rPr>
              <w:t>Grade 3</w:t>
            </w:r>
            <w:r w:rsidR="008135E2" w:rsidRPr="00F875E6">
              <w:rPr>
                <w:lang w:val="en-GB" w:eastAsia="en-GB"/>
              </w:rPr>
              <w:t xml:space="preserve"> or </w:t>
            </w:r>
            <w:r w:rsidRPr="00F875E6">
              <w:rPr>
                <w:lang w:val="en-GB" w:eastAsia="en-GB"/>
              </w:rPr>
              <w:t>4</w:t>
            </w:r>
          </w:p>
        </w:tc>
        <w:tc>
          <w:tcPr>
            <w:tcW w:w="683" w:type="pct"/>
            <w:shd w:val="clear" w:color="auto" w:fill="auto"/>
            <w:noWrap/>
            <w:vAlign w:val="center"/>
            <w:hideMark/>
          </w:tcPr>
          <w:p w:rsidR="00343B1E" w:rsidRPr="00F875E6" w:rsidRDefault="00343B1E" w:rsidP="00AB4407">
            <w:pPr>
              <w:pStyle w:val="Tabletext"/>
              <w:keepNext/>
              <w:rPr>
                <w:lang w:val="en-GB" w:eastAsia="en-GB"/>
              </w:rPr>
            </w:pPr>
            <w:r w:rsidRPr="00F875E6">
              <w:rPr>
                <w:lang w:eastAsia="en-GB"/>
              </w:rPr>
              <w:t>Re-sub</w:t>
            </w:r>
          </w:p>
        </w:tc>
        <w:tc>
          <w:tcPr>
            <w:tcW w:w="1136" w:type="pct"/>
            <w:shd w:val="clear" w:color="auto" w:fill="auto"/>
            <w:noWrap/>
            <w:vAlign w:val="center"/>
            <w:hideMark/>
          </w:tcPr>
          <w:p w:rsidR="00343B1E" w:rsidRPr="00F875E6" w:rsidRDefault="00343B1E" w:rsidP="00AB4407">
            <w:pPr>
              <w:pStyle w:val="Tabletext"/>
              <w:keepNext/>
              <w:jc w:val="center"/>
              <w:rPr>
                <w:lang w:val="en-GB" w:eastAsia="en-GB"/>
              </w:rPr>
            </w:pPr>
            <w:r w:rsidRPr="00F875E6">
              <w:rPr>
                <w:lang w:eastAsia="en-GB"/>
              </w:rPr>
              <w:t>1.7%</w:t>
            </w:r>
          </w:p>
        </w:tc>
        <w:tc>
          <w:tcPr>
            <w:tcW w:w="1116" w:type="pct"/>
            <w:shd w:val="clear" w:color="auto" w:fill="auto"/>
            <w:noWrap/>
            <w:vAlign w:val="center"/>
            <w:hideMark/>
          </w:tcPr>
          <w:p w:rsidR="00343B1E" w:rsidRPr="00F875E6" w:rsidRDefault="00343B1E" w:rsidP="00AB4407">
            <w:pPr>
              <w:pStyle w:val="Tabletext"/>
              <w:keepNext/>
              <w:jc w:val="center"/>
              <w:rPr>
                <w:lang w:val="en-GB" w:eastAsia="en-GB"/>
              </w:rPr>
            </w:pPr>
            <w:r w:rsidRPr="00F875E6">
              <w:rPr>
                <w:lang w:eastAsia="en-GB"/>
              </w:rPr>
              <w:t>2.7%</w:t>
            </w:r>
          </w:p>
        </w:tc>
        <w:tc>
          <w:tcPr>
            <w:tcW w:w="1038" w:type="pct"/>
            <w:shd w:val="clear" w:color="auto" w:fill="auto"/>
            <w:noWrap/>
            <w:vAlign w:val="center"/>
            <w:hideMark/>
          </w:tcPr>
          <w:p w:rsidR="00343B1E" w:rsidRPr="00F875E6" w:rsidRDefault="00343B1E" w:rsidP="00AB4407">
            <w:pPr>
              <w:pStyle w:val="Tabletext"/>
              <w:keepNext/>
              <w:jc w:val="center"/>
              <w:rPr>
                <w:lang w:val="en-GB" w:eastAsia="en-GB"/>
              </w:rPr>
            </w:pPr>
            <w:r w:rsidRPr="00F875E6">
              <w:rPr>
                <w:lang w:eastAsia="en-GB"/>
              </w:rPr>
              <w:t>0.4%</w:t>
            </w:r>
          </w:p>
        </w:tc>
      </w:tr>
      <w:tr w:rsidR="00343B1E" w:rsidRPr="00F875E6" w:rsidTr="007D4DD5">
        <w:trPr>
          <w:trHeight w:val="20"/>
        </w:trPr>
        <w:tc>
          <w:tcPr>
            <w:tcW w:w="1027" w:type="pct"/>
            <w:vMerge/>
            <w:shd w:val="clear" w:color="auto" w:fill="auto"/>
            <w:noWrap/>
            <w:vAlign w:val="center"/>
            <w:hideMark/>
          </w:tcPr>
          <w:p w:rsidR="00343B1E" w:rsidRPr="00F875E6" w:rsidRDefault="00343B1E" w:rsidP="00AB4407">
            <w:pPr>
              <w:pStyle w:val="Tabletext"/>
              <w:keepNext/>
              <w:rPr>
                <w:lang w:val="en-GB" w:eastAsia="en-GB"/>
              </w:rPr>
            </w:pPr>
          </w:p>
        </w:tc>
        <w:tc>
          <w:tcPr>
            <w:tcW w:w="683" w:type="pct"/>
            <w:shd w:val="clear" w:color="auto" w:fill="auto"/>
            <w:noWrap/>
            <w:vAlign w:val="center"/>
            <w:hideMark/>
          </w:tcPr>
          <w:p w:rsidR="00343B1E" w:rsidRPr="00F875E6" w:rsidRDefault="00343B1E" w:rsidP="00AB4407">
            <w:pPr>
              <w:pStyle w:val="Tabletext"/>
              <w:keepNext/>
              <w:rPr>
                <w:i/>
                <w:lang w:val="en-GB" w:eastAsia="en-GB"/>
              </w:rPr>
            </w:pPr>
            <w:r w:rsidRPr="00F875E6">
              <w:rPr>
                <w:i/>
                <w:lang w:eastAsia="en-GB"/>
              </w:rPr>
              <w:t>Com</w:t>
            </w:r>
          </w:p>
        </w:tc>
        <w:tc>
          <w:tcPr>
            <w:tcW w:w="1136" w:type="pct"/>
            <w:shd w:val="clear" w:color="auto" w:fill="auto"/>
            <w:noWrap/>
            <w:vAlign w:val="center"/>
            <w:hideMark/>
          </w:tcPr>
          <w:p w:rsidR="00343B1E" w:rsidRPr="00F875E6" w:rsidRDefault="00343B1E" w:rsidP="00AB4407">
            <w:pPr>
              <w:pStyle w:val="Tabletext"/>
              <w:keepNext/>
              <w:jc w:val="center"/>
              <w:rPr>
                <w:i/>
                <w:lang w:val="en-GB" w:eastAsia="en-GB"/>
              </w:rPr>
            </w:pPr>
            <w:r w:rsidRPr="00F875E6">
              <w:rPr>
                <w:i/>
                <w:lang w:eastAsia="en-GB"/>
              </w:rPr>
              <w:t>1.4%</w:t>
            </w:r>
          </w:p>
        </w:tc>
        <w:tc>
          <w:tcPr>
            <w:tcW w:w="1116" w:type="pct"/>
            <w:shd w:val="clear" w:color="auto" w:fill="auto"/>
            <w:noWrap/>
            <w:vAlign w:val="center"/>
            <w:hideMark/>
          </w:tcPr>
          <w:p w:rsidR="00343B1E" w:rsidRPr="00F875E6" w:rsidRDefault="00343B1E" w:rsidP="00AB4407">
            <w:pPr>
              <w:pStyle w:val="Tabletext"/>
              <w:keepNext/>
              <w:jc w:val="center"/>
              <w:rPr>
                <w:i/>
                <w:lang w:val="en-GB" w:eastAsia="en-GB"/>
              </w:rPr>
            </w:pPr>
            <w:r w:rsidRPr="00F875E6">
              <w:rPr>
                <w:i/>
                <w:lang w:eastAsia="en-GB"/>
              </w:rPr>
              <w:t>0.6%</w:t>
            </w:r>
          </w:p>
        </w:tc>
        <w:tc>
          <w:tcPr>
            <w:tcW w:w="1038" w:type="pct"/>
            <w:shd w:val="clear" w:color="auto" w:fill="auto"/>
            <w:noWrap/>
            <w:vAlign w:val="center"/>
            <w:hideMark/>
          </w:tcPr>
          <w:p w:rsidR="00343B1E" w:rsidRPr="00F875E6" w:rsidRDefault="00343B1E" w:rsidP="00AB4407">
            <w:pPr>
              <w:pStyle w:val="Tabletext"/>
              <w:keepNext/>
              <w:jc w:val="center"/>
              <w:rPr>
                <w:i/>
                <w:lang w:val="en-GB" w:eastAsia="en-GB"/>
              </w:rPr>
            </w:pPr>
            <w:r w:rsidRPr="00F875E6">
              <w:rPr>
                <w:i/>
                <w:lang w:eastAsia="en-GB"/>
              </w:rPr>
              <w:t>0.4%</w:t>
            </w:r>
          </w:p>
        </w:tc>
      </w:tr>
    </w:tbl>
    <w:p w:rsidR="00663C29" w:rsidRPr="00F875E6" w:rsidRDefault="00663C29" w:rsidP="00AB4407">
      <w:pPr>
        <w:pStyle w:val="TableFooter"/>
        <w:keepNext/>
        <w:widowControl/>
        <w:ind w:firstLine="720"/>
      </w:pPr>
      <w:r w:rsidRPr="00F875E6">
        <w:t>Source: Compiled during evaluation</w:t>
      </w:r>
      <w:r w:rsidR="00B32B26" w:rsidRPr="00F875E6">
        <w:t>.</w:t>
      </w:r>
    </w:p>
    <w:p w:rsidR="00B32B26" w:rsidRPr="00F875E6" w:rsidRDefault="00B32B26" w:rsidP="00AB4407">
      <w:pPr>
        <w:pStyle w:val="TableFooter"/>
        <w:keepNext/>
        <w:widowControl/>
        <w:ind w:firstLine="720"/>
      </w:pPr>
      <w:r w:rsidRPr="00F875E6">
        <w:t xml:space="preserve">Com = commentary; Re-sub = resubmission; </w:t>
      </w:r>
      <w:r w:rsidRPr="00F875E6">
        <w:rPr>
          <w:i/>
        </w:rPr>
        <w:t>italic</w:t>
      </w:r>
      <w:r w:rsidR="001A6284" w:rsidRPr="00F875E6">
        <w:rPr>
          <w:i/>
        </w:rPr>
        <w:t>s</w:t>
      </w:r>
      <w:r w:rsidRPr="00F875E6">
        <w:t xml:space="preserve"> = estimated during evaluation.</w:t>
      </w:r>
    </w:p>
    <w:p w:rsidR="00B32B26" w:rsidRPr="00F875E6" w:rsidRDefault="00B32B26" w:rsidP="00AB4407">
      <w:pPr>
        <w:pStyle w:val="TableFooter"/>
        <w:keepNext/>
        <w:widowControl/>
        <w:ind w:left="709" w:firstLine="11"/>
      </w:pPr>
      <w:r w:rsidRPr="00F875E6">
        <w:t xml:space="preserve">Note: In the list of studies reviewed by the re-submission, only studies with follow-up similar to the PACE study (27 months) were included during evaluation (follow-up from 24 to 36 months). Rates for pleural effusions and vascular occlusive events are presented in </w:t>
      </w:r>
      <w:r w:rsidRPr="00F875E6">
        <w:rPr>
          <w:i/>
        </w:rPr>
        <w:t>italic</w:t>
      </w:r>
      <w:r w:rsidRPr="00F875E6">
        <w:t>.</w:t>
      </w:r>
    </w:p>
    <w:p w:rsidR="00B05989" w:rsidRPr="00F875E6" w:rsidRDefault="00B05989" w:rsidP="003F030E"/>
    <w:p w:rsidR="00DA044F" w:rsidRPr="00F875E6" w:rsidRDefault="00DA044F" w:rsidP="00F033A6">
      <w:pPr>
        <w:pStyle w:val="ListParagraph"/>
        <w:widowControl/>
        <w:numPr>
          <w:ilvl w:val="1"/>
          <w:numId w:val="4"/>
        </w:numPr>
      </w:pPr>
      <w:r w:rsidRPr="00F875E6">
        <w:t>When identifying studies in the literature, the re-submission did not provide the search strategies, and selected studies with different follow-up lengths</w:t>
      </w:r>
      <w:r w:rsidR="004D076D" w:rsidRPr="00F875E6">
        <w:t xml:space="preserve"> and potentially with different baseline cardiac risk</w:t>
      </w:r>
      <w:r w:rsidRPr="00F875E6">
        <w:t xml:space="preserve">. </w:t>
      </w:r>
      <w:r w:rsidR="00775E3F" w:rsidRPr="00F875E6">
        <w:t xml:space="preserve">This was not appropriate. </w:t>
      </w:r>
      <w:r w:rsidR="00387ACD" w:rsidRPr="00F875E6">
        <w:t>For the rates calculated d</w:t>
      </w:r>
      <w:r w:rsidR="00775E3F" w:rsidRPr="00F875E6">
        <w:t xml:space="preserve">uring evaluation, </w:t>
      </w:r>
      <w:r w:rsidR="00821CAC" w:rsidRPr="00F875E6">
        <w:t xml:space="preserve">only </w:t>
      </w:r>
      <w:r w:rsidR="00775E3F" w:rsidRPr="00F875E6">
        <w:t>studies with similar follow-up periods were selected.</w:t>
      </w:r>
      <w:r w:rsidR="00313846" w:rsidRPr="00F875E6">
        <w:t xml:space="preserve"> Using this approach, ponatinib was associated with more vascular occlusive events (all grade</w:t>
      </w:r>
      <w:r w:rsidR="003E4510" w:rsidRPr="00F875E6">
        <w:t>s</w:t>
      </w:r>
      <w:r w:rsidR="00313846" w:rsidRPr="00F875E6">
        <w:t xml:space="preserve"> and Grade 3 or 4) and pleural effusions (Grade 3 or 4) compared with dasatinib or nilotinib. Ponatinib was associated with fewer all grade</w:t>
      </w:r>
      <w:r w:rsidR="003E4510" w:rsidRPr="00F875E6">
        <w:t>s</w:t>
      </w:r>
      <w:r w:rsidR="00313846" w:rsidRPr="00F875E6">
        <w:t xml:space="preserve"> pleural effusions than dasatinib.</w:t>
      </w:r>
      <w:r w:rsidR="008715E5" w:rsidRPr="00F875E6">
        <w:t xml:space="preserve"> </w:t>
      </w:r>
      <w:r w:rsidR="004515CA" w:rsidRPr="00F875E6">
        <w:t xml:space="preserve">The PSCR disagreed with the exclusion of some of the trials and inclusion of Giles et al. (2013), Larson et al. (2012), and Castagnetti et al. (2014) in the </w:t>
      </w:r>
      <w:r w:rsidR="00356A01" w:rsidRPr="00F875E6">
        <w:t xml:space="preserve">evaluation’s </w:t>
      </w:r>
      <w:r w:rsidR="004515CA" w:rsidRPr="00F875E6">
        <w:t xml:space="preserve">analyses </w:t>
      </w:r>
      <w:r w:rsidR="00356A01" w:rsidRPr="00F875E6">
        <w:t>of</w:t>
      </w:r>
      <w:r w:rsidR="004515CA" w:rsidRPr="00F875E6">
        <w:t xml:space="preserve"> estimation of the incidence of vascular occlusive events, and argues that inclusion of these significantly underestimate the incidence of vascular occlusive events in nilotinib treated patients.</w:t>
      </w:r>
    </w:p>
    <w:p w:rsidR="00BD302A" w:rsidRPr="00F875E6" w:rsidRDefault="00BD302A" w:rsidP="003F030E"/>
    <w:p w:rsidR="00BD302A" w:rsidRPr="00F875E6" w:rsidRDefault="00BD302A" w:rsidP="009E1789">
      <w:pPr>
        <w:pStyle w:val="Heading2"/>
        <w:keepNext/>
        <w:widowControl/>
        <w:rPr>
          <w:i/>
          <w:szCs w:val="22"/>
        </w:rPr>
      </w:pPr>
      <w:bookmarkStart w:id="11" w:name="_Toc419470601"/>
      <w:r w:rsidRPr="00F875E6">
        <w:rPr>
          <w:i/>
        </w:rPr>
        <w:t>Benefits/harms</w:t>
      </w:r>
      <w:bookmarkEnd w:id="11"/>
    </w:p>
    <w:p w:rsidR="00BD302A" w:rsidRPr="00F875E6" w:rsidRDefault="00BD302A" w:rsidP="009E1789">
      <w:pPr>
        <w:pStyle w:val="ListParagraph"/>
        <w:keepNext/>
        <w:widowControl/>
        <w:rPr>
          <w:szCs w:val="22"/>
        </w:rPr>
      </w:pPr>
    </w:p>
    <w:p w:rsidR="00856839" w:rsidRPr="00F875E6" w:rsidRDefault="00856839" w:rsidP="009E1789">
      <w:pPr>
        <w:pStyle w:val="ListParagraph"/>
        <w:keepNext/>
        <w:widowControl/>
        <w:numPr>
          <w:ilvl w:val="1"/>
          <w:numId w:val="4"/>
        </w:numPr>
        <w:rPr>
          <w:szCs w:val="22"/>
        </w:rPr>
      </w:pPr>
      <w:r w:rsidRPr="00F875E6">
        <w:rPr>
          <w:szCs w:val="22"/>
        </w:rPr>
        <w:t xml:space="preserve">A summary of the comparative benefits and harms for ponatinib versus dasatinib and nilotinib is presented in Table </w:t>
      </w:r>
      <w:r w:rsidR="001262FE" w:rsidRPr="00F875E6">
        <w:rPr>
          <w:szCs w:val="22"/>
        </w:rPr>
        <w:t>7</w:t>
      </w:r>
      <w:r w:rsidRPr="00F875E6">
        <w:rPr>
          <w:szCs w:val="22"/>
        </w:rPr>
        <w:t>.</w:t>
      </w:r>
    </w:p>
    <w:p w:rsidR="00856839" w:rsidRPr="00F875E6" w:rsidRDefault="00856839" w:rsidP="00856839">
      <w:pPr>
        <w:widowControl/>
        <w:rPr>
          <w:szCs w:val="22"/>
        </w:rPr>
      </w:pPr>
    </w:p>
    <w:p w:rsidR="0045342E" w:rsidRPr="00F875E6" w:rsidRDefault="0045342E" w:rsidP="00A76AD8">
      <w:pPr>
        <w:keepNext/>
        <w:ind w:left="720"/>
        <w:rPr>
          <w:rStyle w:val="CommentReference"/>
        </w:rPr>
      </w:pPr>
      <w:r w:rsidRPr="00F875E6">
        <w:rPr>
          <w:rStyle w:val="CommentReference"/>
        </w:rPr>
        <w:t xml:space="preserve">Table 7: Summary of comparative benefits and harms for ponatinib versus dasatinib and nilotinib </w:t>
      </w:r>
    </w:p>
    <w:tbl>
      <w:tblPr>
        <w:tblStyle w:val="TableGrid"/>
        <w:tblW w:w="4621" w:type="pct"/>
        <w:tblInd w:w="705" w:type="dxa"/>
        <w:tblLayout w:type="fixed"/>
        <w:tblCellMar>
          <w:left w:w="28" w:type="dxa"/>
          <w:right w:w="28" w:type="dxa"/>
        </w:tblCellMar>
        <w:tblLook w:val="04A0" w:firstRow="1" w:lastRow="0" w:firstColumn="1" w:lastColumn="0" w:noHBand="0" w:noVBand="1"/>
        <w:tblCaption w:val="Table 7: Summary of comparative benefits and harms for ponatinib versus dasatinib and nilotinib"/>
        <w:tblDescription w:val="The table shows the summary of  comparative benefits and harms for ponatinib versus dasatinib and nilotinib"/>
      </w:tblPr>
      <w:tblGrid>
        <w:gridCol w:w="1876"/>
        <w:gridCol w:w="1133"/>
        <w:gridCol w:w="1133"/>
        <w:gridCol w:w="1137"/>
        <w:gridCol w:w="1140"/>
        <w:gridCol w:w="1006"/>
        <w:gridCol w:w="970"/>
      </w:tblGrid>
      <w:tr w:rsidR="0045342E" w:rsidRPr="00F875E6" w:rsidTr="003B22B8">
        <w:trPr>
          <w:trHeight w:val="150"/>
          <w:tblHeader/>
        </w:trPr>
        <w:tc>
          <w:tcPr>
            <w:tcW w:w="1117" w:type="pct"/>
            <w:vMerge w:val="restart"/>
            <w:shd w:val="clear" w:color="auto" w:fill="auto"/>
            <w:vAlign w:val="center"/>
          </w:tcPr>
          <w:p w:rsidR="0045342E" w:rsidRPr="00F875E6" w:rsidRDefault="0045342E" w:rsidP="00A76AD8">
            <w:pPr>
              <w:keepNext/>
              <w:rPr>
                <w:rFonts w:ascii="Arial Narrow" w:hAnsi="Arial Narrow"/>
                <w:b/>
                <w:color w:val="000000"/>
                <w:sz w:val="20"/>
                <w:szCs w:val="18"/>
              </w:rPr>
            </w:pPr>
            <w:r w:rsidRPr="00F875E6">
              <w:rPr>
                <w:rFonts w:ascii="Arial Narrow" w:hAnsi="Arial Narrow"/>
                <w:b/>
                <w:color w:val="000000"/>
                <w:sz w:val="20"/>
                <w:szCs w:val="18"/>
              </w:rPr>
              <w:t>Study</w:t>
            </w:r>
          </w:p>
        </w:tc>
        <w:tc>
          <w:tcPr>
            <w:tcW w:w="675" w:type="pct"/>
            <w:vMerge w:val="restart"/>
            <w:vAlign w:val="center"/>
          </w:tcPr>
          <w:p w:rsidR="0045342E" w:rsidRPr="00F875E6" w:rsidRDefault="0045342E" w:rsidP="00A76AD8">
            <w:pPr>
              <w:keepNext/>
              <w:jc w:val="center"/>
              <w:rPr>
                <w:rFonts w:ascii="Arial Narrow" w:hAnsi="Arial Narrow"/>
                <w:b/>
                <w:color w:val="000000"/>
                <w:sz w:val="20"/>
                <w:szCs w:val="18"/>
              </w:rPr>
            </w:pPr>
            <w:r w:rsidRPr="00F875E6">
              <w:rPr>
                <w:rFonts w:ascii="Arial Narrow" w:hAnsi="Arial Narrow"/>
                <w:b/>
                <w:color w:val="000000"/>
                <w:sz w:val="20"/>
                <w:szCs w:val="18"/>
              </w:rPr>
              <w:t>Ponatinib</w:t>
            </w:r>
          </w:p>
        </w:tc>
        <w:tc>
          <w:tcPr>
            <w:tcW w:w="675" w:type="pct"/>
            <w:vMerge w:val="restart"/>
            <w:vAlign w:val="center"/>
          </w:tcPr>
          <w:p w:rsidR="0045342E" w:rsidRPr="00F875E6" w:rsidRDefault="0045342E" w:rsidP="00A76AD8">
            <w:pPr>
              <w:keepNext/>
              <w:jc w:val="center"/>
              <w:rPr>
                <w:rFonts w:ascii="Arial Narrow" w:hAnsi="Arial Narrow"/>
                <w:b/>
                <w:color w:val="000000"/>
                <w:sz w:val="20"/>
                <w:szCs w:val="18"/>
              </w:rPr>
            </w:pPr>
            <w:r w:rsidRPr="00F875E6">
              <w:rPr>
                <w:rFonts w:ascii="Arial Narrow" w:hAnsi="Arial Narrow"/>
                <w:b/>
                <w:color w:val="000000"/>
                <w:sz w:val="20"/>
                <w:szCs w:val="18"/>
              </w:rPr>
              <w:t>Dasatinib</w:t>
            </w:r>
          </w:p>
        </w:tc>
        <w:tc>
          <w:tcPr>
            <w:tcW w:w="677" w:type="pct"/>
            <w:vMerge w:val="restart"/>
            <w:tcBorders>
              <w:right w:val="double" w:sz="4" w:space="0" w:color="auto"/>
            </w:tcBorders>
            <w:vAlign w:val="center"/>
          </w:tcPr>
          <w:p w:rsidR="0045342E" w:rsidRPr="00F875E6" w:rsidRDefault="0045342E" w:rsidP="00A76AD8">
            <w:pPr>
              <w:keepNext/>
              <w:jc w:val="center"/>
              <w:rPr>
                <w:rFonts w:ascii="Arial Narrow" w:hAnsi="Arial Narrow"/>
                <w:b/>
                <w:color w:val="000000"/>
                <w:sz w:val="20"/>
                <w:szCs w:val="18"/>
              </w:rPr>
            </w:pPr>
            <w:r w:rsidRPr="00F875E6">
              <w:rPr>
                <w:rFonts w:ascii="Arial Narrow" w:hAnsi="Arial Narrow"/>
                <w:b/>
                <w:color w:val="000000"/>
                <w:sz w:val="20"/>
                <w:szCs w:val="18"/>
              </w:rPr>
              <w:t>Nilotinib</w:t>
            </w:r>
          </w:p>
        </w:tc>
        <w:tc>
          <w:tcPr>
            <w:tcW w:w="1856" w:type="pct"/>
            <w:gridSpan w:val="3"/>
            <w:tcBorders>
              <w:left w:val="double" w:sz="4" w:space="0" w:color="auto"/>
            </w:tcBorders>
            <w:vAlign w:val="center"/>
          </w:tcPr>
          <w:p w:rsidR="0045342E" w:rsidRPr="00F875E6" w:rsidRDefault="0045342E" w:rsidP="00A76AD8">
            <w:pPr>
              <w:keepNext/>
              <w:jc w:val="center"/>
              <w:rPr>
                <w:rFonts w:ascii="Arial Narrow" w:hAnsi="Arial Narrow"/>
                <w:b/>
                <w:color w:val="000000"/>
                <w:sz w:val="20"/>
                <w:szCs w:val="18"/>
              </w:rPr>
            </w:pPr>
            <w:r w:rsidRPr="00F875E6">
              <w:rPr>
                <w:rFonts w:ascii="Arial Narrow" w:hAnsi="Arial Narrow"/>
                <w:b/>
                <w:color w:val="000000"/>
                <w:sz w:val="20"/>
                <w:szCs w:val="18"/>
              </w:rPr>
              <w:t xml:space="preserve">Event rate/100 patients </w:t>
            </w:r>
          </w:p>
        </w:tc>
      </w:tr>
      <w:tr w:rsidR="0045342E" w:rsidRPr="00F875E6" w:rsidTr="003B22B8">
        <w:trPr>
          <w:trHeight w:val="315"/>
          <w:tblHeader/>
        </w:trPr>
        <w:tc>
          <w:tcPr>
            <w:tcW w:w="1117" w:type="pct"/>
            <w:vMerge/>
            <w:tcBorders>
              <w:bottom w:val="single" w:sz="4" w:space="0" w:color="auto"/>
            </w:tcBorders>
            <w:shd w:val="clear" w:color="auto" w:fill="auto"/>
            <w:vAlign w:val="center"/>
          </w:tcPr>
          <w:p w:rsidR="0045342E" w:rsidRPr="00F875E6" w:rsidRDefault="0045342E" w:rsidP="00A76AD8">
            <w:pPr>
              <w:keepNext/>
              <w:rPr>
                <w:rFonts w:ascii="Arial Narrow" w:hAnsi="Arial Narrow"/>
                <w:b/>
                <w:color w:val="000000"/>
                <w:sz w:val="20"/>
                <w:szCs w:val="18"/>
              </w:rPr>
            </w:pPr>
          </w:p>
        </w:tc>
        <w:tc>
          <w:tcPr>
            <w:tcW w:w="675" w:type="pct"/>
            <w:vMerge/>
            <w:tcBorders>
              <w:bottom w:val="single" w:sz="4" w:space="0" w:color="auto"/>
            </w:tcBorders>
            <w:vAlign w:val="center"/>
          </w:tcPr>
          <w:p w:rsidR="0045342E" w:rsidRPr="00F875E6" w:rsidRDefault="0045342E" w:rsidP="00A76AD8">
            <w:pPr>
              <w:keepNext/>
              <w:jc w:val="center"/>
              <w:rPr>
                <w:rFonts w:ascii="Arial Narrow" w:hAnsi="Arial Narrow"/>
                <w:b/>
                <w:color w:val="000000"/>
                <w:sz w:val="20"/>
                <w:szCs w:val="18"/>
              </w:rPr>
            </w:pPr>
          </w:p>
        </w:tc>
        <w:tc>
          <w:tcPr>
            <w:tcW w:w="675" w:type="pct"/>
            <w:vMerge/>
            <w:tcBorders>
              <w:bottom w:val="single" w:sz="4" w:space="0" w:color="auto"/>
            </w:tcBorders>
            <w:vAlign w:val="center"/>
          </w:tcPr>
          <w:p w:rsidR="0045342E" w:rsidRPr="00F875E6" w:rsidRDefault="0045342E" w:rsidP="00A76AD8">
            <w:pPr>
              <w:keepNext/>
              <w:jc w:val="center"/>
              <w:rPr>
                <w:rFonts w:ascii="Arial Narrow" w:hAnsi="Arial Narrow"/>
                <w:b/>
                <w:color w:val="000000"/>
                <w:sz w:val="20"/>
                <w:szCs w:val="18"/>
              </w:rPr>
            </w:pPr>
          </w:p>
        </w:tc>
        <w:tc>
          <w:tcPr>
            <w:tcW w:w="677" w:type="pct"/>
            <w:vMerge/>
            <w:tcBorders>
              <w:bottom w:val="single" w:sz="4" w:space="0" w:color="auto"/>
              <w:right w:val="double" w:sz="4" w:space="0" w:color="auto"/>
            </w:tcBorders>
            <w:vAlign w:val="center"/>
          </w:tcPr>
          <w:p w:rsidR="0045342E" w:rsidRPr="00F875E6" w:rsidRDefault="0045342E" w:rsidP="00A76AD8">
            <w:pPr>
              <w:keepNext/>
              <w:jc w:val="center"/>
              <w:rPr>
                <w:rFonts w:ascii="Arial Narrow" w:hAnsi="Arial Narrow"/>
                <w:b/>
                <w:color w:val="000000"/>
                <w:sz w:val="20"/>
                <w:szCs w:val="18"/>
              </w:rPr>
            </w:pPr>
          </w:p>
        </w:tc>
        <w:tc>
          <w:tcPr>
            <w:tcW w:w="679" w:type="pct"/>
            <w:tcBorders>
              <w:left w:val="double" w:sz="4" w:space="0" w:color="auto"/>
              <w:bottom w:val="single" w:sz="4" w:space="0" w:color="auto"/>
            </w:tcBorders>
            <w:vAlign w:val="center"/>
          </w:tcPr>
          <w:p w:rsidR="0045342E" w:rsidRPr="00F875E6" w:rsidRDefault="0045342E" w:rsidP="00A76AD8">
            <w:pPr>
              <w:keepNext/>
              <w:jc w:val="center"/>
              <w:rPr>
                <w:rFonts w:ascii="Arial Narrow" w:hAnsi="Arial Narrow"/>
                <w:b/>
                <w:color w:val="000000"/>
                <w:sz w:val="20"/>
                <w:szCs w:val="18"/>
              </w:rPr>
            </w:pPr>
            <w:r w:rsidRPr="00F875E6">
              <w:rPr>
                <w:rFonts w:ascii="Arial Narrow" w:hAnsi="Arial Narrow"/>
                <w:b/>
                <w:color w:val="000000"/>
                <w:sz w:val="20"/>
                <w:szCs w:val="18"/>
              </w:rPr>
              <w:t>Ponatinib</w:t>
            </w:r>
          </w:p>
        </w:tc>
        <w:tc>
          <w:tcPr>
            <w:tcW w:w="599" w:type="pct"/>
            <w:tcBorders>
              <w:bottom w:val="single" w:sz="4" w:space="0" w:color="auto"/>
            </w:tcBorders>
            <w:vAlign w:val="center"/>
          </w:tcPr>
          <w:p w:rsidR="0045342E" w:rsidRPr="00F875E6" w:rsidRDefault="0045342E" w:rsidP="00A76AD8">
            <w:pPr>
              <w:keepNext/>
              <w:jc w:val="center"/>
              <w:rPr>
                <w:rFonts w:ascii="Arial Narrow" w:hAnsi="Arial Narrow"/>
                <w:b/>
                <w:color w:val="000000"/>
                <w:sz w:val="20"/>
                <w:szCs w:val="18"/>
              </w:rPr>
            </w:pPr>
            <w:r w:rsidRPr="00F875E6">
              <w:rPr>
                <w:rFonts w:ascii="Arial Narrow" w:hAnsi="Arial Narrow"/>
                <w:b/>
                <w:color w:val="000000"/>
                <w:sz w:val="20"/>
                <w:szCs w:val="18"/>
              </w:rPr>
              <w:t>Dasatinib</w:t>
            </w:r>
          </w:p>
        </w:tc>
        <w:tc>
          <w:tcPr>
            <w:tcW w:w="578" w:type="pct"/>
            <w:tcBorders>
              <w:bottom w:val="single" w:sz="4" w:space="0" w:color="auto"/>
            </w:tcBorders>
            <w:vAlign w:val="center"/>
          </w:tcPr>
          <w:p w:rsidR="0045342E" w:rsidRPr="00F875E6" w:rsidRDefault="0045342E" w:rsidP="00A76AD8">
            <w:pPr>
              <w:keepNext/>
              <w:jc w:val="center"/>
              <w:rPr>
                <w:rFonts w:ascii="Arial Narrow" w:hAnsi="Arial Narrow"/>
                <w:b/>
                <w:color w:val="000000"/>
                <w:sz w:val="20"/>
                <w:szCs w:val="18"/>
              </w:rPr>
            </w:pPr>
            <w:r w:rsidRPr="00F875E6">
              <w:rPr>
                <w:rFonts w:ascii="Arial Narrow" w:hAnsi="Arial Narrow"/>
                <w:b/>
                <w:color w:val="000000"/>
                <w:sz w:val="20"/>
                <w:szCs w:val="18"/>
              </w:rPr>
              <w:t>Nilotinib</w:t>
            </w:r>
          </w:p>
        </w:tc>
      </w:tr>
      <w:tr w:rsidR="0045342E" w:rsidRPr="00F875E6" w:rsidTr="003B22B8">
        <w:tc>
          <w:tcPr>
            <w:tcW w:w="5000" w:type="pct"/>
            <w:gridSpan w:val="7"/>
            <w:tcBorders>
              <w:bottom w:val="single" w:sz="4" w:space="0" w:color="auto"/>
            </w:tcBorders>
            <w:shd w:val="clear" w:color="auto" w:fill="auto"/>
            <w:vAlign w:val="center"/>
          </w:tcPr>
          <w:p w:rsidR="0045342E" w:rsidRPr="00F875E6" w:rsidRDefault="0045342E" w:rsidP="00A76AD8">
            <w:pPr>
              <w:keepNext/>
              <w:rPr>
                <w:rFonts w:ascii="Arial Narrow" w:hAnsi="Arial Narrow"/>
                <w:b/>
                <w:color w:val="000000"/>
                <w:sz w:val="20"/>
                <w:szCs w:val="18"/>
              </w:rPr>
            </w:pPr>
            <w:r w:rsidRPr="00F875E6">
              <w:rPr>
                <w:rFonts w:ascii="Arial Narrow" w:hAnsi="Arial Narrow"/>
                <w:b/>
                <w:color w:val="000000"/>
                <w:sz w:val="20"/>
                <w:szCs w:val="18"/>
              </w:rPr>
              <w:t>BENEFITS</w:t>
            </w:r>
          </w:p>
        </w:tc>
      </w:tr>
      <w:tr w:rsidR="0045342E" w:rsidRPr="00F875E6" w:rsidTr="003B22B8">
        <w:tc>
          <w:tcPr>
            <w:tcW w:w="5000" w:type="pct"/>
            <w:gridSpan w:val="7"/>
            <w:tcBorders>
              <w:top w:val="single" w:sz="4" w:space="0" w:color="auto"/>
            </w:tcBorders>
            <w:shd w:val="clear" w:color="auto" w:fill="auto"/>
            <w:vAlign w:val="center"/>
          </w:tcPr>
          <w:p w:rsidR="0045342E" w:rsidRPr="00F875E6" w:rsidRDefault="0045342E" w:rsidP="00A76AD8">
            <w:pPr>
              <w:keepNext/>
              <w:rPr>
                <w:rFonts w:ascii="Arial Narrow" w:hAnsi="Arial Narrow"/>
                <w:b/>
                <w:color w:val="000000"/>
                <w:sz w:val="20"/>
                <w:szCs w:val="18"/>
              </w:rPr>
            </w:pPr>
            <w:r w:rsidRPr="00F875E6">
              <w:rPr>
                <w:rFonts w:ascii="Arial Narrow" w:hAnsi="Arial Narrow"/>
                <w:b/>
                <w:color w:val="000000"/>
                <w:sz w:val="20"/>
                <w:szCs w:val="18"/>
              </w:rPr>
              <w:t xml:space="preserve">Chronic phase CML </w:t>
            </w:r>
            <w:r w:rsidR="00346650" w:rsidRPr="00F875E6">
              <w:rPr>
                <w:rFonts w:ascii="Arial Narrow" w:hAnsi="Arial Narrow"/>
                <w:b/>
                <w:color w:val="000000"/>
                <w:sz w:val="20"/>
                <w:szCs w:val="18"/>
              </w:rPr>
              <w:t>–</w:t>
            </w:r>
            <w:r w:rsidRPr="00F875E6">
              <w:rPr>
                <w:rFonts w:ascii="Arial Narrow" w:hAnsi="Arial Narrow"/>
                <w:b/>
                <w:color w:val="000000"/>
                <w:sz w:val="20"/>
                <w:szCs w:val="18"/>
              </w:rPr>
              <w:t xml:space="preserve"> M</w:t>
            </w:r>
            <w:r w:rsidR="00346650" w:rsidRPr="00F875E6">
              <w:rPr>
                <w:rFonts w:ascii="Arial Narrow" w:hAnsi="Arial Narrow"/>
                <w:b/>
                <w:color w:val="000000"/>
                <w:sz w:val="20"/>
                <w:szCs w:val="18"/>
              </w:rPr>
              <w:t>c</w:t>
            </w:r>
            <w:r w:rsidRPr="00F875E6">
              <w:rPr>
                <w:rFonts w:ascii="Arial Narrow" w:hAnsi="Arial Narrow"/>
                <w:b/>
                <w:color w:val="000000"/>
                <w:sz w:val="20"/>
                <w:szCs w:val="18"/>
              </w:rPr>
              <w:t>yR</w:t>
            </w:r>
          </w:p>
        </w:tc>
      </w:tr>
      <w:tr w:rsidR="0045342E" w:rsidRPr="00F875E6" w:rsidTr="003B22B8">
        <w:tc>
          <w:tcPr>
            <w:tcW w:w="1117" w:type="pct"/>
            <w:shd w:val="clear" w:color="auto" w:fill="auto"/>
            <w:vAlign w:val="center"/>
          </w:tcPr>
          <w:p w:rsidR="0045342E" w:rsidRPr="00F875E6" w:rsidRDefault="0045342E" w:rsidP="00A76AD8">
            <w:pPr>
              <w:keepNext/>
              <w:rPr>
                <w:rFonts w:ascii="Arial Narrow" w:hAnsi="Arial Narrow"/>
                <w:color w:val="000000"/>
                <w:sz w:val="20"/>
                <w:szCs w:val="18"/>
              </w:rPr>
            </w:pPr>
            <w:r w:rsidRPr="00F875E6">
              <w:rPr>
                <w:rFonts w:ascii="Arial Narrow" w:hAnsi="Arial Narrow"/>
                <w:color w:val="000000"/>
                <w:sz w:val="20"/>
                <w:szCs w:val="18"/>
              </w:rPr>
              <w:t>PACE</w:t>
            </w:r>
          </w:p>
        </w:tc>
        <w:tc>
          <w:tcPr>
            <w:tcW w:w="675" w:type="pct"/>
            <w:vAlign w:val="center"/>
          </w:tcPr>
          <w:p w:rsidR="0045342E" w:rsidRPr="00F875E6" w:rsidRDefault="0045342E" w:rsidP="00A76AD8">
            <w:pPr>
              <w:keepNext/>
              <w:jc w:val="center"/>
              <w:rPr>
                <w:rFonts w:ascii="Arial Narrow" w:hAnsi="Arial Narrow"/>
                <w:sz w:val="20"/>
                <w:szCs w:val="18"/>
              </w:rPr>
            </w:pPr>
            <w:r w:rsidRPr="00F875E6">
              <w:rPr>
                <w:rFonts w:ascii="Arial Narrow" w:hAnsi="Arial Narrow"/>
                <w:sz w:val="20"/>
                <w:szCs w:val="18"/>
              </w:rPr>
              <w:t>144/267</w:t>
            </w:r>
          </w:p>
        </w:tc>
        <w:tc>
          <w:tcPr>
            <w:tcW w:w="675" w:type="pct"/>
            <w:vAlign w:val="center"/>
          </w:tcPr>
          <w:p w:rsidR="0045342E" w:rsidRPr="00F875E6" w:rsidRDefault="0045342E" w:rsidP="00A76AD8">
            <w:pPr>
              <w:keepNext/>
              <w:jc w:val="center"/>
              <w:rPr>
                <w:rFonts w:ascii="Arial Narrow" w:hAnsi="Arial Narrow"/>
                <w:color w:val="000000"/>
                <w:sz w:val="20"/>
                <w:szCs w:val="18"/>
              </w:rPr>
            </w:pPr>
            <w:r w:rsidRPr="00F875E6">
              <w:rPr>
                <w:rFonts w:ascii="Arial Narrow" w:hAnsi="Arial Narrow"/>
                <w:color w:val="000000"/>
                <w:sz w:val="20"/>
                <w:szCs w:val="18"/>
              </w:rPr>
              <w:t>-</w:t>
            </w:r>
          </w:p>
        </w:tc>
        <w:tc>
          <w:tcPr>
            <w:tcW w:w="677" w:type="pct"/>
            <w:tcBorders>
              <w:right w:val="double" w:sz="4" w:space="0" w:color="auto"/>
            </w:tcBorders>
            <w:vAlign w:val="center"/>
          </w:tcPr>
          <w:p w:rsidR="0045342E" w:rsidRPr="00F875E6" w:rsidRDefault="0045342E" w:rsidP="00A76AD8">
            <w:pPr>
              <w:keepNext/>
              <w:jc w:val="center"/>
              <w:rPr>
                <w:rFonts w:ascii="Arial Narrow" w:hAnsi="Arial Narrow"/>
                <w:sz w:val="20"/>
                <w:szCs w:val="18"/>
              </w:rPr>
            </w:pPr>
            <w:r w:rsidRPr="00F875E6">
              <w:rPr>
                <w:rFonts w:ascii="Arial Narrow" w:hAnsi="Arial Narrow"/>
                <w:sz w:val="20"/>
                <w:szCs w:val="18"/>
              </w:rPr>
              <w:t>-</w:t>
            </w:r>
          </w:p>
        </w:tc>
        <w:tc>
          <w:tcPr>
            <w:tcW w:w="679" w:type="pct"/>
            <w:tcBorders>
              <w:left w:val="double" w:sz="4" w:space="0" w:color="auto"/>
            </w:tcBorders>
            <w:vAlign w:val="center"/>
          </w:tcPr>
          <w:p w:rsidR="0045342E" w:rsidRPr="00F875E6" w:rsidRDefault="0045342E" w:rsidP="00A76AD8">
            <w:pPr>
              <w:keepNext/>
              <w:jc w:val="center"/>
              <w:rPr>
                <w:rFonts w:ascii="Arial Narrow" w:hAnsi="Arial Narrow"/>
                <w:color w:val="000000"/>
                <w:sz w:val="20"/>
                <w:szCs w:val="18"/>
              </w:rPr>
            </w:pPr>
            <w:r w:rsidRPr="00F875E6">
              <w:rPr>
                <w:rFonts w:ascii="Arial Narrow" w:hAnsi="Arial Narrow"/>
                <w:color w:val="000000"/>
                <w:sz w:val="20"/>
                <w:szCs w:val="18"/>
              </w:rPr>
              <w:t>54</w:t>
            </w:r>
          </w:p>
        </w:tc>
        <w:tc>
          <w:tcPr>
            <w:tcW w:w="599" w:type="pct"/>
            <w:vAlign w:val="center"/>
          </w:tcPr>
          <w:p w:rsidR="0045342E" w:rsidRPr="00F875E6" w:rsidRDefault="0045342E" w:rsidP="00A76AD8">
            <w:pPr>
              <w:keepNext/>
              <w:jc w:val="center"/>
              <w:rPr>
                <w:rFonts w:ascii="Arial Narrow" w:hAnsi="Arial Narrow"/>
                <w:color w:val="000000"/>
                <w:sz w:val="20"/>
                <w:szCs w:val="18"/>
              </w:rPr>
            </w:pPr>
            <w:r w:rsidRPr="00F875E6">
              <w:rPr>
                <w:rFonts w:ascii="Arial Narrow" w:hAnsi="Arial Narrow"/>
                <w:color w:val="000000"/>
                <w:sz w:val="20"/>
                <w:szCs w:val="18"/>
              </w:rPr>
              <w:t>-</w:t>
            </w:r>
          </w:p>
        </w:tc>
        <w:tc>
          <w:tcPr>
            <w:tcW w:w="578" w:type="pct"/>
            <w:vAlign w:val="center"/>
          </w:tcPr>
          <w:p w:rsidR="0045342E" w:rsidRPr="00F875E6" w:rsidRDefault="0045342E" w:rsidP="00A76AD8">
            <w:pPr>
              <w:keepNext/>
              <w:jc w:val="center"/>
              <w:rPr>
                <w:rFonts w:ascii="Arial Narrow" w:hAnsi="Arial Narrow"/>
                <w:color w:val="000000"/>
                <w:sz w:val="20"/>
                <w:szCs w:val="18"/>
              </w:rPr>
            </w:pPr>
            <w:r w:rsidRPr="00F875E6">
              <w:rPr>
                <w:rFonts w:ascii="Arial Narrow" w:hAnsi="Arial Narrow"/>
                <w:color w:val="000000"/>
                <w:sz w:val="20"/>
                <w:szCs w:val="18"/>
              </w:rPr>
              <w:t>-</w:t>
            </w:r>
          </w:p>
        </w:tc>
      </w:tr>
      <w:tr w:rsidR="0045342E" w:rsidRPr="00F875E6" w:rsidTr="003B22B8">
        <w:tc>
          <w:tcPr>
            <w:tcW w:w="1117" w:type="pct"/>
            <w:tcBorders>
              <w:bottom w:val="single" w:sz="4" w:space="0" w:color="auto"/>
            </w:tcBorders>
            <w:shd w:val="clear" w:color="auto" w:fill="auto"/>
            <w:vAlign w:val="center"/>
          </w:tcPr>
          <w:p w:rsidR="0045342E" w:rsidRPr="00F875E6" w:rsidRDefault="0045342E" w:rsidP="00A76AD8">
            <w:pPr>
              <w:keepNext/>
              <w:rPr>
                <w:rFonts w:ascii="Arial Narrow" w:hAnsi="Arial Narrow"/>
                <w:color w:val="000000"/>
                <w:sz w:val="20"/>
                <w:szCs w:val="18"/>
              </w:rPr>
            </w:pPr>
            <w:r w:rsidRPr="00F875E6">
              <w:rPr>
                <w:rFonts w:ascii="Arial Narrow" w:hAnsi="Arial Narrow"/>
                <w:color w:val="000000"/>
                <w:sz w:val="20"/>
                <w:szCs w:val="18"/>
              </w:rPr>
              <w:t>Study 101</w:t>
            </w:r>
          </w:p>
        </w:tc>
        <w:tc>
          <w:tcPr>
            <w:tcW w:w="675" w:type="pct"/>
            <w:vAlign w:val="center"/>
          </w:tcPr>
          <w:p w:rsidR="0045342E" w:rsidRPr="00F875E6" w:rsidRDefault="0045342E" w:rsidP="00A76AD8">
            <w:pPr>
              <w:keepNext/>
              <w:jc w:val="center"/>
              <w:rPr>
                <w:rFonts w:ascii="Arial Narrow" w:hAnsi="Arial Narrow"/>
                <w:color w:val="000000"/>
                <w:sz w:val="20"/>
                <w:szCs w:val="18"/>
              </w:rPr>
            </w:pPr>
            <w:r w:rsidRPr="00F875E6">
              <w:rPr>
                <w:rFonts w:ascii="Arial Narrow" w:hAnsi="Arial Narrow"/>
                <w:color w:val="000000"/>
                <w:sz w:val="20"/>
                <w:szCs w:val="18"/>
              </w:rPr>
              <w:t>31/43</w:t>
            </w:r>
          </w:p>
        </w:tc>
        <w:tc>
          <w:tcPr>
            <w:tcW w:w="675" w:type="pct"/>
            <w:vAlign w:val="center"/>
          </w:tcPr>
          <w:p w:rsidR="0045342E" w:rsidRPr="00F875E6" w:rsidRDefault="0045342E" w:rsidP="00A76AD8">
            <w:pPr>
              <w:keepNext/>
              <w:jc w:val="center"/>
              <w:rPr>
                <w:rFonts w:ascii="Arial Narrow" w:hAnsi="Arial Narrow"/>
                <w:color w:val="000000"/>
                <w:sz w:val="20"/>
                <w:szCs w:val="18"/>
              </w:rPr>
            </w:pPr>
            <w:r w:rsidRPr="00F875E6">
              <w:rPr>
                <w:rFonts w:ascii="Arial Narrow" w:hAnsi="Arial Narrow"/>
                <w:color w:val="000000"/>
                <w:sz w:val="20"/>
                <w:szCs w:val="18"/>
              </w:rPr>
              <w:t>-</w:t>
            </w:r>
          </w:p>
        </w:tc>
        <w:tc>
          <w:tcPr>
            <w:tcW w:w="677" w:type="pct"/>
            <w:tcBorders>
              <w:right w:val="double" w:sz="4" w:space="0" w:color="auto"/>
            </w:tcBorders>
            <w:vAlign w:val="center"/>
          </w:tcPr>
          <w:p w:rsidR="0045342E" w:rsidRPr="00F875E6" w:rsidRDefault="0045342E" w:rsidP="00A76AD8">
            <w:pPr>
              <w:keepNext/>
              <w:jc w:val="center"/>
              <w:rPr>
                <w:rFonts w:ascii="Arial Narrow" w:hAnsi="Arial Narrow"/>
                <w:color w:val="000000"/>
                <w:sz w:val="20"/>
                <w:szCs w:val="18"/>
              </w:rPr>
            </w:pPr>
            <w:r w:rsidRPr="00F875E6">
              <w:rPr>
                <w:rFonts w:ascii="Arial Narrow" w:hAnsi="Arial Narrow"/>
                <w:color w:val="000000"/>
                <w:sz w:val="20"/>
                <w:szCs w:val="18"/>
              </w:rPr>
              <w:t>-</w:t>
            </w:r>
          </w:p>
        </w:tc>
        <w:tc>
          <w:tcPr>
            <w:tcW w:w="679" w:type="pct"/>
            <w:tcBorders>
              <w:left w:val="double" w:sz="4" w:space="0" w:color="auto"/>
            </w:tcBorders>
            <w:vAlign w:val="center"/>
          </w:tcPr>
          <w:p w:rsidR="0045342E" w:rsidRPr="00F875E6" w:rsidRDefault="0045342E" w:rsidP="00A76AD8">
            <w:pPr>
              <w:keepNext/>
              <w:jc w:val="center"/>
              <w:rPr>
                <w:rFonts w:ascii="Arial Narrow" w:hAnsi="Arial Narrow"/>
                <w:color w:val="000000"/>
                <w:sz w:val="20"/>
                <w:szCs w:val="18"/>
              </w:rPr>
            </w:pPr>
            <w:r w:rsidRPr="00F875E6">
              <w:rPr>
                <w:rFonts w:ascii="Arial Narrow" w:hAnsi="Arial Narrow"/>
                <w:color w:val="000000"/>
                <w:sz w:val="20"/>
                <w:szCs w:val="18"/>
              </w:rPr>
              <w:t>72</w:t>
            </w:r>
          </w:p>
        </w:tc>
        <w:tc>
          <w:tcPr>
            <w:tcW w:w="599" w:type="pct"/>
            <w:vAlign w:val="center"/>
          </w:tcPr>
          <w:p w:rsidR="0045342E" w:rsidRPr="00F875E6" w:rsidRDefault="0045342E" w:rsidP="00A76AD8">
            <w:pPr>
              <w:keepNext/>
              <w:jc w:val="center"/>
              <w:rPr>
                <w:rFonts w:ascii="Arial Narrow" w:hAnsi="Arial Narrow"/>
                <w:color w:val="000000"/>
                <w:sz w:val="20"/>
                <w:szCs w:val="18"/>
              </w:rPr>
            </w:pPr>
            <w:r w:rsidRPr="00F875E6">
              <w:rPr>
                <w:rFonts w:ascii="Arial Narrow" w:hAnsi="Arial Narrow"/>
                <w:color w:val="000000"/>
                <w:sz w:val="20"/>
                <w:szCs w:val="18"/>
              </w:rPr>
              <w:t>-</w:t>
            </w:r>
          </w:p>
        </w:tc>
        <w:tc>
          <w:tcPr>
            <w:tcW w:w="578" w:type="pct"/>
            <w:vAlign w:val="center"/>
          </w:tcPr>
          <w:p w:rsidR="0045342E" w:rsidRPr="00F875E6" w:rsidRDefault="0045342E" w:rsidP="00A76AD8">
            <w:pPr>
              <w:keepNext/>
              <w:jc w:val="center"/>
              <w:rPr>
                <w:rFonts w:ascii="Arial Narrow" w:hAnsi="Arial Narrow"/>
                <w:color w:val="000000"/>
                <w:sz w:val="20"/>
                <w:szCs w:val="18"/>
              </w:rPr>
            </w:pPr>
            <w:r w:rsidRPr="00F875E6">
              <w:rPr>
                <w:rFonts w:ascii="Arial Narrow" w:hAnsi="Arial Narrow"/>
                <w:color w:val="000000"/>
                <w:sz w:val="20"/>
                <w:szCs w:val="18"/>
              </w:rPr>
              <w:t>-</w:t>
            </w:r>
          </w:p>
        </w:tc>
      </w:tr>
      <w:tr w:rsidR="00511A49" w:rsidRPr="00F875E6" w:rsidTr="003B22B8">
        <w:tc>
          <w:tcPr>
            <w:tcW w:w="1117" w:type="pct"/>
            <w:shd w:val="clear" w:color="auto" w:fill="auto"/>
            <w:vAlign w:val="center"/>
          </w:tcPr>
          <w:p w:rsidR="00511A49" w:rsidRPr="00F875E6" w:rsidRDefault="00511A49" w:rsidP="00A76AD8">
            <w:pPr>
              <w:keepNext/>
              <w:rPr>
                <w:rFonts w:ascii="Arial Narrow" w:hAnsi="Arial Narrow"/>
                <w:color w:val="000000"/>
                <w:sz w:val="20"/>
                <w:szCs w:val="18"/>
              </w:rPr>
            </w:pPr>
            <w:r w:rsidRPr="00F875E6">
              <w:rPr>
                <w:rFonts w:ascii="Arial Narrow" w:hAnsi="Arial Narrow"/>
                <w:color w:val="000000"/>
                <w:sz w:val="20"/>
                <w:szCs w:val="18"/>
              </w:rPr>
              <w:t>Milojkovic 2014</w:t>
            </w:r>
          </w:p>
        </w:tc>
        <w:tc>
          <w:tcPr>
            <w:tcW w:w="675" w:type="pct"/>
            <w:vAlign w:val="center"/>
          </w:tcPr>
          <w:p w:rsidR="00511A49" w:rsidRPr="00F875E6" w:rsidRDefault="00511A49" w:rsidP="00A76AD8">
            <w:pPr>
              <w:keepNext/>
              <w:jc w:val="center"/>
              <w:rPr>
                <w:rFonts w:ascii="Arial Narrow" w:hAnsi="Arial Narrow"/>
                <w:color w:val="000000"/>
                <w:sz w:val="20"/>
                <w:szCs w:val="18"/>
              </w:rPr>
            </w:pPr>
            <w:r w:rsidRPr="00F875E6">
              <w:rPr>
                <w:rFonts w:ascii="Arial Narrow" w:hAnsi="Arial Narrow"/>
                <w:color w:val="000000"/>
                <w:sz w:val="20"/>
                <w:szCs w:val="18"/>
              </w:rPr>
              <w:t>3/36</w:t>
            </w:r>
          </w:p>
        </w:tc>
        <w:tc>
          <w:tcPr>
            <w:tcW w:w="675" w:type="pct"/>
            <w:vAlign w:val="center"/>
          </w:tcPr>
          <w:p w:rsidR="00511A49" w:rsidRPr="00F875E6" w:rsidRDefault="00511A49" w:rsidP="00A76AD8">
            <w:pPr>
              <w:keepNext/>
              <w:jc w:val="center"/>
              <w:rPr>
                <w:rFonts w:ascii="Arial Narrow" w:hAnsi="Arial Narrow"/>
                <w:color w:val="000000"/>
                <w:sz w:val="20"/>
                <w:szCs w:val="18"/>
              </w:rPr>
            </w:pPr>
            <w:r w:rsidRPr="00F875E6">
              <w:rPr>
                <w:rFonts w:ascii="Arial Narrow" w:hAnsi="Arial Narrow"/>
                <w:color w:val="000000"/>
                <w:sz w:val="20"/>
                <w:szCs w:val="18"/>
              </w:rPr>
              <w:t>-</w:t>
            </w:r>
          </w:p>
        </w:tc>
        <w:tc>
          <w:tcPr>
            <w:tcW w:w="677" w:type="pct"/>
            <w:tcBorders>
              <w:right w:val="double" w:sz="4" w:space="0" w:color="auto"/>
            </w:tcBorders>
            <w:vAlign w:val="center"/>
          </w:tcPr>
          <w:p w:rsidR="00511A49" w:rsidRPr="00F875E6" w:rsidRDefault="00511A49" w:rsidP="00A76AD8">
            <w:pPr>
              <w:keepNext/>
              <w:jc w:val="center"/>
              <w:rPr>
                <w:rFonts w:ascii="Arial Narrow" w:hAnsi="Arial Narrow"/>
                <w:color w:val="000000"/>
                <w:sz w:val="20"/>
                <w:szCs w:val="18"/>
              </w:rPr>
            </w:pPr>
            <w:r w:rsidRPr="00F875E6">
              <w:rPr>
                <w:rFonts w:ascii="Arial Narrow" w:hAnsi="Arial Narrow"/>
                <w:color w:val="000000"/>
                <w:sz w:val="20"/>
                <w:szCs w:val="18"/>
              </w:rPr>
              <w:t>-</w:t>
            </w:r>
          </w:p>
        </w:tc>
        <w:tc>
          <w:tcPr>
            <w:tcW w:w="679" w:type="pct"/>
            <w:tcBorders>
              <w:left w:val="double" w:sz="4" w:space="0" w:color="auto"/>
            </w:tcBorders>
            <w:vAlign w:val="center"/>
          </w:tcPr>
          <w:p w:rsidR="00511A49" w:rsidRPr="00F875E6" w:rsidRDefault="00511A49" w:rsidP="00A76AD8">
            <w:pPr>
              <w:keepNext/>
              <w:jc w:val="center"/>
              <w:rPr>
                <w:rFonts w:ascii="Arial Narrow" w:hAnsi="Arial Narrow"/>
                <w:color w:val="000000"/>
                <w:sz w:val="20"/>
                <w:szCs w:val="18"/>
              </w:rPr>
            </w:pPr>
            <w:r w:rsidRPr="00F875E6">
              <w:rPr>
                <w:rFonts w:ascii="Arial Narrow" w:hAnsi="Arial Narrow"/>
                <w:color w:val="000000"/>
                <w:sz w:val="20"/>
                <w:szCs w:val="18"/>
              </w:rPr>
              <w:t>8</w:t>
            </w:r>
          </w:p>
        </w:tc>
        <w:tc>
          <w:tcPr>
            <w:tcW w:w="599" w:type="pct"/>
            <w:vAlign w:val="center"/>
          </w:tcPr>
          <w:p w:rsidR="00511A49" w:rsidRPr="00F875E6" w:rsidRDefault="00511A49" w:rsidP="00A76AD8">
            <w:pPr>
              <w:keepNext/>
              <w:jc w:val="center"/>
              <w:rPr>
                <w:rFonts w:ascii="Arial Narrow" w:hAnsi="Arial Narrow"/>
                <w:color w:val="000000"/>
                <w:sz w:val="20"/>
                <w:szCs w:val="18"/>
              </w:rPr>
            </w:pPr>
            <w:r w:rsidRPr="00F875E6">
              <w:rPr>
                <w:rFonts w:ascii="Arial Narrow" w:hAnsi="Arial Narrow"/>
                <w:color w:val="000000"/>
                <w:sz w:val="20"/>
                <w:szCs w:val="18"/>
              </w:rPr>
              <w:t>-</w:t>
            </w:r>
          </w:p>
        </w:tc>
        <w:tc>
          <w:tcPr>
            <w:tcW w:w="578" w:type="pct"/>
            <w:vAlign w:val="center"/>
          </w:tcPr>
          <w:p w:rsidR="00511A49" w:rsidRPr="00F875E6" w:rsidRDefault="00511A49" w:rsidP="00A76AD8">
            <w:pPr>
              <w:keepNext/>
              <w:jc w:val="center"/>
              <w:rPr>
                <w:rFonts w:ascii="Arial Narrow" w:hAnsi="Arial Narrow"/>
                <w:color w:val="000000"/>
                <w:sz w:val="20"/>
                <w:szCs w:val="18"/>
              </w:rPr>
            </w:pPr>
            <w:r w:rsidRPr="00F875E6">
              <w:rPr>
                <w:rFonts w:ascii="Arial Narrow" w:hAnsi="Arial Narrow"/>
                <w:color w:val="000000"/>
                <w:sz w:val="20"/>
                <w:szCs w:val="18"/>
              </w:rPr>
              <w:t>-</w:t>
            </w:r>
          </w:p>
        </w:tc>
      </w:tr>
      <w:tr w:rsidR="00511A49" w:rsidRPr="00F875E6" w:rsidTr="003B22B8">
        <w:tc>
          <w:tcPr>
            <w:tcW w:w="1117" w:type="pct"/>
            <w:shd w:val="clear" w:color="auto" w:fill="auto"/>
            <w:vAlign w:val="center"/>
          </w:tcPr>
          <w:p w:rsidR="00511A49" w:rsidRPr="00F875E6" w:rsidRDefault="00511A49" w:rsidP="00A76AD8">
            <w:pPr>
              <w:keepNext/>
              <w:rPr>
                <w:rFonts w:ascii="Arial Narrow" w:hAnsi="Arial Narrow"/>
                <w:color w:val="000000"/>
                <w:sz w:val="20"/>
                <w:szCs w:val="18"/>
              </w:rPr>
            </w:pPr>
            <w:r w:rsidRPr="00F875E6">
              <w:rPr>
                <w:rFonts w:ascii="Arial Narrow" w:hAnsi="Arial Narrow"/>
                <w:color w:val="000000"/>
                <w:sz w:val="20"/>
                <w:szCs w:val="18"/>
              </w:rPr>
              <w:t>Quintas-Cardama 2007</w:t>
            </w:r>
          </w:p>
        </w:tc>
        <w:tc>
          <w:tcPr>
            <w:tcW w:w="675" w:type="pct"/>
            <w:vAlign w:val="center"/>
          </w:tcPr>
          <w:p w:rsidR="00511A49" w:rsidRPr="00F875E6" w:rsidRDefault="00511A49" w:rsidP="00A76AD8">
            <w:pPr>
              <w:keepNext/>
              <w:jc w:val="center"/>
              <w:rPr>
                <w:rFonts w:ascii="Arial Narrow" w:hAnsi="Arial Narrow"/>
                <w:color w:val="000000"/>
                <w:sz w:val="20"/>
                <w:szCs w:val="18"/>
              </w:rPr>
            </w:pPr>
            <w:r w:rsidRPr="00F875E6">
              <w:rPr>
                <w:rFonts w:ascii="Arial Narrow" w:hAnsi="Arial Narrow"/>
                <w:color w:val="000000"/>
                <w:sz w:val="20"/>
                <w:szCs w:val="18"/>
              </w:rPr>
              <w:t>-</w:t>
            </w:r>
          </w:p>
        </w:tc>
        <w:tc>
          <w:tcPr>
            <w:tcW w:w="675" w:type="pct"/>
            <w:vAlign w:val="center"/>
          </w:tcPr>
          <w:p w:rsidR="00511A49" w:rsidRPr="00F875E6" w:rsidRDefault="00511A49" w:rsidP="00A76AD8">
            <w:pPr>
              <w:keepNext/>
              <w:jc w:val="center"/>
              <w:rPr>
                <w:rFonts w:ascii="Arial Narrow" w:hAnsi="Arial Narrow"/>
                <w:color w:val="000000"/>
                <w:sz w:val="20"/>
                <w:szCs w:val="18"/>
              </w:rPr>
            </w:pPr>
            <w:r w:rsidRPr="00F875E6">
              <w:rPr>
                <w:rFonts w:ascii="Arial Narrow" w:hAnsi="Arial Narrow"/>
                <w:color w:val="000000"/>
                <w:sz w:val="20"/>
                <w:szCs w:val="18"/>
              </w:rPr>
              <w:t>1/4</w:t>
            </w:r>
          </w:p>
        </w:tc>
        <w:tc>
          <w:tcPr>
            <w:tcW w:w="677" w:type="pct"/>
            <w:tcBorders>
              <w:right w:val="double" w:sz="4" w:space="0" w:color="auto"/>
            </w:tcBorders>
            <w:vAlign w:val="center"/>
          </w:tcPr>
          <w:p w:rsidR="00511A49" w:rsidRPr="00F875E6" w:rsidRDefault="00511A49" w:rsidP="00A76AD8">
            <w:pPr>
              <w:keepNext/>
              <w:jc w:val="center"/>
              <w:rPr>
                <w:rFonts w:ascii="Arial Narrow" w:hAnsi="Arial Narrow"/>
                <w:color w:val="000000"/>
                <w:sz w:val="20"/>
                <w:szCs w:val="18"/>
              </w:rPr>
            </w:pPr>
            <w:r w:rsidRPr="00F875E6">
              <w:rPr>
                <w:rFonts w:ascii="Arial Narrow" w:hAnsi="Arial Narrow"/>
                <w:color w:val="000000"/>
                <w:sz w:val="20"/>
                <w:szCs w:val="18"/>
              </w:rPr>
              <w:t>-</w:t>
            </w:r>
          </w:p>
        </w:tc>
        <w:tc>
          <w:tcPr>
            <w:tcW w:w="679" w:type="pct"/>
            <w:tcBorders>
              <w:left w:val="double" w:sz="4" w:space="0" w:color="auto"/>
            </w:tcBorders>
            <w:vAlign w:val="center"/>
          </w:tcPr>
          <w:p w:rsidR="00511A49" w:rsidRPr="00F875E6" w:rsidRDefault="00511A49" w:rsidP="00A76AD8">
            <w:pPr>
              <w:keepNext/>
              <w:jc w:val="center"/>
              <w:rPr>
                <w:rFonts w:ascii="Arial Narrow" w:hAnsi="Arial Narrow"/>
                <w:color w:val="000000"/>
                <w:sz w:val="20"/>
                <w:szCs w:val="18"/>
              </w:rPr>
            </w:pPr>
            <w:r w:rsidRPr="00F875E6">
              <w:rPr>
                <w:rFonts w:ascii="Arial Narrow" w:hAnsi="Arial Narrow"/>
                <w:color w:val="000000"/>
                <w:sz w:val="20"/>
                <w:szCs w:val="18"/>
              </w:rPr>
              <w:t>-</w:t>
            </w:r>
          </w:p>
        </w:tc>
        <w:tc>
          <w:tcPr>
            <w:tcW w:w="599" w:type="pct"/>
            <w:vAlign w:val="center"/>
          </w:tcPr>
          <w:p w:rsidR="00511A49" w:rsidRPr="00F875E6" w:rsidRDefault="00511A49" w:rsidP="00A76AD8">
            <w:pPr>
              <w:keepNext/>
              <w:jc w:val="center"/>
              <w:rPr>
                <w:rFonts w:ascii="Arial Narrow" w:hAnsi="Arial Narrow"/>
                <w:color w:val="000000"/>
                <w:sz w:val="20"/>
                <w:szCs w:val="18"/>
              </w:rPr>
            </w:pPr>
            <w:r w:rsidRPr="00F875E6">
              <w:rPr>
                <w:rFonts w:ascii="Arial Narrow" w:hAnsi="Arial Narrow"/>
                <w:color w:val="000000"/>
                <w:sz w:val="20"/>
                <w:szCs w:val="18"/>
              </w:rPr>
              <w:t>25</w:t>
            </w:r>
          </w:p>
        </w:tc>
        <w:tc>
          <w:tcPr>
            <w:tcW w:w="578" w:type="pct"/>
            <w:vAlign w:val="center"/>
          </w:tcPr>
          <w:p w:rsidR="00511A49" w:rsidRPr="00F875E6" w:rsidRDefault="00511A49" w:rsidP="00A76AD8">
            <w:pPr>
              <w:keepNext/>
              <w:jc w:val="center"/>
              <w:rPr>
                <w:rFonts w:ascii="Arial Narrow" w:hAnsi="Arial Narrow"/>
                <w:color w:val="000000"/>
                <w:sz w:val="20"/>
                <w:szCs w:val="18"/>
              </w:rPr>
            </w:pPr>
            <w:r w:rsidRPr="00F875E6">
              <w:rPr>
                <w:rFonts w:ascii="Arial Narrow" w:hAnsi="Arial Narrow"/>
                <w:color w:val="000000"/>
                <w:sz w:val="20"/>
                <w:szCs w:val="18"/>
              </w:rPr>
              <w:t>-</w:t>
            </w:r>
          </w:p>
        </w:tc>
      </w:tr>
      <w:tr w:rsidR="00511A49" w:rsidRPr="00F875E6" w:rsidTr="003B22B8">
        <w:tc>
          <w:tcPr>
            <w:tcW w:w="1117" w:type="pct"/>
            <w:shd w:val="clear" w:color="auto" w:fill="auto"/>
            <w:vAlign w:val="center"/>
          </w:tcPr>
          <w:p w:rsidR="00511A49" w:rsidRPr="00F875E6" w:rsidRDefault="00511A49" w:rsidP="00A76AD8">
            <w:pPr>
              <w:keepNext/>
              <w:rPr>
                <w:rFonts w:ascii="Arial Narrow" w:hAnsi="Arial Narrow"/>
                <w:color w:val="000000"/>
                <w:sz w:val="20"/>
                <w:szCs w:val="18"/>
              </w:rPr>
            </w:pPr>
            <w:r w:rsidRPr="00F875E6">
              <w:rPr>
                <w:rFonts w:ascii="Arial Narrow" w:hAnsi="Arial Narrow"/>
                <w:color w:val="000000"/>
                <w:sz w:val="20"/>
                <w:szCs w:val="18"/>
              </w:rPr>
              <w:t>Giles 2010</w:t>
            </w:r>
          </w:p>
        </w:tc>
        <w:tc>
          <w:tcPr>
            <w:tcW w:w="675" w:type="pct"/>
            <w:vAlign w:val="center"/>
          </w:tcPr>
          <w:p w:rsidR="00511A49" w:rsidRPr="00F875E6" w:rsidRDefault="00511A49" w:rsidP="00A76AD8">
            <w:pPr>
              <w:keepNext/>
              <w:jc w:val="center"/>
              <w:rPr>
                <w:rFonts w:ascii="Arial Narrow" w:hAnsi="Arial Narrow"/>
                <w:color w:val="000000"/>
                <w:sz w:val="20"/>
                <w:szCs w:val="18"/>
              </w:rPr>
            </w:pPr>
            <w:r w:rsidRPr="00F875E6">
              <w:rPr>
                <w:rFonts w:ascii="Arial Narrow" w:hAnsi="Arial Narrow"/>
                <w:color w:val="000000"/>
                <w:sz w:val="20"/>
                <w:szCs w:val="18"/>
              </w:rPr>
              <w:t>-</w:t>
            </w:r>
          </w:p>
        </w:tc>
        <w:tc>
          <w:tcPr>
            <w:tcW w:w="675" w:type="pct"/>
            <w:vAlign w:val="center"/>
          </w:tcPr>
          <w:p w:rsidR="00511A49" w:rsidRPr="00F875E6" w:rsidRDefault="00511A49" w:rsidP="00A76AD8">
            <w:pPr>
              <w:keepNext/>
              <w:jc w:val="center"/>
              <w:rPr>
                <w:rFonts w:ascii="Arial Narrow" w:hAnsi="Arial Narrow"/>
                <w:color w:val="000000"/>
                <w:sz w:val="20"/>
                <w:szCs w:val="18"/>
              </w:rPr>
            </w:pPr>
            <w:r w:rsidRPr="00F875E6">
              <w:rPr>
                <w:rFonts w:ascii="Arial Narrow" w:hAnsi="Arial Narrow"/>
                <w:color w:val="000000"/>
                <w:sz w:val="20"/>
                <w:szCs w:val="18"/>
              </w:rPr>
              <w:t>-</w:t>
            </w:r>
          </w:p>
        </w:tc>
        <w:tc>
          <w:tcPr>
            <w:tcW w:w="677" w:type="pct"/>
            <w:tcBorders>
              <w:right w:val="double" w:sz="4" w:space="0" w:color="auto"/>
            </w:tcBorders>
            <w:vAlign w:val="center"/>
          </w:tcPr>
          <w:p w:rsidR="00511A49" w:rsidRPr="00F875E6" w:rsidRDefault="00511A49" w:rsidP="00A76AD8">
            <w:pPr>
              <w:keepNext/>
              <w:jc w:val="center"/>
              <w:rPr>
                <w:rFonts w:ascii="Arial Narrow" w:hAnsi="Arial Narrow"/>
                <w:color w:val="000000"/>
                <w:sz w:val="20"/>
                <w:szCs w:val="18"/>
              </w:rPr>
            </w:pPr>
            <w:r w:rsidRPr="00F875E6">
              <w:rPr>
                <w:rFonts w:ascii="Arial Narrow" w:hAnsi="Arial Narrow"/>
                <w:color w:val="000000"/>
                <w:sz w:val="20"/>
                <w:szCs w:val="18"/>
              </w:rPr>
              <w:t>16/37</w:t>
            </w:r>
          </w:p>
        </w:tc>
        <w:tc>
          <w:tcPr>
            <w:tcW w:w="679" w:type="pct"/>
            <w:tcBorders>
              <w:left w:val="double" w:sz="4" w:space="0" w:color="auto"/>
            </w:tcBorders>
            <w:vAlign w:val="center"/>
          </w:tcPr>
          <w:p w:rsidR="00511A49" w:rsidRPr="00F875E6" w:rsidRDefault="00511A49" w:rsidP="00A76AD8">
            <w:pPr>
              <w:keepNext/>
              <w:jc w:val="center"/>
              <w:rPr>
                <w:rFonts w:ascii="Arial Narrow" w:hAnsi="Arial Narrow"/>
                <w:color w:val="000000"/>
                <w:sz w:val="20"/>
                <w:szCs w:val="18"/>
              </w:rPr>
            </w:pPr>
            <w:r w:rsidRPr="00F875E6">
              <w:rPr>
                <w:rFonts w:ascii="Arial Narrow" w:hAnsi="Arial Narrow"/>
                <w:color w:val="000000"/>
                <w:sz w:val="20"/>
                <w:szCs w:val="18"/>
              </w:rPr>
              <w:t>-</w:t>
            </w:r>
          </w:p>
        </w:tc>
        <w:tc>
          <w:tcPr>
            <w:tcW w:w="599" w:type="pct"/>
            <w:vAlign w:val="center"/>
          </w:tcPr>
          <w:p w:rsidR="00511A49" w:rsidRPr="00F875E6" w:rsidRDefault="00511A49" w:rsidP="00A76AD8">
            <w:pPr>
              <w:keepNext/>
              <w:jc w:val="center"/>
              <w:rPr>
                <w:rFonts w:ascii="Arial Narrow" w:hAnsi="Arial Narrow"/>
                <w:color w:val="000000"/>
                <w:sz w:val="20"/>
                <w:szCs w:val="18"/>
              </w:rPr>
            </w:pPr>
            <w:r w:rsidRPr="00F875E6">
              <w:rPr>
                <w:rFonts w:ascii="Arial Narrow" w:hAnsi="Arial Narrow"/>
                <w:color w:val="000000"/>
                <w:sz w:val="20"/>
                <w:szCs w:val="18"/>
              </w:rPr>
              <w:t>-</w:t>
            </w:r>
          </w:p>
        </w:tc>
        <w:tc>
          <w:tcPr>
            <w:tcW w:w="578" w:type="pct"/>
            <w:vAlign w:val="center"/>
          </w:tcPr>
          <w:p w:rsidR="00511A49" w:rsidRPr="00F875E6" w:rsidRDefault="00511A49" w:rsidP="00A76AD8">
            <w:pPr>
              <w:keepNext/>
              <w:jc w:val="center"/>
              <w:rPr>
                <w:rFonts w:ascii="Arial Narrow" w:hAnsi="Arial Narrow"/>
                <w:color w:val="000000"/>
                <w:sz w:val="20"/>
                <w:szCs w:val="18"/>
              </w:rPr>
            </w:pPr>
            <w:r w:rsidRPr="00F875E6">
              <w:rPr>
                <w:rFonts w:ascii="Arial Narrow" w:hAnsi="Arial Narrow"/>
                <w:color w:val="000000"/>
                <w:sz w:val="20"/>
                <w:szCs w:val="18"/>
              </w:rPr>
              <w:t>43</w:t>
            </w:r>
          </w:p>
        </w:tc>
      </w:tr>
      <w:tr w:rsidR="00511A49" w:rsidRPr="00F875E6" w:rsidTr="003B22B8">
        <w:tc>
          <w:tcPr>
            <w:tcW w:w="1117" w:type="pct"/>
            <w:shd w:val="clear" w:color="auto" w:fill="auto"/>
            <w:vAlign w:val="center"/>
          </w:tcPr>
          <w:p w:rsidR="00511A49" w:rsidRPr="00F875E6" w:rsidRDefault="00511A49" w:rsidP="00A76AD8">
            <w:pPr>
              <w:keepNext/>
              <w:rPr>
                <w:rFonts w:ascii="Arial Narrow" w:hAnsi="Arial Narrow"/>
                <w:color w:val="000000"/>
                <w:sz w:val="20"/>
                <w:szCs w:val="18"/>
              </w:rPr>
            </w:pPr>
            <w:r w:rsidRPr="00F875E6">
              <w:rPr>
                <w:rFonts w:ascii="Arial Narrow" w:hAnsi="Arial Narrow"/>
                <w:color w:val="000000"/>
                <w:sz w:val="20"/>
                <w:szCs w:val="18"/>
              </w:rPr>
              <w:t>Nicolini</w:t>
            </w:r>
          </w:p>
        </w:tc>
        <w:tc>
          <w:tcPr>
            <w:tcW w:w="675" w:type="pct"/>
            <w:vAlign w:val="center"/>
          </w:tcPr>
          <w:p w:rsidR="00511A49" w:rsidRPr="00F875E6" w:rsidRDefault="00511A49" w:rsidP="00A76AD8">
            <w:pPr>
              <w:keepNext/>
              <w:jc w:val="center"/>
              <w:rPr>
                <w:rFonts w:ascii="Arial Narrow" w:hAnsi="Arial Narrow"/>
                <w:color w:val="000000"/>
                <w:sz w:val="20"/>
                <w:szCs w:val="18"/>
              </w:rPr>
            </w:pPr>
            <w:r w:rsidRPr="00F875E6">
              <w:rPr>
                <w:rFonts w:ascii="Arial Narrow" w:hAnsi="Arial Narrow"/>
                <w:color w:val="000000"/>
                <w:sz w:val="20"/>
                <w:szCs w:val="18"/>
              </w:rPr>
              <w:t>-</w:t>
            </w:r>
          </w:p>
        </w:tc>
        <w:tc>
          <w:tcPr>
            <w:tcW w:w="675" w:type="pct"/>
            <w:vAlign w:val="center"/>
          </w:tcPr>
          <w:p w:rsidR="00511A49" w:rsidRPr="00F875E6" w:rsidRDefault="00511A49" w:rsidP="00A76AD8">
            <w:pPr>
              <w:keepNext/>
              <w:jc w:val="center"/>
              <w:rPr>
                <w:rFonts w:ascii="Arial Narrow" w:hAnsi="Arial Narrow"/>
                <w:color w:val="000000"/>
                <w:sz w:val="20"/>
                <w:szCs w:val="18"/>
              </w:rPr>
            </w:pPr>
            <w:r w:rsidRPr="00F875E6">
              <w:rPr>
                <w:rFonts w:ascii="Arial Narrow" w:hAnsi="Arial Narrow"/>
                <w:color w:val="000000"/>
                <w:sz w:val="20"/>
                <w:szCs w:val="18"/>
              </w:rPr>
              <w:t>-</w:t>
            </w:r>
          </w:p>
        </w:tc>
        <w:tc>
          <w:tcPr>
            <w:tcW w:w="677" w:type="pct"/>
            <w:tcBorders>
              <w:right w:val="double" w:sz="4" w:space="0" w:color="auto"/>
            </w:tcBorders>
            <w:vAlign w:val="center"/>
          </w:tcPr>
          <w:p w:rsidR="00511A49" w:rsidRPr="00F875E6" w:rsidRDefault="00511A49" w:rsidP="00A76AD8">
            <w:pPr>
              <w:keepNext/>
              <w:jc w:val="center"/>
              <w:rPr>
                <w:rFonts w:ascii="Arial Narrow" w:hAnsi="Arial Narrow"/>
                <w:color w:val="000000"/>
                <w:sz w:val="20"/>
                <w:szCs w:val="18"/>
              </w:rPr>
            </w:pPr>
            <w:r w:rsidRPr="00F875E6">
              <w:rPr>
                <w:rFonts w:ascii="Arial Narrow" w:hAnsi="Arial Narrow"/>
                <w:color w:val="000000"/>
                <w:sz w:val="20"/>
                <w:szCs w:val="18"/>
              </w:rPr>
              <w:t>89/218</w:t>
            </w:r>
          </w:p>
        </w:tc>
        <w:tc>
          <w:tcPr>
            <w:tcW w:w="679" w:type="pct"/>
            <w:tcBorders>
              <w:left w:val="double" w:sz="4" w:space="0" w:color="auto"/>
            </w:tcBorders>
            <w:vAlign w:val="center"/>
          </w:tcPr>
          <w:p w:rsidR="00511A49" w:rsidRPr="00F875E6" w:rsidRDefault="00511A49" w:rsidP="00A76AD8">
            <w:pPr>
              <w:keepNext/>
              <w:jc w:val="center"/>
              <w:rPr>
                <w:rFonts w:ascii="Arial Narrow" w:hAnsi="Arial Narrow"/>
                <w:color w:val="000000"/>
                <w:sz w:val="20"/>
                <w:szCs w:val="18"/>
              </w:rPr>
            </w:pPr>
            <w:r w:rsidRPr="00F875E6">
              <w:rPr>
                <w:rFonts w:ascii="Arial Narrow" w:hAnsi="Arial Narrow"/>
                <w:color w:val="000000"/>
                <w:sz w:val="20"/>
                <w:szCs w:val="18"/>
              </w:rPr>
              <w:t>-</w:t>
            </w:r>
          </w:p>
        </w:tc>
        <w:tc>
          <w:tcPr>
            <w:tcW w:w="599" w:type="pct"/>
            <w:vAlign w:val="center"/>
          </w:tcPr>
          <w:p w:rsidR="00511A49" w:rsidRPr="00F875E6" w:rsidRDefault="00511A49" w:rsidP="00A76AD8">
            <w:pPr>
              <w:keepNext/>
              <w:jc w:val="center"/>
              <w:rPr>
                <w:rFonts w:ascii="Arial Narrow" w:hAnsi="Arial Narrow"/>
                <w:color w:val="000000"/>
                <w:sz w:val="20"/>
                <w:szCs w:val="18"/>
              </w:rPr>
            </w:pPr>
            <w:r w:rsidRPr="00F875E6">
              <w:rPr>
                <w:rFonts w:ascii="Arial Narrow" w:hAnsi="Arial Narrow"/>
                <w:color w:val="000000"/>
                <w:sz w:val="20"/>
                <w:szCs w:val="18"/>
              </w:rPr>
              <w:t>-</w:t>
            </w:r>
          </w:p>
        </w:tc>
        <w:tc>
          <w:tcPr>
            <w:tcW w:w="578" w:type="pct"/>
            <w:vAlign w:val="center"/>
          </w:tcPr>
          <w:p w:rsidR="00511A49" w:rsidRPr="00F875E6" w:rsidRDefault="00511A49" w:rsidP="00A76AD8">
            <w:pPr>
              <w:keepNext/>
              <w:jc w:val="center"/>
              <w:rPr>
                <w:rFonts w:ascii="Arial Narrow" w:hAnsi="Arial Narrow"/>
                <w:color w:val="000000"/>
                <w:sz w:val="20"/>
                <w:szCs w:val="18"/>
              </w:rPr>
            </w:pPr>
            <w:r w:rsidRPr="00F875E6">
              <w:rPr>
                <w:rFonts w:ascii="Arial Narrow" w:hAnsi="Arial Narrow"/>
                <w:color w:val="000000"/>
                <w:sz w:val="20"/>
                <w:szCs w:val="18"/>
              </w:rPr>
              <w:t>41</w:t>
            </w:r>
          </w:p>
        </w:tc>
      </w:tr>
      <w:tr w:rsidR="00511A49" w:rsidRPr="00F875E6" w:rsidTr="003B22B8">
        <w:tc>
          <w:tcPr>
            <w:tcW w:w="1117" w:type="pct"/>
            <w:shd w:val="clear" w:color="auto" w:fill="auto"/>
            <w:vAlign w:val="center"/>
          </w:tcPr>
          <w:p w:rsidR="00511A49" w:rsidRPr="00F875E6" w:rsidRDefault="00511A49" w:rsidP="00A76AD8">
            <w:pPr>
              <w:keepNext/>
              <w:rPr>
                <w:rFonts w:ascii="Arial Narrow" w:hAnsi="Arial Narrow"/>
                <w:color w:val="000000"/>
                <w:sz w:val="20"/>
                <w:szCs w:val="18"/>
              </w:rPr>
            </w:pPr>
            <w:r w:rsidRPr="00F875E6">
              <w:rPr>
                <w:rFonts w:ascii="Arial Narrow" w:hAnsi="Arial Narrow"/>
                <w:color w:val="000000"/>
                <w:sz w:val="20"/>
                <w:szCs w:val="18"/>
              </w:rPr>
              <w:t>Garg 2009</w:t>
            </w:r>
          </w:p>
        </w:tc>
        <w:tc>
          <w:tcPr>
            <w:tcW w:w="675" w:type="pct"/>
            <w:vAlign w:val="center"/>
          </w:tcPr>
          <w:p w:rsidR="00511A49" w:rsidRPr="00F875E6" w:rsidRDefault="00511A49" w:rsidP="00A76AD8">
            <w:pPr>
              <w:keepNext/>
              <w:jc w:val="center"/>
              <w:rPr>
                <w:rFonts w:ascii="Arial Narrow" w:hAnsi="Arial Narrow"/>
                <w:color w:val="000000"/>
                <w:sz w:val="20"/>
                <w:szCs w:val="18"/>
              </w:rPr>
            </w:pPr>
            <w:r w:rsidRPr="00F875E6">
              <w:rPr>
                <w:rFonts w:ascii="Arial Narrow" w:hAnsi="Arial Narrow"/>
                <w:color w:val="000000"/>
                <w:sz w:val="20"/>
                <w:szCs w:val="18"/>
              </w:rPr>
              <w:t>-</w:t>
            </w:r>
          </w:p>
        </w:tc>
        <w:tc>
          <w:tcPr>
            <w:tcW w:w="675" w:type="pct"/>
            <w:tcBorders>
              <w:bottom w:val="single" w:sz="4" w:space="0" w:color="auto"/>
            </w:tcBorders>
            <w:vAlign w:val="center"/>
          </w:tcPr>
          <w:p w:rsidR="00511A49" w:rsidRPr="00F875E6" w:rsidRDefault="00511A49" w:rsidP="00A76AD8">
            <w:pPr>
              <w:keepNext/>
              <w:jc w:val="center"/>
              <w:rPr>
                <w:rFonts w:ascii="Arial Narrow" w:hAnsi="Arial Narrow"/>
                <w:color w:val="000000"/>
                <w:sz w:val="20"/>
                <w:szCs w:val="18"/>
              </w:rPr>
            </w:pPr>
            <w:r w:rsidRPr="00F875E6">
              <w:rPr>
                <w:rFonts w:ascii="Arial Narrow" w:hAnsi="Arial Narrow"/>
                <w:color w:val="000000"/>
                <w:sz w:val="20"/>
                <w:szCs w:val="18"/>
              </w:rPr>
              <w:t>6/16</w:t>
            </w:r>
          </w:p>
        </w:tc>
        <w:tc>
          <w:tcPr>
            <w:tcW w:w="677" w:type="pct"/>
            <w:tcBorders>
              <w:bottom w:val="single" w:sz="4" w:space="0" w:color="auto"/>
              <w:right w:val="double" w:sz="4" w:space="0" w:color="auto"/>
            </w:tcBorders>
            <w:vAlign w:val="center"/>
          </w:tcPr>
          <w:p w:rsidR="00511A49" w:rsidRPr="00F875E6" w:rsidRDefault="00511A49" w:rsidP="00A76AD8">
            <w:pPr>
              <w:keepNext/>
              <w:jc w:val="center"/>
              <w:rPr>
                <w:rFonts w:ascii="Arial Narrow" w:hAnsi="Arial Narrow"/>
                <w:color w:val="000000"/>
                <w:sz w:val="20"/>
                <w:szCs w:val="18"/>
              </w:rPr>
            </w:pPr>
            <w:r w:rsidRPr="00F875E6">
              <w:rPr>
                <w:rFonts w:ascii="Arial Narrow" w:hAnsi="Arial Narrow"/>
                <w:color w:val="000000"/>
                <w:sz w:val="20"/>
                <w:szCs w:val="18"/>
              </w:rPr>
              <w:t>2/9</w:t>
            </w:r>
          </w:p>
        </w:tc>
        <w:tc>
          <w:tcPr>
            <w:tcW w:w="679" w:type="pct"/>
            <w:tcBorders>
              <w:left w:val="double" w:sz="4" w:space="0" w:color="auto"/>
              <w:bottom w:val="single" w:sz="4" w:space="0" w:color="auto"/>
            </w:tcBorders>
            <w:vAlign w:val="center"/>
          </w:tcPr>
          <w:p w:rsidR="00511A49" w:rsidRPr="00F875E6" w:rsidRDefault="00511A49" w:rsidP="00A76AD8">
            <w:pPr>
              <w:keepNext/>
              <w:jc w:val="center"/>
              <w:rPr>
                <w:rFonts w:ascii="Arial Narrow" w:hAnsi="Arial Narrow"/>
                <w:color w:val="000000"/>
                <w:sz w:val="20"/>
                <w:szCs w:val="18"/>
              </w:rPr>
            </w:pPr>
            <w:r w:rsidRPr="00F875E6">
              <w:rPr>
                <w:rFonts w:ascii="Arial Narrow" w:hAnsi="Arial Narrow"/>
                <w:color w:val="000000"/>
                <w:sz w:val="20"/>
                <w:szCs w:val="18"/>
              </w:rPr>
              <w:t>-</w:t>
            </w:r>
          </w:p>
        </w:tc>
        <w:tc>
          <w:tcPr>
            <w:tcW w:w="599" w:type="pct"/>
            <w:vAlign w:val="center"/>
          </w:tcPr>
          <w:p w:rsidR="00511A49" w:rsidRPr="00F875E6" w:rsidRDefault="00511A49" w:rsidP="00A76AD8">
            <w:pPr>
              <w:keepNext/>
              <w:jc w:val="center"/>
              <w:rPr>
                <w:rFonts w:ascii="Arial Narrow" w:hAnsi="Arial Narrow"/>
                <w:color w:val="000000"/>
                <w:sz w:val="20"/>
                <w:szCs w:val="18"/>
              </w:rPr>
            </w:pPr>
            <w:r w:rsidRPr="00F875E6">
              <w:rPr>
                <w:rFonts w:ascii="Arial Narrow" w:hAnsi="Arial Narrow"/>
                <w:color w:val="000000"/>
                <w:sz w:val="20"/>
                <w:szCs w:val="18"/>
              </w:rPr>
              <w:t>38</w:t>
            </w:r>
          </w:p>
        </w:tc>
        <w:tc>
          <w:tcPr>
            <w:tcW w:w="578" w:type="pct"/>
            <w:vAlign w:val="center"/>
          </w:tcPr>
          <w:p w:rsidR="00511A49" w:rsidRPr="00F875E6" w:rsidRDefault="00511A49" w:rsidP="00A76AD8">
            <w:pPr>
              <w:keepNext/>
              <w:jc w:val="center"/>
              <w:rPr>
                <w:rFonts w:ascii="Arial Narrow" w:hAnsi="Arial Narrow"/>
                <w:color w:val="000000"/>
                <w:sz w:val="20"/>
                <w:szCs w:val="18"/>
              </w:rPr>
            </w:pPr>
            <w:r w:rsidRPr="00F875E6">
              <w:rPr>
                <w:rFonts w:ascii="Arial Narrow" w:hAnsi="Arial Narrow"/>
                <w:color w:val="000000"/>
                <w:sz w:val="20"/>
                <w:szCs w:val="18"/>
              </w:rPr>
              <w:t>22</w:t>
            </w:r>
          </w:p>
        </w:tc>
      </w:tr>
      <w:tr w:rsidR="00511A49" w:rsidRPr="00F875E6" w:rsidTr="003B22B8">
        <w:tc>
          <w:tcPr>
            <w:tcW w:w="1117" w:type="pct"/>
            <w:shd w:val="clear" w:color="auto" w:fill="auto"/>
            <w:vAlign w:val="center"/>
          </w:tcPr>
          <w:p w:rsidR="00511A49" w:rsidRPr="00F875E6" w:rsidRDefault="00511A49" w:rsidP="00A76AD8">
            <w:pPr>
              <w:keepNext/>
              <w:rPr>
                <w:rFonts w:ascii="Arial Narrow" w:hAnsi="Arial Narrow"/>
                <w:color w:val="000000"/>
                <w:sz w:val="20"/>
                <w:szCs w:val="18"/>
              </w:rPr>
            </w:pPr>
            <w:r w:rsidRPr="00F875E6">
              <w:rPr>
                <w:rFonts w:ascii="Arial Narrow" w:hAnsi="Arial Narrow"/>
                <w:color w:val="000000"/>
                <w:sz w:val="20"/>
                <w:szCs w:val="18"/>
              </w:rPr>
              <w:t>Ibrahim 2010</w:t>
            </w:r>
          </w:p>
        </w:tc>
        <w:tc>
          <w:tcPr>
            <w:tcW w:w="675" w:type="pct"/>
            <w:vAlign w:val="center"/>
          </w:tcPr>
          <w:p w:rsidR="00511A49" w:rsidRPr="00F875E6" w:rsidRDefault="00511A49" w:rsidP="00A76AD8">
            <w:pPr>
              <w:keepNext/>
              <w:jc w:val="center"/>
              <w:rPr>
                <w:rFonts w:ascii="Arial Narrow" w:hAnsi="Arial Narrow"/>
                <w:color w:val="000000"/>
                <w:sz w:val="20"/>
                <w:szCs w:val="18"/>
              </w:rPr>
            </w:pPr>
            <w:r w:rsidRPr="00F875E6">
              <w:rPr>
                <w:rFonts w:ascii="Arial Narrow" w:hAnsi="Arial Narrow"/>
                <w:color w:val="000000"/>
                <w:sz w:val="20"/>
                <w:szCs w:val="18"/>
              </w:rPr>
              <w:t>-</w:t>
            </w:r>
          </w:p>
        </w:tc>
        <w:tc>
          <w:tcPr>
            <w:tcW w:w="1352" w:type="pct"/>
            <w:gridSpan w:val="2"/>
            <w:tcBorders>
              <w:right w:val="double" w:sz="4" w:space="0" w:color="auto"/>
            </w:tcBorders>
            <w:vAlign w:val="center"/>
          </w:tcPr>
          <w:p w:rsidR="00511A49" w:rsidRPr="00F875E6" w:rsidRDefault="00511A49" w:rsidP="00A76AD8">
            <w:pPr>
              <w:keepNext/>
              <w:jc w:val="center"/>
              <w:rPr>
                <w:rFonts w:ascii="Arial Narrow" w:hAnsi="Arial Narrow"/>
                <w:color w:val="000000"/>
                <w:sz w:val="20"/>
                <w:szCs w:val="18"/>
              </w:rPr>
            </w:pPr>
            <w:r w:rsidRPr="00F875E6">
              <w:rPr>
                <w:rFonts w:ascii="Arial Narrow" w:hAnsi="Arial Narrow"/>
                <w:color w:val="000000"/>
                <w:sz w:val="20"/>
                <w:szCs w:val="18"/>
              </w:rPr>
              <w:t>13/26</w:t>
            </w:r>
          </w:p>
        </w:tc>
        <w:tc>
          <w:tcPr>
            <w:tcW w:w="679" w:type="pct"/>
            <w:tcBorders>
              <w:left w:val="double" w:sz="4" w:space="0" w:color="auto"/>
            </w:tcBorders>
            <w:vAlign w:val="center"/>
          </w:tcPr>
          <w:p w:rsidR="00511A49" w:rsidRPr="00F875E6" w:rsidRDefault="00511A49" w:rsidP="00A76AD8">
            <w:pPr>
              <w:keepNext/>
              <w:jc w:val="center"/>
              <w:rPr>
                <w:rFonts w:ascii="Arial Narrow" w:hAnsi="Arial Narrow"/>
                <w:color w:val="000000"/>
                <w:sz w:val="20"/>
                <w:szCs w:val="18"/>
              </w:rPr>
            </w:pPr>
            <w:r w:rsidRPr="00F875E6">
              <w:rPr>
                <w:rFonts w:ascii="Arial Narrow" w:hAnsi="Arial Narrow"/>
                <w:color w:val="000000"/>
                <w:sz w:val="20"/>
                <w:szCs w:val="18"/>
              </w:rPr>
              <w:t>-</w:t>
            </w:r>
          </w:p>
        </w:tc>
        <w:tc>
          <w:tcPr>
            <w:tcW w:w="1177" w:type="pct"/>
            <w:gridSpan w:val="2"/>
            <w:vAlign w:val="center"/>
          </w:tcPr>
          <w:p w:rsidR="00511A49" w:rsidRPr="00F875E6" w:rsidRDefault="00511A49" w:rsidP="00A76AD8">
            <w:pPr>
              <w:keepNext/>
              <w:jc w:val="center"/>
              <w:rPr>
                <w:rFonts w:ascii="Arial Narrow" w:hAnsi="Arial Narrow"/>
                <w:color w:val="000000"/>
                <w:sz w:val="20"/>
                <w:szCs w:val="18"/>
              </w:rPr>
            </w:pPr>
            <w:r w:rsidRPr="00F875E6">
              <w:rPr>
                <w:rFonts w:ascii="Arial Narrow" w:hAnsi="Arial Narrow"/>
                <w:color w:val="000000"/>
                <w:sz w:val="20"/>
                <w:szCs w:val="18"/>
              </w:rPr>
              <w:t>50</w:t>
            </w:r>
          </w:p>
        </w:tc>
      </w:tr>
      <w:tr w:rsidR="00511A49" w:rsidRPr="00F875E6" w:rsidTr="003B22B8">
        <w:tc>
          <w:tcPr>
            <w:tcW w:w="1117" w:type="pct"/>
            <w:shd w:val="clear" w:color="auto" w:fill="auto"/>
            <w:vAlign w:val="center"/>
          </w:tcPr>
          <w:p w:rsidR="00511A49" w:rsidRPr="00F875E6" w:rsidRDefault="00511A49" w:rsidP="00A76AD8">
            <w:pPr>
              <w:keepNext/>
              <w:rPr>
                <w:rFonts w:ascii="Arial Narrow" w:hAnsi="Arial Narrow"/>
                <w:color w:val="000000"/>
                <w:sz w:val="20"/>
                <w:szCs w:val="18"/>
              </w:rPr>
            </w:pPr>
            <w:r w:rsidRPr="00F875E6">
              <w:rPr>
                <w:rFonts w:ascii="Arial Narrow" w:hAnsi="Arial Narrow"/>
                <w:color w:val="000000"/>
                <w:sz w:val="20"/>
                <w:szCs w:val="18"/>
              </w:rPr>
              <w:t>Rossi 2013</w:t>
            </w:r>
          </w:p>
        </w:tc>
        <w:tc>
          <w:tcPr>
            <w:tcW w:w="675" w:type="pct"/>
            <w:vAlign w:val="center"/>
          </w:tcPr>
          <w:p w:rsidR="00511A49" w:rsidRPr="00F875E6" w:rsidRDefault="00511A49" w:rsidP="00A76AD8">
            <w:pPr>
              <w:keepNext/>
              <w:jc w:val="center"/>
              <w:rPr>
                <w:rFonts w:ascii="Arial Narrow" w:hAnsi="Arial Narrow"/>
                <w:color w:val="000000"/>
                <w:sz w:val="20"/>
                <w:szCs w:val="18"/>
              </w:rPr>
            </w:pPr>
            <w:r w:rsidRPr="00F875E6">
              <w:rPr>
                <w:rFonts w:ascii="Arial Narrow" w:hAnsi="Arial Narrow"/>
                <w:color w:val="000000"/>
                <w:sz w:val="20"/>
                <w:szCs w:val="18"/>
              </w:rPr>
              <w:t>-</w:t>
            </w:r>
          </w:p>
        </w:tc>
        <w:tc>
          <w:tcPr>
            <w:tcW w:w="1352" w:type="pct"/>
            <w:gridSpan w:val="2"/>
            <w:tcBorders>
              <w:bottom w:val="single" w:sz="4" w:space="0" w:color="auto"/>
              <w:right w:val="double" w:sz="4" w:space="0" w:color="auto"/>
            </w:tcBorders>
            <w:vAlign w:val="center"/>
          </w:tcPr>
          <w:p w:rsidR="00511A49" w:rsidRPr="00F875E6" w:rsidRDefault="00511A49" w:rsidP="00A76AD8">
            <w:pPr>
              <w:keepNext/>
              <w:jc w:val="center"/>
              <w:rPr>
                <w:rFonts w:ascii="Arial Narrow" w:hAnsi="Arial Narrow"/>
                <w:color w:val="000000"/>
                <w:sz w:val="20"/>
                <w:szCs w:val="18"/>
              </w:rPr>
            </w:pPr>
            <w:r w:rsidRPr="00F875E6">
              <w:rPr>
                <w:rFonts w:ascii="Arial Narrow" w:hAnsi="Arial Narrow"/>
                <w:color w:val="000000"/>
                <w:sz w:val="20"/>
                <w:szCs w:val="18"/>
              </w:rPr>
              <w:t>39/82</w:t>
            </w:r>
          </w:p>
        </w:tc>
        <w:tc>
          <w:tcPr>
            <w:tcW w:w="679" w:type="pct"/>
            <w:tcBorders>
              <w:left w:val="double" w:sz="4" w:space="0" w:color="auto"/>
            </w:tcBorders>
            <w:vAlign w:val="center"/>
          </w:tcPr>
          <w:p w:rsidR="00511A49" w:rsidRPr="00F875E6" w:rsidRDefault="00511A49" w:rsidP="00A76AD8">
            <w:pPr>
              <w:keepNext/>
              <w:jc w:val="center"/>
              <w:rPr>
                <w:rFonts w:ascii="Arial Narrow" w:hAnsi="Arial Narrow"/>
                <w:color w:val="000000"/>
                <w:sz w:val="20"/>
                <w:szCs w:val="18"/>
              </w:rPr>
            </w:pPr>
            <w:r w:rsidRPr="00F875E6">
              <w:rPr>
                <w:rFonts w:ascii="Arial Narrow" w:hAnsi="Arial Narrow"/>
                <w:color w:val="000000"/>
                <w:sz w:val="20"/>
                <w:szCs w:val="18"/>
              </w:rPr>
              <w:t>-</w:t>
            </w:r>
          </w:p>
        </w:tc>
        <w:tc>
          <w:tcPr>
            <w:tcW w:w="1177" w:type="pct"/>
            <w:gridSpan w:val="2"/>
            <w:vAlign w:val="center"/>
          </w:tcPr>
          <w:p w:rsidR="00511A49" w:rsidRPr="00F875E6" w:rsidRDefault="00511A49" w:rsidP="00A76AD8">
            <w:pPr>
              <w:keepNext/>
              <w:jc w:val="center"/>
              <w:rPr>
                <w:rFonts w:ascii="Arial Narrow" w:hAnsi="Arial Narrow"/>
                <w:color w:val="000000"/>
                <w:sz w:val="20"/>
                <w:szCs w:val="18"/>
              </w:rPr>
            </w:pPr>
            <w:r w:rsidRPr="00F875E6">
              <w:rPr>
                <w:rFonts w:ascii="Arial Narrow" w:hAnsi="Arial Narrow"/>
                <w:color w:val="000000"/>
                <w:sz w:val="20"/>
                <w:szCs w:val="18"/>
              </w:rPr>
              <w:t>48</w:t>
            </w:r>
          </w:p>
        </w:tc>
      </w:tr>
      <w:tr w:rsidR="00511A49" w:rsidRPr="00F875E6" w:rsidTr="003B22B8">
        <w:tc>
          <w:tcPr>
            <w:tcW w:w="5000" w:type="pct"/>
            <w:gridSpan w:val="7"/>
            <w:shd w:val="clear" w:color="auto" w:fill="auto"/>
            <w:vAlign w:val="center"/>
          </w:tcPr>
          <w:p w:rsidR="00511A49" w:rsidRPr="00F875E6" w:rsidRDefault="00511A49" w:rsidP="00A76AD8">
            <w:pPr>
              <w:keepNext/>
              <w:jc w:val="left"/>
              <w:rPr>
                <w:rFonts w:ascii="Arial Narrow" w:hAnsi="Arial Narrow"/>
                <w:b/>
                <w:color w:val="000000"/>
                <w:sz w:val="20"/>
                <w:szCs w:val="18"/>
              </w:rPr>
            </w:pPr>
            <w:r w:rsidRPr="00F875E6">
              <w:rPr>
                <w:rFonts w:ascii="Arial Narrow" w:hAnsi="Arial Narrow"/>
                <w:b/>
                <w:color w:val="000000"/>
                <w:sz w:val="20"/>
                <w:szCs w:val="18"/>
              </w:rPr>
              <w:t>Chronic phase CML – MCyR for patients with the T315I mutation – second-line TKI</w:t>
            </w:r>
          </w:p>
        </w:tc>
      </w:tr>
      <w:tr w:rsidR="00511A49" w:rsidRPr="00F875E6" w:rsidTr="003B22B8">
        <w:tc>
          <w:tcPr>
            <w:tcW w:w="1117" w:type="pct"/>
            <w:tcBorders>
              <w:bottom w:val="single" w:sz="4" w:space="0" w:color="auto"/>
            </w:tcBorders>
            <w:shd w:val="clear" w:color="auto" w:fill="auto"/>
            <w:vAlign w:val="center"/>
          </w:tcPr>
          <w:p w:rsidR="00511A49" w:rsidRPr="00F875E6" w:rsidRDefault="00511A49" w:rsidP="00A76AD8">
            <w:pPr>
              <w:keepNext/>
              <w:rPr>
                <w:rFonts w:ascii="Arial Narrow" w:hAnsi="Arial Narrow"/>
                <w:color w:val="000000"/>
                <w:sz w:val="20"/>
                <w:szCs w:val="18"/>
              </w:rPr>
            </w:pPr>
            <w:r w:rsidRPr="00F875E6">
              <w:rPr>
                <w:rFonts w:ascii="Arial Narrow" w:hAnsi="Arial Narrow"/>
                <w:color w:val="000000"/>
                <w:sz w:val="20"/>
                <w:szCs w:val="18"/>
              </w:rPr>
              <w:t>PACE</w:t>
            </w:r>
          </w:p>
        </w:tc>
        <w:tc>
          <w:tcPr>
            <w:tcW w:w="675" w:type="pct"/>
            <w:vAlign w:val="center"/>
          </w:tcPr>
          <w:p w:rsidR="00511A49" w:rsidRPr="00F875E6" w:rsidRDefault="00511A49" w:rsidP="00A76AD8">
            <w:pPr>
              <w:keepNext/>
              <w:jc w:val="center"/>
              <w:rPr>
                <w:rFonts w:ascii="Arial Narrow" w:hAnsi="Arial Narrow"/>
                <w:color w:val="000000"/>
                <w:sz w:val="20"/>
                <w:szCs w:val="18"/>
              </w:rPr>
            </w:pPr>
            <w:r w:rsidRPr="00F875E6">
              <w:rPr>
                <w:rFonts w:ascii="Arial Narrow" w:hAnsi="Arial Narrow"/>
                <w:color w:val="000000"/>
                <w:sz w:val="20"/>
                <w:szCs w:val="18"/>
              </w:rPr>
              <w:t>10/11</w:t>
            </w:r>
          </w:p>
        </w:tc>
        <w:tc>
          <w:tcPr>
            <w:tcW w:w="675" w:type="pct"/>
            <w:tcBorders>
              <w:bottom w:val="single" w:sz="4" w:space="0" w:color="auto"/>
              <w:right w:val="single" w:sz="4" w:space="0" w:color="auto"/>
            </w:tcBorders>
            <w:vAlign w:val="center"/>
          </w:tcPr>
          <w:p w:rsidR="00511A49" w:rsidRPr="00F875E6" w:rsidRDefault="00511A49" w:rsidP="00A76AD8">
            <w:pPr>
              <w:keepNext/>
              <w:jc w:val="center"/>
              <w:rPr>
                <w:rFonts w:ascii="Arial Narrow" w:hAnsi="Arial Narrow"/>
                <w:color w:val="000000"/>
                <w:sz w:val="20"/>
                <w:szCs w:val="18"/>
              </w:rPr>
            </w:pPr>
            <w:r w:rsidRPr="00F875E6">
              <w:rPr>
                <w:rFonts w:ascii="Arial Narrow" w:hAnsi="Arial Narrow"/>
                <w:color w:val="000000"/>
                <w:sz w:val="20"/>
                <w:szCs w:val="18"/>
              </w:rPr>
              <w:t>-</w:t>
            </w:r>
          </w:p>
        </w:tc>
        <w:tc>
          <w:tcPr>
            <w:tcW w:w="677" w:type="pct"/>
            <w:tcBorders>
              <w:left w:val="single" w:sz="4" w:space="0" w:color="auto"/>
              <w:bottom w:val="single" w:sz="4" w:space="0" w:color="auto"/>
              <w:right w:val="double" w:sz="4" w:space="0" w:color="auto"/>
            </w:tcBorders>
            <w:vAlign w:val="center"/>
          </w:tcPr>
          <w:p w:rsidR="00511A49" w:rsidRPr="00F875E6" w:rsidRDefault="00511A49" w:rsidP="00A76AD8">
            <w:pPr>
              <w:keepNext/>
              <w:jc w:val="center"/>
              <w:rPr>
                <w:rFonts w:ascii="Arial Narrow" w:hAnsi="Arial Narrow"/>
                <w:color w:val="000000"/>
                <w:sz w:val="20"/>
                <w:szCs w:val="18"/>
              </w:rPr>
            </w:pPr>
            <w:r w:rsidRPr="00F875E6">
              <w:rPr>
                <w:rFonts w:ascii="Arial Narrow" w:hAnsi="Arial Narrow"/>
                <w:color w:val="000000"/>
                <w:sz w:val="20"/>
                <w:szCs w:val="18"/>
              </w:rPr>
              <w:t>-</w:t>
            </w:r>
          </w:p>
        </w:tc>
        <w:tc>
          <w:tcPr>
            <w:tcW w:w="679" w:type="pct"/>
            <w:tcBorders>
              <w:left w:val="double" w:sz="4" w:space="0" w:color="auto"/>
            </w:tcBorders>
            <w:vAlign w:val="center"/>
          </w:tcPr>
          <w:p w:rsidR="00511A49" w:rsidRPr="00F875E6" w:rsidRDefault="00511A49" w:rsidP="00A76AD8">
            <w:pPr>
              <w:keepNext/>
              <w:jc w:val="center"/>
              <w:rPr>
                <w:rFonts w:ascii="Arial Narrow" w:hAnsi="Arial Narrow"/>
                <w:color w:val="000000"/>
                <w:sz w:val="20"/>
                <w:szCs w:val="18"/>
              </w:rPr>
            </w:pPr>
            <w:r w:rsidRPr="00F875E6">
              <w:rPr>
                <w:rFonts w:ascii="Arial Narrow" w:hAnsi="Arial Narrow"/>
                <w:color w:val="000000"/>
                <w:sz w:val="20"/>
                <w:szCs w:val="18"/>
              </w:rPr>
              <w:t>91</w:t>
            </w:r>
          </w:p>
        </w:tc>
        <w:tc>
          <w:tcPr>
            <w:tcW w:w="599" w:type="pct"/>
            <w:vAlign w:val="center"/>
          </w:tcPr>
          <w:p w:rsidR="00511A49" w:rsidRPr="00F875E6" w:rsidRDefault="00511A49" w:rsidP="00A76AD8">
            <w:pPr>
              <w:keepNext/>
              <w:jc w:val="center"/>
              <w:rPr>
                <w:rFonts w:ascii="Arial Narrow" w:hAnsi="Arial Narrow"/>
                <w:color w:val="000000"/>
                <w:sz w:val="20"/>
                <w:szCs w:val="18"/>
              </w:rPr>
            </w:pPr>
            <w:r w:rsidRPr="00F875E6">
              <w:rPr>
                <w:rFonts w:ascii="Arial Narrow" w:hAnsi="Arial Narrow"/>
                <w:color w:val="000000"/>
                <w:sz w:val="20"/>
                <w:szCs w:val="18"/>
              </w:rPr>
              <w:t>-</w:t>
            </w:r>
          </w:p>
        </w:tc>
        <w:tc>
          <w:tcPr>
            <w:tcW w:w="578" w:type="pct"/>
            <w:vAlign w:val="center"/>
          </w:tcPr>
          <w:p w:rsidR="00511A49" w:rsidRPr="00F875E6" w:rsidRDefault="00511A49" w:rsidP="00A76AD8">
            <w:pPr>
              <w:keepNext/>
              <w:jc w:val="center"/>
              <w:rPr>
                <w:rFonts w:ascii="Arial Narrow" w:hAnsi="Arial Narrow"/>
                <w:color w:val="000000"/>
                <w:sz w:val="20"/>
                <w:szCs w:val="18"/>
              </w:rPr>
            </w:pPr>
            <w:r w:rsidRPr="00F875E6">
              <w:rPr>
                <w:rFonts w:ascii="Arial Narrow" w:hAnsi="Arial Narrow"/>
                <w:color w:val="000000"/>
                <w:sz w:val="20"/>
                <w:szCs w:val="18"/>
              </w:rPr>
              <w:t>-</w:t>
            </w:r>
          </w:p>
        </w:tc>
      </w:tr>
      <w:tr w:rsidR="00511A49" w:rsidRPr="00F875E6" w:rsidTr="003B22B8">
        <w:tc>
          <w:tcPr>
            <w:tcW w:w="1117" w:type="pct"/>
            <w:tcBorders>
              <w:bottom w:val="single" w:sz="4" w:space="0" w:color="auto"/>
            </w:tcBorders>
            <w:shd w:val="clear" w:color="auto" w:fill="auto"/>
            <w:vAlign w:val="center"/>
          </w:tcPr>
          <w:p w:rsidR="00511A49" w:rsidRPr="00F875E6" w:rsidRDefault="00511A49" w:rsidP="00A76AD8">
            <w:pPr>
              <w:keepNext/>
              <w:rPr>
                <w:rFonts w:ascii="Arial Narrow" w:hAnsi="Arial Narrow"/>
                <w:color w:val="000000"/>
                <w:sz w:val="20"/>
                <w:szCs w:val="18"/>
              </w:rPr>
            </w:pPr>
            <w:r w:rsidRPr="00F875E6">
              <w:rPr>
                <w:rFonts w:ascii="Arial Narrow" w:hAnsi="Arial Narrow"/>
                <w:color w:val="000000"/>
                <w:sz w:val="20"/>
                <w:szCs w:val="18"/>
              </w:rPr>
              <w:t>Milojkovic 2014</w:t>
            </w:r>
          </w:p>
        </w:tc>
        <w:tc>
          <w:tcPr>
            <w:tcW w:w="675" w:type="pct"/>
            <w:vAlign w:val="center"/>
          </w:tcPr>
          <w:p w:rsidR="00511A49" w:rsidRPr="00F875E6" w:rsidRDefault="00511A49" w:rsidP="00A76AD8">
            <w:pPr>
              <w:keepNext/>
              <w:jc w:val="center"/>
              <w:rPr>
                <w:rFonts w:ascii="Arial Narrow" w:hAnsi="Arial Narrow"/>
                <w:i/>
                <w:color w:val="000000"/>
                <w:sz w:val="20"/>
                <w:szCs w:val="18"/>
              </w:rPr>
            </w:pPr>
            <w:r w:rsidRPr="00F875E6">
              <w:rPr>
                <w:rFonts w:ascii="Arial Narrow" w:hAnsi="Arial Narrow"/>
                <w:i/>
                <w:color w:val="000000"/>
                <w:sz w:val="20"/>
                <w:szCs w:val="18"/>
              </w:rPr>
              <w:t>3/6</w:t>
            </w:r>
          </w:p>
        </w:tc>
        <w:tc>
          <w:tcPr>
            <w:tcW w:w="675" w:type="pct"/>
            <w:tcBorders>
              <w:bottom w:val="single" w:sz="4" w:space="0" w:color="auto"/>
              <w:right w:val="single" w:sz="4" w:space="0" w:color="auto"/>
            </w:tcBorders>
            <w:vAlign w:val="center"/>
          </w:tcPr>
          <w:p w:rsidR="00511A49" w:rsidRPr="00F875E6" w:rsidRDefault="00511A49" w:rsidP="00A76AD8">
            <w:pPr>
              <w:keepNext/>
              <w:jc w:val="center"/>
              <w:rPr>
                <w:rFonts w:ascii="Arial Narrow" w:hAnsi="Arial Narrow"/>
                <w:i/>
                <w:color w:val="000000"/>
                <w:sz w:val="20"/>
                <w:szCs w:val="18"/>
              </w:rPr>
            </w:pPr>
            <w:r w:rsidRPr="00F875E6">
              <w:rPr>
                <w:rFonts w:ascii="Arial Narrow" w:hAnsi="Arial Narrow"/>
                <w:color w:val="000000"/>
                <w:sz w:val="20"/>
                <w:szCs w:val="18"/>
              </w:rPr>
              <w:t>-</w:t>
            </w:r>
          </w:p>
        </w:tc>
        <w:tc>
          <w:tcPr>
            <w:tcW w:w="677" w:type="pct"/>
            <w:tcBorders>
              <w:left w:val="single" w:sz="4" w:space="0" w:color="auto"/>
              <w:bottom w:val="single" w:sz="4" w:space="0" w:color="auto"/>
              <w:right w:val="double" w:sz="4" w:space="0" w:color="auto"/>
            </w:tcBorders>
            <w:vAlign w:val="center"/>
          </w:tcPr>
          <w:p w:rsidR="00511A49" w:rsidRPr="00F875E6" w:rsidRDefault="00511A49" w:rsidP="00A76AD8">
            <w:pPr>
              <w:keepNext/>
              <w:jc w:val="center"/>
              <w:rPr>
                <w:rFonts w:ascii="Arial Narrow" w:hAnsi="Arial Narrow"/>
                <w:i/>
                <w:color w:val="000000"/>
                <w:sz w:val="20"/>
                <w:szCs w:val="18"/>
              </w:rPr>
            </w:pPr>
            <w:r w:rsidRPr="00F875E6">
              <w:rPr>
                <w:rFonts w:ascii="Arial Narrow" w:hAnsi="Arial Narrow"/>
                <w:color w:val="000000"/>
                <w:sz w:val="20"/>
                <w:szCs w:val="18"/>
              </w:rPr>
              <w:t>-</w:t>
            </w:r>
          </w:p>
        </w:tc>
        <w:tc>
          <w:tcPr>
            <w:tcW w:w="679" w:type="pct"/>
            <w:tcBorders>
              <w:left w:val="double" w:sz="4" w:space="0" w:color="auto"/>
            </w:tcBorders>
            <w:vAlign w:val="center"/>
          </w:tcPr>
          <w:p w:rsidR="00511A49" w:rsidRPr="00F875E6" w:rsidRDefault="00511A49" w:rsidP="00A76AD8">
            <w:pPr>
              <w:keepNext/>
              <w:jc w:val="center"/>
              <w:rPr>
                <w:rFonts w:ascii="Arial Narrow" w:hAnsi="Arial Narrow"/>
                <w:i/>
                <w:color w:val="000000"/>
                <w:sz w:val="20"/>
                <w:szCs w:val="18"/>
              </w:rPr>
            </w:pPr>
            <w:r w:rsidRPr="00F875E6">
              <w:rPr>
                <w:rFonts w:ascii="Arial Narrow" w:hAnsi="Arial Narrow"/>
                <w:i/>
                <w:color w:val="000000"/>
                <w:sz w:val="20"/>
                <w:szCs w:val="18"/>
              </w:rPr>
              <w:t>50</w:t>
            </w:r>
          </w:p>
        </w:tc>
        <w:tc>
          <w:tcPr>
            <w:tcW w:w="599" w:type="pct"/>
            <w:vAlign w:val="center"/>
          </w:tcPr>
          <w:p w:rsidR="00511A49" w:rsidRPr="00F875E6" w:rsidRDefault="00511A49" w:rsidP="00A76AD8">
            <w:pPr>
              <w:keepNext/>
              <w:jc w:val="center"/>
              <w:rPr>
                <w:rFonts w:ascii="Arial Narrow" w:hAnsi="Arial Narrow"/>
                <w:i/>
                <w:color w:val="000000"/>
                <w:sz w:val="20"/>
                <w:szCs w:val="18"/>
              </w:rPr>
            </w:pPr>
            <w:r w:rsidRPr="00F875E6">
              <w:rPr>
                <w:rFonts w:ascii="Arial Narrow" w:hAnsi="Arial Narrow"/>
                <w:color w:val="000000"/>
                <w:sz w:val="20"/>
                <w:szCs w:val="18"/>
              </w:rPr>
              <w:t>-</w:t>
            </w:r>
          </w:p>
        </w:tc>
        <w:tc>
          <w:tcPr>
            <w:tcW w:w="578" w:type="pct"/>
            <w:vAlign w:val="center"/>
          </w:tcPr>
          <w:p w:rsidR="00511A49" w:rsidRPr="00F875E6" w:rsidRDefault="00511A49" w:rsidP="00A76AD8">
            <w:pPr>
              <w:keepNext/>
              <w:jc w:val="center"/>
              <w:rPr>
                <w:rFonts w:ascii="Arial Narrow" w:hAnsi="Arial Narrow"/>
                <w:i/>
                <w:color w:val="000000"/>
                <w:sz w:val="20"/>
                <w:szCs w:val="18"/>
              </w:rPr>
            </w:pPr>
            <w:r w:rsidRPr="00F875E6">
              <w:rPr>
                <w:rFonts w:ascii="Arial Narrow" w:hAnsi="Arial Narrow"/>
                <w:color w:val="000000"/>
                <w:sz w:val="20"/>
                <w:szCs w:val="18"/>
              </w:rPr>
              <w:t>-</w:t>
            </w:r>
          </w:p>
        </w:tc>
      </w:tr>
      <w:tr w:rsidR="00511A49" w:rsidRPr="00F875E6" w:rsidTr="003B22B8">
        <w:tc>
          <w:tcPr>
            <w:tcW w:w="1117" w:type="pct"/>
            <w:shd w:val="clear" w:color="auto" w:fill="auto"/>
            <w:vAlign w:val="center"/>
          </w:tcPr>
          <w:p w:rsidR="00511A49" w:rsidRPr="00F875E6" w:rsidRDefault="00511A49" w:rsidP="00A76AD8">
            <w:pPr>
              <w:keepNext/>
              <w:rPr>
                <w:rFonts w:ascii="Arial Narrow" w:hAnsi="Arial Narrow"/>
                <w:color w:val="000000"/>
                <w:sz w:val="20"/>
                <w:szCs w:val="18"/>
              </w:rPr>
            </w:pPr>
            <w:r w:rsidRPr="00F875E6">
              <w:rPr>
                <w:rFonts w:ascii="Arial Narrow" w:hAnsi="Arial Narrow"/>
                <w:color w:val="000000"/>
                <w:sz w:val="20"/>
                <w:szCs w:val="18"/>
              </w:rPr>
              <w:t>Muller 2009</w:t>
            </w:r>
          </w:p>
        </w:tc>
        <w:tc>
          <w:tcPr>
            <w:tcW w:w="675" w:type="pct"/>
            <w:vAlign w:val="center"/>
          </w:tcPr>
          <w:p w:rsidR="00511A49" w:rsidRPr="00F875E6" w:rsidRDefault="00511A49" w:rsidP="00A76AD8">
            <w:pPr>
              <w:keepNext/>
              <w:jc w:val="center"/>
              <w:rPr>
                <w:rFonts w:ascii="Arial Narrow" w:hAnsi="Arial Narrow"/>
                <w:i/>
                <w:color w:val="000000"/>
                <w:sz w:val="20"/>
                <w:szCs w:val="18"/>
              </w:rPr>
            </w:pPr>
            <w:r w:rsidRPr="00F875E6">
              <w:rPr>
                <w:rFonts w:ascii="Arial Narrow" w:hAnsi="Arial Narrow"/>
                <w:i/>
                <w:color w:val="000000"/>
                <w:sz w:val="20"/>
                <w:szCs w:val="18"/>
              </w:rPr>
              <w:t>-</w:t>
            </w:r>
          </w:p>
        </w:tc>
        <w:tc>
          <w:tcPr>
            <w:tcW w:w="675" w:type="pct"/>
            <w:tcBorders>
              <w:bottom w:val="single" w:sz="4" w:space="0" w:color="auto"/>
              <w:right w:val="single" w:sz="4" w:space="0" w:color="auto"/>
            </w:tcBorders>
            <w:vAlign w:val="center"/>
          </w:tcPr>
          <w:p w:rsidR="00511A49" w:rsidRPr="00F875E6" w:rsidRDefault="00511A49" w:rsidP="00A76AD8">
            <w:pPr>
              <w:keepNext/>
              <w:jc w:val="center"/>
              <w:rPr>
                <w:rFonts w:ascii="Arial Narrow" w:hAnsi="Arial Narrow"/>
                <w:i/>
                <w:color w:val="000000"/>
                <w:sz w:val="20"/>
                <w:szCs w:val="18"/>
              </w:rPr>
            </w:pPr>
            <w:r w:rsidRPr="00F875E6">
              <w:rPr>
                <w:rFonts w:ascii="Arial Narrow" w:hAnsi="Arial Narrow"/>
                <w:i/>
                <w:color w:val="000000"/>
                <w:sz w:val="20"/>
                <w:szCs w:val="18"/>
              </w:rPr>
              <w:t>2/21</w:t>
            </w:r>
          </w:p>
        </w:tc>
        <w:tc>
          <w:tcPr>
            <w:tcW w:w="677" w:type="pct"/>
            <w:tcBorders>
              <w:left w:val="single" w:sz="4" w:space="0" w:color="auto"/>
              <w:bottom w:val="single" w:sz="4" w:space="0" w:color="auto"/>
              <w:right w:val="double" w:sz="4" w:space="0" w:color="auto"/>
            </w:tcBorders>
            <w:vAlign w:val="center"/>
          </w:tcPr>
          <w:p w:rsidR="00511A49" w:rsidRPr="00F875E6" w:rsidRDefault="00511A49" w:rsidP="00A76AD8">
            <w:pPr>
              <w:keepNext/>
              <w:jc w:val="center"/>
              <w:rPr>
                <w:rFonts w:ascii="Arial Narrow" w:hAnsi="Arial Narrow"/>
                <w:i/>
                <w:color w:val="000000"/>
                <w:sz w:val="20"/>
                <w:szCs w:val="18"/>
              </w:rPr>
            </w:pPr>
            <w:r w:rsidRPr="00F875E6">
              <w:rPr>
                <w:rFonts w:ascii="Arial Narrow" w:hAnsi="Arial Narrow"/>
                <w:i/>
                <w:color w:val="000000"/>
                <w:sz w:val="20"/>
                <w:szCs w:val="18"/>
              </w:rPr>
              <w:t>-</w:t>
            </w:r>
          </w:p>
        </w:tc>
        <w:tc>
          <w:tcPr>
            <w:tcW w:w="679" w:type="pct"/>
            <w:tcBorders>
              <w:left w:val="double" w:sz="4" w:space="0" w:color="auto"/>
            </w:tcBorders>
            <w:vAlign w:val="center"/>
          </w:tcPr>
          <w:p w:rsidR="00511A49" w:rsidRPr="00F875E6" w:rsidRDefault="00511A49" w:rsidP="00A76AD8">
            <w:pPr>
              <w:keepNext/>
              <w:jc w:val="center"/>
              <w:rPr>
                <w:rFonts w:ascii="Arial Narrow" w:hAnsi="Arial Narrow"/>
                <w:i/>
                <w:color w:val="000000"/>
                <w:sz w:val="20"/>
                <w:szCs w:val="18"/>
              </w:rPr>
            </w:pPr>
            <w:r w:rsidRPr="00F875E6">
              <w:rPr>
                <w:rFonts w:ascii="Arial Narrow" w:hAnsi="Arial Narrow"/>
                <w:i/>
                <w:color w:val="000000"/>
                <w:sz w:val="20"/>
                <w:szCs w:val="18"/>
              </w:rPr>
              <w:t>-</w:t>
            </w:r>
          </w:p>
        </w:tc>
        <w:tc>
          <w:tcPr>
            <w:tcW w:w="599" w:type="pct"/>
            <w:vAlign w:val="center"/>
          </w:tcPr>
          <w:p w:rsidR="00511A49" w:rsidRPr="00F875E6" w:rsidRDefault="00511A49" w:rsidP="00A76AD8">
            <w:pPr>
              <w:keepNext/>
              <w:jc w:val="center"/>
              <w:rPr>
                <w:rFonts w:ascii="Arial Narrow" w:hAnsi="Arial Narrow"/>
                <w:i/>
                <w:color w:val="000000"/>
                <w:sz w:val="20"/>
                <w:szCs w:val="18"/>
              </w:rPr>
            </w:pPr>
            <w:r w:rsidRPr="00F875E6">
              <w:rPr>
                <w:rFonts w:ascii="Arial Narrow" w:hAnsi="Arial Narrow"/>
                <w:i/>
                <w:color w:val="000000"/>
                <w:sz w:val="20"/>
                <w:szCs w:val="18"/>
              </w:rPr>
              <w:t>10</w:t>
            </w:r>
          </w:p>
        </w:tc>
        <w:tc>
          <w:tcPr>
            <w:tcW w:w="578" w:type="pct"/>
            <w:vAlign w:val="center"/>
          </w:tcPr>
          <w:p w:rsidR="00511A49" w:rsidRPr="00F875E6" w:rsidRDefault="00511A49" w:rsidP="00A76AD8">
            <w:pPr>
              <w:keepNext/>
              <w:jc w:val="center"/>
              <w:rPr>
                <w:rFonts w:ascii="Arial Narrow" w:hAnsi="Arial Narrow"/>
                <w:i/>
                <w:color w:val="000000"/>
                <w:sz w:val="20"/>
                <w:szCs w:val="18"/>
              </w:rPr>
            </w:pPr>
            <w:r w:rsidRPr="00F875E6">
              <w:rPr>
                <w:rFonts w:ascii="Arial Narrow" w:hAnsi="Arial Narrow"/>
                <w:i/>
                <w:color w:val="000000"/>
                <w:sz w:val="20"/>
                <w:szCs w:val="18"/>
              </w:rPr>
              <w:t>-</w:t>
            </w:r>
          </w:p>
        </w:tc>
      </w:tr>
      <w:tr w:rsidR="00511A49" w:rsidRPr="00F875E6" w:rsidTr="003B22B8">
        <w:tc>
          <w:tcPr>
            <w:tcW w:w="5000" w:type="pct"/>
            <w:gridSpan w:val="7"/>
            <w:tcBorders>
              <w:top w:val="double" w:sz="4" w:space="0" w:color="auto"/>
            </w:tcBorders>
            <w:shd w:val="clear" w:color="auto" w:fill="auto"/>
            <w:vAlign w:val="center"/>
          </w:tcPr>
          <w:p w:rsidR="00511A49" w:rsidRPr="00F875E6" w:rsidRDefault="00511A49" w:rsidP="00A76AD8">
            <w:pPr>
              <w:keepNext/>
              <w:rPr>
                <w:rFonts w:ascii="Arial Narrow" w:hAnsi="Arial Narrow"/>
                <w:b/>
                <w:color w:val="000000"/>
                <w:sz w:val="20"/>
                <w:szCs w:val="18"/>
              </w:rPr>
            </w:pPr>
            <w:r w:rsidRPr="00F875E6">
              <w:rPr>
                <w:rFonts w:ascii="Arial Narrow" w:hAnsi="Arial Narrow"/>
                <w:b/>
                <w:color w:val="000000"/>
                <w:sz w:val="20"/>
                <w:szCs w:val="18"/>
              </w:rPr>
              <w:t>HARMS</w:t>
            </w:r>
          </w:p>
        </w:tc>
      </w:tr>
      <w:tr w:rsidR="00511A49" w:rsidRPr="00F875E6" w:rsidTr="003B22B8">
        <w:tc>
          <w:tcPr>
            <w:tcW w:w="5000" w:type="pct"/>
            <w:gridSpan w:val="7"/>
            <w:shd w:val="clear" w:color="auto" w:fill="auto"/>
            <w:vAlign w:val="center"/>
          </w:tcPr>
          <w:p w:rsidR="00511A49" w:rsidRPr="00F875E6" w:rsidRDefault="00511A49" w:rsidP="00A76AD8">
            <w:pPr>
              <w:keepNext/>
              <w:rPr>
                <w:rFonts w:ascii="Arial Narrow" w:hAnsi="Arial Narrow"/>
                <w:b/>
                <w:color w:val="000000"/>
                <w:sz w:val="20"/>
                <w:szCs w:val="18"/>
              </w:rPr>
            </w:pPr>
            <w:r w:rsidRPr="00F875E6">
              <w:rPr>
                <w:rFonts w:ascii="Arial Narrow" w:hAnsi="Arial Narrow"/>
                <w:b/>
                <w:i/>
                <w:color w:val="000000"/>
                <w:sz w:val="20"/>
                <w:szCs w:val="18"/>
              </w:rPr>
              <w:t>Vascular occlusion – 2-3 year follow-up, evaluation estimate</w:t>
            </w:r>
          </w:p>
        </w:tc>
      </w:tr>
      <w:tr w:rsidR="00511A49" w:rsidRPr="00F875E6" w:rsidTr="003B22B8">
        <w:tc>
          <w:tcPr>
            <w:tcW w:w="1117" w:type="pct"/>
            <w:shd w:val="clear" w:color="auto" w:fill="auto"/>
            <w:vAlign w:val="center"/>
          </w:tcPr>
          <w:p w:rsidR="00511A49" w:rsidRPr="00F875E6" w:rsidRDefault="00511A49" w:rsidP="00A76AD8">
            <w:pPr>
              <w:keepNext/>
              <w:rPr>
                <w:rFonts w:ascii="Arial Narrow" w:hAnsi="Arial Narrow"/>
                <w:color w:val="000000"/>
                <w:sz w:val="20"/>
                <w:szCs w:val="18"/>
              </w:rPr>
            </w:pPr>
            <w:r w:rsidRPr="00F875E6">
              <w:rPr>
                <w:rFonts w:ascii="Arial Narrow" w:hAnsi="Arial Narrow"/>
                <w:i/>
                <w:color w:val="000000"/>
                <w:sz w:val="20"/>
                <w:szCs w:val="18"/>
              </w:rPr>
              <w:t>All</w:t>
            </w:r>
          </w:p>
        </w:tc>
        <w:tc>
          <w:tcPr>
            <w:tcW w:w="675" w:type="pct"/>
            <w:vAlign w:val="center"/>
          </w:tcPr>
          <w:p w:rsidR="00511A49" w:rsidRPr="00F875E6" w:rsidRDefault="00511A49" w:rsidP="00A76AD8">
            <w:pPr>
              <w:keepNext/>
              <w:jc w:val="center"/>
              <w:rPr>
                <w:rFonts w:ascii="Arial Narrow" w:hAnsi="Arial Narrow"/>
                <w:color w:val="000000"/>
                <w:sz w:val="20"/>
                <w:szCs w:val="18"/>
              </w:rPr>
            </w:pPr>
          </w:p>
        </w:tc>
        <w:tc>
          <w:tcPr>
            <w:tcW w:w="675" w:type="pct"/>
            <w:vAlign w:val="center"/>
          </w:tcPr>
          <w:p w:rsidR="00511A49" w:rsidRPr="00F875E6" w:rsidRDefault="00511A49" w:rsidP="00A76AD8">
            <w:pPr>
              <w:keepNext/>
              <w:jc w:val="center"/>
              <w:rPr>
                <w:rFonts w:ascii="Arial Narrow" w:hAnsi="Arial Narrow"/>
                <w:color w:val="000000"/>
                <w:sz w:val="20"/>
                <w:szCs w:val="18"/>
              </w:rPr>
            </w:pPr>
          </w:p>
        </w:tc>
        <w:tc>
          <w:tcPr>
            <w:tcW w:w="677" w:type="pct"/>
            <w:tcBorders>
              <w:right w:val="double" w:sz="4" w:space="0" w:color="auto"/>
            </w:tcBorders>
            <w:vAlign w:val="center"/>
          </w:tcPr>
          <w:p w:rsidR="00511A49" w:rsidRPr="00F875E6" w:rsidRDefault="00511A49" w:rsidP="00A76AD8">
            <w:pPr>
              <w:keepNext/>
              <w:jc w:val="center"/>
              <w:rPr>
                <w:rFonts w:ascii="Arial Narrow" w:hAnsi="Arial Narrow"/>
                <w:color w:val="000000"/>
                <w:sz w:val="20"/>
                <w:szCs w:val="18"/>
              </w:rPr>
            </w:pPr>
          </w:p>
        </w:tc>
        <w:tc>
          <w:tcPr>
            <w:tcW w:w="679" w:type="pct"/>
            <w:tcBorders>
              <w:left w:val="double" w:sz="4" w:space="0" w:color="auto"/>
            </w:tcBorders>
            <w:vAlign w:val="center"/>
          </w:tcPr>
          <w:p w:rsidR="00511A49" w:rsidRPr="00F875E6" w:rsidRDefault="00511A49" w:rsidP="00A76AD8">
            <w:pPr>
              <w:keepNext/>
              <w:jc w:val="center"/>
              <w:rPr>
                <w:rFonts w:ascii="Arial Narrow" w:hAnsi="Arial Narrow"/>
                <w:color w:val="000000"/>
                <w:sz w:val="20"/>
                <w:szCs w:val="18"/>
              </w:rPr>
            </w:pPr>
            <w:r w:rsidRPr="00F875E6">
              <w:rPr>
                <w:rFonts w:ascii="Arial Narrow" w:hAnsi="Arial Narrow"/>
                <w:i/>
                <w:color w:val="000000"/>
                <w:sz w:val="20"/>
                <w:szCs w:val="18"/>
              </w:rPr>
              <w:t>23</w:t>
            </w:r>
          </w:p>
        </w:tc>
        <w:tc>
          <w:tcPr>
            <w:tcW w:w="599" w:type="pct"/>
            <w:vAlign w:val="center"/>
          </w:tcPr>
          <w:p w:rsidR="00511A49" w:rsidRPr="00F875E6" w:rsidRDefault="00511A49" w:rsidP="00A76AD8">
            <w:pPr>
              <w:keepNext/>
              <w:jc w:val="center"/>
              <w:rPr>
                <w:rFonts w:ascii="Arial Narrow" w:hAnsi="Arial Narrow"/>
                <w:color w:val="000000"/>
                <w:sz w:val="20"/>
                <w:szCs w:val="18"/>
              </w:rPr>
            </w:pPr>
            <w:r w:rsidRPr="00F875E6">
              <w:rPr>
                <w:rFonts w:ascii="Arial Narrow" w:hAnsi="Arial Narrow"/>
                <w:i/>
                <w:color w:val="000000"/>
                <w:sz w:val="20"/>
                <w:szCs w:val="18"/>
              </w:rPr>
              <w:t>3</w:t>
            </w:r>
          </w:p>
        </w:tc>
        <w:tc>
          <w:tcPr>
            <w:tcW w:w="578" w:type="pct"/>
            <w:vAlign w:val="center"/>
          </w:tcPr>
          <w:p w:rsidR="00511A49" w:rsidRPr="00F875E6" w:rsidRDefault="00511A49" w:rsidP="00A76AD8">
            <w:pPr>
              <w:keepNext/>
              <w:jc w:val="center"/>
              <w:rPr>
                <w:rFonts w:ascii="Arial Narrow" w:hAnsi="Arial Narrow"/>
                <w:color w:val="000000"/>
                <w:sz w:val="20"/>
                <w:szCs w:val="18"/>
              </w:rPr>
            </w:pPr>
            <w:r w:rsidRPr="00F875E6">
              <w:rPr>
                <w:rFonts w:ascii="Arial Narrow" w:hAnsi="Arial Narrow"/>
                <w:i/>
                <w:color w:val="000000"/>
                <w:sz w:val="20"/>
                <w:szCs w:val="18"/>
              </w:rPr>
              <w:t>5</w:t>
            </w:r>
          </w:p>
        </w:tc>
      </w:tr>
      <w:tr w:rsidR="00511A49" w:rsidRPr="00F875E6" w:rsidTr="003B22B8">
        <w:tc>
          <w:tcPr>
            <w:tcW w:w="1117" w:type="pct"/>
            <w:shd w:val="clear" w:color="auto" w:fill="auto"/>
            <w:vAlign w:val="center"/>
          </w:tcPr>
          <w:p w:rsidR="00511A49" w:rsidRPr="00F875E6" w:rsidRDefault="00511A49" w:rsidP="00A76AD8">
            <w:pPr>
              <w:keepNext/>
              <w:rPr>
                <w:rFonts w:ascii="Arial Narrow" w:hAnsi="Arial Narrow"/>
                <w:color w:val="000000"/>
                <w:sz w:val="20"/>
                <w:szCs w:val="18"/>
              </w:rPr>
            </w:pPr>
            <w:r w:rsidRPr="00F875E6">
              <w:rPr>
                <w:rFonts w:ascii="Arial Narrow" w:hAnsi="Arial Narrow"/>
                <w:i/>
                <w:color w:val="000000"/>
                <w:sz w:val="20"/>
                <w:szCs w:val="18"/>
              </w:rPr>
              <w:t>Grade 3</w:t>
            </w:r>
            <w:r w:rsidR="008135E2" w:rsidRPr="00F875E6">
              <w:rPr>
                <w:rFonts w:ascii="Arial Narrow" w:hAnsi="Arial Narrow"/>
                <w:i/>
                <w:color w:val="000000"/>
                <w:sz w:val="20"/>
                <w:szCs w:val="18"/>
              </w:rPr>
              <w:t xml:space="preserve"> or </w:t>
            </w:r>
            <w:r w:rsidRPr="00F875E6">
              <w:rPr>
                <w:rFonts w:ascii="Arial Narrow" w:hAnsi="Arial Narrow"/>
                <w:i/>
                <w:color w:val="000000"/>
                <w:sz w:val="20"/>
                <w:szCs w:val="18"/>
              </w:rPr>
              <w:t>4</w:t>
            </w:r>
          </w:p>
        </w:tc>
        <w:tc>
          <w:tcPr>
            <w:tcW w:w="675" w:type="pct"/>
            <w:vAlign w:val="center"/>
          </w:tcPr>
          <w:p w:rsidR="00511A49" w:rsidRPr="00F875E6" w:rsidRDefault="00511A49" w:rsidP="00A76AD8">
            <w:pPr>
              <w:keepNext/>
              <w:jc w:val="center"/>
              <w:rPr>
                <w:rFonts w:ascii="Arial Narrow" w:hAnsi="Arial Narrow"/>
                <w:color w:val="000000"/>
                <w:sz w:val="20"/>
                <w:szCs w:val="18"/>
              </w:rPr>
            </w:pPr>
          </w:p>
        </w:tc>
        <w:tc>
          <w:tcPr>
            <w:tcW w:w="675" w:type="pct"/>
            <w:vAlign w:val="center"/>
          </w:tcPr>
          <w:p w:rsidR="00511A49" w:rsidRPr="00F875E6" w:rsidRDefault="00511A49" w:rsidP="00A76AD8">
            <w:pPr>
              <w:keepNext/>
              <w:jc w:val="center"/>
              <w:rPr>
                <w:rFonts w:ascii="Arial Narrow" w:hAnsi="Arial Narrow"/>
                <w:color w:val="000000"/>
                <w:sz w:val="20"/>
                <w:szCs w:val="18"/>
              </w:rPr>
            </w:pPr>
          </w:p>
        </w:tc>
        <w:tc>
          <w:tcPr>
            <w:tcW w:w="677" w:type="pct"/>
            <w:tcBorders>
              <w:right w:val="double" w:sz="4" w:space="0" w:color="auto"/>
            </w:tcBorders>
            <w:vAlign w:val="center"/>
          </w:tcPr>
          <w:p w:rsidR="00511A49" w:rsidRPr="00F875E6" w:rsidRDefault="00511A49" w:rsidP="00A76AD8">
            <w:pPr>
              <w:keepNext/>
              <w:jc w:val="center"/>
              <w:rPr>
                <w:rFonts w:ascii="Arial Narrow" w:hAnsi="Arial Narrow"/>
                <w:color w:val="000000"/>
                <w:sz w:val="20"/>
                <w:szCs w:val="18"/>
              </w:rPr>
            </w:pPr>
          </w:p>
        </w:tc>
        <w:tc>
          <w:tcPr>
            <w:tcW w:w="679" w:type="pct"/>
            <w:tcBorders>
              <w:left w:val="double" w:sz="4" w:space="0" w:color="auto"/>
            </w:tcBorders>
            <w:vAlign w:val="center"/>
          </w:tcPr>
          <w:p w:rsidR="00511A49" w:rsidRPr="00F875E6" w:rsidRDefault="00511A49" w:rsidP="00A76AD8">
            <w:pPr>
              <w:keepNext/>
              <w:jc w:val="center"/>
              <w:rPr>
                <w:rFonts w:ascii="Arial Narrow" w:hAnsi="Arial Narrow"/>
                <w:color w:val="000000"/>
                <w:sz w:val="20"/>
                <w:szCs w:val="18"/>
              </w:rPr>
            </w:pPr>
            <w:r w:rsidRPr="00F875E6">
              <w:rPr>
                <w:rFonts w:ascii="Arial Narrow" w:hAnsi="Arial Narrow"/>
                <w:i/>
                <w:color w:val="000000"/>
                <w:sz w:val="20"/>
                <w:szCs w:val="18"/>
              </w:rPr>
              <w:t>16</w:t>
            </w:r>
          </w:p>
        </w:tc>
        <w:tc>
          <w:tcPr>
            <w:tcW w:w="599" w:type="pct"/>
            <w:vAlign w:val="center"/>
          </w:tcPr>
          <w:p w:rsidR="00511A49" w:rsidRPr="00F875E6" w:rsidRDefault="00511A49" w:rsidP="00A76AD8">
            <w:pPr>
              <w:keepNext/>
              <w:jc w:val="center"/>
              <w:rPr>
                <w:rFonts w:ascii="Arial Narrow" w:hAnsi="Arial Narrow"/>
                <w:color w:val="000000"/>
                <w:sz w:val="20"/>
                <w:szCs w:val="18"/>
              </w:rPr>
            </w:pPr>
            <w:r w:rsidRPr="00F875E6">
              <w:rPr>
                <w:rFonts w:ascii="Arial Narrow" w:hAnsi="Arial Narrow"/>
                <w:i/>
                <w:color w:val="000000"/>
                <w:sz w:val="20"/>
                <w:szCs w:val="18"/>
              </w:rPr>
              <w:t>2</w:t>
            </w:r>
          </w:p>
        </w:tc>
        <w:tc>
          <w:tcPr>
            <w:tcW w:w="578" w:type="pct"/>
            <w:vAlign w:val="center"/>
          </w:tcPr>
          <w:p w:rsidR="00511A49" w:rsidRPr="00F875E6" w:rsidRDefault="00511A49" w:rsidP="00A76AD8">
            <w:pPr>
              <w:keepNext/>
              <w:jc w:val="center"/>
              <w:rPr>
                <w:rFonts w:ascii="Arial Narrow" w:hAnsi="Arial Narrow"/>
                <w:color w:val="000000"/>
                <w:sz w:val="20"/>
                <w:szCs w:val="18"/>
              </w:rPr>
            </w:pPr>
            <w:r w:rsidRPr="00F875E6">
              <w:rPr>
                <w:rFonts w:ascii="Arial Narrow" w:hAnsi="Arial Narrow"/>
                <w:i/>
                <w:color w:val="000000"/>
                <w:sz w:val="20"/>
                <w:szCs w:val="18"/>
              </w:rPr>
              <w:t>4</w:t>
            </w:r>
          </w:p>
        </w:tc>
      </w:tr>
      <w:tr w:rsidR="00511A49" w:rsidRPr="00F875E6" w:rsidTr="003B22B8">
        <w:tc>
          <w:tcPr>
            <w:tcW w:w="5000" w:type="pct"/>
            <w:gridSpan w:val="7"/>
            <w:shd w:val="clear" w:color="auto" w:fill="auto"/>
            <w:vAlign w:val="center"/>
          </w:tcPr>
          <w:p w:rsidR="00511A49" w:rsidRPr="00F875E6" w:rsidRDefault="00511A49" w:rsidP="00A76AD8">
            <w:pPr>
              <w:keepNext/>
              <w:jc w:val="left"/>
              <w:rPr>
                <w:rFonts w:ascii="Arial Narrow" w:hAnsi="Arial Narrow"/>
                <w:b/>
                <w:i/>
                <w:color w:val="000000"/>
                <w:sz w:val="20"/>
                <w:szCs w:val="18"/>
              </w:rPr>
            </w:pPr>
            <w:r w:rsidRPr="00F875E6">
              <w:rPr>
                <w:rFonts w:ascii="Arial Narrow" w:hAnsi="Arial Narrow"/>
                <w:b/>
                <w:i/>
                <w:color w:val="000000"/>
                <w:sz w:val="20"/>
                <w:szCs w:val="18"/>
              </w:rPr>
              <w:t>Pleural effusion – 2-3 year follow-up, evaluation estimate</w:t>
            </w:r>
          </w:p>
        </w:tc>
      </w:tr>
      <w:tr w:rsidR="00511A49" w:rsidRPr="00F875E6" w:rsidTr="003B22B8">
        <w:tc>
          <w:tcPr>
            <w:tcW w:w="1117" w:type="pct"/>
            <w:shd w:val="clear" w:color="auto" w:fill="auto"/>
            <w:vAlign w:val="center"/>
          </w:tcPr>
          <w:p w:rsidR="00511A49" w:rsidRPr="00F875E6" w:rsidRDefault="00511A49" w:rsidP="00A76AD8">
            <w:pPr>
              <w:keepNext/>
              <w:rPr>
                <w:rFonts w:ascii="Arial Narrow" w:hAnsi="Arial Narrow"/>
                <w:i/>
                <w:color w:val="000000"/>
                <w:sz w:val="20"/>
                <w:szCs w:val="18"/>
              </w:rPr>
            </w:pPr>
            <w:r w:rsidRPr="00F875E6">
              <w:rPr>
                <w:rFonts w:ascii="Arial Narrow" w:hAnsi="Arial Narrow"/>
                <w:i/>
                <w:color w:val="000000"/>
                <w:sz w:val="20"/>
                <w:szCs w:val="18"/>
              </w:rPr>
              <w:t>All</w:t>
            </w:r>
          </w:p>
        </w:tc>
        <w:tc>
          <w:tcPr>
            <w:tcW w:w="675" w:type="pct"/>
            <w:vAlign w:val="center"/>
          </w:tcPr>
          <w:p w:rsidR="00511A49" w:rsidRPr="00F875E6" w:rsidRDefault="00511A49" w:rsidP="00A76AD8">
            <w:pPr>
              <w:keepNext/>
              <w:jc w:val="center"/>
              <w:rPr>
                <w:rFonts w:ascii="Arial Narrow" w:hAnsi="Arial Narrow"/>
                <w:i/>
                <w:color w:val="000000"/>
                <w:sz w:val="20"/>
                <w:szCs w:val="18"/>
              </w:rPr>
            </w:pPr>
          </w:p>
        </w:tc>
        <w:tc>
          <w:tcPr>
            <w:tcW w:w="675" w:type="pct"/>
            <w:vAlign w:val="center"/>
          </w:tcPr>
          <w:p w:rsidR="00511A49" w:rsidRPr="00F875E6" w:rsidRDefault="00511A49" w:rsidP="00A76AD8">
            <w:pPr>
              <w:keepNext/>
              <w:jc w:val="center"/>
              <w:rPr>
                <w:rFonts w:ascii="Arial Narrow" w:hAnsi="Arial Narrow"/>
                <w:i/>
                <w:color w:val="000000"/>
                <w:sz w:val="20"/>
                <w:szCs w:val="18"/>
              </w:rPr>
            </w:pPr>
          </w:p>
        </w:tc>
        <w:tc>
          <w:tcPr>
            <w:tcW w:w="677" w:type="pct"/>
            <w:tcBorders>
              <w:right w:val="double" w:sz="4" w:space="0" w:color="auto"/>
            </w:tcBorders>
            <w:vAlign w:val="center"/>
          </w:tcPr>
          <w:p w:rsidR="00511A49" w:rsidRPr="00F875E6" w:rsidRDefault="00511A49" w:rsidP="00A76AD8">
            <w:pPr>
              <w:keepNext/>
              <w:jc w:val="center"/>
              <w:rPr>
                <w:rFonts w:ascii="Arial Narrow" w:hAnsi="Arial Narrow"/>
                <w:i/>
                <w:color w:val="000000"/>
                <w:sz w:val="20"/>
                <w:szCs w:val="18"/>
              </w:rPr>
            </w:pPr>
          </w:p>
        </w:tc>
        <w:tc>
          <w:tcPr>
            <w:tcW w:w="679" w:type="pct"/>
            <w:tcBorders>
              <w:left w:val="double" w:sz="4" w:space="0" w:color="auto"/>
            </w:tcBorders>
            <w:vAlign w:val="center"/>
          </w:tcPr>
          <w:p w:rsidR="00511A49" w:rsidRPr="00F875E6" w:rsidRDefault="00511A49" w:rsidP="00A76AD8">
            <w:pPr>
              <w:keepNext/>
              <w:jc w:val="center"/>
              <w:rPr>
                <w:rFonts w:ascii="Arial Narrow" w:hAnsi="Arial Narrow"/>
                <w:i/>
                <w:color w:val="000000"/>
                <w:sz w:val="20"/>
                <w:szCs w:val="18"/>
              </w:rPr>
            </w:pPr>
            <w:r w:rsidRPr="00F875E6">
              <w:rPr>
                <w:rFonts w:ascii="Arial Narrow" w:hAnsi="Arial Narrow"/>
                <w:i/>
                <w:color w:val="000000"/>
                <w:sz w:val="20"/>
                <w:szCs w:val="18"/>
              </w:rPr>
              <w:t>8</w:t>
            </w:r>
          </w:p>
        </w:tc>
        <w:tc>
          <w:tcPr>
            <w:tcW w:w="599" w:type="pct"/>
            <w:vAlign w:val="center"/>
          </w:tcPr>
          <w:p w:rsidR="00511A49" w:rsidRPr="00F875E6" w:rsidRDefault="00511A49" w:rsidP="00A76AD8">
            <w:pPr>
              <w:keepNext/>
              <w:jc w:val="center"/>
              <w:rPr>
                <w:rFonts w:ascii="Arial Narrow" w:hAnsi="Arial Narrow"/>
                <w:i/>
                <w:color w:val="000000"/>
                <w:sz w:val="20"/>
                <w:szCs w:val="18"/>
              </w:rPr>
            </w:pPr>
            <w:r w:rsidRPr="00F875E6">
              <w:rPr>
                <w:rFonts w:ascii="Arial Narrow" w:hAnsi="Arial Narrow"/>
                <w:i/>
                <w:color w:val="000000"/>
                <w:sz w:val="20"/>
                <w:szCs w:val="18"/>
              </w:rPr>
              <w:t>24</w:t>
            </w:r>
          </w:p>
        </w:tc>
        <w:tc>
          <w:tcPr>
            <w:tcW w:w="578" w:type="pct"/>
            <w:vAlign w:val="center"/>
          </w:tcPr>
          <w:p w:rsidR="00511A49" w:rsidRPr="00F875E6" w:rsidRDefault="00511A49" w:rsidP="00A76AD8">
            <w:pPr>
              <w:keepNext/>
              <w:jc w:val="center"/>
              <w:rPr>
                <w:rFonts w:ascii="Arial Narrow" w:hAnsi="Arial Narrow"/>
                <w:i/>
                <w:color w:val="000000"/>
                <w:sz w:val="20"/>
                <w:szCs w:val="18"/>
              </w:rPr>
            </w:pPr>
            <w:r w:rsidRPr="00F875E6">
              <w:rPr>
                <w:rFonts w:ascii="Arial Narrow" w:hAnsi="Arial Narrow"/>
                <w:i/>
                <w:color w:val="000000"/>
                <w:sz w:val="20"/>
                <w:szCs w:val="18"/>
              </w:rPr>
              <w:t>2</w:t>
            </w:r>
          </w:p>
        </w:tc>
      </w:tr>
      <w:tr w:rsidR="00511A49" w:rsidRPr="00F875E6" w:rsidTr="003B22B8">
        <w:tc>
          <w:tcPr>
            <w:tcW w:w="1117" w:type="pct"/>
            <w:shd w:val="clear" w:color="auto" w:fill="auto"/>
            <w:vAlign w:val="center"/>
          </w:tcPr>
          <w:p w:rsidR="00511A49" w:rsidRPr="00F875E6" w:rsidRDefault="00511A49" w:rsidP="00A76AD8">
            <w:pPr>
              <w:keepNext/>
              <w:rPr>
                <w:rFonts w:ascii="Arial Narrow" w:hAnsi="Arial Narrow"/>
                <w:i/>
                <w:color w:val="000000"/>
                <w:sz w:val="20"/>
                <w:szCs w:val="18"/>
              </w:rPr>
            </w:pPr>
            <w:r w:rsidRPr="00F875E6">
              <w:rPr>
                <w:rFonts w:ascii="Arial Narrow" w:hAnsi="Arial Narrow"/>
                <w:i/>
                <w:color w:val="000000"/>
                <w:sz w:val="20"/>
                <w:szCs w:val="18"/>
              </w:rPr>
              <w:t>Grade 3</w:t>
            </w:r>
            <w:r w:rsidR="008135E2" w:rsidRPr="00F875E6">
              <w:rPr>
                <w:rFonts w:ascii="Arial Narrow" w:hAnsi="Arial Narrow"/>
                <w:i/>
                <w:color w:val="000000"/>
                <w:sz w:val="20"/>
                <w:szCs w:val="18"/>
              </w:rPr>
              <w:t xml:space="preserve"> or </w:t>
            </w:r>
            <w:r w:rsidRPr="00F875E6">
              <w:rPr>
                <w:rFonts w:ascii="Arial Narrow" w:hAnsi="Arial Narrow"/>
                <w:i/>
                <w:color w:val="000000"/>
                <w:sz w:val="20"/>
                <w:szCs w:val="18"/>
              </w:rPr>
              <w:t>4</w:t>
            </w:r>
          </w:p>
        </w:tc>
        <w:tc>
          <w:tcPr>
            <w:tcW w:w="675" w:type="pct"/>
            <w:vAlign w:val="center"/>
          </w:tcPr>
          <w:p w:rsidR="00511A49" w:rsidRPr="00F875E6" w:rsidRDefault="00511A49" w:rsidP="00A76AD8">
            <w:pPr>
              <w:keepNext/>
              <w:jc w:val="center"/>
              <w:rPr>
                <w:rFonts w:ascii="Arial Narrow" w:hAnsi="Arial Narrow"/>
                <w:i/>
                <w:color w:val="000000"/>
                <w:sz w:val="20"/>
                <w:szCs w:val="18"/>
              </w:rPr>
            </w:pPr>
          </w:p>
        </w:tc>
        <w:tc>
          <w:tcPr>
            <w:tcW w:w="675" w:type="pct"/>
            <w:vAlign w:val="center"/>
          </w:tcPr>
          <w:p w:rsidR="00511A49" w:rsidRPr="00F875E6" w:rsidRDefault="00511A49" w:rsidP="00A76AD8">
            <w:pPr>
              <w:keepNext/>
              <w:jc w:val="center"/>
              <w:rPr>
                <w:rFonts w:ascii="Arial Narrow" w:hAnsi="Arial Narrow"/>
                <w:i/>
                <w:color w:val="000000"/>
                <w:sz w:val="20"/>
                <w:szCs w:val="18"/>
              </w:rPr>
            </w:pPr>
          </w:p>
        </w:tc>
        <w:tc>
          <w:tcPr>
            <w:tcW w:w="677" w:type="pct"/>
            <w:tcBorders>
              <w:right w:val="double" w:sz="4" w:space="0" w:color="auto"/>
            </w:tcBorders>
            <w:vAlign w:val="center"/>
          </w:tcPr>
          <w:p w:rsidR="00511A49" w:rsidRPr="00F875E6" w:rsidRDefault="00511A49" w:rsidP="00A76AD8">
            <w:pPr>
              <w:keepNext/>
              <w:jc w:val="center"/>
              <w:rPr>
                <w:rFonts w:ascii="Arial Narrow" w:hAnsi="Arial Narrow"/>
                <w:i/>
                <w:color w:val="000000"/>
                <w:sz w:val="20"/>
                <w:szCs w:val="18"/>
              </w:rPr>
            </w:pPr>
          </w:p>
        </w:tc>
        <w:tc>
          <w:tcPr>
            <w:tcW w:w="679" w:type="pct"/>
            <w:tcBorders>
              <w:left w:val="double" w:sz="4" w:space="0" w:color="auto"/>
            </w:tcBorders>
            <w:vAlign w:val="center"/>
          </w:tcPr>
          <w:p w:rsidR="00511A49" w:rsidRPr="00F875E6" w:rsidRDefault="00511A49" w:rsidP="00A76AD8">
            <w:pPr>
              <w:keepNext/>
              <w:jc w:val="center"/>
              <w:rPr>
                <w:rFonts w:ascii="Arial Narrow" w:hAnsi="Arial Narrow"/>
                <w:i/>
                <w:color w:val="000000"/>
                <w:sz w:val="20"/>
                <w:szCs w:val="18"/>
              </w:rPr>
            </w:pPr>
            <w:r w:rsidRPr="00F875E6">
              <w:rPr>
                <w:rFonts w:ascii="Arial Narrow" w:hAnsi="Arial Narrow"/>
                <w:i/>
                <w:color w:val="000000"/>
                <w:sz w:val="20"/>
                <w:szCs w:val="18"/>
              </w:rPr>
              <w:t>1</w:t>
            </w:r>
          </w:p>
        </w:tc>
        <w:tc>
          <w:tcPr>
            <w:tcW w:w="599" w:type="pct"/>
            <w:vAlign w:val="center"/>
          </w:tcPr>
          <w:p w:rsidR="00511A49" w:rsidRPr="00F875E6" w:rsidRDefault="00511A49" w:rsidP="00A76AD8">
            <w:pPr>
              <w:keepNext/>
              <w:jc w:val="center"/>
              <w:rPr>
                <w:rFonts w:ascii="Arial Narrow" w:hAnsi="Arial Narrow"/>
                <w:i/>
                <w:color w:val="000000"/>
                <w:sz w:val="20"/>
                <w:szCs w:val="18"/>
              </w:rPr>
            </w:pPr>
            <w:r w:rsidRPr="00F875E6">
              <w:rPr>
                <w:rFonts w:ascii="Arial Narrow" w:hAnsi="Arial Narrow"/>
                <w:i/>
                <w:color w:val="000000"/>
                <w:sz w:val="20"/>
                <w:szCs w:val="18"/>
              </w:rPr>
              <w:t>0</w:t>
            </w:r>
          </w:p>
        </w:tc>
        <w:tc>
          <w:tcPr>
            <w:tcW w:w="578" w:type="pct"/>
            <w:vAlign w:val="center"/>
          </w:tcPr>
          <w:p w:rsidR="00511A49" w:rsidRPr="00F875E6" w:rsidRDefault="00511A49" w:rsidP="00A76AD8">
            <w:pPr>
              <w:keepNext/>
              <w:jc w:val="center"/>
              <w:rPr>
                <w:rFonts w:ascii="Arial Narrow" w:hAnsi="Arial Narrow"/>
                <w:i/>
                <w:color w:val="000000"/>
                <w:sz w:val="20"/>
                <w:szCs w:val="18"/>
              </w:rPr>
            </w:pPr>
            <w:r w:rsidRPr="00F875E6">
              <w:rPr>
                <w:rFonts w:ascii="Arial Narrow" w:hAnsi="Arial Narrow"/>
                <w:i/>
                <w:color w:val="000000"/>
                <w:sz w:val="20"/>
                <w:szCs w:val="18"/>
              </w:rPr>
              <w:t>0</w:t>
            </w:r>
          </w:p>
        </w:tc>
      </w:tr>
    </w:tbl>
    <w:p w:rsidR="0045342E" w:rsidRPr="00F875E6" w:rsidRDefault="0045342E" w:rsidP="00A76AD8">
      <w:pPr>
        <w:pStyle w:val="TableFooter"/>
        <w:keepNext/>
        <w:ind w:firstLine="720"/>
      </w:pPr>
      <w:r w:rsidRPr="00F875E6">
        <w:t>Source: Compiled during the evaluation</w:t>
      </w:r>
    </w:p>
    <w:p w:rsidR="0045342E" w:rsidRPr="00F875E6" w:rsidRDefault="0045342E" w:rsidP="00A76AD8">
      <w:pPr>
        <w:pStyle w:val="TableFooter"/>
        <w:keepNext/>
        <w:ind w:left="709" w:firstLine="11"/>
      </w:pPr>
      <w:r w:rsidRPr="00F875E6">
        <w:t>CML = chronic myeloid leukaemia; MCyR = major cytogenetic response; TKI = tyrosine kinase inhibitor</w:t>
      </w:r>
      <w:r w:rsidR="002510AA" w:rsidRPr="00F875E6">
        <w:t xml:space="preserve">; </w:t>
      </w:r>
      <w:r w:rsidR="002510AA" w:rsidRPr="00F875E6">
        <w:rPr>
          <w:i/>
        </w:rPr>
        <w:t>italics</w:t>
      </w:r>
      <w:r w:rsidR="002510AA" w:rsidRPr="00F875E6">
        <w:t xml:space="preserve"> = performed during evaluation</w:t>
      </w:r>
    </w:p>
    <w:p w:rsidR="007F4192" w:rsidRPr="00F875E6" w:rsidRDefault="007F4192" w:rsidP="0045342E">
      <w:pPr>
        <w:pStyle w:val="TableFooter"/>
        <w:ind w:firstLine="720"/>
      </w:pPr>
    </w:p>
    <w:p w:rsidR="007F4192" w:rsidRPr="00F875E6" w:rsidRDefault="00E01CDE" w:rsidP="00546EB9">
      <w:pPr>
        <w:pStyle w:val="ListParagraph"/>
        <w:widowControl/>
        <w:numPr>
          <w:ilvl w:val="1"/>
          <w:numId w:val="4"/>
        </w:numPr>
        <w:rPr>
          <w:szCs w:val="22"/>
        </w:rPr>
      </w:pPr>
      <w:r w:rsidRPr="00F875E6">
        <w:t xml:space="preserve">From the available evidence, </w:t>
      </w:r>
      <w:r w:rsidR="00B32B26" w:rsidRPr="00F875E6">
        <w:t>i</w:t>
      </w:r>
      <w:r w:rsidR="007F4192" w:rsidRPr="00F875E6">
        <w:t>t was unclear whether ponatinib would be more or less effective than nilotinib and dasatinib in patients with CML or Ph+ ALL</w:t>
      </w:r>
      <w:r w:rsidR="00346650" w:rsidRPr="00F875E6">
        <w:t>, in the absence of the T315I mutation</w:t>
      </w:r>
      <w:r w:rsidR="007F4192" w:rsidRPr="00F875E6">
        <w:t>.</w:t>
      </w:r>
      <w:r w:rsidR="00346650" w:rsidRPr="00F875E6">
        <w:t xml:space="preserve"> Ponatinib appears more effective in patients with the T315I mutation.</w:t>
      </w:r>
      <w:r w:rsidR="00FD4A00" w:rsidRPr="00F875E6">
        <w:t xml:space="preserve"> The efficacy of ponatinib in second or third line in patients with T315I mutant CML appears similar to that of dasatinib and nilotinib as later line therapy of the non-T315I CML</w:t>
      </w:r>
      <w:r w:rsidR="00546EB9" w:rsidRPr="00F875E6">
        <w:t>.</w:t>
      </w:r>
    </w:p>
    <w:p w:rsidR="00346650" w:rsidRPr="00F875E6" w:rsidRDefault="00346650" w:rsidP="00346650">
      <w:pPr>
        <w:pStyle w:val="ListParagraph"/>
        <w:widowControl/>
        <w:rPr>
          <w:szCs w:val="22"/>
        </w:rPr>
      </w:pPr>
    </w:p>
    <w:p w:rsidR="007F4192" w:rsidRPr="00F875E6" w:rsidRDefault="007F4192" w:rsidP="007F4192">
      <w:pPr>
        <w:pStyle w:val="ListParagraph"/>
        <w:widowControl/>
        <w:numPr>
          <w:ilvl w:val="1"/>
          <w:numId w:val="4"/>
        </w:numPr>
        <w:rPr>
          <w:szCs w:val="22"/>
        </w:rPr>
      </w:pPr>
      <w:r w:rsidRPr="00F875E6">
        <w:t>Based on single</w:t>
      </w:r>
      <w:r w:rsidR="009F5961" w:rsidRPr="00F875E6">
        <w:t>-</w:t>
      </w:r>
      <w:r w:rsidRPr="00F875E6">
        <w:t>arm non-comparative evidence, for every 100 patients treated with ponatinib in comparison with dasatinib over a duration of follow-up of approximately 2</w:t>
      </w:r>
      <w:r w:rsidR="001E27FE" w:rsidRPr="00F875E6">
        <w:t> </w:t>
      </w:r>
      <w:r w:rsidRPr="00F875E6">
        <w:t>to 3 year</w:t>
      </w:r>
      <w:r w:rsidR="001F37D8" w:rsidRPr="00F875E6">
        <w:t>s</w:t>
      </w:r>
      <w:r w:rsidRPr="00F875E6">
        <w:t>:</w:t>
      </w:r>
    </w:p>
    <w:p w:rsidR="007F4192" w:rsidRPr="00F875E6" w:rsidRDefault="007F4192" w:rsidP="007D4DD5">
      <w:pPr>
        <w:pStyle w:val="ListParagraph"/>
        <w:numPr>
          <w:ilvl w:val="0"/>
          <w:numId w:val="33"/>
        </w:numPr>
      </w:pPr>
      <w:r w:rsidRPr="00F875E6">
        <w:t xml:space="preserve">approximately 14 additional patients would have a </w:t>
      </w:r>
      <w:r w:rsidR="009C5656" w:rsidRPr="00F875E6">
        <w:t>G</w:t>
      </w:r>
      <w:r w:rsidR="008135E2" w:rsidRPr="00F875E6">
        <w:t xml:space="preserve">rade 3 or </w:t>
      </w:r>
      <w:r w:rsidRPr="00F875E6">
        <w:t>4 vascular occlusive event</w:t>
      </w:r>
      <w:r w:rsidR="009C5656" w:rsidRPr="00F875E6">
        <w:t>;</w:t>
      </w:r>
    </w:p>
    <w:p w:rsidR="007F4192" w:rsidRPr="00F875E6" w:rsidRDefault="007F4192" w:rsidP="007D4DD5">
      <w:pPr>
        <w:pStyle w:val="ListParagraph"/>
        <w:numPr>
          <w:ilvl w:val="0"/>
          <w:numId w:val="33"/>
        </w:numPr>
      </w:pPr>
      <w:r w:rsidRPr="00F875E6">
        <w:t>approximately 16 fewer patients would have pleural effusions (all grades)</w:t>
      </w:r>
      <w:r w:rsidR="009C5656" w:rsidRPr="00F875E6">
        <w:t>;</w:t>
      </w:r>
    </w:p>
    <w:p w:rsidR="00E01CDE" w:rsidRPr="00F875E6" w:rsidRDefault="00E01CDE" w:rsidP="007D4DD5">
      <w:pPr>
        <w:pStyle w:val="ListParagraph"/>
        <w:numPr>
          <w:ilvl w:val="0"/>
          <w:numId w:val="33"/>
        </w:numPr>
      </w:pPr>
      <w:r w:rsidRPr="00F875E6">
        <w:t xml:space="preserve">approximately </w:t>
      </w:r>
      <w:r w:rsidR="009C5656" w:rsidRPr="00F875E6">
        <w:t>one</w:t>
      </w:r>
      <w:r w:rsidRPr="00F875E6">
        <w:t xml:space="preserve"> additional patient would have </w:t>
      </w:r>
      <w:r w:rsidR="003C2E07" w:rsidRPr="00F875E6">
        <w:t xml:space="preserve">a </w:t>
      </w:r>
      <w:r w:rsidR="009C5656" w:rsidRPr="00F875E6">
        <w:t>G</w:t>
      </w:r>
      <w:r w:rsidR="008135E2" w:rsidRPr="00F875E6">
        <w:t xml:space="preserve">rade 3 or </w:t>
      </w:r>
      <w:r w:rsidRPr="00F875E6">
        <w:t>4 pleural effusion</w:t>
      </w:r>
      <w:r w:rsidR="009C5656" w:rsidRPr="00F875E6">
        <w:t>.</w:t>
      </w:r>
    </w:p>
    <w:p w:rsidR="007F4192" w:rsidRPr="00F875E6" w:rsidRDefault="007F4192" w:rsidP="007D4DD5">
      <w:pPr>
        <w:pStyle w:val="ListParagraph"/>
        <w:widowControl/>
        <w:rPr>
          <w:szCs w:val="22"/>
        </w:rPr>
      </w:pPr>
    </w:p>
    <w:p w:rsidR="007F4192" w:rsidRPr="00F875E6" w:rsidRDefault="007F4192" w:rsidP="007F4192">
      <w:pPr>
        <w:pStyle w:val="ListParagraph"/>
        <w:widowControl/>
        <w:numPr>
          <w:ilvl w:val="1"/>
          <w:numId w:val="4"/>
        </w:numPr>
        <w:rPr>
          <w:szCs w:val="22"/>
        </w:rPr>
      </w:pPr>
      <w:r w:rsidRPr="00F875E6">
        <w:t>Based on single</w:t>
      </w:r>
      <w:r w:rsidR="009F5961" w:rsidRPr="00F875E6">
        <w:t>-</w:t>
      </w:r>
      <w:r w:rsidRPr="00F875E6">
        <w:t xml:space="preserve">arm non-comparative evidence, for every 100 patients treated with ponatinib in comparison with </w:t>
      </w:r>
      <w:r w:rsidR="00091A64" w:rsidRPr="00F875E6">
        <w:t>nilotinib</w:t>
      </w:r>
      <w:r w:rsidRPr="00F875E6">
        <w:t xml:space="preserve"> over a duration of follow-up of approximately 2</w:t>
      </w:r>
      <w:r w:rsidR="001E27FE" w:rsidRPr="00F875E6">
        <w:t> </w:t>
      </w:r>
      <w:r w:rsidRPr="00F875E6">
        <w:t>to 3 year</w:t>
      </w:r>
      <w:r w:rsidR="001F37D8" w:rsidRPr="00F875E6">
        <w:t>s</w:t>
      </w:r>
      <w:r w:rsidRPr="00F875E6">
        <w:t>:</w:t>
      </w:r>
    </w:p>
    <w:p w:rsidR="007F4192" w:rsidRPr="00F875E6" w:rsidRDefault="007F4192" w:rsidP="00A76AD8">
      <w:pPr>
        <w:pStyle w:val="ListParagraph"/>
        <w:widowControl/>
        <w:numPr>
          <w:ilvl w:val="0"/>
          <w:numId w:val="33"/>
        </w:numPr>
        <w:ind w:left="1434" w:hanging="357"/>
      </w:pPr>
      <w:r w:rsidRPr="00F875E6">
        <w:t xml:space="preserve">approximately 12 additional patients would have a </w:t>
      </w:r>
      <w:r w:rsidR="00234746" w:rsidRPr="00F875E6">
        <w:t>G</w:t>
      </w:r>
      <w:r w:rsidR="008135E2" w:rsidRPr="00F875E6">
        <w:t xml:space="preserve">rade 3 or </w:t>
      </w:r>
      <w:r w:rsidRPr="00F875E6">
        <w:t>4 vascular occlusive event</w:t>
      </w:r>
      <w:r w:rsidR="009C5656" w:rsidRPr="00F875E6">
        <w:t>;</w:t>
      </w:r>
    </w:p>
    <w:p w:rsidR="007F4192" w:rsidRPr="00F875E6" w:rsidRDefault="007F4192" w:rsidP="00A76AD8">
      <w:pPr>
        <w:pStyle w:val="ListParagraph"/>
        <w:widowControl/>
        <w:numPr>
          <w:ilvl w:val="0"/>
          <w:numId w:val="33"/>
        </w:numPr>
        <w:ind w:left="1434" w:hanging="357"/>
      </w:pPr>
      <w:r w:rsidRPr="00F875E6">
        <w:t>approximately 6 additional patients would have pleural effusions (all grades)</w:t>
      </w:r>
      <w:r w:rsidR="009C5656" w:rsidRPr="00F875E6">
        <w:t>;</w:t>
      </w:r>
    </w:p>
    <w:p w:rsidR="00E01CDE" w:rsidRPr="00F875E6" w:rsidRDefault="00E01CDE" w:rsidP="00A76AD8">
      <w:pPr>
        <w:pStyle w:val="ListParagraph"/>
        <w:widowControl/>
        <w:numPr>
          <w:ilvl w:val="0"/>
          <w:numId w:val="33"/>
        </w:numPr>
        <w:ind w:left="1434" w:hanging="357"/>
      </w:pPr>
      <w:r w:rsidRPr="00F875E6">
        <w:t xml:space="preserve">approximately </w:t>
      </w:r>
      <w:r w:rsidR="009C5656" w:rsidRPr="00F875E6">
        <w:t>one</w:t>
      </w:r>
      <w:r w:rsidRPr="00F875E6">
        <w:t xml:space="preserve"> additional patient would have </w:t>
      </w:r>
      <w:r w:rsidR="003C2E07" w:rsidRPr="00F875E6">
        <w:t xml:space="preserve">a </w:t>
      </w:r>
      <w:r w:rsidR="00234746" w:rsidRPr="00F875E6">
        <w:t>G</w:t>
      </w:r>
      <w:r w:rsidR="008135E2" w:rsidRPr="00F875E6">
        <w:t xml:space="preserve">rade 3 or </w:t>
      </w:r>
      <w:r w:rsidRPr="00F875E6">
        <w:t>4 pleural effusion</w:t>
      </w:r>
      <w:r w:rsidR="009C5656" w:rsidRPr="00F875E6">
        <w:t>.</w:t>
      </w:r>
    </w:p>
    <w:p w:rsidR="00B60939" w:rsidRPr="00F875E6" w:rsidRDefault="00B60939" w:rsidP="00FC1884"/>
    <w:p w:rsidR="00B60939" w:rsidRPr="00F875E6" w:rsidRDefault="00B60939" w:rsidP="00D06FD4">
      <w:pPr>
        <w:pStyle w:val="Heading2"/>
        <w:rPr>
          <w:i/>
        </w:rPr>
      </w:pPr>
      <w:bookmarkStart w:id="12" w:name="_Toc419470602"/>
      <w:r w:rsidRPr="00F875E6">
        <w:rPr>
          <w:i/>
        </w:rPr>
        <w:t>Clinical claim</w:t>
      </w:r>
      <w:bookmarkEnd w:id="12"/>
    </w:p>
    <w:p w:rsidR="00B60939" w:rsidRPr="00F875E6" w:rsidRDefault="00B60939" w:rsidP="00D06FD4">
      <w:pPr>
        <w:pStyle w:val="BodyText"/>
      </w:pPr>
    </w:p>
    <w:p w:rsidR="00B60939" w:rsidRPr="00F875E6" w:rsidRDefault="005B6BD3" w:rsidP="006D1EE0">
      <w:pPr>
        <w:pStyle w:val="ListParagraph"/>
        <w:widowControl/>
        <w:numPr>
          <w:ilvl w:val="1"/>
          <w:numId w:val="4"/>
        </w:numPr>
        <w:rPr>
          <w:szCs w:val="22"/>
        </w:rPr>
      </w:pPr>
      <w:r w:rsidRPr="00F875E6">
        <w:t xml:space="preserve">The re-submission described ponatinib as non-inferior in terms of comparative effectiveness and inferior in terms of comparative safety over dasatinib and nilotinib. In the previous submission, the re-submission made the same claim in terms of comparative effectiveness and no claim in terms of comparative safety. The clinical claim </w:t>
      </w:r>
      <w:r w:rsidR="008059A9" w:rsidRPr="00F875E6">
        <w:t>in the re-submission was</w:t>
      </w:r>
      <w:r w:rsidRPr="00F875E6">
        <w:t xml:space="preserve"> consistent with the PBAC recommendation.</w:t>
      </w:r>
    </w:p>
    <w:p w:rsidR="008D0517" w:rsidRPr="00F875E6" w:rsidRDefault="008D0517" w:rsidP="008D0517">
      <w:pPr>
        <w:pStyle w:val="PBACheading1"/>
        <w:numPr>
          <w:ilvl w:val="0"/>
          <w:numId w:val="0"/>
        </w:numPr>
      </w:pPr>
    </w:p>
    <w:p w:rsidR="008D0517" w:rsidRPr="00F875E6" w:rsidRDefault="008D0517" w:rsidP="008D0517">
      <w:pPr>
        <w:pStyle w:val="ListParagraph"/>
        <w:widowControl/>
        <w:numPr>
          <w:ilvl w:val="1"/>
          <w:numId w:val="4"/>
        </w:numPr>
      </w:pPr>
      <w:r w:rsidRPr="00F875E6">
        <w:t>The evaluation noted that the indirect evidence to support the comparative effectiveness and safety of ponatinib compared with dasatinib and nilotinib remained uncertain because:</w:t>
      </w:r>
    </w:p>
    <w:p w:rsidR="008D0517" w:rsidRPr="00F875E6" w:rsidRDefault="008D0517" w:rsidP="008D0517">
      <w:pPr>
        <w:pStyle w:val="ListParagraph"/>
        <w:numPr>
          <w:ilvl w:val="0"/>
          <w:numId w:val="27"/>
        </w:numPr>
        <w:ind w:left="1134" w:right="135" w:hanging="425"/>
      </w:pPr>
      <w:r w:rsidRPr="00F875E6">
        <w:t>the evidence for ponatinib was based on three single-arm studies (PACE study, Study 101, and Milojkovic 2014); while the evidence for dasatinib and nilotinib was based on nine studies, most of which were observational and single centre studies;</w:t>
      </w:r>
    </w:p>
    <w:p w:rsidR="008D0517" w:rsidRPr="00F875E6" w:rsidRDefault="008D0517" w:rsidP="008D0517">
      <w:pPr>
        <w:pStyle w:val="ListParagraph"/>
        <w:numPr>
          <w:ilvl w:val="0"/>
          <w:numId w:val="27"/>
        </w:numPr>
        <w:ind w:left="1134" w:right="135" w:hanging="425"/>
      </w:pPr>
      <w:r w:rsidRPr="00F875E6">
        <w:t>there was no common comparator between the ponatinib, dasatinib and nilotinib studies making it difficult to compare effectiveness; and</w:t>
      </w:r>
    </w:p>
    <w:p w:rsidR="008D0517" w:rsidRPr="00F875E6" w:rsidRDefault="008D0517" w:rsidP="008D0517">
      <w:pPr>
        <w:pStyle w:val="ListParagraph"/>
        <w:numPr>
          <w:ilvl w:val="0"/>
          <w:numId w:val="27"/>
        </w:numPr>
        <w:ind w:left="1134" w:right="135" w:hanging="425"/>
      </w:pPr>
      <w:r w:rsidRPr="00F875E6">
        <w:t>the populations in the reported studies were highly heterogeneous.</w:t>
      </w:r>
    </w:p>
    <w:p w:rsidR="003A67E7" w:rsidRPr="00F875E6" w:rsidRDefault="003A67E7" w:rsidP="003A67E7">
      <w:pPr>
        <w:widowControl/>
        <w:rPr>
          <w:szCs w:val="22"/>
        </w:rPr>
      </w:pPr>
    </w:p>
    <w:p w:rsidR="00B60939" w:rsidRPr="00F875E6" w:rsidRDefault="00B60939" w:rsidP="00497F10">
      <w:pPr>
        <w:pStyle w:val="Heading2"/>
        <w:rPr>
          <w:i/>
        </w:rPr>
      </w:pPr>
      <w:bookmarkStart w:id="13" w:name="_Toc419470603"/>
      <w:r w:rsidRPr="00F875E6">
        <w:rPr>
          <w:i/>
        </w:rPr>
        <w:t>Economic analysis</w:t>
      </w:r>
      <w:bookmarkEnd w:id="13"/>
      <w:r w:rsidR="00491B3A" w:rsidRPr="00F875E6">
        <w:rPr>
          <w:i/>
        </w:rPr>
        <w:t xml:space="preserve"> </w:t>
      </w:r>
    </w:p>
    <w:p w:rsidR="00B60939" w:rsidRPr="00F875E6" w:rsidRDefault="00B60939" w:rsidP="00B60939">
      <w:pPr>
        <w:ind w:left="720" w:hanging="720"/>
        <w:rPr>
          <w:szCs w:val="22"/>
        </w:rPr>
      </w:pPr>
    </w:p>
    <w:p w:rsidR="00B60939" w:rsidRPr="00F875E6" w:rsidRDefault="00680C95" w:rsidP="006D1EE0">
      <w:pPr>
        <w:pStyle w:val="ListParagraph"/>
        <w:widowControl/>
        <w:numPr>
          <w:ilvl w:val="1"/>
          <w:numId w:val="4"/>
        </w:numPr>
        <w:rPr>
          <w:szCs w:val="22"/>
        </w:rPr>
      </w:pPr>
      <w:r w:rsidRPr="00F875E6">
        <w:t>The re-submission present</w:t>
      </w:r>
      <w:r w:rsidR="005B6BD3" w:rsidRPr="00F875E6">
        <w:t>ed</w:t>
      </w:r>
      <w:r w:rsidRPr="00F875E6">
        <w:t xml:space="preserve"> a cost-minimisation analysis for ponatinib.</w:t>
      </w:r>
      <w:r w:rsidR="005B6BD3" w:rsidRPr="00F875E6">
        <w:t xml:space="preserve"> This was similar to the previous submission. The re-submission updated the equi-effective dose compared with the previous submission to reflect the PBAC recommendation. </w:t>
      </w:r>
    </w:p>
    <w:p w:rsidR="00A86E8B" w:rsidRPr="00F875E6" w:rsidRDefault="00A86E8B" w:rsidP="00A86E8B">
      <w:pPr>
        <w:widowControl/>
        <w:rPr>
          <w:szCs w:val="22"/>
        </w:rPr>
      </w:pPr>
    </w:p>
    <w:p w:rsidR="00680C95" w:rsidRPr="00F875E6" w:rsidRDefault="00A86E8B" w:rsidP="006D1EE0">
      <w:pPr>
        <w:pStyle w:val="ListParagraph"/>
        <w:widowControl/>
        <w:numPr>
          <w:ilvl w:val="1"/>
          <w:numId w:val="4"/>
        </w:numPr>
        <w:rPr>
          <w:szCs w:val="22"/>
        </w:rPr>
      </w:pPr>
      <w:r w:rsidRPr="00F875E6">
        <w:t xml:space="preserve">The equi-effective doses </w:t>
      </w:r>
      <w:r w:rsidR="005B6BD3" w:rsidRPr="00F875E6">
        <w:t>we</w:t>
      </w:r>
      <w:r w:rsidRPr="00F875E6">
        <w:t>re estimated as</w:t>
      </w:r>
      <w:r w:rsidR="00680C95" w:rsidRPr="00F875E6">
        <w:t>:</w:t>
      </w:r>
    </w:p>
    <w:p w:rsidR="00680C95" w:rsidRPr="00F875E6" w:rsidRDefault="00680C95" w:rsidP="00680C95">
      <w:pPr>
        <w:pStyle w:val="ListParagraph"/>
      </w:pPr>
    </w:p>
    <w:p w:rsidR="00680C95" w:rsidRPr="00F875E6" w:rsidRDefault="00680C95" w:rsidP="00680C95">
      <w:pPr>
        <w:pStyle w:val="ListParagraph"/>
        <w:widowControl/>
      </w:pPr>
      <w:r w:rsidRPr="00F875E6">
        <w:t xml:space="preserve">Ponatinib </w:t>
      </w:r>
      <w:r w:rsidR="005B6BD3" w:rsidRPr="00F875E6">
        <w:t>3</w:t>
      </w:r>
      <w:r w:rsidR="002C4C8B" w:rsidRPr="00F875E6">
        <w:t>0.2</w:t>
      </w:r>
      <w:r w:rsidRPr="00F875E6">
        <w:t xml:space="preserve"> mg</w:t>
      </w:r>
      <w:r w:rsidR="002C4C8B" w:rsidRPr="00F875E6">
        <w:t xml:space="preserve"> daily = Dasatinib 102</w:t>
      </w:r>
      <w:r w:rsidRPr="00F875E6">
        <w:t xml:space="preserve"> mg daily = Nilotinib </w:t>
      </w:r>
      <w:r w:rsidR="002C4C8B" w:rsidRPr="00F875E6">
        <w:t>797</w:t>
      </w:r>
      <w:r w:rsidRPr="00F875E6">
        <w:t xml:space="preserve"> mg daily</w:t>
      </w:r>
    </w:p>
    <w:p w:rsidR="00E1778A" w:rsidRPr="00F875E6" w:rsidRDefault="00E1778A" w:rsidP="00680C95">
      <w:pPr>
        <w:pStyle w:val="ListParagraph"/>
        <w:widowControl/>
      </w:pPr>
    </w:p>
    <w:p w:rsidR="00E1778A" w:rsidRPr="00F875E6" w:rsidRDefault="00E1778A" w:rsidP="00680C95">
      <w:pPr>
        <w:pStyle w:val="ListParagraph"/>
        <w:widowControl/>
      </w:pPr>
      <w:r w:rsidRPr="00F875E6">
        <w:t xml:space="preserve">These were consistent with the </w:t>
      </w:r>
      <w:r w:rsidR="002E6B50" w:rsidRPr="00F875E6">
        <w:t xml:space="preserve">previous </w:t>
      </w:r>
      <w:r w:rsidRPr="00F875E6">
        <w:t xml:space="preserve">PBAC </w:t>
      </w:r>
      <w:r w:rsidR="002E6B50" w:rsidRPr="00F875E6">
        <w:t>consideration</w:t>
      </w:r>
      <w:r w:rsidRPr="00F875E6">
        <w:t xml:space="preserve">. </w:t>
      </w:r>
    </w:p>
    <w:p w:rsidR="00A86E8B" w:rsidRPr="00F875E6" w:rsidRDefault="00A86E8B" w:rsidP="00A86E8B">
      <w:pPr>
        <w:widowControl/>
        <w:rPr>
          <w:szCs w:val="22"/>
        </w:rPr>
      </w:pPr>
    </w:p>
    <w:p w:rsidR="000656BD" w:rsidRPr="00F875E6" w:rsidRDefault="00E1087C" w:rsidP="000656BD">
      <w:pPr>
        <w:pStyle w:val="ListParagraph"/>
        <w:widowControl/>
        <w:numPr>
          <w:ilvl w:val="1"/>
          <w:numId w:val="4"/>
        </w:numPr>
      </w:pPr>
      <w:r w:rsidRPr="00F875E6">
        <w:t xml:space="preserve">The re-submission included </w:t>
      </w:r>
      <w:r w:rsidR="00147AC9" w:rsidRPr="00F875E6">
        <w:t xml:space="preserve">drug costs and </w:t>
      </w:r>
      <w:r w:rsidRPr="00F875E6">
        <w:t xml:space="preserve">the cost of treating </w:t>
      </w:r>
      <w:r w:rsidR="00234746" w:rsidRPr="00F875E6">
        <w:t>G</w:t>
      </w:r>
      <w:r w:rsidR="00E01CDE" w:rsidRPr="00F875E6">
        <w:t xml:space="preserve">rade 1/2 and </w:t>
      </w:r>
      <w:r w:rsidR="00234746" w:rsidRPr="00F875E6">
        <w:t>G</w:t>
      </w:r>
      <w:r w:rsidR="00E01CDE" w:rsidRPr="00F875E6">
        <w:t xml:space="preserve">rade 3/4 </w:t>
      </w:r>
      <w:r w:rsidRPr="00F875E6">
        <w:t>pleural effusions and vascular occlusive events</w:t>
      </w:r>
      <w:r w:rsidR="008D7B61" w:rsidRPr="00F875E6">
        <w:t xml:space="preserve"> as presented in Table 8</w:t>
      </w:r>
      <w:r w:rsidRPr="00F875E6">
        <w:t xml:space="preserve">. </w:t>
      </w:r>
      <w:r w:rsidR="00470460">
        <w:t>The re</w:t>
      </w:r>
      <w:r w:rsidR="00470460">
        <w:noBreakHyphen/>
      </w:r>
      <w:r w:rsidR="00E07773" w:rsidRPr="00F875E6">
        <w:t>submission acknowledged the higher risk of serious vascular occlusive events associated with ponatinib. However, the re-submission argued that patients treated with dasatinib had an increased risk of pleural effusions</w:t>
      </w:r>
      <w:r w:rsidR="00BA299B" w:rsidRPr="00F875E6">
        <w:t xml:space="preserve">; this </w:t>
      </w:r>
      <w:r w:rsidR="00EA09D7" w:rsidRPr="00F875E6">
        <w:t>wa</w:t>
      </w:r>
      <w:r w:rsidR="00BA299B" w:rsidRPr="00F875E6">
        <w:t>s consistent with the product information for dasatinib and was mentioned in the public summary document for dasatinib (July 2011)</w:t>
      </w:r>
      <w:r w:rsidR="00E07773" w:rsidRPr="00F875E6">
        <w:t xml:space="preserve">. Therefore, the re-submission included the cost of treating pleural effusions </w:t>
      </w:r>
      <w:r w:rsidR="002E1108" w:rsidRPr="00F875E6">
        <w:t xml:space="preserve">and vascular occlusive events </w:t>
      </w:r>
      <w:r w:rsidR="00E07773" w:rsidRPr="00F875E6">
        <w:t>for dasatinib</w:t>
      </w:r>
      <w:r w:rsidR="00F34B9F" w:rsidRPr="00F875E6">
        <w:t>,</w:t>
      </w:r>
      <w:r w:rsidR="002E1108" w:rsidRPr="00F875E6">
        <w:t xml:space="preserve"> nilotinib and ponatinib.</w:t>
      </w:r>
      <w:r w:rsidR="000656BD" w:rsidRPr="00F875E6">
        <w:t xml:space="preserve"> The proportion of the cost of treatment assigned for dasatinib, nilotinib, and ponatinib was not reasonable</w:t>
      </w:r>
      <w:r w:rsidR="006A305A" w:rsidRPr="00F875E6">
        <w:t>.</w:t>
      </w:r>
    </w:p>
    <w:p w:rsidR="000656BD" w:rsidRPr="00F875E6" w:rsidRDefault="000656BD" w:rsidP="000656BD">
      <w:pPr>
        <w:pStyle w:val="PBACheading1"/>
        <w:numPr>
          <w:ilvl w:val="0"/>
          <w:numId w:val="0"/>
        </w:numPr>
        <w:ind w:left="720" w:hanging="720"/>
      </w:pPr>
    </w:p>
    <w:p w:rsidR="00A86E8B" w:rsidRPr="00F875E6" w:rsidRDefault="000656BD" w:rsidP="000656BD">
      <w:pPr>
        <w:pStyle w:val="ListParagraph"/>
        <w:widowControl/>
        <w:numPr>
          <w:ilvl w:val="1"/>
          <w:numId w:val="4"/>
        </w:numPr>
      </w:pPr>
      <w:r w:rsidRPr="00F875E6">
        <w:t xml:space="preserve">In deriving treatment costs for vascular occlusive events, the re-submission assumed that patients with a Grade 1 or 2 vascular occlusive event would require hospitalisation and patients with a Grade 3 or 4 vascular occlusive event would require surgery. </w:t>
      </w:r>
      <w:r w:rsidR="00AD6323" w:rsidRPr="00F875E6">
        <w:t xml:space="preserve">The re-submission assumed that 68.4% of patients who had a vascular occlusive event following any treatment, would require surgery (i.e. be a Grade 3 or 4 event). The proportion of patients requiring surgery was not justified, but </w:t>
      </w:r>
      <w:r w:rsidR="00AD6323" w:rsidRPr="00F875E6">
        <w:rPr>
          <w:lang w:eastAsia="en-AU"/>
        </w:rPr>
        <w:t xml:space="preserve">higher than the estimates from the survey of Australian haematologists who estimated that 32.5% (mean, [min 15.0%, max 100%]) of patients with a VOE would require surgery. </w:t>
      </w:r>
      <w:r w:rsidRPr="00F875E6">
        <w:t>The re-submission estimated the cost of treatment for vascular occlusive events based on the weighted average cost of treatment of four AR-DRG codes. Each cost was weighted by the number of separations. To estimate the cost of treating Grade 1 or 2 vascular occlusive event, the re-submission incorrectly subtracted the cost of operating theatre from the number of separations rather than the average cost per DRG. The re-submission also incorrectly applied the cost of surgery to the proportion of patients with vascular occlusive event not requiring surgery. These were corrected during evaluation and are presented in table below.</w:t>
      </w:r>
      <w:r w:rsidR="00AD6323" w:rsidRPr="00F875E6">
        <w:t xml:space="preserve">  </w:t>
      </w:r>
      <w:r w:rsidRPr="00F875E6">
        <w:t>In deriving treatment costs for pleural effusions, the re-submission assumed that patients with a Grade 1 or 2 pleural effusion would be treated with prednisolone 25 mg and frusemide 20 mg while patients with a Grade 3 or 4 pleural effusion would require drainage. The cost of drainage was based on the AR-DRG code E73C (pleural effusion without complication). These assumptions were poorly justified, but could be reasonable.</w:t>
      </w:r>
    </w:p>
    <w:p w:rsidR="00F631D8" w:rsidRPr="00F875E6" w:rsidRDefault="00F631D8" w:rsidP="008D7B61">
      <w:pPr>
        <w:pStyle w:val="PBACheading1"/>
        <w:numPr>
          <w:ilvl w:val="0"/>
          <w:numId w:val="0"/>
        </w:numPr>
        <w:ind w:left="720"/>
      </w:pPr>
    </w:p>
    <w:p w:rsidR="00F631D8" w:rsidRPr="00F875E6" w:rsidRDefault="00F631D8" w:rsidP="00F34B9F">
      <w:pPr>
        <w:ind w:left="709"/>
        <w:rPr>
          <w:rStyle w:val="CommentReference"/>
        </w:rPr>
      </w:pPr>
      <w:r w:rsidRPr="00F875E6">
        <w:rPr>
          <w:rStyle w:val="CommentReference"/>
        </w:rPr>
        <w:t xml:space="preserve">Table </w:t>
      </w:r>
      <w:r w:rsidR="008D7B61" w:rsidRPr="00F875E6">
        <w:rPr>
          <w:rStyle w:val="CommentReference"/>
        </w:rPr>
        <w:t>8</w:t>
      </w:r>
      <w:r w:rsidRPr="00F875E6">
        <w:rPr>
          <w:rStyle w:val="CommentReference"/>
        </w:rPr>
        <w:t>: Summary of the cost per adverse event for nilotinib, dasatinib and ponatinib per 100 patients</w:t>
      </w:r>
    </w:p>
    <w:tbl>
      <w:tblPr>
        <w:tblW w:w="4561"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5"/>
        <w:gridCol w:w="895"/>
        <w:gridCol w:w="809"/>
        <w:gridCol w:w="941"/>
        <w:gridCol w:w="804"/>
        <w:gridCol w:w="1208"/>
        <w:gridCol w:w="800"/>
        <w:gridCol w:w="704"/>
      </w:tblGrid>
      <w:tr w:rsidR="00E07773" w:rsidRPr="00F875E6" w:rsidTr="00F34B9F">
        <w:trPr>
          <w:tblHeader/>
        </w:trPr>
        <w:tc>
          <w:tcPr>
            <w:tcW w:w="1282" w:type="pct"/>
            <w:vMerge w:val="restart"/>
            <w:vAlign w:val="center"/>
          </w:tcPr>
          <w:p w:rsidR="00F631D8" w:rsidRPr="00F875E6" w:rsidRDefault="00F631D8" w:rsidP="00642292">
            <w:pPr>
              <w:keepNext/>
              <w:jc w:val="left"/>
              <w:outlineLvl w:val="4"/>
              <w:rPr>
                <w:rFonts w:ascii="Arial Narrow" w:hAnsi="Arial Narrow" w:cs="Times New Roman"/>
                <w:b/>
                <w:sz w:val="20"/>
              </w:rPr>
            </w:pPr>
            <w:r w:rsidRPr="00F875E6">
              <w:rPr>
                <w:rFonts w:ascii="Arial Narrow" w:hAnsi="Arial Narrow" w:cs="Times New Roman"/>
                <w:b/>
                <w:sz w:val="20"/>
              </w:rPr>
              <w:t>Type of event</w:t>
            </w:r>
          </w:p>
        </w:tc>
        <w:tc>
          <w:tcPr>
            <w:tcW w:w="540" w:type="pct"/>
            <w:vMerge w:val="restart"/>
            <w:vAlign w:val="center"/>
          </w:tcPr>
          <w:p w:rsidR="00F631D8" w:rsidRPr="00F875E6" w:rsidRDefault="00F631D8" w:rsidP="00642292">
            <w:pPr>
              <w:keepNext/>
              <w:jc w:val="center"/>
              <w:outlineLvl w:val="5"/>
              <w:rPr>
                <w:rFonts w:ascii="Arial Narrow" w:hAnsi="Arial Narrow" w:cs="Times New Roman"/>
                <w:b/>
                <w:sz w:val="20"/>
              </w:rPr>
            </w:pPr>
            <w:r w:rsidRPr="00F875E6">
              <w:rPr>
                <w:rFonts w:ascii="Arial Narrow" w:hAnsi="Arial Narrow" w:cs="Times New Roman"/>
                <w:b/>
                <w:sz w:val="20"/>
              </w:rPr>
              <w:t>Cost/event</w:t>
            </w:r>
          </w:p>
        </w:tc>
        <w:tc>
          <w:tcPr>
            <w:tcW w:w="1056" w:type="pct"/>
            <w:gridSpan w:val="2"/>
            <w:vAlign w:val="center"/>
          </w:tcPr>
          <w:p w:rsidR="00F631D8" w:rsidRPr="00F875E6" w:rsidRDefault="00F631D8" w:rsidP="00642292">
            <w:pPr>
              <w:keepNext/>
              <w:jc w:val="center"/>
              <w:outlineLvl w:val="5"/>
              <w:rPr>
                <w:rFonts w:ascii="Arial Narrow" w:hAnsi="Arial Narrow" w:cs="Times New Roman"/>
                <w:b/>
                <w:sz w:val="20"/>
              </w:rPr>
            </w:pPr>
            <w:r w:rsidRPr="00F875E6">
              <w:rPr>
                <w:rFonts w:ascii="Arial Narrow" w:hAnsi="Arial Narrow" w:cs="Times New Roman"/>
                <w:b/>
                <w:sz w:val="20"/>
              </w:rPr>
              <w:t>Dasatinib</w:t>
            </w:r>
          </w:p>
        </w:tc>
        <w:tc>
          <w:tcPr>
            <w:tcW w:w="1214" w:type="pct"/>
            <w:gridSpan w:val="2"/>
          </w:tcPr>
          <w:p w:rsidR="00F631D8" w:rsidRPr="00F875E6" w:rsidRDefault="00F631D8" w:rsidP="00642292">
            <w:pPr>
              <w:keepNext/>
              <w:jc w:val="center"/>
              <w:outlineLvl w:val="5"/>
              <w:rPr>
                <w:rFonts w:ascii="Arial Narrow" w:hAnsi="Arial Narrow" w:cs="Times New Roman"/>
                <w:b/>
                <w:sz w:val="20"/>
              </w:rPr>
            </w:pPr>
            <w:r w:rsidRPr="00F875E6">
              <w:rPr>
                <w:rFonts w:ascii="Arial Narrow" w:hAnsi="Arial Narrow" w:cs="Times New Roman"/>
                <w:b/>
                <w:sz w:val="20"/>
              </w:rPr>
              <w:t>Nilotinib</w:t>
            </w:r>
          </w:p>
        </w:tc>
        <w:tc>
          <w:tcPr>
            <w:tcW w:w="908" w:type="pct"/>
            <w:gridSpan w:val="2"/>
          </w:tcPr>
          <w:p w:rsidR="00F631D8" w:rsidRPr="00F875E6" w:rsidRDefault="00F631D8" w:rsidP="00642292">
            <w:pPr>
              <w:keepNext/>
              <w:jc w:val="center"/>
              <w:outlineLvl w:val="5"/>
              <w:rPr>
                <w:rFonts w:ascii="Arial Narrow" w:hAnsi="Arial Narrow" w:cs="Times New Roman"/>
                <w:b/>
                <w:sz w:val="20"/>
              </w:rPr>
            </w:pPr>
            <w:r w:rsidRPr="00F875E6">
              <w:rPr>
                <w:rFonts w:ascii="Arial Narrow" w:hAnsi="Arial Narrow" w:cs="Times New Roman"/>
                <w:b/>
                <w:sz w:val="20"/>
              </w:rPr>
              <w:t>Ponatinib</w:t>
            </w:r>
          </w:p>
        </w:tc>
      </w:tr>
      <w:tr w:rsidR="008D7B61" w:rsidRPr="00F875E6" w:rsidTr="00F34B9F">
        <w:trPr>
          <w:tblHeader/>
        </w:trPr>
        <w:tc>
          <w:tcPr>
            <w:tcW w:w="1282" w:type="pct"/>
            <w:vMerge/>
            <w:vAlign w:val="center"/>
          </w:tcPr>
          <w:p w:rsidR="00F631D8" w:rsidRPr="00F875E6" w:rsidRDefault="00F631D8" w:rsidP="00642292">
            <w:pPr>
              <w:jc w:val="left"/>
              <w:rPr>
                <w:rFonts w:ascii="Arial Narrow" w:hAnsi="Arial Narrow" w:cs="Times New Roman"/>
                <w:sz w:val="20"/>
              </w:rPr>
            </w:pPr>
          </w:p>
        </w:tc>
        <w:tc>
          <w:tcPr>
            <w:tcW w:w="540" w:type="pct"/>
            <w:vMerge/>
          </w:tcPr>
          <w:p w:rsidR="00F631D8" w:rsidRPr="00F875E6" w:rsidRDefault="00F631D8" w:rsidP="00642292">
            <w:pPr>
              <w:jc w:val="center"/>
              <w:rPr>
                <w:rFonts w:ascii="Arial Narrow" w:hAnsi="Arial Narrow" w:cs="Times New Roman"/>
                <w:sz w:val="20"/>
              </w:rPr>
            </w:pPr>
          </w:p>
        </w:tc>
        <w:tc>
          <w:tcPr>
            <w:tcW w:w="488" w:type="pct"/>
          </w:tcPr>
          <w:p w:rsidR="00F631D8" w:rsidRPr="00F875E6" w:rsidRDefault="00F631D8" w:rsidP="00642292">
            <w:pPr>
              <w:jc w:val="center"/>
              <w:rPr>
                <w:rFonts w:ascii="Arial Narrow" w:hAnsi="Arial Narrow" w:cs="Times New Roman"/>
                <w:sz w:val="20"/>
              </w:rPr>
            </w:pPr>
            <w:r w:rsidRPr="00F875E6">
              <w:rPr>
                <w:rFonts w:ascii="Arial Narrow" w:hAnsi="Arial Narrow" w:cs="Times New Roman"/>
                <w:sz w:val="20"/>
              </w:rPr>
              <w:t xml:space="preserve">Rate </w:t>
            </w:r>
            <w:r w:rsidRPr="00F875E6">
              <w:rPr>
                <w:rFonts w:ascii="Arial Narrow" w:hAnsi="Arial Narrow" w:cs="Times New Roman"/>
                <w:sz w:val="20"/>
                <w:vertAlign w:val="superscript"/>
              </w:rPr>
              <w:t>a</w:t>
            </w:r>
          </w:p>
        </w:tc>
        <w:tc>
          <w:tcPr>
            <w:tcW w:w="568" w:type="pct"/>
          </w:tcPr>
          <w:p w:rsidR="00F631D8" w:rsidRPr="00F875E6" w:rsidRDefault="00F631D8" w:rsidP="00642292">
            <w:pPr>
              <w:jc w:val="center"/>
              <w:rPr>
                <w:rFonts w:ascii="Arial Narrow" w:hAnsi="Arial Narrow" w:cs="Times New Roman"/>
                <w:sz w:val="20"/>
              </w:rPr>
            </w:pPr>
            <w:r w:rsidRPr="00F875E6">
              <w:rPr>
                <w:rFonts w:ascii="Arial Narrow" w:hAnsi="Arial Narrow" w:cs="Times New Roman"/>
                <w:sz w:val="20"/>
              </w:rPr>
              <w:t>Cost</w:t>
            </w:r>
          </w:p>
        </w:tc>
        <w:tc>
          <w:tcPr>
            <w:tcW w:w="485" w:type="pct"/>
          </w:tcPr>
          <w:p w:rsidR="00F631D8" w:rsidRPr="00F875E6" w:rsidRDefault="00F631D8" w:rsidP="00642292">
            <w:pPr>
              <w:jc w:val="center"/>
              <w:rPr>
                <w:rFonts w:ascii="Arial Narrow" w:hAnsi="Arial Narrow" w:cs="Times New Roman"/>
                <w:sz w:val="20"/>
              </w:rPr>
            </w:pPr>
            <w:r w:rsidRPr="00F875E6">
              <w:rPr>
                <w:rFonts w:ascii="Arial Narrow" w:hAnsi="Arial Narrow" w:cs="Times New Roman"/>
                <w:sz w:val="20"/>
              </w:rPr>
              <w:t xml:space="preserve">Rate </w:t>
            </w:r>
            <w:r w:rsidRPr="00F875E6">
              <w:rPr>
                <w:rFonts w:ascii="Arial Narrow" w:hAnsi="Arial Narrow" w:cs="Times New Roman"/>
                <w:sz w:val="20"/>
                <w:vertAlign w:val="superscript"/>
              </w:rPr>
              <w:t>a</w:t>
            </w:r>
          </w:p>
        </w:tc>
        <w:tc>
          <w:tcPr>
            <w:tcW w:w="729" w:type="pct"/>
          </w:tcPr>
          <w:p w:rsidR="00F631D8" w:rsidRPr="00F875E6" w:rsidRDefault="00F631D8" w:rsidP="00642292">
            <w:pPr>
              <w:jc w:val="center"/>
              <w:rPr>
                <w:rFonts w:ascii="Arial Narrow" w:hAnsi="Arial Narrow" w:cs="Times New Roman"/>
                <w:sz w:val="20"/>
              </w:rPr>
            </w:pPr>
            <w:r w:rsidRPr="00F875E6">
              <w:rPr>
                <w:rFonts w:ascii="Arial Narrow" w:hAnsi="Arial Narrow" w:cs="Times New Roman"/>
                <w:sz w:val="20"/>
              </w:rPr>
              <w:t>Cost</w:t>
            </w:r>
          </w:p>
        </w:tc>
        <w:tc>
          <w:tcPr>
            <w:tcW w:w="483" w:type="pct"/>
          </w:tcPr>
          <w:p w:rsidR="00F631D8" w:rsidRPr="00F875E6" w:rsidRDefault="00F631D8" w:rsidP="00642292">
            <w:pPr>
              <w:jc w:val="center"/>
              <w:rPr>
                <w:rFonts w:ascii="Arial Narrow" w:hAnsi="Arial Narrow" w:cs="Times New Roman"/>
                <w:sz w:val="20"/>
              </w:rPr>
            </w:pPr>
            <w:r w:rsidRPr="00F875E6">
              <w:rPr>
                <w:rFonts w:ascii="Arial Narrow" w:hAnsi="Arial Narrow" w:cs="Times New Roman"/>
                <w:sz w:val="20"/>
              </w:rPr>
              <w:t xml:space="preserve">Rate </w:t>
            </w:r>
            <w:r w:rsidRPr="00F875E6">
              <w:rPr>
                <w:rFonts w:ascii="Arial Narrow" w:hAnsi="Arial Narrow" w:cs="Times New Roman"/>
                <w:sz w:val="20"/>
                <w:vertAlign w:val="superscript"/>
              </w:rPr>
              <w:t>a</w:t>
            </w:r>
          </w:p>
        </w:tc>
        <w:tc>
          <w:tcPr>
            <w:tcW w:w="425" w:type="pct"/>
          </w:tcPr>
          <w:p w:rsidR="00F631D8" w:rsidRPr="00F875E6" w:rsidRDefault="00F631D8" w:rsidP="00642292">
            <w:pPr>
              <w:jc w:val="center"/>
              <w:rPr>
                <w:rFonts w:ascii="Arial Narrow" w:hAnsi="Arial Narrow" w:cs="Times New Roman"/>
                <w:sz w:val="20"/>
              </w:rPr>
            </w:pPr>
            <w:r w:rsidRPr="00F875E6">
              <w:rPr>
                <w:rFonts w:ascii="Arial Narrow" w:hAnsi="Arial Narrow" w:cs="Times New Roman"/>
                <w:sz w:val="20"/>
              </w:rPr>
              <w:t>Cost</w:t>
            </w:r>
          </w:p>
        </w:tc>
      </w:tr>
      <w:tr w:rsidR="008D7B61" w:rsidRPr="00F875E6" w:rsidTr="00F34B9F">
        <w:tc>
          <w:tcPr>
            <w:tcW w:w="1282" w:type="pct"/>
            <w:vAlign w:val="center"/>
          </w:tcPr>
          <w:p w:rsidR="00F631D8" w:rsidRPr="00F875E6" w:rsidRDefault="00F631D8" w:rsidP="00642292">
            <w:pPr>
              <w:jc w:val="left"/>
              <w:rPr>
                <w:rFonts w:ascii="Arial Narrow" w:hAnsi="Arial Narrow" w:cs="Times New Roman"/>
                <w:b/>
                <w:sz w:val="20"/>
              </w:rPr>
            </w:pPr>
            <w:r w:rsidRPr="00F875E6">
              <w:rPr>
                <w:rFonts w:ascii="Arial Narrow" w:hAnsi="Arial Narrow" w:cs="Times New Roman"/>
                <w:b/>
                <w:sz w:val="20"/>
              </w:rPr>
              <w:t>Calculations in submission</w:t>
            </w:r>
          </w:p>
        </w:tc>
        <w:tc>
          <w:tcPr>
            <w:tcW w:w="540" w:type="pct"/>
          </w:tcPr>
          <w:p w:rsidR="00F631D8" w:rsidRPr="00F875E6" w:rsidRDefault="00F631D8" w:rsidP="00642292">
            <w:pPr>
              <w:jc w:val="center"/>
              <w:rPr>
                <w:rFonts w:ascii="Arial Narrow" w:hAnsi="Arial Narrow" w:cs="Times New Roman"/>
                <w:sz w:val="20"/>
              </w:rPr>
            </w:pPr>
          </w:p>
        </w:tc>
        <w:tc>
          <w:tcPr>
            <w:tcW w:w="488" w:type="pct"/>
          </w:tcPr>
          <w:p w:rsidR="00F631D8" w:rsidRPr="00F875E6" w:rsidRDefault="00F631D8" w:rsidP="00642292">
            <w:pPr>
              <w:jc w:val="center"/>
              <w:rPr>
                <w:rFonts w:ascii="Arial Narrow" w:hAnsi="Arial Narrow" w:cs="Times New Roman"/>
                <w:sz w:val="20"/>
              </w:rPr>
            </w:pPr>
          </w:p>
        </w:tc>
        <w:tc>
          <w:tcPr>
            <w:tcW w:w="568" w:type="pct"/>
          </w:tcPr>
          <w:p w:rsidR="00F631D8" w:rsidRPr="00F875E6" w:rsidRDefault="00F631D8" w:rsidP="00642292">
            <w:pPr>
              <w:jc w:val="center"/>
              <w:rPr>
                <w:rFonts w:ascii="Arial Narrow" w:hAnsi="Arial Narrow" w:cs="Times New Roman"/>
                <w:sz w:val="20"/>
              </w:rPr>
            </w:pPr>
          </w:p>
        </w:tc>
        <w:tc>
          <w:tcPr>
            <w:tcW w:w="485" w:type="pct"/>
          </w:tcPr>
          <w:p w:rsidR="00F631D8" w:rsidRPr="00F875E6" w:rsidRDefault="00F631D8" w:rsidP="00642292">
            <w:pPr>
              <w:jc w:val="center"/>
              <w:rPr>
                <w:rFonts w:ascii="Arial Narrow" w:hAnsi="Arial Narrow" w:cs="Times New Roman"/>
                <w:sz w:val="20"/>
              </w:rPr>
            </w:pPr>
          </w:p>
        </w:tc>
        <w:tc>
          <w:tcPr>
            <w:tcW w:w="729" w:type="pct"/>
          </w:tcPr>
          <w:p w:rsidR="00F631D8" w:rsidRPr="00F875E6" w:rsidRDefault="00F631D8" w:rsidP="00642292">
            <w:pPr>
              <w:jc w:val="center"/>
              <w:rPr>
                <w:rFonts w:ascii="Arial Narrow" w:hAnsi="Arial Narrow" w:cs="Times New Roman"/>
                <w:sz w:val="20"/>
              </w:rPr>
            </w:pPr>
          </w:p>
        </w:tc>
        <w:tc>
          <w:tcPr>
            <w:tcW w:w="483" w:type="pct"/>
          </w:tcPr>
          <w:p w:rsidR="00F631D8" w:rsidRPr="00F875E6" w:rsidRDefault="00F631D8" w:rsidP="00642292">
            <w:pPr>
              <w:jc w:val="center"/>
              <w:rPr>
                <w:rFonts w:ascii="Arial Narrow" w:hAnsi="Arial Narrow" w:cs="Times New Roman"/>
                <w:sz w:val="20"/>
              </w:rPr>
            </w:pPr>
          </w:p>
        </w:tc>
        <w:tc>
          <w:tcPr>
            <w:tcW w:w="425" w:type="pct"/>
          </w:tcPr>
          <w:p w:rsidR="00F631D8" w:rsidRPr="00F875E6" w:rsidRDefault="00F631D8" w:rsidP="00642292">
            <w:pPr>
              <w:jc w:val="center"/>
              <w:rPr>
                <w:rFonts w:ascii="Arial Narrow" w:hAnsi="Arial Narrow" w:cs="Times New Roman"/>
                <w:sz w:val="20"/>
              </w:rPr>
            </w:pPr>
          </w:p>
        </w:tc>
      </w:tr>
      <w:tr w:rsidR="008D7B61" w:rsidRPr="00F875E6" w:rsidTr="00F34B9F">
        <w:tc>
          <w:tcPr>
            <w:tcW w:w="1282" w:type="pct"/>
            <w:tcBorders>
              <w:bottom w:val="single" w:sz="4" w:space="0" w:color="auto"/>
            </w:tcBorders>
            <w:vAlign w:val="center"/>
          </w:tcPr>
          <w:p w:rsidR="00F631D8" w:rsidRPr="00F875E6" w:rsidRDefault="00F631D8" w:rsidP="00642292">
            <w:pPr>
              <w:jc w:val="left"/>
              <w:rPr>
                <w:rFonts w:ascii="Arial Narrow" w:hAnsi="Arial Narrow" w:cs="Times New Roman"/>
                <w:sz w:val="20"/>
              </w:rPr>
            </w:pPr>
            <w:r w:rsidRPr="00F875E6">
              <w:rPr>
                <w:rFonts w:ascii="Arial Narrow" w:hAnsi="Arial Narrow" w:cs="Times New Roman"/>
                <w:sz w:val="20"/>
              </w:rPr>
              <w:t>Vascular occlusive event</w:t>
            </w:r>
          </w:p>
        </w:tc>
        <w:tc>
          <w:tcPr>
            <w:tcW w:w="540" w:type="pct"/>
            <w:tcBorders>
              <w:bottom w:val="single" w:sz="4" w:space="0" w:color="auto"/>
            </w:tcBorders>
          </w:tcPr>
          <w:p w:rsidR="00F631D8" w:rsidRPr="00F875E6" w:rsidRDefault="00F631D8" w:rsidP="00642292">
            <w:pPr>
              <w:jc w:val="right"/>
              <w:rPr>
                <w:rFonts w:ascii="Arial Narrow" w:hAnsi="Arial Narrow" w:cs="Times New Roman"/>
                <w:sz w:val="20"/>
              </w:rPr>
            </w:pPr>
          </w:p>
        </w:tc>
        <w:tc>
          <w:tcPr>
            <w:tcW w:w="488" w:type="pct"/>
            <w:tcBorders>
              <w:bottom w:val="single" w:sz="4" w:space="0" w:color="auto"/>
            </w:tcBorders>
          </w:tcPr>
          <w:p w:rsidR="00F631D8" w:rsidRPr="00F875E6" w:rsidRDefault="00F631D8" w:rsidP="00642292">
            <w:pPr>
              <w:jc w:val="center"/>
              <w:rPr>
                <w:rFonts w:ascii="Arial Narrow" w:hAnsi="Arial Narrow" w:cs="Times New Roman"/>
                <w:sz w:val="20"/>
              </w:rPr>
            </w:pPr>
          </w:p>
        </w:tc>
        <w:tc>
          <w:tcPr>
            <w:tcW w:w="568" w:type="pct"/>
            <w:tcBorders>
              <w:bottom w:val="single" w:sz="4" w:space="0" w:color="auto"/>
            </w:tcBorders>
          </w:tcPr>
          <w:p w:rsidR="00F631D8" w:rsidRPr="00F875E6" w:rsidRDefault="00F631D8" w:rsidP="00642292">
            <w:pPr>
              <w:jc w:val="right"/>
              <w:rPr>
                <w:rFonts w:ascii="Arial Narrow" w:hAnsi="Arial Narrow" w:cs="Times New Roman"/>
                <w:sz w:val="20"/>
              </w:rPr>
            </w:pPr>
          </w:p>
        </w:tc>
        <w:tc>
          <w:tcPr>
            <w:tcW w:w="485" w:type="pct"/>
            <w:tcBorders>
              <w:bottom w:val="single" w:sz="4" w:space="0" w:color="auto"/>
            </w:tcBorders>
          </w:tcPr>
          <w:p w:rsidR="00F631D8" w:rsidRPr="00F875E6" w:rsidRDefault="00F631D8" w:rsidP="00642292">
            <w:pPr>
              <w:jc w:val="center"/>
              <w:rPr>
                <w:rFonts w:ascii="Arial Narrow" w:hAnsi="Arial Narrow" w:cs="Times New Roman"/>
                <w:sz w:val="20"/>
              </w:rPr>
            </w:pPr>
          </w:p>
        </w:tc>
        <w:tc>
          <w:tcPr>
            <w:tcW w:w="729" w:type="pct"/>
            <w:tcBorders>
              <w:bottom w:val="single" w:sz="4" w:space="0" w:color="auto"/>
            </w:tcBorders>
          </w:tcPr>
          <w:p w:rsidR="00F631D8" w:rsidRPr="00F875E6" w:rsidRDefault="00F631D8" w:rsidP="00642292">
            <w:pPr>
              <w:jc w:val="right"/>
              <w:rPr>
                <w:rFonts w:ascii="Arial Narrow" w:hAnsi="Arial Narrow" w:cs="Times New Roman"/>
                <w:sz w:val="20"/>
              </w:rPr>
            </w:pPr>
          </w:p>
        </w:tc>
        <w:tc>
          <w:tcPr>
            <w:tcW w:w="483" w:type="pct"/>
            <w:tcBorders>
              <w:bottom w:val="single" w:sz="4" w:space="0" w:color="auto"/>
            </w:tcBorders>
          </w:tcPr>
          <w:p w:rsidR="00F631D8" w:rsidRPr="00F875E6" w:rsidRDefault="00F631D8" w:rsidP="00642292">
            <w:pPr>
              <w:jc w:val="center"/>
              <w:rPr>
                <w:rFonts w:ascii="Arial Narrow" w:hAnsi="Arial Narrow" w:cs="Times New Roman"/>
                <w:sz w:val="20"/>
              </w:rPr>
            </w:pPr>
          </w:p>
        </w:tc>
        <w:tc>
          <w:tcPr>
            <w:tcW w:w="425" w:type="pct"/>
            <w:tcBorders>
              <w:bottom w:val="single" w:sz="4" w:space="0" w:color="auto"/>
            </w:tcBorders>
          </w:tcPr>
          <w:p w:rsidR="00F631D8" w:rsidRPr="00F875E6" w:rsidRDefault="00F631D8" w:rsidP="00642292">
            <w:pPr>
              <w:jc w:val="right"/>
              <w:rPr>
                <w:rFonts w:ascii="Arial Narrow" w:hAnsi="Arial Narrow" w:cs="Times New Roman"/>
                <w:sz w:val="20"/>
              </w:rPr>
            </w:pPr>
          </w:p>
        </w:tc>
      </w:tr>
      <w:tr w:rsidR="008D7B61" w:rsidRPr="00F875E6" w:rsidTr="00F34B9F">
        <w:tc>
          <w:tcPr>
            <w:tcW w:w="1282" w:type="pct"/>
            <w:tcBorders>
              <w:bottom w:val="nil"/>
            </w:tcBorders>
            <w:vAlign w:val="center"/>
          </w:tcPr>
          <w:p w:rsidR="00F631D8" w:rsidRPr="00F875E6" w:rsidRDefault="00F631D8" w:rsidP="00642292">
            <w:pPr>
              <w:ind w:left="284"/>
              <w:jc w:val="left"/>
              <w:rPr>
                <w:rFonts w:ascii="Arial Narrow" w:hAnsi="Arial Narrow" w:cs="Times New Roman"/>
                <w:sz w:val="20"/>
              </w:rPr>
            </w:pPr>
            <w:r w:rsidRPr="00F875E6">
              <w:rPr>
                <w:rFonts w:ascii="Arial Narrow" w:hAnsi="Arial Narrow" w:cs="Times New Roman"/>
                <w:sz w:val="20"/>
              </w:rPr>
              <w:t>Grade 1 or 2</w:t>
            </w:r>
          </w:p>
        </w:tc>
        <w:tc>
          <w:tcPr>
            <w:tcW w:w="540" w:type="pct"/>
            <w:tcBorders>
              <w:bottom w:val="nil"/>
            </w:tcBorders>
          </w:tcPr>
          <w:p w:rsidR="00F631D8" w:rsidRPr="00F875E6" w:rsidRDefault="00F631D8" w:rsidP="00642292">
            <w:pPr>
              <w:jc w:val="right"/>
              <w:rPr>
                <w:rFonts w:ascii="Arial Narrow" w:hAnsi="Arial Narrow" w:cs="Times New Roman"/>
                <w:sz w:val="20"/>
              </w:rPr>
            </w:pPr>
            <w:r w:rsidRPr="00F875E6">
              <w:rPr>
                <w:rFonts w:ascii="Arial Narrow" w:hAnsi="Arial Narrow" w:cs="Times New Roman"/>
                <w:sz w:val="20"/>
              </w:rPr>
              <w:t>$3,572.98</w:t>
            </w:r>
          </w:p>
        </w:tc>
        <w:tc>
          <w:tcPr>
            <w:tcW w:w="488" w:type="pct"/>
            <w:tcBorders>
              <w:bottom w:val="nil"/>
            </w:tcBorders>
          </w:tcPr>
          <w:p w:rsidR="00F631D8" w:rsidRPr="00F875E6" w:rsidRDefault="00F631D8" w:rsidP="00642292">
            <w:pPr>
              <w:jc w:val="center"/>
              <w:rPr>
                <w:rFonts w:ascii="Arial Narrow" w:hAnsi="Arial Narrow" w:cs="Times New Roman"/>
                <w:sz w:val="20"/>
              </w:rPr>
            </w:pPr>
            <w:r w:rsidRPr="00F875E6">
              <w:rPr>
                <w:rFonts w:ascii="Arial Narrow" w:hAnsi="Arial Narrow" w:cs="Times New Roman"/>
                <w:sz w:val="20"/>
              </w:rPr>
              <w:t>0.9%</w:t>
            </w:r>
          </w:p>
        </w:tc>
        <w:tc>
          <w:tcPr>
            <w:tcW w:w="568" w:type="pct"/>
            <w:tcBorders>
              <w:bottom w:val="nil"/>
            </w:tcBorders>
          </w:tcPr>
          <w:p w:rsidR="00F631D8" w:rsidRPr="00F875E6" w:rsidRDefault="00F631D8" w:rsidP="00642292">
            <w:pPr>
              <w:jc w:val="right"/>
              <w:rPr>
                <w:rFonts w:ascii="Arial Narrow" w:hAnsi="Arial Narrow" w:cs="Times New Roman"/>
                <w:sz w:val="20"/>
              </w:rPr>
            </w:pPr>
            <w:r w:rsidRPr="00F875E6">
              <w:rPr>
                <w:rFonts w:ascii="Arial Narrow" w:hAnsi="Arial Narrow" w:cs="Times New Roman"/>
                <w:sz w:val="20"/>
              </w:rPr>
              <w:t>$33.23</w:t>
            </w:r>
          </w:p>
        </w:tc>
        <w:tc>
          <w:tcPr>
            <w:tcW w:w="485" w:type="pct"/>
            <w:tcBorders>
              <w:bottom w:val="nil"/>
            </w:tcBorders>
          </w:tcPr>
          <w:p w:rsidR="00F631D8" w:rsidRPr="00F875E6" w:rsidRDefault="00F631D8" w:rsidP="00642292">
            <w:pPr>
              <w:jc w:val="center"/>
              <w:rPr>
                <w:rFonts w:ascii="Arial Narrow" w:hAnsi="Arial Narrow" w:cs="Times New Roman"/>
                <w:sz w:val="20"/>
              </w:rPr>
            </w:pPr>
            <w:r w:rsidRPr="00F875E6">
              <w:rPr>
                <w:rFonts w:ascii="Arial Narrow" w:hAnsi="Arial Narrow" w:cs="Times New Roman"/>
                <w:sz w:val="20"/>
              </w:rPr>
              <w:t>3.6%</w:t>
            </w:r>
          </w:p>
        </w:tc>
        <w:tc>
          <w:tcPr>
            <w:tcW w:w="729" w:type="pct"/>
            <w:tcBorders>
              <w:bottom w:val="nil"/>
            </w:tcBorders>
          </w:tcPr>
          <w:p w:rsidR="00F631D8" w:rsidRPr="00F875E6" w:rsidRDefault="00F631D8" w:rsidP="00642292">
            <w:pPr>
              <w:jc w:val="right"/>
              <w:rPr>
                <w:rFonts w:ascii="Arial Narrow" w:hAnsi="Arial Narrow" w:cs="Times New Roman"/>
                <w:sz w:val="20"/>
              </w:rPr>
            </w:pPr>
            <w:r w:rsidRPr="00F875E6">
              <w:rPr>
                <w:rFonts w:ascii="Arial Narrow" w:hAnsi="Arial Narrow" w:cs="Times New Roman"/>
                <w:sz w:val="20"/>
              </w:rPr>
              <w:t>$130.21</w:t>
            </w:r>
          </w:p>
        </w:tc>
        <w:tc>
          <w:tcPr>
            <w:tcW w:w="483" w:type="pct"/>
            <w:tcBorders>
              <w:bottom w:val="nil"/>
            </w:tcBorders>
          </w:tcPr>
          <w:p w:rsidR="00F631D8" w:rsidRPr="00F875E6" w:rsidRDefault="00F631D8" w:rsidP="00642292">
            <w:pPr>
              <w:jc w:val="center"/>
              <w:rPr>
                <w:rFonts w:ascii="Arial Narrow" w:hAnsi="Arial Narrow" w:cs="Times New Roman"/>
                <w:sz w:val="20"/>
              </w:rPr>
            </w:pPr>
            <w:r w:rsidRPr="00F875E6">
              <w:rPr>
                <w:rFonts w:ascii="Arial Narrow" w:hAnsi="Arial Narrow" w:cs="Times New Roman"/>
                <w:sz w:val="20"/>
              </w:rPr>
              <w:t>5.4%</w:t>
            </w:r>
          </w:p>
        </w:tc>
        <w:tc>
          <w:tcPr>
            <w:tcW w:w="425" w:type="pct"/>
            <w:tcBorders>
              <w:bottom w:val="nil"/>
            </w:tcBorders>
          </w:tcPr>
          <w:p w:rsidR="00F631D8" w:rsidRPr="00F875E6" w:rsidRDefault="00F631D8" w:rsidP="00642292">
            <w:pPr>
              <w:jc w:val="right"/>
              <w:rPr>
                <w:rFonts w:ascii="Arial Narrow" w:hAnsi="Arial Narrow" w:cs="Times New Roman"/>
                <w:sz w:val="20"/>
              </w:rPr>
            </w:pPr>
            <w:r w:rsidRPr="00F875E6">
              <w:rPr>
                <w:rFonts w:ascii="Arial Narrow" w:hAnsi="Arial Narrow" w:cs="Times New Roman"/>
                <w:sz w:val="20"/>
              </w:rPr>
              <w:t>$193.56</w:t>
            </w:r>
          </w:p>
        </w:tc>
      </w:tr>
      <w:tr w:rsidR="008D7B61" w:rsidRPr="00F875E6" w:rsidTr="00F34B9F">
        <w:tc>
          <w:tcPr>
            <w:tcW w:w="1282" w:type="pct"/>
            <w:tcBorders>
              <w:bottom w:val="nil"/>
            </w:tcBorders>
            <w:vAlign w:val="center"/>
          </w:tcPr>
          <w:p w:rsidR="00F631D8" w:rsidRPr="00F875E6" w:rsidRDefault="00F631D8" w:rsidP="00642292">
            <w:pPr>
              <w:ind w:left="284"/>
              <w:jc w:val="left"/>
              <w:rPr>
                <w:rFonts w:ascii="Arial Narrow" w:hAnsi="Arial Narrow" w:cs="Times New Roman"/>
                <w:sz w:val="20"/>
              </w:rPr>
            </w:pPr>
            <w:r w:rsidRPr="00F875E6">
              <w:rPr>
                <w:rFonts w:ascii="Arial Narrow" w:hAnsi="Arial Narrow" w:cs="Times New Roman"/>
                <w:sz w:val="20"/>
              </w:rPr>
              <w:t>Grade 3 or 4</w:t>
            </w:r>
          </w:p>
        </w:tc>
        <w:tc>
          <w:tcPr>
            <w:tcW w:w="540" w:type="pct"/>
            <w:tcBorders>
              <w:bottom w:val="nil"/>
            </w:tcBorders>
          </w:tcPr>
          <w:p w:rsidR="00F631D8" w:rsidRPr="00F875E6" w:rsidRDefault="00F631D8" w:rsidP="00642292">
            <w:pPr>
              <w:jc w:val="right"/>
              <w:rPr>
                <w:rFonts w:ascii="Arial Narrow" w:hAnsi="Arial Narrow" w:cs="Times New Roman"/>
                <w:sz w:val="20"/>
              </w:rPr>
            </w:pPr>
            <w:r w:rsidRPr="00F875E6">
              <w:rPr>
                <w:rFonts w:ascii="Arial Narrow" w:hAnsi="Arial Narrow" w:cs="Times New Roman"/>
                <w:sz w:val="20"/>
              </w:rPr>
              <w:t>$3,855.05</w:t>
            </w:r>
          </w:p>
        </w:tc>
        <w:tc>
          <w:tcPr>
            <w:tcW w:w="488" w:type="pct"/>
            <w:tcBorders>
              <w:bottom w:val="nil"/>
            </w:tcBorders>
          </w:tcPr>
          <w:p w:rsidR="00F631D8" w:rsidRPr="00F875E6" w:rsidRDefault="00F631D8" w:rsidP="00642292">
            <w:pPr>
              <w:jc w:val="center"/>
              <w:rPr>
                <w:rFonts w:ascii="Arial Narrow" w:hAnsi="Arial Narrow" w:cs="Times New Roman"/>
                <w:sz w:val="20"/>
              </w:rPr>
            </w:pPr>
            <w:r w:rsidRPr="00F875E6">
              <w:rPr>
                <w:rFonts w:ascii="Arial Narrow" w:hAnsi="Arial Narrow" w:cs="Times New Roman"/>
                <w:sz w:val="20"/>
              </w:rPr>
              <w:t>2.0%</w:t>
            </w:r>
          </w:p>
        </w:tc>
        <w:tc>
          <w:tcPr>
            <w:tcW w:w="568" w:type="pct"/>
            <w:tcBorders>
              <w:bottom w:val="nil"/>
            </w:tcBorders>
          </w:tcPr>
          <w:p w:rsidR="00F631D8" w:rsidRPr="00F875E6" w:rsidRDefault="00F631D8" w:rsidP="00642292">
            <w:pPr>
              <w:jc w:val="right"/>
              <w:rPr>
                <w:rFonts w:ascii="Arial Narrow" w:hAnsi="Arial Narrow" w:cs="Times New Roman"/>
                <w:sz w:val="20"/>
              </w:rPr>
            </w:pPr>
            <w:r w:rsidRPr="00F875E6">
              <w:rPr>
                <w:rFonts w:ascii="Arial Narrow" w:hAnsi="Arial Narrow" w:cs="Times New Roman"/>
                <w:sz w:val="20"/>
              </w:rPr>
              <w:t>$77.53</w:t>
            </w:r>
          </w:p>
        </w:tc>
        <w:tc>
          <w:tcPr>
            <w:tcW w:w="485" w:type="pct"/>
            <w:tcBorders>
              <w:bottom w:val="nil"/>
            </w:tcBorders>
          </w:tcPr>
          <w:p w:rsidR="00F631D8" w:rsidRPr="00F875E6" w:rsidRDefault="00F34B9F" w:rsidP="00642292">
            <w:pPr>
              <w:jc w:val="center"/>
              <w:rPr>
                <w:rFonts w:ascii="Arial Narrow" w:hAnsi="Arial Narrow" w:cs="Times New Roman"/>
                <w:sz w:val="20"/>
              </w:rPr>
            </w:pPr>
            <w:r w:rsidRPr="00F875E6">
              <w:rPr>
                <w:rFonts w:ascii="Arial Narrow" w:hAnsi="Arial Narrow" w:cs="Times New Roman"/>
                <w:sz w:val="20"/>
              </w:rPr>
              <w:t>7.9%</w:t>
            </w:r>
          </w:p>
        </w:tc>
        <w:tc>
          <w:tcPr>
            <w:tcW w:w="729" w:type="pct"/>
            <w:tcBorders>
              <w:bottom w:val="nil"/>
            </w:tcBorders>
          </w:tcPr>
          <w:p w:rsidR="00F631D8" w:rsidRPr="00F875E6" w:rsidRDefault="00F631D8" w:rsidP="00642292">
            <w:pPr>
              <w:jc w:val="right"/>
              <w:rPr>
                <w:rFonts w:ascii="Arial Narrow" w:hAnsi="Arial Narrow" w:cs="Times New Roman"/>
                <w:sz w:val="20"/>
              </w:rPr>
            </w:pPr>
            <w:r w:rsidRPr="00F875E6">
              <w:rPr>
                <w:rFonts w:ascii="Arial Narrow" w:hAnsi="Arial Narrow" w:cs="Times New Roman"/>
                <w:sz w:val="20"/>
              </w:rPr>
              <w:t>$303.75</w:t>
            </w:r>
          </w:p>
        </w:tc>
        <w:tc>
          <w:tcPr>
            <w:tcW w:w="483" w:type="pct"/>
            <w:tcBorders>
              <w:bottom w:val="nil"/>
            </w:tcBorders>
          </w:tcPr>
          <w:p w:rsidR="00F631D8" w:rsidRPr="00F875E6" w:rsidRDefault="00F34B9F" w:rsidP="00642292">
            <w:pPr>
              <w:jc w:val="center"/>
              <w:rPr>
                <w:rFonts w:ascii="Arial Narrow" w:hAnsi="Arial Narrow" w:cs="Times New Roman"/>
                <w:sz w:val="20"/>
              </w:rPr>
            </w:pPr>
            <w:r w:rsidRPr="00F875E6">
              <w:rPr>
                <w:rFonts w:ascii="Arial Narrow" w:hAnsi="Arial Narrow" w:cs="Times New Roman"/>
                <w:sz w:val="20"/>
              </w:rPr>
              <w:t>11.7%</w:t>
            </w:r>
          </w:p>
        </w:tc>
        <w:tc>
          <w:tcPr>
            <w:tcW w:w="425" w:type="pct"/>
            <w:tcBorders>
              <w:bottom w:val="nil"/>
            </w:tcBorders>
          </w:tcPr>
          <w:p w:rsidR="00F631D8" w:rsidRPr="00F875E6" w:rsidRDefault="00F631D8" w:rsidP="00642292">
            <w:pPr>
              <w:jc w:val="right"/>
              <w:rPr>
                <w:rFonts w:ascii="Arial Narrow" w:hAnsi="Arial Narrow" w:cs="Times New Roman"/>
                <w:sz w:val="20"/>
              </w:rPr>
            </w:pPr>
            <w:r w:rsidRPr="00F875E6">
              <w:rPr>
                <w:rFonts w:ascii="Arial Narrow" w:hAnsi="Arial Narrow" w:cs="Times New Roman"/>
                <w:sz w:val="20"/>
              </w:rPr>
              <w:t>$451.54</w:t>
            </w:r>
          </w:p>
        </w:tc>
      </w:tr>
      <w:tr w:rsidR="008D7B61" w:rsidRPr="00F875E6" w:rsidTr="00F34B9F">
        <w:tc>
          <w:tcPr>
            <w:tcW w:w="1282" w:type="pct"/>
            <w:vAlign w:val="center"/>
          </w:tcPr>
          <w:p w:rsidR="00F631D8" w:rsidRPr="00F875E6" w:rsidRDefault="00F631D8" w:rsidP="00642292">
            <w:pPr>
              <w:jc w:val="left"/>
              <w:rPr>
                <w:rFonts w:ascii="Arial Narrow" w:hAnsi="Arial Narrow" w:cs="Times New Roman"/>
                <w:sz w:val="20"/>
              </w:rPr>
            </w:pPr>
            <w:r w:rsidRPr="00F875E6">
              <w:rPr>
                <w:rFonts w:ascii="Arial Narrow" w:hAnsi="Arial Narrow" w:cs="Times New Roman"/>
                <w:sz w:val="20"/>
              </w:rPr>
              <w:t>Pleural effusion</w:t>
            </w:r>
          </w:p>
        </w:tc>
        <w:tc>
          <w:tcPr>
            <w:tcW w:w="540" w:type="pct"/>
          </w:tcPr>
          <w:p w:rsidR="00F631D8" w:rsidRPr="00F875E6" w:rsidRDefault="00F631D8" w:rsidP="00642292">
            <w:pPr>
              <w:jc w:val="center"/>
              <w:rPr>
                <w:rFonts w:ascii="Arial Narrow" w:hAnsi="Arial Narrow" w:cs="Times New Roman"/>
                <w:sz w:val="20"/>
              </w:rPr>
            </w:pPr>
          </w:p>
        </w:tc>
        <w:tc>
          <w:tcPr>
            <w:tcW w:w="488" w:type="pct"/>
          </w:tcPr>
          <w:p w:rsidR="00F631D8" w:rsidRPr="00F875E6" w:rsidRDefault="00F631D8" w:rsidP="00642292">
            <w:pPr>
              <w:jc w:val="center"/>
              <w:rPr>
                <w:rFonts w:ascii="Arial Narrow" w:hAnsi="Arial Narrow" w:cs="Times New Roman"/>
                <w:sz w:val="20"/>
              </w:rPr>
            </w:pPr>
          </w:p>
        </w:tc>
        <w:tc>
          <w:tcPr>
            <w:tcW w:w="568" w:type="pct"/>
          </w:tcPr>
          <w:p w:rsidR="00F631D8" w:rsidRPr="00F875E6" w:rsidRDefault="00F631D8" w:rsidP="00642292">
            <w:pPr>
              <w:jc w:val="center"/>
              <w:rPr>
                <w:rFonts w:ascii="Arial Narrow" w:hAnsi="Arial Narrow" w:cs="Times New Roman"/>
                <w:sz w:val="20"/>
              </w:rPr>
            </w:pPr>
          </w:p>
        </w:tc>
        <w:tc>
          <w:tcPr>
            <w:tcW w:w="485" w:type="pct"/>
          </w:tcPr>
          <w:p w:rsidR="00F631D8" w:rsidRPr="00F875E6" w:rsidRDefault="00F631D8" w:rsidP="00642292">
            <w:pPr>
              <w:jc w:val="center"/>
              <w:rPr>
                <w:rFonts w:ascii="Arial Narrow" w:hAnsi="Arial Narrow" w:cs="Times New Roman"/>
                <w:sz w:val="20"/>
              </w:rPr>
            </w:pPr>
          </w:p>
        </w:tc>
        <w:tc>
          <w:tcPr>
            <w:tcW w:w="729" w:type="pct"/>
          </w:tcPr>
          <w:p w:rsidR="00F631D8" w:rsidRPr="00F875E6" w:rsidRDefault="00F631D8" w:rsidP="00642292">
            <w:pPr>
              <w:jc w:val="center"/>
              <w:rPr>
                <w:rFonts w:ascii="Arial Narrow" w:hAnsi="Arial Narrow" w:cs="Times New Roman"/>
                <w:sz w:val="20"/>
              </w:rPr>
            </w:pPr>
          </w:p>
        </w:tc>
        <w:tc>
          <w:tcPr>
            <w:tcW w:w="483" w:type="pct"/>
          </w:tcPr>
          <w:p w:rsidR="00F631D8" w:rsidRPr="00F875E6" w:rsidRDefault="00F631D8" w:rsidP="00642292">
            <w:pPr>
              <w:jc w:val="center"/>
              <w:rPr>
                <w:rFonts w:ascii="Arial Narrow" w:hAnsi="Arial Narrow" w:cs="Times New Roman"/>
                <w:sz w:val="20"/>
              </w:rPr>
            </w:pPr>
          </w:p>
        </w:tc>
        <w:tc>
          <w:tcPr>
            <w:tcW w:w="425" w:type="pct"/>
          </w:tcPr>
          <w:p w:rsidR="00F631D8" w:rsidRPr="00F875E6" w:rsidRDefault="00F631D8" w:rsidP="00642292">
            <w:pPr>
              <w:jc w:val="center"/>
              <w:rPr>
                <w:rFonts w:ascii="Arial Narrow" w:hAnsi="Arial Narrow" w:cs="Times New Roman"/>
                <w:sz w:val="20"/>
              </w:rPr>
            </w:pPr>
          </w:p>
        </w:tc>
      </w:tr>
      <w:tr w:rsidR="008D7B61" w:rsidRPr="00F875E6" w:rsidTr="00F34B9F">
        <w:tc>
          <w:tcPr>
            <w:tcW w:w="1282" w:type="pct"/>
            <w:vAlign w:val="center"/>
          </w:tcPr>
          <w:p w:rsidR="00F631D8" w:rsidRPr="00F875E6" w:rsidRDefault="00F631D8" w:rsidP="00642292">
            <w:pPr>
              <w:ind w:left="284"/>
              <w:jc w:val="left"/>
              <w:rPr>
                <w:rFonts w:ascii="Arial Narrow" w:hAnsi="Arial Narrow" w:cs="Times New Roman"/>
                <w:sz w:val="20"/>
              </w:rPr>
            </w:pPr>
            <w:r w:rsidRPr="00F875E6">
              <w:rPr>
                <w:rFonts w:ascii="Arial Narrow" w:hAnsi="Arial Narrow" w:cs="Times New Roman"/>
                <w:sz w:val="20"/>
              </w:rPr>
              <w:t>Grade 1 or 2</w:t>
            </w:r>
          </w:p>
        </w:tc>
        <w:tc>
          <w:tcPr>
            <w:tcW w:w="540" w:type="pct"/>
          </w:tcPr>
          <w:p w:rsidR="00F631D8" w:rsidRPr="00F875E6" w:rsidRDefault="00F631D8" w:rsidP="00642292">
            <w:pPr>
              <w:jc w:val="right"/>
              <w:rPr>
                <w:rFonts w:ascii="Arial Narrow" w:hAnsi="Arial Narrow" w:cs="Times New Roman"/>
                <w:sz w:val="20"/>
              </w:rPr>
            </w:pPr>
            <w:r w:rsidRPr="00F875E6">
              <w:rPr>
                <w:rFonts w:ascii="Arial Narrow" w:hAnsi="Arial Narrow" w:cs="Times New Roman"/>
                <w:sz w:val="20"/>
              </w:rPr>
              <w:t>$18.97</w:t>
            </w:r>
          </w:p>
        </w:tc>
        <w:tc>
          <w:tcPr>
            <w:tcW w:w="488" w:type="pct"/>
          </w:tcPr>
          <w:p w:rsidR="00F631D8" w:rsidRPr="00F875E6" w:rsidRDefault="00F631D8" w:rsidP="00642292">
            <w:pPr>
              <w:jc w:val="center"/>
              <w:rPr>
                <w:rFonts w:ascii="Arial Narrow" w:hAnsi="Arial Narrow" w:cs="Times New Roman"/>
                <w:sz w:val="20"/>
              </w:rPr>
            </w:pPr>
            <w:r w:rsidRPr="00F875E6">
              <w:rPr>
                <w:rFonts w:ascii="Arial Narrow" w:hAnsi="Arial Narrow" w:cs="Times New Roman"/>
                <w:sz w:val="20"/>
              </w:rPr>
              <w:t>21.4%</w:t>
            </w:r>
          </w:p>
        </w:tc>
        <w:tc>
          <w:tcPr>
            <w:tcW w:w="568" w:type="pct"/>
          </w:tcPr>
          <w:p w:rsidR="00F631D8" w:rsidRPr="00F875E6" w:rsidRDefault="00F631D8" w:rsidP="00642292">
            <w:pPr>
              <w:jc w:val="right"/>
              <w:rPr>
                <w:rFonts w:ascii="Arial Narrow" w:hAnsi="Arial Narrow" w:cs="Times New Roman"/>
                <w:sz w:val="20"/>
              </w:rPr>
            </w:pPr>
            <w:r w:rsidRPr="00F875E6">
              <w:rPr>
                <w:rFonts w:ascii="Arial Narrow" w:hAnsi="Arial Narrow" w:cs="Times New Roman"/>
                <w:sz w:val="20"/>
              </w:rPr>
              <w:t>$4.05</w:t>
            </w:r>
          </w:p>
        </w:tc>
        <w:tc>
          <w:tcPr>
            <w:tcW w:w="485" w:type="pct"/>
          </w:tcPr>
          <w:p w:rsidR="00F631D8" w:rsidRPr="00F875E6" w:rsidRDefault="00F631D8" w:rsidP="00642292">
            <w:pPr>
              <w:jc w:val="center"/>
              <w:rPr>
                <w:rFonts w:ascii="Arial Narrow" w:hAnsi="Arial Narrow" w:cs="Times New Roman"/>
                <w:sz w:val="20"/>
              </w:rPr>
            </w:pPr>
            <w:r w:rsidRPr="00F875E6">
              <w:rPr>
                <w:rFonts w:ascii="Arial Narrow" w:hAnsi="Arial Narrow" w:cs="Times New Roman"/>
                <w:sz w:val="20"/>
              </w:rPr>
              <w:t>1.3%</w:t>
            </w:r>
          </w:p>
        </w:tc>
        <w:tc>
          <w:tcPr>
            <w:tcW w:w="729" w:type="pct"/>
          </w:tcPr>
          <w:p w:rsidR="00F631D8" w:rsidRPr="00F875E6" w:rsidRDefault="00F631D8" w:rsidP="00642292">
            <w:pPr>
              <w:jc w:val="right"/>
              <w:rPr>
                <w:rFonts w:ascii="Arial Narrow" w:hAnsi="Arial Narrow" w:cs="Times New Roman"/>
                <w:sz w:val="20"/>
              </w:rPr>
            </w:pPr>
            <w:r w:rsidRPr="00F875E6">
              <w:rPr>
                <w:rFonts w:ascii="Arial Narrow" w:hAnsi="Arial Narrow" w:cs="Times New Roman"/>
                <w:sz w:val="20"/>
              </w:rPr>
              <w:t>$0.25</w:t>
            </w:r>
          </w:p>
        </w:tc>
        <w:tc>
          <w:tcPr>
            <w:tcW w:w="483" w:type="pct"/>
          </w:tcPr>
          <w:p w:rsidR="00F631D8" w:rsidRPr="00F875E6" w:rsidRDefault="00F631D8" w:rsidP="00642292">
            <w:pPr>
              <w:jc w:val="center"/>
              <w:rPr>
                <w:rFonts w:ascii="Arial Narrow" w:hAnsi="Arial Narrow" w:cs="Times New Roman"/>
                <w:sz w:val="20"/>
              </w:rPr>
            </w:pPr>
            <w:r w:rsidRPr="00F875E6">
              <w:rPr>
                <w:rFonts w:ascii="Arial Narrow" w:hAnsi="Arial Narrow" w:cs="Times New Roman"/>
                <w:sz w:val="20"/>
              </w:rPr>
              <w:t>6.4%</w:t>
            </w:r>
          </w:p>
        </w:tc>
        <w:tc>
          <w:tcPr>
            <w:tcW w:w="425" w:type="pct"/>
          </w:tcPr>
          <w:p w:rsidR="00F631D8" w:rsidRPr="00F875E6" w:rsidRDefault="00F631D8" w:rsidP="00642292">
            <w:pPr>
              <w:jc w:val="right"/>
              <w:rPr>
                <w:rFonts w:ascii="Arial Narrow" w:hAnsi="Arial Narrow" w:cs="Times New Roman"/>
                <w:sz w:val="20"/>
              </w:rPr>
            </w:pPr>
            <w:r w:rsidRPr="00F875E6">
              <w:rPr>
                <w:rFonts w:ascii="Arial Narrow" w:hAnsi="Arial Narrow" w:cs="Times New Roman"/>
                <w:sz w:val="20"/>
              </w:rPr>
              <w:t>$1.22</w:t>
            </w:r>
          </w:p>
        </w:tc>
      </w:tr>
      <w:tr w:rsidR="008D7B61" w:rsidRPr="00F875E6" w:rsidTr="00F34B9F">
        <w:tc>
          <w:tcPr>
            <w:tcW w:w="1282" w:type="pct"/>
            <w:vAlign w:val="center"/>
          </w:tcPr>
          <w:p w:rsidR="00F631D8" w:rsidRPr="00F875E6" w:rsidRDefault="00F631D8" w:rsidP="00642292">
            <w:pPr>
              <w:ind w:left="284"/>
              <w:jc w:val="left"/>
              <w:rPr>
                <w:rFonts w:ascii="Arial Narrow" w:hAnsi="Arial Narrow" w:cs="Times New Roman"/>
                <w:sz w:val="20"/>
              </w:rPr>
            </w:pPr>
            <w:r w:rsidRPr="00F875E6">
              <w:rPr>
                <w:rFonts w:ascii="Arial Narrow" w:hAnsi="Arial Narrow" w:cs="Times New Roman"/>
                <w:sz w:val="20"/>
              </w:rPr>
              <w:t>Grade 3 or 4</w:t>
            </w:r>
          </w:p>
        </w:tc>
        <w:tc>
          <w:tcPr>
            <w:tcW w:w="540" w:type="pct"/>
          </w:tcPr>
          <w:p w:rsidR="00F631D8" w:rsidRPr="00F875E6" w:rsidRDefault="00F631D8" w:rsidP="00642292">
            <w:pPr>
              <w:jc w:val="right"/>
              <w:rPr>
                <w:rFonts w:ascii="Arial Narrow" w:hAnsi="Arial Narrow" w:cs="Times New Roman"/>
                <w:sz w:val="20"/>
              </w:rPr>
            </w:pPr>
            <w:r w:rsidRPr="00F875E6">
              <w:rPr>
                <w:rFonts w:ascii="Arial Narrow" w:hAnsi="Arial Narrow" w:cs="Times New Roman"/>
                <w:sz w:val="20"/>
              </w:rPr>
              <w:t>$3,838.00</w:t>
            </w:r>
          </w:p>
        </w:tc>
        <w:tc>
          <w:tcPr>
            <w:tcW w:w="488" w:type="pct"/>
          </w:tcPr>
          <w:p w:rsidR="00F631D8" w:rsidRPr="00F875E6" w:rsidRDefault="00F631D8" w:rsidP="00642292">
            <w:pPr>
              <w:jc w:val="center"/>
              <w:rPr>
                <w:rFonts w:ascii="Arial Narrow" w:hAnsi="Arial Narrow" w:cs="Times New Roman"/>
                <w:sz w:val="20"/>
              </w:rPr>
            </w:pPr>
            <w:r w:rsidRPr="00F875E6">
              <w:rPr>
                <w:rFonts w:ascii="Arial Narrow" w:hAnsi="Arial Narrow" w:cs="Times New Roman"/>
                <w:sz w:val="20"/>
              </w:rPr>
              <w:t>2.7%</w:t>
            </w:r>
          </w:p>
        </w:tc>
        <w:tc>
          <w:tcPr>
            <w:tcW w:w="568" w:type="pct"/>
          </w:tcPr>
          <w:p w:rsidR="00F631D8" w:rsidRPr="00F875E6" w:rsidRDefault="00F631D8" w:rsidP="00642292">
            <w:pPr>
              <w:jc w:val="right"/>
              <w:rPr>
                <w:rFonts w:ascii="Arial Narrow" w:hAnsi="Arial Narrow" w:cs="Times New Roman"/>
                <w:sz w:val="20"/>
              </w:rPr>
            </w:pPr>
            <w:r w:rsidRPr="00F875E6">
              <w:rPr>
                <w:rFonts w:ascii="Arial Narrow" w:hAnsi="Arial Narrow" w:cs="Times New Roman"/>
                <w:sz w:val="20"/>
              </w:rPr>
              <w:t>$102.13</w:t>
            </w:r>
          </w:p>
        </w:tc>
        <w:tc>
          <w:tcPr>
            <w:tcW w:w="485" w:type="pct"/>
          </w:tcPr>
          <w:p w:rsidR="00F631D8" w:rsidRPr="00F875E6" w:rsidRDefault="00F631D8" w:rsidP="00642292">
            <w:pPr>
              <w:jc w:val="center"/>
              <w:rPr>
                <w:rFonts w:ascii="Arial Narrow" w:hAnsi="Arial Narrow" w:cs="Times New Roman"/>
                <w:sz w:val="20"/>
              </w:rPr>
            </w:pPr>
            <w:r w:rsidRPr="00F875E6">
              <w:rPr>
                <w:rFonts w:ascii="Arial Narrow" w:hAnsi="Arial Narrow" w:cs="Times New Roman"/>
                <w:sz w:val="20"/>
              </w:rPr>
              <w:t>0.4%</w:t>
            </w:r>
          </w:p>
        </w:tc>
        <w:tc>
          <w:tcPr>
            <w:tcW w:w="729" w:type="pct"/>
          </w:tcPr>
          <w:p w:rsidR="00F631D8" w:rsidRPr="00F875E6" w:rsidRDefault="00F631D8" w:rsidP="00642292">
            <w:pPr>
              <w:jc w:val="right"/>
              <w:rPr>
                <w:rFonts w:ascii="Arial Narrow" w:hAnsi="Arial Narrow" w:cs="Times New Roman"/>
                <w:sz w:val="20"/>
              </w:rPr>
            </w:pPr>
            <w:r w:rsidRPr="00F875E6">
              <w:rPr>
                <w:rFonts w:ascii="Arial Narrow" w:hAnsi="Arial Narrow" w:cs="Times New Roman"/>
                <w:sz w:val="20"/>
              </w:rPr>
              <w:t>$15.15</w:t>
            </w:r>
          </w:p>
        </w:tc>
        <w:tc>
          <w:tcPr>
            <w:tcW w:w="483" w:type="pct"/>
          </w:tcPr>
          <w:p w:rsidR="00F631D8" w:rsidRPr="00F875E6" w:rsidRDefault="00F631D8" w:rsidP="00642292">
            <w:pPr>
              <w:jc w:val="center"/>
              <w:rPr>
                <w:rFonts w:ascii="Arial Narrow" w:hAnsi="Arial Narrow" w:cs="Times New Roman"/>
                <w:sz w:val="20"/>
              </w:rPr>
            </w:pPr>
            <w:r w:rsidRPr="00F875E6">
              <w:rPr>
                <w:rFonts w:ascii="Arial Narrow" w:hAnsi="Arial Narrow" w:cs="Times New Roman"/>
                <w:sz w:val="20"/>
              </w:rPr>
              <w:t>1.7%</w:t>
            </w:r>
          </w:p>
        </w:tc>
        <w:tc>
          <w:tcPr>
            <w:tcW w:w="425" w:type="pct"/>
          </w:tcPr>
          <w:p w:rsidR="00F631D8" w:rsidRPr="00F875E6" w:rsidRDefault="00F631D8" w:rsidP="00642292">
            <w:pPr>
              <w:jc w:val="right"/>
              <w:rPr>
                <w:rFonts w:ascii="Arial Narrow" w:hAnsi="Arial Narrow" w:cs="Times New Roman"/>
                <w:sz w:val="20"/>
              </w:rPr>
            </w:pPr>
            <w:r w:rsidRPr="00F875E6">
              <w:rPr>
                <w:rFonts w:ascii="Arial Narrow" w:hAnsi="Arial Narrow" w:cs="Times New Roman"/>
                <w:sz w:val="20"/>
              </w:rPr>
              <w:t>$65.17</w:t>
            </w:r>
          </w:p>
        </w:tc>
      </w:tr>
      <w:tr w:rsidR="008D7B61" w:rsidRPr="00F875E6" w:rsidTr="00F34B9F">
        <w:tc>
          <w:tcPr>
            <w:tcW w:w="1282" w:type="pct"/>
            <w:tcBorders>
              <w:bottom w:val="single" w:sz="4" w:space="0" w:color="auto"/>
            </w:tcBorders>
            <w:vAlign w:val="center"/>
          </w:tcPr>
          <w:p w:rsidR="00F631D8" w:rsidRPr="00F875E6" w:rsidRDefault="00F631D8" w:rsidP="00642292">
            <w:pPr>
              <w:jc w:val="left"/>
              <w:rPr>
                <w:rFonts w:ascii="Arial Narrow" w:hAnsi="Arial Narrow" w:cs="Times New Roman"/>
                <w:b/>
                <w:sz w:val="20"/>
              </w:rPr>
            </w:pPr>
            <w:r w:rsidRPr="00F875E6">
              <w:rPr>
                <w:rFonts w:ascii="Arial Narrow" w:hAnsi="Arial Narrow" w:cs="Times New Roman"/>
                <w:b/>
                <w:sz w:val="20"/>
              </w:rPr>
              <w:t>Cost for adverse event/year</w:t>
            </w:r>
          </w:p>
        </w:tc>
        <w:tc>
          <w:tcPr>
            <w:tcW w:w="540" w:type="pct"/>
            <w:tcBorders>
              <w:bottom w:val="single" w:sz="4" w:space="0" w:color="auto"/>
            </w:tcBorders>
          </w:tcPr>
          <w:p w:rsidR="00F631D8" w:rsidRPr="00F875E6" w:rsidRDefault="00F631D8" w:rsidP="00642292">
            <w:pPr>
              <w:jc w:val="center"/>
              <w:rPr>
                <w:rFonts w:ascii="Arial Narrow" w:hAnsi="Arial Narrow" w:cs="Times New Roman"/>
                <w:b/>
                <w:sz w:val="20"/>
              </w:rPr>
            </w:pPr>
          </w:p>
        </w:tc>
        <w:tc>
          <w:tcPr>
            <w:tcW w:w="488" w:type="pct"/>
            <w:tcBorders>
              <w:bottom w:val="single" w:sz="4" w:space="0" w:color="auto"/>
            </w:tcBorders>
          </w:tcPr>
          <w:p w:rsidR="00F631D8" w:rsidRPr="00F875E6" w:rsidRDefault="00F631D8" w:rsidP="00642292">
            <w:pPr>
              <w:jc w:val="center"/>
              <w:rPr>
                <w:rFonts w:ascii="Arial Narrow" w:hAnsi="Arial Narrow" w:cs="Times New Roman"/>
                <w:b/>
                <w:sz w:val="20"/>
              </w:rPr>
            </w:pPr>
          </w:p>
        </w:tc>
        <w:tc>
          <w:tcPr>
            <w:tcW w:w="568" w:type="pct"/>
            <w:tcBorders>
              <w:bottom w:val="single" w:sz="4" w:space="0" w:color="auto"/>
            </w:tcBorders>
            <w:vAlign w:val="center"/>
          </w:tcPr>
          <w:p w:rsidR="00F631D8" w:rsidRPr="00F875E6" w:rsidRDefault="00F631D8" w:rsidP="00F34B9F">
            <w:pPr>
              <w:jc w:val="right"/>
              <w:rPr>
                <w:rFonts w:ascii="Arial Narrow" w:hAnsi="Arial Narrow" w:cs="Times New Roman"/>
                <w:b/>
                <w:sz w:val="20"/>
              </w:rPr>
            </w:pPr>
            <w:r w:rsidRPr="00F875E6">
              <w:rPr>
                <w:rFonts w:ascii="Arial Narrow" w:hAnsi="Arial Narrow" w:cs="Times New Roman"/>
                <w:b/>
                <w:sz w:val="20"/>
              </w:rPr>
              <w:t>$216.94</w:t>
            </w:r>
          </w:p>
        </w:tc>
        <w:tc>
          <w:tcPr>
            <w:tcW w:w="485" w:type="pct"/>
            <w:tcBorders>
              <w:bottom w:val="single" w:sz="4" w:space="0" w:color="auto"/>
            </w:tcBorders>
            <w:vAlign w:val="center"/>
          </w:tcPr>
          <w:p w:rsidR="00F631D8" w:rsidRPr="00F875E6" w:rsidRDefault="00F631D8" w:rsidP="00F34B9F">
            <w:pPr>
              <w:jc w:val="right"/>
              <w:rPr>
                <w:rFonts w:ascii="Arial Narrow" w:hAnsi="Arial Narrow" w:cs="Times New Roman"/>
                <w:b/>
                <w:sz w:val="20"/>
              </w:rPr>
            </w:pPr>
          </w:p>
        </w:tc>
        <w:tc>
          <w:tcPr>
            <w:tcW w:w="729" w:type="pct"/>
            <w:tcBorders>
              <w:bottom w:val="single" w:sz="4" w:space="0" w:color="auto"/>
            </w:tcBorders>
            <w:vAlign w:val="center"/>
          </w:tcPr>
          <w:p w:rsidR="00F631D8" w:rsidRPr="00F875E6" w:rsidRDefault="00F631D8" w:rsidP="00F34B9F">
            <w:pPr>
              <w:jc w:val="right"/>
              <w:rPr>
                <w:rFonts w:ascii="Arial Narrow" w:hAnsi="Arial Narrow" w:cs="Times New Roman"/>
                <w:b/>
                <w:sz w:val="20"/>
              </w:rPr>
            </w:pPr>
            <w:r w:rsidRPr="00F875E6">
              <w:rPr>
                <w:rFonts w:ascii="Arial Narrow" w:hAnsi="Arial Narrow" w:cs="Times New Roman"/>
                <w:b/>
                <w:sz w:val="20"/>
              </w:rPr>
              <w:t>$449.36</w:t>
            </w:r>
          </w:p>
        </w:tc>
        <w:tc>
          <w:tcPr>
            <w:tcW w:w="483" w:type="pct"/>
            <w:tcBorders>
              <w:bottom w:val="single" w:sz="4" w:space="0" w:color="auto"/>
            </w:tcBorders>
            <w:vAlign w:val="center"/>
          </w:tcPr>
          <w:p w:rsidR="00F631D8" w:rsidRPr="00F875E6" w:rsidRDefault="00F631D8" w:rsidP="00F34B9F">
            <w:pPr>
              <w:jc w:val="right"/>
              <w:rPr>
                <w:rFonts w:ascii="Arial Narrow" w:hAnsi="Arial Narrow" w:cs="Times New Roman"/>
                <w:b/>
                <w:sz w:val="20"/>
              </w:rPr>
            </w:pPr>
          </w:p>
        </w:tc>
        <w:tc>
          <w:tcPr>
            <w:tcW w:w="425" w:type="pct"/>
            <w:tcBorders>
              <w:bottom w:val="single" w:sz="4" w:space="0" w:color="auto"/>
            </w:tcBorders>
            <w:vAlign w:val="center"/>
          </w:tcPr>
          <w:p w:rsidR="00F631D8" w:rsidRPr="00F875E6" w:rsidRDefault="00F631D8" w:rsidP="00F34B9F">
            <w:pPr>
              <w:jc w:val="right"/>
              <w:rPr>
                <w:rFonts w:ascii="Arial Narrow" w:hAnsi="Arial Narrow" w:cs="Times New Roman"/>
                <w:b/>
                <w:sz w:val="20"/>
              </w:rPr>
            </w:pPr>
            <w:r w:rsidRPr="00F875E6">
              <w:rPr>
                <w:rFonts w:ascii="Arial Narrow" w:hAnsi="Arial Narrow" w:cs="Times New Roman"/>
                <w:b/>
                <w:sz w:val="20"/>
              </w:rPr>
              <w:t>$711.49</w:t>
            </w:r>
          </w:p>
        </w:tc>
      </w:tr>
      <w:tr w:rsidR="00F631D8" w:rsidRPr="00F875E6" w:rsidTr="00F34B9F">
        <w:tc>
          <w:tcPr>
            <w:tcW w:w="5000" w:type="pct"/>
            <w:gridSpan w:val="8"/>
            <w:tcBorders>
              <w:top w:val="single" w:sz="4" w:space="0" w:color="auto"/>
              <w:bottom w:val="single" w:sz="4" w:space="0" w:color="auto"/>
            </w:tcBorders>
            <w:vAlign w:val="center"/>
          </w:tcPr>
          <w:p w:rsidR="00F631D8" w:rsidRPr="00F875E6" w:rsidRDefault="00F631D8" w:rsidP="00642292">
            <w:pPr>
              <w:jc w:val="left"/>
              <w:rPr>
                <w:rFonts w:ascii="Arial Narrow" w:hAnsi="Arial Narrow" w:cs="Times New Roman"/>
                <w:b/>
                <w:sz w:val="20"/>
              </w:rPr>
            </w:pPr>
            <w:r w:rsidRPr="00F875E6">
              <w:rPr>
                <w:rFonts w:ascii="Arial Narrow" w:hAnsi="Arial Narrow" w:cs="Times New Roman"/>
                <w:b/>
                <w:sz w:val="20"/>
              </w:rPr>
              <w:t>Calculations during evaluation with updated event rates</w:t>
            </w:r>
          </w:p>
        </w:tc>
      </w:tr>
      <w:tr w:rsidR="008D7B61" w:rsidRPr="00F875E6" w:rsidTr="00F34B9F">
        <w:tc>
          <w:tcPr>
            <w:tcW w:w="1282" w:type="pct"/>
            <w:tcBorders>
              <w:top w:val="nil"/>
              <w:bottom w:val="single" w:sz="4" w:space="0" w:color="auto"/>
            </w:tcBorders>
            <w:vAlign w:val="center"/>
          </w:tcPr>
          <w:p w:rsidR="00F631D8" w:rsidRPr="00F875E6" w:rsidRDefault="00F631D8" w:rsidP="00642292">
            <w:pPr>
              <w:jc w:val="left"/>
              <w:rPr>
                <w:rFonts w:ascii="Arial Narrow" w:hAnsi="Arial Narrow" w:cs="Times New Roman"/>
                <w:sz w:val="20"/>
              </w:rPr>
            </w:pPr>
            <w:r w:rsidRPr="00F875E6">
              <w:rPr>
                <w:rFonts w:ascii="Arial Narrow" w:hAnsi="Arial Narrow" w:cs="Times New Roman"/>
                <w:sz w:val="20"/>
              </w:rPr>
              <w:t>Vascular occlusive event</w:t>
            </w:r>
          </w:p>
        </w:tc>
        <w:tc>
          <w:tcPr>
            <w:tcW w:w="540" w:type="pct"/>
            <w:tcBorders>
              <w:top w:val="nil"/>
              <w:bottom w:val="single" w:sz="4" w:space="0" w:color="auto"/>
            </w:tcBorders>
          </w:tcPr>
          <w:p w:rsidR="00F631D8" w:rsidRPr="00F875E6" w:rsidRDefault="00F631D8" w:rsidP="00642292">
            <w:pPr>
              <w:jc w:val="right"/>
              <w:rPr>
                <w:rFonts w:ascii="Arial Narrow" w:hAnsi="Arial Narrow" w:cs="Times New Roman"/>
                <w:sz w:val="20"/>
              </w:rPr>
            </w:pPr>
          </w:p>
        </w:tc>
        <w:tc>
          <w:tcPr>
            <w:tcW w:w="488" w:type="pct"/>
            <w:tcBorders>
              <w:top w:val="nil"/>
              <w:bottom w:val="single" w:sz="4" w:space="0" w:color="auto"/>
            </w:tcBorders>
          </w:tcPr>
          <w:p w:rsidR="00F631D8" w:rsidRPr="00F875E6" w:rsidRDefault="00F631D8" w:rsidP="00642292">
            <w:pPr>
              <w:jc w:val="center"/>
              <w:rPr>
                <w:rFonts w:ascii="Arial Narrow" w:hAnsi="Arial Narrow" w:cs="Times New Roman"/>
                <w:sz w:val="20"/>
              </w:rPr>
            </w:pPr>
          </w:p>
        </w:tc>
        <w:tc>
          <w:tcPr>
            <w:tcW w:w="568" w:type="pct"/>
            <w:tcBorders>
              <w:top w:val="nil"/>
              <w:bottom w:val="single" w:sz="4" w:space="0" w:color="auto"/>
            </w:tcBorders>
          </w:tcPr>
          <w:p w:rsidR="00F631D8" w:rsidRPr="00F875E6" w:rsidRDefault="00F631D8" w:rsidP="00642292">
            <w:pPr>
              <w:jc w:val="right"/>
              <w:rPr>
                <w:rFonts w:ascii="Arial Narrow" w:hAnsi="Arial Narrow" w:cs="Times New Roman"/>
                <w:sz w:val="20"/>
              </w:rPr>
            </w:pPr>
          </w:p>
        </w:tc>
        <w:tc>
          <w:tcPr>
            <w:tcW w:w="485" w:type="pct"/>
            <w:tcBorders>
              <w:top w:val="nil"/>
              <w:bottom w:val="single" w:sz="4" w:space="0" w:color="auto"/>
            </w:tcBorders>
          </w:tcPr>
          <w:p w:rsidR="00F631D8" w:rsidRPr="00F875E6" w:rsidRDefault="00F631D8" w:rsidP="00642292">
            <w:pPr>
              <w:jc w:val="center"/>
              <w:rPr>
                <w:rFonts w:ascii="Arial Narrow" w:hAnsi="Arial Narrow" w:cs="Times New Roman"/>
                <w:sz w:val="20"/>
              </w:rPr>
            </w:pPr>
          </w:p>
        </w:tc>
        <w:tc>
          <w:tcPr>
            <w:tcW w:w="729" w:type="pct"/>
            <w:tcBorders>
              <w:top w:val="nil"/>
              <w:bottom w:val="single" w:sz="4" w:space="0" w:color="auto"/>
            </w:tcBorders>
          </w:tcPr>
          <w:p w:rsidR="00F631D8" w:rsidRPr="00F875E6" w:rsidRDefault="00F631D8" w:rsidP="00642292">
            <w:pPr>
              <w:jc w:val="right"/>
              <w:rPr>
                <w:rFonts w:ascii="Arial Narrow" w:hAnsi="Arial Narrow" w:cs="Times New Roman"/>
                <w:sz w:val="20"/>
              </w:rPr>
            </w:pPr>
          </w:p>
        </w:tc>
        <w:tc>
          <w:tcPr>
            <w:tcW w:w="483" w:type="pct"/>
            <w:tcBorders>
              <w:top w:val="nil"/>
              <w:bottom w:val="single" w:sz="4" w:space="0" w:color="auto"/>
            </w:tcBorders>
          </w:tcPr>
          <w:p w:rsidR="00F631D8" w:rsidRPr="00F875E6" w:rsidRDefault="00F631D8" w:rsidP="00642292">
            <w:pPr>
              <w:jc w:val="center"/>
              <w:rPr>
                <w:rFonts w:ascii="Arial Narrow" w:hAnsi="Arial Narrow" w:cs="Times New Roman"/>
                <w:sz w:val="20"/>
              </w:rPr>
            </w:pPr>
          </w:p>
        </w:tc>
        <w:tc>
          <w:tcPr>
            <w:tcW w:w="425" w:type="pct"/>
            <w:tcBorders>
              <w:top w:val="nil"/>
              <w:bottom w:val="single" w:sz="4" w:space="0" w:color="auto"/>
            </w:tcBorders>
          </w:tcPr>
          <w:p w:rsidR="00F631D8" w:rsidRPr="00F875E6" w:rsidRDefault="00F631D8" w:rsidP="00642292">
            <w:pPr>
              <w:jc w:val="right"/>
              <w:rPr>
                <w:rFonts w:ascii="Arial Narrow" w:hAnsi="Arial Narrow" w:cs="Times New Roman"/>
                <w:sz w:val="20"/>
              </w:rPr>
            </w:pPr>
          </w:p>
        </w:tc>
      </w:tr>
      <w:tr w:rsidR="008D7B61" w:rsidRPr="00F875E6" w:rsidTr="00F34B9F">
        <w:tc>
          <w:tcPr>
            <w:tcW w:w="1282" w:type="pct"/>
            <w:tcBorders>
              <w:top w:val="nil"/>
              <w:bottom w:val="single" w:sz="4" w:space="0" w:color="auto"/>
            </w:tcBorders>
            <w:vAlign w:val="center"/>
          </w:tcPr>
          <w:p w:rsidR="00F631D8" w:rsidRPr="00F875E6" w:rsidRDefault="00F631D8" w:rsidP="00642292">
            <w:pPr>
              <w:ind w:left="284"/>
              <w:jc w:val="left"/>
              <w:rPr>
                <w:rFonts w:ascii="Arial Narrow" w:hAnsi="Arial Narrow" w:cs="Times New Roman"/>
                <w:sz w:val="20"/>
              </w:rPr>
            </w:pPr>
            <w:r w:rsidRPr="00F875E6">
              <w:rPr>
                <w:rFonts w:ascii="Arial Narrow" w:hAnsi="Arial Narrow" w:cs="Times New Roman"/>
                <w:sz w:val="20"/>
              </w:rPr>
              <w:t>Grade 1 or 2</w:t>
            </w:r>
          </w:p>
        </w:tc>
        <w:tc>
          <w:tcPr>
            <w:tcW w:w="540" w:type="pct"/>
            <w:tcBorders>
              <w:top w:val="nil"/>
              <w:bottom w:val="single" w:sz="4" w:space="0" w:color="auto"/>
            </w:tcBorders>
          </w:tcPr>
          <w:p w:rsidR="00F631D8" w:rsidRPr="00F875E6" w:rsidRDefault="00F631D8" w:rsidP="00642292">
            <w:pPr>
              <w:jc w:val="right"/>
              <w:rPr>
                <w:rFonts w:ascii="Arial Narrow" w:hAnsi="Arial Narrow" w:cs="Times New Roman"/>
                <w:sz w:val="20"/>
              </w:rPr>
            </w:pPr>
            <w:r w:rsidRPr="00F875E6">
              <w:rPr>
                <w:rFonts w:ascii="Arial Narrow" w:hAnsi="Arial Narrow" w:cs="Times New Roman"/>
                <w:sz w:val="20"/>
              </w:rPr>
              <w:t>$3,572.98</w:t>
            </w:r>
          </w:p>
        </w:tc>
        <w:tc>
          <w:tcPr>
            <w:tcW w:w="488" w:type="pct"/>
            <w:tcBorders>
              <w:top w:val="nil"/>
              <w:bottom w:val="single" w:sz="4" w:space="0" w:color="auto"/>
            </w:tcBorders>
          </w:tcPr>
          <w:p w:rsidR="00F631D8" w:rsidRPr="00F875E6" w:rsidRDefault="00F631D8" w:rsidP="00642292">
            <w:pPr>
              <w:jc w:val="center"/>
              <w:rPr>
                <w:rFonts w:ascii="Arial Narrow" w:hAnsi="Arial Narrow" w:cs="Times New Roman"/>
                <w:sz w:val="20"/>
              </w:rPr>
            </w:pPr>
            <w:r w:rsidRPr="00F875E6">
              <w:rPr>
                <w:rFonts w:ascii="Arial Narrow" w:hAnsi="Arial Narrow" w:cs="Times New Roman"/>
                <w:sz w:val="20"/>
              </w:rPr>
              <w:t>0.9%</w:t>
            </w:r>
          </w:p>
        </w:tc>
        <w:tc>
          <w:tcPr>
            <w:tcW w:w="568" w:type="pct"/>
            <w:tcBorders>
              <w:top w:val="nil"/>
              <w:bottom w:val="single" w:sz="4" w:space="0" w:color="auto"/>
            </w:tcBorders>
            <w:vAlign w:val="center"/>
          </w:tcPr>
          <w:p w:rsidR="00F631D8" w:rsidRPr="00F875E6" w:rsidRDefault="00F631D8" w:rsidP="00642292">
            <w:pPr>
              <w:jc w:val="right"/>
              <w:rPr>
                <w:rFonts w:ascii="Arial Narrow" w:hAnsi="Arial Narrow"/>
                <w:iCs/>
                <w:color w:val="000000"/>
                <w:sz w:val="20"/>
              </w:rPr>
            </w:pPr>
            <w:r w:rsidRPr="00F875E6">
              <w:rPr>
                <w:rFonts w:ascii="Arial Narrow" w:hAnsi="Arial Narrow"/>
                <w:iCs/>
                <w:color w:val="000000"/>
                <w:sz w:val="20"/>
              </w:rPr>
              <w:t>$32.16</w:t>
            </w:r>
          </w:p>
        </w:tc>
        <w:tc>
          <w:tcPr>
            <w:tcW w:w="485" w:type="pct"/>
            <w:tcBorders>
              <w:top w:val="nil"/>
              <w:bottom w:val="single" w:sz="4" w:space="0" w:color="auto"/>
            </w:tcBorders>
          </w:tcPr>
          <w:p w:rsidR="00F631D8" w:rsidRPr="00F875E6" w:rsidRDefault="00F631D8" w:rsidP="00642292">
            <w:pPr>
              <w:jc w:val="center"/>
              <w:rPr>
                <w:rFonts w:ascii="Arial Narrow" w:hAnsi="Arial Narrow" w:cs="Times New Roman"/>
                <w:sz w:val="20"/>
              </w:rPr>
            </w:pPr>
            <w:r w:rsidRPr="00F875E6">
              <w:rPr>
                <w:rFonts w:ascii="Arial Narrow" w:hAnsi="Arial Narrow" w:cs="Times New Roman"/>
                <w:sz w:val="20"/>
              </w:rPr>
              <w:t>1.4%</w:t>
            </w:r>
          </w:p>
        </w:tc>
        <w:tc>
          <w:tcPr>
            <w:tcW w:w="729" w:type="pct"/>
            <w:tcBorders>
              <w:top w:val="nil"/>
              <w:bottom w:val="single" w:sz="4" w:space="0" w:color="auto"/>
            </w:tcBorders>
            <w:vAlign w:val="center"/>
          </w:tcPr>
          <w:p w:rsidR="00F631D8" w:rsidRPr="00F875E6" w:rsidRDefault="00F631D8" w:rsidP="00642292">
            <w:pPr>
              <w:jc w:val="right"/>
              <w:rPr>
                <w:rFonts w:ascii="Arial Narrow" w:hAnsi="Arial Narrow"/>
                <w:iCs/>
                <w:color w:val="000000"/>
                <w:sz w:val="20"/>
              </w:rPr>
            </w:pPr>
            <w:r w:rsidRPr="00F875E6">
              <w:rPr>
                <w:rFonts w:ascii="Arial Narrow" w:hAnsi="Arial Narrow"/>
                <w:iCs/>
                <w:color w:val="000000"/>
                <w:sz w:val="20"/>
              </w:rPr>
              <w:t>$50.02</w:t>
            </w:r>
          </w:p>
        </w:tc>
        <w:tc>
          <w:tcPr>
            <w:tcW w:w="483" w:type="pct"/>
            <w:tcBorders>
              <w:top w:val="nil"/>
              <w:bottom w:val="single" w:sz="4" w:space="0" w:color="auto"/>
            </w:tcBorders>
          </w:tcPr>
          <w:p w:rsidR="00F631D8" w:rsidRPr="00F875E6" w:rsidRDefault="00F631D8" w:rsidP="00642292">
            <w:pPr>
              <w:jc w:val="center"/>
              <w:rPr>
                <w:rFonts w:ascii="Arial Narrow" w:hAnsi="Arial Narrow" w:cs="Times New Roman"/>
                <w:sz w:val="20"/>
              </w:rPr>
            </w:pPr>
            <w:r w:rsidRPr="00F875E6">
              <w:rPr>
                <w:rFonts w:ascii="Arial Narrow" w:hAnsi="Arial Narrow" w:cs="Times New Roman"/>
                <w:sz w:val="20"/>
              </w:rPr>
              <w:t>6.5%</w:t>
            </w:r>
          </w:p>
        </w:tc>
        <w:tc>
          <w:tcPr>
            <w:tcW w:w="425" w:type="pct"/>
            <w:tcBorders>
              <w:top w:val="nil"/>
              <w:bottom w:val="single" w:sz="4" w:space="0" w:color="auto"/>
            </w:tcBorders>
            <w:vAlign w:val="center"/>
          </w:tcPr>
          <w:p w:rsidR="00F631D8" w:rsidRPr="00F875E6" w:rsidRDefault="00F631D8" w:rsidP="00642292">
            <w:pPr>
              <w:jc w:val="right"/>
              <w:rPr>
                <w:rFonts w:ascii="Arial Narrow" w:hAnsi="Arial Narrow"/>
                <w:iCs/>
                <w:color w:val="000000"/>
                <w:sz w:val="20"/>
              </w:rPr>
            </w:pPr>
            <w:r w:rsidRPr="00F875E6">
              <w:rPr>
                <w:rFonts w:ascii="Arial Narrow" w:hAnsi="Arial Narrow"/>
                <w:iCs/>
                <w:color w:val="000000"/>
                <w:sz w:val="20"/>
              </w:rPr>
              <w:t>$232.24</w:t>
            </w:r>
          </w:p>
        </w:tc>
      </w:tr>
      <w:tr w:rsidR="008D7B61" w:rsidRPr="00F875E6" w:rsidTr="00F34B9F">
        <w:tc>
          <w:tcPr>
            <w:tcW w:w="1282" w:type="pct"/>
            <w:tcBorders>
              <w:top w:val="nil"/>
              <w:bottom w:val="single" w:sz="4" w:space="0" w:color="auto"/>
            </w:tcBorders>
            <w:vAlign w:val="center"/>
          </w:tcPr>
          <w:p w:rsidR="00F631D8" w:rsidRPr="00F875E6" w:rsidRDefault="00F631D8" w:rsidP="00642292">
            <w:pPr>
              <w:ind w:left="284"/>
              <w:jc w:val="left"/>
              <w:rPr>
                <w:rFonts w:ascii="Arial Narrow" w:hAnsi="Arial Narrow" w:cs="Times New Roman"/>
                <w:sz w:val="20"/>
              </w:rPr>
            </w:pPr>
            <w:r w:rsidRPr="00F875E6">
              <w:rPr>
                <w:rFonts w:ascii="Arial Narrow" w:hAnsi="Arial Narrow" w:cs="Times New Roman"/>
                <w:sz w:val="20"/>
              </w:rPr>
              <w:t>Grade 3 or 4</w:t>
            </w:r>
          </w:p>
        </w:tc>
        <w:tc>
          <w:tcPr>
            <w:tcW w:w="540" w:type="pct"/>
            <w:tcBorders>
              <w:top w:val="nil"/>
              <w:bottom w:val="single" w:sz="4" w:space="0" w:color="auto"/>
            </w:tcBorders>
          </w:tcPr>
          <w:p w:rsidR="00F631D8" w:rsidRPr="00F875E6" w:rsidRDefault="00F631D8" w:rsidP="00642292">
            <w:pPr>
              <w:jc w:val="right"/>
              <w:rPr>
                <w:rFonts w:ascii="Arial Narrow" w:hAnsi="Arial Narrow" w:cs="Times New Roman"/>
                <w:sz w:val="20"/>
              </w:rPr>
            </w:pPr>
            <w:r w:rsidRPr="00F875E6">
              <w:rPr>
                <w:rFonts w:ascii="Arial Narrow" w:hAnsi="Arial Narrow" w:cs="Times New Roman"/>
                <w:sz w:val="20"/>
              </w:rPr>
              <w:t>$3,855.05</w:t>
            </w:r>
          </w:p>
        </w:tc>
        <w:tc>
          <w:tcPr>
            <w:tcW w:w="488" w:type="pct"/>
            <w:tcBorders>
              <w:top w:val="nil"/>
              <w:bottom w:val="single" w:sz="4" w:space="0" w:color="auto"/>
            </w:tcBorders>
          </w:tcPr>
          <w:p w:rsidR="00F631D8" w:rsidRPr="00F875E6" w:rsidRDefault="00F631D8" w:rsidP="00642292">
            <w:pPr>
              <w:jc w:val="center"/>
              <w:rPr>
                <w:rFonts w:ascii="Arial Narrow" w:hAnsi="Arial Narrow" w:cs="Times New Roman"/>
                <w:sz w:val="20"/>
              </w:rPr>
            </w:pPr>
            <w:r w:rsidRPr="00F875E6">
              <w:rPr>
                <w:rFonts w:ascii="Arial Narrow" w:hAnsi="Arial Narrow" w:cs="Times New Roman"/>
                <w:sz w:val="20"/>
              </w:rPr>
              <w:t>2.1%</w:t>
            </w:r>
          </w:p>
        </w:tc>
        <w:tc>
          <w:tcPr>
            <w:tcW w:w="568" w:type="pct"/>
            <w:tcBorders>
              <w:top w:val="nil"/>
              <w:bottom w:val="single" w:sz="4" w:space="0" w:color="auto"/>
            </w:tcBorders>
            <w:vAlign w:val="center"/>
          </w:tcPr>
          <w:p w:rsidR="00F631D8" w:rsidRPr="00F875E6" w:rsidRDefault="00F631D8" w:rsidP="00642292">
            <w:pPr>
              <w:jc w:val="right"/>
              <w:rPr>
                <w:rFonts w:ascii="Arial Narrow" w:hAnsi="Arial Narrow"/>
                <w:iCs/>
                <w:color w:val="000000"/>
                <w:sz w:val="20"/>
              </w:rPr>
            </w:pPr>
            <w:r w:rsidRPr="00F875E6">
              <w:rPr>
                <w:rFonts w:ascii="Arial Narrow" w:hAnsi="Arial Narrow"/>
                <w:iCs/>
                <w:color w:val="000000"/>
                <w:sz w:val="20"/>
              </w:rPr>
              <w:t>$80.96</w:t>
            </w:r>
          </w:p>
        </w:tc>
        <w:tc>
          <w:tcPr>
            <w:tcW w:w="485" w:type="pct"/>
            <w:tcBorders>
              <w:top w:val="nil"/>
              <w:bottom w:val="single" w:sz="4" w:space="0" w:color="auto"/>
            </w:tcBorders>
          </w:tcPr>
          <w:p w:rsidR="00F631D8" w:rsidRPr="00F875E6" w:rsidRDefault="00F631D8" w:rsidP="00642292">
            <w:pPr>
              <w:jc w:val="center"/>
              <w:rPr>
                <w:rFonts w:ascii="Arial Narrow" w:hAnsi="Arial Narrow" w:cs="Times New Roman"/>
                <w:sz w:val="20"/>
              </w:rPr>
            </w:pPr>
            <w:r w:rsidRPr="00F875E6">
              <w:rPr>
                <w:rFonts w:ascii="Arial Narrow" w:hAnsi="Arial Narrow" w:cs="Times New Roman"/>
                <w:sz w:val="20"/>
              </w:rPr>
              <w:t>3.5%</w:t>
            </w:r>
          </w:p>
        </w:tc>
        <w:tc>
          <w:tcPr>
            <w:tcW w:w="729" w:type="pct"/>
            <w:tcBorders>
              <w:top w:val="nil"/>
              <w:bottom w:val="single" w:sz="4" w:space="0" w:color="auto"/>
            </w:tcBorders>
            <w:vAlign w:val="center"/>
          </w:tcPr>
          <w:p w:rsidR="00F631D8" w:rsidRPr="00F875E6" w:rsidRDefault="00F631D8" w:rsidP="00642292">
            <w:pPr>
              <w:jc w:val="right"/>
              <w:rPr>
                <w:rFonts w:ascii="Arial Narrow" w:hAnsi="Arial Narrow"/>
                <w:iCs/>
                <w:color w:val="000000"/>
                <w:sz w:val="20"/>
              </w:rPr>
            </w:pPr>
            <w:r w:rsidRPr="00F875E6">
              <w:rPr>
                <w:rFonts w:ascii="Arial Narrow" w:hAnsi="Arial Narrow"/>
                <w:iCs/>
                <w:color w:val="000000"/>
                <w:sz w:val="20"/>
              </w:rPr>
              <w:t>$134.93</w:t>
            </w:r>
          </w:p>
        </w:tc>
        <w:tc>
          <w:tcPr>
            <w:tcW w:w="483" w:type="pct"/>
            <w:tcBorders>
              <w:top w:val="nil"/>
              <w:bottom w:val="single" w:sz="4" w:space="0" w:color="auto"/>
            </w:tcBorders>
          </w:tcPr>
          <w:p w:rsidR="00F631D8" w:rsidRPr="00F875E6" w:rsidRDefault="00F631D8" w:rsidP="00642292">
            <w:pPr>
              <w:jc w:val="center"/>
              <w:rPr>
                <w:rFonts w:ascii="Arial Narrow" w:hAnsi="Arial Narrow" w:cs="Times New Roman"/>
                <w:sz w:val="20"/>
              </w:rPr>
            </w:pPr>
            <w:r w:rsidRPr="00F875E6">
              <w:rPr>
                <w:rFonts w:ascii="Arial Narrow" w:hAnsi="Arial Narrow" w:cs="Times New Roman"/>
                <w:sz w:val="20"/>
              </w:rPr>
              <w:t>16.0%</w:t>
            </w:r>
          </w:p>
        </w:tc>
        <w:tc>
          <w:tcPr>
            <w:tcW w:w="425" w:type="pct"/>
            <w:tcBorders>
              <w:top w:val="nil"/>
              <w:bottom w:val="single" w:sz="4" w:space="0" w:color="auto"/>
            </w:tcBorders>
            <w:vAlign w:val="center"/>
          </w:tcPr>
          <w:p w:rsidR="00F631D8" w:rsidRPr="00F875E6" w:rsidRDefault="00F631D8" w:rsidP="00642292">
            <w:pPr>
              <w:jc w:val="right"/>
              <w:rPr>
                <w:rFonts w:ascii="Arial Narrow" w:hAnsi="Arial Narrow"/>
                <w:iCs/>
                <w:color w:val="000000"/>
                <w:sz w:val="20"/>
              </w:rPr>
            </w:pPr>
            <w:r w:rsidRPr="00F875E6">
              <w:rPr>
                <w:rFonts w:ascii="Arial Narrow" w:hAnsi="Arial Narrow"/>
                <w:iCs/>
                <w:color w:val="000000"/>
                <w:sz w:val="20"/>
              </w:rPr>
              <w:t>$616.81</w:t>
            </w:r>
          </w:p>
        </w:tc>
      </w:tr>
      <w:tr w:rsidR="008D7B61" w:rsidRPr="00F875E6" w:rsidTr="00F34B9F">
        <w:tc>
          <w:tcPr>
            <w:tcW w:w="1282" w:type="pct"/>
            <w:tcBorders>
              <w:top w:val="nil"/>
              <w:bottom w:val="single" w:sz="4" w:space="0" w:color="auto"/>
            </w:tcBorders>
            <w:vAlign w:val="center"/>
          </w:tcPr>
          <w:p w:rsidR="00F631D8" w:rsidRPr="00F875E6" w:rsidRDefault="00F631D8" w:rsidP="00642292">
            <w:pPr>
              <w:jc w:val="left"/>
              <w:rPr>
                <w:rFonts w:ascii="Arial Narrow" w:hAnsi="Arial Narrow" w:cs="Times New Roman"/>
                <w:sz w:val="20"/>
              </w:rPr>
            </w:pPr>
            <w:r w:rsidRPr="00F875E6">
              <w:rPr>
                <w:rFonts w:ascii="Arial Narrow" w:hAnsi="Arial Narrow" w:cs="Times New Roman"/>
                <w:sz w:val="20"/>
              </w:rPr>
              <w:t>Pleural effusion</w:t>
            </w:r>
          </w:p>
        </w:tc>
        <w:tc>
          <w:tcPr>
            <w:tcW w:w="540" w:type="pct"/>
            <w:tcBorders>
              <w:top w:val="nil"/>
              <w:bottom w:val="single" w:sz="4" w:space="0" w:color="auto"/>
            </w:tcBorders>
          </w:tcPr>
          <w:p w:rsidR="00F631D8" w:rsidRPr="00F875E6" w:rsidRDefault="00F631D8" w:rsidP="00642292">
            <w:pPr>
              <w:jc w:val="center"/>
              <w:rPr>
                <w:rFonts w:ascii="Arial Narrow" w:hAnsi="Arial Narrow" w:cs="Times New Roman"/>
                <w:sz w:val="20"/>
              </w:rPr>
            </w:pPr>
          </w:p>
        </w:tc>
        <w:tc>
          <w:tcPr>
            <w:tcW w:w="488" w:type="pct"/>
            <w:tcBorders>
              <w:top w:val="nil"/>
              <w:bottom w:val="single" w:sz="4" w:space="0" w:color="auto"/>
            </w:tcBorders>
          </w:tcPr>
          <w:p w:rsidR="00F631D8" w:rsidRPr="00F875E6" w:rsidRDefault="00F631D8" w:rsidP="00642292">
            <w:pPr>
              <w:jc w:val="center"/>
              <w:rPr>
                <w:rFonts w:ascii="Arial Narrow" w:hAnsi="Arial Narrow" w:cs="Times New Roman"/>
                <w:sz w:val="20"/>
              </w:rPr>
            </w:pPr>
          </w:p>
        </w:tc>
        <w:tc>
          <w:tcPr>
            <w:tcW w:w="568" w:type="pct"/>
            <w:tcBorders>
              <w:top w:val="nil"/>
              <w:bottom w:val="single" w:sz="4" w:space="0" w:color="auto"/>
            </w:tcBorders>
            <w:vAlign w:val="center"/>
          </w:tcPr>
          <w:p w:rsidR="00F631D8" w:rsidRPr="00F875E6" w:rsidRDefault="00F631D8" w:rsidP="00642292">
            <w:pPr>
              <w:jc w:val="right"/>
              <w:rPr>
                <w:rFonts w:ascii="Arial Narrow" w:hAnsi="Arial Narrow"/>
                <w:iCs/>
                <w:color w:val="000000"/>
                <w:sz w:val="20"/>
              </w:rPr>
            </w:pPr>
            <w:r w:rsidRPr="00F875E6">
              <w:rPr>
                <w:rFonts w:ascii="Arial Narrow" w:hAnsi="Arial Narrow"/>
                <w:iCs/>
                <w:color w:val="000000"/>
                <w:sz w:val="20"/>
              </w:rPr>
              <w:t> </w:t>
            </w:r>
          </w:p>
        </w:tc>
        <w:tc>
          <w:tcPr>
            <w:tcW w:w="485" w:type="pct"/>
            <w:tcBorders>
              <w:top w:val="nil"/>
              <w:bottom w:val="single" w:sz="4" w:space="0" w:color="auto"/>
            </w:tcBorders>
          </w:tcPr>
          <w:p w:rsidR="00F631D8" w:rsidRPr="00F875E6" w:rsidRDefault="00F631D8" w:rsidP="00642292">
            <w:pPr>
              <w:jc w:val="center"/>
              <w:rPr>
                <w:rFonts w:ascii="Arial Narrow" w:hAnsi="Arial Narrow" w:cs="Times New Roman"/>
                <w:sz w:val="20"/>
              </w:rPr>
            </w:pPr>
          </w:p>
        </w:tc>
        <w:tc>
          <w:tcPr>
            <w:tcW w:w="729" w:type="pct"/>
            <w:tcBorders>
              <w:top w:val="nil"/>
              <w:bottom w:val="single" w:sz="4" w:space="0" w:color="auto"/>
            </w:tcBorders>
            <w:vAlign w:val="center"/>
          </w:tcPr>
          <w:p w:rsidR="00F631D8" w:rsidRPr="00F875E6" w:rsidRDefault="00F631D8" w:rsidP="00642292">
            <w:pPr>
              <w:jc w:val="right"/>
              <w:rPr>
                <w:rFonts w:ascii="Arial Narrow" w:hAnsi="Arial Narrow"/>
                <w:iCs/>
                <w:color w:val="000000"/>
                <w:sz w:val="20"/>
              </w:rPr>
            </w:pPr>
            <w:r w:rsidRPr="00F875E6">
              <w:rPr>
                <w:rFonts w:ascii="Arial Narrow" w:hAnsi="Arial Narrow"/>
                <w:iCs/>
                <w:color w:val="000000"/>
                <w:sz w:val="20"/>
              </w:rPr>
              <w:t> </w:t>
            </w:r>
          </w:p>
        </w:tc>
        <w:tc>
          <w:tcPr>
            <w:tcW w:w="483" w:type="pct"/>
            <w:tcBorders>
              <w:top w:val="nil"/>
              <w:bottom w:val="single" w:sz="4" w:space="0" w:color="auto"/>
            </w:tcBorders>
          </w:tcPr>
          <w:p w:rsidR="00F631D8" w:rsidRPr="00F875E6" w:rsidRDefault="00F631D8" w:rsidP="00642292">
            <w:pPr>
              <w:jc w:val="center"/>
              <w:rPr>
                <w:rFonts w:ascii="Arial Narrow" w:hAnsi="Arial Narrow" w:cs="Times New Roman"/>
                <w:sz w:val="20"/>
              </w:rPr>
            </w:pPr>
          </w:p>
        </w:tc>
        <w:tc>
          <w:tcPr>
            <w:tcW w:w="425" w:type="pct"/>
            <w:tcBorders>
              <w:top w:val="nil"/>
              <w:bottom w:val="single" w:sz="4" w:space="0" w:color="auto"/>
            </w:tcBorders>
            <w:vAlign w:val="center"/>
          </w:tcPr>
          <w:p w:rsidR="00F631D8" w:rsidRPr="00F875E6" w:rsidRDefault="00F631D8" w:rsidP="00642292">
            <w:pPr>
              <w:jc w:val="right"/>
              <w:rPr>
                <w:rFonts w:ascii="Arial Narrow" w:hAnsi="Arial Narrow"/>
                <w:iCs/>
                <w:color w:val="000000"/>
                <w:sz w:val="20"/>
              </w:rPr>
            </w:pPr>
            <w:r w:rsidRPr="00F875E6">
              <w:rPr>
                <w:rFonts w:ascii="Arial Narrow" w:hAnsi="Arial Narrow"/>
                <w:iCs/>
                <w:color w:val="000000"/>
                <w:sz w:val="20"/>
              </w:rPr>
              <w:t> </w:t>
            </w:r>
          </w:p>
        </w:tc>
      </w:tr>
      <w:tr w:rsidR="008D7B61" w:rsidRPr="00F875E6" w:rsidTr="00F34B9F">
        <w:tc>
          <w:tcPr>
            <w:tcW w:w="1282" w:type="pct"/>
            <w:tcBorders>
              <w:top w:val="nil"/>
              <w:bottom w:val="single" w:sz="4" w:space="0" w:color="auto"/>
            </w:tcBorders>
            <w:vAlign w:val="center"/>
          </w:tcPr>
          <w:p w:rsidR="00F631D8" w:rsidRPr="00F875E6" w:rsidRDefault="00F631D8" w:rsidP="00642292">
            <w:pPr>
              <w:ind w:left="284"/>
              <w:jc w:val="left"/>
              <w:rPr>
                <w:rFonts w:ascii="Arial Narrow" w:hAnsi="Arial Narrow" w:cs="Times New Roman"/>
                <w:sz w:val="20"/>
              </w:rPr>
            </w:pPr>
            <w:r w:rsidRPr="00F875E6">
              <w:rPr>
                <w:rFonts w:ascii="Arial Narrow" w:hAnsi="Arial Narrow" w:cs="Times New Roman"/>
                <w:sz w:val="20"/>
              </w:rPr>
              <w:t>Grade 1 or 2</w:t>
            </w:r>
          </w:p>
        </w:tc>
        <w:tc>
          <w:tcPr>
            <w:tcW w:w="540" w:type="pct"/>
            <w:tcBorders>
              <w:top w:val="nil"/>
              <w:bottom w:val="single" w:sz="4" w:space="0" w:color="auto"/>
            </w:tcBorders>
          </w:tcPr>
          <w:p w:rsidR="00F631D8" w:rsidRPr="00F875E6" w:rsidRDefault="00F631D8" w:rsidP="00642292">
            <w:pPr>
              <w:jc w:val="right"/>
              <w:rPr>
                <w:rFonts w:ascii="Arial Narrow" w:hAnsi="Arial Narrow" w:cs="Times New Roman"/>
                <w:sz w:val="20"/>
              </w:rPr>
            </w:pPr>
            <w:r w:rsidRPr="00F875E6">
              <w:rPr>
                <w:rFonts w:ascii="Arial Narrow" w:hAnsi="Arial Narrow" w:cs="Times New Roman"/>
                <w:sz w:val="20"/>
              </w:rPr>
              <w:t>$18.97</w:t>
            </w:r>
          </w:p>
        </w:tc>
        <w:tc>
          <w:tcPr>
            <w:tcW w:w="488" w:type="pct"/>
            <w:tcBorders>
              <w:top w:val="nil"/>
              <w:bottom w:val="single" w:sz="4" w:space="0" w:color="auto"/>
            </w:tcBorders>
          </w:tcPr>
          <w:p w:rsidR="00F631D8" w:rsidRPr="00F875E6" w:rsidRDefault="00F631D8" w:rsidP="00642292">
            <w:pPr>
              <w:jc w:val="center"/>
              <w:rPr>
                <w:rFonts w:ascii="Arial Narrow" w:hAnsi="Arial Narrow" w:cs="Times New Roman"/>
                <w:sz w:val="20"/>
              </w:rPr>
            </w:pPr>
            <w:r w:rsidRPr="00F875E6">
              <w:rPr>
                <w:rFonts w:ascii="Arial Narrow" w:hAnsi="Arial Narrow" w:cs="Times New Roman"/>
                <w:sz w:val="20"/>
              </w:rPr>
              <w:t>23.2%</w:t>
            </w:r>
          </w:p>
        </w:tc>
        <w:tc>
          <w:tcPr>
            <w:tcW w:w="568" w:type="pct"/>
            <w:tcBorders>
              <w:top w:val="nil"/>
              <w:bottom w:val="single" w:sz="4" w:space="0" w:color="auto"/>
            </w:tcBorders>
            <w:vAlign w:val="center"/>
          </w:tcPr>
          <w:p w:rsidR="00F631D8" w:rsidRPr="00F875E6" w:rsidRDefault="00F631D8" w:rsidP="00642292">
            <w:pPr>
              <w:jc w:val="right"/>
              <w:rPr>
                <w:rFonts w:ascii="Arial Narrow" w:hAnsi="Arial Narrow"/>
                <w:iCs/>
                <w:color w:val="000000"/>
                <w:sz w:val="20"/>
              </w:rPr>
            </w:pPr>
            <w:r w:rsidRPr="00F875E6">
              <w:rPr>
                <w:rFonts w:ascii="Arial Narrow" w:hAnsi="Arial Narrow"/>
                <w:iCs/>
                <w:color w:val="000000"/>
                <w:sz w:val="20"/>
              </w:rPr>
              <w:t>$4.40</w:t>
            </w:r>
          </w:p>
        </w:tc>
        <w:tc>
          <w:tcPr>
            <w:tcW w:w="485" w:type="pct"/>
            <w:tcBorders>
              <w:top w:val="nil"/>
              <w:bottom w:val="single" w:sz="4" w:space="0" w:color="auto"/>
            </w:tcBorders>
          </w:tcPr>
          <w:p w:rsidR="00F631D8" w:rsidRPr="00F875E6" w:rsidRDefault="00F631D8" w:rsidP="00642292">
            <w:pPr>
              <w:jc w:val="center"/>
              <w:rPr>
                <w:rFonts w:ascii="Arial Narrow" w:hAnsi="Arial Narrow" w:cs="Times New Roman"/>
                <w:sz w:val="20"/>
              </w:rPr>
            </w:pPr>
            <w:r w:rsidRPr="00F875E6">
              <w:rPr>
                <w:rFonts w:ascii="Arial Narrow" w:hAnsi="Arial Narrow" w:cs="Times New Roman"/>
                <w:sz w:val="20"/>
              </w:rPr>
              <w:t>1.3%</w:t>
            </w:r>
          </w:p>
        </w:tc>
        <w:tc>
          <w:tcPr>
            <w:tcW w:w="729" w:type="pct"/>
            <w:tcBorders>
              <w:top w:val="nil"/>
              <w:bottom w:val="single" w:sz="4" w:space="0" w:color="auto"/>
            </w:tcBorders>
            <w:vAlign w:val="center"/>
          </w:tcPr>
          <w:p w:rsidR="00F631D8" w:rsidRPr="00F875E6" w:rsidRDefault="00F631D8" w:rsidP="00642292">
            <w:pPr>
              <w:jc w:val="right"/>
              <w:rPr>
                <w:rFonts w:ascii="Arial Narrow" w:hAnsi="Arial Narrow"/>
                <w:iCs/>
                <w:color w:val="000000"/>
                <w:sz w:val="20"/>
              </w:rPr>
            </w:pPr>
            <w:r w:rsidRPr="00F875E6">
              <w:rPr>
                <w:rFonts w:ascii="Arial Narrow" w:hAnsi="Arial Narrow"/>
                <w:iCs/>
                <w:color w:val="000000"/>
                <w:sz w:val="20"/>
              </w:rPr>
              <w:t>$0.25</w:t>
            </w:r>
          </w:p>
        </w:tc>
        <w:tc>
          <w:tcPr>
            <w:tcW w:w="483" w:type="pct"/>
            <w:tcBorders>
              <w:top w:val="nil"/>
              <w:bottom w:val="single" w:sz="4" w:space="0" w:color="auto"/>
            </w:tcBorders>
          </w:tcPr>
          <w:p w:rsidR="00F631D8" w:rsidRPr="00F875E6" w:rsidRDefault="00F631D8" w:rsidP="00642292">
            <w:pPr>
              <w:jc w:val="center"/>
              <w:rPr>
                <w:rFonts w:ascii="Arial Narrow" w:hAnsi="Arial Narrow" w:cs="Times New Roman"/>
                <w:sz w:val="20"/>
              </w:rPr>
            </w:pPr>
            <w:r w:rsidRPr="00F875E6">
              <w:rPr>
                <w:rFonts w:ascii="Arial Narrow" w:hAnsi="Arial Narrow" w:cs="Times New Roman"/>
                <w:sz w:val="20"/>
              </w:rPr>
              <w:t>6.3%</w:t>
            </w:r>
          </w:p>
        </w:tc>
        <w:tc>
          <w:tcPr>
            <w:tcW w:w="425" w:type="pct"/>
            <w:tcBorders>
              <w:top w:val="nil"/>
              <w:bottom w:val="single" w:sz="4" w:space="0" w:color="auto"/>
            </w:tcBorders>
            <w:vAlign w:val="center"/>
          </w:tcPr>
          <w:p w:rsidR="00F631D8" w:rsidRPr="00F875E6" w:rsidRDefault="00F631D8" w:rsidP="00642292">
            <w:pPr>
              <w:jc w:val="right"/>
              <w:rPr>
                <w:rFonts w:ascii="Arial Narrow" w:hAnsi="Arial Narrow"/>
                <w:iCs/>
                <w:color w:val="000000"/>
                <w:sz w:val="20"/>
              </w:rPr>
            </w:pPr>
            <w:r w:rsidRPr="00F875E6">
              <w:rPr>
                <w:rFonts w:ascii="Arial Narrow" w:hAnsi="Arial Narrow"/>
                <w:iCs/>
                <w:color w:val="000000"/>
                <w:sz w:val="20"/>
              </w:rPr>
              <w:t>$1.20</w:t>
            </w:r>
          </w:p>
        </w:tc>
      </w:tr>
      <w:tr w:rsidR="008D7B61" w:rsidRPr="00F875E6" w:rsidTr="00F34B9F">
        <w:tc>
          <w:tcPr>
            <w:tcW w:w="1282" w:type="pct"/>
            <w:tcBorders>
              <w:top w:val="nil"/>
              <w:bottom w:val="single" w:sz="4" w:space="0" w:color="auto"/>
            </w:tcBorders>
            <w:vAlign w:val="center"/>
          </w:tcPr>
          <w:p w:rsidR="00F631D8" w:rsidRPr="00F875E6" w:rsidRDefault="00F631D8" w:rsidP="00642292">
            <w:pPr>
              <w:ind w:left="284"/>
              <w:jc w:val="left"/>
              <w:rPr>
                <w:rFonts w:ascii="Arial Narrow" w:hAnsi="Arial Narrow" w:cs="Times New Roman"/>
                <w:sz w:val="20"/>
              </w:rPr>
            </w:pPr>
            <w:r w:rsidRPr="00F875E6">
              <w:rPr>
                <w:rFonts w:ascii="Arial Narrow" w:hAnsi="Arial Narrow" w:cs="Times New Roman"/>
                <w:sz w:val="20"/>
              </w:rPr>
              <w:t>Grade 3 or 4</w:t>
            </w:r>
          </w:p>
        </w:tc>
        <w:tc>
          <w:tcPr>
            <w:tcW w:w="540" w:type="pct"/>
            <w:tcBorders>
              <w:top w:val="nil"/>
              <w:bottom w:val="single" w:sz="4" w:space="0" w:color="auto"/>
            </w:tcBorders>
          </w:tcPr>
          <w:p w:rsidR="00F631D8" w:rsidRPr="00F875E6" w:rsidRDefault="00F631D8" w:rsidP="00642292">
            <w:pPr>
              <w:jc w:val="right"/>
              <w:rPr>
                <w:rFonts w:ascii="Arial Narrow" w:hAnsi="Arial Narrow" w:cs="Times New Roman"/>
                <w:sz w:val="20"/>
              </w:rPr>
            </w:pPr>
            <w:r w:rsidRPr="00F875E6">
              <w:rPr>
                <w:rFonts w:ascii="Arial Narrow" w:hAnsi="Arial Narrow" w:cs="Times New Roman"/>
                <w:sz w:val="20"/>
              </w:rPr>
              <w:t>$3,838.00</w:t>
            </w:r>
          </w:p>
        </w:tc>
        <w:tc>
          <w:tcPr>
            <w:tcW w:w="488" w:type="pct"/>
            <w:tcBorders>
              <w:top w:val="nil"/>
              <w:bottom w:val="single" w:sz="4" w:space="0" w:color="auto"/>
            </w:tcBorders>
          </w:tcPr>
          <w:p w:rsidR="00F631D8" w:rsidRPr="00F875E6" w:rsidRDefault="00F631D8" w:rsidP="00642292">
            <w:pPr>
              <w:jc w:val="center"/>
              <w:rPr>
                <w:rFonts w:ascii="Arial Narrow" w:hAnsi="Arial Narrow" w:cs="Times New Roman"/>
                <w:sz w:val="20"/>
              </w:rPr>
            </w:pPr>
            <w:r w:rsidRPr="00F875E6">
              <w:rPr>
                <w:rFonts w:ascii="Arial Narrow" w:hAnsi="Arial Narrow" w:cs="Times New Roman"/>
                <w:sz w:val="20"/>
              </w:rPr>
              <w:t>0.6%</w:t>
            </w:r>
          </w:p>
        </w:tc>
        <w:tc>
          <w:tcPr>
            <w:tcW w:w="568" w:type="pct"/>
            <w:tcBorders>
              <w:top w:val="nil"/>
              <w:bottom w:val="single" w:sz="4" w:space="0" w:color="auto"/>
            </w:tcBorders>
            <w:vAlign w:val="center"/>
          </w:tcPr>
          <w:p w:rsidR="00F631D8" w:rsidRPr="00F875E6" w:rsidRDefault="00F631D8" w:rsidP="00642292">
            <w:pPr>
              <w:jc w:val="right"/>
              <w:rPr>
                <w:rFonts w:ascii="Arial Narrow" w:hAnsi="Arial Narrow"/>
                <w:iCs/>
                <w:color w:val="000000"/>
                <w:sz w:val="20"/>
              </w:rPr>
            </w:pPr>
            <w:r w:rsidRPr="00F875E6">
              <w:rPr>
                <w:rFonts w:ascii="Arial Narrow" w:hAnsi="Arial Narrow"/>
                <w:iCs/>
                <w:color w:val="000000"/>
                <w:sz w:val="20"/>
              </w:rPr>
              <w:t>$23.03</w:t>
            </w:r>
          </w:p>
        </w:tc>
        <w:tc>
          <w:tcPr>
            <w:tcW w:w="485" w:type="pct"/>
            <w:tcBorders>
              <w:top w:val="nil"/>
              <w:bottom w:val="single" w:sz="4" w:space="0" w:color="auto"/>
            </w:tcBorders>
          </w:tcPr>
          <w:p w:rsidR="00F631D8" w:rsidRPr="00F875E6" w:rsidRDefault="00F631D8" w:rsidP="00642292">
            <w:pPr>
              <w:jc w:val="center"/>
              <w:rPr>
                <w:rFonts w:ascii="Arial Narrow" w:hAnsi="Arial Narrow" w:cs="Times New Roman"/>
                <w:sz w:val="20"/>
              </w:rPr>
            </w:pPr>
            <w:r w:rsidRPr="00F875E6">
              <w:rPr>
                <w:rFonts w:ascii="Arial Narrow" w:hAnsi="Arial Narrow" w:cs="Times New Roman"/>
                <w:sz w:val="20"/>
              </w:rPr>
              <w:t>0.4%</w:t>
            </w:r>
          </w:p>
        </w:tc>
        <w:tc>
          <w:tcPr>
            <w:tcW w:w="729" w:type="pct"/>
            <w:tcBorders>
              <w:top w:val="nil"/>
              <w:bottom w:val="single" w:sz="4" w:space="0" w:color="auto"/>
            </w:tcBorders>
            <w:vAlign w:val="center"/>
          </w:tcPr>
          <w:p w:rsidR="00F631D8" w:rsidRPr="00F875E6" w:rsidRDefault="00F631D8" w:rsidP="00642292">
            <w:pPr>
              <w:jc w:val="right"/>
              <w:rPr>
                <w:rFonts w:ascii="Arial Narrow" w:hAnsi="Arial Narrow"/>
                <w:iCs/>
                <w:color w:val="000000"/>
                <w:sz w:val="20"/>
              </w:rPr>
            </w:pPr>
            <w:r w:rsidRPr="00F875E6">
              <w:rPr>
                <w:rFonts w:ascii="Arial Narrow" w:hAnsi="Arial Narrow"/>
                <w:iCs/>
                <w:color w:val="000000"/>
                <w:sz w:val="20"/>
              </w:rPr>
              <w:t>$15.35</w:t>
            </w:r>
          </w:p>
        </w:tc>
        <w:tc>
          <w:tcPr>
            <w:tcW w:w="483" w:type="pct"/>
            <w:tcBorders>
              <w:top w:val="nil"/>
              <w:bottom w:val="single" w:sz="4" w:space="0" w:color="auto"/>
            </w:tcBorders>
          </w:tcPr>
          <w:p w:rsidR="00F631D8" w:rsidRPr="00F875E6" w:rsidRDefault="00F631D8" w:rsidP="00642292">
            <w:pPr>
              <w:jc w:val="center"/>
              <w:rPr>
                <w:rFonts w:ascii="Arial Narrow" w:hAnsi="Arial Narrow" w:cs="Times New Roman"/>
                <w:sz w:val="20"/>
              </w:rPr>
            </w:pPr>
            <w:r w:rsidRPr="00F875E6">
              <w:rPr>
                <w:rFonts w:ascii="Arial Narrow" w:hAnsi="Arial Narrow" w:cs="Times New Roman"/>
                <w:sz w:val="20"/>
              </w:rPr>
              <w:t>1.4%</w:t>
            </w:r>
          </w:p>
        </w:tc>
        <w:tc>
          <w:tcPr>
            <w:tcW w:w="425" w:type="pct"/>
            <w:tcBorders>
              <w:top w:val="nil"/>
              <w:bottom w:val="single" w:sz="4" w:space="0" w:color="auto"/>
            </w:tcBorders>
            <w:vAlign w:val="center"/>
          </w:tcPr>
          <w:p w:rsidR="00F631D8" w:rsidRPr="00F875E6" w:rsidRDefault="00F631D8" w:rsidP="00642292">
            <w:pPr>
              <w:jc w:val="right"/>
              <w:rPr>
                <w:rFonts w:ascii="Arial Narrow" w:hAnsi="Arial Narrow"/>
                <w:iCs/>
                <w:color w:val="000000"/>
                <w:sz w:val="20"/>
              </w:rPr>
            </w:pPr>
            <w:r w:rsidRPr="00F875E6">
              <w:rPr>
                <w:rFonts w:ascii="Arial Narrow" w:hAnsi="Arial Narrow"/>
                <w:iCs/>
                <w:color w:val="000000"/>
                <w:sz w:val="20"/>
              </w:rPr>
              <w:t>$53.73</w:t>
            </w:r>
          </w:p>
        </w:tc>
      </w:tr>
      <w:tr w:rsidR="008D7B61" w:rsidRPr="00F875E6" w:rsidTr="00F34B9F">
        <w:tc>
          <w:tcPr>
            <w:tcW w:w="1282" w:type="pct"/>
            <w:tcBorders>
              <w:top w:val="nil"/>
              <w:bottom w:val="single" w:sz="4" w:space="0" w:color="auto"/>
            </w:tcBorders>
            <w:vAlign w:val="center"/>
          </w:tcPr>
          <w:p w:rsidR="00F631D8" w:rsidRPr="00F875E6" w:rsidRDefault="00F631D8" w:rsidP="00642292">
            <w:pPr>
              <w:jc w:val="left"/>
              <w:rPr>
                <w:rFonts w:ascii="Arial Narrow" w:hAnsi="Arial Narrow" w:cs="Times New Roman"/>
                <w:sz w:val="20"/>
              </w:rPr>
            </w:pPr>
            <w:r w:rsidRPr="00F875E6">
              <w:rPr>
                <w:rFonts w:ascii="Arial Narrow" w:hAnsi="Arial Narrow" w:cs="Times New Roman"/>
                <w:b/>
                <w:sz w:val="20"/>
              </w:rPr>
              <w:t>Cost for adverse event/year</w:t>
            </w:r>
          </w:p>
        </w:tc>
        <w:tc>
          <w:tcPr>
            <w:tcW w:w="540" w:type="pct"/>
            <w:tcBorders>
              <w:top w:val="nil"/>
              <w:bottom w:val="single" w:sz="4" w:space="0" w:color="auto"/>
            </w:tcBorders>
          </w:tcPr>
          <w:p w:rsidR="00F631D8" w:rsidRPr="00F875E6" w:rsidRDefault="00F631D8" w:rsidP="00642292">
            <w:pPr>
              <w:jc w:val="right"/>
              <w:rPr>
                <w:rFonts w:ascii="Arial Narrow" w:hAnsi="Arial Narrow" w:cs="Times New Roman"/>
                <w:sz w:val="20"/>
              </w:rPr>
            </w:pPr>
          </w:p>
        </w:tc>
        <w:tc>
          <w:tcPr>
            <w:tcW w:w="488" w:type="pct"/>
            <w:tcBorders>
              <w:top w:val="nil"/>
              <w:bottom w:val="single" w:sz="4" w:space="0" w:color="auto"/>
            </w:tcBorders>
          </w:tcPr>
          <w:p w:rsidR="00F631D8" w:rsidRPr="00F875E6" w:rsidRDefault="00F631D8" w:rsidP="00642292">
            <w:pPr>
              <w:jc w:val="center"/>
              <w:rPr>
                <w:rFonts w:ascii="Arial Narrow" w:hAnsi="Arial Narrow" w:cs="Times New Roman"/>
                <w:sz w:val="20"/>
              </w:rPr>
            </w:pPr>
          </w:p>
        </w:tc>
        <w:tc>
          <w:tcPr>
            <w:tcW w:w="568" w:type="pct"/>
            <w:tcBorders>
              <w:top w:val="nil"/>
              <w:bottom w:val="single" w:sz="4" w:space="0" w:color="auto"/>
            </w:tcBorders>
            <w:vAlign w:val="center"/>
          </w:tcPr>
          <w:p w:rsidR="00F631D8" w:rsidRPr="00F875E6" w:rsidRDefault="00F631D8" w:rsidP="00642292">
            <w:pPr>
              <w:jc w:val="right"/>
              <w:rPr>
                <w:rFonts w:ascii="Arial Narrow" w:hAnsi="Arial Narrow"/>
                <w:b/>
                <w:iCs/>
                <w:color w:val="000000"/>
                <w:sz w:val="20"/>
              </w:rPr>
            </w:pPr>
            <w:r w:rsidRPr="00F875E6">
              <w:rPr>
                <w:rFonts w:ascii="Arial Narrow" w:hAnsi="Arial Narrow"/>
                <w:b/>
                <w:iCs/>
                <w:color w:val="000000"/>
                <w:sz w:val="20"/>
              </w:rPr>
              <w:t>$140.54</w:t>
            </w:r>
          </w:p>
        </w:tc>
        <w:tc>
          <w:tcPr>
            <w:tcW w:w="485" w:type="pct"/>
            <w:tcBorders>
              <w:top w:val="nil"/>
              <w:bottom w:val="single" w:sz="4" w:space="0" w:color="auto"/>
            </w:tcBorders>
            <w:vAlign w:val="center"/>
          </w:tcPr>
          <w:p w:rsidR="00F631D8" w:rsidRPr="00F875E6" w:rsidRDefault="00F631D8" w:rsidP="00642292">
            <w:pPr>
              <w:jc w:val="center"/>
              <w:rPr>
                <w:rFonts w:ascii="Arial Narrow" w:hAnsi="Arial Narrow"/>
                <w:b/>
                <w:iCs/>
                <w:color w:val="000000"/>
                <w:sz w:val="20"/>
              </w:rPr>
            </w:pPr>
            <w:r w:rsidRPr="00F875E6">
              <w:rPr>
                <w:rFonts w:ascii="Arial Narrow" w:hAnsi="Arial Narrow"/>
                <w:b/>
                <w:iCs/>
                <w:color w:val="000000"/>
                <w:sz w:val="20"/>
              </w:rPr>
              <w:t> </w:t>
            </w:r>
          </w:p>
        </w:tc>
        <w:tc>
          <w:tcPr>
            <w:tcW w:w="729" w:type="pct"/>
            <w:tcBorders>
              <w:top w:val="nil"/>
              <w:bottom w:val="single" w:sz="4" w:space="0" w:color="auto"/>
            </w:tcBorders>
            <w:vAlign w:val="center"/>
          </w:tcPr>
          <w:p w:rsidR="00F631D8" w:rsidRPr="00F875E6" w:rsidRDefault="00F631D8" w:rsidP="00642292">
            <w:pPr>
              <w:jc w:val="right"/>
              <w:rPr>
                <w:rFonts w:ascii="Arial Narrow" w:hAnsi="Arial Narrow"/>
                <w:b/>
                <w:iCs/>
                <w:color w:val="000000"/>
                <w:sz w:val="20"/>
              </w:rPr>
            </w:pPr>
            <w:r w:rsidRPr="00F875E6">
              <w:rPr>
                <w:rFonts w:ascii="Arial Narrow" w:hAnsi="Arial Narrow"/>
                <w:b/>
                <w:iCs/>
                <w:color w:val="000000"/>
                <w:sz w:val="20"/>
              </w:rPr>
              <w:t>$200.55</w:t>
            </w:r>
          </w:p>
        </w:tc>
        <w:tc>
          <w:tcPr>
            <w:tcW w:w="483" w:type="pct"/>
            <w:tcBorders>
              <w:top w:val="nil"/>
              <w:bottom w:val="single" w:sz="4" w:space="0" w:color="auto"/>
            </w:tcBorders>
            <w:vAlign w:val="center"/>
          </w:tcPr>
          <w:p w:rsidR="00F631D8" w:rsidRPr="00F875E6" w:rsidRDefault="00F631D8" w:rsidP="00642292">
            <w:pPr>
              <w:jc w:val="center"/>
              <w:rPr>
                <w:rFonts w:ascii="Arial Narrow" w:hAnsi="Arial Narrow"/>
                <w:b/>
                <w:iCs/>
                <w:color w:val="000000"/>
                <w:sz w:val="20"/>
              </w:rPr>
            </w:pPr>
            <w:r w:rsidRPr="00F875E6">
              <w:rPr>
                <w:rFonts w:ascii="Arial Narrow" w:hAnsi="Arial Narrow"/>
                <w:b/>
                <w:iCs/>
                <w:color w:val="000000"/>
                <w:sz w:val="20"/>
              </w:rPr>
              <w:t> </w:t>
            </w:r>
          </w:p>
        </w:tc>
        <w:tc>
          <w:tcPr>
            <w:tcW w:w="425" w:type="pct"/>
            <w:tcBorders>
              <w:top w:val="nil"/>
              <w:bottom w:val="single" w:sz="4" w:space="0" w:color="auto"/>
            </w:tcBorders>
            <w:vAlign w:val="center"/>
          </w:tcPr>
          <w:p w:rsidR="00F631D8" w:rsidRPr="00F875E6" w:rsidRDefault="00F631D8" w:rsidP="00642292">
            <w:pPr>
              <w:jc w:val="right"/>
              <w:rPr>
                <w:rFonts w:ascii="Arial Narrow" w:hAnsi="Arial Narrow"/>
                <w:b/>
                <w:iCs/>
                <w:color w:val="000000"/>
                <w:sz w:val="20"/>
              </w:rPr>
            </w:pPr>
            <w:r w:rsidRPr="00F875E6">
              <w:rPr>
                <w:rFonts w:ascii="Arial Narrow" w:hAnsi="Arial Narrow"/>
                <w:b/>
                <w:iCs/>
                <w:color w:val="000000"/>
                <w:sz w:val="20"/>
              </w:rPr>
              <w:t>$903.98</w:t>
            </w:r>
          </w:p>
        </w:tc>
      </w:tr>
    </w:tbl>
    <w:p w:rsidR="00F631D8" w:rsidRPr="00F875E6" w:rsidRDefault="00F631D8" w:rsidP="008D7B61">
      <w:pPr>
        <w:pStyle w:val="TableFooter"/>
        <w:ind w:left="709"/>
      </w:pPr>
      <w:r w:rsidRPr="00F875E6">
        <w:t>Source: Ponatinib_PBAC_March2015_SectionD.xlsx</w:t>
      </w:r>
    </w:p>
    <w:p w:rsidR="00F631D8" w:rsidRPr="00F875E6" w:rsidRDefault="00F631D8" w:rsidP="008D7B61">
      <w:pPr>
        <w:pStyle w:val="TableFooter"/>
        <w:ind w:left="709"/>
      </w:pPr>
      <w:r w:rsidRPr="00F875E6">
        <w:rPr>
          <w:vertAlign w:val="superscript"/>
        </w:rPr>
        <w:t>a</w:t>
      </w:r>
      <w:r w:rsidRPr="00F875E6">
        <w:t xml:space="preserve"> This represents the rate of patients who would require the specific treatment. These were presented in </w:t>
      </w:r>
      <w:r w:rsidR="005A19D8" w:rsidRPr="00F875E6">
        <w:t>Table 6</w:t>
      </w:r>
      <w:r w:rsidRPr="00F875E6">
        <w:t xml:space="preserve"> above.</w:t>
      </w:r>
    </w:p>
    <w:p w:rsidR="00F631D8" w:rsidRPr="00F875E6" w:rsidRDefault="00F631D8" w:rsidP="008D7B61">
      <w:pPr>
        <w:pStyle w:val="PBACheading1"/>
        <w:numPr>
          <w:ilvl w:val="0"/>
          <w:numId w:val="0"/>
        </w:numPr>
        <w:ind w:left="720" w:hanging="720"/>
      </w:pPr>
    </w:p>
    <w:p w:rsidR="00147AC9" w:rsidRPr="00F875E6" w:rsidRDefault="00E07773" w:rsidP="00E74A9B">
      <w:pPr>
        <w:pStyle w:val="ListParagraph"/>
        <w:widowControl/>
        <w:numPr>
          <w:ilvl w:val="1"/>
          <w:numId w:val="4"/>
        </w:numPr>
        <w:rPr>
          <w:szCs w:val="22"/>
        </w:rPr>
      </w:pPr>
      <w:r w:rsidRPr="00F875E6">
        <w:t>The</w:t>
      </w:r>
      <w:r w:rsidRPr="00F875E6">
        <w:rPr>
          <w:szCs w:val="22"/>
        </w:rPr>
        <w:t xml:space="preserve"> cost minimisation analysis is presented in Table 9.</w:t>
      </w:r>
      <w:r w:rsidR="00396CA3" w:rsidRPr="00F875E6">
        <w:rPr>
          <w:szCs w:val="22"/>
        </w:rPr>
        <w:t xml:space="preserve"> The re-submission assumed a weighted use of 53.4% and 46.6% for dasa</w:t>
      </w:r>
      <w:r w:rsidR="00DE2953" w:rsidRPr="00F875E6">
        <w:rPr>
          <w:szCs w:val="22"/>
        </w:rPr>
        <w:t>tini</w:t>
      </w:r>
      <w:r w:rsidR="00396CA3" w:rsidRPr="00F875E6">
        <w:rPr>
          <w:szCs w:val="22"/>
        </w:rPr>
        <w:t>b and nilotinib respectively.</w:t>
      </w:r>
      <w:r w:rsidR="00B40459" w:rsidRPr="00F875E6">
        <w:rPr>
          <w:rStyle w:val="form-strength"/>
          <w:lang w:eastAsia="en-AU"/>
        </w:rPr>
        <w:t xml:space="preserve"> Weighting is based on </w:t>
      </w:r>
      <w:r w:rsidR="00DE2953" w:rsidRPr="00F875E6">
        <w:rPr>
          <w:rStyle w:val="form-strength"/>
          <w:lang w:eastAsia="en-AU"/>
        </w:rPr>
        <w:t>M</w:t>
      </w:r>
      <w:r w:rsidR="00B40459" w:rsidRPr="00F875E6">
        <w:rPr>
          <w:rStyle w:val="form-strength"/>
          <w:lang w:eastAsia="en-AU"/>
        </w:rPr>
        <w:t>edicare services for 2</w:t>
      </w:r>
      <w:r w:rsidR="00B40459" w:rsidRPr="00F875E6">
        <w:rPr>
          <w:rStyle w:val="form-strength"/>
          <w:vertAlign w:val="superscript"/>
          <w:lang w:eastAsia="en-AU"/>
        </w:rPr>
        <w:t>nd</w:t>
      </w:r>
      <w:r w:rsidR="00B40459" w:rsidRPr="00F875E6">
        <w:rPr>
          <w:rStyle w:val="form-strength"/>
          <w:lang w:eastAsia="en-AU"/>
        </w:rPr>
        <w:t xml:space="preserve"> line treatment of chronic CML for dasatinib and nilotinib; and 2</w:t>
      </w:r>
      <w:r w:rsidR="00B40459" w:rsidRPr="00F875E6">
        <w:rPr>
          <w:rStyle w:val="form-strength"/>
          <w:vertAlign w:val="superscript"/>
          <w:lang w:eastAsia="en-AU"/>
        </w:rPr>
        <w:t>nd</w:t>
      </w:r>
      <w:r w:rsidR="00B40459" w:rsidRPr="00F875E6">
        <w:rPr>
          <w:rStyle w:val="form-strength"/>
          <w:lang w:eastAsia="en-AU"/>
        </w:rPr>
        <w:t xml:space="preserve"> line treatment of ALL for dasatinib. </w:t>
      </w:r>
      <w:r w:rsidR="00A143F9" w:rsidRPr="00F875E6">
        <w:rPr>
          <w:szCs w:val="22"/>
        </w:rPr>
        <w:t>The PBAC considered that the weighting and the cost-mimisation analysis should be based only on the use in CML</w:t>
      </w:r>
      <w:r w:rsidR="00A06CA9" w:rsidRPr="00F875E6">
        <w:rPr>
          <w:szCs w:val="22"/>
        </w:rPr>
        <w:t>, given the source of the estimates</w:t>
      </w:r>
      <w:r w:rsidR="00A143F9" w:rsidRPr="00F875E6">
        <w:rPr>
          <w:szCs w:val="22"/>
        </w:rPr>
        <w:t xml:space="preserve">. The PBAC noted the values proposed in the submission are based on CML use. </w:t>
      </w:r>
    </w:p>
    <w:p w:rsidR="002E1108" w:rsidRPr="00F875E6" w:rsidRDefault="002E1108" w:rsidP="007D4DD5">
      <w:pPr>
        <w:pStyle w:val="ListParagraph"/>
        <w:widowControl/>
        <w:rPr>
          <w:i/>
          <w:szCs w:val="22"/>
        </w:rPr>
      </w:pPr>
    </w:p>
    <w:p w:rsidR="00147AC9" w:rsidRPr="00F875E6" w:rsidRDefault="0021317E" w:rsidP="00D828AD">
      <w:pPr>
        <w:keepNext/>
        <w:ind w:firstLine="709"/>
        <w:rPr>
          <w:rStyle w:val="CommentReference"/>
        </w:rPr>
      </w:pPr>
      <w:r w:rsidRPr="00F875E6">
        <w:rPr>
          <w:rStyle w:val="CommentReference"/>
        </w:rPr>
        <w:t xml:space="preserve">Table </w:t>
      </w:r>
      <w:r w:rsidR="008D7B61" w:rsidRPr="00F875E6">
        <w:rPr>
          <w:rStyle w:val="CommentReference"/>
        </w:rPr>
        <w:t>9</w:t>
      </w:r>
      <w:r w:rsidR="00147AC9" w:rsidRPr="00F875E6">
        <w:rPr>
          <w:rStyle w:val="CommentReference"/>
        </w:rPr>
        <w:t>: The cost-minimisation analysis for ponatinib, dasatinib and nilotinib (prices based on DPMQ)</w:t>
      </w:r>
    </w:p>
    <w:tbl>
      <w:tblPr>
        <w:tblW w:w="846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firstRow="1" w:lastRow="0" w:firstColumn="1" w:lastColumn="0" w:noHBand="0" w:noVBand="1"/>
      </w:tblPr>
      <w:tblGrid>
        <w:gridCol w:w="2977"/>
        <w:gridCol w:w="709"/>
        <w:gridCol w:w="992"/>
        <w:gridCol w:w="993"/>
        <w:gridCol w:w="1134"/>
        <w:gridCol w:w="708"/>
        <w:gridCol w:w="947"/>
      </w:tblGrid>
      <w:tr w:rsidR="00147AC9" w:rsidRPr="00F875E6" w:rsidTr="00EA09D7">
        <w:trPr>
          <w:trHeight w:val="20"/>
        </w:trPr>
        <w:tc>
          <w:tcPr>
            <w:tcW w:w="2977" w:type="dxa"/>
            <w:shd w:val="clear" w:color="auto" w:fill="auto"/>
            <w:hideMark/>
          </w:tcPr>
          <w:p w:rsidR="00E01CDE" w:rsidRPr="00F875E6" w:rsidRDefault="00E01CDE" w:rsidP="00D828AD">
            <w:pPr>
              <w:pStyle w:val="TableText0"/>
              <w:spacing w:before="0" w:after="0"/>
              <w:rPr>
                <w:b/>
                <w:lang w:eastAsia="en-AU"/>
              </w:rPr>
            </w:pPr>
            <w:r w:rsidRPr="00F875E6">
              <w:rPr>
                <w:b/>
                <w:lang w:eastAsia="en-AU"/>
              </w:rPr>
              <w:t>Medicinal Product</w:t>
            </w:r>
          </w:p>
        </w:tc>
        <w:tc>
          <w:tcPr>
            <w:tcW w:w="709" w:type="dxa"/>
            <w:shd w:val="clear" w:color="auto" w:fill="auto"/>
            <w:hideMark/>
          </w:tcPr>
          <w:p w:rsidR="00E01CDE" w:rsidRPr="00F875E6" w:rsidRDefault="00E01CDE" w:rsidP="00D828AD">
            <w:pPr>
              <w:pStyle w:val="TableText0"/>
              <w:spacing w:before="0" w:after="0"/>
              <w:jc w:val="center"/>
              <w:rPr>
                <w:b/>
                <w:lang w:eastAsia="en-AU"/>
              </w:rPr>
            </w:pPr>
            <w:r w:rsidRPr="00F875E6">
              <w:rPr>
                <w:b/>
                <w:lang w:eastAsia="en-AU"/>
              </w:rPr>
              <w:t>mg/day</w:t>
            </w:r>
          </w:p>
        </w:tc>
        <w:tc>
          <w:tcPr>
            <w:tcW w:w="992" w:type="dxa"/>
            <w:shd w:val="clear" w:color="auto" w:fill="auto"/>
            <w:hideMark/>
          </w:tcPr>
          <w:p w:rsidR="00E01CDE" w:rsidRPr="00F875E6" w:rsidRDefault="00E01CDE" w:rsidP="00D828AD">
            <w:pPr>
              <w:pStyle w:val="TableText0"/>
              <w:spacing w:before="0" w:after="0"/>
              <w:jc w:val="center"/>
              <w:rPr>
                <w:b/>
                <w:lang w:eastAsia="en-AU"/>
              </w:rPr>
            </w:pPr>
            <w:r w:rsidRPr="00F875E6">
              <w:rPr>
                <w:b/>
                <w:lang w:eastAsia="en-AU"/>
              </w:rPr>
              <w:t>mg/month</w:t>
            </w:r>
          </w:p>
        </w:tc>
        <w:tc>
          <w:tcPr>
            <w:tcW w:w="993" w:type="dxa"/>
            <w:shd w:val="clear" w:color="auto" w:fill="auto"/>
            <w:hideMark/>
          </w:tcPr>
          <w:p w:rsidR="00E01CDE" w:rsidRPr="00F875E6" w:rsidRDefault="00E01CDE" w:rsidP="00D828AD">
            <w:pPr>
              <w:pStyle w:val="TableText0"/>
              <w:spacing w:before="0" w:after="0"/>
              <w:jc w:val="center"/>
              <w:rPr>
                <w:b/>
                <w:lang w:eastAsia="en-AU"/>
              </w:rPr>
            </w:pPr>
            <w:r w:rsidRPr="00F875E6">
              <w:rPr>
                <w:b/>
                <w:lang w:eastAsia="en-AU"/>
              </w:rPr>
              <w:t>Dispensed price/mg</w:t>
            </w:r>
          </w:p>
        </w:tc>
        <w:tc>
          <w:tcPr>
            <w:tcW w:w="1134" w:type="dxa"/>
            <w:shd w:val="clear" w:color="auto" w:fill="auto"/>
            <w:hideMark/>
          </w:tcPr>
          <w:p w:rsidR="00E01CDE" w:rsidRPr="00F875E6" w:rsidRDefault="00E01CDE" w:rsidP="00D828AD">
            <w:pPr>
              <w:pStyle w:val="TableText0"/>
              <w:spacing w:before="0" w:after="0"/>
              <w:jc w:val="center"/>
              <w:rPr>
                <w:b/>
                <w:lang w:eastAsia="en-AU"/>
              </w:rPr>
            </w:pPr>
            <w:r w:rsidRPr="00F875E6">
              <w:rPr>
                <w:b/>
                <w:lang w:eastAsia="en-AU"/>
              </w:rPr>
              <w:t>Dispensed price/month</w:t>
            </w:r>
          </w:p>
        </w:tc>
        <w:tc>
          <w:tcPr>
            <w:tcW w:w="708" w:type="dxa"/>
          </w:tcPr>
          <w:p w:rsidR="00E01CDE" w:rsidRPr="00F875E6" w:rsidRDefault="00E01CDE" w:rsidP="00D828AD">
            <w:pPr>
              <w:pStyle w:val="TableText0"/>
              <w:spacing w:before="0" w:after="0"/>
              <w:jc w:val="center"/>
              <w:rPr>
                <w:b/>
                <w:lang w:eastAsia="en-AU"/>
              </w:rPr>
            </w:pPr>
            <w:r w:rsidRPr="00F875E6">
              <w:rPr>
                <w:b/>
                <w:lang w:eastAsia="en-AU"/>
              </w:rPr>
              <w:t>Cost of AEs</w:t>
            </w:r>
            <w:r w:rsidR="00147AC9" w:rsidRPr="00F875E6">
              <w:rPr>
                <w:b/>
                <w:lang w:eastAsia="en-AU"/>
              </w:rPr>
              <w:t xml:space="preserve"> (per year)</w:t>
            </w:r>
          </w:p>
        </w:tc>
        <w:tc>
          <w:tcPr>
            <w:tcW w:w="947" w:type="dxa"/>
          </w:tcPr>
          <w:p w:rsidR="00E01CDE" w:rsidRPr="00F875E6" w:rsidRDefault="00E01CDE" w:rsidP="00D828AD">
            <w:pPr>
              <w:pStyle w:val="TableText0"/>
              <w:spacing w:before="0" w:after="0"/>
              <w:jc w:val="center"/>
              <w:rPr>
                <w:b/>
                <w:lang w:eastAsia="en-AU"/>
              </w:rPr>
            </w:pPr>
            <w:r w:rsidRPr="00F875E6">
              <w:rPr>
                <w:b/>
                <w:lang w:eastAsia="en-AU"/>
              </w:rPr>
              <w:t>Total cost/year</w:t>
            </w:r>
          </w:p>
        </w:tc>
      </w:tr>
      <w:tr w:rsidR="00147AC9" w:rsidRPr="00F875E6" w:rsidTr="00EA09D7">
        <w:trPr>
          <w:trHeight w:val="20"/>
        </w:trPr>
        <w:tc>
          <w:tcPr>
            <w:tcW w:w="2977" w:type="dxa"/>
            <w:shd w:val="clear" w:color="auto" w:fill="auto"/>
            <w:noWrap/>
            <w:hideMark/>
          </w:tcPr>
          <w:p w:rsidR="00E01CDE" w:rsidRPr="00F875E6" w:rsidRDefault="00E01CDE" w:rsidP="00D828AD">
            <w:pPr>
              <w:pStyle w:val="TableText0"/>
              <w:spacing w:before="0" w:after="0"/>
              <w:rPr>
                <w:lang w:eastAsia="en-AU"/>
              </w:rPr>
            </w:pPr>
            <w:r w:rsidRPr="00F875E6">
              <w:rPr>
                <w:lang w:eastAsia="en-AU"/>
              </w:rPr>
              <w:t>Dasatinib</w:t>
            </w:r>
          </w:p>
        </w:tc>
        <w:tc>
          <w:tcPr>
            <w:tcW w:w="709" w:type="dxa"/>
            <w:shd w:val="clear" w:color="auto" w:fill="auto"/>
            <w:noWrap/>
            <w:hideMark/>
          </w:tcPr>
          <w:p w:rsidR="00E01CDE" w:rsidRPr="00F875E6" w:rsidRDefault="00E01CDE" w:rsidP="00D828AD">
            <w:pPr>
              <w:pStyle w:val="TableText0"/>
              <w:spacing w:before="0" w:after="0"/>
              <w:jc w:val="center"/>
              <w:rPr>
                <w:lang w:eastAsia="en-AU"/>
              </w:rPr>
            </w:pPr>
            <w:r w:rsidRPr="00F875E6">
              <w:rPr>
                <w:lang w:eastAsia="en-AU"/>
              </w:rPr>
              <w:t>102</w:t>
            </w:r>
          </w:p>
        </w:tc>
        <w:tc>
          <w:tcPr>
            <w:tcW w:w="992" w:type="dxa"/>
            <w:shd w:val="clear" w:color="auto" w:fill="auto"/>
            <w:noWrap/>
            <w:hideMark/>
          </w:tcPr>
          <w:p w:rsidR="00E01CDE" w:rsidRPr="00F875E6" w:rsidRDefault="00E01CDE" w:rsidP="00D828AD">
            <w:pPr>
              <w:pStyle w:val="TableText0"/>
              <w:spacing w:before="0" w:after="0"/>
              <w:jc w:val="center"/>
              <w:rPr>
                <w:lang w:eastAsia="en-AU"/>
              </w:rPr>
            </w:pPr>
            <w:r w:rsidRPr="00F875E6">
              <w:rPr>
                <w:lang w:eastAsia="en-AU"/>
              </w:rPr>
              <w:t>3060</w:t>
            </w:r>
          </w:p>
        </w:tc>
        <w:tc>
          <w:tcPr>
            <w:tcW w:w="993" w:type="dxa"/>
            <w:shd w:val="clear" w:color="auto" w:fill="auto"/>
            <w:noWrap/>
            <w:hideMark/>
          </w:tcPr>
          <w:p w:rsidR="00E01CDE" w:rsidRPr="00F875E6" w:rsidRDefault="00E01CDE" w:rsidP="00D828AD">
            <w:pPr>
              <w:pStyle w:val="TableText0"/>
              <w:spacing w:before="0" w:after="0"/>
              <w:jc w:val="center"/>
              <w:rPr>
                <w:lang w:eastAsia="en-AU"/>
              </w:rPr>
            </w:pPr>
            <w:r w:rsidRPr="00F875E6">
              <w:rPr>
                <w:lang w:eastAsia="en-AU"/>
              </w:rPr>
              <w:t>$1.65</w:t>
            </w:r>
          </w:p>
        </w:tc>
        <w:tc>
          <w:tcPr>
            <w:tcW w:w="1134" w:type="dxa"/>
            <w:shd w:val="clear" w:color="auto" w:fill="auto"/>
            <w:noWrap/>
            <w:hideMark/>
          </w:tcPr>
          <w:p w:rsidR="00E01CDE" w:rsidRPr="00F875E6" w:rsidRDefault="00E01CDE" w:rsidP="00D828AD">
            <w:pPr>
              <w:pStyle w:val="TableText0"/>
              <w:spacing w:before="0" w:after="0"/>
              <w:jc w:val="center"/>
              <w:rPr>
                <w:lang w:eastAsia="en-AU"/>
              </w:rPr>
            </w:pPr>
            <w:r w:rsidRPr="00F875E6">
              <w:rPr>
                <w:lang w:eastAsia="en-AU"/>
              </w:rPr>
              <w:t>$5,045.87</w:t>
            </w:r>
          </w:p>
        </w:tc>
        <w:tc>
          <w:tcPr>
            <w:tcW w:w="708" w:type="dxa"/>
          </w:tcPr>
          <w:p w:rsidR="00E01CDE" w:rsidRPr="00F875E6" w:rsidRDefault="00E01CDE" w:rsidP="00D828AD">
            <w:pPr>
              <w:pStyle w:val="TableText0"/>
              <w:spacing w:before="0" w:after="0"/>
              <w:jc w:val="center"/>
              <w:rPr>
                <w:lang w:eastAsia="en-AU"/>
              </w:rPr>
            </w:pPr>
            <w:r w:rsidRPr="00F875E6">
              <w:rPr>
                <w:i/>
                <w:lang w:val="en-GB" w:eastAsia="en-GB"/>
              </w:rPr>
              <w:t>$216.94</w:t>
            </w:r>
          </w:p>
        </w:tc>
        <w:tc>
          <w:tcPr>
            <w:tcW w:w="947" w:type="dxa"/>
          </w:tcPr>
          <w:p w:rsidR="00E01CDE" w:rsidRPr="00F875E6" w:rsidRDefault="00E01CDE" w:rsidP="00D828AD">
            <w:pPr>
              <w:pStyle w:val="TableText0"/>
              <w:spacing w:before="0" w:after="0"/>
              <w:jc w:val="center"/>
              <w:rPr>
                <w:i/>
                <w:lang w:eastAsia="en-AU"/>
              </w:rPr>
            </w:pPr>
            <w:r w:rsidRPr="00F875E6">
              <w:rPr>
                <w:i/>
                <w:lang w:eastAsia="en-AU"/>
              </w:rPr>
              <w:t>$60,76</w:t>
            </w:r>
            <w:r w:rsidR="00147AC9" w:rsidRPr="00F875E6">
              <w:rPr>
                <w:i/>
                <w:lang w:eastAsia="en-AU"/>
              </w:rPr>
              <w:t>7.41</w:t>
            </w:r>
          </w:p>
        </w:tc>
      </w:tr>
      <w:tr w:rsidR="00147AC9" w:rsidRPr="00F875E6" w:rsidTr="00EA09D7">
        <w:trPr>
          <w:trHeight w:val="20"/>
        </w:trPr>
        <w:tc>
          <w:tcPr>
            <w:tcW w:w="2977" w:type="dxa"/>
            <w:shd w:val="clear" w:color="auto" w:fill="auto"/>
            <w:noWrap/>
            <w:hideMark/>
          </w:tcPr>
          <w:p w:rsidR="00E01CDE" w:rsidRPr="00F875E6" w:rsidRDefault="00E01CDE" w:rsidP="00A7656F">
            <w:pPr>
              <w:pStyle w:val="TableText0"/>
              <w:spacing w:before="0" w:after="0"/>
              <w:rPr>
                <w:lang w:eastAsia="en-AU"/>
              </w:rPr>
            </w:pPr>
            <w:r w:rsidRPr="00F875E6">
              <w:rPr>
                <w:lang w:eastAsia="en-AU"/>
              </w:rPr>
              <w:t>Nilotinib</w:t>
            </w:r>
          </w:p>
        </w:tc>
        <w:tc>
          <w:tcPr>
            <w:tcW w:w="709" w:type="dxa"/>
            <w:shd w:val="clear" w:color="auto" w:fill="auto"/>
            <w:noWrap/>
            <w:hideMark/>
          </w:tcPr>
          <w:p w:rsidR="00E01CDE" w:rsidRPr="00F875E6" w:rsidRDefault="00E01CDE" w:rsidP="00A7656F">
            <w:pPr>
              <w:pStyle w:val="TableText0"/>
              <w:spacing w:before="0" w:after="0"/>
              <w:jc w:val="center"/>
              <w:rPr>
                <w:lang w:eastAsia="en-AU"/>
              </w:rPr>
            </w:pPr>
            <w:r w:rsidRPr="00F875E6">
              <w:rPr>
                <w:lang w:eastAsia="en-AU"/>
              </w:rPr>
              <w:t>797</w:t>
            </w:r>
          </w:p>
        </w:tc>
        <w:tc>
          <w:tcPr>
            <w:tcW w:w="992" w:type="dxa"/>
            <w:shd w:val="clear" w:color="auto" w:fill="auto"/>
            <w:noWrap/>
            <w:hideMark/>
          </w:tcPr>
          <w:p w:rsidR="00E01CDE" w:rsidRPr="00F875E6" w:rsidRDefault="00E01CDE" w:rsidP="00A7656F">
            <w:pPr>
              <w:pStyle w:val="TableText0"/>
              <w:spacing w:before="0" w:after="0"/>
              <w:jc w:val="center"/>
              <w:rPr>
                <w:lang w:eastAsia="en-AU"/>
              </w:rPr>
            </w:pPr>
            <w:r w:rsidRPr="00F875E6">
              <w:rPr>
                <w:lang w:eastAsia="en-AU"/>
              </w:rPr>
              <w:t>23</w:t>
            </w:r>
            <w:r w:rsidR="00E06C1A" w:rsidRPr="00F875E6">
              <w:rPr>
                <w:lang w:eastAsia="en-AU"/>
              </w:rPr>
              <w:t>,</w:t>
            </w:r>
            <w:r w:rsidRPr="00F875E6">
              <w:rPr>
                <w:lang w:eastAsia="en-AU"/>
              </w:rPr>
              <w:t>910</w:t>
            </w:r>
          </w:p>
        </w:tc>
        <w:tc>
          <w:tcPr>
            <w:tcW w:w="993" w:type="dxa"/>
            <w:shd w:val="clear" w:color="auto" w:fill="auto"/>
            <w:noWrap/>
            <w:hideMark/>
          </w:tcPr>
          <w:p w:rsidR="00E01CDE" w:rsidRPr="00F875E6" w:rsidRDefault="00E01CDE" w:rsidP="00A7656F">
            <w:pPr>
              <w:pStyle w:val="TableText0"/>
              <w:spacing w:before="0" w:after="0"/>
              <w:jc w:val="center"/>
              <w:rPr>
                <w:lang w:eastAsia="en-AU"/>
              </w:rPr>
            </w:pPr>
            <w:r w:rsidRPr="00F875E6">
              <w:rPr>
                <w:lang w:eastAsia="en-AU"/>
              </w:rPr>
              <w:t>$0.24</w:t>
            </w:r>
          </w:p>
        </w:tc>
        <w:tc>
          <w:tcPr>
            <w:tcW w:w="1134" w:type="dxa"/>
            <w:shd w:val="clear" w:color="auto" w:fill="auto"/>
            <w:noWrap/>
            <w:hideMark/>
          </w:tcPr>
          <w:p w:rsidR="00E01CDE" w:rsidRPr="00F875E6" w:rsidRDefault="00E01CDE" w:rsidP="00A7656F">
            <w:pPr>
              <w:pStyle w:val="TableText0"/>
              <w:spacing w:before="0" w:after="0"/>
              <w:jc w:val="center"/>
              <w:rPr>
                <w:lang w:eastAsia="en-AU"/>
              </w:rPr>
            </w:pPr>
            <w:r w:rsidRPr="00F875E6">
              <w:rPr>
                <w:lang w:eastAsia="en-AU"/>
              </w:rPr>
              <w:t>$5,850.46</w:t>
            </w:r>
          </w:p>
        </w:tc>
        <w:tc>
          <w:tcPr>
            <w:tcW w:w="708" w:type="dxa"/>
          </w:tcPr>
          <w:p w:rsidR="00E01CDE" w:rsidRPr="00F875E6" w:rsidRDefault="00E01CDE" w:rsidP="00A7656F">
            <w:pPr>
              <w:pStyle w:val="TableText0"/>
              <w:spacing w:before="0" w:after="0"/>
              <w:jc w:val="center"/>
              <w:rPr>
                <w:lang w:eastAsia="en-AU"/>
              </w:rPr>
            </w:pPr>
            <w:r w:rsidRPr="00F875E6">
              <w:rPr>
                <w:i/>
                <w:lang w:val="en-GB" w:eastAsia="en-GB"/>
              </w:rPr>
              <w:t>$449.36</w:t>
            </w:r>
          </w:p>
        </w:tc>
        <w:tc>
          <w:tcPr>
            <w:tcW w:w="947" w:type="dxa"/>
          </w:tcPr>
          <w:p w:rsidR="00E01CDE" w:rsidRPr="00F875E6" w:rsidRDefault="00E01CDE" w:rsidP="00A7656F">
            <w:pPr>
              <w:pStyle w:val="TableText0"/>
              <w:spacing w:before="0" w:after="0"/>
              <w:jc w:val="center"/>
              <w:rPr>
                <w:i/>
                <w:lang w:eastAsia="en-AU"/>
              </w:rPr>
            </w:pPr>
            <w:r w:rsidRPr="00F875E6">
              <w:rPr>
                <w:i/>
                <w:lang w:eastAsia="en-AU"/>
              </w:rPr>
              <w:t>$70,6</w:t>
            </w:r>
            <w:r w:rsidR="00147AC9" w:rsidRPr="00F875E6">
              <w:rPr>
                <w:i/>
                <w:lang w:eastAsia="en-AU"/>
              </w:rPr>
              <w:t>54.86</w:t>
            </w:r>
          </w:p>
        </w:tc>
      </w:tr>
      <w:tr w:rsidR="00147AC9" w:rsidRPr="00F875E6" w:rsidTr="00EA09D7">
        <w:trPr>
          <w:trHeight w:val="20"/>
        </w:trPr>
        <w:tc>
          <w:tcPr>
            <w:tcW w:w="2977" w:type="dxa"/>
            <w:shd w:val="clear" w:color="auto" w:fill="auto"/>
            <w:noWrap/>
            <w:hideMark/>
          </w:tcPr>
          <w:p w:rsidR="00E01CDE" w:rsidRPr="00F875E6" w:rsidRDefault="00E01CDE" w:rsidP="00A7656F">
            <w:pPr>
              <w:pStyle w:val="TableText0"/>
              <w:spacing w:before="0" w:after="0"/>
              <w:rPr>
                <w:b/>
                <w:lang w:eastAsia="en-AU"/>
              </w:rPr>
            </w:pPr>
            <w:r w:rsidRPr="00F875E6">
              <w:rPr>
                <w:b/>
                <w:lang w:eastAsia="en-AU"/>
              </w:rPr>
              <w:t>Weighted average price (DAS/NIL)</w:t>
            </w:r>
          </w:p>
        </w:tc>
        <w:tc>
          <w:tcPr>
            <w:tcW w:w="709" w:type="dxa"/>
            <w:shd w:val="clear" w:color="auto" w:fill="auto"/>
            <w:noWrap/>
            <w:hideMark/>
          </w:tcPr>
          <w:p w:rsidR="00E01CDE" w:rsidRPr="00F875E6" w:rsidRDefault="00E01CDE" w:rsidP="00A7656F">
            <w:pPr>
              <w:pStyle w:val="TableText0"/>
              <w:spacing w:before="0" w:after="0"/>
              <w:jc w:val="center"/>
              <w:rPr>
                <w:b/>
                <w:lang w:eastAsia="en-AU"/>
              </w:rPr>
            </w:pPr>
          </w:p>
        </w:tc>
        <w:tc>
          <w:tcPr>
            <w:tcW w:w="992" w:type="dxa"/>
            <w:shd w:val="clear" w:color="auto" w:fill="auto"/>
            <w:noWrap/>
            <w:hideMark/>
          </w:tcPr>
          <w:p w:rsidR="00E01CDE" w:rsidRPr="00F875E6" w:rsidRDefault="00E01CDE" w:rsidP="00A7656F">
            <w:pPr>
              <w:pStyle w:val="TableText0"/>
              <w:spacing w:before="0" w:after="0"/>
              <w:jc w:val="center"/>
              <w:rPr>
                <w:b/>
                <w:lang w:eastAsia="en-AU"/>
              </w:rPr>
            </w:pPr>
          </w:p>
        </w:tc>
        <w:tc>
          <w:tcPr>
            <w:tcW w:w="993" w:type="dxa"/>
            <w:shd w:val="clear" w:color="auto" w:fill="auto"/>
            <w:noWrap/>
            <w:hideMark/>
          </w:tcPr>
          <w:p w:rsidR="00E01CDE" w:rsidRPr="00F875E6" w:rsidRDefault="00E01CDE" w:rsidP="00A7656F">
            <w:pPr>
              <w:pStyle w:val="TableText0"/>
              <w:spacing w:before="0" w:after="0"/>
              <w:jc w:val="center"/>
              <w:rPr>
                <w:lang w:eastAsia="en-AU"/>
              </w:rPr>
            </w:pPr>
          </w:p>
        </w:tc>
        <w:tc>
          <w:tcPr>
            <w:tcW w:w="1134" w:type="dxa"/>
            <w:shd w:val="clear" w:color="auto" w:fill="auto"/>
            <w:noWrap/>
            <w:hideMark/>
          </w:tcPr>
          <w:p w:rsidR="00E01CDE" w:rsidRPr="00F875E6" w:rsidRDefault="00E01CDE" w:rsidP="00A7656F">
            <w:pPr>
              <w:pStyle w:val="TableText0"/>
              <w:spacing w:before="0" w:after="0"/>
              <w:jc w:val="center"/>
              <w:rPr>
                <w:lang w:eastAsia="en-AU"/>
              </w:rPr>
            </w:pPr>
          </w:p>
        </w:tc>
        <w:tc>
          <w:tcPr>
            <w:tcW w:w="708" w:type="dxa"/>
          </w:tcPr>
          <w:p w:rsidR="00E01CDE" w:rsidRPr="00F875E6" w:rsidRDefault="00E01CDE" w:rsidP="00A7656F">
            <w:pPr>
              <w:pStyle w:val="TableText0"/>
              <w:spacing w:before="0" w:after="0"/>
              <w:jc w:val="center"/>
              <w:rPr>
                <w:lang w:eastAsia="en-AU"/>
              </w:rPr>
            </w:pPr>
          </w:p>
        </w:tc>
        <w:tc>
          <w:tcPr>
            <w:tcW w:w="947" w:type="dxa"/>
          </w:tcPr>
          <w:p w:rsidR="00E01CDE" w:rsidRPr="00F875E6" w:rsidRDefault="00E01CDE" w:rsidP="00A7656F">
            <w:pPr>
              <w:pStyle w:val="TableText0"/>
              <w:spacing w:before="0" w:after="0"/>
              <w:jc w:val="center"/>
              <w:rPr>
                <w:i/>
                <w:lang w:eastAsia="en-AU"/>
              </w:rPr>
            </w:pPr>
            <w:r w:rsidRPr="00F875E6">
              <w:rPr>
                <w:i/>
                <w:lang w:eastAsia="en-AU"/>
              </w:rPr>
              <w:t>$65,</w:t>
            </w:r>
            <w:r w:rsidR="00147AC9" w:rsidRPr="00F875E6">
              <w:rPr>
                <w:i/>
                <w:lang w:eastAsia="en-AU"/>
              </w:rPr>
              <w:t>372.44</w:t>
            </w:r>
          </w:p>
        </w:tc>
      </w:tr>
      <w:tr w:rsidR="00147AC9" w:rsidRPr="00F875E6" w:rsidTr="00EA09D7">
        <w:trPr>
          <w:trHeight w:val="20"/>
        </w:trPr>
        <w:tc>
          <w:tcPr>
            <w:tcW w:w="2977" w:type="dxa"/>
            <w:shd w:val="clear" w:color="auto" w:fill="auto"/>
            <w:noWrap/>
            <w:vAlign w:val="center"/>
            <w:hideMark/>
          </w:tcPr>
          <w:p w:rsidR="00E01CDE" w:rsidRPr="00F875E6" w:rsidRDefault="00E01CDE" w:rsidP="00A7656F">
            <w:pPr>
              <w:pStyle w:val="TableText0"/>
              <w:spacing w:before="0" w:after="0"/>
              <w:rPr>
                <w:b/>
                <w:lang w:eastAsia="en-AU"/>
              </w:rPr>
            </w:pPr>
            <w:r w:rsidRPr="00F875E6">
              <w:rPr>
                <w:b/>
                <w:lang w:eastAsia="en-AU"/>
              </w:rPr>
              <w:t>Ponatinib</w:t>
            </w:r>
          </w:p>
        </w:tc>
        <w:tc>
          <w:tcPr>
            <w:tcW w:w="709" w:type="dxa"/>
            <w:shd w:val="clear" w:color="auto" w:fill="auto"/>
            <w:noWrap/>
            <w:hideMark/>
          </w:tcPr>
          <w:p w:rsidR="00E01CDE" w:rsidRPr="00F875E6" w:rsidRDefault="00E01CDE" w:rsidP="00A7656F">
            <w:pPr>
              <w:pStyle w:val="TableText0"/>
              <w:spacing w:before="0" w:after="0"/>
              <w:jc w:val="center"/>
              <w:rPr>
                <w:lang w:eastAsia="en-AU"/>
              </w:rPr>
            </w:pPr>
            <w:r w:rsidRPr="00F875E6">
              <w:rPr>
                <w:lang w:eastAsia="en-AU"/>
              </w:rPr>
              <w:t>30.2</w:t>
            </w:r>
          </w:p>
        </w:tc>
        <w:tc>
          <w:tcPr>
            <w:tcW w:w="992" w:type="dxa"/>
            <w:shd w:val="clear" w:color="auto" w:fill="auto"/>
            <w:noWrap/>
            <w:hideMark/>
          </w:tcPr>
          <w:p w:rsidR="00E01CDE" w:rsidRPr="00F875E6" w:rsidRDefault="00E01CDE" w:rsidP="00A7656F">
            <w:pPr>
              <w:pStyle w:val="TableText0"/>
              <w:spacing w:before="0" w:after="0"/>
              <w:jc w:val="center"/>
              <w:rPr>
                <w:lang w:eastAsia="en-AU"/>
              </w:rPr>
            </w:pPr>
            <w:r w:rsidRPr="00F875E6">
              <w:rPr>
                <w:lang w:eastAsia="en-AU"/>
              </w:rPr>
              <w:t>906</w:t>
            </w:r>
          </w:p>
        </w:tc>
        <w:tc>
          <w:tcPr>
            <w:tcW w:w="993" w:type="dxa"/>
            <w:shd w:val="clear" w:color="auto" w:fill="auto"/>
            <w:noWrap/>
            <w:hideMark/>
          </w:tcPr>
          <w:p w:rsidR="00E01CDE" w:rsidRPr="00F875E6" w:rsidRDefault="00E01CDE" w:rsidP="00A7656F">
            <w:pPr>
              <w:pStyle w:val="TableText0"/>
              <w:spacing w:before="0" w:after="0"/>
              <w:jc w:val="center"/>
              <w:rPr>
                <w:lang w:eastAsia="en-AU"/>
              </w:rPr>
            </w:pPr>
            <w:r w:rsidRPr="00F875E6">
              <w:rPr>
                <w:lang w:eastAsia="en-AU"/>
              </w:rPr>
              <w:t>$</w:t>
            </w:r>
            <w:r w:rsidR="005F7A51">
              <w:rPr>
                <w:noProof/>
                <w:color w:val="000000"/>
                <w:highlight w:val="black"/>
                <w:lang w:eastAsia="en-AU"/>
              </w:rPr>
              <w:t>'''''''''''</w:t>
            </w:r>
            <w:r w:rsidRPr="00F875E6">
              <w:rPr>
                <w:vertAlign w:val="superscript"/>
                <w:lang w:eastAsia="en-AU"/>
              </w:rPr>
              <w:t>a</w:t>
            </w:r>
          </w:p>
        </w:tc>
        <w:tc>
          <w:tcPr>
            <w:tcW w:w="1134" w:type="dxa"/>
            <w:shd w:val="clear" w:color="auto" w:fill="auto"/>
            <w:noWrap/>
            <w:hideMark/>
          </w:tcPr>
          <w:p w:rsidR="00E01CDE" w:rsidRPr="00F875E6" w:rsidRDefault="00E01CDE" w:rsidP="00A7656F">
            <w:pPr>
              <w:pStyle w:val="TableText0"/>
              <w:spacing w:before="0" w:after="0"/>
              <w:jc w:val="center"/>
              <w:rPr>
                <w:b/>
                <w:i/>
                <w:lang w:eastAsia="en-AU"/>
              </w:rPr>
            </w:pPr>
            <w:r w:rsidRPr="00F875E6">
              <w:rPr>
                <w:b/>
                <w:i/>
                <w:lang w:eastAsia="en-AU"/>
              </w:rPr>
              <w:t>$</w:t>
            </w:r>
            <w:r w:rsidR="005F7A51">
              <w:rPr>
                <w:b/>
                <w:i/>
                <w:noProof/>
                <w:color w:val="000000"/>
                <w:highlight w:val="black"/>
                <w:lang w:eastAsia="en-AU"/>
              </w:rPr>
              <w:t>'''''''''''''''</w:t>
            </w:r>
          </w:p>
        </w:tc>
        <w:tc>
          <w:tcPr>
            <w:tcW w:w="708" w:type="dxa"/>
          </w:tcPr>
          <w:p w:rsidR="00E01CDE" w:rsidRPr="00F875E6" w:rsidRDefault="00147AC9" w:rsidP="00A7656F">
            <w:pPr>
              <w:pStyle w:val="TableText0"/>
              <w:spacing w:before="0" w:after="0"/>
              <w:jc w:val="center"/>
              <w:rPr>
                <w:i/>
                <w:lang w:eastAsia="en-AU"/>
              </w:rPr>
            </w:pPr>
            <w:r w:rsidRPr="00F875E6">
              <w:rPr>
                <w:i/>
                <w:lang w:eastAsia="en-AU"/>
              </w:rPr>
              <w:t>$</w:t>
            </w:r>
            <w:r w:rsidR="005F7A51">
              <w:rPr>
                <w:i/>
                <w:noProof/>
                <w:color w:val="000000"/>
                <w:highlight w:val="black"/>
                <w:lang w:eastAsia="en-AU"/>
              </w:rPr>
              <w:t>'''''''''''''''''</w:t>
            </w:r>
          </w:p>
        </w:tc>
        <w:tc>
          <w:tcPr>
            <w:tcW w:w="947" w:type="dxa"/>
          </w:tcPr>
          <w:p w:rsidR="00E01CDE" w:rsidRPr="00F875E6" w:rsidRDefault="00712EE1" w:rsidP="00712EE1">
            <w:pPr>
              <w:pStyle w:val="TableText0"/>
              <w:spacing w:before="0" w:after="0"/>
              <w:jc w:val="center"/>
              <w:rPr>
                <w:b/>
                <w:i/>
                <w:lang w:eastAsia="en-AU"/>
              </w:rPr>
            </w:pPr>
            <w:r w:rsidRPr="00F875E6">
              <w:rPr>
                <w:b/>
                <w:i/>
                <w:lang w:eastAsia="en-AU"/>
              </w:rPr>
              <w:t>$</w:t>
            </w:r>
            <w:r w:rsidR="005F7A51">
              <w:rPr>
                <w:b/>
                <w:i/>
                <w:noProof/>
                <w:color w:val="000000"/>
                <w:highlight w:val="black"/>
                <w:lang w:eastAsia="en-AU"/>
              </w:rPr>
              <w:t>''''''''''''''''''</w:t>
            </w:r>
          </w:p>
        </w:tc>
      </w:tr>
      <w:tr w:rsidR="00147AC9" w:rsidRPr="00F875E6" w:rsidTr="00EA09D7">
        <w:trPr>
          <w:trHeight w:val="20"/>
        </w:trPr>
        <w:tc>
          <w:tcPr>
            <w:tcW w:w="2977" w:type="dxa"/>
            <w:shd w:val="clear" w:color="auto" w:fill="auto"/>
            <w:noWrap/>
            <w:vAlign w:val="center"/>
          </w:tcPr>
          <w:p w:rsidR="00E01CDE" w:rsidRPr="00F875E6" w:rsidRDefault="00E01CDE" w:rsidP="00A7656F">
            <w:pPr>
              <w:pStyle w:val="TableText0"/>
              <w:spacing w:before="0" w:after="0"/>
              <w:ind w:firstLine="289"/>
              <w:rPr>
                <w:lang w:eastAsia="en-AU"/>
              </w:rPr>
            </w:pPr>
            <w:r w:rsidRPr="00F875E6">
              <w:rPr>
                <w:lang w:eastAsia="en-AU"/>
              </w:rPr>
              <w:t>15 mg</w:t>
            </w:r>
            <w:r w:rsidR="00147AC9" w:rsidRPr="00F875E6">
              <w:rPr>
                <w:lang w:eastAsia="en-AU"/>
              </w:rPr>
              <w:t xml:space="preserve"> – 70%</w:t>
            </w:r>
          </w:p>
        </w:tc>
        <w:tc>
          <w:tcPr>
            <w:tcW w:w="709" w:type="dxa"/>
            <w:shd w:val="clear" w:color="auto" w:fill="auto"/>
            <w:noWrap/>
          </w:tcPr>
          <w:p w:rsidR="00E01CDE" w:rsidRPr="00F875E6" w:rsidRDefault="00E01CDE" w:rsidP="00A7656F">
            <w:pPr>
              <w:pStyle w:val="TableText0"/>
              <w:spacing w:before="0" w:after="0"/>
              <w:jc w:val="center"/>
              <w:rPr>
                <w:b/>
                <w:lang w:eastAsia="en-AU"/>
              </w:rPr>
            </w:pPr>
          </w:p>
        </w:tc>
        <w:tc>
          <w:tcPr>
            <w:tcW w:w="992" w:type="dxa"/>
            <w:shd w:val="clear" w:color="auto" w:fill="auto"/>
            <w:noWrap/>
          </w:tcPr>
          <w:p w:rsidR="00E01CDE" w:rsidRPr="00F875E6" w:rsidRDefault="00E01CDE" w:rsidP="00A7656F">
            <w:pPr>
              <w:pStyle w:val="TableText0"/>
              <w:spacing w:before="0" w:after="0"/>
              <w:jc w:val="center"/>
              <w:rPr>
                <w:b/>
                <w:lang w:eastAsia="en-AU"/>
              </w:rPr>
            </w:pPr>
          </w:p>
        </w:tc>
        <w:tc>
          <w:tcPr>
            <w:tcW w:w="993" w:type="dxa"/>
            <w:shd w:val="clear" w:color="auto" w:fill="auto"/>
            <w:noWrap/>
          </w:tcPr>
          <w:p w:rsidR="00E01CDE" w:rsidRPr="00F875E6" w:rsidRDefault="005A19D8" w:rsidP="00A7656F">
            <w:pPr>
              <w:pStyle w:val="TableText0"/>
              <w:spacing w:before="0" w:after="0"/>
              <w:jc w:val="center"/>
              <w:rPr>
                <w:b/>
                <w:lang w:eastAsia="en-AU"/>
              </w:rPr>
            </w:pPr>
            <w:r w:rsidRPr="00F875E6">
              <w:rPr>
                <w:b/>
                <w:lang w:eastAsia="en-AU"/>
              </w:rPr>
              <w:t>$</w:t>
            </w:r>
            <w:r w:rsidR="005F7A51">
              <w:rPr>
                <w:b/>
                <w:noProof/>
                <w:color w:val="000000"/>
                <w:highlight w:val="black"/>
                <w:lang w:eastAsia="en-AU"/>
              </w:rPr>
              <w:t>'''''''''</w:t>
            </w:r>
          </w:p>
        </w:tc>
        <w:tc>
          <w:tcPr>
            <w:tcW w:w="1134" w:type="dxa"/>
            <w:shd w:val="clear" w:color="auto" w:fill="auto"/>
            <w:noWrap/>
            <w:vAlign w:val="center"/>
          </w:tcPr>
          <w:p w:rsidR="00E01CDE" w:rsidRPr="00F875E6" w:rsidRDefault="00E01CDE" w:rsidP="00A7656F">
            <w:pPr>
              <w:pStyle w:val="TableText0"/>
              <w:spacing w:before="0" w:after="0"/>
              <w:jc w:val="center"/>
              <w:rPr>
                <w:b/>
                <w:lang w:eastAsia="en-AU"/>
              </w:rPr>
            </w:pPr>
            <w:r w:rsidRPr="00F875E6">
              <w:rPr>
                <w:i/>
                <w:lang w:val="en-GB" w:eastAsia="en-GB"/>
              </w:rPr>
              <w:t>$</w:t>
            </w:r>
            <w:r w:rsidR="005F7A51">
              <w:rPr>
                <w:i/>
                <w:noProof/>
                <w:color w:val="000000"/>
                <w:highlight w:val="black"/>
                <w:lang w:val="en-GB" w:eastAsia="en-GB"/>
              </w:rPr>
              <w:t>''''''''''''''''''''</w:t>
            </w:r>
          </w:p>
        </w:tc>
        <w:tc>
          <w:tcPr>
            <w:tcW w:w="708" w:type="dxa"/>
          </w:tcPr>
          <w:p w:rsidR="00E01CDE" w:rsidRPr="00F875E6" w:rsidRDefault="00E01CDE" w:rsidP="00A7656F">
            <w:pPr>
              <w:pStyle w:val="TableText0"/>
              <w:spacing w:before="0" w:after="0"/>
              <w:jc w:val="center"/>
              <w:rPr>
                <w:b/>
                <w:lang w:eastAsia="en-AU"/>
              </w:rPr>
            </w:pPr>
          </w:p>
        </w:tc>
        <w:tc>
          <w:tcPr>
            <w:tcW w:w="947" w:type="dxa"/>
          </w:tcPr>
          <w:p w:rsidR="00E01CDE" w:rsidRPr="00F875E6" w:rsidRDefault="00E01CDE" w:rsidP="00A7656F">
            <w:pPr>
              <w:pStyle w:val="TableText0"/>
              <w:spacing w:before="0" w:after="0"/>
              <w:jc w:val="center"/>
              <w:rPr>
                <w:b/>
                <w:lang w:eastAsia="en-AU"/>
              </w:rPr>
            </w:pPr>
          </w:p>
        </w:tc>
      </w:tr>
      <w:tr w:rsidR="00147AC9" w:rsidRPr="00F875E6" w:rsidTr="00EA09D7">
        <w:trPr>
          <w:trHeight w:val="20"/>
        </w:trPr>
        <w:tc>
          <w:tcPr>
            <w:tcW w:w="2977" w:type="dxa"/>
            <w:shd w:val="clear" w:color="auto" w:fill="auto"/>
            <w:noWrap/>
            <w:vAlign w:val="center"/>
          </w:tcPr>
          <w:p w:rsidR="00E01CDE" w:rsidRPr="00F875E6" w:rsidRDefault="00E01CDE" w:rsidP="00A7656F">
            <w:pPr>
              <w:pStyle w:val="TableText0"/>
              <w:spacing w:before="0" w:after="0"/>
              <w:ind w:firstLine="289"/>
              <w:rPr>
                <w:lang w:eastAsia="en-AU"/>
              </w:rPr>
            </w:pPr>
            <w:r w:rsidRPr="00F875E6">
              <w:rPr>
                <w:lang w:eastAsia="en-AU"/>
              </w:rPr>
              <w:t>45 mg</w:t>
            </w:r>
            <w:r w:rsidR="00147AC9" w:rsidRPr="00F875E6">
              <w:rPr>
                <w:lang w:eastAsia="en-AU"/>
              </w:rPr>
              <w:t xml:space="preserve"> – 30%</w:t>
            </w:r>
          </w:p>
        </w:tc>
        <w:tc>
          <w:tcPr>
            <w:tcW w:w="709" w:type="dxa"/>
            <w:shd w:val="clear" w:color="auto" w:fill="auto"/>
            <w:noWrap/>
          </w:tcPr>
          <w:p w:rsidR="00E01CDE" w:rsidRPr="00F875E6" w:rsidRDefault="00E01CDE" w:rsidP="00A7656F">
            <w:pPr>
              <w:pStyle w:val="TableText0"/>
              <w:spacing w:before="0" w:after="0"/>
              <w:jc w:val="center"/>
              <w:rPr>
                <w:b/>
                <w:lang w:eastAsia="en-AU"/>
              </w:rPr>
            </w:pPr>
          </w:p>
        </w:tc>
        <w:tc>
          <w:tcPr>
            <w:tcW w:w="992" w:type="dxa"/>
            <w:shd w:val="clear" w:color="auto" w:fill="auto"/>
            <w:noWrap/>
          </w:tcPr>
          <w:p w:rsidR="00E01CDE" w:rsidRPr="00F875E6" w:rsidRDefault="00E01CDE" w:rsidP="00A7656F">
            <w:pPr>
              <w:pStyle w:val="TableText0"/>
              <w:spacing w:before="0" w:after="0"/>
              <w:jc w:val="center"/>
              <w:rPr>
                <w:b/>
                <w:lang w:eastAsia="en-AU"/>
              </w:rPr>
            </w:pPr>
          </w:p>
        </w:tc>
        <w:tc>
          <w:tcPr>
            <w:tcW w:w="993" w:type="dxa"/>
            <w:shd w:val="clear" w:color="auto" w:fill="auto"/>
            <w:noWrap/>
          </w:tcPr>
          <w:p w:rsidR="00E01CDE" w:rsidRPr="00F875E6" w:rsidRDefault="005A19D8" w:rsidP="00A7656F">
            <w:pPr>
              <w:pStyle w:val="TableText0"/>
              <w:spacing w:before="0" w:after="0"/>
              <w:jc w:val="center"/>
              <w:rPr>
                <w:b/>
                <w:lang w:eastAsia="en-AU"/>
              </w:rPr>
            </w:pPr>
            <w:r w:rsidRPr="00F875E6">
              <w:rPr>
                <w:b/>
                <w:lang w:eastAsia="en-AU"/>
              </w:rPr>
              <w:t>$</w:t>
            </w:r>
            <w:r w:rsidR="005F7A51">
              <w:rPr>
                <w:b/>
                <w:noProof/>
                <w:color w:val="000000"/>
                <w:highlight w:val="black"/>
                <w:lang w:eastAsia="en-AU"/>
              </w:rPr>
              <w:t>'''''''''</w:t>
            </w:r>
          </w:p>
        </w:tc>
        <w:tc>
          <w:tcPr>
            <w:tcW w:w="1134" w:type="dxa"/>
            <w:shd w:val="clear" w:color="auto" w:fill="auto"/>
            <w:noWrap/>
            <w:vAlign w:val="center"/>
          </w:tcPr>
          <w:p w:rsidR="00E01CDE" w:rsidRPr="00F875E6" w:rsidRDefault="00E01CDE" w:rsidP="00A7656F">
            <w:pPr>
              <w:pStyle w:val="TableText0"/>
              <w:spacing w:before="0" w:after="0"/>
              <w:jc w:val="center"/>
              <w:rPr>
                <w:b/>
                <w:lang w:eastAsia="en-AU"/>
              </w:rPr>
            </w:pPr>
            <w:r w:rsidRPr="00F875E6">
              <w:rPr>
                <w:rFonts w:cs="Times New Roman"/>
                <w:i/>
                <w:color w:val="000000"/>
                <w:lang w:val="en-GB" w:eastAsia="en-GB"/>
              </w:rPr>
              <w:t>$</w:t>
            </w:r>
            <w:r w:rsidR="005F7A51">
              <w:rPr>
                <w:rFonts w:cs="Times New Roman"/>
                <w:i/>
                <w:noProof/>
                <w:color w:val="000000"/>
                <w:highlight w:val="black"/>
                <w:lang w:val="en-GB" w:eastAsia="en-GB"/>
              </w:rPr>
              <w:t>'''''''''''''''''''</w:t>
            </w:r>
          </w:p>
        </w:tc>
        <w:tc>
          <w:tcPr>
            <w:tcW w:w="708" w:type="dxa"/>
          </w:tcPr>
          <w:p w:rsidR="00E01CDE" w:rsidRPr="00F875E6" w:rsidRDefault="00E01CDE" w:rsidP="00A7656F">
            <w:pPr>
              <w:pStyle w:val="TableText0"/>
              <w:spacing w:before="0" w:after="0"/>
              <w:jc w:val="center"/>
              <w:rPr>
                <w:b/>
                <w:lang w:eastAsia="en-AU"/>
              </w:rPr>
            </w:pPr>
          </w:p>
        </w:tc>
        <w:tc>
          <w:tcPr>
            <w:tcW w:w="947" w:type="dxa"/>
          </w:tcPr>
          <w:p w:rsidR="00E01CDE" w:rsidRPr="00F875E6" w:rsidRDefault="00E01CDE" w:rsidP="00A7656F">
            <w:pPr>
              <w:pStyle w:val="TableText0"/>
              <w:spacing w:before="0" w:after="0"/>
              <w:jc w:val="center"/>
              <w:rPr>
                <w:b/>
                <w:lang w:eastAsia="en-AU"/>
              </w:rPr>
            </w:pPr>
          </w:p>
        </w:tc>
      </w:tr>
    </w:tbl>
    <w:p w:rsidR="00147AC9" w:rsidRPr="00F875E6" w:rsidRDefault="00147AC9" w:rsidP="00A7656F">
      <w:pPr>
        <w:pStyle w:val="TableFooter"/>
        <w:keepNext/>
        <w:widowControl/>
        <w:ind w:left="720"/>
      </w:pPr>
      <w:r w:rsidRPr="00F875E6">
        <w:t xml:space="preserve">Source: </w:t>
      </w:r>
      <w:r w:rsidR="00E06C1A" w:rsidRPr="00F875E6">
        <w:t>Table 80, p195 of the submission and Excel spreadsheet</w:t>
      </w:r>
    </w:p>
    <w:p w:rsidR="00147AC9" w:rsidRPr="00F875E6" w:rsidRDefault="00A7656F" w:rsidP="00A7656F">
      <w:pPr>
        <w:pStyle w:val="TableFooter"/>
        <w:keepNext/>
        <w:widowControl/>
        <w:ind w:left="720"/>
        <w:rPr>
          <w:i/>
        </w:rPr>
      </w:pPr>
      <w:r w:rsidRPr="00F875E6">
        <w:t xml:space="preserve">AE = adverse event; </w:t>
      </w:r>
      <w:r w:rsidR="00147AC9" w:rsidRPr="00F875E6">
        <w:t xml:space="preserve">DAS = dasatinib; </w:t>
      </w:r>
      <w:r w:rsidRPr="00F875E6">
        <w:t xml:space="preserve">DPMQ = dispensed price, maximum quantity; </w:t>
      </w:r>
      <w:r w:rsidR="0025076B" w:rsidRPr="00F875E6">
        <w:t xml:space="preserve">NIL </w:t>
      </w:r>
      <w:r w:rsidR="00147AC9" w:rsidRPr="00F875E6">
        <w:t xml:space="preserve">= nilotinib; </w:t>
      </w:r>
      <w:r w:rsidRPr="00F875E6">
        <w:rPr>
          <w:i/>
        </w:rPr>
        <w:t>italic</w:t>
      </w:r>
      <w:r w:rsidR="001A6284" w:rsidRPr="00F875E6">
        <w:rPr>
          <w:i/>
        </w:rPr>
        <w:t>s</w:t>
      </w:r>
      <w:r w:rsidRPr="00F875E6">
        <w:t xml:space="preserve"> = </w:t>
      </w:r>
      <w:r w:rsidRPr="00F875E6">
        <w:rPr>
          <w:i/>
        </w:rPr>
        <w:t>correction made to the errors made by the re-submission on the cost of treating occlusive events.</w:t>
      </w:r>
    </w:p>
    <w:p w:rsidR="00E06C1A" w:rsidRPr="00F875E6" w:rsidRDefault="00E06C1A" w:rsidP="00A7656F">
      <w:pPr>
        <w:pStyle w:val="TableFooter"/>
        <w:keepNext/>
        <w:widowControl/>
        <w:ind w:left="720"/>
      </w:pPr>
      <w:r w:rsidRPr="00F875E6">
        <w:rPr>
          <w:vertAlign w:val="superscript"/>
        </w:rPr>
        <w:t xml:space="preserve">a </w:t>
      </w:r>
      <w:r w:rsidRPr="00F875E6">
        <w:t>Weighted price per mg across strengths</w:t>
      </w:r>
    </w:p>
    <w:p w:rsidR="00147AC9" w:rsidRPr="00F875E6" w:rsidRDefault="00147AC9" w:rsidP="00A7656F">
      <w:pPr>
        <w:pStyle w:val="ListParagraph"/>
        <w:widowControl/>
        <w:rPr>
          <w:i/>
        </w:rPr>
      </w:pPr>
    </w:p>
    <w:p w:rsidR="00A7656F" w:rsidRPr="00F875E6" w:rsidRDefault="00147AC9" w:rsidP="00147AC9">
      <w:pPr>
        <w:pStyle w:val="ListParagraph"/>
        <w:widowControl/>
        <w:numPr>
          <w:ilvl w:val="1"/>
          <w:numId w:val="4"/>
        </w:numPr>
      </w:pPr>
      <w:r w:rsidRPr="00F875E6">
        <w:t>The cost</w:t>
      </w:r>
      <w:r w:rsidR="00234746" w:rsidRPr="00F875E6">
        <w:t>-</w:t>
      </w:r>
      <w:r w:rsidRPr="00F875E6">
        <w:t>minimisation analysis might not be accurate as the DPMQ values for ponatinib were higher than the weighted dispensed cost per month. The proposed DPMQ for ponatinib 45 mg per day was more than $</w:t>
      </w:r>
      <w:r w:rsidR="005F7A51">
        <w:rPr>
          <w:noProof/>
          <w:color w:val="000000"/>
          <w:highlight w:val="black"/>
        </w:rPr>
        <w:t>'''''''''</w:t>
      </w:r>
      <w:r w:rsidRPr="00F875E6">
        <w:t xml:space="preserve"> per month higher than for the 30 mg daily dose, yet the higher dose was associated with more adverse events and, according to the submission, no additional efficacy. </w:t>
      </w:r>
      <w:r w:rsidR="004431C9" w:rsidRPr="00F875E6">
        <w:t>The PSCR</w:t>
      </w:r>
      <w:r w:rsidR="00894B5A" w:rsidRPr="00F875E6">
        <w:t xml:space="preserve"> </w:t>
      </w:r>
      <w:r w:rsidR="004431C9" w:rsidRPr="00F875E6">
        <w:t xml:space="preserve">disagreed that the </w:t>
      </w:r>
      <w:r w:rsidR="0056194B" w:rsidRPr="00F875E6">
        <w:t>re</w:t>
      </w:r>
      <w:r w:rsidR="004431C9" w:rsidRPr="00F875E6">
        <w:t>submission stated there was no additional efficacy with the higher dose and that</w:t>
      </w:r>
      <w:r w:rsidR="0056194B" w:rsidRPr="00F875E6">
        <w:t xml:space="preserve"> in the resubmission</w:t>
      </w:r>
      <w:r w:rsidR="004431C9" w:rsidRPr="00F875E6">
        <w:t xml:space="preserve"> “a multivariate analysis of the PACE trial showed a significant relationship between dose intensity and probability of MCyR in CP-CML patients”. </w:t>
      </w:r>
    </w:p>
    <w:p w:rsidR="00FD54F8" w:rsidRPr="00F875E6" w:rsidRDefault="00FD54F8" w:rsidP="003203E8">
      <w:pPr>
        <w:pStyle w:val="ListParagraph"/>
        <w:widowControl/>
        <w:rPr>
          <w:i/>
        </w:rPr>
      </w:pPr>
    </w:p>
    <w:p w:rsidR="00FD54F8" w:rsidRPr="00F875E6" w:rsidRDefault="00FD54F8" w:rsidP="00FD54F8">
      <w:pPr>
        <w:pStyle w:val="ListParagraph"/>
        <w:widowControl/>
        <w:numPr>
          <w:ilvl w:val="1"/>
          <w:numId w:val="4"/>
        </w:numPr>
        <w:rPr>
          <w:szCs w:val="22"/>
        </w:rPr>
      </w:pPr>
      <w:r w:rsidRPr="00F875E6">
        <w:rPr>
          <w:szCs w:val="22"/>
        </w:rPr>
        <w:t>The cost of treating pleural effusions and vascular occlusive events were included in the cost-minimisation analysis. However, the re-submission incorrectly estimated the cost of treating vascular occlusive events. Correcting these errors resulted in a DPMQ of $</w:t>
      </w:r>
      <w:r w:rsidR="005F7A51">
        <w:rPr>
          <w:noProof/>
          <w:color w:val="000000"/>
          <w:szCs w:val="22"/>
          <w:highlight w:val="black"/>
        </w:rPr>
        <w:t>'''''''''''''''''''''''</w:t>
      </w:r>
      <w:r w:rsidRPr="00F875E6">
        <w:rPr>
          <w:szCs w:val="22"/>
        </w:rPr>
        <w:t xml:space="preserve"> for 15 mg ponatinib and $</w:t>
      </w:r>
      <w:r w:rsidR="005F7A51">
        <w:rPr>
          <w:noProof/>
          <w:color w:val="000000"/>
          <w:szCs w:val="22"/>
          <w:highlight w:val="black"/>
        </w:rPr>
        <w:t>''''''''''''''''''''''</w:t>
      </w:r>
      <w:r w:rsidRPr="00F875E6">
        <w:rPr>
          <w:szCs w:val="22"/>
        </w:rPr>
        <w:t xml:space="preserve"> for 45 mg ponatinib.</w:t>
      </w:r>
    </w:p>
    <w:p w:rsidR="00A7656F" w:rsidRPr="00F875E6" w:rsidRDefault="00A7656F" w:rsidP="00A7656F">
      <w:pPr>
        <w:pStyle w:val="ListParagraph"/>
        <w:widowControl/>
      </w:pPr>
    </w:p>
    <w:p w:rsidR="00597771" w:rsidRPr="00F875E6" w:rsidRDefault="00A7656F" w:rsidP="00597771">
      <w:pPr>
        <w:pStyle w:val="ListParagraph"/>
        <w:widowControl/>
        <w:numPr>
          <w:ilvl w:val="1"/>
          <w:numId w:val="4"/>
        </w:numPr>
      </w:pPr>
      <w:r w:rsidRPr="00F875E6">
        <w:t xml:space="preserve">During evaluation, the rates for pleural effusions and vascular occlusive </w:t>
      </w:r>
      <w:r w:rsidR="00BC5E94" w:rsidRPr="00F875E6">
        <w:t>events</w:t>
      </w:r>
      <w:r w:rsidRPr="00F875E6">
        <w:t xml:space="preserve"> were updated by using only studies with follow-up similar to the PACE study. When u</w:t>
      </w:r>
      <w:r w:rsidR="00147AC9" w:rsidRPr="00F875E6">
        <w:t xml:space="preserve">sing the updated adverse event rates, </w:t>
      </w:r>
      <w:r w:rsidRPr="00F875E6">
        <w:t xml:space="preserve">the cost of </w:t>
      </w:r>
      <w:r w:rsidR="00147AC9" w:rsidRPr="00F875E6">
        <w:t xml:space="preserve">ponatinib per year </w:t>
      </w:r>
      <w:r w:rsidR="00BC5E94" w:rsidRPr="00F875E6">
        <w:t>was $</w:t>
      </w:r>
      <w:r w:rsidR="005F7A51">
        <w:rPr>
          <w:noProof/>
          <w:color w:val="000000"/>
          <w:highlight w:val="black"/>
        </w:rPr>
        <w:t>''''''''''''''''''''''''''</w:t>
      </w:r>
      <w:r w:rsidR="00147AC9" w:rsidRPr="00D164FD">
        <w:t>.</w:t>
      </w:r>
      <w:r w:rsidR="00147AC9" w:rsidRPr="00F875E6">
        <w:t xml:space="preserve"> </w:t>
      </w:r>
      <w:r w:rsidR="00822DD4" w:rsidRPr="00F875E6">
        <w:t>Th</w:t>
      </w:r>
      <w:r w:rsidR="004E20CE" w:rsidRPr="00F875E6">
        <w:t>e PSCR disagreed with the exclusion</w:t>
      </w:r>
      <w:r w:rsidR="00356A01" w:rsidRPr="00F875E6">
        <w:t xml:space="preserve"> and inclusion</w:t>
      </w:r>
      <w:r w:rsidR="004E20CE" w:rsidRPr="00F875E6">
        <w:t xml:space="preserve"> of some of the trials </w:t>
      </w:r>
      <w:r w:rsidR="00356A01" w:rsidRPr="00F875E6">
        <w:t xml:space="preserve">(see </w:t>
      </w:r>
      <w:r w:rsidR="0056194B" w:rsidRPr="00F875E6">
        <w:t>’Comparative Harms’ section</w:t>
      </w:r>
      <w:r w:rsidR="00356A01" w:rsidRPr="00F875E6">
        <w:t>) but noted</w:t>
      </w:r>
      <w:r w:rsidR="00822DD4" w:rsidRPr="00F875E6">
        <w:t xml:space="preserve"> that the discrepancies in the analyses had little impact on the overall cost of treatment ($</w:t>
      </w:r>
      <w:r w:rsidR="005F7A51">
        <w:rPr>
          <w:noProof/>
          <w:color w:val="000000"/>
          <w:highlight w:val="black"/>
        </w:rPr>
        <w:t>''''''''''''''''''''''''</w:t>
      </w:r>
      <w:r w:rsidR="00D164FD">
        <w:t xml:space="preserve"> per year in the re</w:t>
      </w:r>
      <w:r w:rsidR="00D164FD">
        <w:noBreakHyphen/>
      </w:r>
      <w:r w:rsidR="00822DD4" w:rsidRPr="00F875E6">
        <w:t>submission compared with $</w:t>
      </w:r>
      <w:r w:rsidR="005F7A51">
        <w:rPr>
          <w:noProof/>
          <w:color w:val="000000"/>
          <w:highlight w:val="black"/>
        </w:rPr>
        <w:t>'''''''''''''''''''''''''</w:t>
      </w:r>
      <w:r w:rsidR="00822DD4" w:rsidRPr="00F875E6">
        <w:t xml:space="preserve"> in the Commentary). </w:t>
      </w:r>
      <w:r w:rsidR="004C213F" w:rsidRPr="00F875E6">
        <w:t>The ESC suggested that it may be possible to include all the studies but adjus</w:t>
      </w:r>
      <w:r w:rsidR="00A306FB">
        <w:t>t for the differences in follow</w:t>
      </w:r>
      <w:r w:rsidR="00A306FB">
        <w:noBreakHyphen/>
      </w:r>
      <w:r w:rsidR="004C213F" w:rsidRPr="00F875E6">
        <w:t xml:space="preserve">up, noting however that this was not a major issue as it </w:t>
      </w:r>
      <w:r w:rsidR="009F6CB9" w:rsidRPr="00F875E6">
        <w:t>would likely have only</w:t>
      </w:r>
      <w:r w:rsidR="004C213F" w:rsidRPr="00F875E6">
        <w:t xml:space="preserve"> a minor impact on the total cost.</w:t>
      </w:r>
    </w:p>
    <w:p w:rsidR="00FA6E82" w:rsidRPr="00F875E6" w:rsidRDefault="00FA6E82" w:rsidP="00FA6E82">
      <w:pPr>
        <w:widowControl/>
        <w:rPr>
          <w:i/>
        </w:rPr>
      </w:pPr>
    </w:p>
    <w:p w:rsidR="00FA6E82" w:rsidRPr="00F875E6" w:rsidRDefault="00FA6E82" w:rsidP="00856C71">
      <w:pPr>
        <w:keepNext/>
        <w:widowControl/>
        <w:ind w:firstLine="709"/>
        <w:rPr>
          <w:rStyle w:val="CommentReference"/>
        </w:rPr>
      </w:pPr>
      <w:r w:rsidRPr="00F875E6">
        <w:rPr>
          <w:rStyle w:val="CommentReference"/>
        </w:rPr>
        <w:t xml:space="preserve">Table </w:t>
      </w:r>
      <w:r w:rsidR="008D7B61" w:rsidRPr="00F875E6">
        <w:rPr>
          <w:rStyle w:val="CommentReference"/>
        </w:rPr>
        <w:t>10</w:t>
      </w:r>
      <w:r w:rsidRPr="00F875E6">
        <w:rPr>
          <w:rStyle w:val="CommentReference"/>
        </w:rPr>
        <w:t xml:space="preserve">: Sensitivity analyses performed during evaluation </w:t>
      </w:r>
    </w:p>
    <w:tbl>
      <w:tblPr>
        <w:tblStyle w:val="TableGrid"/>
        <w:tblW w:w="8546" w:type="dxa"/>
        <w:tblInd w:w="720" w:type="dxa"/>
        <w:tblLook w:val="04A0" w:firstRow="1" w:lastRow="0" w:firstColumn="1" w:lastColumn="0" w:noHBand="0" w:noVBand="1"/>
        <w:tblCaption w:val="Table 10: Sensitivity analyses performed during evaluation "/>
        <w:tblDescription w:val="The table shows sensitivity analyses performed during evaluation "/>
      </w:tblPr>
      <w:tblGrid>
        <w:gridCol w:w="4066"/>
        <w:gridCol w:w="1039"/>
        <w:gridCol w:w="1044"/>
        <w:gridCol w:w="1172"/>
        <w:gridCol w:w="1225"/>
      </w:tblGrid>
      <w:tr w:rsidR="00FA6E82" w:rsidRPr="00F875E6" w:rsidTr="003B22B8">
        <w:trPr>
          <w:tblHeader/>
        </w:trPr>
        <w:tc>
          <w:tcPr>
            <w:tcW w:w="4066" w:type="dxa"/>
          </w:tcPr>
          <w:p w:rsidR="00FA6E82" w:rsidRPr="00F875E6" w:rsidRDefault="00FA6E82" w:rsidP="00856C71">
            <w:pPr>
              <w:pStyle w:val="ListParagraph"/>
              <w:keepNext/>
              <w:widowControl/>
              <w:ind w:left="0"/>
              <w:rPr>
                <w:rFonts w:ascii="Arial Narrow" w:hAnsi="Arial Narrow"/>
                <w:sz w:val="20"/>
              </w:rPr>
            </w:pPr>
          </w:p>
        </w:tc>
        <w:tc>
          <w:tcPr>
            <w:tcW w:w="2083" w:type="dxa"/>
            <w:gridSpan w:val="2"/>
          </w:tcPr>
          <w:p w:rsidR="00FA6E82" w:rsidRPr="00F875E6" w:rsidRDefault="00FA6E82" w:rsidP="00856C71">
            <w:pPr>
              <w:pStyle w:val="ListParagraph"/>
              <w:keepNext/>
              <w:widowControl/>
              <w:ind w:left="0"/>
              <w:jc w:val="center"/>
              <w:rPr>
                <w:rFonts w:ascii="Arial Narrow" w:hAnsi="Arial Narrow"/>
                <w:b/>
                <w:snapToGrid/>
                <w:sz w:val="20"/>
              </w:rPr>
            </w:pPr>
            <w:r w:rsidRPr="00F875E6">
              <w:rPr>
                <w:rFonts w:ascii="Arial Narrow" w:hAnsi="Arial Narrow"/>
                <w:b/>
                <w:sz w:val="20"/>
              </w:rPr>
              <w:t>DPMQ Ponatinib</w:t>
            </w:r>
          </w:p>
        </w:tc>
        <w:tc>
          <w:tcPr>
            <w:tcW w:w="1172" w:type="dxa"/>
            <w:vMerge w:val="restart"/>
          </w:tcPr>
          <w:p w:rsidR="00FA6E82" w:rsidRPr="00F875E6" w:rsidRDefault="00FA6E82" w:rsidP="00856C71">
            <w:pPr>
              <w:pStyle w:val="ListParagraph"/>
              <w:keepNext/>
              <w:widowControl/>
              <w:ind w:left="0"/>
              <w:jc w:val="center"/>
              <w:rPr>
                <w:rFonts w:ascii="Arial Narrow" w:hAnsi="Arial Narrow"/>
                <w:b/>
                <w:snapToGrid/>
                <w:sz w:val="20"/>
              </w:rPr>
            </w:pPr>
            <w:r w:rsidRPr="00F875E6">
              <w:rPr>
                <w:rFonts w:ascii="Arial Narrow" w:hAnsi="Arial Narrow"/>
                <w:b/>
                <w:sz w:val="20"/>
              </w:rPr>
              <w:t>Cost of AE (per year)</w:t>
            </w:r>
          </w:p>
        </w:tc>
        <w:tc>
          <w:tcPr>
            <w:tcW w:w="1225" w:type="dxa"/>
            <w:vMerge w:val="restart"/>
          </w:tcPr>
          <w:p w:rsidR="00FA6E82" w:rsidRPr="00F875E6" w:rsidRDefault="00FA6E82" w:rsidP="00856C71">
            <w:pPr>
              <w:pStyle w:val="ListParagraph"/>
              <w:keepNext/>
              <w:widowControl/>
              <w:ind w:left="0"/>
              <w:jc w:val="center"/>
              <w:rPr>
                <w:rFonts w:ascii="Arial Narrow" w:hAnsi="Arial Narrow"/>
                <w:b/>
                <w:snapToGrid/>
                <w:sz w:val="20"/>
              </w:rPr>
            </w:pPr>
            <w:r w:rsidRPr="00F875E6">
              <w:rPr>
                <w:rFonts w:ascii="Arial Narrow" w:hAnsi="Arial Narrow"/>
                <w:b/>
                <w:sz w:val="20"/>
              </w:rPr>
              <w:t>Total cost per year</w:t>
            </w:r>
          </w:p>
        </w:tc>
      </w:tr>
      <w:tr w:rsidR="00FA6E82" w:rsidRPr="00F875E6" w:rsidTr="003B22B8">
        <w:trPr>
          <w:tblHeader/>
        </w:trPr>
        <w:tc>
          <w:tcPr>
            <w:tcW w:w="4066" w:type="dxa"/>
          </w:tcPr>
          <w:p w:rsidR="00FA6E82" w:rsidRPr="00F875E6" w:rsidRDefault="00FA6E82" w:rsidP="00856C71">
            <w:pPr>
              <w:pStyle w:val="ListParagraph"/>
              <w:keepNext/>
              <w:widowControl/>
              <w:ind w:left="0"/>
              <w:rPr>
                <w:rFonts w:ascii="Arial Narrow" w:hAnsi="Arial Narrow"/>
                <w:sz w:val="20"/>
              </w:rPr>
            </w:pPr>
          </w:p>
        </w:tc>
        <w:tc>
          <w:tcPr>
            <w:tcW w:w="1039" w:type="dxa"/>
          </w:tcPr>
          <w:p w:rsidR="00FA6E82" w:rsidRPr="00F875E6" w:rsidRDefault="00FA6E82" w:rsidP="00856C71">
            <w:pPr>
              <w:pStyle w:val="ListParagraph"/>
              <w:keepNext/>
              <w:widowControl/>
              <w:ind w:left="0"/>
              <w:jc w:val="center"/>
              <w:rPr>
                <w:rFonts w:ascii="Arial Narrow" w:hAnsi="Arial Narrow"/>
                <w:b/>
                <w:snapToGrid/>
                <w:sz w:val="20"/>
              </w:rPr>
            </w:pPr>
            <w:r w:rsidRPr="00F875E6">
              <w:rPr>
                <w:rFonts w:ascii="Arial Narrow" w:hAnsi="Arial Narrow"/>
                <w:b/>
                <w:sz w:val="20"/>
              </w:rPr>
              <w:t>15mg</w:t>
            </w:r>
          </w:p>
        </w:tc>
        <w:tc>
          <w:tcPr>
            <w:tcW w:w="1044" w:type="dxa"/>
          </w:tcPr>
          <w:p w:rsidR="00FA6E82" w:rsidRPr="00F875E6" w:rsidRDefault="00FA6E82" w:rsidP="00856C71">
            <w:pPr>
              <w:pStyle w:val="ListParagraph"/>
              <w:keepNext/>
              <w:widowControl/>
              <w:ind w:left="0"/>
              <w:jc w:val="center"/>
              <w:rPr>
                <w:rFonts w:ascii="Arial Narrow" w:hAnsi="Arial Narrow"/>
                <w:b/>
                <w:snapToGrid/>
                <w:sz w:val="20"/>
              </w:rPr>
            </w:pPr>
            <w:r w:rsidRPr="00F875E6">
              <w:rPr>
                <w:rFonts w:ascii="Arial Narrow" w:hAnsi="Arial Narrow"/>
                <w:b/>
                <w:sz w:val="20"/>
              </w:rPr>
              <w:t>45mg</w:t>
            </w:r>
          </w:p>
        </w:tc>
        <w:tc>
          <w:tcPr>
            <w:tcW w:w="1172" w:type="dxa"/>
            <w:vMerge/>
          </w:tcPr>
          <w:p w:rsidR="00FA6E82" w:rsidRPr="00F875E6" w:rsidRDefault="00FA6E82" w:rsidP="00856C71">
            <w:pPr>
              <w:pStyle w:val="ListParagraph"/>
              <w:keepNext/>
              <w:widowControl/>
              <w:ind w:left="0"/>
              <w:jc w:val="center"/>
              <w:rPr>
                <w:rFonts w:ascii="Arial Narrow" w:hAnsi="Arial Narrow"/>
                <w:snapToGrid/>
                <w:sz w:val="20"/>
              </w:rPr>
            </w:pPr>
          </w:p>
        </w:tc>
        <w:tc>
          <w:tcPr>
            <w:tcW w:w="1225" w:type="dxa"/>
            <w:vMerge/>
          </w:tcPr>
          <w:p w:rsidR="00FA6E82" w:rsidRPr="00F875E6" w:rsidRDefault="00FA6E82" w:rsidP="00856C71">
            <w:pPr>
              <w:pStyle w:val="ListParagraph"/>
              <w:keepNext/>
              <w:widowControl/>
              <w:ind w:left="0"/>
              <w:jc w:val="center"/>
              <w:rPr>
                <w:rFonts w:ascii="Arial Narrow" w:hAnsi="Arial Narrow"/>
                <w:snapToGrid/>
                <w:sz w:val="20"/>
              </w:rPr>
            </w:pPr>
          </w:p>
        </w:tc>
      </w:tr>
      <w:tr w:rsidR="00FA6E82" w:rsidRPr="00F875E6" w:rsidTr="006A30D7">
        <w:tc>
          <w:tcPr>
            <w:tcW w:w="4066" w:type="dxa"/>
          </w:tcPr>
          <w:p w:rsidR="00FA6E82" w:rsidRPr="00F875E6" w:rsidRDefault="00FA6E82" w:rsidP="00856C71">
            <w:pPr>
              <w:pStyle w:val="ListParagraph"/>
              <w:keepNext/>
              <w:widowControl/>
              <w:ind w:left="0"/>
              <w:rPr>
                <w:rFonts w:ascii="Arial Narrow" w:hAnsi="Arial Narrow"/>
                <w:sz w:val="20"/>
              </w:rPr>
            </w:pPr>
            <w:r w:rsidRPr="00F875E6">
              <w:rPr>
                <w:rFonts w:ascii="Arial Narrow" w:hAnsi="Arial Narrow"/>
                <w:sz w:val="20"/>
              </w:rPr>
              <w:t>Re-submission base case</w:t>
            </w:r>
          </w:p>
        </w:tc>
        <w:tc>
          <w:tcPr>
            <w:tcW w:w="1039" w:type="dxa"/>
          </w:tcPr>
          <w:p w:rsidR="00FA6E82" w:rsidRPr="00F875E6" w:rsidRDefault="00FA6E82" w:rsidP="00856C71">
            <w:pPr>
              <w:pStyle w:val="ListParagraph"/>
              <w:keepNext/>
              <w:widowControl/>
              <w:ind w:left="0"/>
              <w:jc w:val="right"/>
              <w:rPr>
                <w:rFonts w:ascii="Arial Narrow" w:hAnsi="Arial Narrow"/>
                <w:sz w:val="20"/>
              </w:rPr>
            </w:pPr>
            <w:r w:rsidRPr="00F875E6">
              <w:rPr>
                <w:rFonts w:ascii="Arial Narrow" w:hAnsi="Arial Narrow"/>
                <w:sz w:val="20"/>
              </w:rPr>
              <w:t>$</w:t>
            </w:r>
            <w:r w:rsidR="005F7A51">
              <w:rPr>
                <w:rFonts w:ascii="Arial Narrow" w:hAnsi="Arial Narrow"/>
                <w:noProof/>
                <w:color w:val="000000"/>
                <w:sz w:val="20"/>
                <w:highlight w:val="black"/>
              </w:rPr>
              <w:t>'''''''''''''''''''</w:t>
            </w:r>
          </w:p>
        </w:tc>
        <w:tc>
          <w:tcPr>
            <w:tcW w:w="1044" w:type="dxa"/>
          </w:tcPr>
          <w:p w:rsidR="00FA6E82" w:rsidRPr="00F875E6" w:rsidRDefault="00FA6E82" w:rsidP="00856C71">
            <w:pPr>
              <w:pStyle w:val="ListParagraph"/>
              <w:keepNext/>
              <w:widowControl/>
              <w:ind w:left="0"/>
              <w:jc w:val="right"/>
              <w:rPr>
                <w:rFonts w:ascii="Arial Narrow" w:hAnsi="Arial Narrow"/>
                <w:sz w:val="20"/>
              </w:rPr>
            </w:pPr>
            <w:r w:rsidRPr="00F875E6">
              <w:rPr>
                <w:rFonts w:ascii="Arial Narrow" w:hAnsi="Arial Narrow"/>
                <w:sz w:val="20"/>
              </w:rPr>
              <w:t>$</w:t>
            </w:r>
            <w:r w:rsidR="005F7A51">
              <w:rPr>
                <w:rFonts w:ascii="Arial Narrow" w:hAnsi="Arial Narrow"/>
                <w:noProof/>
                <w:color w:val="000000"/>
                <w:sz w:val="20"/>
                <w:highlight w:val="black"/>
              </w:rPr>
              <w:t>''''''''''''''''''''</w:t>
            </w:r>
          </w:p>
        </w:tc>
        <w:tc>
          <w:tcPr>
            <w:tcW w:w="1172" w:type="dxa"/>
          </w:tcPr>
          <w:p w:rsidR="00FA6E82" w:rsidRPr="00F875E6" w:rsidRDefault="00FA6E82" w:rsidP="00856C71">
            <w:pPr>
              <w:pStyle w:val="ListParagraph"/>
              <w:keepNext/>
              <w:widowControl/>
              <w:ind w:left="0"/>
              <w:jc w:val="right"/>
              <w:rPr>
                <w:rFonts w:ascii="Arial Narrow" w:hAnsi="Arial Narrow"/>
                <w:sz w:val="20"/>
              </w:rPr>
            </w:pPr>
            <w:r w:rsidRPr="00F875E6">
              <w:rPr>
                <w:rFonts w:ascii="Arial Narrow" w:hAnsi="Arial Narrow"/>
                <w:sz w:val="20"/>
              </w:rPr>
              <w:t>$</w:t>
            </w:r>
            <w:r w:rsidRPr="007B519D">
              <w:rPr>
                <w:rFonts w:ascii="Arial Narrow" w:hAnsi="Arial Narrow"/>
                <w:sz w:val="20"/>
              </w:rPr>
              <w:t>688.81</w:t>
            </w:r>
          </w:p>
        </w:tc>
        <w:tc>
          <w:tcPr>
            <w:tcW w:w="1225" w:type="dxa"/>
          </w:tcPr>
          <w:p w:rsidR="00FA6E82" w:rsidRPr="00F875E6" w:rsidRDefault="00FA6E82" w:rsidP="00856C71">
            <w:pPr>
              <w:pStyle w:val="ListParagraph"/>
              <w:keepNext/>
              <w:widowControl/>
              <w:ind w:left="0"/>
              <w:jc w:val="right"/>
              <w:rPr>
                <w:rFonts w:ascii="Arial Narrow" w:hAnsi="Arial Narrow"/>
                <w:b/>
                <w:snapToGrid/>
                <w:sz w:val="20"/>
              </w:rPr>
            </w:pPr>
            <w:r w:rsidRPr="00F875E6">
              <w:rPr>
                <w:rFonts w:ascii="Arial Narrow" w:hAnsi="Arial Narrow"/>
                <w:sz w:val="20"/>
              </w:rPr>
              <w:t>$</w:t>
            </w:r>
            <w:r w:rsidR="005F7A51">
              <w:rPr>
                <w:rFonts w:ascii="Arial Narrow" w:hAnsi="Arial Narrow"/>
                <w:noProof/>
                <w:color w:val="000000"/>
                <w:sz w:val="20"/>
                <w:highlight w:val="black"/>
              </w:rPr>
              <w:t>'''''''''''''''''''''''''</w:t>
            </w:r>
          </w:p>
        </w:tc>
      </w:tr>
      <w:tr w:rsidR="00FA6E82" w:rsidRPr="00F875E6" w:rsidTr="006A30D7">
        <w:tc>
          <w:tcPr>
            <w:tcW w:w="4066" w:type="dxa"/>
          </w:tcPr>
          <w:p w:rsidR="00FA6E82" w:rsidRPr="00F875E6" w:rsidRDefault="00FA6E82" w:rsidP="00856C71">
            <w:pPr>
              <w:pStyle w:val="ListParagraph"/>
              <w:keepNext/>
              <w:widowControl/>
              <w:ind w:left="0"/>
              <w:rPr>
                <w:rFonts w:ascii="Arial Narrow" w:hAnsi="Arial Narrow"/>
                <w:sz w:val="20"/>
              </w:rPr>
            </w:pPr>
            <w:r w:rsidRPr="00F875E6">
              <w:rPr>
                <w:rFonts w:ascii="Arial Narrow" w:hAnsi="Arial Narrow"/>
                <w:sz w:val="20"/>
              </w:rPr>
              <w:t>Errors corrected in the base case</w:t>
            </w:r>
          </w:p>
        </w:tc>
        <w:tc>
          <w:tcPr>
            <w:tcW w:w="1039" w:type="dxa"/>
          </w:tcPr>
          <w:p w:rsidR="00FA6E82" w:rsidRPr="00F875E6" w:rsidRDefault="00FA6E82" w:rsidP="00856C71">
            <w:pPr>
              <w:pStyle w:val="ListParagraph"/>
              <w:keepNext/>
              <w:widowControl/>
              <w:ind w:left="0"/>
              <w:jc w:val="right"/>
              <w:rPr>
                <w:rFonts w:ascii="Arial Narrow" w:hAnsi="Arial Narrow"/>
                <w:sz w:val="20"/>
              </w:rPr>
            </w:pPr>
            <w:r w:rsidRPr="00F875E6">
              <w:rPr>
                <w:rFonts w:ascii="Arial Narrow" w:hAnsi="Arial Narrow"/>
                <w:sz w:val="20"/>
              </w:rPr>
              <w:t>$</w:t>
            </w:r>
            <w:r w:rsidR="005F7A51">
              <w:rPr>
                <w:rFonts w:ascii="Arial Narrow" w:hAnsi="Arial Narrow"/>
                <w:noProof/>
                <w:color w:val="000000"/>
                <w:sz w:val="20"/>
                <w:highlight w:val="black"/>
              </w:rPr>
              <w:t>'''''''''''''''''''''</w:t>
            </w:r>
          </w:p>
        </w:tc>
        <w:tc>
          <w:tcPr>
            <w:tcW w:w="1044" w:type="dxa"/>
          </w:tcPr>
          <w:p w:rsidR="00FA6E82" w:rsidRPr="00F875E6" w:rsidRDefault="00FA6E82" w:rsidP="00856C71">
            <w:pPr>
              <w:pStyle w:val="ListParagraph"/>
              <w:keepNext/>
              <w:widowControl/>
              <w:ind w:left="0"/>
              <w:jc w:val="right"/>
              <w:rPr>
                <w:rFonts w:ascii="Arial Narrow" w:hAnsi="Arial Narrow"/>
                <w:sz w:val="20"/>
              </w:rPr>
            </w:pPr>
            <w:r w:rsidRPr="00F875E6">
              <w:rPr>
                <w:rFonts w:ascii="Arial Narrow" w:hAnsi="Arial Narrow"/>
                <w:sz w:val="20"/>
              </w:rPr>
              <w:t>$</w:t>
            </w:r>
            <w:r w:rsidR="005F7A51">
              <w:rPr>
                <w:rFonts w:ascii="Arial Narrow" w:hAnsi="Arial Narrow"/>
                <w:noProof/>
                <w:color w:val="000000"/>
                <w:sz w:val="20"/>
                <w:highlight w:val="black"/>
              </w:rPr>
              <w:t>''''''''''''''''''''</w:t>
            </w:r>
          </w:p>
        </w:tc>
        <w:tc>
          <w:tcPr>
            <w:tcW w:w="1172" w:type="dxa"/>
          </w:tcPr>
          <w:p w:rsidR="00FA6E82" w:rsidRPr="00F875E6" w:rsidRDefault="00FA6E82" w:rsidP="00856C71">
            <w:pPr>
              <w:pStyle w:val="ListParagraph"/>
              <w:keepNext/>
              <w:widowControl/>
              <w:ind w:left="0"/>
              <w:jc w:val="right"/>
              <w:rPr>
                <w:rFonts w:ascii="Arial Narrow" w:hAnsi="Arial Narrow"/>
                <w:sz w:val="20"/>
              </w:rPr>
            </w:pPr>
            <w:r w:rsidRPr="00F875E6">
              <w:rPr>
                <w:rFonts w:ascii="Arial Narrow" w:hAnsi="Arial Narrow"/>
                <w:sz w:val="20"/>
              </w:rPr>
              <w:t>$</w:t>
            </w:r>
            <w:r w:rsidRPr="007B519D">
              <w:rPr>
                <w:rFonts w:ascii="Arial Narrow" w:hAnsi="Arial Narrow"/>
                <w:sz w:val="20"/>
              </w:rPr>
              <w:t>711.49</w:t>
            </w:r>
          </w:p>
        </w:tc>
        <w:tc>
          <w:tcPr>
            <w:tcW w:w="1225" w:type="dxa"/>
          </w:tcPr>
          <w:p w:rsidR="00FA6E82" w:rsidRPr="00F875E6" w:rsidRDefault="00FA6E82" w:rsidP="00856C71">
            <w:pPr>
              <w:pStyle w:val="ListParagraph"/>
              <w:keepNext/>
              <w:widowControl/>
              <w:ind w:left="0"/>
              <w:jc w:val="right"/>
              <w:rPr>
                <w:rFonts w:ascii="Arial Narrow" w:hAnsi="Arial Narrow"/>
                <w:b/>
                <w:snapToGrid/>
                <w:sz w:val="20"/>
              </w:rPr>
            </w:pPr>
            <w:r w:rsidRPr="00F875E6">
              <w:rPr>
                <w:rFonts w:ascii="Arial Narrow" w:hAnsi="Arial Narrow"/>
                <w:sz w:val="20"/>
              </w:rPr>
              <w:t>$</w:t>
            </w:r>
            <w:r w:rsidR="005F7A51">
              <w:rPr>
                <w:rFonts w:ascii="Arial Narrow" w:hAnsi="Arial Narrow"/>
                <w:noProof/>
                <w:color w:val="000000"/>
                <w:sz w:val="20"/>
                <w:highlight w:val="black"/>
              </w:rPr>
              <w:t>'''''''''''''''''''''''''</w:t>
            </w:r>
          </w:p>
        </w:tc>
      </w:tr>
      <w:tr w:rsidR="00FA6E82" w:rsidRPr="00F875E6" w:rsidTr="006A30D7">
        <w:tc>
          <w:tcPr>
            <w:tcW w:w="4066" w:type="dxa"/>
          </w:tcPr>
          <w:p w:rsidR="00FA6E82" w:rsidRPr="00F875E6" w:rsidRDefault="00FA6E82" w:rsidP="00856C71">
            <w:pPr>
              <w:pStyle w:val="ListParagraph"/>
              <w:keepNext/>
              <w:widowControl/>
              <w:ind w:left="0"/>
              <w:rPr>
                <w:rFonts w:ascii="Arial Narrow" w:hAnsi="Arial Narrow"/>
                <w:sz w:val="20"/>
              </w:rPr>
            </w:pPr>
            <w:r w:rsidRPr="00F875E6">
              <w:rPr>
                <w:rFonts w:ascii="Arial Narrow" w:hAnsi="Arial Narrow"/>
                <w:sz w:val="20"/>
              </w:rPr>
              <w:t>Updated rates for adverse events</w:t>
            </w:r>
          </w:p>
        </w:tc>
        <w:tc>
          <w:tcPr>
            <w:tcW w:w="1039" w:type="dxa"/>
          </w:tcPr>
          <w:p w:rsidR="00FA6E82" w:rsidRPr="00F875E6" w:rsidRDefault="00FA6E82" w:rsidP="00856C71">
            <w:pPr>
              <w:pStyle w:val="ListParagraph"/>
              <w:keepNext/>
              <w:widowControl/>
              <w:ind w:left="0"/>
              <w:jc w:val="right"/>
              <w:rPr>
                <w:rFonts w:ascii="Arial Narrow" w:hAnsi="Arial Narrow"/>
                <w:sz w:val="20"/>
              </w:rPr>
            </w:pPr>
            <w:r w:rsidRPr="00F875E6">
              <w:rPr>
                <w:rFonts w:ascii="Arial Narrow" w:hAnsi="Arial Narrow"/>
                <w:sz w:val="20"/>
              </w:rPr>
              <w:t>$</w:t>
            </w:r>
            <w:r w:rsidR="005F7A51">
              <w:rPr>
                <w:rFonts w:ascii="Arial Narrow" w:hAnsi="Arial Narrow"/>
                <w:noProof/>
                <w:color w:val="000000"/>
                <w:sz w:val="20"/>
                <w:highlight w:val="black"/>
              </w:rPr>
              <w:t>''''''''''''''''''''</w:t>
            </w:r>
          </w:p>
        </w:tc>
        <w:tc>
          <w:tcPr>
            <w:tcW w:w="1044" w:type="dxa"/>
          </w:tcPr>
          <w:p w:rsidR="00FA6E82" w:rsidRPr="00F875E6" w:rsidRDefault="00FA6E82" w:rsidP="00856C71">
            <w:pPr>
              <w:pStyle w:val="ListParagraph"/>
              <w:keepNext/>
              <w:widowControl/>
              <w:ind w:left="0"/>
              <w:jc w:val="right"/>
              <w:rPr>
                <w:rFonts w:ascii="Arial Narrow" w:hAnsi="Arial Narrow"/>
                <w:sz w:val="20"/>
              </w:rPr>
            </w:pPr>
            <w:r w:rsidRPr="00F875E6">
              <w:rPr>
                <w:rFonts w:ascii="Arial Narrow" w:hAnsi="Arial Narrow"/>
                <w:sz w:val="20"/>
              </w:rPr>
              <w:t>$</w:t>
            </w:r>
            <w:r w:rsidR="005F7A51">
              <w:rPr>
                <w:rFonts w:ascii="Arial Narrow" w:hAnsi="Arial Narrow"/>
                <w:noProof/>
                <w:color w:val="000000"/>
                <w:sz w:val="20"/>
                <w:highlight w:val="black"/>
              </w:rPr>
              <w:t>''''''''''''''''''''</w:t>
            </w:r>
          </w:p>
        </w:tc>
        <w:tc>
          <w:tcPr>
            <w:tcW w:w="1172" w:type="dxa"/>
          </w:tcPr>
          <w:p w:rsidR="00FA6E82" w:rsidRPr="00F875E6" w:rsidRDefault="00FA6E82" w:rsidP="00856C71">
            <w:pPr>
              <w:pStyle w:val="ListParagraph"/>
              <w:keepNext/>
              <w:widowControl/>
              <w:ind w:left="0"/>
              <w:jc w:val="right"/>
              <w:rPr>
                <w:rFonts w:ascii="Arial Narrow" w:hAnsi="Arial Narrow"/>
                <w:sz w:val="20"/>
              </w:rPr>
            </w:pPr>
            <w:r w:rsidRPr="00F875E6">
              <w:rPr>
                <w:rFonts w:ascii="Arial Narrow" w:hAnsi="Arial Narrow"/>
                <w:sz w:val="20"/>
              </w:rPr>
              <w:t>$</w:t>
            </w:r>
            <w:r w:rsidRPr="007B519D">
              <w:rPr>
                <w:rFonts w:ascii="Arial Narrow" w:hAnsi="Arial Narrow"/>
                <w:sz w:val="20"/>
              </w:rPr>
              <w:t>903.98</w:t>
            </w:r>
          </w:p>
        </w:tc>
        <w:tc>
          <w:tcPr>
            <w:tcW w:w="1225" w:type="dxa"/>
          </w:tcPr>
          <w:p w:rsidR="00FA6E82" w:rsidRPr="00F875E6" w:rsidRDefault="00FA6E82" w:rsidP="00856C71">
            <w:pPr>
              <w:pStyle w:val="ListParagraph"/>
              <w:keepNext/>
              <w:widowControl/>
              <w:ind w:left="0"/>
              <w:jc w:val="right"/>
              <w:rPr>
                <w:rFonts w:ascii="Arial Narrow" w:hAnsi="Arial Narrow"/>
                <w:b/>
                <w:snapToGrid/>
                <w:sz w:val="20"/>
              </w:rPr>
            </w:pPr>
            <w:r w:rsidRPr="00F875E6">
              <w:rPr>
                <w:rFonts w:ascii="Arial Narrow" w:hAnsi="Arial Narrow"/>
                <w:sz w:val="20"/>
              </w:rPr>
              <w:t>$</w:t>
            </w:r>
            <w:r w:rsidR="005F7A51">
              <w:rPr>
                <w:rFonts w:ascii="Arial Narrow" w:hAnsi="Arial Narrow"/>
                <w:noProof/>
                <w:color w:val="000000"/>
                <w:sz w:val="20"/>
                <w:highlight w:val="black"/>
              </w:rPr>
              <w:t>'''''''''''''''''''''''</w:t>
            </w:r>
          </w:p>
        </w:tc>
      </w:tr>
    </w:tbl>
    <w:p w:rsidR="00FA6E82" w:rsidRPr="00F875E6" w:rsidRDefault="00FA6E82" w:rsidP="00856C71">
      <w:pPr>
        <w:pStyle w:val="TableFooter"/>
        <w:keepNext/>
        <w:widowControl/>
        <w:ind w:left="720"/>
      </w:pPr>
      <w:r w:rsidRPr="00F875E6">
        <w:t>Source: Ponatinib_PBAC_March2015_SectionD.xlsx, calculated during evaluation.</w:t>
      </w:r>
    </w:p>
    <w:p w:rsidR="00FA6E82" w:rsidRPr="00F875E6" w:rsidRDefault="00FA6E82" w:rsidP="00856C71">
      <w:pPr>
        <w:pStyle w:val="TableFooter"/>
        <w:keepNext/>
        <w:widowControl/>
        <w:ind w:left="720"/>
      </w:pPr>
      <w:r w:rsidRPr="00F875E6">
        <w:t>AE = adverse event; DPMQ = dispensed price, maximum quantity; italics = correction made during evaluation.</w:t>
      </w:r>
    </w:p>
    <w:p w:rsidR="00773548" w:rsidRPr="00F875E6" w:rsidRDefault="00773548" w:rsidP="00856C71">
      <w:pPr>
        <w:pStyle w:val="TableFooter"/>
        <w:keepNext/>
        <w:widowControl/>
        <w:ind w:left="720"/>
      </w:pPr>
    </w:p>
    <w:p w:rsidR="00773548" w:rsidRPr="00F875E6" w:rsidRDefault="00773548" w:rsidP="00773548">
      <w:pPr>
        <w:numPr>
          <w:ilvl w:val="1"/>
          <w:numId w:val="4"/>
        </w:numPr>
        <w:contextualSpacing/>
        <w:rPr>
          <w:bCs/>
          <w:szCs w:val="22"/>
          <w:lang w:val="en-GB"/>
        </w:rPr>
      </w:pPr>
      <w:r w:rsidRPr="00F875E6">
        <w:rPr>
          <w:bCs/>
          <w:szCs w:val="22"/>
          <w:lang w:val="en-GB"/>
        </w:rPr>
        <w:t>The PBAC considered it reasonable to include pleural effusions as well as vascular occlusions in the economic model. However, the PBAC noted the following issues:</w:t>
      </w:r>
    </w:p>
    <w:p w:rsidR="00773548" w:rsidRPr="00F875E6" w:rsidRDefault="00773548" w:rsidP="00773548">
      <w:pPr>
        <w:pStyle w:val="ListParagraph"/>
        <w:widowControl/>
        <w:numPr>
          <w:ilvl w:val="0"/>
          <w:numId w:val="28"/>
        </w:numPr>
        <w:tabs>
          <w:tab w:val="clear" w:pos="360"/>
          <w:tab w:val="num" w:pos="993"/>
        </w:tabs>
        <w:ind w:left="993"/>
        <w:rPr>
          <w:szCs w:val="22"/>
        </w:rPr>
      </w:pPr>
      <w:r w:rsidRPr="00F875E6">
        <w:rPr>
          <w:szCs w:val="22"/>
        </w:rPr>
        <w:t>the costs of treatments for major toxicities and the distributions of these costs across different grades of toxicity, were not well justified by the resubmission and were therefore uncertain. The PBAC noted that that the percentage distribution of vascular occlusion events for patients receiving dasatinib and nilotinib was the same as observed for ponatinib, which is an unsupported assumption. This could favour ponatinib.</w:t>
      </w:r>
    </w:p>
    <w:p w:rsidR="00366451" w:rsidRPr="00F875E6" w:rsidRDefault="00773548" w:rsidP="00773548">
      <w:pPr>
        <w:pStyle w:val="ListParagraph"/>
        <w:widowControl/>
        <w:numPr>
          <w:ilvl w:val="0"/>
          <w:numId w:val="28"/>
        </w:numPr>
        <w:tabs>
          <w:tab w:val="clear" w:pos="360"/>
          <w:tab w:val="num" w:pos="993"/>
        </w:tabs>
        <w:ind w:left="993"/>
        <w:rPr>
          <w:szCs w:val="22"/>
        </w:rPr>
      </w:pPr>
      <w:r w:rsidRPr="00F875E6">
        <w:rPr>
          <w:szCs w:val="22"/>
        </w:rPr>
        <w:t xml:space="preserve">the resubmission selected and compared studies with different follow-up lengths to estimate the average rate of pleural effusions and vascular occlusive events for ponatinib, dasatinib and nilotinib. The PBAC considered that the percentage of patients experiencing a severe adverse event is time dependent and it cannot be assumed that adverse events, even of similar nature, will occur at the same rate. </w:t>
      </w:r>
    </w:p>
    <w:p w:rsidR="00366451" w:rsidRPr="00F875E6" w:rsidRDefault="00366451" w:rsidP="00366451">
      <w:pPr>
        <w:pStyle w:val="ListParagraph"/>
        <w:widowControl/>
        <w:ind w:left="993"/>
        <w:rPr>
          <w:szCs w:val="22"/>
        </w:rPr>
      </w:pPr>
    </w:p>
    <w:p w:rsidR="00773548" w:rsidRPr="00F875E6" w:rsidRDefault="00773548" w:rsidP="002A0F5C">
      <w:pPr>
        <w:numPr>
          <w:ilvl w:val="1"/>
          <w:numId w:val="4"/>
        </w:numPr>
        <w:contextualSpacing/>
        <w:rPr>
          <w:szCs w:val="22"/>
        </w:rPr>
      </w:pPr>
      <w:r w:rsidRPr="00F875E6">
        <w:rPr>
          <w:szCs w:val="22"/>
        </w:rPr>
        <w:t>In the absence of independently verified estimates of rates of serious adverse events of interest (i.e. vascular occlusions and pleural effusions) per unit time, the PBAC considered the approach of the evaluation</w:t>
      </w:r>
      <w:r w:rsidR="002A0F5C" w:rsidRPr="00F875E6">
        <w:rPr>
          <w:szCs w:val="22"/>
        </w:rPr>
        <w:t xml:space="preserve"> (‘Updated rates for adverse events’ in the table above)</w:t>
      </w:r>
      <w:r w:rsidRPr="00F875E6">
        <w:rPr>
          <w:szCs w:val="22"/>
        </w:rPr>
        <w:t xml:space="preserve"> was more appropriate than that proposed in the submission. While noting that the evaluation approach did not result in a major change in the price of drug based on cost-minimisation, it did appropriately reflect the anticipated difference in costs for adverse events between the drugs.</w:t>
      </w:r>
    </w:p>
    <w:p w:rsidR="00773548" w:rsidRPr="00F875E6" w:rsidRDefault="00773548" w:rsidP="00856C71">
      <w:pPr>
        <w:pStyle w:val="TableFooter"/>
        <w:keepNext/>
        <w:widowControl/>
        <w:ind w:left="720"/>
        <w:rPr>
          <w:i/>
        </w:rPr>
      </w:pPr>
    </w:p>
    <w:p w:rsidR="00FA6E82" w:rsidRPr="00F875E6" w:rsidRDefault="00FA6E82" w:rsidP="00FA6E82">
      <w:pPr>
        <w:widowControl/>
        <w:rPr>
          <w:szCs w:val="22"/>
        </w:rPr>
      </w:pPr>
    </w:p>
    <w:p w:rsidR="00FA6E82" w:rsidRPr="00F875E6" w:rsidRDefault="00FA6E82" w:rsidP="00FA6E82">
      <w:pPr>
        <w:pStyle w:val="Heading2"/>
        <w:rPr>
          <w:i/>
          <w:szCs w:val="22"/>
        </w:rPr>
      </w:pPr>
      <w:bookmarkStart w:id="14" w:name="_Toc419470604"/>
      <w:r w:rsidRPr="00F875E6">
        <w:rPr>
          <w:i/>
        </w:rPr>
        <w:t>Drug cost/patient/month: $</w:t>
      </w:r>
      <w:r w:rsidR="005F7A51">
        <w:rPr>
          <w:i/>
          <w:noProof/>
          <w:color w:val="000000"/>
          <w:highlight w:val="black"/>
        </w:rPr>
        <w:t>''''''''''''''''</w:t>
      </w:r>
      <w:r w:rsidRPr="00F875E6">
        <w:rPr>
          <w:i/>
        </w:rPr>
        <w:t>.</w:t>
      </w:r>
      <w:bookmarkEnd w:id="14"/>
    </w:p>
    <w:p w:rsidR="00FA6E82" w:rsidRPr="00F875E6" w:rsidRDefault="00FA6E82" w:rsidP="00FA6E82">
      <w:pPr>
        <w:widowControl/>
        <w:rPr>
          <w:i/>
        </w:rPr>
      </w:pPr>
    </w:p>
    <w:p w:rsidR="00EC65F4" w:rsidRPr="00F875E6" w:rsidRDefault="00B64CE2" w:rsidP="00FA6E82">
      <w:pPr>
        <w:pStyle w:val="ListParagraph"/>
        <w:widowControl/>
        <w:numPr>
          <w:ilvl w:val="1"/>
          <w:numId w:val="4"/>
        </w:numPr>
      </w:pPr>
      <w:r w:rsidRPr="00F875E6">
        <w:rPr>
          <w:szCs w:val="22"/>
        </w:rPr>
        <w:t>The drug cost per patient per month was $</w:t>
      </w:r>
      <w:r w:rsidR="005F7A51">
        <w:rPr>
          <w:noProof/>
          <w:color w:val="000000"/>
          <w:szCs w:val="22"/>
          <w:highlight w:val="black"/>
        </w:rPr>
        <w:t>'''''''''''''''''''''</w:t>
      </w:r>
      <w:r w:rsidR="00E06C1A" w:rsidRPr="00F875E6">
        <w:rPr>
          <w:szCs w:val="22"/>
        </w:rPr>
        <w:t xml:space="preserve">, </w:t>
      </w:r>
      <w:r w:rsidR="00EC65F4" w:rsidRPr="00F875E6">
        <w:rPr>
          <w:szCs w:val="22"/>
        </w:rPr>
        <w:t>assuming:</w:t>
      </w:r>
    </w:p>
    <w:p w:rsidR="00EC65F4" w:rsidRPr="00F875E6" w:rsidRDefault="00E06C1A" w:rsidP="00E74A9B">
      <w:pPr>
        <w:pStyle w:val="ListParagraph"/>
        <w:widowControl/>
        <w:numPr>
          <w:ilvl w:val="0"/>
          <w:numId w:val="42"/>
        </w:numPr>
        <w:ind w:left="1134" w:hanging="425"/>
      </w:pPr>
      <w:r w:rsidRPr="00F875E6">
        <w:rPr>
          <w:szCs w:val="22"/>
        </w:rPr>
        <w:t xml:space="preserve">the adverse event rates were updated </w:t>
      </w:r>
      <w:r w:rsidR="00846C49" w:rsidRPr="00F875E6">
        <w:rPr>
          <w:szCs w:val="22"/>
        </w:rPr>
        <w:t xml:space="preserve">using studies </w:t>
      </w:r>
      <w:r w:rsidRPr="00F875E6">
        <w:rPr>
          <w:szCs w:val="22"/>
        </w:rPr>
        <w:t xml:space="preserve">with </w:t>
      </w:r>
      <w:r w:rsidR="00846C49" w:rsidRPr="00F875E6">
        <w:rPr>
          <w:szCs w:val="22"/>
        </w:rPr>
        <w:t xml:space="preserve">follow-up </w:t>
      </w:r>
      <w:r w:rsidRPr="00F875E6">
        <w:rPr>
          <w:szCs w:val="22"/>
        </w:rPr>
        <w:t>duration</w:t>
      </w:r>
      <w:r w:rsidR="00B2179C" w:rsidRPr="00F875E6">
        <w:rPr>
          <w:szCs w:val="22"/>
        </w:rPr>
        <w:t xml:space="preserve"> similar to the PACE study</w:t>
      </w:r>
      <w:r w:rsidR="00EC65F4" w:rsidRPr="00F875E6">
        <w:rPr>
          <w:szCs w:val="22"/>
        </w:rPr>
        <w:t>,</w:t>
      </w:r>
      <w:r w:rsidR="00640216" w:rsidRPr="00F875E6">
        <w:rPr>
          <w:szCs w:val="22"/>
        </w:rPr>
        <w:t xml:space="preserve"> </w:t>
      </w:r>
      <w:r w:rsidR="009F5684" w:rsidRPr="00F875E6">
        <w:rPr>
          <w:szCs w:val="22"/>
        </w:rPr>
        <w:t xml:space="preserve"> </w:t>
      </w:r>
    </w:p>
    <w:p w:rsidR="00EC65F4" w:rsidRPr="00F875E6" w:rsidRDefault="009F5684" w:rsidP="00E74A9B">
      <w:pPr>
        <w:pStyle w:val="ListParagraph"/>
        <w:widowControl/>
        <w:numPr>
          <w:ilvl w:val="0"/>
          <w:numId w:val="42"/>
        </w:numPr>
        <w:ind w:left="1134" w:hanging="425"/>
      </w:pPr>
      <w:r w:rsidRPr="00F875E6">
        <w:rPr>
          <w:szCs w:val="22"/>
        </w:rPr>
        <w:t>a</w:t>
      </w:r>
      <w:r w:rsidR="00EC65F4" w:rsidRPr="00F875E6">
        <w:rPr>
          <w:szCs w:val="22"/>
        </w:rPr>
        <w:t xml:space="preserve"> ponatinib price per mg of $</w:t>
      </w:r>
      <w:r w:rsidR="005F7A51">
        <w:rPr>
          <w:noProof/>
          <w:color w:val="000000"/>
          <w:szCs w:val="22"/>
          <w:highlight w:val="black"/>
        </w:rPr>
        <w:t>''''''''''''</w:t>
      </w:r>
      <w:r w:rsidR="00EC65F4" w:rsidRPr="00F875E6">
        <w:rPr>
          <w:szCs w:val="22"/>
        </w:rPr>
        <w:t xml:space="preserve">, </w:t>
      </w:r>
    </w:p>
    <w:p w:rsidR="00EC65F4" w:rsidRPr="00F875E6" w:rsidRDefault="00EC65F4" w:rsidP="00E74A9B">
      <w:pPr>
        <w:pStyle w:val="ListParagraph"/>
        <w:widowControl/>
        <w:numPr>
          <w:ilvl w:val="0"/>
          <w:numId w:val="42"/>
        </w:numPr>
        <w:ind w:left="1134" w:hanging="425"/>
      </w:pPr>
      <w:r w:rsidRPr="00F875E6">
        <w:rPr>
          <w:szCs w:val="22"/>
        </w:rPr>
        <w:t xml:space="preserve">a higher price per mg for 15 mg (60 tablets) compared with 45 mg (30 tablets), </w:t>
      </w:r>
    </w:p>
    <w:p w:rsidR="00EC65F4" w:rsidRPr="00F875E6" w:rsidRDefault="00EC65F4" w:rsidP="00E74A9B">
      <w:pPr>
        <w:pStyle w:val="ListParagraph"/>
        <w:widowControl/>
        <w:numPr>
          <w:ilvl w:val="0"/>
          <w:numId w:val="42"/>
        </w:numPr>
        <w:ind w:left="1134" w:hanging="425"/>
      </w:pPr>
      <w:r w:rsidRPr="00F875E6">
        <w:rPr>
          <w:szCs w:val="22"/>
        </w:rPr>
        <w:t xml:space="preserve">a 70:30 split for ponatinib 15 mg (60 tablets) and 45 mg (30 tablets), and </w:t>
      </w:r>
    </w:p>
    <w:p w:rsidR="00EC65F4" w:rsidRPr="00F875E6" w:rsidRDefault="00EC65F4" w:rsidP="00E74A9B">
      <w:pPr>
        <w:pStyle w:val="ListParagraph"/>
        <w:widowControl/>
        <w:numPr>
          <w:ilvl w:val="0"/>
          <w:numId w:val="42"/>
        </w:numPr>
        <w:ind w:left="1134" w:hanging="425"/>
      </w:pPr>
      <w:r w:rsidRPr="00F875E6">
        <w:rPr>
          <w:szCs w:val="22"/>
        </w:rPr>
        <w:t>a</w:t>
      </w:r>
      <w:r w:rsidR="009F5684" w:rsidRPr="00F875E6">
        <w:rPr>
          <w:szCs w:val="22"/>
        </w:rPr>
        <w:t>n equi-effective dose of 30.2 mg per day</w:t>
      </w:r>
      <w:r w:rsidRPr="00F875E6">
        <w:rPr>
          <w:szCs w:val="22"/>
        </w:rPr>
        <w:t xml:space="preserve"> (see Table 9)</w:t>
      </w:r>
      <w:r w:rsidR="00B64CE2" w:rsidRPr="00F875E6">
        <w:rPr>
          <w:szCs w:val="22"/>
        </w:rPr>
        <w:t xml:space="preserve">. </w:t>
      </w:r>
    </w:p>
    <w:p w:rsidR="00EC65F4" w:rsidRPr="00F875E6" w:rsidRDefault="00EC65F4" w:rsidP="00E74A9B">
      <w:pPr>
        <w:pStyle w:val="ListParagraph"/>
        <w:widowControl/>
        <w:ind w:left="1134"/>
      </w:pPr>
    </w:p>
    <w:p w:rsidR="00472359" w:rsidRPr="00F875E6" w:rsidRDefault="005A19D8" w:rsidP="00E74A9B">
      <w:pPr>
        <w:widowControl/>
        <w:ind w:left="709"/>
        <w:rPr>
          <w:szCs w:val="22"/>
        </w:rPr>
      </w:pPr>
      <w:r w:rsidRPr="00F875E6">
        <w:rPr>
          <w:szCs w:val="22"/>
        </w:rPr>
        <w:t xml:space="preserve">For CML patients the treatment is continuous, provided that the patient has a </w:t>
      </w:r>
      <w:r w:rsidR="00F34B9F" w:rsidRPr="00F875E6">
        <w:rPr>
          <w:szCs w:val="22"/>
        </w:rPr>
        <w:t xml:space="preserve">continued </w:t>
      </w:r>
      <w:r w:rsidRPr="00F875E6">
        <w:rPr>
          <w:szCs w:val="22"/>
        </w:rPr>
        <w:t xml:space="preserve">major cytogenetic response. For patients with ALL treatment continues until disease progression. </w:t>
      </w:r>
    </w:p>
    <w:p w:rsidR="003409CE" w:rsidRPr="00F875E6" w:rsidRDefault="003409CE" w:rsidP="00E74A9B">
      <w:pPr>
        <w:widowControl/>
        <w:ind w:left="709"/>
      </w:pPr>
    </w:p>
    <w:p w:rsidR="00B60939" w:rsidRPr="00F875E6" w:rsidRDefault="003409CE" w:rsidP="003409CE">
      <w:pPr>
        <w:pStyle w:val="ListParagraph"/>
        <w:widowControl/>
        <w:numPr>
          <w:ilvl w:val="1"/>
          <w:numId w:val="4"/>
        </w:numPr>
        <w:rPr>
          <w:szCs w:val="22"/>
        </w:rPr>
      </w:pPr>
      <w:r w:rsidRPr="00F875E6">
        <w:rPr>
          <w:szCs w:val="22"/>
        </w:rPr>
        <w:t>The PBAC considered these assumptions to be appropriate</w:t>
      </w:r>
      <w:r w:rsidR="00A143F9" w:rsidRPr="00F875E6">
        <w:rPr>
          <w:szCs w:val="22"/>
        </w:rPr>
        <w:t>, but noted that the drug cost per month would be lower, using the calculation method preferred by the PBAC.</w:t>
      </w:r>
    </w:p>
    <w:p w:rsidR="003409CE" w:rsidRDefault="003409CE" w:rsidP="003409CE">
      <w:pPr>
        <w:widowControl/>
        <w:rPr>
          <w:szCs w:val="22"/>
        </w:rPr>
      </w:pPr>
    </w:p>
    <w:p w:rsidR="00D164FD" w:rsidRPr="00F875E6" w:rsidRDefault="00D164FD" w:rsidP="003409CE">
      <w:pPr>
        <w:widowControl/>
        <w:rPr>
          <w:szCs w:val="22"/>
        </w:rPr>
      </w:pPr>
    </w:p>
    <w:p w:rsidR="00B60939" w:rsidRPr="00F875E6" w:rsidRDefault="00B60939" w:rsidP="00D164FD">
      <w:pPr>
        <w:pStyle w:val="Heading2"/>
        <w:keepNext/>
        <w:rPr>
          <w:i/>
        </w:rPr>
      </w:pPr>
      <w:bookmarkStart w:id="15" w:name="_Toc419470605"/>
      <w:r w:rsidRPr="00F875E6">
        <w:rPr>
          <w:i/>
        </w:rPr>
        <w:t>Estimated PBS usage &amp; financial implications</w:t>
      </w:r>
      <w:bookmarkEnd w:id="15"/>
    </w:p>
    <w:p w:rsidR="00B60939" w:rsidRPr="00F875E6" w:rsidRDefault="00B60939" w:rsidP="00D164FD">
      <w:pPr>
        <w:keepNext/>
      </w:pPr>
    </w:p>
    <w:p w:rsidR="004D5B3F" w:rsidRPr="00F875E6" w:rsidRDefault="00C25D9C" w:rsidP="00792B70">
      <w:pPr>
        <w:pStyle w:val="ListParagraph"/>
        <w:widowControl/>
        <w:numPr>
          <w:ilvl w:val="1"/>
          <w:numId w:val="4"/>
        </w:numPr>
        <w:rPr>
          <w:szCs w:val="22"/>
        </w:rPr>
      </w:pPr>
      <w:r w:rsidRPr="00F875E6">
        <w:t xml:space="preserve">This </w:t>
      </w:r>
      <w:r w:rsidR="0004231D" w:rsidRPr="00F875E6">
        <w:t>re-</w:t>
      </w:r>
      <w:r w:rsidR="002510AA" w:rsidRPr="00F875E6">
        <w:t xml:space="preserve">submission </w:t>
      </w:r>
      <w:r w:rsidR="006A305A" w:rsidRPr="00F875E6">
        <w:t>wa</w:t>
      </w:r>
      <w:r w:rsidR="002510AA" w:rsidRPr="00F875E6">
        <w:t>s not</w:t>
      </w:r>
      <w:r w:rsidRPr="00F875E6">
        <w:t xml:space="preserve"> considered by DUSC</w:t>
      </w:r>
      <w:r w:rsidR="002510AA" w:rsidRPr="00F875E6">
        <w:t>.</w:t>
      </w:r>
      <w:r w:rsidR="00E172B0" w:rsidRPr="00F875E6">
        <w:t xml:space="preserve"> </w:t>
      </w:r>
      <w:r w:rsidR="00F34B9F" w:rsidRPr="00F875E6">
        <w:t xml:space="preserve">Similar to the previous submission, the re-submission used a market share approach to estimate the utilisation and cost of ponatinib over a five-year time horizon. The re-submission addressed most of the PBAC concerns, except it did not use the DUSC’s estimates of TKI use. Further, the re-submission assumed an uptake rate of </w:t>
      </w:r>
      <w:r w:rsidR="005F7A51">
        <w:rPr>
          <w:noProof/>
          <w:color w:val="000000"/>
          <w:highlight w:val="black"/>
        </w:rPr>
        <w:t>''''''</w:t>
      </w:r>
      <w:r w:rsidR="00F34B9F" w:rsidRPr="00F875E6">
        <w:t xml:space="preserve">% in patients resistant or intolerant to imatinib plus either nilotinib plus dasatinib and a rate of </w:t>
      </w:r>
      <w:r w:rsidR="005F7A51">
        <w:rPr>
          <w:noProof/>
          <w:color w:val="000000"/>
          <w:highlight w:val="black"/>
        </w:rPr>
        <w:t>'''''''</w:t>
      </w:r>
      <w:r w:rsidR="00F34B9F" w:rsidRPr="00F875E6">
        <w:t>% in patients resistant or intolerant to imatinib plus nilotinib and dasatinib</w:t>
      </w:r>
      <w:r w:rsidR="005C1A9B" w:rsidRPr="00F875E6">
        <w:t>.</w:t>
      </w:r>
    </w:p>
    <w:p w:rsidR="00F34B9F" w:rsidRPr="00F875E6" w:rsidRDefault="00F34B9F" w:rsidP="004D5B3F">
      <w:pPr>
        <w:pStyle w:val="ListParagraph"/>
        <w:widowControl/>
      </w:pPr>
    </w:p>
    <w:p w:rsidR="00F34B9F" w:rsidRPr="00F875E6" w:rsidRDefault="00F34B9F" w:rsidP="00F34B9F">
      <w:pPr>
        <w:pStyle w:val="ListParagraph"/>
        <w:widowControl/>
        <w:numPr>
          <w:ilvl w:val="1"/>
          <w:numId w:val="4"/>
        </w:numPr>
        <w:rPr>
          <w:szCs w:val="22"/>
        </w:rPr>
      </w:pPr>
      <w:r w:rsidRPr="00F875E6">
        <w:t>Compared with the previous submission, the number of patients treated was lower and the number of packs higher in the re-submission. These were due to updated assumptions on the estimation of use and corrections on the number of scripts for ponatinib</w:t>
      </w:r>
      <w:r w:rsidR="005C1A9B" w:rsidRPr="00F875E6">
        <w:t>.</w:t>
      </w:r>
      <w:r w:rsidRPr="00F875E6">
        <w:t xml:space="preserve"> </w:t>
      </w:r>
    </w:p>
    <w:p w:rsidR="004D5B3F" w:rsidRPr="00F875E6" w:rsidRDefault="004D5B3F" w:rsidP="00E74A9B">
      <w:pPr>
        <w:pStyle w:val="ListParagraph"/>
        <w:widowControl/>
        <w:rPr>
          <w:szCs w:val="22"/>
        </w:rPr>
      </w:pPr>
    </w:p>
    <w:p w:rsidR="0004231D" w:rsidRPr="00F875E6" w:rsidRDefault="0004231D" w:rsidP="00FA6E82">
      <w:pPr>
        <w:keepNext/>
        <w:ind w:firstLine="709"/>
        <w:rPr>
          <w:rStyle w:val="CommentReference"/>
        </w:rPr>
      </w:pPr>
      <w:r w:rsidRPr="00F875E6">
        <w:rPr>
          <w:rStyle w:val="CommentReference"/>
        </w:rPr>
        <w:t xml:space="preserve">Table </w:t>
      </w:r>
      <w:r w:rsidR="008D7B61" w:rsidRPr="00F875E6">
        <w:rPr>
          <w:rStyle w:val="CommentReference"/>
        </w:rPr>
        <w:t>11</w:t>
      </w:r>
      <w:r w:rsidRPr="00F875E6">
        <w:rPr>
          <w:rStyle w:val="CommentReference"/>
        </w:rPr>
        <w:t>: Estimated use and financial implications</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52"/>
        <w:gridCol w:w="1140"/>
        <w:gridCol w:w="1133"/>
        <w:gridCol w:w="1133"/>
        <w:gridCol w:w="1135"/>
        <w:gridCol w:w="1252"/>
      </w:tblGrid>
      <w:tr w:rsidR="00B608CF" w:rsidRPr="00F875E6" w:rsidTr="00B608CF">
        <w:trPr>
          <w:tblHeader/>
        </w:trPr>
        <w:tc>
          <w:tcPr>
            <w:tcW w:w="1529" w:type="pct"/>
            <w:shd w:val="clear" w:color="auto" w:fill="auto"/>
            <w:vAlign w:val="center"/>
          </w:tcPr>
          <w:p w:rsidR="0004231D" w:rsidRPr="00F875E6" w:rsidRDefault="0004231D" w:rsidP="00FA6E82">
            <w:pPr>
              <w:keepNext/>
              <w:tabs>
                <w:tab w:val="left" w:pos="142"/>
              </w:tabs>
              <w:ind w:right="93"/>
              <w:jc w:val="left"/>
              <w:rPr>
                <w:rFonts w:ascii="Arial Narrow" w:hAnsi="Arial Narrow"/>
                <w:b/>
                <w:snapToGrid/>
                <w:sz w:val="20"/>
              </w:rPr>
            </w:pPr>
          </w:p>
        </w:tc>
        <w:tc>
          <w:tcPr>
            <w:tcW w:w="683" w:type="pct"/>
            <w:shd w:val="clear" w:color="auto" w:fill="auto"/>
            <w:vAlign w:val="center"/>
          </w:tcPr>
          <w:p w:rsidR="0004231D" w:rsidRPr="00F875E6" w:rsidRDefault="0004231D" w:rsidP="00FA6E82">
            <w:pPr>
              <w:keepNext/>
              <w:ind w:right="93"/>
              <w:jc w:val="center"/>
              <w:rPr>
                <w:rFonts w:ascii="Arial Narrow" w:hAnsi="Arial Narrow"/>
                <w:b/>
                <w:snapToGrid/>
                <w:sz w:val="20"/>
              </w:rPr>
            </w:pPr>
            <w:r w:rsidRPr="00F875E6">
              <w:rPr>
                <w:rFonts w:ascii="Arial Narrow" w:hAnsi="Arial Narrow"/>
                <w:b/>
                <w:sz w:val="20"/>
              </w:rPr>
              <w:t>Year 1</w:t>
            </w:r>
          </w:p>
        </w:tc>
        <w:tc>
          <w:tcPr>
            <w:tcW w:w="679" w:type="pct"/>
            <w:shd w:val="clear" w:color="auto" w:fill="auto"/>
            <w:vAlign w:val="center"/>
          </w:tcPr>
          <w:p w:rsidR="0004231D" w:rsidRPr="00F875E6" w:rsidRDefault="0004231D" w:rsidP="00FA6E82">
            <w:pPr>
              <w:keepNext/>
              <w:ind w:right="93"/>
              <w:jc w:val="center"/>
              <w:rPr>
                <w:rFonts w:ascii="Arial Narrow" w:hAnsi="Arial Narrow"/>
                <w:b/>
                <w:snapToGrid/>
                <w:sz w:val="20"/>
              </w:rPr>
            </w:pPr>
            <w:r w:rsidRPr="00F875E6">
              <w:rPr>
                <w:rFonts w:ascii="Arial Narrow" w:hAnsi="Arial Narrow"/>
                <w:b/>
                <w:sz w:val="20"/>
              </w:rPr>
              <w:t>Year 2</w:t>
            </w:r>
          </w:p>
        </w:tc>
        <w:tc>
          <w:tcPr>
            <w:tcW w:w="679" w:type="pct"/>
            <w:shd w:val="clear" w:color="auto" w:fill="auto"/>
            <w:vAlign w:val="center"/>
          </w:tcPr>
          <w:p w:rsidR="0004231D" w:rsidRPr="00F875E6" w:rsidRDefault="0004231D" w:rsidP="00FA6E82">
            <w:pPr>
              <w:keepNext/>
              <w:ind w:right="93"/>
              <w:jc w:val="center"/>
              <w:rPr>
                <w:rFonts w:ascii="Arial Narrow" w:hAnsi="Arial Narrow"/>
                <w:b/>
                <w:snapToGrid/>
                <w:sz w:val="20"/>
              </w:rPr>
            </w:pPr>
            <w:r w:rsidRPr="00F875E6">
              <w:rPr>
                <w:rFonts w:ascii="Arial Narrow" w:hAnsi="Arial Narrow"/>
                <w:b/>
                <w:sz w:val="20"/>
              </w:rPr>
              <w:t>Year 3</w:t>
            </w:r>
          </w:p>
        </w:tc>
        <w:tc>
          <w:tcPr>
            <w:tcW w:w="680" w:type="pct"/>
            <w:shd w:val="clear" w:color="auto" w:fill="auto"/>
            <w:vAlign w:val="center"/>
          </w:tcPr>
          <w:p w:rsidR="0004231D" w:rsidRPr="00F875E6" w:rsidRDefault="0004231D" w:rsidP="00FA6E82">
            <w:pPr>
              <w:keepNext/>
              <w:ind w:right="93"/>
              <w:jc w:val="center"/>
              <w:rPr>
                <w:rFonts w:ascii="Arial Narrow" w:hAnsi="Arial Narrow"/>
                <w:b/>
                <w:snapToGrid/>
                <w:sz w:val="20"/>
              </w:rPr>
            </w:pPr>
            <w:r w:rsidRPr="00F875E6">
              <w:rPr>
                <w:rFonts w:ascii="Arial Narrow" w:hAnsi="Arial Narrow"/>
                <w:b/>
                <w:sz w:val="20"/>
              </w:rPr>
              <w:t>Year 4</w:t>
            </w:r>
          </w:p>
        </w:tc>
        <w:tc>
          <w:tcPr>
            <w:tcW w:w="750" w:type="pct"/>
            <w:shd w:val="clear" w:color="auto" w:fill="auto"/>
            <w:vAlign w:val="center"/>
          </w:tcPr>
          <w:p w:rsidR="0004231D" w:rsidRPr="00F875E6" w:rsidRDefault="0004231D" w:rsidP="00FA6E82">
            <w:pPr>
              <w:keepNext/>
              <w:ind w:right="93"/>
              <w:jc w:val="center"/>
              <w:rPr>
                <w:rFonts w:ascii="Arial Narrow" w:hAnsi="Arial Narrow"/>
                <w:b/>
                <w:snapToGrid/>
                <w:sz w:val="20"/>
              </w:rPr>
            </w:pPr>
            <w:r w:rsidRPr="00F875E6">
              <w:rPr>
                <w:rFonts w:ascii="Arial Narrow" w:hAnsi="Arial Narrow"/>
                <w:b/>
                <w:sz w:val="20"/>
              </w:rPr>
              <w:t>Year 5</w:t>
            </w:r>
          </w:p>
        </w:tc>
      </w:tr>
      <w:tr w:rsidR="0004231D" w:rsidRPr="00F875E6" w:rsidTr="00B608CF">
        <w:tc>
          <w:tcPr>
            <w:tcW w:w="5000" w:type="pct"/>
            <w:gridSpan w:val="6"/>
            <w:shd w:val="clear" w:color="auto" w:fill="auto"/>
            <w:vAlign w:val="center"/>
          </w:tcPr>
          <w:p w:rsidR="0004231D" w:rsidRPr="00F875E6" w:rsidRDefault="0004231D" w:rsidP="00577717">
            <w:pPr>
              <w:ind w:right="93"/>
              <w:jc w:val="left"/>
              <w:rPr>
                <w:rFonts w:ascii="Arial Narrow" w:hAnsi="Arial Narrow"/>
                <w:b/>
                <w:bCs/>
                <w:color w:val="000000"/>
                <w:sz w:val="20"/>
              </w:rPr>
            </w:pPr>
            <w:r w:rsidRPr="00F875E6">
              <w:rPr>
                <w:rFonts w:ascii="Arial Narrow" w:hAnsi="Arial Narrow"/>
                <w:b/>
                <w:bCs/>
                <w:color w:val="000000"/>
                <w:sz w:val="20"/>
              </w:rPr>
              <w:t>Estimated extent of use</w:t>
            </w:r>
          </w:p>
        </w:tc>
      </w:tr>
      <w:tr w:rsidR="00B608CF" w:rsidRPr="00F875E6" w:rsidTr="00B608CF">
        <w:tc>
          <w:tcPr>
            <w:tcW w:w="1529" w:type="pct"/>
            <w:shd w:val="clear" w:color="auto" w:fill="auto"/>
            <w:vAlign w:val="center"/>
          </w:tcPr>
          <w:p w:rsidR="0004231D" w:rsidRPr="00F875E6" w:rsidRDefault="0004231D" w:rsidP="00577717">
            <w:pPr>
              <w:tabs>
                <w:tab w:val="left" w:pos="142"/>
              </w:tabs>
              <w:ind w:right="93"/>
              <w:jc w:val="left"/>
              <w:rPr>
                <w:rFonts w:ascii="Arial Narrow" w:hAnsi="Arial Narrow"/>
                <w:sz w:val="20"/>
              </w:rPr>
            </w:pPr>
            <w:r w:rsidRPr="00F875E6">
              <w:rPr>
                <w:rFonts w:ascii="Arial Narrow" w:hAnsi="Arial Narrow"/>
                <w:sz w:val="20"/>
              </w:rPr>
              <w:t>Number treated</w:t>
            </w:r>
          </w:p>
        </w:tc>
        <w:tc>
          <w:tcPr>
            <w:tcW w:w="683" w:type="pct"/>
            <w:shd w:val="clear" w:color="auto" w:fill="auto"/>
            <w:vAlign w:val="center"/>
          </w:tcPr>
          <w:p w:rsidR="0004231D" w:rsidRPr="005F7A51" w:rsidRDefault="005F7A51" w:rsidP="00577717">
            <w:pPr>
              <w:ind w:right="93"/>
              <w:jc w:val="center"/>
              <w:rPr>
                <w:rFonts w:ascii="Arial Narrow" w:hAnsi="Arial Narrow"/>
                <w:b/>
                <w:bCs/>
                <w:i/>
                <w:sz w:val="20"/>
                <w:highlight w:val="black"/>
              </w:rPr>
            </w:pPr>
            <w:r>
              <w:rPr>
                <w:rStyle w:val="CommentReference"/>
                <w:b w:val="0"/>
                <w:i/>
                <w:noProof/>
                <w:color w:val="000000"/>
                <w:highlight w:val="black"/>
              </w:rPr>
              <w:t>'''''''''</w:t>
            </w:r>
          </w:p>
        </w:tc>
        <w:tc>
          <w:tcPr>
            <w:tcW w:w="679" w:type="pct"/>
            <w:shd w:val="clear" w:color="auto" w:fill="auto"/>
            <w:vAlign w:val="center"/>
          </w:tcPr>
          <w:p w:rsidR="0004231D" w:rsidRPr="005F7A51" w:rsidRDefault="005F7A51" w:rsidP="00577717">
            <w:pPr>
              <w:ind w:right="93"/>
              <w:jc w:val="center"/>
              <w:rPr>
                <w:rFonts w:ascii="Arial Narrow" w:hAnsi="Arial Narrow"/>
                <w:b/>
                <w:bCs/>
                <w:i/>
                <w:sz w:val="20"/>
                <w:highlight w:val="black"/>
              </w:rPr>
            </w:pPr>
            <w:r>
              <w:rPr>
                <w:rStyle w:val="CommentReference"/>
                <w:b w:val="0"/>
                <w:i/>
                <w:noProof/>
                <w:color w:val="000000"/>
                <w:highlight w:val="black"/>
              </w:rPr>
              <w:t>''''''''''</w:t>
            </w:r>
          </w:p>
        </w:tc>
        <w:tc>
          <w:tcPr>
            <w:tcW w:w="679" w:type="pct"/>
            <w:shd w:val="clear" w:color="auto" w:fill="auto"/>
            <w:vAlign w:val="center"/>
          </w:tcPr>
          <w:p w:rsidR="0004231D" w:rsidRPr="005F7A51" w:rsidRDefault="005F7A51" w:rsidP="00577717">
            <w:pPr>
              <w:ind w:right="93"/>
              <w:jc w:val="center"/>
              <w:rPr>
                <w:rFonts w:ascii="Arial Narrow" w:hAnsi="Arial Narrow"/>
                <w:b/>
                <w:bCs/>
                <w:i/>
                <w:sz w:val="20"/>
                <w:highlight w:val="black"/>
              </w:rPr>
            </w:pPr>
            <w:r>
              <w:rPr>
                <w:rStyle w:val="CommentReference"/>
                <w:b w:val="0"/>
                <w:i/>
                <w:noProof/>
                <w:color w:val="000000"/>
                <w:highlight w:val="black"/>
              </w:rPr>
              <w:t>''''''''</w:t>
            </w:r>
          </w:p>
        </w:tc>
        <w:tc>
          <w:tcPr>
            <w:tcW w:w="680" w:type="pct"/>
            <w:shd w:val="clear" w:color="auto" w:fill="auto"/>
            <w:vAlign w:val="center"/>
          </w:tcPr>
          <w:p w:rsidR="0004231D" w:rsidRPr="005F7A51" w:rsidRDefault="005F7A51" w:rsidP="00577717">
            <w:pPr>
              <w:ind w:right="93"/>
              <w:jc w:val="center"/>
              <w:rPr>
                <w:rFonts w:ascii="Arial Narrow" w:hAnsi="Arial Narrow"/>
                <w:b/>
                <w:bCs/>
                <w:i/>
                <w:sz w:val="20"/>
                <w:highlight w:val="black"/>
              </w:rPr>
            </w:pPr>
            <w:r>
              <w:rPr>
                <w:rStyle w:val="CommentReference"/>
                <w:b w:val="0"/>
                <w:i/>
                <w:noProof/>
                <w:color w:val="000000"/>
                <w:highlight w:val="black"/>
              </w:rPr>
              <w:t>'''''''''</w:t>
            </w:r>
          </w:p>
        </w:tc>
        <w:tc>
          <w:tcPr>
            <w:tcW w:w="750" w:type="pct"/>
            <w:shd w:val="clear" w:color="auto" w:fill="auto"/>
            <w:vAlign w:val="center"/>
          </w:tcPr>
          <w:p w:rsidR="0004231D" w:rsidRPr="005F7A51" w:rsidRDefault="005F7A51" w:rsidP="00577717">
            <w:pPr>
              <w:ind w:right="93"/>
              <w:jc w:val="center"/>
              <w:rPr>
                <w:rFonts w:ascii="Arial Narrow" w:hAnsi="Arial Narrow"/>
                <w:b/>
                <w:bCs/>
                <w:i/>
                <w:sz w:val="20"/>
                <w:highlight w:val="black"/>
              </w:rPr>
            </w:pPr>
            <w:r>
              <w:rPr>
                <w:rStyle w:val="CommentReference"/>
                <w:b w:val="0"/>
                <w:i/>
                <w:noProof/>
                <w:color w:val="000000"/>
                <w:highlight w:val="black"/>
              </w:rPr>
              <w:t>''''''''</w:t>
            </w:r>
          </w:p>
        </w:tc>
      </w:tr>
      <w:tr w:rsidR="00B608CF" w:rsidRPr="00F875E6" w:rsidTr="00B608CF">
        <w:tc>
          <w:tcPr>
            <w:tcW w:w="1529" w:type="pct"/>
            <w:shd w:val="clear" w:color="auto" w:fill="auto"/>
            <w:vAlign w:val="center"/>
          </w:tcPr>
          <w:p w:rsidR="0004231D" w:rsidRPr="00F875E6" w:rsidRDefault="0004231D" w:rsidP="0075606F">
            <w:pPr>
              <w:tabs>
                <w:tab w:val="left" w:pos="142"/>
              </w:tabs>
              <w:ind w:right="93"/>
              <w:jc w:val="left"/>
              <w:rPr>
                <w:rFonts w:ascii="Arial Narrow" w:hAnsi="Arial Narrow"/>
                <w:sz w:val="20"/>
              </w:rPr>
            </w:pPr>
            <w:r w:rsidRPr="00F875E6">
              <w:rPr>
                <w:rFonts w:ascii="Arial Narrow" w:hAnsi="Arial Narrow"/>
                <w:sz w:val="20"/>
              </w:rPr>
              <w:t>Number treated - Nov 201</w:t>
            </w:r>
            <w:r w:rsidR="0075606F" w:rsidRPr="00F875E6">
              <w:rPr>
                <w:rFonts w:ascii="Arial Narrow" w:hAnsi="Arial Narrow"/>
                <w:sz w:val="20"/>
              </w:rPr>
              <w:t>4</w:t>
            </w:r>
          </w:p>
        </w:tc>
        <w:tc>
          <w:tcPr>
            <w:tcW w:w="683" w:type="pct"/>
            <w:shd w:val="clear" w:color="auto" w:fill="auto"/>
            <w:vAlign w:val="center"/>
          </w:tcPr>
          <w:p w:rsidR="0004231D" w:rsidRPr="005F7A51" w:rsidRDefault="005F7A51" w:rsidP="00577717">
            <w:pPr>
              <w:ind w:right="93"/>
              <w:jc w:val="center"/>
              <w:rPr>
                <w:rFonts w:ascii="Arial Narrow" w:hAnsi="Arial Narrow"/>
                <w:bCs/>
                <w:sz w:val="20"/>
                <w:highlight w:val="black"/>
              </w:rPr>
            </w:pPr>
            <w:r>
              <w:rPr>
                <w:rFonts w:ascii="Arial Narrow" w:eastAsia="SimSun" w:hAnsi="Arial Narrow"/>
                <w:bCs/>
                <w:noProof/>
                <w:color w:val="000000"/>
                <w:sz w:val="20"/>
                <w:highlight w:val="black"/>
                <w:lang w:eastAsia="en-AU"/>
              </w:rPr>
              <w:t>'''''''''</w:t>
            </w:r>
          </w:p>
        </w:tc>
        <w:tc>
          <w:tcPr>
            <w:tcW w:w="679" w:type="pct"/>
            <w:shd w:val="clear" w:color="auto" w:fill="auto"/>
            <w:vAlign w:val="center"/>
          </w:tcPr>
          <w:p w:rsidR="0004231D" w:rsidRPr="005F7A51" w:rsidRDefault="005F7A51" w:rsidP="00577717">
            <w:pPr>
              <w:ind w:right="93"/>
              <w:jc w:val="center"/>
              <w:rPr>
                <w:rFonts w:ascii="Arial Narrow" w:hAnsi="Arial Narrow"/>
                <w:bCs/>
                <w:sz w:val="20"/>
                <w:highlight w:val="black"/>
              </w:rPr>
            </w:pPr>
            <w:r>
              <w:rPr>
                <w:rFonts w:ascii="Arial Narrow" w:eastAsia="SimSun" w:hAnsi="Arial Narrow"/>
                <w:bCs/>
                <w:noProof/>
                <w:color w:val="000000"/>
                <w:sz w:val="20"/>
                <w:highlight w:val="black"/>
                <w:lang w:eastAsia="en-AU"/>
              </w:rPr>
              <w:t>''''''''''</w:t>
            </w:r>
          </w:p>
        </w:tc>
        <w:tc>
          <w:tcPr>
            <w:tcW w:w="679" w:type="pct"/>
            <w:shd w:val="clear" w:color="auto" w:fill="auto"/>
            <w:vAlign w:val="center"/>
          </w:tcPr>
          <w:p w:rsidR="0004231D" w:rsidRPr="005F7A51" w:rsidRDefault="005F7A51" w:rsidP="00577717">
            <w:pPr>
              <w:ind w:right="93"/>
              <w:jc w:val="center"/>
              <w:rPr>
                <w:rFonts w:ascii="Arial Narrow" w:hAnsi="Arial Narrow"/>
                <w:bCs/>
                <w:sz w:val="20"/>
                <w:highlight w:val="black"/>
              </w:rPr>
            </w:pPr>
            <w:r>
              <w:rPr>
                <w:rFonts w:ascii="Arial Narrow" w:eastAsia="SimSun" w:hAnsi="Arial Narrow"/>
                <w:bCs/>
                <w:noProof/>
                <w:color w:val="000000"/>
                <w:sz w:val="20"/>
                <w:highlight w:val="black"/>
                <w:lang w:eastAsia="en-AU"/>
              </w:rPr>
              <w:t>''''''''</w:t>
            </w:r>
          </w:p>
        </w:tc>
        <w:tc>
          <w:tcPr>
            <w:tcW w:w="680" w:type="pct"/>
            <w:shd w:val="clear" w:color="auto" w:fill="auto"/>
            <w:vAlign w:val="center"/>
          </w:tcPr>
          <w:p w:rsidR="0004231D" w:rsidRPr="005F7A51" w:rsidRDefault="005F7A51" w:rsidP="00577717">
            <w:pPr>
              <w:ind w:right="93"/>
              <w:jc w:val="center"/>
              <w:rPr>
                <w:rFonts w:ascii="Arial Narrow" w:hAnsi="Arial Narrow"/>
                <w:bCs/>
                <w:sz w:val="20"/>
                <w:highlight w:val="black"/>
              </w:rPr>
            </w:pPr>
            <w:r>
              <w:rPr>
                <w:rFonts w:ascii="Arial Narrow" w:eastAsia="SimSun" w:hAnsi="Arial Narrow"/>
                <w:bCs/>
                <w:noProof/>
                <w:color w:val="000000"/>
                <w:sz w:val="20"/>
                <w:highlight w:val="black"/>
                <w:lang w:eastAsia="en-AU"/>
              </w:rPr>
              <w:t>'''''''''</w:t>
            </w:r>
          </w:p>
        </w:tc>
        <w:tc>
          <w:tcPr>
            <w:tcW w:w="750" w:type="pct"/>
            <w:shd w:val="clear" w:color="auto" w:fill="auto"/>
            <w:vAlign w:val="center"/>
          </w:tcPr>
          <w:p w:rsidR="0004231D" w:rsidRPr="005F7A51" w:rsidRDefault="005F7A51" w:rsidP="00577717">
            <w:pPr>
              <w:ind w:right="93"/>
              <w:jc w:val="center"/>
              <w:rPr>
                <w:rFonts w:ascii="Arial Narrow" w:hAnsi="Arial Narrow"/>
                <w:bCs/>
                <w:sz w:val="20"/>
                <w:highlight w:val="black"/>
              </w:rPr>
            </w:pPr>
            <w:r>
              <w:rPr>
                <w:rFonts w:ascii="Arial Narrow" w:eastAsia="SimSun" w:hAnsi="Arial Narrow"/>
                <w:bCs/>
                <w:noProof/>
                <w:color w:val="000000"/>
                <w:sz w:val="20"/>
                <w:highlight w:val="black"/>
                <w:lang w:eastAsia="en-AU"/>
              </w:rPr>
              <w:t>''''''''''</w:t>
            </w:r>
          </w:p>
        </w:tc>
      </w:tr>
      <w:tr w:rsidR="00B608CF" w:rsidRPr="00F875E6" w:rsidTr="00B608CF">
        <w:tc>
          <w:tcPr>
            <w:tcW w:w="1529" w:type="pct"/>
            <w:shd w:val="clear" w:color="auto" w:fill="auto"/>
            <w:vAlign w:val="center"/>
          </w:tcPr>
          <w:p w:rsidR="0004231D" w:rsidRPr="00F875E6" w:rsidRDefault="0075606F" w:rsidP="00577717">
            <w:pPr>
              <w:tabs>
                <w:tab w:val="left" w:pos="142"/>
              </w:tabs>
              <w:ind w:right="93"/>
              <w:jc w:val="left"/>
              <w:rPr>
                <w:rFonts w:ascii="Arial Narrow" w:hAnsi="Arial Narrow"/>
                <w:sz w:val="20"/>
              </w:rPr>
            </w:pPr>
            <w:r w:rsidRPr="00F875E6">
              <w:rPr>
                <w:rFonts w:ascii="Arial Narrow" w:hAnsi="Arial Narrow"/>
                <w:sz w:val="20"/>
              </w:rPr>
              <w:t>Packs</w:t>
            </w:r>
          </w:p>
        </w:tc>
        <w:tc>
          <w:tcPr>
            <w:tcW w:w="683" w:type="pct"/>
            <w:shd w:val="clear" w:color="auto" w:fill="auto"/>
            <w:vAlign w:val="center"/>
          </w:tcPr>
          <w:p w:rsidR="0004231D" w:rsidRPr="00F875E6" w:rsidRDefault="0004231D" w:rsidP="00577717">
            <w:pPr>
              <w:ind w:right="93"/>
              <w:jc w:val="center"/>
              <w:rPr>
                <w:rFonts w:ascii="Arial Narrow" w:hAnsi="Arial Narrow"/>
                <w:sz w:val="20"/>
              </w:rPr>
            </w:pPr>
          </w:p>
        </w:tc>
        <w:tc>
          <w:tcPr>
            <w:tcW w:w="679" w:type="pct"/>
            <w:shd w:val="clear" w:color="auto" w:fill="auto"/>
            <w:vAlign w:val="center"/>
          </w:tcPr>
          <w:p w:rsidR="0004231D" w:rsidRPr="00F875E6" w:rsidRDefault="0004231D" w:rsidP="00577717">
            <w:pPr>
              <w:ind w:right="93"/>
              <w:jc w:val="center"/>
              <w:rPr>
                <w:rFonts w:ascii="Arial Narrow" w:hAnsi="Arial Narrow"/>
                <w:sz w:val="20"/>
              </w:rPr>
            </w:pPr>
          </w:p>
        </w:tc>
        <w:tc>
          <w:tcPr>
            <w:tcW w:w="679" w:type="pct"/>
            <w:shd w:val="clear" w:color="auto" w:fill="auto"/>
            <w:vAlign w:val="center"/>
          </w:tcPr>
          <w:p w:rsidR="0004231D" w:rsidRPr="00F875E6" w:rsidRDefault="0004231D" w:rsidP="00577717">
            <w:pPr>
              <w:ind w:right="93"/>
              <w:jc w:val="center"/>
              <w:rPr>
                <w:rFonts w:ascii="Arial Narrow" w:hAnsi="Arial Narrow"/>
                <w:sz w:val="20"/>
              </w:rPr>
            </w:pPr>
          </w:p>
        </w:tc>
        <w:tc>
          <w:tcPr>
            <w:tcW w:w="680" w:type="pct"/>
            <w:shd w:val="clear" w:color="auto" w:fill="auto"/>
            <w:vAlign w:val="center"/>
          </w:tcPr>
          <w:p w:rsidR="0004231D" w:rsidRPr="00F875E6" w:rsidRDefault="0004231D" w:rsidP="00577717">
            <w:pPr>
              <w:ind w:right="93"/>
              <w:jc w:val="center"/>
              <w:rPr>
                <w:rFonts w:ascii="Arial Narrow" w:hAnsi="Arial Narrow"/>
                <w:sz w:val="20"/>
              </w:rPr>
            </w:pPr>
          </w:p>
        </w:tc>
        <w:tc>
          <w:tcPr>
            <w:tcW w:w="750" w:type="pct"/>
            <w:shd w:val="clear" w:color="auto" w:fill="auto"/>
            <w:vAlign w:val="center"/>
          </w:tcPr>
          <w:p w:rsidR="0004231D" w:rsidRPr="00F875E6" w:rsidRDefault="0004231D" w:rsidP="00577717">
            <w:pPr>
              <w:ind w:right="93"/>
              <w:jc w:val="center"/>
              <w:rPr>
                <w:rFonts w:ascii="Arial Narrow" w:hAnsi="Arial Narrow"/>
                <w:sz w:val="20"/>
              </w:rPr>
            </w:pPr>
          </w:p>
        </w:tc>
      </w:tr>
      <w:tr w:rsidR="003D6EE1" w:rsidRPr="00F875E6" w:rsidTr="00A12DB6">
        <w:tc>
          <w:tcPr>
            <w:tcW w:w="1529" w:type="pct"/>
            <w:shd w:val="clear" w:color="auto" w:fill="auto"/>
          </w:tcPr>
          <w:p w:rsidR="003D6EE1" w:rsidRPr="00F875E6" w:rsidRDefault="003D6EE1" w:rsidP="0075606F">
            <w:pPr>
              <w:widowControl/>
              <w:ind w:left="256"/>
              <w:jc w:val="left"/>
              <w:rPr>
                <w:rFonts w:ascii="Arial Narrow" w:hAnsi="Arial Narrow" w:cs="Times New Roman"/>
                <w:snapToGrid/>
                <w:sz w:val="20"/>
                <w:lang w:eastAsia="en-AU"/>
              </w:rPr>
            </w:pPr>
            <w:r w:rsidRPr="00F875E6">
              <w:rPr>
                <w:rFonts w:ascii="Arial Narrow" w:hAnsi="Arial Narrow" w:cs="Times New Roman"/>
                <w:snapToGrid/>
                <w:sz w:val="20"/>
                <w:lang w:eastAsia="en-AU"/>
              </w:rPr>
              <w:t>15 mg packs</w:t>
            </w:r>
          </w:p>
        </w:tc>
        <w:tc>
          <w:tcPr>
            <w:tcW w:w="683" w:type="pct"/>
            <w:shd w:val="clear" w:color="auto" w:fill="auto"/>
          </w:tcPr>
          <w:p w:rsidR="003D6EE1" w:rsidRPr="005F7A51" w:rsidRDefault="005F7A51" w:rsidP="00055D48">
            <w:pPr>
              <w:widowControl/>
              <w:jc w:val="center"/>
              <w:rPr>
                <w:rFonts w:ascii="Arial Narrow" w:hAnsi="Arial Narrow"/>
                <w:i/>
                <w:sz w:val="20"/>
                <w:highlight w:val="black"/>
              </w:rPr>
            </w:pPr>
            <w:r>
              <w:rPr>
                <w:rFonts w:ascii="Arial Narrow" w:hAnsi="Arial Narrow"/>
                <w:i/>
                <w:noProof/>
                <w:color w:val="000000"/>
                <w:sz w:val="20"/>
                <w:highlight w:val="black"/>
              </w:rPr>
              <w:t>''''''''''''''</w:t>
            </w:r>
          </w:p>
        </w:tc>
        <w:tc>
          <w:tcPr>
            <w:tcW w:w="679" w:type="pct"/>
            <w:shd w:val="clear" w:color="auto" w:fill="auto"/>
          </w:tcPr>
          <w:p w:rsidR="003D6EE1" w:rsidRPr="005F7A51" w:rsidRDefault="005F7A51" w:rsidP="00055D48">
            <w:pPr>
              <w:widowControl/>
              <w:jc w:val="center"/>
              <w:rPr>
                <w:rFonts w:ascii="Arial Narrow" w:hAnsi="Arial Narrow"/>
                <w:i/>
                <w:sz w:val="20"/>
                <w:highlight w:val="black"/>
              </w:rPr>
            </w:pPr>
            <w:r>
              <w:rPr>
                <w:rFonts w:ascii="Arial Narrow" w:hAnsi="Arial Narrow"/>
                <w:i/>
                <w:noProof/>
                <w:color w:val="000000"/>
                <w:sz w:val="20"/>
                <w:highlight w:val="black"/>
              </w:rPr>
              <w:t>''''''''''''</w:t>
            </w:r>
          </w:p>
        </w:tc>
        <w:tc>
          <w:tcPr>
            <w:tcW w:w="679" w:type="pct"/>
            <w:shd w:val="clear" w:color="auto" w:fill="auto"/>
          </w:tcPr>
          <w:p w:rsidR="003D6EE1" w:rsidRPr="005F7A51" w:rsidRDefault="005F7A51" w:rsidP="00055D48">
            <w:pPr>
              <w:widowControl/>
              <w:jc w:val="center"/>
              <w:rPr>
                <w:rFonts w:ascii="Arial Narrow" w:hAnsi="Arial Narrow"/>
                <w:i/>
                <w:sz w:val="20"/>
                <w:highlight w:val="black"/>
              </w:rPr>
            </w:pPr>
            <w:r>
              <w:rPr>
                <w:rFonts w:ascii="Arial Narrow" w:hAnsi="Arial Narrow"/>
                <w:i/>
                <w:noProof/>
                <w:color w:val="000000"/>
                <w:sz w:val="20"/>
                <w:highlight w:val="black"/>
              </w:rPr>
              <w:t>''''''''''''''</w:t>
            </w:r>
          </w:p>
        </w:tc>
        <w:tc>
          <w:tcPr>
            <w:tcW w:w="680" w:type="pct"/>
            <w:shd w:val="clear" w:color="auto" w:fill="auto"/>
          </w:tcPr>
          <w:p w:rsidR="003D6EE1" w:rsidRPr="005F7A51" w:rsidRDefault="005F7A51" w:rsidP="00055D48">
            <w:pPr>
              <w:widowControl/>
              <w:jc w:val="center"/>
              <w:rPr>
                <w:rFonts w:ascii="Arial Narrow" w:hAnsi="Arial Narrow"/>
                <w:i/>
                <w:sz w:val="20"/>
                <w:highlight w:val="black"/>
              </w:rPr>
            </w:pPr>
            <w:r>
              <w:rPr>
                <w:rFonts w:ascii="Arial Narrow" w:hAnsi="Arial Narrow"/>
                <w:i/>
                <w:noProof/>
                <w:color w:val="000000"/>
                <w:sz w:val="20"/>
                <w:highlight w:val="black"/>
              </w:rPr>
              <w:t>''''''''''''''</w:t>
            </w:r>
          </w:p>
        </w:tc>
        <w:tc>
          <w:tcPr>
            <w:tcW w:w="750" w:type="pct"/>
            <w:shd w:val="clear" w:color="auto" w:fill="auto"/>
          </w:tcPr>
          <w:p w:rsidR="003D6EE1" w:rsidRPr="005F7A51" w:rsidRDefault="005F7A51" w:rsidP="00055D48">
            <w:pPr>
              <w:widowControl/>
              <w:jc w:val="center"/>
              <w:rPr>
                <w:rFonts w:ascii="Arial Narrow" w:hAnsi="Arial Narrow"/>
                <w:i/>
                <w:sz w:val="20"/>
                <w:highlight w:val="black"/>
              </w:rPr>
            </w:pPr>
            <w:r>
              <w:rPr>
                <w:rFonts w:ascii="Arial Narrow" w:hAnsi="Arial Narrow"/>
                <w:i/>
                <w:noProof/>
                <w:color w:val="000000"/>
                <w:sz w:val="20"/>
                <w:highlight w:val="black"/>
              </w:rPr>
              <w:t>'''''''''''''</w:t>
            </w:r>
          </w:p>
        </w:tc>
      </w:tr>
      <w:tr w:rsidR="003D6EE1" w:rsidRPr="00F875E6" w:rsidTr="00A12DB6">
        <w:tc>
          <w:tcPr>
            <w:tcW w:w="1529" w:type="pct"/>
            <w:shd w:val="clear" w:color="auto" w:fill="auto"/>
          </w:tcPr>
          <w:p w:rsidR="003D6EE1" w:rsidRPr="00F875E6" w:rsidRDefault="003D6EE1" w:rsidP="0075606F">
            <w:pPr>
              <w:widowControl/>
              <w:ind w:left="256"/>
              <w:jc w:val="left"/>
              <w:rPr>
                <w:rFonts w:ascii="Arial Narrow" w:hAnsi="Arial Narrow" w:cs="Times New Roman"/>
                <w:snapToGrid/>
                <w:sz w:val="20"/>
                <w:lang w:eastAsia="en-AU"/>
              </w:rPr>
            </w:pPr>
            <w:r w:rsidRPr="00F875E6">
              <w:rPr>
                <w:rFonts w:ascii="Arial Narrow" w:hAnsi="Arial Narrow" w:cs="Times New Roman"/>
                <w:snapToGrid/>
                <w:sz w:val="20"/>
                <w:lang w:eastAsia="en-AU"/>
              </w:rPr>
              <w:t>45 mg packs</w:t>
            </w:r>
          </w:p>
        </w:tc>
        <w:tc>
          <w:tcPr>
            <w:tcW w:w="683" w:type="pct"/>
            <w:shd w:val="clear" w:color="auto" w:fill="auto"/>
          </w:tcPr>
          <w:p w:rsidR="003D6EE1" w:rsidRPr="005F7A51" w:rsidRDefault="005F7A51" w:rsidP="00055D48">
            <w:pPr>
              <w:widowControl/>
              <w:jc w:val="center"/>
              <w:rPr>
                <w:rFonts w:ascii="Arial Narrow" w:hAnsi="Arial Narrow"/>
                <w:i/>
                <w:sz w:val="20"/>
                <w:highlight w:val="black"/>
              </w:rPr>
            </w:pPr>
            <w:r>
              <w:rPr>
                <w:rFonts w:ascii="Arial Narrow" w:hAnsi="Arial Narrow"/>
                <w:i/>
                <w:noProof/>
                <w:color w:val="000000"/>
                <w:sz w:val="20"/>
                <w:highlight w:val="black"/>
              </w:rPr>
              <w:t>''''''''''</w:t>
            </w:r>
          </w:p>
        </w:tc>
        <w:tc>
          <w:tcPr>
            <w:tcW w:w="679" w:type="pct"/>
            <w:shd w:val="clear" w:color="auto" w:fill="auto"/>
          </w:tcPr>
          <w:p w:rsidR="003D6EE1" w:rsidRPr="005F7A51" w:rsidRDefault="005F7A51" w:rsidP="00055D48">
            <w:pPr>
              <w:widowControl/>
              <w:jc w:val="center"/>
              <w:rPr>
                <w:rFonts w:ascii="Arial Narrow" w:hAnsi="Arial Narrow"/>
                <w:i/>
                <w:sz w:val="20"/>
                <w:highlight w:val="black"/>
              </w:rPr>
            </w:pPr>
            <w:r>
              <w:rPr>
                <w:rFonts w:ascii="Arial Narrow" w:hAnsi="Arial Narrow"/>
                <w:i/>
                <w:noProof/>
                <w:color w:val="000000"/>
                <w:sz w:val="20"/>
                <w:highlight w:val="black"/>
              </w:rPr>
              <w:t>'''''''''</w:t>
            </w:r>
          </w:p>
        </w:tc>
        <w:tc>
          <w:tcPr>
            <w:tcW w:w="679" w:type="pct"/>
            <w:shd w:val="clear" w:color="auto" w:fill="auto"/>
          </w:tcPr>
          <w:p w:rsidR="003D6EE1" w:rsidRPr="005F7A51" w:rsidRDefault="005F7A51" w:rsidP="00055D48">
            <w:pPr>
              <w:widowControl/>
              <w:jc w:val="center"/>
              <w:rPr>
                <w:rFonts w:ascii="Arial Narrow" w:hAnsi="Arial Narrow"/>
                <w:i/>
                <w:sz w:val="20"/>
                <w:highlight w:val="black"/>
              </w:rPr>
            </w:pPr>
            <w:r>
              <w:rPr>
                <w:rFonts w:ascii="Arial Narrow" w:hAnsi="Arial Narrow"/>
                <w:i/>
                <w:noProof/>
                <w:color w:val="000000"/>
                <w:sz w:val="20"/>
                <w:highlight w:val="black"/>
              </w:rPr>
              <w:t>''''''''''</w:t>
            </w:r>
          </w:p>
        </w:tc>
        <w:tc>
          <w:tcPr>
            <w:tcW w:w="680" w:type="pct"/>
            <w:shd w:val="clear" w:color="auto" w:fill="auto"/>
          </w:tcPr>
          <w:p w:rsidR="003D6EE1" w:rsidRPr="005F7A51" w:rsidRDefault="005F7A51" w:rsidP="00055D48">
            <w:pPr>
              <w:widowControl/>
              <w:jc w:val="center"/>
              <w:rPr>
                <w:rFonts w:ascii="Arial Narrow" w:hAnsi="Arial Narrow"/>
                <w:i/>
                <w:sz w:val="20"/>
                <w:highlight w:val="black"/>
              </w:rPr>
            </w:pPr>
            <w:r>
              <w:rPr>
                <w:rFonts w:ascii="Arial Narrow" w:hAnsi="Arial Narrow"/>
                <w:i/>
                <w:noProof/>
                <w:color w:val="000000"/>
                <w:sz w:val="20"/>
                <w:highlight w:val="black"/>
              </w:rPr>
              <w:t>'''''''''</w:t>
            </w:r>
          </w:p>
        </w:tc>
        <w:tc>
          <w:tcPr>
            <w:tcW w:w="750" w:type="pct"/>
            <w:shd w:val="clear" w:color="auto" w:fill="auto"/>
          </w:tcPr>
          <w:p w:rsidR="003D6EE1" w:rsidRPr="005F7A51" w:rsidRDefault="005F7A51" w:rsidP="00055D48">
            <w:pPr>
              <w:widowControl/>
              <w:jc w:val="center"/>
              <w:rPr>
                <w:rFonts w:ascii="Arial Narrow" w:hAnsi="Arial Narrow"/>
                <w:i/>
                <w:sz w:val="20"/>
                <w:highlight w:val="black"/>
              </w:rPr>
            </w:pPr>
            <w:r>
              <w:rPr>
                <w:rFonts w:ascii="Arial Narrow" w:hAnsi="Arial Narrow"/>
                <w:i/>
                <w:noProof/>
                <w:color w:val="000000"/>
                <w:sz w:val="20"/>
                <w:highlight w:val="black"/>
              </w:rPr>
              <w:t>''''''''''</w:t>
            </w:r>
          </w:p>
        </w:tc>
      </w:tr>
      <w:tr w:rsidR="00B608CF" w:rsidRPr="00F875E6" w:rsidTr="00B608CF">
        <w:tc>
          <w:tcPr>
            <w:tcW w:w="1529" w:type="pct"/>
            <w:shd w:val="clear" w:color="auto" w:fill="auto"/>
            <w:vAlign w:val="center"/>
          </w:tcPr>
          <w:p w:rsidR="0004231D" w:rsidRPr="00F875E6" w:rsidRDefault="0075606F" w:rsidP="0075606F">
            <w:pPr>
              <w:tabs>
                <w:tab w:val="left" w:pos="142"/>
              </w:tabs>
              <w:ind w:right="93"/>
              <w:jc w:val="left"/>
              <w:rPr>
                <w:rFonts w:ascii="Arial Narrow" w:hAnsi="Arial Narrow"/>
                <w:sz w:val="20"/>
              </w:rPr>
            </w:pPr>
            <w:r w:rsidRPr="00F875E6">
              <w:rPr>
                <w:rFonts w:ascii="Arial Narrow" w:hAnsi="Arial Narrow"/>
                <w:sz w:val="20"/>
              </w:rPr>
              <w:t>Packs -</w:t>
            </w:r>
            <w:r w:rsidR="0004231D" w:rsidRPr="00F875E6">
              <w:rPr>
                <w:rFonts w:ascii="Arial Narrow" w:hAnsi="Arial Narrow"/>
                <w:sz w:val="20"/>
              </w:rPr>
              <w:t xml:space="preserve"> Nov 201</w:t>
            </w:r>
            <w:r w:rsidRPr="00F875E6">
              <w:rPr>
                <w:rFonts w:ascii="Arial Narrow" w:hAnsi="Arial Narrow"/>
                <w:sz w:val="20"/>
              </w:rPr>
              <w:t>4</w:t>
            </w:r>
          </w:p>
        </w:tc>
        <w:tc>
          <w:tcPr>
            <w:tcW w:w="683" w:type="pct"/>
            <w:shd w:val="clear" w:color="auto" w:fill="auto"/>
            <w:vAlign w:val="center"/>
          </w:tcPr>
          <w:p w:rsidR="0004231D" w:rsidRPr="00F875E6" w:rsidRDefault="0004231D" w:rsidP="00577717">
            <w:pPr>
              <w:ind w:right="93"/>
              <w:jc w:val="center"/>
              <w:rPr>
                <w:rFonts w:ascii="Arial Narrow" w:hAnsi="Arial Narrow"/>
                <w:sz w:val="20"/>
              </w:rPr>
            </w:pPr>
          </w:p>
        </w:tc>
        <w:tc>
          <w:tcPr>
            <w:tcW w:w="679" w:type="pct"/>
            <w:shd w:val="clear" w:color="auto" w:fill="auto"/>
            <w:vAlign w:val="center"/>
          </w:tcPr>
          <w:p w:rsidR="0004231D" w:rsidRPr="00F875E6" w:rsidRDefault="0004231D" w:rsidP="00577717">
            <w:pPr>
              <w:ind w:right="93"/>
              <w:jc w:val="center"/>
              <w:rPr>
                <w:rFonts w:ascii="Arial Narrow" w:hAnsi="Arial Narrow"/>
                <w:sz w:val="20"/>
              </w:rPr>
            </w:pPr>
          </w:p>
        </w:tc>
        <w:tc>
          <w:tcPr>
            <w:tcW w:w="679" w:type="pct"/>
            <w:shd w:val="clear" w:color="auto" w:fill="auto"/>
            <w:vAlign w:val="center"/>
          </w:tcPr>
          <w:p w:rsidR="0004231D" w:rsidRPr="00F875E6" w:rsidRDefault="0004231D" w:rsidP="00577717">
            <w:pPr>
              <w:ind w:right="93"/>
              <w:jc w:val="center"/>
              <w:rPr>
                <w:rFonts w:ascii="Arial Narrow" w:hAnsi="Arial Narrow"/>
                <w:sz w:val="20"/>
              </w:rPr>
            </w:pPr>
          </w:p>
        </w:tc>
        <w:tc>
          <w:tcPr>
            <w:tcW w:w="680" w:type="pct"/>
            <w:shd w:val="clear" w:color="auto" w:fill="auto"/>
            <w:vAlign w:val="center"/>
          </w:tcPr>
          <w:p w:rsidR="0004231D" w:rsidRPr="00F875E6" w:rsidRDefault="0004231D" w:rsidP="00577717">
            <w:pPr>
              <w:ind w:right="93"/>
              <w:jc w:val="center"/>
              <w:rPr>
                <w:rFonts w:ascii="Arial Narrow" w:hAnsi="Arial Narrow"/>
                <w:sz w:val="20"/>
              </w:rPr>
            </w:pPr>
          </w:p>
        </w:tc>
        <w:tc>
          <w:tcPr>
            <w:tcW w:w="750" w:type="pct"/>
            <w:shd w:val="clear" w:color="auto" w:fill="auto"/>
            <w:vAlign w:val="center"/>
          </w:tcPr>
          <w:p w:rsidR="0004231D" w:rsidRPr="00F875E6" w:rsidRDefault="0004231D" w:rsidP="00577717">
            <w:pPr>
              <w:ind w:right="93"/>
              <w:jc w:val="center"/>
              <w:rPr>
                <w:rFonts w:ascii="Arial Narrow" w:hAnsi="Arial Narrow"/>
                <w:sz w:val="20"/>
              </w:rPr>
            </w:pPr>
          </w:p>
        </w:tc>
      </w:tr>
      <w:tr w:rsidR="0075606F" w:rsidRPr="00F875E6" w:rsidTr="00A12DB6">
        <w:tc>
          <w:tcPr>
            <w:tcW w:w="1529" w:type="pct"/>
            <w:shd w:val="clear" w:color="auto" w:fill="auto"/>
          </w:tcPr>
          <w:p w:rsidR="0075606F" w:rsidRPr="00F875E6" w:rsidRDefault="0075606F" w:rsidP="00A12DB6">
            <w:pPr>
              <w:widowControl/>
              <w:ind w:left="256"/>
              <w:jc w:val="left"/>
              <w:rPr>
                <w:rFonts w:ascii="Arial Narrow" w:hAnsi="Arial Narrow" w:cs="Times New Roman"/>
                <w:snapToGrid/>
                <w:sz w:val="20"/>
                <w:lang w:eastAsia="en-AU"/>
              </w:rPr>
            </w:pPr>
            <w:r w:rsidRPr="00F875E6">
              <w:rPr>
                <w:rFonts w:ascii="Arial Narrow" w:hAnsi="Arial Narrow" w:cs="Times New Roman"/>
                <w:snapToGrid/>
                <w:sz w:val="20"/>
                <w:lang w:eastAsia="en-AU"/>
              </w:rPr>
              <w:t>15 mg packs</w:t>
            </w:r>
          </w:p>
        </w:tc>
        <w:tc>
          <w:tcPr>
            <w:tcW w:w="683" w:type="pct"/>
            <w:shd w:val="clear" w:color="auto" w:fill="auto"/>
            <w:vAlign w:val="center"/>
          </w:tcPr>
          <w:p w:rsidR="0075606F" w:rsidRPr="005F7A51" w:rsidRDefault="005F7A51" w:rsidP="00577717">
            <w:pPr>
              <w:ind w:right="93"/>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vAlign w:val="center"/>
          </w:tcPr>
          <w:p w:rsidR="0075606F" w:rsidRPr="005F7A51" w:rsidRDefault="005F7A51" w:rsidP="00577717">
            <w:pPr>
              <w:ind w:right="93"/>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vAlign w:val="center"/>
          </w:tcPr>
          <w:p w:rsidR="0075606F" w:rsidRPr="005F7A51" w:rsidRDefault="005F7A51" w:rsidP="00577717">
            <w:pPr>
              <w:ind w:right="93"/>
              <w:jc w:val="center"/>
              <w:rPr>
                <w:rFonts w:ascii="Arial Narrow" w:hAnsi="Arial Narrow"/>
                <w:sz w:val="20"/>
                <w:highlight w:val="black"/>
              </w:rPr>
            </w:pPr>
            <w:r>
              <w:rPr>
                <w:rFonts w:ascii="Arial Narrow" w:hAnsi="Arial Narrow"/>
                <w:noProof/>
                <w:color w:val="000000"/>
                <w:sz w:val="20"/>
                <w:highlight w:val="black"/>
              </w:rPr>
              <w:t>'''''''''</w:t>
            </w:r>
          </w:p>
        </w:tc>
        <w:tc>
          <w:tcPr>
            <w:tcW w:w="680" w:type="pct"/>
            <w:shd w:val="clear" w:color="auto" w:fill="auto"/>
            <w:vAlign w:val="center"/>
          </w:tcPr>
          <w:p w:rsidR="0075606F" w:rsidRPr="005F7A51" w:rsidRDefault="005F7A51" w:rsidP="00577717">
            <w:pPr>
              <w:ind w:right="93"/>
              <w:jc w:val="center"/>
              <w:rPr>
                <w:rFonts w:ascii="Arial Narrow" w:hAnsi="Arial Narrow"/>
                <w:sz w:val="20"/>
                <w:highlight w:val="black"/>
              </w:rPr>
            </w:pPr>
            <w:r>
              <w:rPr>
                <w:rFonts w:ascii="Arial Narrow" w:hAnsi="Arial Narrow"/>
                <w:noProof/>
                <w:color w:val="000000"/>
                <w:sz w:val="20"/>
                <w:highlight w:val="black"/>
              </w:rPr>
              <w:t>'''''''''</w:t>
            </w:r>
          </w:p>
        </w:tc>
        <w:tc>
          <w:tcPr>
            <w:tcW w:w="750" w:type="pct"/>
            <w:shd w:val="clear" w:color="auto" w:fill="auto"/>
            <w:vAlign w:val="center"/>
          </w:tcPr>
          <w:p w:rsidR="0075606F" w:rsidRPr="005F7A51" w:rsidRDefault="005F7A51" w:rsidP="00577717">
            <w:pPr>
              <w:ind w:right="93"/>
              <w:jc w:val="center"/>
              <w:rPr>
                <w:rFonts w:ascii="Arial Narrow" w:hAnsi="Arial Narrow"/>
                <w:sz w:val="20"/>
                <w:highlight w:val="black"/>
              </w:rPr>
            </w:pPr>
            <w:r>
              <w:rPr>
                <w:rFonts w:ascii="Arial Narrow" w:hAnsi="Arial Narrow"/>
                <w:noProof/>
                <w:color w:val="000000"/>
                <w:sz w:val="20"/>
                <w:highlight w:val="black"/>
              </w:rPr>
              <w:t>'''''''''</w:t>
            </w:r>
          </w:p>
        </w:tc>
      </w:tr>
      <w:tr w:rsidR="0075606F" w:rsidRPr="00F875E6" w:rsidTr="00A12DB6">
        <w:tc>
          <w:tcPr>
            <w:tcW w:w="1529" w:type="pct"/>
            <w:shd w:val="clear" w:color="auto" w:fill="auto"/>
          </w:tcPr>
          <w:p w:rsidR="0075606F" w:rsidRPr="00F875E6" w:rsidRDefault="0075606F" w:rsidP="00A12DB6">
            <w:pPr>
              <w:widowControl/>
              <w:ind w:left="256"/>
              <w:jc w:val="left"/>
              <w:rPr>
                <w:rFonts w:ascii="Arial Narrow" w:hAnsi="Arial Narrow" w:cs="Times New Roman"/>
                <w:snapToGrid/>
                <w:sz w:val="20"/>
                <w:lang w:eastAsia="en-AU"/>
              </w:rPr>
            </w:pPr>
            <w:r w:rsidRPr="00F875E6">
              <w:rPr>
                <w:rFonts w:ascii="Arial Narrow" w:hAnsi="Arial Narrow" w:cs="Times New Roman"/>
                <w:snapToGrid/>
                <w:sz w:val="20"/>
                <w:lang w:eastAsia="en-AU"/>
              </w:rPr>
              <w:t>45 mg packs</w:t>
            </w:r>
          </w:p>
        </w:tc>
        <w:tc>
          <w:tcPr>
            <w:tcW w:w="683" w:type="pct"/>
            <w:shd w:val="clear" w:color="auto" w:fill="auto"/>
            <w:vAlign w:val="center"/>
          </w:tcPr>
          <w:p w:rsidR="0075606F" w:rsidRPr="005F7A51" w:rsidRDefault="005F7A51" w:rsidP="00577717">
            <w:pPr>
              <w:ind w:right="93"/>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vAlign w:val="center"/>
          </w:tcPr>
          <w:p w:rsidR="0075606F" w:rsidRPr="005F7A51" w:rsidRDefault="005F7A51" w:rsidP="00577717">
            <w:pPr>
              <w:ind w:right="93"/>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vAlign w:val="center"/>
          </w:tcPr>
          <w:p w:rsidR="0075606F" w:rsidRPr="005F7A51" w:rsidRDefault="005F7A51" w:rsidP="00577717">
            <w:pPr>
              <w:ind w:right="93"/>
              <w:jc w:val="center"/>
              <w:rPr>
                <w:rFonts w:ascii="Arial Narrow" w:hAnsi="Arial Narrow"/>
                <w:sz w:val="20"/>
                <w:highlight w:val="black"/>
              </w:rPr>
            </w:pPr>
            <w:r>
              <w:rPr>
                <w:rFonts w:ascii="Arial Narrow" w:hAnsi="Arial Narrow"/>
                <w:noProof/>
                <w:color w:val="000000"/>
                <w:sz w:val="20"/>
                <w:highlight w:val="black"/>
              </w:rPr>
              <w:t>''''''''''</w:t>
            </w:r>
          </w:p>
        </w:tc>
        <w:tc>
          <w:tcPr>
            <w:tcW w:w="680" w:type="pct"/>
            <w:shd w:val="clear" w:color="auto" w:fill="auto"/>
            <w:vAlign w:val="center"/>
          </w:tcPr>
          <w:p w:rsidR="0075606F" w:rsidRPr="005F7A51" w:rsidRDefault="005F7A51" w:rsidP="00577717">
            <w:pPr>
              <w:ind w:right="93"/>
              <w:jc w:val="center"/>
              <w:rPr>
                <w:rFonts w:ascii="Arial Narrow" w:hAnsi="Arial Narrow"/>
                <w:sz w:val="20"/>
                <w:highlight w:val="black"/>
              </w:rPr>
            </w:pPr>
            <w:r>
              <w:rPr>
                <w:rFonts w:ascii="Arial Narrow" w:hAnsi="Arial Narrow"/>
                <w:noProof/>
                <w:color w:val="000000"/>
                <w:sz w:val="20"/>
                <w:highlight w:val="black"/>
              </w:rPr>
              <w:t>'''''''''</w:t>
            </w:r>
          </w:p>
        </w:tc>
        <w:tc>
          <w:tcPr>
            <w:tcW w:w="750" w:type="pct"/>
            <w:shd w:val="clear" w:color="auto" w:fill="auto"/>
            <w:vAlign w:val="center"/>
          </w:tcPr>
          <w:p w:rsidR="0075606F" w:rsidRPr="005F7A51" w:rsidRDefault="005F7A51" w:rsidP="00577717">
            <w:pPr>
              <w:ind w:right="93"/>
              <w:jc w:val="center"/>
              <w:rPr>
                <w:rFonts w:ascii="Arial Narrow" w:hAnsi="Arial Narrow"/>
                <w:sz w:val="20"/>
                <w:highlight w:val="black"/>
              </w:rPr>
            </w:pPr>
            <w:r>
              <w:rPr>
                <w:rFonts w:ascii="Arial Narrow" w:hAnsi="Arial Narrow"/>
                <w:noProof/>
                <w:color w:val="000000"/>
                <w:sz w:val="20"/>
                <w:highlight w:val="black"/>
              </w:rPr>
              <w:t>'''''''''</w:t>
            </w:r>
          </w:p>
        </w:tc>
      </w:tr>
      <w:tr w:rsidR="0004231D" w:rsidRPr="00F875E6" w:rsidTr="00B608CF">
        <w:tc>
          <w:tcPr>
            <w:tcW w:w="5000" w:type="pct"/>
            <w:gridSpan w:val="6"/>
            <w:shd w:val="clear" w:color="auto" w:fill="auto"/>
            <w:vAlign w:val="center"/>
          </w:tcPr>
          <w:p w:rsidR="0004231D" w:rsidRPr="00F875E6" w:rsidRDefault="0004231D" w:rsidP="00577717">
            <w:pPr>
              <w:ind w:right="93"/>
              <w:jc w:val="left"/>
              <w:rPr>
                <w:rFonts w:ascii="Arial Narrow" w:hAnsi="Arial Narrow"/>
                <w:b/>
                <w:bCs/>
                <w:sz w:val="20"/>
              </w:rPr>
            </w:pPr>
            <w:r w:rsidRPr="00F875E6">
              <w:rPr>
                <w:rFonts w:ascii="Arial Narrow" w:hAnsi="Arial Narrow"/>
                <w:b/>
                <w:bCs/>
                <w:sz w:val="20"/>
              </w:rPr>
              <w:t>Estimated net cost to PBS/MBS</w:t>
            </w:r>
          </w:p>
        </w:tc>
      </w:tr>
      <w:tr w:rsidR="00E5037C" w:rsidRPr="00F875E6" w:rsidTr="00A12DB6">
        <w:tc>
          <w:tcPr>
            <w:tcW w:w="1529" w:type="pct"/>
            <w:shd w:val="clear" w:color="auto" w:fill="auto"/>
            <w:vAlign w:val="center"/>
          </w:tcPr>
          <w:p w:rsidR="00E5037C" w:rsidRPr="00F875E6" w:rsidRDefault="00E5037C" w:rsidP="00577717">
            <w:pPr>
              <w:tabs>
                <w:tab w:val="left" w:pos="142"/>
              </w:tabs>
              <w:ind w:right="93"/>
              <w:jc w:val="left"/>
              <w:rPr>
                <w:rFonts w:ascii="Arial Narrow" w:hAnsi="Arial Narrow"/>
                <w:sz w:val="20"/>
              </w:rPr>
            </w:pPr>
            <w:r w:rsidRPr="00F875E6">
              <w:rPr>
                <w:rFonts w:ascii="Arial Narrow" w:hAnsi="Arial Narrow"/>
                <w:sz w:val="20"/>
              </w:rPr>
              <w:t xml:space="preserve">Net cost to PBS </w:t>
            </w:r>
          </w:p>
        </w:tc>
        <w:tc>
          <w:tcPr>
            <w:tcW w:w="683" w:type="pct"/>
            <w:shd w:val="clear" w:color="auto" w:fill="auto"/>
            <w:vAlign w:val="bottom"/>
          </w:tcPr>
          <w:p w:rsidR="00E5037C" w:rsidRPr="00F875E6" w:rsidRDefault="00E5037C" w:rsidP="00055D48">
            <w:pPr>
              <w:jc w:val="right"/>
              <w:rPr>
                <w:rFonts w:ascii="Arial Narrow" w:hAnsi="Arial Narrow"/>
                <w:i/>
                <w:sz w:val="20"/>
              </w:rPr>
            </w:pPr>
            <w:r w:rsidRPr="00FB126D">
              <w:rPr>
                <w:rFonts w:ascii="Arial Narrow" w:hAnsi="Arial Narrow"/>
                <w:bCs/>
                <w:i/>
                <w:iCs/>
                <w:sz w:val="20"/>
              </w:rPr>
              <w:t>$</w:t>
            </w:r>
            <w:r w:rsidR="005F7A51">
              <w:rPr>
                <w:rFonts w:ascii="Arial Narrow" w:hAnsi="Arial Narrow"/>
                <w:bCs/>
                <w:i/>
                <w:iCs/>
                <w:noProof/>
                <w:color w:val="000000"/>
                <w:sz w:val="20"/>
                <w:highlight w:val="black"/>
              </w:rPr>
              <w:t>''''''''''''''''''''''''</w:t>
            </w:r>
          </w:p>
        </w:tc>
        <w:tc>
          <w:tcPr>
            <w:tcW w:w="679" w:type="pct"/>
            <w:shd w:val="clear" w:color="auto" w:fill="auto"/>
            <w:vAlign w:val="bottom"/>
          </w:tcPr>
          <w:p w:rsidR="00E5037C" w:rsidRPr="00F875E6" w:rsidRDefault="00E5037C" w:rsidP="00055D48">
            <w:pPr>
              <w:jc w:val="right"/>
              <w:rPr>
                <w:rFonts w:ascii="Arial Narrow" w:hAnsi="Arial Narrow"/>
                <w:i/>
                <w:sz w:val="20"/>
              </w:rPr>
            </w:pPr>
            <w:r w:rsidRPr="00FB126D">
              <w:rPr>
                <w:rFonts w:ascii="Arial Narrow" w:hAnsi="Arial Narrow"/>
                <w:bCs/>
                <w:i/>
                <w:iCs/>
                <w:sz w:val="20"/>
              </w:rPr>
              <w:t>$</w:t>
            </w:r>
            <w:r w:rsidR="005F7A51">
              <w:rPr>
                <w:rFonts w:ascii="Arial Narrow" w:hAnsi="Arial Narrow"/>
                <w:bCs/>
                <w:i/>
                <w:iCs/>
                <w:noProof/>
                <w:color w:val="000000"/>
                <w:sz w:val="20"/>
                <w:highlight w:val="black"/>
              </w:rPr>
              <w:t>''''''''''''''''''''''</w:t>
            </w:r>
          </w:p>
        </w:tc>
        <w:tc>
          <w:tcPr>
            <w:tcW w:w="679" w:type="pct"/>
            <w:shd w:val="clear" w:color="auto" w:fill="auto"/>
            <w:vAlign w:val="bottom"/>
          </w:tcPr>
          <w:p w:rsidR="00E5037C" w:rsidRPr="00F875E6" w:rsidRDefault="00E5037C" w:rsidP="00055D48">
            <w:pPr>
              <w:jc w:val="right"/>
              <w:rPr>
                <w:rFonts w:ascii="Arial Narrow" w:hAnsi="Arial Narrow"/>
                <w:i/>
                <w:sz w:val="20"/>
              </w:rPr>
            </w:pPr>
            <w:r w:rsidRPr="00FB126D">
              <w:rPr>
                <w:rFonts w:ascii="Arial Narrow" w:hAnsi="Arial Narrow"/>
                <w:bCs/>
                <w:i/>
                <w:iCs/>
                <w:sz w:val="20"/>
              </w:rPr>
              <w:t>$</w:t>
            </w:r>
            <w:r w:rsidR="005F7A51">
              <w:rPr>
                <w:rFonts w:ascii="Arial Narrow" w:hAnsi="Arial Narrow"/>
                <w:bCs/>
                <w:i/>
                <w:iCs/>
                <w:noProof/>
                <w:color w:val="000000"/>
                <w:sz w:val="20"/>
                <w:highlight w:val="black"/>
              </w:rPr>
              <w:t>''''''''''''''''''''''''''</w:t>
            </w:r>
          </w:p>
        </w:tc>
        <w:tc>
          <w:tcPr>
            <w:tcW w:w="680" w:type="pct"/>
            <w:shd w:val="clear" w:color="auto" w:fill="auto"/>
            <w:vAlign w:val="bottom"/>
          </w:tcPr>
          <w:p w:rsidR="00E5037C" w:rsidRPr="00F875E6" w:rsidRDefault="00E5037C" w:rsidP="00055D48">
            <w:pPr>
              <w:jc w:val="right"/>
              <w:rPr>
                <w:rFonts w:ascii="Arial Narrow" w:hAnsi="Arial Narrow"/>
                <w:i/>
                <w:sz w:val="20"/>
              </w:rPr>
            </w:pPr>
            <w:r w:rsidRPr="00FB126D">
              <w:rPr>
                <w:rFonts w:ascii="Arial Narrow" w:hAnsi="Arial Narrow"/>
                <w:bCs/>
                <w:i/>
                <w:iCs/>
                <w:sz w:val="20"/>
              </w:rPr>
              <w:t>$</w:t>
            </w:r>
            <w:r w:rsidR="005F7A51">
              <w:rPr>
                <w:rFonts w:ascii="Arial Narrow" w:hAnsi="Arial Narrow"/>
                <w:bCs/>
                <w:i/>
                <w:iCs/>
                <w:noProof/>
                <w:color w:val="000000"/>
                <w:sz w:val="20"/>
                <w:highlight w:val="black"/>
              </w:rPr>
              <w:t>'''''''''''''''''''''''</w:t>
            </w:r>
          </w:p>
        </w:tc>
        <w:tc>
          <w:tcPr>
            <w:tcW w:w="750" w:type="pct"/>
            <w:shd w:val="clear" w:color="auto" w:fill="auto"/>
            <w:vAlign w:val="bottom"/>
          </w:tcPr>
          <w:p w:rsidR="00E5037C" w:rsidRPr="00F875E6" w:rsidRDefault="00E5037C" w:rsidP="00055D48">
            <w:pPr>
              <w:jc w:val="right"/>
              <w:rPr>
                <w:rFonts w:ascii="Arial Narrow" w:hAnsi="Arial Narrow"/>
                <w:i/>
                <w:sz w:val="20"/>
              </w:rPr>
            </w:pPr>
            <w:r w:rsidRPr="00FB126D">
              <w:rPr>
                <w:rFonts w:ascii="Arial Narrow" w:hAnsi="Arial Narrow"/>
                <w:bCs/>
                <w:i/>
                <w:iCs/>
                <w:sz w:val="20"/>
              </w:rPr>
              <w:t>$</w:t>
            </w:r>
            <w:r w:rsidR="005F7A51">
              <w:rPr>
                <w:rFonts w:ascii="Arial Narrow" w:hAnsi="Arial Narrow"/>
                <w:bCs/>
                <w:i/>
                <w:iCs/>
                <w:noProof/>
                <w:color w:val="000000"/>
                <w:sz w:val="20"/>
                <w:highlight w:val="black"/>
              </w:rPr>
              <w:t>''''''''''''''''''''''''</w:t>
            </w:r>
          </w:p>
        </w:tc>
      </w:tr>
      <w:tr w:rsidR="00E5037C" w:rsidRPr="00F875E6" w:rsidTr="00B608CF">
        <w:tc>
          <w:tcPr>
            <w:tcW w:w="1529" w:type="pct"/>
            <w:shd w:val="clear" w:color="auto" w:fill="auto"/>
            <w:vAlign w:val="center"/>
          </w:tcPr>
          <w:p w:rsidR="00E5037C" w:rsidRPr="00F875E6" w:rsidRDefault="00E5037C" w:rsidP="00577717">
            <w:pPr>
              <w:tabs>
                <w:tab w:val="left" w:pos="142"/>
              </w:tabs>
              <w:ind w:right="93"/>
              <w:jc w:val="left"/>
              <w:rPr>
                <w:rFonts w:ascii="Arial Narrow" w:hAnsi="Arial Narrow"/>
                <w:sz w:val="20"/>
              </w:rPr>
            </w:pPr>
            <w:r w:rsidRPr="00F875E6">
              <w:rPr>
                <w:rFonts w:ascii="Arial Narrow" w:hAnsi="Arial Narrow"/>
                <w:sz w:val="20"/>
              </w:rPr>
              <w:t>Net cost to PBS Nov 2014</w:t>
            </w:r>
          </w:p>
        </w:tc>
        <w:tc>
          <w:tcPr>
            <w:tcW w:w="683" w:type="pct"/>
            <w:shd w:val="clear" w:color="auto" w:fill="auto"/>
            <w:vAlign w:val="center"/>
          </w:tcPr>
          <w:p w:rsidR="00E5037C" w:rsidRPr="00F875E6" w:rsidRDefault="00E5037C" w:rsidP="00A12DB6">
            <w:pPr>
              <w:pStyle w:val="Tabletext"/>
              <w:keepNext/>
              <w:widowControl w:val="0"/>
              <w:jc w:val="right"/>
              <w:rPr>
                <w:i/>
              </w:rPr>
            </w:pPr>
            <w:r w:rsidRPr="00FB126D">
              <w:t>$</w:t>
            </w:r>
            <w:r w:rsidR="005F7A51">
              <w:rPr>
                <w:noProof/>
                <w:color w:val="000000"/>
                <w:highlight w:val="black"/>
              </w:rPr>
              <w:t>''''''''''''''''''''''</w:t>
            </w:r>
          </w:p>
        </w:tc>
        <w:tc>
          <w:tcPr>
            <w:tcW w:w="679" w:type="pct"/>
            <w:shd w:val="clear" w:color="auto" w:fill="auto"/>
            <w:vAlign w:val="center"/>
          </w:tcPr>
          <w:p w:rsidR="00E5037C" w:rsidRPr="00F875E6" w:rsidRDefault="00E5037C" w:rsidP="00A12DB6">
            <w:pPr>
              <w:pStyle w:val="Tabletext"/>
              <w:keepNext/>
              <w:widowControl w:val="0"/>
              <w:jc w:val="right"/>
              <w:rPr>
                <w:i/>
              </w:rPr>
            </w:pPr>
            <w:r w:rsidRPr="00FB126D">
              <w:t>$</w:t>
            </w:r>
            <w:r w:rsidR="005F7A51">
              <w:rPr>
                <w:noProof/>
                <w:color w:val="000000"/>
                <w:highlight w:val="black"/>
              </w:rPr>
              <w:t>''''''''''''''''''''''''</w:t>
            </w:r>
          </w:p>
        </w:tc>
        <w:tc>
          <w:tcPr>
            <w:tcW w:w="679" w:type="pct"/>
            <w:shd w:val="clear" w:color="auto" w:fill="auto"/>
            <w:vAlign w:val="center"/>
          </w:tcPr>
          <w:p w:rsidR="00E5037C" w:rsidRPr="00F875E6" w:rsidRDefault="00E5037C" w:rsidP="00A12DB6">
            <w:pPr>
              <w:pStyle w:val="Tabletext"/>
              <w:keepNext/>
              <w:widowControl w:val="0"/>
              <w:jc w:val="right"/>
              <w:rPr>
                <w:i/>
              </w:rPr>
            </w:pPr>
            <w:r w:rsidRPr="00FB126D">
              <w:t>$</w:t>
            </w:r>
            <w:r w:rsidR="005F7A51">
              <w:rPr>
                <w:noProof/>
                <w:color w:val="000000"/>
                <w:highlight w:val="black"/>
              </w:rPr>
              <w:t>''''''''''''''''''''''</w:t>
            </w:r>
          </w:p>
        </w:tc>
        <w:tc>
          <w:tcPr>
            <w:tcW w:w="680" w:type="pct"/>
            <w:shd w:val="clear" w:color="auto" w:fill="auto"/>
            <w:vAlign w:val="center"/>
          </w:tcPr>
          <w:p w:rsidR="00E5037C" w:rsidRPr="00F875E6" w:rsidRDefault="00E5037C" w:rsidP="00A12DB6">
            <w:pPr>
              <w:pStyle w:val="Tabletext"/>
              <w:keepNext/>
              <w:widowControl w:val="0"/>
              <w:jc w:val="right"/>
              <w:rPr>
                <w:i/>
              </w:rPr>
            </w:pPr>
            <w:r w:rsidRPr="00FB126D">
              <w:t>$</w:t>
            </w:r>
            <w:r w:rsidR="005F7A51">
              <w:rPr>
                <w:noProof/>
                <w:color w:val="000000"/>
                <w:highlight w:val="black"/>
              </w:rPr>
              <w:t>''''''''''''''''''''''''</w:t>
            </w:r>
          </w:p>
        </w:tc>
        <w:tc>
          <w:tcPr>
            <w:tcW w:w="750" w:type="pct"/>
            <w:shd w:val="clear" w:color="auto" w:fill="auto"/>
            <w:vAlign w:val="center"/>
          </w:tcPr>
          <w:p w:rsidR="00E5037C" w:rsidRPr="00F875E6" w:rsidRDefault="00E5037C" w:rsidP="00A12DB6">
            <w:pPr>
              <w:pStyle w:val="Tabletext"/>
              <w:keepNext/>
              <w:widowControl w:val="0"/>
              <w:jc w:val="right"/>
              <w:rPr>
                <w:i/>
              </w:rPr>
            </w:pPr>
            <w:r w:rsidRPr="00FB126D">
              <w:t>$</w:t>
            </w:r>
            <w:r w:rsidR="005F7A51">
              <w:rPr>
                <w:noProof/>
                <w:color w:val="000000"/>
                <w:highlight w:val="black"/>
              </w:rPr>
              <w:t>'''''''''''''''''''''</w:t>
            </w:r>
          </w:p>
        </w:tc>
      </w:tr>
      <w:tr w:rsidR="003D6EE1" w:rsidRPr="00F875E6" w:rsidTr="00055D48">
        <w:tc>
          <w:tcPr>
            <w:tcW w:w="1529" w:type="pct"/>
            <w:shd w:val="clear" w:color="auto" w:fill="auto"/>
            <w:vAlign w:val="center"/>
          </w:tcPr>
          <w:p w:rsidR="003D6EE1" w:rsidRPr="00F875E6" w:rsidRDefault="003D6EE1" w:rsidP="0075606F">
            <w:pPr>
              <w:tabs>
                <w:tab w:val="left" w:pos="142"/>
              </w:tabs>
              <w:ind w:right="93"/>
              <w:jc w:val="left"/>
              <w:rPr>
                <w:rFonts w:ascii="Arial Narrow" w:hAnsi="Arial Narrow"/>
                <w:sz w:val="20"/>
              </w:rPr>
            </w:pPr>
            <w:r w:rsidRPr="00F875E6">
              <w:rPr>
                <w:rFonts w:ascii="Arial Narrow" w:hAnsi="Arial Narrow"/>
                <w:sz w:val="20"/>
              </w:rPr>
              <w:t>Net saving to PBS</w:t>
            </w:r>
          </w:p>
        </w:tc>
        <w:tc>
          <w:tcPr>
            <w:tcW w:w="683" w:type="pct"/>
            <w:shd w:val="clear" w:color="auto" w:fill="auto"/>
            <w:vAlign w:val="bottom"/>
          </w:tcPr>
          <w:p w:rsidR="003D6EE1" w:rsidRPr="00F875E6" w:rsidRDefault="003D6EE1" w:rsidP="00055D48">
            <w:pPr>
              <w:jc w:val="right"/>
              <w:rPr>
                <w:rFonts w:ascii="Arial Narrow" w:hAnsi="Arial Narrow"/>
                <w:i/>
                <w:sz w:val="20"/>
              </w:rPr>
            </w:pPr>
            <w:r w:rsidRPr="00FB126D">
              <w:rPr>
                <w:rFonts w:ascii="Arial Narrow" w:hAnsi="Arial Narrow"/>
                <w:i/>
                <w:sz w:val="20"/>
              </w:rPr>
              <w:t>-$</w:t>
            </w:r>
            <w:r w:rsidR="005F7A51">
              <w:rPr>
                <w:rFonts w:ascii="Arial Narrow" w:hAnsi="Arial Narrow"/>
                <w:i/>
                <w:noProof/>
                <w:color w:val="000000"/>
                <w:sz w:val="20"/>
                <w:highlight w:val="black"/>
              </w:rPr>
              <w:t>''''''''''''''''''''''''</w:t>
            </w:r>
          </w:p>
        </w:tc>
        <w:tc>
          <w:tcPr>
            <w:tcW w:w="679" w:type="pct"/>
            <w:shd w:val="clear" w:color="auto" w:fill="auto"/>
            <w:vAlign w:val="bottom"/>
          </w:tcPr>
          <w:p w:rsidR="003D6EE1" w:rsidRPr="00F875E6" w:rsidRDefault="003D6EE1" w:rsidP="00055D48">
            <w:pPr>
              <w:jc w:val="right"/>
              <w:rPr>
                <w:rFonts w:ascii="Arial Narrow" w:hAnsi="Arial Narrow"/>
                <w:i/>
                <w:sz w:val="20"/>
              </w:rPr>
            </w:pPr>
            <w:r w:rsidRPr="00FB126D">
              <w:rPr>
                <w:rFonts w:ascii="Arial Narrow" w:hAnsi="Arial Narrow"/>
                <w:i/>
                <w:sz w:val="20"/>
              </w:rPr>
              <w:t>-$</w:t>
            </w:r>
            <w:r w:rsidR="005F7A51">
              <w:rPr>
                <w:rFonts w:ascii="Arial Narrow" w:hAnsi="Arial Narrow"/>
                <w:i/>
                <w:noProof/>
                <w:color w:val="000000"/>
                <w:sz w:val="20"/>
                <w:highlight w:val="black"/>
              </w:rPr>
              <w:t>'''''''''''''''''''''''</w:t>
            </w:r>
          </w:p>
        </w:tc>
        <w:tc>
          <w:tcPr>
            <w:tcW w:w="679" w:type="pct"/>
            <w:shd w:val="clear" w:color="auto" w:fill="auto"/>
            <w:vAlign w:val="bottom"/>
          </w:tcPr>
          <w:p w:rsidR="003D6EE1" w:rsidRPr="00F875E6" w:rsidRDefault="003D6EE1" w:rsidP="00055D48">
            <w:pPr>
              <w:jc w:val="right"/>
              <w:rPr>
                <w:rFonts w:ascii="Arial Narrow" w:hAnsi="Arial Narrow"/>
                <w:i/>
                <w:sz w:val="20"/>
              </w:rPr>
            </w:pPr>
            <w:r w:rsidRPr="00FB126D">
              <w:rPr>
                <w:rFonts w:ascii="Arial Narrow" w:hAnsi="Arial Narrow"/>
                <w:i/>
                <w:sz w:val="20"/>
              </w:rPr>
              <w:t>-$</w:t>
            </w:r>
            <w:r w:rsidR="005F7A51">
              <w:rPr>
                <w:rFonts w:ascii="Arial Narrow" w:hAnsi="Arial Narrow"/>
                <w:i/>
                <w:noProof/>
                <w:color w:val="000000"/>
                <w:sz w:val="20"/>
                <w:highlight w:val="black"/>
              </w:rPr>
              <w:t>'''''''''''''''''''''''</w:t>
            </w:r>
          </w:p>
        </w:tc>
        <w:tc>
          <w:tcPr>
            <w:tcW w:w="680" w:type="pct"/>
            <w:shd w:val="clear" w:color="auto" w:fill="auto"/>
            <w:vAlign w:val="bottom"/>
          </w:tcPr>
          <w:p w:rsidR="003D6EE1" w:rsidRPr="00F875E6" w:rsidRDefault="003D6EE1" w:rsidP="00055D48">
            <w:pPr>
              <w:jc w:val="right"/>
              <w:rPr>
                <w:rFonts w:ascii="Arial Narrow" w:hAnsi="Arial Narrow"/>
                <w:i/>
                <w:sz w:val="20"/>
              </w:rPr>
            </w:pPr>
            <w:r w:rsidRPr="00FB126D">
              <w:rPr>
                <w:rFonts w:ascii="Arial Narrow" w:hAnsi="Arial Narrow"/>
                <w:i/>
                <w:sz w:val="20"/>
              </w:rPr>
              <w:t>-$</w:t>
            </w:r>
            <w:r w:rsidR="005F7A51">
              <w:rPr>
                <w:rFonts w:ascii="Arial Narrow" w:hAnsi="Arial Narrow"/>
                <w:i/>
                <w:noProof/>
                <w:color w:val="000000"/>
                <w:sz w:val="20"/>
                <w:highlight w:val="black"/>
              </w:rPr>
              <w:t>''''''''''''''''''''''</w:t>
            </w:r>
          </w:p>
        </w:tc>
        <w:tc>
          <w:tcPr>
            <w:tcW w:w="750" w:type="pct"/>
            <w:shd w:val="clear" w:color="auto" w:fill="auto"/>
            <w:vAlign w:val="bottom"/>
          </w:tcPr>
          <w:p w:rsidR="003D6EE1" w:rsidRPr="00F875E6" w:rsidRDefault="003D6EE1" w:rsidP="00055D48">
            <w:pPr>
              <w:jc w:val="right"/>
              <w:rPr>
                <w:rFonts w:ascii="Arial Narrow" w:hAnsi="Arial Narrow"/>
                <w:i/>
                <w:sz w:val="20"/>
              </w:rPr>
            </w:pPr>
            <w:r w:rsidRPr="00FB126D">
              <w:rPr>
                <w:rFonts w:ascii="Arial Narrow" w:hAnsi="Arial Narrow"/>
                <w:i/>
                <w:sz w:val="20"/>
              </w:rPr>
              <w:t>-$</w:t>
            </w:r>
            <w:r w:rsidR="005F7A51">
              <w:rPr>
                <w:rFonts w:ascii="Arial Narrow" w:hAnsi="Arial Narrow"/>
                <w:i/>
                <w:noProof/>
                <w:color w:val="000000"/>
                <w:sz w:val="20"/>
                <w:highlight w:val="black"/>
              </w:rPr>
              <w:t>''''''''''''''''''''''''</w:t>
            </w:r>
          </w:p>
        </w:tc>
      </w:tr>
      <w:tr w:rsidR="0075606F" w:rsidRPr="00F875E6" w:rsidTr="00B608CF">
        <w:tc>
          <w:tcPr>
            <w:tcW w:w="1529" w:type="pct"/>
            <w:shd w:val="clear" w:color="auto" w:fill="auto"/>
            <w:vAlign w:val="center"/>
          </w:tcPr>
          <w:p w:rsidR="0075606F" w:rsidRPr="00F875E6" w:rsidRDefault="0075606F" w:rsidP="0075606F">
            <w:pPr>
              <w:tabs>
                <w:tab w:val="left" w:pos="142"/>
              </w:tabs>
              <w:ind w:right="93"/>
              <w:jc w:val="left"/>
              <w:rPr>
                <w:rFonts w:ascii="Arial Narrow" w:hAnsi="Arial Narrow"/>
                <w:sz w:val="20"/>
              </w:rPr>
            </w:pPr>
            <w:r w:rsidRPr="00F875E6">
              <w:rPr>
                <w:rFonts w:ascii="Arial Narrow" w:hAnsi="Arial Narrow"/>
                <w:sz w:val="20"/>
              </w:rPr>
              <w:t>Net saving to PBS Nov 2014</w:t>
            </w:r>
          </w:p>
        </w:tc>
        <w:tc>
          <w:tcPr>
            <w:tcW w:w="683" w:type="pct"/>
            <w:shd w:val="clear" w:color="auto" w:fill="auto"/>
            <w:vAlign w:val="center"/>
          </w:tcPr>
          <w:p w:rsidR="0075606F" w:rsidRPr="00F875E6" w:rsidRDefault="0075606F" w:rsidP="00A12DB6">
            <w:pPr>
              <w:jc w:val="right"/>
              <w:rPr>
                <w:rFonts w:ascii="Arial Narrow" w:hAnsi="Arial Narrow"/>
                <w:bCs/>
                <w:i/>
                <w:sz w:val="20"/>
              </w:rPr>
            </w:pPr>
            <w:r w:rsidRPr="00FB126D">
              <w:rPr>
                <w:rFonts w:ascii="Arial Narrow" w:hAnsi="Arial Narrow"/>
                <w:bCs/>
                <w:i/>
                <w:sz w:val="20"/>
              </w:rPr>
              <w:t>-$</w:t>
            </w:r>
            <w:r w:rsidR="005F7A51">
              <w:rPr>
                <w:rFonts w:ascii="Arial Narrow" w:hAnsi="Arial Narrow"/>
                <w:bCs/>
                <w:i/>
                <w:noProof/>
                <w:color w:val="000000"/>
                <w:sz w:val="20"/>
                <w:highlight w:val="black"/>
              </w:rPr>
              <w:t>'''''''''''''''''''''</w:t>
            </w:r>
          </w:p>
        </w:tc>
        <w:tc>
          <w:tcPr>
            <w:tcW w:w="679" w:type="pct"/>
            <w:shd w:val="clear" w:color="auto" w:fill="auto"/>
            <w:vAlign w:val="center"/>
          </w:tcPr>
          <w:p w:rsidR="0075606F" w:rsidRPr="00F875E6" w:rsidRDefault="0075606F" w:rsidP="00A12DB6">
            <w:pPr>
              <w:jc w:val="right"/>
              <w:rPr>
                <w:rFonts w:ascii="Arial Narrow" w:hAnsi="Arial Narrow"/>
                <w:bCs/>
                <w:i/>
                <w:sz w:val="20"/>
              </w:rPr>
            </w:pPr>
            <w:r w:rsidRPr="00FB126D">
              <w:rPr>
                <w:rFonts w:ascii="Arial Narrow" w:hAnsi="Arial Narrow"/>
                <w:bCs/>
                <w:i/>
                <w:sz w:val="20"/>
              </w:rPr>
              <w:t>-$</w:t>
            </w:r>
            <w:r w:rsidR="005F7A51">
              <w:rPr>
                <w:rFonts w:ascii="Arial Narrow" w:hAnsi="Arial Narrow"/>
                <w:bCs/>
                <w:i/>
                <w:noProof/>
                <w:color w:val="000000"/>
                <w:sz w:val="20"/>
                <w:highlight w:val="black"/>
              </w:rPr>
              <w:t>'''''''''''''''''''''''</w:t>
            </w:r>
          </w:p>
        </w:tc>
        <w:tc>
          <w:tcPr>
            <w:tcW w:w="679" w:type="pct"/>
            <w:shd w:val="clear" w:color="auto" w:fill="auto"/>
            <w:vAlign w:val="center"/>
          </w:tcPr>
          <w:p w:rsidR="0075606F" w:rsidRPr="00F875E6" w:rsidRDefault="0075606F" w:rsidP="00A12DB6">
            <w:pPr>
              <w:jc w:val="right"/>
              <w:rPr>
                <w:rFonts w:ascii="Arial Narrow" w:hAnsi="Arial Narrow"/>
                <w:bCs/>
                <w:i/>
                <w:sz w:val="20"/>
              </w:rPr>
            </w:pPr>
            <w:r w:rsidRPr="00FB126D">
              <w:rPr>
                <w:rFonts w:ascii="Arial Narrow" w:hAnsi="Arial Narrow"/>
                <w:bCs/>
                <w:i/>
                <w:sz w:val="20"/>
              </w:rPr>
              <w:t>-$</w:t>
            </w:r>
            <w:r w:rsidR="005F7A51">
              <w:rPr>
                <w:rFonts w:ascii="Arial Narrow" w:hAnsi="Arial Narrow"/>
                <w:bCs/>
                <w:i/>
                <w:noProof/>
                <w:color w:val="000000"/>
                <w:sz w:val="20"/>
                <w:highlight w:val="black"/>
              </w:rPr>
              <w:t>''''''''''''''''''''''''''</w:t>
            </w:r>
          </w:p>
        </w:tc>
        <w:tc>
          <w:tcPr>
            <w:tcW w:w="680" w:type="pct"/>
            <w:shd w:val="clear" w:color="auto" w:fill="auto"/>
            <w:vAlign w:val="center"/>
          </w:tcPr>
          <w:p w:rsidR="0075606F" w:rsidRPr="00F875E6" w:rsidRDefault="0075606F" w:rsidP="00A12DB6">
            <w:pPr>
              <w:jc w:val="right"/>
              <w:rPr>
                <w:rFonts w:ascii="Arial Narrow" w:hAnsi="Arial Narrow"/>
                <w:bCs/>
                <w:i/>
                <w:sz w:val="20"/>
              </w:rPr>
            </w:pPr>
            <w:r w:rsidRPr="00FB126D">
              <w:rPr>
                <w:rFonts w:ascii="Arial Narrow" w:hAnsi="Arial Narrow"/>
                <w:bCs/>
                <w:i/>
                <w:sz w:val="20"/>
              </w:rPr>
              <w:t>-$</w:t>
            </w:r>
            <w:r w:rsidR="005F7A51">
              <w:rPr>
                <w:rFonts w:ascii="Arial Narrow" w:hAnsi="Arial Narrow"/>
                <w:bCs/>
                <w:i/>
                <w:noProof/>
                <w:color w:val="000000"/>
                <w:sz w:val="20"/>
                <w:highlight w:val="black"/>
              </w:rPr>
              <w:t>'''''''''''''''''''''''</w:t>
            </w:r>
          </w:p>
        </w:tc>
        <w:tc>
          <w:tcPr>
            <w:tcW w:w="750" w:type="pct"/>
            <w:shd w:val="clear" w:color="auto" w:fill="auto"/>
            <w:vAlign w:val="center"/>
          </w:tcPr>
          <w:p w:rsidR="0075606F" w:rsidRPr="00F875E6" w:rsidRDefault="0075606F" w:rsidP="00A12DB6">
            <w:pPr>
              <w:jc w:val="right"/>
              <w:rPr>
                <w:rFonts w:ascii="Arial Narrow" w:hAnsi="Arial Narrow"/>
                <w:bCs/>
                <w:i/>
                <w:sz w:val="20"/>
              </w:rPr>
            </w:pPr>
            <w:r w:rsidRPr="00FB126D">
              <w:rPr>
                <w:rFonts w:ascii="Arial Narrow" w:hAnsi="Arial Narrow"/>
                <w:bCs/>
                <w:i/>
                <w:sz w:val="20"/>
              </w:rPr>
              <w:t>-$</w:t>
            </w:r>
            <w:r w:rsidR="005F7A51">
              <w:rPr>
                <w:rFonts w:ascii="Arial Narrow" w:hAnsi="Arial Narrow"/>
                <w:bCs/>
                <w:i/>
                <w:noProof/>
                <w:color w:val="000000"/>
                <w:sz w:val="20"/>
                <w:highlight w:val="black"/>
              </w:rPr>
              <w:t>'''''''''''''''''''''''''</w:t>
            </w:r>
          </w:p>
        </w:tc>
      </w:tr>
      <w:tr w:rsidR="0004231D" w:rsidRPr="00F875E6" w:rsidTr="00B608CF">
        <w:tc>
          <w:tcPr>
            <w:tcW w:w="5000" w:type="pct"/>
            <w:gridSpan w:val="6"/>
            <w:shd w:val="clear" w:color="auto" w:fill="auto"/>
            <w:vAlign w:val="center"/>
          </w:tcPr>
          <w:p w:rsidR="0004231D" w:rsidRPr="00F875E6" w:rsidRDefault="0004231D" w:rsidP="00577717">
            <w:pPr>
              <w:ind w:right="93"/>
              <w:jc w:val="left"/>
              <w:rPr>
                <w:rFonts w:ascii="Arial Narrow" w:hAnsi="Arial Narrow"/>
                <w:b/>
                <w:sz w:val="20"/>
              </w:rPr>
            </w:pPr>
            <w:r w:rsidRPr="00F875E6">
              <w:rPr>
                <w:rFonts w:ascii="Arial Narrow" w:hAnsi="Arial Narrow"/>
                <w:b/>
                <w:sz w:val="20"/>
              </w:rPr>
              <w:t>Estimated total net cost</w:t>
            </w:r>
          </w:p>
        </w:tc>
      </w:tr>
      <w:tr w:rsidR="00E5037C" w:rsidRPr="00F875E6" w:rsidTr="00A12DB6">
        <w:tc>
          <w:tcPr>
            <w:tcW w:w="1529" w:type="pct"/>
            <w:shd w:val="clear" w:color="auto" w:fill="auto"/>
            <w:vAlign w:val="center"/>
          </w:tcPr>
          <w:p w:rsidR="00E5037C" w:rsidRPr="00F875E6" w:rsidRDefault="00E5037C" w:rsidP="00577717">
            <w:pPr>
              <w:tabs>
                <w:tab w:val="left" w:pos="142"/>
              </w:tabs>
              <w:ind w:right="93"/>
              <w:jc w:val="left"/>
              <w:rPr>
                <w:rFonts w:ascii="Arial Narrow" w:hAnsi="Arial Narrow"/>
                <w:b/>
                <w:sz w:val="20"/>
              </w:rPr>
            </w:pPr>
            <w:r w:rsidRPr="00F875E6">
              <w:rPr>
                <w:rFonts w:ascii="Arial Narrow" w:hAnsi="Arial Narrow"/>
                <w:b/>
                <w:bCs/>
                <w:sz w:val="20"/>
              </w:rPr>
              <w:t>Net cost PBS/MBS</w:t>
            </w:r>
          </w:p>
        </w:tc>
        <w:tc>
          <w:tcPr>
            <w:tcW w:w="683" w:type="pct"/>
            <w:shd w:val="clear" w:color="auto" w:fill="auto"/>
            <w:vAlign w:val="bottom"/>
          </w:tcPr>
          <w:p w:rsidR="00E5037C" w:rsidRPr="00F875E6" w:rsidRDefault="00E5037C" w:rsidP="00055D48">
            <w:pPr>
              <w:jc w:val="right"/>
              <w:rPr>
                <w:rFonts w:ascii="Arial Narrow" w:hAnsi="Arial Narrow"/>
                <w:b/>
                <w:i/>
                <w:iCs/>
                <w:sz w:val="20"/>
              </w:rPr>
            </w:pPr>
            <w:r w:rsidRPr="00FB126D">
              <w:rPr>
                <w:rFonts w:ascii="Arial Narrow" w:hAnsi="Arial Narrow"/>
                <w:b/>
                <w:bCs/>
                <w:i/>
                <w:iCs/>
                <w:sz w:val="20"/>
              </w:rPr>
              <w:t>$</w:t>
            </w:r>
            <w:r w:rsidR="005F7A51">
              <w:rPr>
                <w:rFonts w:ascii="Arial Narrow" w:hAnsi="Arial Narrow"/>
                <w:b/>
                <w:bCs/>
                <w:i/>
                <w:iCs/>
                <w:noProof/>
                <w:color w:val="000000"/>
                <w:sz w:val="20"/>
                <w:highlight w:val="black"/>
              </w:rPr>
              <w:t>''''''''''''''''''''</w:t>
            </w:r>
          </w:p>
        </w:tc>
        <w:tc>
          <w:tcPr>
            <w:tcW w:w="679" w:type="pct"/>
            <w:shd w:val="clear" w:color="auto" w:fill="auto"/>
            <w:vAlign w:val="bottom"/>
          </w:tcPr>
          <w:p w:rsidR="00E5037C" w:rsidRPr="00F875E6" w:rsidRDefault="00E5037C" w:rsidP="00055D48">
            <w:pPr>
              <w:jc w:val="right"/>
              <w:rPr>
                <w:rFonts w:ascii="Arial Narrow" w:hAnsi="Arial Narrow"/>
                <w:b/>
                <w:i/>
                <w:iCs/>
                <w:sz w:val="20"/>
              </w:rPr>
            </w:pPr>
            <w:r w:rsidRPr="00FB126D">
              <w:rPr>
                <w:rFonts w:ascii="Arial Narrow" w:hAnsi="Arial Narrow"/>
                <w:b/>
                <w:bCs/>
                <w:i/>
                <w:iCs/>
                <w:sz w:val="20"/>
              </w:rPr>
              <w:t>$</w:t>
            </w:r>
            <w:r w:rsidR="005F7A51">
              <w:rPr>
                <w:rFonts w:ascii="Arial Narrow" w:hAnsi="Arial Narrow"/>
                <w:b/>
                <w:bCs/>
                <w:i/>
                <w:iCs/>
                <w:noProof/>
                <w:color w:val="000000"/>
                <w:sz w:val="20"/>
                <w:highlight w:val="black"/>
              </w:rPr>
              <w:t>''''''''''''''''''''</w:t>
            </w:r>
          </w:p>
        </w:tc>
        <w:tc>
          <w:tcPr>
            <w:tcW w:w="679" w:type="pct"/>
            <w:shd w:val="clear" w:color="auto" w:fill="auto"/>
            <w:vAlign w:val="bottom"/>
          </w:tcPr>
          <w:p w:rsidR="00E5037C" w:rsidRPr="00F875E6" w:rsidRDefault="00E5037C" w:rsidP="00055D48">
            <w:pPr>
              <w:jc w:val="right"/>
              <w:rPr>
                <w:rFonts w:ascii="Arial Narrow" w:hAnsi="Arial Narrow"/>
                <w:b/>
                <w:i/>
                <w:iCs/>
                <w:sz w:val="20"/>
              </w:rPr>
            </w:pPr>
            <w:r w:rsidRPr="00FB126D">
              <w:rPr>
                <w:rFonts w:ascii="Arial Narrow" w:hAnsi="Arial Narrow"/>
                <w:b/>
                <w:bCs/>
                <w:i/>
                <w:iCs/>
                <w:sz w:val="20"/>
              </w:rPr>
              <w:t>$</w:t>
            </w:r>
            <w:r w:rsidR="005F7A51">
              <w:rPr>
                <w:rFonts w:ascii="Arial Narrow" w:hAnsi="Arial Narrow"/>
                <w:b/>
                <w:bCs/>
                <w:i/>
                <w:iCs/>
                <w:noProof/>
                <w:color w:val="000000"/>
                <w:sz w:val="20"/>
                <w:highlight w:val="black"/>
              </w:rPr>
              <w:t>'''''''''''''''''''''</w:t>
            </w:r>
          </w:p>
        </w:tc>
        <w:tc>
          <w:tcPr>
            <w:tcW w:w="680" w:type="pct"/>
            <w:shd w:val="clear" w:color="auto" w:fill="auto"/>
            <w:vAlign w:val="bottom"/>
          </w:tcPr>
          <w:p w:rsidR="00E5037C" w:rsidRPr="00F875E6" w:rsidRDefault="00E5037C" w:rsidP="00055D48">
            <w:pPr>
              <w:jc w:val="right"/>
              <w:rPr>
                <w:rFonts w:ascii="Arial Narrow" w:hAnsi="Arial Narrow"/>
                <w:b/>
                <w:i/>
                <w:iCs/>
                <w:sz w:val="20"/>
              </w:rPr>
            </w:pPr>
            <w:r w:rsidRPr="00FB126D">
              <w:rPr>
                <w:rFonts w:ascii="Arial Narrow" w:hAnsi="Arial Narrow"/>
                <w:b/>
                <w:bCs/>
                <w:i/>
                <w:iCs/>
                <w:sz w:val="20"/>
              </w:rPr>
              <w:t>$</w:t>
            </w:r>
            <w:r w:rsidR="005F7A51">
              <w:rPr>
                <w:rFonts w:ascii="Arial Narrow" w:hAnsi="Arial Narrow"/>
                <w:b/>
                <w:bCs/>
                <w:i/>
                <w:iCs/>
                <w:noProof/>
                <w:color w:val="000000"/>
                <w:sz w:val="20"/>
                <w:highlight w:val="black"/>
              </w:rPr>
              <w:t>''''''''''''''''''</w:t>
            </w:r>
          </w:p>
        </w:tc>
        <w:tc>
          <w:tcPr>
            <w:tcW w:w="750" w:type="pct"/>
            <w:shd w:val="clear" w:color="auto" w:fill="auto"/>
            <w:vAlign w:val="bottom"/>
          </w:tcPr>
          <w:p w:rsidR="00E5037C" w:rsidRPr="00F875E6" w:rsidRDefault="00E5037C" w:rsidP="00055D48">
            <w:pPr>
              <w:jc w:val="right"/>
              <w:rPr>
                <w:rFonts w:ascii="Arial Narrow" w:hAnsi="Arial Narrow"/>
                <w:b/>
                <w:i/>
                <w:iCs/>
                <w:sz w:val="20"/>
              </w:rPr>
            </w:pPr>
            <w:r w:rsidRPr="00FB126D">
              <w:rPr>
                <w:rFonts w:ascii="Arial Narrow" w:hAnsi="Arial Narrow"/>
                <w:b/>
                <w:bCs/>
                <w:i/>
                <w:iCs/>
                <w:sz w:val="20"/>
              </w:rPr>
              <w:t>$</w:t>
            </w:r>
            <w:r w:rsidR="005F7A51">
              <w:rPr>
                <w:rFonts w:ascii="Arial Narrow" w:hAnsi="Arial Narrow"/>
                <w:b/>
                <w:bCs/>
                <w:i/>
                <w:iCs/>
                <w:noProof/>
                <w:color w:val="000000"/>
                <w:sz w:val="20"/>
                <w:highlight w:val="black"/>
              </w:rPr>
              <w:t>'''''''''''''''''''</w:t>
            </w:r>
          </w:p>
        </w:tc>
      </w:tr>
      <w:tr w:rsidR="0075606F" w:rsidRPr="00F875E6" w:rsidTr="00B608CF">
        <w:tc>
          <w:tcPr>
            <w:tcW w:w="1529" w:type="pct"/>
            <w:shd w:val="clear" w:color="auto" w:fill="auto"/>
            <w:vAlign w:val="center"/>
          </w:tcPr>
          <w:p w:rsidR="0075606F" w:rsidRPr="00F875E6" w:rsidRDefault="0075606F" w:rsidP="0075606F">
            <w:pPr>
              <w:tabs>
                <w:tab w:val="left" w:pos="142"/>
              </w:tabs>
              <w:ind w:right="93"/>
              <w:jc w:val="left"/>
              <w:rPr>
                <w:rFonts w:ascii="Arial Narrow" w:hAnsi="Arial Narrow"/>
                <w:sz w:val="20"/>
              </w:rPr>
            </w:pPr>
            <w:r w:rsidRPr="00F875E6">
              <w:rPr>
                <w:rFonts w:ascii="Arial Narrow" w:hAnsi="Arial Narrow"/>
                <w:bCs/>
                <w:sz w:val="20"/>
              </w:rPr>
              <w:t>Net cost PBS/MBS Nov 2014</w:t>
            </w:r>
          </w:p>
        </w:tc>
        <w:tc>
          <w:tcPr>
            <w:tcW w:w="683" w:type="pct"/>
            <w:shd w:val="clear" w:color="auto" w:fill="auto"/>
            <w:vAlign w:val="center"/>
          </w:tcPr>
          <w:p w:rsidR="0075606F" w:rsidRPr="00F875E6" w:rsidRDefault="0075606F" w:rsidP="00A12DB6">
            <w:pPr>
              <w:pStyle w:val="Tabletext"/>
              <w:keepNext/>
              <w:widowControl w:val="0"/>
              <w:jc w:val="right"/>
              <w:rPr>
                <w:i/>
              </w:rPr>
            </w:pPr>
            <w:r w:rsidRPr="00FB126D">
              <w:rPr>
                <w:i/>
              </w:rPr>
              <w:t>$</w:t>
            </w:r>
            <w:r w:rsidR="005F7A51">
              <w:rPr>
                <w:i/>
                <w:noProof/>
                <w:color w:val="000000"/>
                <w:highlight w:val="black"/>
              </w:rPr>
              <w:t>'''''''''''''''''''''''''</w:t>
            </w:r>
          </w:p>
        </w:tc>
        <w:tc>
          <w:tcPr>
            <w:tcW w:w="679" w:type="pct"/>
            <w:shd w:val="clear" w:color="auto" w:fill="auto"/>
            <w:vAlign w:val="center"/>
          </w:tcPr>
          <w:p w:rsidR="0075606F" w:rsidRPr="00F875E6" w:rsidRDefault="0075606F" w:rsidP="00A12DB6">
            <w:pPr>
              <w:pStyle w:val="Tabletext"/>
              <w:keepNext/>
              <w:widowControl w:val="0"/>
              <w:jc w:val="right"/>
              <w:rPr>
                <w:i/>
              </w:rPr>
            </w:pPr>
            <w:r w:rsidRPr="00FB126D">
              <w:rPr>
                <w:i/>
              </w:rPr>
              <w:t>$</w:t>
            </w:r>
            <w:r w:rsidR="005F7A51">
              <w:rPr>
                <w:i/>
                <w:noProof/>
                <w:color w:val="000000"/>
                <w:highlight w:val="black"/>
              </w:rPr>
              <w:t>'''''''''''''''''''''''''</w:t>
            </w:r>
          </w:p>
        </w:tc>
        <w:tc>
          <w:tcPr>
            <w:tcW w:w="679" w:type="pct"/>
            <w:shd w:val="clear" w:color="auto" w:fill="auto"/>
            <w:vAlign w:val="center"/>
          </w:tcPr>
          <w:p w:rsidR="0075606F" w:rsidRPr="00F875E6" w:rsidRDefault="0075606F" w:rsidP="00A12DB6">
            <w:pPr>
              <w:pStyle w:val="Tabletext"/>
              <w:keepNext/>
              <w:widowControl w:val="0"/>
              <w:jc w:val="right"/>
              <w:rPr>
                <w:i/>
              </w:rPr>
            </w:pPr>
            <w:r w:rsidRPr="00FB126D">
              <w:rPr>
                <w:i/>
              </w:rPr>
              <w:t>$</w:t>
            </w:r>
            <w:r w:rsidR="005F7A51">
              <w:rPr>
                <w:i/>
                <w:noProof/>
                <w:color w:val="000000"/>
                <w:highlight w:val="black"/>
              </w:rPr>
              <w:t>''''''''''''''''''''''</w:t>
            </w:r>
          </w:p>
        </w:tc>
        <w:tc>
          <w:tcPr>
            <w:tcW w:w="680" w:type="pct"/>
            <w:shd w:val="clear" w:color="auto" w:fill="auto"/>
            <w:vAlign w:val="center"/>
          </w:tcPr>
          <w:p w:rsidR="0075606F" w:rsidRPr="00F875E6" w:rsidRDefault="0075606F" w:rsidP="00A12DB6">
            <w:pPr>
              <w:pStyle w:val="Tabletext"/>
              <w:keepNext/>
              <w:widowControl w:val="0"/>
              <w:jc w:val="right"/>
              <w:rPr>
                <w:i/>
              </w:rPr>
            </w:pPr>
            <w:r w:rsidRPr="00FB126D">
              <w:rPr>
                <w:i/>
              </w:rPr>
              <w:t>$</w:t>
            </w:r>
            <w:r w:rsidR="005F7A51">
              <w:rPr>
                <w:i/>
                <w:noProof/>
                <w:color w:val="000000"/>
                <w:highlight w:val="black"/>
              </w:rPr>
              <w:t>'''''''''''''''''''''''''</w:t>
            </w:r>
          </w:p>
        </w:tc>
        <w:tc>
          <w:tcPr>
            <w:tcW w:w="750" w:type="pct"/>
            <w:shd w:val="clear" w:color="auto" w:fill="auto"/>
            <w:vAlign w:val="center"/>
          </w:tcPr>
          <w:p w:rsidR="0075606F" w:rsidRPr="00F875E6" w:rsidRDefault="0075606F" w:rsidP="00A12DB6">
            <w:pPr>
              <w:pStyle w:val="Tabletext"/>
              <w:keepNext/>
              <w:widowControl w:val="0"/>
              <w:jc w:val="right"/>
              <w:rPr>
                <w:i/>
              </w:rPr>
            </w:pPr>
            <w:r w:rsidRPr="00FB126D">
              <w:rPr>
                <w:i/>
              </w:rPr>
              <w:t>$</w:t>
            </w:r>
            <w:r w:rsidR="005F7A51">
              <w:rPr>
                <w:i/>
                <w:noProof/>
                <w:color w:val="000000"/>
                <w:highlight w:val="black"/>
              </w:rPr>
              <w:t>''''''''''''''''''''''''''</w:t>
            </w:r>
          </w:p>
        </w:tc>
      </w:tr>
    </w:tbl>
    <w:p w:rsidR="0004231D" w:rsidRPr="00F875E6" w:rsidRDefault="0004231D" w:rsidP="00B608CF">
      <w:pPr>
        <w:pStyle w:val="TableFooter"/>
        <w:ind w:firstLine="709"/>
      </w:pPr>
      <w:r w:rsidRPr="00F875E6">
        <w:t>Source: Compiled during the evaluation</w:t>
      </w:r>
    </w:p>
    <w:p w:rsidR="00B51566" w:rsidRPr="00F875E6" w:rsidRDefault="00B51566" w:rsidP="00B51566">
      <w:pPr>
        <w:pStyle w:val="TableFooter"/>
        <w:ind w:firstLine="709"/>
        <w:rPr>
          <w:i/>
          <w:szCs w:val="22"/>
        </w:rPr>
      </w:pPr>
      <w:r w:rsidRPr="00F875E6">
        <w:rPr>
          <w:rStyle w:val="CommentReference"/>
          <w:b w:val="0"/>
          <w:sz w:val="18"/>
          <w:szCs w:val="20"/>
        </w:rPr>
        <w:t>PBS = Pharmaceutical Benefits Scheme; MBS = Medicare Benefits Schedule.</w:t>
      </w:r>
    </w:p>
    <w:p w:rsidR="00E06C1A" w:rsidRPr="00F875E6" w:rsidRDefault="00E06C1A" w:rsidP="00E5037C">
      <w:pPr>
        <w:pStyle w:val="TableFooter"/>
        <w:ind w:left="709"/>
        <w:rPr>
          <w:i/>
        </w:rPr>
      </w:pPr>
      <w:r w:rsidRPr="00F875E6">
        <w:rPr>
          <w:i/>
        </w:rPr>
        <w:t>Values in italics for this re-submission were corrections for errors in the Excel spreadsheet.</w:t>
      </w:r>
      <w:r w:rsidR="00E5037C" w:rsidRPr="00F875E6">
        <w:rPr>
          <w:i/>
        </w:rPr>
        <w:t xml:space="preserve"> Values for the November 2014 submission were extracted from the 5-9 Commentary 10-2014.</w:t>
      </w:r>
    </w:p>
    <w:p w:rsidR="00C25D9C" w:rsidRDefault="00C25D9C" w:rsidP="00C25D9C">
      <w:pPr>
        <w:widowControl/>
        <w:rPr>
          <w:szCs w:val="22"/>
        </w:rPr>
      </w:pPr>
    </w:p>
    <w:p w:rsidR="00470460" w:rsidRPr="00470460" w:rsidRDefault="00470460" w:rsidP="00470460">
      <w:pPr>
        <w:widowControl/>
        <w:ind w:left="709"/>
        <w:rPr>
          <w:i/>
          <w:szCs w:val="22"/>
        </w:rPr>
      </w:pPr>
      <w:r w:rsidRPr="00470460">
        <w:rPr>
          <w:i/>
        </w:rPr>
        <w:t>The redacted table above shows the estimated patients to receive treatment with ponatinib to be less than 10,000 per year and the estimated net cost to the PBS/MBS to be less than $10 million per year.</w:t>
      </w:r>
    </w:p>
    <w:p w:rsidR="00470460" w:rsidRPr="00F875E6" w:rsidRDefault="00470460" w:rsidP="00C25D9C">
      <w:pPr>
        <w:widowControl/>
        <w:rPr>
          <w:szCs w:val="22"/>
        </w:rPr>
      </w:pPr>
    </w:p>
    <w:p w:rsidR="00770A52" w:rsidRPr="00F875E6" w:rsidRDefault="00770A52" w:rsidP="00770A52">
      <w:pPr>
        <w:pStyle w:val="ListParagraph"/>
        <w:widowControl/>
        <w:numPr>
          <w:ilvl w:val="1"/>
          <w:numId w:val="4"/>
        </w:numPr>
        <w:rPr>
          <w:szCs w:val="22"/>
        </w:rPr>
      </w:pPr>
      <w:r w:rsidRPr="00F875E6">
        <w:rPr>
          <w:szCs w:val="22"/>
        </w:rPr>
        <w:t xml:space="preserve">The re-submission did not include the cost of genetic testing and noted that genetic testing is </w:t>
      </w:r>
      <w:r w:rsidR="00953000" w:rsidRPr="00F875E6">
        <w:rPr>
          <w:szCs w:val="22"/>
        </w:rPr>
        <w:t xml:space="preserve">a </w:t>
      </w:r>
      <w:r w:rsidRPr="00F875E6">
        <w:rPr>
          <w:szCs w:val="22"/>
        </w:rPr>
        <w:t xml:space="preserve">routine part of current practice when patients no longer respond to their current therapy. Therefore, the re-submission argued that the listing of ponatinib is unlikely to significantly impact on the number of tests required. </w:t>
      </w:r>
    </w:p>
    <w:p w:rsidR="00770A52" w:rsidRPr="00F875E6" w:rsidRDefault="00770A52" w:rsidP="00770A52">
      <w:pPr>
        <w:pStyle w:val="ListParagraph"/>
        <w:widowControl/>
        <w:rPr>
          <w:szCs w:val="22"/>
        </w:rPr>
      </w:pPr>
    </w:p>
    <w:p w:rsidR="00C25D9C" w:rsidRPr="00F875E6" w:rsidRDefault="003D6EE1" w:rsidP="006D1EE0">
      <w:pPr>
        <w:pStyle w:val="ListParagraph"/>
        <w:widowControl/>
        <w:numPr>
          <w:ilvl w:val="1"/>
          <w:numId w:val="4"/>
        </w:numPr>
        <w:rPr>
          <w:szCs w:val="22"/>
        </w:rPr>
      </w:pPr>
      <w:r w:rsidRPr="00F875E6">
        <w:t>The accuracy of the financial estimates was uncertain. The main factors contributing to this uncertainty were:</w:t>
      </w:r>
    </w:p>
    <w:p w:rsidR="003D6EE1" w:rsidRPr="00F875E6" w:rsidRDefault="003538E4" w:rsidP="00470460">
      <w:pPr>
        <w:pStyle w:val="ListParagraph"/>
        <w:widowControl/>
        <w:numPr>
          <w:ilvl w:val="0"/>
          <w:numId w:val="28"/>
        </w:numPr>
        <w:tabs>
          <w:tab w:val="clear" w:pos="360"/>
          <w:tab w:val="num" w:pos="993"/>
        </w:tabs>
        <w:ind w:left="993" w:hanging="284"/>
        <w:rPr>
          <w:szCs w:val="22"/>
        </w:rPr>
      </w:pPr>
      <w:r w:rsidRPr="00F875E6">
        <w:rPr>
          <w:szCs w:val="22"/>
        </w:rPr>
        <w:t>The re-submission incorrectly estimated and potentially underestimated the number of patients treated with TKIs (imatinib, dasatinib, and nilotinib) compared with the February 2014 DUSC review of TKIs use</w:t>
      </w:r>
      <w:r w:rsidR="005876CA" w:rsidRPr="00F875E6">
        <w:rPr>
          <w:szCs w:val="22"/>
        </w:rPr>
        <w:t xml:space="preserve"> </w:t>
      </w:r>
      <w:r w:rsidR="005876CA" w:rsidRPr="00F875E6">
        <w:t>(</w:t>
      </w:r>
      <w:r w:rsidR="00470460">
        <w:t>less than 10,000</w:t>
      </w:r>
      <w:r w:rsidR="005876CA" w:rsidRPr="00F875E6">
        <w:t xml:space="preserve"> patients treated in 2015 according to the re-submission compared with 2,500 patients treated in 2012/2013)</w:t>
      </w:r>
      <w:r w:rsidRPr="00F875E6">
        <w:rPr>
          <w:szCs w:val="22"/>
        </w:rPr>
        <w:t>.</w:t>
      </w:r>
      <w:r w:rsidR="005876CA" w:rsidRPr="00F875E6">
        <w:rPr>
          <w:szCs w:val="22"/>
        </w:rPr>
        <w:t xml:space="preserve"> </w:t>
      </w:r>
      <w:r w:rsidR="003D6389" w:rsidRPr="00F875E6">
        <w:rPr>
          <w:szCs w:val="22"/>
        </w:rPr>
        <w:t>The PSCR</w:t>
      </w:r>
      <w:r w:rsidR="00894B5A" w:rsidRPr="00F875E6">
        <w:rPr>
          <w:szCs w:val="22"/>
        </w:rPr>
        <w:t xml:space="preserve"> </w:t>
      </w:r>
      <w:r w:rsidR="003D6389" w:rsidRPr="00F875E6">
        <w:rPr>
          <w:szCs w:val="22"/>
        </w:rPr>
        <w:t xml:space="preserve">claims that the re-submission estimated </w:t>
      </w:r>
      <w:r w:rsidR="00470460">
        <w:rPr>
          <w:szCs w:val="22"/>
        </w:rPr>
        <w:t>less than 10,000</w:t>
      </w:r>
      <w:r w:rsidR="003D6389" w:rsidRPr="00F875E6">
        <w:rPr>
          <w:szCs w:val="22"/>
        </w:rPr>
        <w:t xml:space="preserve"> patients would be treated with a TKI in 2015 (</w:t>
      </w:r>
      <w:r w:rsidR="005F7A51">
        <w:rPr>
          <w:noProof/>
          <w:color w:val="000000"/>
          <w:szCs w:val="22"/>
          <w:highlight w:val="black"/>
        </w:rPr>
        <w:t>'''''''''''''''</w:t>
      </w:r>
      <w:r w:rsidR="003D6389" w:rsidRPr="00F875E6">
        <w:rPr>
          <w:szCs w:val="22"/>
        </w:rPr>
        <w:t xml:space="preserve"> in first line and </w:t>
      </w:r>
      <w:r w:rsidR="005F7A51">
        <w:rPr>
          <w:noProof/>
          <w:color w:val="000000"/>
          <w:szCs w:val="22"/>
          <w:highlight w:val="black"/>
        </w:rPr>
        <w:t>'''''''''</w:t>
      </w:r>
      <w:r w:rsidR="003D6389" w:rsidRPr="00F875E6">
        <w:rPr>
          <w:szCs w:val="22"/>
        </w:rPr>
        <w:t xml:space="preserve"> in at least second-line).</w:t>
      </w:r>
    </w:p>
    <w:p w:rsidR="00E06C1A" w:rsidRPr="00F875E6" w:rsidRDefault="003538E4" w:rsidP="00470460">
      <w:pPr>
        <w:pStyle w:val="ListParagraph"/>
        <w:widowControl/>
        <w:numPr>
          <w:ilvl w:val="0"/>
          <w:numId w:val="28"/>
        </w:numPr>
        <w:tabs>
          <w:tab w:val="clear" w:pos="360"/>
          <w:tab w:val="num" w:pos="993"/>
        </w:tabs>
        <w:ind w:left="993" w:hanging="284"/>
        <w:rPr>
          <w:szCs w:val="22"/>
        </w:rPr>
      </w:pPr>
      <w:r w:rsidRPr="00F875E6">
        <w:rPr>
          <w:szCs w:val="22"/>
        </w:rPr>
        <w:t xml:space="preserve">The re-submission </w:t>
      </w:r>
      <w:r w:rsidR="00E06C1A" w:rsidRPr="00F875E6">
        <w:rPr>
          <w:szCs w:val="22"/>
        </w:rPr>
        <w:t>made the following calculation errors:</w:t>
      </w:r>
    </w:p>
    <w:p w:rsidR="003538E4" w:rsidRPr="00F875E6" w:rsidRDefault="003538E4" w:rsidP="001E27FE">
      <w:pPr>
        <w:pStyle w:val="ListParagraph"/>
        <w:widowControl/>
        <w:numPr>
          <w:ilvl w:val="1"/>
          <w:numId w:val="28"/>
        </w:numPr>
        <w:tabs>
          <w:tab w:val="clear" w:pos="1080"/>
          <w:tab w:val="num" w:pos="1418"/>
        </w:tabs>
        <w:ind w:left="1418" w:hanging="284"/>
        <w:rPr>
          <w:szCs w:val="22"/>
        </w:rPr>
      </w:pPr>
      <w:r w:rsidRPr="00F875E6">
        <w:rPr>
          <w:szCs w:val="22"/>
        </w:rPr>
        <w:t>the number of patients who became resistant or intolerant in third</w:t>
      </w:r>
      <w:r w:rsidR="001E27FE" w:rsidRPr="00F875E6">
        <w:rPr>
          <w:szCs w:val="22"/>
        </w:rPr>
        <w:t>-</w:t>
      </w:r>
      <w:r w:rsidRPr="00F875E6">
        <w:rPr>
          <w:szCs w:val="22"/>
        </w:rPr>
        <w:t>line therapy</w:t>
      </w:r>
      <w:r w:rsidR="001E27FE" w:rsidRPr="00F875E6">
        <w:rPr>
          <w:szCs w:val="22"/>
        </w:rPr>
        <w:t>;</w:t>
      </w:r>
    </w:p>
    <w:p w:rsidR="003538E4" w:rsidRPr="00F875E6" w:rsidRDefault="003538E4" w:rsidP="001E27FE">
      <w:pPr>
        <w:pStyle w:val="ListParagraph"/>
        <w:widowControl/>
        <w:numPr>
          <w:ilvl w:val="1"/>
          <w:numId w:val="28"/>
        </w:numPr>
        <w:tabs>
          <w:tab w:val="clear" w:pos="1080"/>
          <w:tab w:val="num" w:pos="1418"/>
        </w:tabs>
        <w:ind w:left="1418" w:hanging="284"/>
        <w:rPr>
          <w:szCs w:val="22"/>
        </w:rPr>
      </w:pPr>
      <w:r w:rsidRPr="00F875E6">
        <w:rPr>
          <w:szCs w:val="22"/>
        </w:rPr>
        <w:t>the number of scripts per year for ponatinib</w:t>
      </w:r>
      <w:r w:rsidR="001E27FE" w:rsidRPr="00F875E6">
        <w:rPr>
          <w:szCs w:val="22"/>
        </w:rPr>
        <w:t>;</w:t>
      </w:r>
    </w:p>
    <w:p w:rsidR="003538E4" w:rsidRPr="00F875E6" w:rsidRDefault="003538E4" w:rsidP="001E27FE">
      <w:pPr>
        <w:pStyle w:val="ListParagraph"/>
        <w:widowControl/>
        <w:numPr>
          <w:ilvl w:val="1"/>
          <w:numId w:val="28"/>
        </w:numPr>
        <w:tabs>
          <w:tab w:val="clear" w:pos="1080"/>
          <w:tab w:val="num" w:pos="1418"/>
        </w:tabs>
        <w:ind w:left="1418" w:hanging="284"/>
        <w:rPr>
          <w:szCs w:val="22"/>
        </w:rPr>
      </w:pPr>
      <w:r w:rsidRPr="00F875E6">
        <w:rPr>
          <w:szCs w:val="22"/>
        </w:rPr>
        <w:t>the change in the number of scripts for dasatinib and nilotinib in second-line therapy</w:t>
      </w:r>
      <w:r w:rsidR="001E27FE" w:rsidRPr="00F875E6">
        <w:rPr>
          <w:szCs w:val="22"/>
        </w:rPr>
        <w:t>; and</w:t>
      </w:r>
    </w:p>
    <w:p w:rsidR="003538E4" w:rsidRPr="00F875E6" w:rsidRDefault="001E27FE" w:rsidP="001E27FE">
      <w:pPr>
        <w:pStyle w:val="ListParagraph"/>
        <w:widowControl/>
        <w:numPr>
          <w:ilvl w:val="1"/>
          <w:numId w:val="28"/>
        </w:numPr>
        <w:tabs>
          <w:tab w:val="clear" w:pos="1080"/>
          <w:tab w:val="num" w:pos="1418"/>
        </w:tabs>
        <w:ind w:left="1418" w:hanging="284"/>
        <w:rPr>
          <w:szCs w:val="22"/>
        </w:rPr>
      </w:pPr>
      <w:r w:rsidRPr="00F875E6">
        <w:rPr>
          <w:szCs w:val="22"/>
        </w:rPr>
        <w:t>the co-payment was applied per script.</w:t>
      </w:r>
    </w:p>
    <w:p w:rsidR="00A143F9" w:rsidRPr="00F875E6" w:rsidRDefault="003538E4" w:rsidP="00470460">
      <w:pPr>
        <w:pStyle w:val="ListParagraph"/>
        <w:widowControl/>
        <w:numPr>
          <w:ilvl w:val="0"/>
          <w:numId w:val="28"/>
        </w:numPr>
        <w:tabs>
          <w:tab w:val="clear" w:pos="360"/>
          <w:tab w:val="num" w:pos="993"/>
        </w:tabs>
        <w:ind w:left="993" w:hanging="284"/>
        <w:rPr>
          <w:szCs w:val="22"/>
        </w:rPr>
      </w:pPr>
      <w:r w:rsidRPr="00F875E6">
        <w:rPr>
          <w:szCs w:val="22"/>
        </w:rPr>
        <w:t>The re-submission did not consider the cost of adverse events due to ponatinib.</w:t>
      </w:r>
    </w:p>
    <w:p w:rsidR="000B102C" w:rsidRPr="00F875E6" w:rsidRDefault="000B102C" w:rsidP="000B102C">
      <w:pPr>
        <w:widowControl/>
        <w:rPr>
          <w:szCs w:val="22"/>
        </w:rPr>
      </w:pPr>
    </w:p>
    <w:p w:rsidR="000B102C" w:rsidRPr="00F875E6" w:rsidRDefault="000B102C" w:rsidP="000B102C">
      <w:pPr>
        <w:pStyle w:val="ListParagraph"/>
        <w:widowControl/>
        <w:numPr>
          <w:ilvl w:val="1"/>
          <w:numId w:val="4"/>
        </w:numPr>
        <w:rPr>
          <w:szCs w:val="22"/>
        </w:rPr>
      </w:pPr>
      <w:r w:rsidRPr="00F875E6">
        <w:t>The</w:t>
      </w:r>
      <w:r w:rsidRPr="00F875E6">
        <w:rPr>
          <w:szCs w:val="22"/>
        </w:rPr>
        <w:t xml:space="preserve"> ESC noted that cal</w:t>
      </w:r>
      <w:r w:rsidR="00DE45BD" w:rsidRPr="00F875E6">
        <w:rPr>
          <w:szCs w:val="22"/>
        </w:rPr>
        <w:t>c</w:t>
      </w:r>
      <w:r w:rsidRPr="00F875E6">
        <w:rPr>
          <w:szCs w:val="22"/>
        </w:rPr>
        <w:t>u</w:t>
      </w:r>
      <w:r w:rsidR="00DE45BD" w:rsidRPr="00F875E6">
        <w:rPr>
          <w:szCs w:val="22"/>
        </w:rPr>
        <w:t>l</w:t>
      </w:r>
      <w:r w:rsidRPr="00F875E6">
        <w:rPr>
          <w:szCs w:val="22"/>
        </w:rPr>
        <w:t>ation errors were corrected during the evaluation.</w:t>
      </w:r>
    </w:p>
    <w:p w:rsidR="00A143F9" w:rsidRPr="00F875E6" w:rsidRDefault="00A143F9" w:rsidP="00A143F9">
      <w:pPr>
        <w:pStyle w:val="PBACheading1"/>
        <w:numPr>
          <w:ilvl w:val="0"/>
          <w:numId w:val="0"/>
        </w:numPr>
        <w:ind w:left="720" w:hanging="720"/>
      </w:pPr>
    </w:p>
    <w:p w:rsidR="00A143F9" w:rsidRPr="00F875E6" w:rsidRDefault="00A143F9" w:rsidP="00A143F9">
      <w:pPr>
        <w:pStyle w:val="ListParagraph"/>
        <w:widowControl/>
        <w:numPr>
          <w:ilvl w:val="1"/>
          <w:numId w:val="4"/>
        </w:numPr>
        <w:rPr>
          <w:szCs w:val="22"/>
        </w:rPr>
      </w:pPr>
      <w:r w:rsidRPr="00F875E6">
        <w:rPr>
          <w:szCs w:val="22"/>
        </w:rPr>
        <w:t xml:space="preserve">The PBAC recognised that the financial estimates </w:t>
      </w:r>
      <w:r w:rsidR="00BE52A1" w:rsidRPr="00F875E6">
        <w:rPr>
          <w:szCs w:val="22"/>
        </w:rPr>
        <w:t xml:space="preserve">revised </w:t>
      </w:r>
      <w:r w:rsidRPr="00F875E6">
        <w:rPr>
          <w:szCs w:val="22"/>
        </w:rPr>
        <w:t xml:space="preserve">during the evaluation (including net costs to PBS/MBS of </w:t>
      </w:r>
      <w:r w:rsidR="00470460">
        <w:rPr>
          <w:szCs w:val="22"/>
        </w:rPr>
        <w:t xml:space="preserve">less than </w:t>
      </w:r>
      <w:r w:rsidRPr="00F875E6">
        <w:rPr>
          <w:szCs w:val="22"/>
        </w:rPr>
        <w:t>$</w:t>
      </w:r>
      <w:r w:rsidR="00470460">
        <w:rPr>
          <w:szCs w:val="22"/>
        </w:rPr>
        <w:t>10</w:t>
      </w:r>
      <w:r w:rsidRPr="00470460">
        <w:rPr>
          <w:szCs w:val="22"/>
        </w:rPr>
        <w:t xml:space="preserve"> million</w:t>
      </w:r>
      <w:r w:rsidRPr="00F875E6">
        <w:rPr>
          <w:szCs w:val="22"/>
        </w:rPr>
        <w:t xml:space="preserve"> in Year 5) could be an under or overestimated, because: </w:t>
      </w:r>
    </w:p>
    <w:p w:rsidR="00A143F9" w:rsidRPr="00F875E6" w:rsidRDefault="00A143F9" w:rsidP="00470460">
      <w:pPr>
        <w:pStyle w:val="ListParagraph"/>
        <w:widowControl/>
        <w:numPr>
          <w:ilvl w:val="0"/>
          <w:numId w:val="28"/>
        </w:numPr>
        <w:tabs>
          <w:tab w:val="clear" w:pos="360"/>
          <w:tab w:val="num" w:pos="993"/>
        </w:tabs>
        <w:ind w:left="993" w:hanging="284"/>
        <w:rPr>
          <w:szCs w:val="22"/>
        </w:rPr>
      </w:pPr>
      <w:r w:rsidRPr="00F875E6">
        <w:rPr>
          <w:szCs w:val="22"/>
        </w:rPr>
        <w:t xml:space="preserve">the estimated number of patients seeking treatment, though appropriately lower than presented in the previous submission, were uncertain and included </w:t>
      </w:r>
      <w:r w:rsidRPr="00470460">
        <w:rPr>
          <w:szCs w:val="22"/>
        </w:rPr>
        <w:t>Ph+ ALL patients without the T315 mutation</w:t>
      </w:r>
    </w:p>
    <w:p w:rsidR="00A143F9" w:rsidRPr="00F875E6" w:rsidRDefault="00A143F9" w:rsidP="00470460">
      <w:pPr>
        <w:pStyle w:val="ListParagraph"/>
        <w:widowControl/>
        <w:numPr>
          <w:ilvl w:val="0"/>
          <w:numId w:val="28"/>
        </w:numPr>
        <w:tabs>
          <w:tab w:val="clear" w:pos="360"/>
          <w:tab w:val="num" w:pos="993"/>
        </w:tabs>
        <w:ind w:left="993" w:hanging="284"/>
        <w:rPr>
          <w:szCs w:val="22"/>
        </w:rPr>
      </w:pPr>
      <w:r w:rsidRPr="00F875E6">
        <w:rPr>
          <w:szCs w:val="22"/>
        </w:rPr>
        <w:t xml:space="preserve">it was based on inexact assumptions of the distribution of use between CML and ALL indications the duration of use. </w:t>
      </w:r>
    </w:p>
    <w:p w:rsidR="009B3887" w:rsidRPr="00F875E6" w:rsidRDefault="009B3887" w:rsidP="00470460">
      <w:pPr>
        <w:pStyle w:val="ListParagraph"/>
        <w:widowControl/>
        <w:numPr>
          <w:ilvl w:val="0"/>
          <w:numId w:val="28"/>
        </w:numPr>
        <w:tabs>
          <w:tab w:val="clear" w:pos="360"/>
          <w:tab w:val="num" w:pos="993"/>
        </w:tabs>
        <w:ind w:left="993" w:hanging="284"/>
        <w:rPr>
          <w:szCs w:val="22"/>
        </w:rPr>
      </w:pPr>
      <w:r w:rsidRPr="00F875E6">
        <w:rPr>
          <w:szCs w:val="22"/>
        </w:rPr>
        <w:t>the cost of adverse events due to ponatinib were not included in the estmates.</w:t>
      </w:r>
    </w:p>
    <w:p w:rsidR="00576972" w:rsidRPr="00F875E6" w:rsidRDefault="00576972" w:rsidP="00576972">
      <w:pPr>
        <w:widowControl/>
        <w:rPr>
          <w:szCs w:val="22"/>
        </w:rPr>
      </w:pPr>
    </w:p>
    <w:p w:rsidR="00732D44" w:rsidRPr="00F875E6" w:rsidRDefault="00E467D8" w:rsidP="00196BAB">
      <w:pPr>
        <w:pStyle w:val="TableFooter"/>
        <w:ind w:firstLine="720"/>
        <w:rPr>
          <w:rFonts w:ascii="Arial" w:hAnsi="Arial"/>
          <w:bCs/>
          <w:i/>
          <w:sz w:val="22"/>
          <w:szCs w:val="22"/>
        </w:rPr>
      </w:pPr>
      <w:r w:rsidRPr="00F875E6">
        <w:rPr>
          <w:rFonts w:ascii="Arial" w:hAnsi="Arial"/>
          <w:i/>
          <w:sz w:val="22"/>
          <w:szCs w:val="22"/>
        </w:rPr>
        <w:t>For more detail on PBAC’s view, see section 7 “PBAC outcome”</w:t>
      </w:r>
    </w:p>
    <w:p w:rsidR="003262A9" w:rsidRPr="00F875E6" w:rsidRDefault="003262A9" w:rsidP="003262A9">
      <w:pPr>
        <w:widowControl/>
        <w:jc w:val="left"/>
        <w:rPr>
          <w:bCs/>
          <w:i/>
          <w:szCs w:val="22"/>
        </w:rPr>
      </w:pPr>
    </w:p>
    <w:p w:rsidR="005D23AA" w:rsidRPr="00F875E6" w:rsidRDefault="005D23AA" w:rsidP="003262A9">
      <w:pPr>
        <w:widowControl/>
        <w:jc w:val="left"/>
        <w:rPr>
          <w:bCs/>
          <w:i/>
          <w:szCs w:val="22"/>
        </w:rPr>
      </w:pPr>
    </w:p>
    <w:p w:rsidR="003262A9" w:rsidRPr="00F875E6" w:rsidRDefault="003262A9" w:rsidP="003262A9">
      <w:pPr>
        <w:numPr>
          <w:ilvl w:val="0"/>
          <w:numId w:val="4"/>
        </w:numPr>
        <w:rPr>
          <w:b/>
          <w:bCs/>
          <w:szCs w:val="22"/>
        </w:rPr>
      </w:pPr>
      <w:r w:rsidRPr="00F875E6">
        <w:rPr>
          <w:b/>
          <w:bCs/>
          <w:szCs w:val="22"/>
        </w:rPr>
        <w:t>PBAC Outcome</w:t>
      </w:r>
    </w:p>
    <w:p w:rsidR="003262A9" w:rsidRPr="00F875E6" w:rsidRDefault="003262A9" w:rsidP="003262A9">
      <w:pPr>
        <w:contextualSpacing/>
        <w:rPr>
          <w:b/>
          <w:bCs/>
          <w:szCs w:val="22"/>
          <w:lang w:val="en-GB"/>
        </w:rPr>
      </w:pPr>
    </w:p>
    <w:p w:rsidR="00D93922" w:rsidRPr="00F875E6" w:rsidRDefault="00AF481E" w:rsidP="004D61B8">
      <w:pPr>
        <w:numPr>
          <w:ilvl w:val="1"/>
          <w:numId w:val="4"/>
        </w:numPr>
        <w:contextualSpacing/>
        <w:rPr>
          <w:b/>
          <w:bCs/>
          <w:szCs w:val="22"/>
          <w:lang w:val="en-GB"/>
        </w:rPr>
      </w:pPr>
      <w:r w:rsidRPr="00F875E6">
        <w:rPr>
          <w:bCs/>
          <w:szCs w:val="22"/>
          <w:lang w:val="en-GB"/>
        </w:rPr>
        <w:t>The PBAC recommended the PBS-l</w:t>
      </w:r>
      <w:r w:rsidR="002A67F2" w:rsidRPr="00F875E6">
        <w:rPr>
          <w:bCs/>
          <w:szCs w:val="22"/>
          <w:lang w:val="en-GB"/>
        </w:rPr>
        <w:t xml:space="preserve">isting of ponatinib </w:t>
      </w:r>
      <w:r w:rsidR="0058194B" w:rsidRPr="00F875E6">
        <w:rPr>
          <w:bCs/>
          <w:szCs w:val="22"/>
          <w:lang w:val="en-GB"/>
        </w:rPr>
        <w:t xml:space="preserve">as an Authority Required benefit </w:t>
      </w:r>
      <w:r w:rsidR="002A67F2" w:rsidRPr="00F875E6">
        <w:rPr>
          <w:bCs/>
          <w:szCs w:val="22"/>
          <w:lang w:val="en-GB"/>
        </w:rPr>
        <w:t xml:space="preserve">for </w:t>
      </w:r>
    </w:p>
    <w:p w:rsidR="00D93922" w:rsidRPr="00F875E6" w:rsidRDefault="00D93922" w:rsidP="00A306FB">
      <w:pPr>
        <w:numPr>
          <w:ilvl w:val="1"/>
          <w:numId w:val="48"/>
        </w:numPr>
        <w:ind w:left="993" w:hanging="284"/>
        <w:contextualSpacing/>
        <w:rPr>
          <w:b/>
          <w:bCs/>
          <w:szCs w:val="22"/>
          <w:lang w:val="en-GB"/>
        </w:rPr>
      </w:pPr>
      <w:r w:rsidRPr="00F875E6">
        <w:rPr>
          <w:bCs/>
          <w:szCs w:val="22"/>
          <w:lang w:val="en-GB"/>
        </w:rPr>
        <w:t xml:space="preserve">the </w:t>
      </w:r>
      <w:r w:rsidR="002A67F2" w:rsidRPr="00F875E6">
        <w:rPr>
          <w:bCs/>
          <w:szCs w:val="22"/>
          <w:lang w:val="en-GB"/>
        </w:rPr>
        <w:t xml:space="preserve">treatment of </w:t>
      </w:r>
      <w:r w:rsidR="0058194B" w:rsidRPr="00F875E6">
        <w:rPr>
          <w:bCs/>
          <w:szCs w:val="22"/>
          <w:lang w:val="en-GB"/>
        </w:rPr>
        <w:t xml:space="preserve">chronic myeloid leukemia </w:t>
      </w:r>
      <w:r w:rsidR="006A0551" w:rsidRPr="00F875E6">
        <w:rPr>
          <w:bCs/>
          <w:szCs w:val="22"/>
          <w:lang w:val="en-GB"/>
        </w:rPr>
        <w:t>(CML)</w:t>
      </w:r>
      <w:r w:rsidR="004A15F3" w:rsidRPr="00F875E6">
        <w:rPr>
          <w:bCs/>
          <w:szCs w:val="22"/>
          <w:lang w:val="en-GB"/>
        </w:rPr>
        <w:t xml:space="preserve"> in </w:t>
      </w:r>
      <w:r w:rsidR="00190C98" w:rsidRPr="00F875E6">
        <w:rPr>
          <w:bCs/>
          <w:szCs w:val="22"/>
        </w:rPr>
        <w:t>(i) Patients who have failed first line therapy with imatinib or dasatinib or nilotinib and whose CML has the T315I mutation;</w:t>
      </w:r>
      <w:r w:rsidR="00190C98" w:rsidRPr="00F875E6">
        <w:rPr>
          <w:rFonts w:ascii="Arial Narrow" w:hAnsi="Arial Narrow"/>
          <w:color w:val="0000FF"/>
          <w:szCs w:val="22"/>
        </w:rPr>
        <w:t xml:space="preserve"> </w:t>
      </w:r>
      <w:r w:rsidR="00190C98" w:rsidRPr="00F875E6">
        <w:rPr>
          <w:bCs/>
          <w:szCs w:val="22"/>
        </w:rPr>
        <w:t xml:space="preserve">(ii) Patients with CML where both nilotinib and dasatinib have failed or where one of nilotinib or dasatinib has failed and </w:t>
      </w:r>
      <w:r w:rsidR="002D342E" w:rsidRPr="00F875E6">
        <w:rPr>
          <w:bCs/>
          <w:szCs w:val="22"/>
        </w:rPr>
        <w:t xml:space="preserve">the patient is </w:t>
      </w:r>
      <w:r w:rsidR="00190C98" w:rsidRPr="00F875E6">
        <w:rPr>
          <w:bCs/>
          <w:szCs w:val="22"/>
        </w:rPr>
        <w:t>intolerant of the other drug;</w:t>
      </w:r>
      <w:r w:rsidR="00190C98" w:rsidRPr="00F875E6">
        <w:rPr>
          <w:rFonts w:ascii="Arial Narrow" w:hAnsi="Arial Narrow"/>
          <w:color w:val="0000FF"/>
          <w:szCs w:val="22"/>
        </w:rPr>
        <w:t xml:space="preserve"> </w:t>
      </w:r>
      <w:r w:rsidRPr="00F875E6">
        <w:rPr>
          <w:bCs/>
          <w:szCs w:val="22"/>
        </w:rPr>
        <w:t>and</w:t>
      </w:r>
      <w:r w:rsidR="00190C98" w:rsidRPr="00F875E6">
        <w:rPr>
          <w:bCs/>
          <w:szCs w:val="22"/>
        </w:rPr>
        <w:t xml:space="preserve"> </w:t>
      </w:r>
    </w:p>
    <w:p w:rsidR="003262A9" w:rsidRPr="00F875E6" w:rsidRDefault="00190C98" w:rsidP="00A306FB">
      <w:pPr>
        <w:numPr>
          <w:ilvl w:val="1"/>
          <w:numId w:val="48"/>
        </w:numPr>
        <w:ind w:left="993" w:hanging="284"/>
        <w:contextualSpacing/>
        <w:rPr>
          <w:b/>
          <w:bCs/>
          <w:szCs w:val="22"/>
          <w:lang w:val="en-GB"/>
        </w:rPr>
      </w:pPr>
      <w:r w:rsidRPr="00F875E6">
        <w:rPr>
          <w:bCs/>
          <w:szCs w:val="22"/>
        </w:rPr>
        <w:t xml:space="preserve">the treatment of relapsed or refractory </w:t>
      </w:r>
      <w:r w:rsidRPr="00F875E6">
        <w:t xml:space="preserve">Philadelphia chromosome positive </w:t>
      </w:r>
      <w:r w:rsidRPr="00F875E6">
        <w:rPr>
          <w:bCs/>
          <w:szCs w:val="22"/>
        </w:rPr>
        <w:t>acute lymphoblastic</w:t>
      </w:r>
      <w:r w:rsidRPr="00F875E6">
        <w:rPr>
          <w:rFonts w:ascii="Arial Narrow" w:hAnsi="Arial Narrow"/>
          <w:color w:val="0000FF"/>
          <w:szCs w:val="22"/>
        </w:rPr>
        <w:t xml:space="preserve"> </w:t>
      </w:r>
      <w:r w:rsidRPr="00F875E6">
        <w:rPr>
          <w:bCs/>
          <w:szCs w:val="22"/>
        </w:rPr>
        <w:t>leukaemia (</w:t>
      </w:r>
      <w:r w:rsidR="006A5EBF" w:rsidRPr="00F875E6">
        <w:rPr>
          <w:bCs/>
          <w:szCs w:val="22"/>
        </w:rPr>
        <w:t xml:space="preserve">Ph+ </w:t>
      </w:r>
      <w:r w:rsidRPr="00F875E6">
        <w:rPr>
          <w:bCs/>
          <w:szCs w:val="22"/>
        </w:rPr>
        <w:t xml:space="preserve">ALL) in patients whose ALL has the T315I mutation. </w:t>
      </w:r>
      <w:r w:rsidR="0058194B" w:rsidRPr="00F875E6">
        <w:rPr>
          <w:bCs/>
          <w:szCs w:val="22"/>
          <w:lang w:val="en-GB"/>
        </w:rPr>
        <w:t xml:space="preserve">The PBAC considered that </w:t>
      </w:r>
      <w:r w:rsidR="00AF481E" w:rsidRPr="00F875E6">
        <w:rPr>
          <w:bCs/>
          <w:szCs w:val="22"/>
          <w:lang w:val="en-GB"/>
        </w:rPr>
        <w:t>the cost-effectiveness</w:t>
      </w:r>
      <w:r w:rsidR="0058194B" w:rsidRPr="00F875E6">
        <w:rPr>
          <w:bCs/>
          <w:szCs w:val="22"/>
          <w:lang w:val="en-GB"/>
        </w:rPr>
        <w:t xml:space="preserve"> of ponatinib would be acceptable when benchmarked</w:t>
      </w:r>
      <w:r w:rsidR="00AF481E" w:rsidRPr="00F875E6">
        <w:rPr>
          <w:bCs/>
          <w:szCs w:val="22"/>
          <w:lang w:val="en-GB"/>
        </w:rPr>
        <w:t xml:space="preserve"> against the cost</w:t>
      </w:r>
      <w:r w:rsidR="0058194B" w:rsidRPr="00F875E6">
        <w:rPr>
          <w:bCs/>
          <w:szCs w:val="22"/>
          <w:lang w:val="en-GB"/>
        </w:rPr>
        <w:t>s</w:t>
      </w:r>
      <w:r w:rsidR="00AF481E" w:rsidRPr="00F875E6">
        <w:rPr>
          <w:bCs/>
          <w:szCs w:val="22"/>
          <w:lang w:val="en-GB"/>
        </w:rPr>
        <w:t xml:space="preserve"> of dasatinib and nilotinib</w:t>
      </w:r>
      <w:r w:rsidR="0058194B" w:rsidRPr="00F875E6">
        <w:rPr>
          <w:bCs/>
          <w:szCs w:val="22"/>
          <w:lang w:val="en-GB"/>
        </w:rPr>
        <w:t xml:space="preserve">, </w:t>
      </w:r>
      <w:r w:rsidR="00AF481E" w:rsidRPr="00F875E6">
        <w:rPr>
          <w:bCs/>
          <w:szCs w:val="22"/>
          <w:lang w:val="en-GB"/>
        </w:rPr>
        <w:t xml:space="preserve">with </w:t>
      </w:r>
      <w:r w:rsidR="0058194B" w:rsidRPr="00F875E6">
        <w:rPr>
          <w:bCs/>
          <w:szCs w:val="22"/>
          <w:lang w:val="en-GB"/>
        </w:rPr>
        <w:t xml:space="preserve">adjustments </w:t>
      </w:r>
      <w:r w:rsidR="00AF481E" w:rsidRPr="00F875E6">
        <w:rPr>
          <w:bCs/>
          <w:szCs w:val="22"/>
          <w:lang w:val="en-GB"/>
        </w:rPr>
        <w:t xml:space="preserve">required </w:t>
      </w:r>
      <w:r w:rsidR="0058194B" w:rsidRPr="00F875E6">
        <w:rPr>
          <w:bCs/>
          <w:szCs w:val="22"/>
          <w:lang w:val="en-GB"/>
        </w:rPr>
        <w:t xml:space="preserve">to account </w:t>
      </w:r>
      <w:r w:rsidRPr="00F875E6">
        <w:rPr>
          <w:bCs/>
          <w:szCs w:val="22"/>
          <w:lang w:val="en-GB"/>
        </w:rPr>
        <w:t>for</w:t>
      </w:r>
      <w:r w:rsidR="00AF481E" w:rsidRPr="00F875E6">
        <w:rPr>
          <w:bCs/>
          <w:szCs w:val="22"/>
          <w:lang w:val="en-GB"/>
        </w:rPr>
        <w:t xml:space="preserve"> </w:t>
      </w:r>
      <w:r w:rsidRPr="00F875E6">
        <w:rPr>
          <w:bCs/>
          <w:szCs w:val="22"/>
          <w:lang w:val="en-GB"/>
        </w:rPr>
        <w:t xml:space="preserve">the </w:t>
      </w:r>
      <w:r w:rsidR="00AF481E" w:rsidRPr="00F875E6">
        <w:rPr>
          <w:bCs/>
          <w:szCs w:val="22"/>
          <w:lang w:val="en-GB"/>
        </w:rPr>
        <w:t xml:space="preserve">toxicity of </w:t>
      </w:r>
      <w:r w:rsidRPr="00F875E6">
        <w:rPr>
          <w:bCs/>
          <w:szCs w:val="22"/>
          <w:lang w:val="en-GB"/>
        </w:rPr>
        <w:t>the treatments</w:t>
      </w:r>
      <w:r w:rsidR="002A67F2" w:rsidRPr="00F875E6">
        <w:rPr>
          <w:bCs/>
          <w:szCs w:val="22"/>
          <w:lang w:val="en-GB"/>
        </w:rPr>
        <w:t>.</w:t>
      </w:r>
      <w:r w:rsidR="00A306FB">
        <w:rPr>
          <w:bCs/>
          <w:szCs w:val="22"/>
          <w:lang w:val="en-GB"/>
        </w:rPr>
        <w:t xml:space="preserve"> The equi</w:t>
      </w:r>
      <w:r w:rsidR="00A306FB">
        <w:rPr>
          <w:bCs/>
          <w:szCs w:val="22"/>
          <w:lang w:val="en-GB"/>
        </w:rPr>
        <w:noBreakHyphen/>
      </w:r>
      <w:r w:rsidR="004D61B8" w:rsidRPr="00F875E6">
        <w:rPr>
          <w:bCs/>
          <w:szCs w:val="22"/>
          <w:lang w:val="en-GB"/>
        </w:rPr>
        <w:t>effective doses</w:t>
      </w:r>
      <w:r w:rsidR="0058194B" w:rsidRPr="00F875E6">
        <w:rPr>
          <w:bCs/>
          <w:szCs w:val="22"/>
          <w:lang w:val="en-GB"/>
        </w:rPr>
        <w:t xml:space="preserve"> were considered to be</w:t>
      </w:r>
      <w:r w:rsidR="004D61B8" w:rsidRPr="00F875E6">
        <w:rPr>
          <w:bCs/>
          <w:szCs w:val="22"/>
          <w:lang w:val="en-GB"/>
        </w:rPr>
        <w:t xml:space="preserve"> ponatin</w:t>
      </w:r>
      <w:r w:rsidR="00A306FB">
        <w:rPr>
          <w:bCs/>
          <w:szCs w:val="22"/>
          <w:lang w:val="en-GB"/>
        </w:rPr>
        <w:t>ib 30.2 mg daily, dasatinib 102 </w:t>
      </w:r>
      <w:r w:rsidR="004D61B8" w:rsidRPr="00F875E6">
        <w:rPr>
          <w:bCs/>
          <w:szCs w:val="22"/>
          <w:lang w:val="en-GB"/>
        </w:rPr>
        <w:t>mg daily and nilotinib 797 mg daily.</w:t>
      </w:r>
    </w:p>
    <w:p w:rsidR="00FA3933" w:rsidRPr="00F875E6" w:rsidRDefault="00FA3933" w:rsidP="00FA3933">
      <w:pPr>
        <w:ind w:left="720"/>
        <w:contextualSpacing/>
        <w:rPr>
          <w:bCs/>
          <w:szCs w:val="22"/>
          <w:lang w:val="en-GB"/>
        </w:rPr>
      </w:pPr>
    </w:p>
    <w:p w:rsidR="008104CB" w:rsidRPr="00F875E6" w:rsidRDefault="008104CB" w:rsidP="00A143F9">
      <w:pPr>
        <w:numPr>
          <w:ilvl w:val="1"/>
          <w:numId w:val="4"/>
        </w:numPr>
        <w:contextualSpacing/>
        <w:rPr>
          <w:bCs/>
          <w:szCs w:val="22"/>
          <w:lang w:val="en-GB"/>
        </w:rPr>
      </w:pPr>
      <w:r w:rsidRPr="00F875E6">
        <w:rPr>
          <w:bCs/>
          <w:szCs w:val="22"/>
          <w:lang w:val="en-GB"/>
        </w:rPr>
        <w:t xml:space="preserve">The PBAC considered that there was a clinical need </w:t>
      </w:r>
      <w:r w:rsidR="006A5EBF" w:rsidRPr="00F875E6">
        <w:rPr>
          <w:bCs/>
          <w:szCs w:val="22"/>
          <w:lang w:val="en-GB"/>
        </w:rPr>
        <w:t xml:space="preserve">for treatments </w:t>
      </w:r>
      <w:r w:rsidR="00A143F9" w:rsidRPr="00F875E6">
        <w:rPr>
          <w:bCs/>
          <w:szCs w:val="22"/>
          <w:lang w:val="en-GB"/>
        </w:rPr>
        <w:t>of</w:t>
      </w:r>
      <w:r w:rsidRPr="00F875E6">
        <w:rPr>
          <w:bCs/>
          <w:szCs w:val="22"/>
          <w:lang w:val="en-GB"/>
        </w:rPr>
        <w:t xml:space="preserve"> </w:t>
      </w:r>
      <w:r w:rsidR="006A5EBF" w:rsidRPr="00F875E6">
        <w:rPr>
          <w:bCs/>
          <w:szCs w:val="22"/>
          <w:lang w:val="en-GB"/>
        </w:rPr>
        <w:t xml:space="preserve">Ph+ </w:t>
      </w:r>
      <w:r w:rsidRPr="00F875E6">
        <w:rPr>
          <w:bCs/>
          <w:szCs w:val="22"/>
          <w:lang w:val="en-GB"/>
        </w:rPr>
        <w:t>ALL patients</w:t>
      </w:r>
      <w:r w:rsidR="006A5EBF" w:rsidRPr="00F875E6">
        <w:rPr>
          <w:bCs/>
          <w:szCs w:val="22"/>
          <w:lang w:val="en-GB"/>
        </w:rPr>
        <w:t xml:space="preserve"> without the T315 mutation (including patients</w:t>
      </w:r>
      <w:r w:rsidRPr="00F875E6">
        <w:rPr>
          <w:bCs/>
          <w:szCs w:val="22"/>
          <w:lang w:val="en-GB"/>
        </w:rPr>
        <w:t xml:space="preserve"> with less common mu</w:t>
      </w:r>
      <w:r w:rsidR="006A5EBF" w:rsidRPr="00F875E6">
        <w:rPr>
          <w:bCs/>
          <w:szCs w:val="22"/>
          <w:lang w:val="en-GB"/>
        </w:rPr>
        <w:t>tations such as F317L and E225V).</w:t>
      </w:r>
      <w:r w:rsidRPr="00F875E6">
        <w:rPr>
          <w:bCs/>
          <w:szCs w:val="22"/>
          <w:lang w:val="en-GB"/>
        </w:rPr>
        <w:t xml:space="preserve"> </w:t>
      </w:r>
      <w:r w:rsidR="00A06CA9" w:rsidRPr="00F875E6">
        <w:rPr>
          <w:bCs/>
          <w:szCs w:val="22"/>
          <w:lang w:val="en-GB"/>
        </w:rPr>
        <w:t xml:space="preserve">However, in </w:t>
      </w:r>
      <w:r w:rsidR="00A143F9" w:rsidRPr="00F875E6">
        <w:rPr>
          <w:bCs/>
          <w:szCs w:val="22"/>
          <w:lang w:val="en-GB"/>
        </w:rPr>
        <w:t xml:space="preserve">the absence of additional evidence, </w:t>
      </w:r>
      <w:r w:rsidR="00A06CA9" w:rsidRPr="00F875E6">
        <w:rPr>
          <w:bCs/>
          <w:szCs w:val="22"/>
          <w:lang w:val="en-GB"/>
        </w:rPr>
        <w:t>the PBAC could not recommend approval for ponatinib in Ph+ ALL without the T315 mutation. T</w:t>
      </w:r>
      <w:r w:rsidR="00A143F9" w:rsidRPr="00F875E6">
        <w:rPr>
          <w:bCs/>
          <w:szCs w:val="22"/>
          <w:lang w:val="en-GB"/>
        </w:rPr>
        <w:t xml:space="preserve">he PBAC did not alter its view from November 2014 </w:t>
      </w:r>
      <w:r w:rsidR="00A143F9" w:rsidRPr="00F875E6">
        <w:rPr>
          <w:bCs/>
          <w:szCs w:val="22"/>
        </w:rPr>
        <w:t>in recommending the use of pon</w:t>
      </w:r>
      <w:r w:rsidR="00A06CA9" w:rsidRPr="00F875E6">
        <w:rPr>
          <w:bCs/>
          <w:szCs w:val="22"/>
        </w:rPr>
        <w:t>ati</w:t>
      </w:r>
      <w:r w:rsidR="00A143F9" w:rsidRPr="00F875E6">
        <w:rPr>
          <w:bCs/>
          <w:szCs w:val="22"/>
        </w:rPr>
        <w:t xml:space="preserve">nib in clinical scenarios where its risk:benefit ratios were most favourable. The PBAC would welcome additional quality evidence of the benefit of pontantib in </w:t>
      </w:r>
      <w:r w:rsidR="00A143F9" w:rsidRPr="00F875E6">
        <w:rPr>
          <w:bCs/>
          <w:szCs w:val="22"/>
          <w:lang w:val="en-GB"/>
        </w:rPr>
        <w:t>Ph+ ALL patients without the T315 mutation to facilitate any future reconsideration</w:t>
      </w:r>
      <w:r w:rsidRPr="00F875E6">
        <w:rPr>
          <w:bCs/>
          <w:szCs w:val="22"/>
          <w:lang w:val="en-GB"/>
        </w:rPr>
        <w:t>.</w:t>
      </w:r>
      <w:r w:rsidR="00783627" w:rsidRPr="00F875E6">
        <w:rPr>
          <w:bCs/>
          <w:szCs w:val="22"/>
          <w:lang w:val="en-GB"/>
        </w:rPr>
        <w:t xml:space="preserve"> </w:t>
      </w:r>
    </w:p>
    <w:p w:rsidR="00783627" w:rsidRPr="00F875E6" w:rsidRDefault="00783627" w:rsidP="00A143F9">
      <w:pPr>
        <w:pStyle w:val="ListParagraph"/>
        <w:rPr>
          <w:bCs/>
          <w:szCs w:val="22"/>
          <w:lang w:val="en-GB"/>
        </w:rPr>
      </w:pPr>
    </w:p>
    <w:p w:rsidR="00783627" w:rsidRPr="00F875E6" w:rsidRDefault="00783627" w:rsidP="00A143F9">
      <w:pPr>
        <w:pStyle w:val="ListParagraph"/>
        <w:widowControl/>
        <w:numPr>
          <w:ilvl w:val="1"/>
          <w:numId w:val="4"/>
        </w:numPr>
      </w:pPr>
      <w:r w:rsidRPr="00F875E6">
        <w:t>The PBAC r</w:t>
      </w:r>
      <w:r w:rsidR="00366451" w:rsidRPr="00F875E6">
        <w:t>ecalled</w:t>
      </w:r>
      <w:r w:rsidRPr="00F875E6">
        <w:t xml:space="preserve"> its view from November 2014, that the comparators for ponatinib are complex, and depending on different clinical scenarios, they can be dasatnib or nilotinib or other non-TKI therapies, i.e. hydroxyurea, interferon, allogeneic transplantation and salvage chemotherapy.</w:t>
      </w:r>
      <w:r w:rsidR="00366451" w:rsidRPr="00F875E6">
        <w:t xml:space="preserve"> The </w:t>
      </w:r>
      <w:r w:rsidR="00366451" w:rsidRPr="00F875E6">
        <w:rPr>
          <w:bCs/>
          <w:szCs w:val="22"/>
        </w:rPr>
        <w:t xml:space="preserve">PBAC reiterated that benchmarking against nilotinib and dasatinib in second and subsequent line therapy in CML was a reasonable basis for establishing a cost-effective price for ponatinib. </w:t>
      </w:r>
    </w:p>
    <w:p w:rsidR="008104CB" w:rsidRPr="00F875E6" w:rsidRDefault="008104CB" w:rsidP="008104CB">
      <w:pPr>
        <w:contextualSpacing/>
        <w:rPr>
          <w:bCs/>
          <w:szCs w:val="22"/>
          <w:lang w:val="en-GB"/>
        </w:rPr>
      </w:pPr>
    </w:p>
    <w:p w:rsidR="00032F0F" w:rsidRPr="00F875E6" w:rsidRDefault="00032F0F" w:rsidP="003262A9">
      <w:pPr>
        <w:numPr>
          <w:ilvl w:val="1"/>
          <w:numId w:val="4"/>
        </w:numPr>
        <w:contextualSpacing/>
        <w:rPr>
          <w:bCs/>
          <w:szCs w:val="22"/>
          <w:lang w:val="en-GB"/>
        </w:rPr>
      </w:pPr>
      <w:r w:rsidRPr="00F875E6">
        <w:rPr>
          <w:bCs/>
          <w:szCs w:val="22"/>
          <w:lang w:val="en-GB"/>
        </w:rPr>
        <w:t>The PBAC reaffirmed its previous conclusion that ponatinib is the most active TKI for</w:t>
      </w:r>
      <w:r w:rsidR="008F5F18" w:rsidRPr="00F875E6">
        <w:rPr>
          <w:bCs/>
          <w:szCs w:val="22"/>
          <w:lang w:val="en-GB"/>
        </w:rPr>
        <w:t xml:space="preserve"> CML </w:t>
      </w:r>
      <w:r w:rsidRPr="00F875E6">
        <w:rPr>
          <w:bCs/>
          <w:szCs w:val="22"/>
          <w:lang w:val="en-GB"/>
        </w:rPr>
        <w:t>patients who carr</w:t>
      </w:r>
      <w:r w:rsidR="008F5F18" w:rsidRPr="00F875E6">
        <w:rPr>
          <w:bCs/>
          <w:szCs w:val="22"/>
          <w:lang w:val="en-GB"/>
        </w:rPr>
        <w:t>y</w:t>
      </w:r>
      <w:r w:rsidRPr="00F875E6">
        <w:rPr>
          <w:bCs/>
          <w:szCs w:val="22"/>
          <w:lang w:val="en-GB"/>
        </w:rPr>
        <w:t xml:space="preserve"> the T315I mutation, and that response rates </w:t>
      </w:r>
      <w:r w:rsidR="0042261C" w:rsidRPr="00F875E6">
        <w:rPr>
          <w:bCs/>
          <w:szCs w:val="22"/>
          <w:lang w:val="en-GB"/>
        </w:rPr>
        <w:t xml:space="preserve">to ponatinib </w:t>
      </w:r>
      <w:r w:rsidRPr="00F875E6">
        <w:rPr>
          <w:bCs/>
          <w:szCs w:val="22"/>
          <w:lang w:val="en-GB"/>
        </w:rPr>
        <w:t>in</w:t>
      </w:r>
      <w:r w:rsidR="0042261C" w:rsidRPr="00F875E6">
        <w:rPr>
          <w:bCs/>
          <w:szCs w:val="22"/>
          <w:lang w:val="en-GB"/>
        </w:rPr>
        <w:t xml:space="preserve"> </w:t>
      </w:r>
      <w:r w:rsidR="00A143F9" w:rsidRPr="00F875E6">
        <w:rPr>
          <w:bCs/>
          <w:szCs w:val="22"/>
          <w:lang w:val="en-GB"/>
        </w:rPr>
        <w:t xml:space="preserve">CML </w:t>
      </w:r>
      <w:r w:rsidR="0042261C" w:rsidRPr="00F875E6">
        <w:rPr>
          <w:bCs/>
          <w:szCs w:val="22"/>
          <w:lang w:val="en-GB"/>
        </w:rPr>
        <w:t>patients with</w:t>
      </w:r>
      <w:r w:rsidRPr="00F875E6">
        <w:rPr>
          <w:bCs/>
          <w:szCs w:val="22"/>
          <w:lang w:val="en-GB"/>
        </w:rPr>
        <w:t xml:space="preserve"> </w:t>
      </w:r>
      <w:r w:rsidR="00A143F9" w:rsidRPr="00F875E6">
        <w:rPr>
          <w:bCs/>
          <w:szCs w:val="22"/>
          <w:lang w:val="en-GB"/>
        </w:rPr>
        <w:t xml:space="preserve">the </w:t>
      </w:r>
      <w:r w:rsidRPr="00F875E6">
        <w:rPr>
          <w:bCs/>
          <w:szCs w:val="22"/>
          <w:lang w:val="en-GB"/>
        </w:rPr>
        <w:t>T315I</w:t>
      </w:r>
      <w:r w:rsidR="00A143F9" w:rsidRPr="00F875E6">
        <w:rPr>
          <w:bCs/>
          <w:szCs w:val="22"/>
          <w:lang w:val="en-GB"/>
        </w:rPr>
        <w:t xml:space="preserve"> mutant</w:t>
      </w:r>
      <w:r w:rsidRPr="00F875E6">
        <w:rPr>
          <w:bCs/>
          <w:szCs w:val="22"/>
          <w:lang w:val="en-GB"/>
        </w:rPr>
        <w:t xml:space="preserve"> CML are similar to those seen in </w:t>
      </w:r>
      <w:r w:rsidR="00A143F9" w:rsidRPr="00F875E6">
        <w:rPr>
          <w:bCs/>
          <w:szCs w:val="22"/>
          <w:lang w:val="en-GB"/>
        </w:rPr>
        <w:t xml:space="preserve">CML </w:t>
      </w:r>
      <w:r w:rsidRPr="00F875E6">
        <w:rPr>
          <w:bCs/>
          <w:szCs w:val="22"/>
          <w:lang w:val="en-GB"/>
        </w:rPr>
        <w:t xml:space="preserve">patients </w:t>
      </w:r>
      <w:r w:rsidR="00A143F9" w:rsidRPr="00F875E6">
        <w:rPr>
          <w:bCs/>
          <w:szCs w:val="22"/>
          <w:lang w:val="en-GB"/>
        </w:rPr>
        <w:t xml:space="preserve">without this mutation </w:t>
      </w:r>
      <w:r w:rsidRPr="00F875E6">
        <w:rPr>
          <w:bCs/>
          <w:szCs w:val="22"/>
          <w:lang w:val="en-GB"/>
        </w:rPr>
        <w:t>treated with dasatinib or nilotini</w:t>
      </w:r>
      <w:r w:rsidR="00A65D4C" w:rsidRPr="00F875E6">
        <w:rPr>
          <w:bCs/>
          <w:szCs w:val="22"/>
          <w:lang w:val="en-GB"/>
        </w:rPr>
        <w:t>b</w:t>
      </w:r>
      <w:r w:rsidRPr="00F875E6">
        <w:rPr>
          <w:bCs/>
          <w:szCs w:val="22"/>
          <w:lang w:val="en-GB"/>
        </w:rPr>
        <w:t xml:space="preserve"> in second line.</w:t>
      </w:r>
    </w:p>
    <w:p w:rsidR="00764EE0" w:rsidRPr="00F875E6" w:rsidRDefault="00764EE0" w:rsidP="00764EE0">
      <w:pPr>
        <w:pStyle w:val="ListParagraph"/>
        <w:rPr>
          <w:bCs/>
          <w:szCs w:val="22"/>
          <w:lang w:val="en-GB"/>
        </w:rPr>
      </w:pPr>
    </w:p>
    <w:p w:rsidR="00764EE0" w:rsidRPr="00F875E6" w:rsidRDefault="00764EE0" w:rsidP="003262A9">
      <w:pPr>
        <w:numPr>
          <w:ilvl w:val="1"/>
          <w:numId w:val="4"/>
        </w:numPr>
        <w:contextualSpacing/>
        <w:rPr>
          <w:bCs/>
          <w:szCs w:val="22"/>
          <w:lang w:val="en-GB"/>
        </w:rPr>
      </w:pPr>
      <w:r w:rsidRPr="00F875E6">
        <w:rPr>
          <w:bCs/>
          <w:szCs w:val="22"/>
          <w:lang w:val="en-GB"/>
        </w:rPr>
        <w:t>The PBAC reaffirmed its view that ponatinib ha</w:t>
      </w:r>
      <w:r w:rsidR="00196BAB" w:rsidRPr="00F875E6">
        <w:rPr>
          <w:bCs/>
          <w:szCs w:val="22"/>
          <w:lang w:val="en-GB"/>
        </w:rPr>
        <w:t>s</w:t>
      </w:r>
      <w:r w:rsidRPr="00F875E6">
        <w:rPr>
          <w:bCs/>
          <w:szCs w:val="22"/>
          <w:lang w:val="en-GB"/>
        </w:rPr>
        <w:t xml:space="preserve"> an inferior toxicity profile to imatinib, dasatinib and nilotinib</w:t>
      </w:r>
      <w:r w:rsidR="00A70782" w:rsidRPr="00F875E6">
        <w:rPr>
          <w:bCs/>
          <w:szCs w:val="22"/>
          <w:lang w:val="en-GB"/>
        </w:rPr>
        <w:t xml:space="preserve">, especially with regard to serious vascular occlusive events. </w:t>
      </w:r>
    </w:p>
    <w:p w:rsidR="00764EE0" w:rsidRPr="00F875E6" w:rsidRDefault="00764EE0" w:rsidP="00764EE0">
      <w:pPr>
        <w:pStyle w:val="ListParagraph"/>
        <w:rPr>
          <w:bCs/>
          <w:szCs w:val="22"/>
          <w:lang w:val="en-GB"/>
        </w:rPr>
      </w:pPr>
    </w:p>
    <w:p w:rsidR="004A7A75" w:rsidRPr="00F875E6" w:rsidRDefault="00764EE0" w:rsidP="00366451">
      <w:pPr>
        <w:numPr>
          <w:ilvl w:val="1"/>
          <w:numId w:val="4"/>
        </w:numPr>
        <w:contextualSpacing/>
        <w:rPr>
          <w:bCs/>
          <w:szCs w:val="22"/>
          <w:lang w:val="en-GB"/>
        </w:rPr>
      </w:pPr>
      <w:r w:rsidRPr="00F875E6">
        <w:rPr>
          <w:bCs/>
          <w:szCs w:val="22"/>
          <w:lang w:val="en-GB"/>
        </w:rPr>
        <w:t xml:space="preserve">The PBAC </w:t>
      </w:r>
      <w:r w:rsidR="00366451" w:rsidRPr="00F875E6">
        <w:rPr>
          <w:bCs/>
          <w:szCs w:val="22"/>
          <w:lang w:val="en-GB"/>
        </w:rPr>
        <w:t>noted the cost-mimisation based on the appropriate equi-effective doses of ponatinib 30.2 mg daily, dasatinib 102 mg daily and nilotinib 797 mg daily.</w:t>
      </w:r>
      <w:r w:rsidR="00366451" w:rsidRPr="00F875E6">
        <w:rPr>
          <w:b/>
          <w:bCs/>
          <w:szCs w:val="22"/>
          <w:lang w:val="en-GB"/>
        </w:rPr>
        <w:t xml:space="preserve"> </w:t>
      </w:r>
      <w:r w:rsidR="00A143F9" w:rsidRPr="00F875E6">
        <w:rPr>
          <w:bCs/>
          <w:szCs w:val="22"/>
          <w:lang w:val="en-GB"/>
        </w:rPr>
        <w:t>The PBAC considered the cost-mimisation analysis should be based on the use of the treatments in CML. T</w:t>
      </w:r>
      <w:r w:rsidR="00366451" w:rsidRPr="00F875E6">
        <w:rPr>
          <w:bCs/>
          <w:szCs w:val="22"/>
          <w:lang w:val="en-GB"/>
        </w:rPr>
        <w:t>he PBAC c</w:t>
      </w:r>
      <w:r w:rsidRPr="00F875E6">
        <w:rPr>
          <w:bCs/>
          <w:szCs w:val="22"/>
          <w:lang w:val="en-GB"/>
        </w:rPr>
        <w:t>onsidered it reasonable to include pleural effusions as well as vascular occlusions in the economic model</w:t>
      </w:r>
      <w:r w:rsidR="006A5EBF" w:rsidRPr="00F875E6">
        <w:rPr>
          <w:bCs/>
          <w:szCs w:val="22"/>
          <w:lang w:val="en-GB"/>
        </w:rPr>
        <w:t xml:space="preserve"> and </w:t>
      </w:r>
      <w:r w:rsidR="00A143F9" w:rsidRPr="00F875E6">
        <w:rPr>
          <w:bCs/>
          <w:szCs w:val="22"/>
          <w:lang w:val="en-GB"/>
        </w:rPr>
        <w:t>the methodol</w:t>
      </w:r>
      <w:r w:rsidR="00A00DE3" w:rsidRPr="00F875E6">
        <w:rPr>
          <w:bCs/>
          <w:szCs w:val="22"/>
          <w:lang w:val="en-GB"/>
        </w:rPr>
        <w:t>og</w:t>
      </w:r>
      <w:r w:rsidR="00A143F9" w:rsidRPr="00F875E6">
        <w:rPr>
          <w:bCs/>
          <w:szCs w:val="22"/>
          <w:lang w:val="en-GB"/>
        </w:rPr>
        <w:t>y</w:t>
      </w:r>
      <w:r w:rsidR="002A0F5C" w:rsidRPr="00F875E6">
        <w:rPr>
          <w:bCs/>
          <w:szCs w:val="22"/>
          <w:lang w:val="en-GB"/>
        </w:rPr>
        <w:t xml:space="preserve"> (updated in the evaluation)</w:t>
      </w:r>
      <w:r w:rsidR="00A143F9" w:rsidRPr="00F875E6">
        <w:rPr>
          <w:bCs/>
          <w:szCs w:val="22"/>
          <w:lang w:val="en-GB"/>
        </w:rPr>
        <w:t xml:space="preserve"> </w:t>
      </w:r>
      <w:r w:rsidR="006A5EBF" w:rsidRPr="00F875E6">
        <w:rPr>
          <w:bCs/>
          <w:szCs w:val="22"/>
          <w:lang w:val="en-GB"/>
        </w:rPr>
        <w:t xml:space="preserve">was consistent with the previous </w:t>
      </w:r>
      <w:r w:rsidR="00A143F9" w:rsidRPr="00F875E6">
        <w:rPr>
          <w:bCs/>
          <w:szCs w:val="22"/>
          <w:lang w:val="en-GB"/>
        </w:rPr>
        <w:t>view of</w:t>
      </w:r>
      <w:r w:rsidR="006A5EBF" w:rsidRPr="00F875E6">
        <w:rPr>
          <w:bCs/>
          <w:szCs w:val="22"/>
          <w:lang w:val="en-GB"/>
        </w:rPr>
        <w:t xml:space="preserve"> the PBAC</w:t>
      </w:r>
      <w:r w:rsidRPr="00F875E6">
        <w:rPr>
          <w:bCs/>
          <w:szCs w:val="22"/>
          <w:lang w:val="en-GB"/>
        </w:rPr>
        <w:t>.</w:t>
      </w:r>
      <w:r w:rsidR="003E1A2A" w:rsidRPr="00F875E6">
        <w:rPr>
          <w:bCs/>
          <w:szCs w:val="22"/>
          <w:lang w:val="en-GB"/>
        </w:rPr>
        <w:t xml:space="preserve"> </w:t>
      </w:r>
    </w:p>
    <w:p w:rsidR="00366451" w:rsidRPr="00F875E6" w:rsidRDefault="00366451" w:rsidP="00366451">
      <w:pPr>
        <w:contextualSpacing/>
        <w:rPr>
          <w:bCs/>
          <w:szCs w:val="22"/>
          <w:lang w:val="en-GB"/>
        </w:rPr>
      </w:pPr>
    </w:p>
    <w:p w:rsidR="004A7A75" w:rsidRPr="00F875E6" w:rsidRDefault="004A7A75" w:rsidP="003262A9">
      <w:pPr>
        <w:numPr>
          <w:ilvl w:val="1"/>
          <w:numId w:val="4"/>
        </w:numPr>
        <w:contextualSpacing/>
        <w:rPr>
          <w:bCs/>
          <w:szCs w:val="22"/>
          <w:lang w:val="en-GB"/>
        </w:rPr>
      </w:pPr>
      <w:r w:rsidRPr="00F875E6">
        <w:rPr>
          <w:bCs/>
          <w:szCs w:val="22"/>
          <w:lang w:val="en-GB"/>
        </w:rPr>
        <w:t>The PBAC noted the discrepancy between the weighted price and DPMQ was a consequence of the estimate that 15% of patients</w:t>
      </w:r>
      <w:r w:rsidR="0058194B" w:rsidRPr="00F875E6">
        <w:rPr>
          <w:bCs/>
          <w:szCs w:val="22"/>
          <w:lang w:val="en-GB"/>
        </w:rPr>
        <w:t xml:space="preserve"> would only receive 15 mg per d</w:t>
      </w:r>
      <w:r w:rsidRPr="00F875E6">
        <w:rPr>
          <w:bCs/>
          <w:szCs w:val="22"/>
          <w:lang w:val="en-GB"/>
        </w:rPr>
        <w:t>ay rather than 30 mg</w:t>
      </w:r>
      <w:r w:rsidR="00E321CC" w:rsidRPr="00F875E6">
        <w:rPr>
          <w:bCs/>
          <w:szCs w:val="22"/>
          <w:lang w:val="en-GB"/>
        </w:rPr>
        <w:t xml:space="preserve"> (i.e. 15 mg twice per day)</w:t>
      </w:r>
      <w:r w:rsidRPr="00F875E6">
        <w:rPr>
          <w:bCs/>
          <w:szCs w:val="22"/>
          <w:lang w:val="en-GB"/>
        </w:rPr>
        <w:t xml:space="preserve"> or 45 mg per day. Advice</w:t>
      </w:r>
      <w:r w:rsidR="006D0587" w:rsidRPr="00F875E6">
        <w:rPr>
          <w:bCs/>
          <w:szCs w:val="22"/>
          <w:lang w:val="en-GB"/>
        </w:rPr>
        <w:t xml:space="preserve"> received</w:t>
      </w:r>
      <w:r w:rsidRPr="00F875E6">
        <w:rPr>
          <w:bCs/>
          <w:szCs w:val="22"/>
          <w:lang w:val="en-GB"/>
        </w:rPr>
        <w:t xml:space="preserve"> from HSANZ supported the general contention that average doses used in practice will be lower than those used in the PACE study. </w:t>
      </w:r>
    </w:p>
    <w:p w:rsidR="008642A8" w:rsidRPr="00F875E6" w:rsidRDefault="008642A8" w:rsidP="008642A8">
      <w:pPr>
        <w:pStyle w:val="ListParagraph"/>
        <w:rPr>
          <w:bCs/>
          <w:szCs w:val="22"/>
          <w:lang w:val="en-GB"/>
        </w:rPr>
      </w:pPr>
    </w:p>
    <w:p w:rsidR="008642A8" w:rsidRPr="00F875E6" w:rsidRDefault="008642A8" w:rsidP="00BE52A1">
      <w:pPr>
        <w:pStyle w:val="ListParagraph"/>
        <w:numPr>
          <w:ilvl w:val="1"/>
          <w:numId w:val="4"/>
        </w:numPr>
        <w:rPr>
          <w:bCs/>
          <w:szCs w:val="22"/>
          <w:lang w:val="en-GB"/>
        </w:rPr>
      </w:pPr>
      <w:r w:rsidRPr="00F875E6">
        <w:rPr>
          <w:bCs/>
          <w:szCs w:val="22"/>
          <w:lang w:val="en-GB"/>
        </w:rPr>
        <w:t xml:space="preserve">The PBAC noted </w:t>
      </w:r>
      <w:r w:rsidR="00BE52A1" w:rsidRPr="00F875E6">
        <w:rPr>
          <w:bCs/>
          <w:szCs w:val="22"/>
          <w:lang w:val="en-GB"/>
        </w:rPr>
        <w:t xml:space="preserve">the modification to the patient and financial estimates compared to the previous submission but considered that </w:t>
      </w:r>
      <w:r w:rsidRPr="00F875E6">
        <w:rPr>
          <w:bCs/>
          <w:szCs w:val="22"/>
          <w:lang w:val="en-GB"/>
        </w:rPr>
        <w:t xml:space="preserve">the patient numbers </w:t>
      </w:r>
      <w:r w:rsidR="00BE52A1" w:rsidRPr="00F875E6">
        <w:rPr>
          <w:bCs/>
          <w:szCs w:val="22"/>
          <w:lang w:val="en-GB"/>
        </w:rPr>
        <w:t>and estimated cost to Govermentment may be an under or over estimate. Overall, the PBAC considered that the revised estimates presented in the evaluation would likely reflect the very upper bound of net costs to government, with the listing of ponatinib in line with recommended indications.</w:t>
      </w:r>
    </w:p>
    <w:p w:rsidR="007F5FA3" w:rsidRPr="00F875E6" w:rsidRDefault="007F5FA3" w:rsidP="007F5FA3">
      <w:pPr>
        <w:pStyle w:val="ListParagraph"/>
        <w:rPr>
          <w:bCs/>
          <w:szCs w:val="22"/>
          <w:lang w:val="en-GB"/>
        </w:rPr>
      </w:pPr>
    </w:p>
    <w:p w:rsidR="00A143F9" w:rsidRPr="00F875E6" w:rsidRDefault="00A143F9" w:rsidP="007F5FA3">
      <w:pPr>
        <w:numPr>
          <w:ilvl w:val="1"/>
          <w:numId w:val="4"/>
        </w:numPr>
        <w:contextualSpacing/>
        <w:rPr>
          <w:bCs/>
          <w:szCs w:val="22"/>
          <w:lang w:val="en-GB"/>
        </w:rPr>
      </w:pPr>
      <w:r w:rsidRPr="00F875E6">
        <w:rPr>
          <w:szCs w:val="22"/>
        </w:rPr>
        <w:t xml:space="preserve">The PBAC specified under Section101 (3BA) of the </w:t>
      </w:r>
      <w:r w:rsidRPr="00F875E6">
        <w:rPr>
          <w:i/>
          <w:iCs/>
          <w:szCs w:val="22"/>
        </w:rPr>
        <w:t>National Health Act 1953</w:t>
      </w:r>
      <w:r w:rsidRPr="00F875E6">
        <w:rPr>
          <w:szCs w:val="22"/>
        </w:rPr>
        <w:t xml:space="preserve"> that ponatinib should not be treated as interchangeable on an individual pat</w:t>
      </w:r>
      <w:r w:rsidR="003B22B8">
        <w:rPr>
          <w:szCs w:val="22"/>
        </w:rPr>
        <w:t>ient basis with any other drug.</w:t>
      </w:r>
    </w:p>
    <w:p w:rsidR="00A143F9" w:rsidRPr="00F875E6" w:rsidRDefault="00A143F9" w:rsidP="00A143F9">
      <w:pPr>
        <w:pStyle w:val="ListParagraph"/>
        <w:rPr>
          <w:bCs/>
          <w:szCs w:val="22"/>
          <w:lang w:val="en-GB"/>
        </w:rPr>
      </w:pPr>
    </w:p>
    <w:p w:rsidR="007F5FA3" w:rsidRPr="00F875E6" w:rsidRDefault="007F5FA3" w:rsidP="007F5FA3">
      <w:pPr>
        <w:numPr>
          <w:ilvl w:val="1"/>
          <w:numId w:val="4"/>
        </w:numPr>
        <w:contextualSpacing/>
        <w:rPr>
          <w:bCs/>
          <w:szCs w:val="22"/>
          <w:lang w:val="en-GB"/>
        </w:rPr>
      </w:pPr>
      <w:r w:rsidRPr="00F875E6">
        <w:rPr>
          <w:bCs/>
          <w:szCs w:val="22"/>
          <w:lang w:val="en-GB"/>
        </w:rPr>
        <w:t>The PBAC advised that ponatinib is not suitable for presc</w:t>
      </w:r>
      <w:r w:rsidR="006E7EEC" w:rsidRPr="00F875E6">
        <w:rPr>
          <w:bCs/>
          <w:szCs w:val="22"/>
          <w:lang w:val="en-GB"/>
        </w:rPr>
        <w:t>ribing by nurse practitioners.</w:t>
      </w:r>
    </w:p>
    <w:p w:rsidR="007F5FA3" w:rsidRPr="00F875E6" w:rsidRDefault="007F5FA3" w:rsidP="007F5FA3">
      <w:pPr>
        <w:ind w:left="720"/>
        <w:contextualSpacing/>
        <w:rPr>
          <w:bCs/>
          <w:szCs w:val="22"/>
          <w:lang w:val="en-GB"/>
        </w:rPr>
      </w:pPr>
    </w:p>
    <w:p w:rsidR="007F5FA3" w:rsidRPr="00F875E6" w:rsidRDefault="007F5FA3" w:rsidP="007F5FA3">
      <w:pPr>
        <w:numPr>
          <w:ilvl w:val="1"/>
          <w:numId w:val="4"/>
        </w:numPr>
        <w:contextualSpacing/>
        <w:rPr>
          <w:bCs/>
          <w:szCs w:val="22"/>
          <w:lang w:val="en-GB"/>
        </w:rPr>
      </w:pPr>
      <w:r w:rsidRPr="00F875E6">
        <w:rPr>
          <w:bCs/>
          <w:szCs w:val="22"/>
          <w:lang w:val="en-GB"/>
        </w:rPr>
        <w:t xml:space="preserve">The PBAC recommended that the Safety Net 20 Day Rule should </w:t>
      </w:r>
      <w:r w:rsidR="006E7EEC" w:rsidRPr="00F875E6">
        <w:rPr>
          <w:bCs/>
          <w:szCs w:val="22"/>
          <w:lang w:val="en-GB"/>
        </w:rPr>
        <w:t>apply.</w:t>
      </w:r>
    </w:p>
    <w:p w:rsidR="007F5FA3" w:rsidRPr="00F875E6" w:rsidRDefault="007F5FA3" w:rsidP="007F5FA3">
      <w:pPr>
        <w:ind w:left="720"/>
        <w:contextualSpacing/>
        <w:rPr>
          <w:bCs/>
          <w:szCs w:val="22"/>
          <w:lang w:val="en-GB"/>
        </w:rPr>
      </w:pPr>
    </w:p>
    <w:p w:rsidR="007F5FA3" w:rsidRPr="00F875E6" w:rsidRDefault="007F5FA3" w:rsidP="007F5FA3">
      <w:pPr>
        <w:numPr>
          <w:ilvl w:val="1"/>
          <w:numId w:val="4"/>
        </w:numPr>
        <w:contextualSpacing/>
        <w:rPr>
          <w:bCs/>
          <w:szCs w:val="22"/>
          <w:lang w:val="en-GB"/>
        </w:rPr>
      </w:pPr>
      <w:r w:rsidRPr="00F875E6">
        <w:rPr>
          <w:bCs/>
          <w:szCs w:val="22"/>
          <w:lang w:val="en-GB"/>
        </w:rPr>
        <w:t>The PBAC noted that this submission is not eligible for an Independent Review</w:t>
      </w:r>
      <w:r w:rsidR="00395048" w:rsidRPr="00F875E6">
        <w:rPr>
          <w:bCs/>
          <w:szCs w:val="22"/>
          <w:lang w:val="en-GB"/>
        </w:rPr>
        <w:t>, as it received a positive recommendation</w:t>
      </w:r>
      <w:r w:rsidRPr="00F875E6">
        <w:rPr>
          <w:bCs/>
          <w:szCs w:val="22"/>
          <w:lang w:val="en-GB"/>
        </w:rPr>
        <w:t>.</w:t>
      </w:r>
    </w:p>
    <w:p w:rsidR="003262A9" w:rsidRPr="00F875E6" w:rsidRDefault="003262A9" w:rsidP="003262A9">
      <w:pPr>
        <w:rPr>
          <w:szCs w:val="22"/>
          <w:lang w:val="en-GB"/>
        </w:rPr>
      </w:pPr>
    </w:p>
    <w:p w:rsidR="003262A9" w:rsidRPr="00F875E6" w:rsidRDefault="003262A9" w:rsidP="003262A9">
      <w:pPr>
        <w:rPr>
          <w:b/>
          <w:bCs/>
          <w:szCs w:val="22"/>
          <w:lang w:val="en-GB"/>
        </w:rPr>
      </w:pPr>
    </w:p>
    <w:p w:rsidR="003262A9" w:rsidRPr="00F875E6" w:rsidRDefault="003262A9" w:rsidP="003262A9">
      <w:pPr>
        <w:rPr>
          <w:b/>
          <w:bCs/>
          <w:szCs w:val="22"/>
          <w:lang w:val="en-GB"/>
        </w:rPr>
      </w:pPr>
      <w:r w:rsidRPr="00F875E6">
        <w:rPr>
          <w:b/>
          <w:bCs/>
          <w:szCs w:val="22"/>
          <w:lang w:val="en-GB"/>
        </w:rPr>
        <w:t>Outcome:</w:t>
      </w:r>
    </w:p>
    <w:p w:rsidR="003262A9" w:rsidRPr="00F875E6" w:rsidRDefault="003262A9" w:rsidP="003262A9">
      <w:pPr>
        <w:rPr>
          <w:bCs/>
          <w:szCs w:val="22"/>
          <w:lang w:val="en-GB"/>
        </w:rPr>
      </w:pPr>
      <w:r w:rsidRPr="00F875E6">
        <w:rPr>
          <w:bCs/>
          <w:szCs w:val="22"/>
          <w:lang w:val="en-GB"/>
        </w:rPr>
        <w:t>Recommended</w:t>
      </w:r>
    </w:p>
    <w:p w:rsidR="003262A9" w:rsidRPr="00F875E6" w:rsidRDefault="003262A9" w:rsidP="003262A9">
      <w:pPr>
        <w:rPr>
          <w:bCs/>
          <w:szCs w:val="22"/>
          <w:lang w:val="en-GB"/>
        </w:rPr>
      </w:pPr>
    </w:p>
    <w:p w:rsidR="00AC17B5" w:rsidRPr="00F875E6" w:rsidRDefault="00AC17B5" w:rsidP="003262A9">
      <w:pPr>
        <w:rPr>
          <w:bCs/>
          <w:szCs w:val="22"/>
        </w:rPr>
      </w:pPr>
    </w:p>
    <w:p w:rsidR="003262A9" w:rsidRPr="00F875E6" w:rsidRDefault="003262A9" w:rsidP="003262A9">
      <w:pPr>
        <w:numPr>
          <w:ilvl w:val="0"/>
          <w:numId w:val="4"/>
        </w:numPr>
        <w:rPr>
          <w:b/>
          <w:bCs/>
          <w:i/>
          <w:szCs w:val="22"/>
          <w:lang w:val="en-GB"/>
        </w:rPr>
      </w:pPr>
      <w:r w:rsidRPr="00F875E6">
        <w:rPr>
          <w:b/>
          <w:bCs/>
          <w:szCs w:val="22"/>
          <w:lang w:val="en-GB"/>
        </w:rPr>
        <w:t>Recommended listing</w:t>
      </w:r>
    </w:p>
    <w:p w:rsidR="003262A9" w:rsidRPr="00F875E6" w:rsidRDefault="003262A9" w:rsidP="003262A9">
      <w:pPr>
        <w:rPr>
          <w:b/>
          <w:bCs/>
          <w:i/>
          <w:szCs w:val="22"/>
          <w:lang w:val="en-GB"/>
        </w:rPr>
      </w:pPr>
    </w:p>
    <w:p w:rsidR="003262A9" w:rsidRPr="00F875E6" w:rsidRDefault="003262A9" w:rsidP="00165CC5">
      <w:pPr>
        <w:numPr>
          <w:ilvl w:val="1"/>
          <w:numId w:val="4"/>
        </w:numPr>
        <w:contextualSpacing/>
        <w:rPr>
          <w:b/>
          <w:bCs/>
          <w:szCs w:val="22"/>
        </w:rPr>
      </w:pPr>
      <w:r w:rsidRPr="00F875E6">
        <w:rPr>
          <w:bCs/>
          <w:szCs w:val="22"/>
        </w:rPr>
        <w:t>Add new item:</w:t>
      </w:r>
    </w:p>
    <w:p w:rsidR="00C0210F" w:rsidRPr="00F875E6" w:rsidRDefault="00C0210F" w:rsidP="00E445EB">
      <w:pPr>
        <w:rPr>
          <w:i/>
          <w:szCs w:val="22"/>
          <w:u w:val="single"/>
        </w:rPr>
      </w:pPr>
    </w:p>
    <w:tbl>
      <w:tblPr>
        <w:tblW w:w="8789" w:type="dxa"/>
        <w:tblInd w:w="108" w:type="dxa"/>
        <w:tblLayout w:type="fixed"/>
        <w:tblLook w:val="0000" w:firstRow="0" w:lastRow="0" w:firstColumn="0" w:lastColumn="0" w:noHBand="0" w:noVBand="0"/>
      </w:tblPr>
      <w:tblGrid>
        <w:gridCol w:w="2835"/>
        <w:gridCol w:w="567"/>
        <w:gridCol w:w="851"/>
        <w:gridCol w:w="1134"/>
        <w:gridCol w:w="1276"/>
        <w:gridCol w:w="2126"/>
      </w:tblGrid>
      <w:tr w:rsidR="00240020" w:rsidRPr="00F875E6" w:rsidTr="00240020">
        <w:trPr>
          <w:cantSplit/>
          <w:trHeight w:val="471"/>
        </w:trPr>
        <w:tc>
          <w:tcPr>
            <w:tcW w:w="3402" w:type="dxa"/>
            <w:gridSpan w:val="2"/>
            <w:tcBorders>
              <w:bottom w:val="single" w:sz="4" w:space="0" w:color="auto"/>
            </w:tcBorders>
          </w:tcPr>
          <w:p w:rsidR="00240020" w:rsidRPr="00F875E6" w:rsidRDefault="00240020" w:rsidP="00E445EB">
            <w:pPr>
              <w:keepNext/>
              <w:ind w:left="-108"/>
              <w:rPr>
                <w:rFonts w:ascii="Arial Narrow" w:hAnsi="Arial Narrow"/>
                <w:sz w:val="20"/>
              </w:rPr>
            </w:pPr>
            <w:r w:rsidRPr="00F875E6">
              <w:rPr>
                <w:rFonts w:ascii="Arial Narrow" w:hAnsi="Arial Narrow"/>
                <w:sz w:val="20"/>
              </w:rPr>
              <w:t>Name, Restriction,</w:t>
            </w:r>
          </w:p>
          <w:p w:rsidR="00240020" w:rsidRPr="00F875E6" w:rsidRDefault="00240020" w:rsidP="00E445EB">
            <w:pPr>
              <w:keepNext/>
              <w:ind w:left="-108"/>
              <w:rPr>
                <w:rFonts w:ascii="Arial Narrow" w:hAnsi="Arial Narrow"/>
                <w:sz w:val="20"/>
              </w:rPr>
            </w:pPr>
            <w:r w:rsidRPr="00F875E6">
              <w:rPr>
                <w:rFonts w:ascii="Arial Narrow" w:hAnsi="Arial Narrow"/>
                <w:sz w:val="20"/>
              </w:rPr>
              <w:t>Manner of administration and form</w:t>
            </w:r>
          </w:p>
        </w:tc>
        <w:tc>
          <w:tcPr>
            <w:tcW w:w="851" w:type="dxa"/>
            <w:tcBorders>
              <w:bottom w:val="single" w:sz="4" w:space="0" w:color="auto"/>
            </w:tcBorders>
          </w:tcPr>
          <w:p w:rsidR="00240020" w:rsidRPr="00F875E6" w:rsidRDefault="00240020" w:rsidP="00E445EB">
            <w:pPr>
              <w:keepNext/>
              <w:ind w:left="-108"/>
              <w:rPr>
                <w:rFonts w:ascii="Arial Narrow" w:hAnsi="Arial Narrow"/>
                <w:sz w:val="20"/>
              </w:rPr>
            </w:pPr>
            <w:r w:rsidRPr="00F875E6">
              <w:rPr>
                <w:rFonts w:ascii="Arial Narrow" w:hAnsi="Arial Narrow"/>
                <w:sz w:val="20"/>
              </w:rPr>
              <w:t>Max.</w:t>
            </w:r>
          </w:p>
          <w:p w:rsidR="00240020" w:rsidRPr="00F875E6" w:rsidRDefault="00240020" w:rsidP="00E445EB">
            <w:pPr>
              <w:keepNext/>
              <w:ind w:left="-108"/>
              <w:rPr>
                <w:rFonts w:ascii="Arial Narrow" w:hAnsi="Arial Narrow"/>
                <w:sz w:val="20"/>
              </w:rPr>
            </w:pPr>
            <w:r w:rsidRPr="00F875E6">
              <w:rPr>
                <w:rFonts w:ascii="Arial Narrow" w:hAnsi="Arial Narrow"/>
                <w:sz w:val="20"/>
              </w:rPr>
              <w:t>Qty</w:t>
            </w:r>
          </w:p>
        </w:tc>
        <w:tc>
          <w:tcPr>
            <w:tcW w:w="1134" w:type="dxa"/>
            <w:tcBorders>
              <w:bottom w:val="single" w:sz="4" w:space="0" w:color="auto"/>
            </w:tcBorders>
          </w:tcPr>
          <w:p w:rsidR="00240020" w:rsidRPr="00F875E6" w:rsidRDefault="00240020" w:rsidP="00E445EB">
            <w:pPr>
              <w:keepNext/>
              <w:ind w:left="-108"/>
              <w:rPr>
                <w:rFonts w:ascii="Arial Narrow" w:hAnsi="Arial Narrow"/>
                <w:sz w:val="20"/>
              </w:rPr>
            </w:pPr>
            <w:r w:rsidRPr="00F875E6">
              <w:rPr>
                <w:rFonts w:ascii="Arial Narrow" w:hAnsi="Arial Narrow"/>
                <w:sz w:val="20"/>
              </w:rPr>
              <w:t>№.of</w:t>
            </w:r>
          </w:p>
          <w:p w:rsidR="00240020" w:rsidRPr="00F875E6" w:rsidRDefault="00240020" w:rsidP="00E445EB">
            <w:pPr>
              <w:keepNext/>
              <w:ind w:left="-108"/>
              <w:rPr>
                <w:rFonts w:ascii="Arial Narrow" w:hAnsi="Arial Narrow"/>
                <w:sz w:val="20"/>
              </w:rPr>
            </w:pPr>
            <w:r w:rsidRPr="00F875E6">
              <w:rPr>
                <w:rFonts w:ascii="Arial Narrow" w:hAnsi="Arial Narrow"/>
                <w:sz w:val="20"/>
              </w:rPr>
              <w:t>Rpts</w:t>
            </w:r>
          </w:p>
        </w:tc>
        <w:tc>
          <w:tcPr>
            <w:tcW w:w="3402" w:type="dxa"/>
            <w:gridSpan w:val="2"/>
            <w:tcBorders>
              <w:bottom w:val="single" w:sz="4" w:space="0" w:color="auto"/>
            </w:tcBorders>
          </w:tcPr>
          <w:p w:rsidR="00240020" w:rsidRPr="00F875E6" w:rsidRDefault="00240020" w:rsidP="00E445EB">
            <w:pPr>
              <w:keepNext/>
              <w:rPr>
                <w:rFonts w:ascii="Arial Narrow" w:hAnsi="Arial Narrow"/>
                <w:sz w:val="20"/>
                <w:lang w:val="fr-FR"/>
              </w:rPr>
            </w:pPr>
            <w:r w:rsidRPr="00F875E6">
              <w:rPr>
                <w:rFonts w:ascii="Arial Narrow" w:hAnsi="Arial Narrow"/>
                <w:sz w:val="20"/>
              </w:rPr>
              <w:t>Proprietary Name and Manufacturer</w:t>
            </w:r>
          </w:p>
        </w:tc>
      </w:tr>
      <w:tr w:rsidR="00240020" w:rsidRPr="00F875E6" w:rsidTr="00240020">
        <w:trPr>
          <w:cantSplit/>
          <w:trHeight w:val="577"/>
        </w:trPr>
        <w:tc>
          <w:tcPr>
            <w:tcW w:w="3402" w:type="dxa"/>
            <w:gridSpan w:val="2"/>
          </w:tcPr>
          <w:p w:rsidR="00240020" w:rsidRPr="00F875E6" w:rsidRDefault="00240020" w:rsidP="00E445EB">
            <w:pPr>
              <w:keepNext/>
              <w:ind w:left="-108"/>
              <w:rPr>
                <w:rFonts w:ascii="Arial Narrow" w:hAnsi="Arial Narrow"/>
                <w:sz w:val="20"/>
              </w:rPr>
            </w:pPr>
            <w:r w:rsidRPr="00F875E6">
              <w:rPr>
                <w:rFonts w:ascii="Arial Narrow" w:hAnsi="Arial Narrow"/>
                <w:smallCaps/>
                <w:sz w:val="20"/>
              </w:rPr>
              <w:t>ponatinib</w:t>
            </w:r>
          </w:p>
          <w:p w:rsidR="00240020" w:rsidRPr="00F875E6" w:rsidRDefault="00240020" w:rsidP="00E445EB">
            <w:pPr>
              <w:keepNext/>
              <w:ind w:left="-108"/>
              <w:rPr>
                <w:rFonts w:ascii="Arial Narrow" w:hAnsi="Arial Narrow"/>
                <w:sz w:val="20"/>
              </w:rPr>
            </w:pPr>
            <w:r w:rsidRPr="00F875E6">
              <w:rPr>
                <w:rFonts w:ascii="Arial Narrow" w:hAnsi="Arial Narrow"/>
                <w:sz w:val="20"/>
              </w:rPr>
              <w:t>ponatinib 15 mg tablet, 60</w:t>
            </w:r>
          </w:p>
          <w:p w:rsidR="00240020" w:rsidRPr="00F875E6" w:rsidRDefault="00240020" w:rsidP="00E445EB">
            <w:pPr>
              <w:keepNext/>
              <w:ind w:left="-108"/>
              <w:rPr>
                <w:rFonts w:ascii="Arial Narrow" w:hAnsi="Arial Narrow"/>
                <w:sz w:val="20"/>
              </w:rPr>
            </w:pPr>
          </w:p>
          <w:p w:rsidR="00240020" w:rsidRPr="00F875E6" w:rsidRDefault="00240020" w:rsidP="00E445EB">
            <w:pPr>
              <w:keepNext/>
              <w:ind w:left="-108"/>
              <w:rPr>
                <w:rFonts w:ascii="Arial Narrow" w:hAnsi="Arial Narrow"/>
                <w:sz w:val="20"/>
              </w:rPr>
            </w:pPr>
            <w:r w:rsidRPr="00F875E6">
              <w:rPr>
                <w:rFonts w:ascii="Arial Narrow" w:hAnsi="Arial Narrow"/>
                <w:sz w:val="20"/>
              </w:rPr>
              <w:t>ponatinib 45 mg tablet, 30</w:t>
            </w:r>
          </w:p>
        </w:tc>
        <w:tc>
          <w:tcPr>
            <w:tcW w:w="851" w:type="dxa"/>
          </w:tcPr>
          <w:p w:rsidR="00240020" w:rsidRPr="00F875E6" w:rsidRDefault="00240020" w:rsidP="00E445EB">
            <w:pPr>
              <w:keepNext/>
              <w:ind w:left="-108"/>
              <w:rPr>
                <w:rFonts w:ascii="Arial Narrow" w:hAnsi="Arial Narrow"/>
                <w:sz w:val="20"/>
              </w:rPr>
            </w:pPr>
          </w:p>
          <w:p w:rsidR="00240020" w:rsidRPr="00F875E6" w:rsidRDefault="00240020" w:rsidP="00E445EB">
            <w:pPr>
              <w:keepNext/>
              <w:ind w:left="-108"/>
              <w:rPr>
                <w:rFonts w:ascii="Arial Narrow" w:hAnsi="Arial Narrow"/>
                <w:sz w:val="20"/>
              </w:rPr>
            </w:pPr>
            <w:r w:rsidRPr="00F875E6">
              <w:rPr>
                <w:rFonts w:ascii="Arial Narrow" w:hAnsi="Arial Narrow"/>
                <w:sz w:val="20"/>
              </w:rPr>
              <w:t>1</w:t>
            </w:r>
          </w:p>
          <w:p w:rsidR="00240020" w:rsidRPr="00F875E6" w:rsidRDefault="00240020" w:rsidP="00E445EB">
            <w:pPr>
              <w:keepNext/>
              <w:ind w:left="-108"/>
              <w:rPr>
                <w:rFonts w:ascii="Arial Narrow" w:hAnsi="Arial Narrow"/>
                <w:sz w:val="20"/>
              </w:rPr>
            </w:pPr>
          </w:p>
          <w:p w:rsidR="00240020" w:rsidRPr="00F875E6" w:rsidRDefault="00240020" w:rsidP="00E445EB">
            <w:pPr>
              <w:keepNext/>
              <w:ind w:left="-108"/>
              <w:rPr>
                <w:rFonts w:ascii="Arial Narrow" w:hAnsi="Arial Narrow"/>
                <w:sz w:val="20"/>
              </w:rPr>
            </w:pPr>
            <w:r w:rsidRPr="00F875E6">
              <w:rPr>
                <w:rFonts w:ascii="Arial Narrow" w:hAnsi="Arial Narrow"/>
                <w:sz w:val="20"/>
              </w:rPr>
              <w:t>1</w:t>
            </w:r>
          </w:p>
        </w:tc>
        <w:tc>
          <w:tcPr>
            <w:tcW w:w="1134" w:type="dxa"/>
          </w:tcPr>
          <w:p w:rsidR="00240020" w:rsidRPr="00F875E6" w:rsidRDefault="00240020" w:rsidP="00E445EB">
            <w:pPr>
              <w:keepNext/>
              <w:ind w:left="-108"/>
              <w:rPr>
                <w:rFonts w:ascii="Arial Narrow" w:hAnsi="Arial Narrow"/>
                <w:sz w:val="20"/>
              </w:rPr>
            </w:pPr>
          </w:p>
          <w:p w:rsidR="00240020" w:rsidRPr="00F875E6" w:rsidRDefault="00240020" w:rsidP="00E445EB">
            <w:pPr>
              <w:keepNext/>
              <w:ind w:left="-108"/>
              <w:rPr>
                <w:rFonts w:ascii="Arial Narrow" w:hAnsi="Arial Narrow"/>
                <w:sz w:val="20"/>
              </w:rPr>
            </w:pPr>
            <w:r w:rsidRPr="00F875E6">
              <w:rPr>
                <w:rFonts w:ascii="Arial Narrow" w:hAnsi="Arial Narrow"/>
                <w:sz w:val="20"/>
              </w:rPr>
              <w:t>5</w:t>
            </w:r>
          </w:p>
          <w:p w:rsidR="00240020" w:rsidRPr="00F875E6" w:rsidRDefault="00240020" w:rsidP="00E445EB">
            <w:pPr>
              <w:keepNext/>
              <w:ind w:left="-108"/>
              <w:rPr>
                <w:rFonts w:ascii="Arial Narrow" w:hAnsi="Arial Narrow"/>
                <w:sz w:val="20"/>
              </w:rPr>
            </w:pPr>
          </w:p>
          <w:p w:rsidR="00240020" w:rsidRPr="00F875E6" w:rsidRDefault="00240020" w:rsidP="00E445EB">
            <w:pPr>
              <w:keepNext/>
              <w:ind w:left="-108"/>
              <w:rPr>
                <w:rFonts w:ascii="Arial Narrow" w:hAnsi="Arial Narrow"/>
                <w:sz w:val="20"/>
              </w:rPr>
            </w:pPr>
            <w:r w:rsidRPr="00F875E6">
              <w:rPr>
                <w:rFonts w:ascii="Arial Narrow" w:hAnsi="Arial Narrow"/>
                <w:sz w:val="20"/>
              </w:rPr>
              <w:t>5</w:t>
            </w:r>
          </w:p>
        </w:tc>
        <w:tc>
          <w:tcPr>
            <w:tcW w:w="1276" w:type="dxa"/>
          </w:tcPr>
          <w:p w:rsidR="00240020" w:rsidRPr="00F875E6" w:rsidRDefault="00240020" w:rsidP="00E445EB">
            <w:pPr>
              <w:keepNext/>
              <w:rPr>
                <w:rFonts w:ascii="Arial Narrow" w:hAnsi="Arial Narrow"/>
                <w:sz w:val="20"/>
              </w:rPr>
            </w:pPr>
            <w:r w:rsidRPr="00F875E6">
              <w:rPr>
                <w:rFonts w:ascii="Arial Narrow" w:hAnsi="Arial Narrow"/>
                <w:sz w:val="20"/>
              </w:rPr>
              <w:t>Iclusig</w:t>
            </w:r>
            <w:r w:rsidRPr="00F875E6" w:rsidDel="00670295">
              <w:rPr>
                <w:rFonts w:ascii="Arial Narrow" w:hAnsi="Arial Narrow"/>
                <w:sz w:val="20"/>
              </w:rPr>
              <w:t xml:space="preserve"> </w:t>
            </w:r>
          </w:p>
        </w:tc>
        <w:tc>
          <w:tcPr>
            <w:tcW w:w="2126" w:type="dxa"/>
          </w:tcPr>
          <w:p w:rsidR="00240020" w:rsidRPr="00F875E6" w:rsidRDefault="00240020" w:rsidP="00E445EB">
            <w:pPr>
              <w:keepNext/>
              <w:rPr>
                <w:rFonts w:ascii="Arial Narrow" w:hAnsi="Arial Narrow"/>
                <w:sz w:val="20"/>
              </w:rPr>
            </w:pPr>
            <w:r w:rsidRPr="00F875E6">
              <w:rPr>
                <w:rFonts w:ascii="Arial Narrow" w:hAnsi="Arial Narrow"/>
                <w:sz w:val="20"/>
              </w:rPr>
              <w:t>Specialised Therapeutics Australia</w:t>
            </w:r>
            <w:r w:rsidRPr="00F875E6" w:rsidDel="00670295">
              <w:rPr>
                <w:rFonts w:ascii="Arial Narrow" w:hAnsi="Arial Narrow"/>
                <w:sz w:val="20"/>
              </w:rPr>
              <w:t xml:space="preserve"> </w:t>
            </w:r>
          </w:p>
        </w:tc>
      </w:tr>
      <w:tr w:rsidR="00E445EB" w:rsidRPr="00F875E6" w:rsidTr="00E445EB">
        <w:trPr>
          <w:cantSplit/>
          <w:trHeight w:val="360"/>
        </w:trPr>
        <w:tc>
          <w:tcPr>
            <w:tcW w:w="8789" w:type="dxa"/>
            <w:gridSpan w:val="6"/>
            <w:tcBorders>
              <w:bottom w:val="single" w:sz="4" w:space="0" w:color="auto"/>
            </w:tcBorders>
          </w:tcPr>
          <w:p w:rsidR="00E445EB" w:rsidRPr="00F875E6" w:rsidRDefault="00E445EB" w:rsidP="00E445EB">
            <w:pPr>
              <w:ind w:left="-108"/>
              <w:rPr>
                <w:rFonts w:ascii="Arial Narrow" w:hAnsi="Arial Narrow"/>
                <w:sz w:val="20"/>
              </w:rPr>
            </w:pPr>
          </w:p>
          <w:p w:rsidR="00E445EB" w:rsidRPr="00F875E6" w:rsidRDefault="00E445EB" w:rsidP="00E445EB">
            <w:pPr>
              <w:ind w:left="-108"/>
              <w:rPr>
                <w:rFonts w:ascii="Arial Narrow" w:hAnsi="Arial Narrow"/>
                <w:sz w:val="20"/>
              </w:rPr>
            </w:pPr>
          </w:p>
          <w:p w:rsidR="00E445EB" w:rsidRPr="00F875E6" w:rsidRDefault="00E445EB" w:rsidP="00E445EB">
            <w:pPr>
              <w:ind w:left="-108"/>
              <w:rPr>
                <w:rFonts w:ascii="Arial Narrow" w:hAnsi="Arial Narrow"/>
                <w:b/>
                <w:i/>
                <w:sz w:val="20"/>
              </w:rPr>
            </w:pPr>
            <w:r w:rsidRPr="00F875E6">
              <w:rPr>
                <w:rFonts w:ascii="Arial Narrow" w:hAnsi="Arial Narrow"/>
                <w:b/>
                <w:i/>
                <w:szCs w:val="22"/>
                <w:u w:val="single"/>
              </w:rPr>
              <w:t>CML (without T315I mutation)</w:t>
            </w:r>
          </w:p>
        </w:tc>
      </w:tr>
      <w:tr w:rsidR="00E445EB" w:rsidRPr="00F875E6" w:rsidTr="00E445EB">
        <w:trPr>
          <w:cantSplit/>
          <w:trHeight w:val="360"/>
        </w:trPr>
        <w:tc>
          <w:tcPr>
            <w:tcW w:w="2835"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b/>
                <w:sz w:val="20"/>
              </w:rPr>
            </w:pPr>
            <w:r w:rsidRPr="00F875E6">
              <w:rPr>
                <w:rFonts w:ascii="Arial Narrow" w:hAnsi="Arial Narrow"/>
                <w:b/>
                <w:sz w:val="20"/>
              </w:rPr>
              <w:t xml:space="preserve">Category / </w:t>
            </w:r>
          </w:p>
          <w:p w:rsidR="00E445EB" w:rsidRPr="00F875E6" w:rsidRDefault="00E445EB" w:rsidP="00E445EB">
            <w:pPr>
              <w:rPr>
                <w:rFonts w:ascii="Arial Narrow" w:hAnsi="Arial Narrow"/>
                <w:b/>
                <w:sz w:val="20"/>
              </w:rPr>
            </w:pPr>
            <w:r w:rsidRPr="00F875E6">
              <w:rPr>
                <w:rFonts w:ascii="Arial Narrow" w:hAnsi="Arial Narrow"/>
                <w:b/>
                <w:sz w:val="20"/>
              </w:rPr>
              <w:t>Program</w:t>
            </w:r>
          </w:p>
        </w:tc>
        <w:tc>
          <w:tcPr>
            <w:tcW w:w="5954" w:type="dxa"/>
            <w:gridSpan w:val="5"/>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sz w:val="20"/>
              </w:rPr>
            </w:pPr>
            <w:r w:rsidRPr="00F875E6">
              <w:rPr>
                <w:rFonts w:ascii="Arial Narrow" w:hAnsi="Arial Narrow"/>
                <w:sz w:val="20"/>
              </w:rPr>
              <w:t>GENERAL – General Schedule (Code GE)</w:t>
            </w:r>
          </w:p>
          <w:p w:rsidR="00E445EB" w:rsidRPr="00F875E6" w:rsidRDefault="00E445EB" w:rsidP="00E445EB">
            <w:pPr>
              <w:rPr>
                <w:rFonts w:ascii="Arial Narrow" w:hAnsi="Arial Narrow"/>
                <w:sz w:val="20"/>
              </w:rPr>
            </w:pPr>
          </w:p>
        </w:tc>
      </w:tr>
      <w:tr w:rsidR="00E445EB" w:rsidRPr="00F875E6" w:rsidTr="00E445EB">
        <w:trPr>
          <w:cantSplit/>
          <w:trHeight w:val="360"/>
        </w:trPr>
        <w:tc>
          <w:tcPr>
            <w:tcW w:w="2835"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b/>
                <w:sz w:val="20"/>
              </w:rPr>
            </w:pPr>
            <w:r w:rsidRPr="00F875E6">
              <w:rPr>
                <w:rFonts w:ascii="Arial Narrow" w:hAnsi="Arial Narrow"/>
                <w:b/>
                <w:sz w:val="20"/>
              </w:rPr>
              <w:t>Prescriber type:</w:t>
            </w:r>
          </w:p>
          <w:p w:rsidR="00E445EB" w:rsidRPr="00F875E6" w:rsidRDefault="00E445EB" w:rsidP="00E445EB">
            <w:pPr>
              <w:rPr>
                <w:rFonts w:ascii="Arial Narrow" w:hAnsi="Arial Narrow"/>
                <w:b/>
                <w:sz w:val="20"/>
              </w:rPr>
            </w:pPr>
          </w:p>
        </w:tc>
        <w:tc>
          <w:tcPr>
            <w:tcW w:w="5954" w:type="dxa"/>
            <w:gridSpan w:val="5"/>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sz w:val="20"/>
              </w:rPr>
            </w:pPr>
            <w:r w:rsidRPr="00F875E6">
              <w:rPr>
                <w:rFonts w:ascii="Arial Narrow" w:hAnsi="Arial Narrow"/>
                <w:sz w:val="20"/>
              </w:rPr>
              <w:fldChar w:fldCharType="begin">
                <w:ffData>
                  <w:name w:val="Check1"/>
                  <w:enabled/>
                  <w:calcOnExit w:val="0"/>
                  <w:checkBox>
                    <w:sizeAuto/>
                    <w:default w:val="0"/>
                  </w:checkBox>
                </w:ffData>
              </w:fldChar>
            </w:r>
            <w:r w:rsidRPr="00F875E6">
              <w:rPr>
                <w:rFonts w:ascii="Arial Narrow" w:hAnsi="Arial Narrow"/>
                <w:sz w:val="20"/>
              </w:rPr>
              <w:instrText xml:space="preserve"> FORMCHECKBOX </w:instrText>
            </w:r>
            <w:r w:rsidR="00DC6394">
              <w:rPr>
                <w:rFonts w:ascii="Arial Narrow" w:hAnsi="Arial Narrow"/>
                <w:sz w:val="20"/>
              </w:rPr>
            </w:r>
            <w:r w:rsidR="00DC6394">
              <w:rPr>
                <w:rFonts w:ascii="Arial Narrow" w:hAnsi="Arial Narrow"/>
                <w:sz w:val="20"/>
              </w:rPr>
              <w:fldChar w:fldCharType="separate"/>
            </w:r>
            <w:r w:rsidRPr="00F875E6">
              <w:rPr>
                <w:rFonts w:ascii="Arial Narrow" w:hAnsi="Arial Narrow"/>
                <w:sz w:val="20"/>
              </w:rPr>
              <w:fldChar w:fldCharType="end"/>
            </w:r>
            <w:r w:rsidRPr="00F875E6">
              <w:rPr>
                <w:rFonts w:ascii="Arial Narrow" w:hAnsi="Arial Narrow"/>
                <w:sz w:val="20"/>
              </w:rPr>
              <w:t xml:space="preserve">Dental  </w:t>
            </w:r>
            <w:r w:rsidRPr="00F875E6">
              <w:rPr>
                <w:rFonts w:ascii="Arial Narrow" w:hAnsi="Arial Narrow"/>
                <w:sz w:val="20"/>
              </w:rPr>
              <w:fldChar w:fldCharType="begin">
                <w:ffData>
                  <w:name w:val=""/>
                  <w:enabled/>
                  <w:calcOnExit w:val="0"/>
                  <w:checkBox>
                    <w:sizeAuto/>
                    <w:default w:val="1"/>
                  </w:checkBox>
                </w:ffData>
              </w:fldChar>
            </w:r>
            <w:r w:rsidRPr="00F875E6">
              <w:rPr>
                <w:rFonts w:ascii="Arial Narrow" w:hAnsi="Arial Narrow"/>
                <w:sz w:val="20"/>
              </w:rPr>
              <w:instrText xml:space="preserve"> FORMCHECKBOX </w:instrText>
            </w:r>
            <w:r w:rsidR="00DC6394">
              <w:rPr>
                <w:rFonts w:ascii="Arial Narrow" w:hAnsi="Arial Narrow"/>
                <w:sz w:val="20"/>
              </w:rPr>
            </w:r>
            <w:r w:rsidR="00DC6394">
              <w:rPr>
                <w:rFonts w:ascii="Arial Narrow" w:hAnsi="Arial Narrow"/>
                <w:sz w:val="20"/>
              </w:rPr>
              <w:fldChar w:fldCharType="separate"/>
            </w:r>
            <w:r w:rsidRPr="00F875E6">
              <w:rPr>
                <w:rFonts w:ascii="Arial Narrow" w:hAnsi="Arial Narrow"/>
                <w:sz w:val="20"/>
              </w:rPr>
              <w:fldChar w:fldCharType="end"/>
            </w:r>
            <w:r w:rsidRPr="00F875E6">
              <w:rPr>
                <w:rFonts w:ascii="Arial Narrow" w:hAnsi="Arial Narrow"/>
                <w:sz w:val="20"/>
              </w:rPr>
              <w:t xml:space="preserve">Medical Practitioners  </w:t>
            </w:r>
            <w:r w:rsidRPr="00F875E6">
              <w:rPr>
                <w:rFonts w:ascii="Arial Narrow" w:hAnsi="Arial Narrow"/>
                <w:sz w:val="20"/>
              </w:rPr>
              <w:fldChar w:fldCharType="begin">
                <w:ffData>
                  <w:name w:val="Check3"/>
                  <w:enabled/>
                  <w:calcOnExit w:val="0"/>
                  <w:checkBox>
                    <w:sizeAuto/>
                    <w:default w:val="0"/>
                  </w:checkBox>
                </w:ffData>
              </w:fldChar>
            </w:r>
            <w:r w:rsidRPr="00F875E6">
              <w:rPr>
                <w:rFonts w:ascii="Arial Narrow" w:hAnsi="Arial Narrow"/>
                <w:sz w:val="20"/>
              </w:rPr>
              <w:instrText xml:space="preserve"> FORMCHECKBOX </w:instrText>
            </w:r>
            <w:r w:rsidR="00DC6394">
              <w:rPr>
                <w:rFonts w:ascii="Arial Narrow" w:hAnsi="Arial Narrow"/>
                <w:sz w:val="20"/>
              </w:rPr>
            </w:r>
            <w:r w:rsidR="00DC6394">
              <w:rPr>
                <w:rFonts w:ascii="Arial Narrow" w:hAnsi="Arial Narrow"/>
                <w:sz w:val="20"/>
              </w:rPr>
              <w:fldChar w:fldCharType="separate"/>
            </w:r>
            <w:r w:rsidRPr="00F875E6">
              <w:rPr>
                <w:rFonts w:ascii="Arial Narrow" w:hAnsi="Arial Narrow"/>
                <w:sz w:val="20"/>
              </w:rPr>
              <w:fldChar w:fldCharType="end"/>
            </w:r>
            <w:r w:rsidRPr="00F875E6">
              <w:rPr>
                <w:rFonts w:ascii="Arial Narrow" w:hAnsi="Arial Narrow"/>
                <w:sz w:val="20"/>
              </w:rPr>
              <w:t xml:space="preserve">Nurse practitioners  </w:t>
            </w:r>
            <w:r w:rsidRPr="00F875E6">
              <w:rPr>
                <w:rFonts w:ascii="Arial Narrow" w:hAnsi="Arial Narrow"/>
                <w:sz w:val="20"/>
              </w:rPr>
              <w:fldChar w:fldCharType="begin">
                <w:ffData>
                  <w:name w:val=""/>
                  <w:enabled/>
                  <w:calcOnExit w:val="0"/>
                  <w:checkBox>
                    <w:sizeAuto/>
                    <w:default w:val="0"/>
                  </w:checkBox>
                </w:ffData>
              </w:fldChar>
            </w:r>
            <w:r w:rsidRPr="00F875E6">
              <w:rPr>
                <w:rFonts w:ascii="Arial Narrow" w:hAnsi="Arial Narrow"/>
                <w:sz w:val="20"/>
              </w:rPr>
              <w:instrText xml:space="preserve"> FORMCHECKBOX </w:instrText>
            </w:r>
            <w:r w:rsidR="00DC6394">
              <w:rPr>
                <w:rFonts w:ascii="Arial Narrow" w:hAnsi="Arial Narrow"/>
                <w:sz w:val="20"/>
              </w:rPr>
            </w:r>
            <w:r w:rsidR="00DC6394">
              <w:rPr>
                <w:rFonts w:ascii="Arial Narrow" w:hAnsi="Arial Narrow"/>
                <w:sz w:val="20"/>
              </w:rPr>
              <w:fldChar w:fldCharType="separate"/>
            </w:r>
            <w:r w:rsidRPr="00F875E6">
              <w:rPr>
                <w:rFonts w:ascii="Arial Narrow" w:hAnsi="Arial Narrow"/>
                <w:sz w:val="20"/>
              </w:rPr>
              <w:fldChar w:fldCharType="end"/>
            </w:r>
            <w:r w:rsidRPr="00F875E6">
              <w:rPr>
                <w:rFonts w:ascii="Arial Narrow" w:hAnsi="Arial Narrow"/>
                <w:sz w:val="20"/>
              </w:rPr>
              <w:t>Optometrists</w:t>
            </w:r>
          </w:p>
          <w:p w:rsidR="00E445EB" w:rsidRPr="00F875E6" w:rsidRDefault="00E445EB" w:rsidP="00E445EB">
            <w:pPr>
              <w:rPr>
                <w:rFonts w:ascii="Arial Narrow" w:hAnsi="Arial Narrow"/>
                <w:sz w:val="20"/>
              </w:rPr>
            </w:pPr>
            <w:r w:rsidRPr="00F875E6">
              <w:rPr>
                <w:rFonts w:ascii="Arial Narrow" w:hAnsi="Arial Narrow"/>
                <w:sz w:val="20"/>
              </w:rPr>
              <w:fldChar w:fldCharType="begin">
                <w:ffData>
                  <w:name w:val="Check5"/>
                  <w:enabled/>
                  <w:calcOnExit w:val="0"/>
                  <w:checkBox>
                    <w:sizeAuto/>
                    <w:default w:val="0"/>
                  </w:checkBox>
                </w:ffData>
              </w:fldChar>
            </w:r>
            <w:r w:rsidRPr="00F875E6">
              <w:rPr>
                <w:rFonts w:ascii="Arial Narrow" w:hAnsi="Arial Narrow"/>
                <w:sz w:val="20"/>
              </w:rPr>
              <w:instrText xml:space="preserve"> FORMCHECKBOX </w:instrText>
            </w:r>
            <w:r w:rsidR="00DC6394">
              <w:rPr>
                <w:rFonts w:ascii="Arial Narrow" w:hAnsi="Arial Narrow"/>
                <w:sz w:val="20"/>
              </w:rPr>
            </w:r>
            <w:r w:rsidR="00DC6394">
              <w:rPr>
                <w:rFonts w:ascii="Arial Narrow" w:hAnsi="Arial Narrow"/>
                <w:sz w:val="20"/>
              </w:rPr>
              <w:fldChar w:fldCharType="separate"/>
            </w:r>
            <w:r w:rsidRPr="00F875E6">
              <w:rPr>
                <w:rFonts w:ascii="Arial Narrow" w:hAnsi="Arial Narrow"/>
                <w:sz w:val="20"/>
              </w:rPr>
              <w:fldChar w:fldCharType="end"/>
            </w:r>
            <w:r w:rsidRPr="00F875E6">
              <w:rPr>
                <w:rFonts w:ascii="Arial Narrow" w:hAnsi="Arial Narrow"/>
                <w:sz w:val="20"/>
              </w:rPr>
              <w:t>Midwives</w:t>
            </w:r>
          </w:p>
        </w:tc>
      </w:tr>
      <w:tr w:rsidR="00E445EB" w:rsidRPr="00F875E6" w:rsidTr="00E445EB">
        <w:trPr>
          <w:cantSplit/>
          <w:trHeight w:val="360"/>
        </w:trPr>
        <w:tc>
          <w:tcPr>
            <w:tcW w:w="2835"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b/>
                <w:sz w:val="20"/>
              </w:rPr>
            </w:pPr>
            <w:r w:rsidRPr="00F875E6">
              <w:rPr>
                <w:rFonts w:ascii="Arial Narrow" w:hAnsi="Arial Narrow"/>
                <w:b/>
                <w:sz w:val="20"/>
              </w:rPr>
              <w:t>Episodicity:</w:t>
            </w:r>
          </w:p>
        </w:tc>
        <w:tc>
          <w:tcPr>
            <w:tcW w:w="5954" w:type="dxa"/>
            <w:gridSpan w:val="5"/>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sz w:val="20"/>
              </w:rPr>
            </w:pPr>
            <w:r w:rsidRPr="00F875E6">
              <w:rPr>
                <w:rFonts w:ascii="Arial Narrow" w:hAnsi="Arial Narrow"/>
                <w:sz w:val="20"/>
              </w:rPr>
              <w:t>Chronic</w:t>
            </w:r>
          </w:p>
        </w:tc>
      </w:tr>
      <w:tr w:rsidR="00E445EB" w:rsidRPr="00F875E6" w:rsidTr="00E445EB">
        <w:trPr>
          <w:cantSplit/>
          <w:trHeight w:val="360"/>
        </w:trPr>
        <w:tc>
          <w:tcPr>
            <w:tcW w:w="2835"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b/>
                <w:sz w:val="20"/>
              </w:rPr>
            </w:pPr>
            <w:r w:rsidRPr="00F875E6">
              <w:rPr>
                <w:rFonts w:ascii="Arial Narrow" w:hAnsi="Arial Narrow"/>
                <w:b/>
                <w:sz w:val="20"/>
              </w:rPr>
              <w:t>Severity:</w:t>
            </w:r>
          </w:p>
        </w:tc>
        <w:tc>
          <w:tcPr>
            <w:tcW w:w="5954" w:type="dxa"/>
            <w:gridSpan w:val="5"/>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sz w:val="20"/>
              </w:rPr>
            </w:pPr>
            <w:r w:rsidRPr="00F875E6">
              <w:rPr>
                <w:rFonts w:ascii="Arial Narrow" w:hAnsi="Arial Narrow"/>
                <w:sz w:val="20"/>
              </w:rPr>
              <w:t>-</w:t>
            </w:r>
          </w:p>
        </w:tc>
      </w:tr>
      <w:tr w:rsidR="00E445EB" w:rsidRPr="00F875E6" w:rsidTr="00E445EB">
        <w:trPr>
          <w:cantSplit/>
          <w:trHeight w:val="360"/>
        </w:trPr>
        <w:tc>
          <w:tcPr>
            <w:tcW w:w="2835"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b/>
                <w:sz w:val="20"/>
              </w:rPr>
            </w:pPr>
            <w:r w:rsidRPr="00F875E6">
              <w:rPr>
                <w:rFonts w:ascii="Arial Narrow" w:hAnsi="Arial Narrow"/>
                <w:b/>
                <w:sz w:val="20"/>
              </w:rPr>
              <w:t>Condition:</w:t>
            </w:r>
          </w:p>
        </w:tc>
        <w:tc>
          <w:tcPr>
            <w:tcW w:w="5954" w:type="dxa"/>
            <w:gridSpan w:val="5"/>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sz w:val="20"/>
              </w:rPr>
            </w:pPr>
            <w:r w:rsidRPr="00F875E6">
              <w:rPr>
                <w:rFonts w:ascii="Arial Narrow" w:hAnsi="Arial Narrow"/>
                <w:sz w:val="20"/>
              </w:rPr>
              <w:t>Myeloid leukaemia</w:t>
            </w:r>
          </w:p>
        </w:tc>
      </w:tr>
      <w:tr w:rsidR="00E445EB" w:rsidRPr="00F875E6" w:rsidTr="00E445EB">
        <w:trPr>
          <w:cantSplit/>
          <w:trHeight w:val="360"/>
        </w:trPr>
        <w:tc>
          <w:tcPr>
            <w:tcW w:w="2835"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b/>
                <w:sz w:val="20"/>
              </w:rPr>
            </w:pPr>
            <w:r w:rsidRPr="00F875E6">
              <w:rPr>
                <w:rFonts w:ascii="Arial Narrow" w:hAnsi="Arial Narrow"/>
                <w:b/>
                <w:sz w:val="20"/>
              </w:rPr>
              <w:t>PBS Indication:</w:t>
            </w:r>
          </w:p>
        </w:tc>
        <w:tc>
          <w:tcPr>
            <w:tcW w:w="5954" w:type="dxa"/>
            <w:gridSpan w:val="5"/>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sz w:val="20"/>
              </w:rPr>
            </w:pPr>
            <w:r w:rsidRPr="00F875E6">
              <w:rPr>
                <w:rFonts w:ascii="Arial Narrow" w:hAnsi="Arial Narrow"/>
                <w:sz w:val="20"/>
              </w:rPr>
              <w:t>Chronic myeloid leukaemia</w:t>
            </w:r>
          </w:p>
        </w:tc>
      </w:tr>
      <w:tr w:rsidR="00E445EB" w:rsidRPr="00F875E6" w:rsidTr="00E445EB">
        <w:trPr>
          <w:cantSplit/>
          <w:trHeight w:val="360"/>
        </w:trPr>
        <w:tc>
          <w:tcPr>
            <w:tcW w:w="2835"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i/>
                <w:sz w:val="20"/>
              </w:rPr>
            </w:pPr>
            <w:r w:rsidRPr="00F875E6">
              <w:rPr>
                <w:rFonts w:ascii="Arial Narrow" w:hAnsi="Arial Narrow"/>
                <w:b/>
                <w:sz w:val="20"/>
              </w:rPr>
              <w:t>Treatment phase:</w:t>
            </w:r>
          </w:p>
        </w:tc>
        <w:tc>
          <w:tcPr>
            <w:tcW w:w="5954" w:type="dxa"/>
            <w:gridSpan w:val="5"/>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sz w:val="20"/>
              </w:rPr>
            </w:pPr>
            <w:r w:rsidRPr="00F875E6">
              <w:rPr>
                <w:rFonts w:ascii="Arial Narrow" w:hAnsi="Arial Narrow"/>
                <w:sz w:val="20"/>
              </w:rPr>
              <w:t>Initial</w:t>
            </w:r>
          </w:p>
        </w:tc>
      </w:tr>
      <w:tr w:rsidR="00E445EB" w:rsidRPr="00F875E6" w:rsidTr="00E445EB">
        <w:trPr>
          <w:cantSplit/>
          <w:trHeight w:val="360"/>
        </w:trPr>
        <w:tc>
          <w:tcPr>
            <w:tcW w:w="2835"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b/>
                <w:sz w:val="20"/>
              </w:rPr>
            </w:pPr>
            <w:r w:rsidRPr="00F875E6">
              <w:rPr>
                <w:rFonts w:ascii="Arial Narrow" w:hAnsi="Arial Narrow"/>
                <w:b/>
                <w:sz w:val="20"/>
              </w:rPr>
              <w:t>Restriction Level / Method:</w:t>
            </w:r>
          </w:p>
          <w:p w:rsidR="00E445EB" w:rsidRPr="00F875E6" w:rsidRDefault="00E445EB" w:rsidP="00E445EB">
            <w:pPr>
              <w:rPr>
                <w:rFonts w:ascii="Arial Narrow" w:hAnsi="Arial Narrow"/>
                <w:i/>
                <w:sz w:val="20"/>
              </w:rPr>
            </w:pPr>
          </w:p>
          <w:p w:rsidR="00E445EB" w:rsidRPr="00F875E6" w:rsidRDefault="00E445EB" w:rsidP="00E445EB">
            <w:pPr>
              <w:rPr>
                <w:rFonts w:ascii="Arial Narrow" w:hAnsi="Arial Narrow"/>
                <w:i/>
                <w:sz w:val="20"/>
              </w:rPr>
            </w:pPr>
          </w:p>
        </w:tc>
        <w:tc>
          <w:tcPr>
            <w:tcW w:w="5954" w:type="dxa"/>
            <w:gridSpan w:val="5"/>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sz w:val="20"/>
              </w:rPr>
            </w:pPr>
            <w:r w:rsidRPr="00F875E6">
              <w:rPr>
                <w:rFonts w:ascii="Arial Narrow" w:hAnsi="Arial Narrow"/>
                <w:sz w:val="20"/>
              </w:rPr>
              <w:fldChar w:fldCharType="begin">
                <w:ffData>
                  <w:name w:val="Check1"/>
                  <w:enabled/>
                  <w:calcOnExit w:val="0"/>
                  <w:checkBox>
                    <w:sizeAuto/>
                    <w:default w:val="0"/>
                  </w:checkBox>
                </w:ffData>
              </w:fldChar>
            </w:r>
            <w:r w:rsidRPr="00F875E6">
              <w:rPr>
                <w:rFonts w:ascii="Arial Narrow" w:hAnsi="Arial Narrow"/>
                <w:sz w:val="20"/>
              </w:rPr>
              <w:instrText xml:space="preserve"> FORMCHECKBOX </w:instrText>
            </w:r>
            <w:r w:rsidR="00DC6394">
              <w:rPr>
                <w:rFonts w:ascii="Arial Narrow" w:hAnsi="Arial Narrow"/>
                <w:sz w:val="20"/>
              </w:rPr>
            </w:r>
            <w:r w:rsidR="00DC6394">
              <w:rPr>
                <w:rFonts w:ascii="Arial Narrow" w:hAnsi="Arial Narrow"/>
                <w:sz w:val="20"/>
              </w:rPr>
              <w:fldChar w:fldCharType="separate"/>
            </w:r>
            <w:r w:rsidRPr="00F875E6">
              <w:rPr>
                <w:rFonts w:ascii="Arial Narrow" w:hAnsi="Arial Narrow"/>
                <w:sz w:val="20"/>
              </w:rPr>
              <w:fldChar w:fldCharType="end"/>
            </w:r>
            <w:r w:rsidRPr="00F875E6">
              <w:rPr>
                <w:rFonts w:ascii="Arial Narrow" w:hAnsi="Arial Narrow"/>
                <w:sz w:val="20"/>
              </w:rPr>
              <w:t>Restricted benefit</w:t>
            </w:r>
          </w:p>
          <w:p w:rsidR="00E445EB" w:rsidRPr="00F875E6" w:rsidRDefault="00E445EB" w:rsidP="00E445EB">
            <w:pPr>
              <w:rPr>
                <w:rFonts w:ascii="Arial Narrow" w:hAnsi="Arial Narrow"/>
                <w:sz w:val="20"/>
              </w:rPr>
            </w:pPr>
            <w:r w:rsidRPr="00F875E6">
              <w:rPr>
                <w:rFonts w:ascii="Arial Narrow" w:hAnsi="Arial Narrow"/>
                <w:sz w:val="20"/>
              </w:rPr>
              <w:fldChar w:fldCharType="begin">
                <w:ffData>
                  <w:name w:val=""/>
                  <w:enabled/>
                  <w:calcOnExit w:val="0"/>
                  <w:checkBox>
                    <w:sizeAuto/>
                    <w:default w:val="1"/>
                  </w:checkBox>
                </w:ffData>
              </w:fldChar>
            </w:r>
            <w:r w:rsidRPr="00F875E6">
              <w:rPr>
                <w:rFonts w:ascii="Arial Narrow" w:hAnsi="Arial Narrow"/>
                <w:sz w:val="20"/>
              </w:rPr>
              <w:instrText xml:space="preserve"> FORMCHECKBOX </w:instrText>
            </w:r>
            <w:r w:rsidR="00DC6394">
              <w:rPr>
                <w:rFonts w:ascii="Arial Narrow" w:hAnsi="Arial Narrow"/>
                <w:sz w:val="20"/>
              </w:rPr>
            </w:r>
            <w:r w:rsidR="00DC6394">
              <w:rPr>
                <w:rFonts w:ascii="Arial Narrow" w:hAnsi="Arial Narrow"/>
                <w:sz w:val="20"/>
              </w:rPr>
              <w:fldChar w:fldCharType="separate"/>
            </w:r>
            <w:r w:rsidRPr="00F875E6">
              <w:rPr>
                <w:rFonts w:ascii="Arial Narrow" w:hAnsi="Arial Narrow"/>
                <w:sz w:val="20"/>
              </w:rPr>
              <w:fldChar w:fldCharType="end"/>
            </w:r>
            <w:r w:rsidRPr="00F875E6">
              <w:rPr>
                <w:rFonts w:ascii="Arial Narrow" w:hAnsi="Arial Narrow"/>
                <w:sz w:val="20"/>
              </w:rPr>
              <w:t>Authority Required - In Writing</w:t>
            </w:r>
          </w:p>
          <w:p w:rsidR="00E445EB" w:rsidRPr="00F875E6" w:rsidRDefault="00E445EB" w:rsidP="00E445EB">
            <w:pPr>
              <w:rPr>
                <w:rFonts w:ascii="Arial Narrow" w:hAnsi="Arial Narrow"/>
                <w:sz w:val="20"/>
              </w:rPr>
            </w:pPr>
            <w:r w:rsidRPr="00F875E6">
              <w:rPr>
                <w:rFonts w:ascii="Arial Narrow" w:hAnsi="Arial Narrow"/>
                <w:sz w:val="20"/>
              </w:rPr>
              <w:fldChar w:fldCharType="begin">
                <w:ffData>
                  <w:name w:val="Check3"/>
                  <w:enabled/>
                  <w:calcOnExit w:val="0"/>
                  <w:checkBox>
                    <w:sizeAuto/>
                    <w:default w:val="0"/>
                  </w:checkBox>
                </w:ffData>
              </w:fldChar>
            </w:r>
            <w:r w:rsidRPr="00F875E6">
              <w:rPr>
                <w:rFonts w:ascii="Arial Narrow" w:hAnsi="Arial Narrow"/>
                <w:sz w:val="20"/>
              </w:rPr>
              <w:instrText xml:space="preserve"> </w:instrText>
            </w:r>
            <w:bookmarkStart w:id="16" w:name="Check3"/>
            <w:r w:rsidRPr="00F875E6">
              <w:rPr>
                <w:rFonts w:ascii="Arial Narrow" w:hAnsi="Arial Narrow"/>
                <w:sz w:val="20"/>
              </w:rPr>
              <w:instrText xml:space="preserve">FORMCHECKBOX </w:instrText>
            </w:r>
            <w:r w:rsidR="00DC6394">
              <w:rPr>
                <w:rFonts w:ascii="Arial Narrow" w:hAnsi="Arial Narrow"/>
                <w:sz w:val="20"/>
              </w:rPr>
            </w:r>
            <w:r w:rsidR="00DC6394">
              <w:rPr>
                <w:rFonts w:ascii="Arial Narrow" w:hAnsi="Arial Narrow"/>
                <w:sz w:val="20"/>
              </w:rPr>
              <w:fldChar w:fldCharType="separate"/>
            </w:r>
            <w:r w:rsidRPr="00F875E6">
              <w:rPr>
                <w:rFonts w:ascii="Arial Narrow" w:hAnsi="Arial Narrow"/>
                <w:sz w:val="20"/>
              </w:rPr>
              <w:fldChar w:fldCharType="end"/>
            </w:r>
            <w:bookmarkEnd w:id="16"/>
            <w:r w:rsidRPr="00F875E6">
              <w:rPr>
                <w:rFonts w:ascii="Arial Narrow" w:hAnsi="Arial Narrow"/>
                <w:sz w:val="20"/>
              </w:rPr>
              <w:t>Authority Required - Telephone</w:t>
            </w:r>
          </w:p>
          <w:p w:rsidR="00E445EB" w:rsidRPr="00F875E6" w:rsidRDefault="00E445EB" w:rsidP="00E445EB">
            <w:pPr>
              <w:rPr>
                <w:rFonts w:ascii="Arial Narrow" w:hAnsi="Arial Narrow"/>
                <w:sz w:val="20"/>
              </w:rPr>
            </w:pPr>
            <w:r w:rsidRPr="00F875E6">
              <w:rPr>
                <w:rFonts w:ascii="Arial Narrow" w:hAnsi="Arial Narrow"/>
                <w:sz w:val="20"/>
              </w:rPr>
              <w:fldChar w:fldCharType="begin">
                <w:ffData>
                  <w:name w:val=""/>
                  <w:enabled/>
                  <w:calcOnExit w:val="0"/>
                  <w:checkBox>
                    <w:sizeAuto/>
                    <w:default w:val="0"/>
                  </w:checkBox>
                </w:ffData>
              </w:fldChar>
            </w:r>
            <w:r w:rsidRPr="00F875E6">
              <w:rPr>
                <w:rFonts w:ascii="Arial Narrow" w:hAnsi="Arial Narrow"/>
                <w:sz w:val="20"/>
              </w:rPr>
              <w:instrText xml:space="preserve"> FORMCHECKBOX </w:instrText>
            </w:r>
            <w:r w:rsidR="00DC6394">
              <w:rPr>
                <w:rFonts w:ascii="Arial Narrow" w:hAnsi="Arial Narrow"/>
                <w:sz w:val="20"/>
              </w:rPr>
            </w:r>
            <w:r w:rsidR="00DC6394">
              <w:rPr>
                <w:rFonts w:ascii="Arial Narrow" w:hAnsi="Arial Narrow"/>
                <w:sz w:val="20"/>
              </w:rPr>
              <w:fldChar w:fldCharType="separate"/>
            </w:r>
            <w:r w:rsidRPr="00F875E6">
              <w:rPr>
                <w:rFonts w:ascii="Arial Narrow" w:hAnsi="Arial Narrow"/>
                <w:sz w:val="20"/>
              </w:rPr>
              <w:fldChar w:fldCharType="end"/>
            </w:r>
            <w:r w:rsidRPr="00F875E6">
              <w:rPr>
                <w:rFonts w:ascii="Arial Narrow" w:hAnsi="Arial Narrow"/>
                <w:sz w:val="20"/>
              </w:rPr>
              <w:t>Authority Required – Emergency</w:t>
            </w:r>
          </w:p>
          <w:p w:rsidR="00E445EB" w:rsidRPr="00F875E6" w:rsidRDefault="00E445EB" w:rsidP="00E445EB">
            <w:pPr>
              <w:rPr>
                <w:rFonts w:ascii="Arial Narrow" w:hAnsi="Arial Narrow"/>
                <w:sz w:val="20"/>
              </w:rPr>
            </w:pPr>
            <w:r w:rsidRPr="00F875E6">
              <w:rPr>
                <w:rFonts w:ascii="Arial Narrow" w:hAnsi="Arial Narrow"/>
                <w:sz w:val="20"/>
              </w:rPr>
              <w:fldChar w:fldCharType="begin">
                <w:ffData>
                  <w:name w:val="Check5"/>
                  <w:enabled/>
                  <w:calcOnExit w:val="0"/>
                  <w:checkBox>
                    <w:sizeAuto/>
                    <w:default w:val="0"/>
                  </w:checkBox>
                </w:ffData>
              </w:fldChar>
            </w:r>
            <w:r w:rsidRPr="00F875E6">
              <w:rPr>
                <w:rFonts w:ascii="Arial Narrow" w:hAnsi="Arial Narrow"/>
                <w:sz w:val="20"/>
              </w:rPr>
              <w:instrText xml:space="preserve"> </w:instrText>
            </w:r>
            <w:bookmarkStart w:id="17" w:name="Check5"/>
            <w:r w:rsidRPr="00F875E6">
              <w:rPr>
                <w:rFonts w:ascii="Arial Narrow" w:hAnsi="Arial Narrow"/>
                <w:sz w:val="20"/>
              </w:rPr>
              <w:instrText xml:space="preserve">FORMCHECKBOX </w:instrText>
            </w:r>
            <w:r w:rsidR="00DC6394">
              <w:rPr>
                <w:rFonts w:ascii="Arial Narrow" w:hAnsi="Arial Narrow"/>
                <w:sz w:val="20"/>
              </w:rPr>
            </w:r>
            <w:r w:rsidR="00DC6394">
              <w:rPr>
                <w:rFonts w:ascii="Arial Narrow" w:hAnsi="Arial Narrow"/>
                <w:sz w:val="20"/>
              </w:rPr>
              <w:fldChar w:fldCharType="separate"/>
            </w:r>
            <w:r w:rsidRPr="00F875E6">
              <w:rPr>
                <w:rFonts w:ascii="Arial Narrow" w:hAnsi="Arial Narrow"/>
                <w:sz w:val="20"/>
              </w:rPr>
              <w:fldChar w:fldCharType="end"/>
            </w:r>
            <w:bookmarkEnd w:id="17"/>
            <w:r w:rsidRPr="00F875E6">
              <w:rPr>
                <w:rFonts w:ascii="Arial Narrow" w:hAnsi="Arial Narrow"/>
                <w:sz w:val="20"/>
              </w:rPr>
              <w:t>Authority Required - Electronic</w:t>
            </w:r>
          </w:p>
          <w:p w:rsidR="00E445EB" w:rsidRPr="00F875E6" w:rsidRDefault="00E445EB" w:rsidP="00E445EB">
            <w:pPr>
              <w:rPr>
                <w:rFonts w:ascii="Arial Narrow" w:hAnsi="Arial Narrow"/>
                <w:sz w:val="20"/>
              </w:rPr>
            </w:pPr>
            <w:r w:rsidRPr="00F875E6">
              <w:rPr>
                <w:rFonts w:ascii="Arial Narrow" w:hAnsi="Arial Narrow"/>
                <w:sz w:val="20"/>
              </w:rPr>
              <w:fldChar w:fldCharType="begin">
                <w:ffData>
                  <w:name w:val="Check5"/>
                  <w:enabled/>
                  <w:calcOnExit w:val="0"/>
                  <w:checkBox>
                    <w:sizeAuto/>
                    <w:default w:val="0"/>
                  </w:checkBox>
                </w:ffData>
              </w:fldChar>
            </w:r>
            <w:r w:rsidRPr="00F875E6">
              <w:rPr>
                <w:rFonts w:ascii="Arial Narrow" w:hAnsi="Arial Narrow"/>
                <w:sz w:val="20"/>
              </w:rPr>
              <w:instrText xml:space="preserve"> FORMCHECKBOX </w:instrText>
            </w:r>
            <w:r w:rsidR="00DC6394">
              <w:rPr>
                <w:rFonts w:ascii="Arial Narrow" w:hAnsi="Arial Narrow"/>
                <w:sz w:val="20"/>
              </w:rPr>
            </w:r>
            <w:r w:rsidR="00DC6394">
              <w:rPr>
                <w:rFonts w:ascii="Arial Narrow" w:hAnsi="Arial Narrow"/>
                <w:sz w:val="20"/>
              </w:rPr>
              <w:fldChar w:fldCharType="separate"/>
            </w:r>
            <w:r w:rsidRPr="00F875E6">
              <w:rPr>
                <w:rFonts w:ascii="Arial Narrow" w:hAnsi="Arial Narrow"/>
                <w:sz w:val="20"/>
              </w:rPr>
              <w:fldChar w:fldCharType="end"/>
            </w:r>
            <w:r w:rsidRPr="00F875E6">
              <w:rPr>
                <w:rFonts w:ascii="Arial Narrow" w:hAnsi="Arial Narrow"/>
                <w:sz w:val="20"/>
              </w:rPr>
              <w:t>Streamlined</w:t>
            </w:r>
          </w:p>
        </w:tc>
      </w:tr>
      <w:tr w:rsidR="00E445EB" w:rsidRPr="00F875E6" w:rsidTr="00E445EB">
        <w:trPr>
          <w:cantSplit/>
          <w:trHeight w:val="360"/>
        </w:trPr>
        <w:tc>
          <w:tcPr>
            <w:tcW w:w="2835"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sz w:val="20"/>
              </w:rPr>
            </w:pPr>
            <w:r w:rsidRPr="00F875E6">
              <w:rPr>
                <w:rFonts w:ascii="Arial Narrow" w:hAnsi="Arial Narrow"/>
                <w:b/>
                <w:sz w:val="20"/>
              </w:rPr>
              <w:t>Clinical criteria:</w:t>
            </w:r>
          </w:p>
        </w:tc>
        <w:tc>
          <w:tcPr>
            <w:tcW w:w="5954" w:type="dxa"/>
            <w:gridSpan w:val="5"/>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sz w:val="20"/>
              </w:rPr>
            </w:pPr>
            <w:r w:rsidRPr="00F875E6">
              <w:rPr>
                <w:rFonts w:ascii="Arial Narrow" w:hAnsi="Arial Narrow"/>
                <w:sz w:val="20"/>
              </w:rPr>
              <w:t xml:space="preserve">The treatment must be the sole PBS-subsidised therapy for this condition </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r w:rsidRPr="00F875E6">
              <w:rPr>
                <w:rFonts w:ascii="Arial Narrow" w:hAnsi="Arial Narrow"/>
                <w:sz w:val="20"/>
              </w:rPr>
              <w:t>AND</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r w:rsidRPr="00F875E6">
              <w:rPr>
                <w:rFonts w:ascii="Arial Narrow" w:hAnsi="Arial Narrow"/>
                <w:sz w:val="20"/>
              </w:rPr>
              <w:t>Patient must have failed an adequate trial of dasatinib; OR</w:t>
            </w:r>
          </w:p>
          <w:p w:rsidR="00E445EB" w:rsidRPr="00F875E6" w:rsidRDefault="00E445EB" w:rsidP="00E445EB">
            <w:pPr>
              <w:rPr>
                <w:rFonts w:ascii="Arial Narrow" w:hAnsi="Arial Narrow"/>
                <w:sz w:val="20"/>
              </w:rPr>
            </w:pPr>
            <w:r w:rsidRPr="00F875E6">
              <w:rPr>
                <w:rFonts w:ascii="Arial Narrow" w:hAnsi="Arial Narrow"/>
                <w:sz w:val="20"/>
              </w:rPr>
              <w:t>Patient must have developed intolerance to dasatinib of a severity necessitating permanent treatment withdrawal</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r w:rsidRPr="00F875E6">
              <w:rPr>
                <w:rFonts w:ascii="Arial Narrow" w:hAnsi="Arial Narrow"/>
                <w:sz w:val="20"/>
              </w:rPr>
              <w:t>AND</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r w:rsidRPr="00F875E6">
              <w:rPr>
                <w:rFonts w:ascii="Arial Narrow" w:hAnsi="Arial Narrow"/>
                <w:sz w:val="20"/>
              </w:rPr>
              <w:t>Patient must have failed an adequate trial of nilotinib; OR</w:t>
            </w:r>
          </w:p>
          <w:p w:rsidR="00E445EB" w:rsidRPr="00F875E6" w:rsidRDefault="00E445EB" w:rsidP="00E445EB">
            <w:pPr>
              <w:rPr>
                <w:rFonts w:ascii="Arial Narrow" w:hAnsi="Arial Narrow"/>
                <w:sz w:val="20"/>
              </w:rPr>
            </w:pPr>
            <w:r w:rsidRPr="00F875E6">
              <w:rPr>
                <w:rFonts w:ascii="Arial Narrow" w:hAnsi="Arial Narrow"/>
                <w:sz w:val="20"/>
              </w:rPr>
              <w:t>Patient must have developed intolerance to nilotinib of a severity necessitating permanent treatment withdrawal</w:t>
            </w:r>
            <w:r w:rsidR="00097296" w:rsidRPr="00F875E6">
              <w:rPr>
                <w:rFonts w:ascii="Arial Narrow" w:hAnsi="Arial Narrow"/>
                <w:sz w:val="20"/>
              </w:rPr>
              <w:t xml:space="preserve">; OR </w:t>
            </w:r>
            <w:r w:rsidR="00174098" w:rsidRPr="00174098">
              <w:rPr>
                <w:rFonts w:ascii="Arial Narrow" w:hAnsi="Arial Narrow"/>
                <w:sz w:val="20"/>
              </w:rPr>
              <w:t xml:space="preserve">Patient must not be eligible for PBS-subsidised treatment with nilotinib because </w:t>
            </w:r>
            <w:r w:rsidR="00174098">
              <w:rPr>
                <w:rFonts w:ascii="Arial Narrow" w:hAnsi="Arial Narrow"/>
                <w:sz w:val="20"/>
              </w:rPr>
              <w:t>the patient has a blast crisis</w:t>
            </w:r>
            <w:r w:rsidR="003F34BA" w:rsidRPr="00F875E6">
              <w:rPr>
                <w:rFonts w:ascii="Arial Narrow" w:hAnsi="Arial Narrow"/>
                <w:sz w:val="20"/>
              </w:rPr>
              <w:t xml:space="preserve">. </w:t>
            </w:r>
          </w:p>
          <w:p w:rsidR="00E445EB" w:rsidRPr="00F875E6" w:rsidRDefault="00E445EB" w:rsidP="00E445EB">
            <w:pPr>
              <w:rPr>
                <w:rFonts w:ascii="Arial Narrow" w:hAnsi="Arial Narrow"/>
                <w:sz w:val="20"/>
              </w:rPr>
            </w:pPr>
          </w:p>
        </w:tc>
      </w:tr>
      <w:tr w:rsidR="00E445EB" w:rsidRPr="00F875E6" w:rsidTr="00E445EB">
        <w:trPr>
          <w:cantSplit/>
          <w:trHeight w:val="360"/>
        </w:trPr>
        <w:tc>
          <w:tcPr>
            <w:tcW w:w="2835"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b/>
                <w:sz w:val="20"/>
              </w:rPr>
            </w:pPr>
            <w:r w:rsidRPr="00F875E6">
              <w:rPr>
                <w:rFonts w:ascii="Arial Narrow" w:hAnsi="Arial Narrow"/>
                <w:b/>
                <w:sz w:val="20"/>
              </w:rPr>
              <w:t>Prescriber Instructions</w:t>
            </w:r>
          </w:p>
          <w:p w:rsidR="00E445EB" w:rsidRPr="00F875E6" w:rsidRDefault="00E445EB" w:rsidP="00E445EB">
            <w:pPr>
              <w:rPr>
                <w:rFonts w:ascii="Arial Narrow" w:hAnsi="Arial Narrow"/>
                <w:sz w:val="20"/>
              </w:rPr>
            </w:pPr>
          </w:p>
        </w:tc>
        <w:tc>
          <w:tcPr>
            <w:tcW w:w="5954" w:type="dxa"/>
            <w:gridSpan w:val="5"/>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sz w:val="20"/>
                <w:lang w:val="en-GB"/>
              </w:rPr>
            </w:pPr>
            <w:r w:rsidRPr="00F875E6">
              <w:rPr>
                <w:rFonts w:ascii="Arial Narrow" w:hAnsi="Arial Narrow"/>
                <w:sz w:val="20"/>
                <w:lang w:val="en-GB"/>
              </w:rPr>
              <w:t>Failure of an adequate trial of dasatinib or nilotinib is defined as:</w:t>
            </w:r>
          </w:p>
          <w:p w:rsidR="00E445EB" w:rsidRPr="00F875E6" w:rsidRDefault="00E445EB" w:rsidP="00E445EB">
            <w:pPr>
              <w:rPr>
                <w:rFonts w:ascii="Arial Narrow" w:hAnsi="Arial Narrow"/>
                <w:sz w:val="20"/>
                <w:lang w:val="en-GB"/>
              </w:rPr>
            </w:pPr>
            <w:r w:rsidRPr="00F875E6">
              <w:rPr>
                <w:rFonts w:ascii="Arial Narrow" w:hAnsi="Arial Narrow"/>
                <w:sz w:val="20"/>
                <w:lang w:val="en-GB"/>
              </w:rPr>
              <w:t>1. Lack of response to dasatinib or nilotinib therapy, defined as either:</w:t>
            </w:r>
          </w:p>
          <w:p w:rsidR="00E445EB" w:rsidRPr="00F875E6" w:rsidRDefault="00E445EB" w:rsidP="00E445EB">
            <w:pPr>
              <w:rPr>
                <w:rFonts w:ascii="Arial Narrow" w:hAnsi="Arial Narrow"/>
                <w:sz w:val="20"/>
                <w:lang w:val="en-GB"/>
              </w:rPr>
            </w:pPr>
            <w:r w:rsidRPr="00F875E6">
              <w:rPr>
                <w:rFonts w:ascii="Arial Narrow" w:hAnsi="Arial Narrow"/>
                <w:sz w:val="20"/>
                <w:lang w:val="en-GB"/>
              </w:rPr>
              <w:t>(i) failure to achieve a haematological response after a minimum of 3 months therapy with dasatinib or nilotinib; or</w:t>
            </w:r>
          </w:p>
          <w:p w:rsidR="00E445EB" w:rsidRPr="00F875E6" w:rsidRDefault="00E445EB" w:rsidP="00E445EB">
            <w:pPr>
              <w:rPr>
                <w:rFonts w:ascii="Arial Narrow" w:hAnsi="Arial Narrow"/>
                <w:sz w:val="20"/>
                <w:lang w:val="en-GB"/>
              </w:rPr>
            </w:pPr>
            <w:r w:rsidRPr="00F875E6">
              <w:rPr>
                <w:rFonts w:ascii="Arial Narrow" w:hAnsi="Arial Narrow"/>
                <w:sz w:val="20"/>
                <w:lang w:val="en-GB"/>
              </w:rPr>
              <w:t>(ii) failure to achieve any cytogenetic response after a minimum of 6 months therapy with dasatinib or nilotinib as demonstrated on bone marrow biopsy by presence of greater than 95% Philadelphia chromosome positive cells; or</w:t>
            </w:r>
          </w:p>
          <w:p w:rsidR="00E445EB" w:rsidRPr="00F875E6" w:rsidRDefault="00E445EB" w:rsidP="00E445EB">
            <w:pPr>
              <w:rPr>
                <w:rFonts w:ascii="Arial Narrow" w:hAnsi="Arial Narrow"/>
                <w:sz w:val="20"/>
                <w:lang w:val="en-GB"/>
              </w:rPr>
            </w:pPr>
            <w:r w:rsidRPr="00F875E6">
              <w:rPr>
                <w:rFonts w:ascii="Arial Narrow" w:hAnsi="Arial Narrow"/>
                <w:sz w:val="20"/>
                <w:lang w:val="en-GB"/>
              </w:rPr>
              <w:t>(iii) failure to achieve a major cytogenetic response or a peripheral blood BCR-ABL level of less than 1% after a minimum of 12 months therapy with dasatinib or nilotinib; OR</w:t>
            </w:r>
          </w:p>
          <w:p w:rsidR="00E445EB" w:rsidRPr="00F875E6" w:rsidRDefault="00E445EB" w:rsidP="00E445EB">
            <w:pPr>
              <w:rPr>
                <w:rFonts w:ascii="Arial Narrow" w:hAnsi="Arial Narrow"/>
                <w:sz w:val="20"/>
                <w:lang w:val="en-GB"/>
              </w:rPr>
            </w:pPr>
            <w:r w:rsidRPr="00F875E6">
              <w:rPr>
                <w:rFonts w:ascii="Arial Narrow" w:hAnsi="Arial Narrow"/>
                <w:sz w:val="20"/>
                <w:lang w:val="en-GB"/>
              </w:rPr>
              <w:t>2. Loss of a previously documented major cytogenetic response (demonstrated by the presence of greater than 35% Ph positive cells on bone marrow biopsy), during ongoing dasatinib or nilotinib therapy; OR</w:t>
            </w:r>
          </w:p>
          <w:p w:rsidR="00E445EB" w:rsidRPr="00F875E6" w:rsidRDefault="00E445EB" w:rsidP="00E445EB">
            <w:pPr>
              <w:rPr>
                <w:rFonts w:ascii="Arial Narrow" w:hAnsi="Arial Narrow"/>
                <w:sz w:val="20"/>
                <w:lang w:val="en-GB"/>
              </w:rPr>
            </w:pPr>
            <w:r w:rsidRPr="00F875E6">
              <w:rPr>
                <w:rFonts w:ascii="Arial Narrow" w:hAnsi="Arial Narrow"/>
                <w:sz w:val="20"/>
                <w:lang w:val="en-GB"/>
              </w:rPr>
              <w:t>3. Loss of a previously demonstrated molecular response (demonstrated by peripheral blood BCR-ABL levels increasing consecutively in value by at least 5 fold to a level of greater than 0.1% confirmed on a subsequent test), during ongoing dasatinib or nilotinib therapy; OR</w:t>
            </w:r>
          </w:p>
          <w:p w:rsidR="00E445EB" w:rsidRPr="00F875E6" w:rsidRDefault="00E445EB" w:rsidP="00E445EB">
            <w:pPr>
              <w:rPr>
                <w:rFonts w:ascii="Arial Narrow" w:hAnsi="Arial Narrow"/>
                <w:sz w:val="20"/>
                <w:lang w:val="en-GB"/>
              </w:rPr>
            </w:pPr>
            <w:r w:rsidRPr="00F875E6">
              <w:rPr>
                <w:rFonts w:ascii="Arial Narrow" w:hAnsi="Arial Narrow"/>
                <w:sz w:val="20"/>
                <w:lang w:val="en-GB"/>
              </w:rPr>
              <w:t>4. Development of accelerated phase or blast crisis in a patient previously prescribed dasatinib or nilotinib for any phase of chronic myeloid leukaemia; OR</w:t>
            </w:r>
          </w:p>
          <w:p w:rsidR="00E445EB" w:rsidRPr="00F875E6" w:rsidRDefault="00E445EB" w:rsidP="00E445EB">
            <w:pPr>
              <w:rPr>
                <w:rFonts w:ascii="Arial Narrow" w:hAnsi="Arial Narrow"/>
                <w:sz w:val="20"/>
                <w:lang w:val="en-GB"/>
              </w:rPr>
            </w:pPr>
            <w:r w:rsidRPr="00F875E6">
              <w:rPr>
                <w:rFonts w:ascii="Arial Narrow" w:hAnsi="Arial Narrow"/>
                <w:sz w:val="20"/>
                <w:lang w:val="en-GB"/>
              </w:rPr>
              <w:t>5. Disease progression (defined as a greater than or equal to 50% increase in peripheral white blood cell count, blast count, basophils or platelets) during dasatinib or nilotinib therapy in patients with accelerated phase or blast crisis chronic myeloid leukaemia.</w:t>
            </w:r>
          </w:p>
          <w:p w:rsidR="00E445EB" w:rsidRPr="00F875E6" w:rsidRDefault="00E445EB" w:rsidP="00E445EB">
            <w:pPr>
              <w:rPr>
                <w:rFonts w:ascii="Arial Narrow" w:hAnsi="Arial Narrow"/>
                <w:sz w:val="20"/>
                <w:lang w:val="en-GB"/>
              </w:rPr>
            </w:pPr>
          </w:p>
          <w:p w:rsidR="00E445EB" w:rsidRPr="00F875E6" w:rsidRDefault="00E445EB" w:rsidP="00E445EB">
            <w:pPr>
              <w:rPr>
                <w:rFonts w:ascii="Arial Narrow" w:hAnsi="Arial Narrow"/>
                <w:sz w:val="20"/>
                <w:lang w:val="en-GB"/>
              </w:rPr>
            </w:pPr>
            <w:r w:rsidRPr="00F875E6">
              <w:rPr>
                <w:rFonts w:ascii="Arial Narrow" w:hAnsi="Arial Narrow"/>
                <w:sz w:val="20"/>
                <w:lang w:val="en-GB"/>
              </w:rPr>
              <w:t>Accelerated phase is defined by the presence of 1 or more of the following:</w:t>
            </w:r>
          </w:p>
          <w:p w:rsidR="00E445EB" w:rsidRPr="00F875E6" w:rsidRDefault="00E445EB" w:rsidP="00E445EB">
            <w:pPr>
              <w:rPr>
                <w:rFonts w:ascii="Arial Narrow" w:hAnsi="Arial Narrow"/>
                <w:sz w:val="20"/>
                <w:lang w:val="en-GB"/>
              </w:rPr>
            </w:pPr>
            <w:r w:rsidRPr="00F875E6">
              <w:rPr>
                <w:rFonts w:ascii="Arial Narrow" w:hAnsi="Arial Narrow"/>
                <w:sz w:val="20"/>
                <w:lang w:val="en-GB"/>
              </w:rPr>
              <w:t>1. Percentage of blasts in the peripheral blood or bone marrow greater than or equal to 15% but less than 30%; or</w:t>
            </w:r>
          </w:p>
          <w:p w:rsidR="00E445EB" w:rsidRPr="00F875E6" w:rsidRDefault="00E445EB" w:rsidP="00E445EB">
            <w:pPr>
              <w:rPr>
                <w:rFonts w:ascii="Arial Narrow" w:hAnsi="Arial Narrow"/>
                <w:sz w:val="20"/>
                <w:lang w:val="en-GB"/>
              </w:rPr>
            </w:pPr>
            <w:r w:rsidRPr="00F875E6">
              <w:rPr>
                <w:rFonts w:ascii="Arial Narrow" w:hAnsi="Arial Narrow"/>
                <w:sz w:val="20"/>
                <w:lang w:val="en-GB"/>
              </w:rPr>
              <w:t>2. Percentage of blasts plus promyelocytes in the peripheral blood or bone marrow greater than or equal to 30%, provided that blast count is less than 30%; or</w:t>
            </w:r>
          </w:p>
          <w:p w:rsidR="00E445EB" w:rsidRPr="00F875E6" w:rsidRDefault="00E445EB" w:rsidP="00E445EB">
            <w:pPr>
              <w:rPr>
                <w:rFonts w:ascii="Arial Narrow" w:hAnsi="Arial Narrow"/>
                <w:sz w:val="20"/>
                <w:lang w:val="en-GB"/>
              </w:rPr>
            </w:pPr>
            <w:r w:rsidRPr="00F875E6">
              <w:rPr>
                <w:rFonts w:ascii="Arial Narrow" w:hAnsi="Arial Narrow"/>
                <w:sz w:val="20"/>
                <w:lang w:val="en-GB"/>
              </w:rPr>
              <w:t>3. Peripheral basophils greater than or equal to 20%; or</w:t>
            </w:r>
          </w:p>
          <w:p w:rsidR="00E445EB" w:rsidRPr="00F875E6" w:rsidRDefault="00E445EB" w:rsidP="00E445EB">
            <w:pPr>
              <w:rPr>
                <w:rFonts w:ascii="Arial Narrow" w:hAnsi="Arial Narrow"/>
                <w:sz w:val="20"/>
                <w:lang w:val="en-GB"/>
              </w:rPr>
            </w:pPr>
            <w:r w:rsidRPr="00F875E6">
              <w:rPr>
                <w:rFonts w:ascii="Arial Narrow" w:hAnsi="Arial Narrow"/>
                <w:sz w:val="20"/>
                <w:lang w:val="en-GB"/>
              </w:rPr>
              <w:t>4. Progressive splenomegaly to a size greater than or equal to 10 cm below the left costal margin to be confirmed on 2 occasions at least 4 weeks apart, or a greater than or equal to 50% increase in size below the left costal margin over 4 weeks; or</w:t>
            </w:r>
          </w:p>
          <w:p w:rsidR="00E445EB" w:rsidRPr="00F875E6" w:rsidRDefault="00E445EB" w:rsidP="00E445EB">
            <w:pPr>
              <w:rPr>
                <w:rFonts w:ascii="Arial Narrow" w:hAnsi="Arial Narrow"/>
                <w:sz w:val="20"/>
              </w:rPr>
            </w:pPr>
            <w:r w:rsidRPr="00F875E6">
              <w:rPr>
                <w:rFonts w:ascii="Arial Narrow" w:hAnsi="Arial Narrow"/>
                <w:sz w:val="20"/>
              </w:rPr>
              <w:t>5. Karyotypic evolution (chromosomal abnormalities in addition to a single Philadelphia chromosome).</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lang w:val="en-GB"/>
              </w:rPr>
            </w:pPr>
            <w:r w:rsidRPr="00F875E6">
              <w:rPr>
                <w:rFonts w:ascii="Arial Narrow" w:hAnsi="Arial Narrow"/>
                <w:sz w:val="20"/>
                <w:lang w:val="en-GB"/>
              </w:rPr>
              <w:t>Blast crisis is defined as either:</w:t>
            </w:r>
          </w:p>
          <w:p w:rsidR="00E445EB" w:rsidRPr="00F875E6" w:rsidRDefault="00E445EB" w:rsidP="00E445EB">
            <w:pPr>
              <w:rPr>
                <w:rFonts w:ascii="Arial Narrow" w:hAnsi="Arial Narrow"/>
                <w:sz w:val="20"/>
                <w:lang w:val="en-GB"/>
              </w:rPr>
            </w:pPr>
            <w:r w:rsidRPr="00F875E6">
              <w:rPr>
                <w:rFonts w:ascii="Arial Narrow" w:hAnsi="Arial Narrow"/>
                <w:sz w:val="20"/>
                <w:lang w:val="en-GB"/>
              </w:rPr>
              <w:t>1. Percentage of blasts in the peripheral blood or bone marrow greater than or equal to 30%; or</w:t>
            </w:r>
          </w:p>
          <w:p w:rsidR="00E445EB" w:rsidRPr="00F875E6" w:rsidRDefault="00E445EB" w:rsidP="00E445EB">
            <w:pPr>
              <w:rPr>
                <w:rFonts w:ascii="Arial Narrow" w:hAnsi="Arial Narrow"/>
                <w:sz w:val="20"/>
                <w:lang w:val="en-GB"/>
              </w:rPr>
            </w:pPr>
            <w:r w:rsidRPr="00F875E6">
              <w:rPr>
                <w:rFonts w:ascii="Arial Narrow" w:hAnsi="Arial Narrow"/>
                <w:sz w:val="20"/>
                <w:lang w:val="en-GB"/>
              </w:rPr>
              <w:t>2. Extramedullary involvement other than spleen and liver.</w:t>
            </w:r>
          </w:p>
          <w:p w:rsidR="00E445EB" w:rsidRPr="00F875E6" w:rsidRDefault="00E445EB" w:rsidP="00E445EB">
            <w:pPr>
              <w:rPr>
                <w:rFonts w:ascii="Arial Narrow" w:hAnsi="Arial Narrow"/>
                <w:sz w:val="20"/>
              </w:rPr>
            </w:pPr>
          </w:p>
        </w:tc>
      </w:tr>
      <w:tr w:rsidR="00E445EB" w:rsidRPr="00F875E6" w:rsidTr="00E445EB">
        <w:trPr>
          <w:trHeight w:val="360"/>
        </w:trPr>
        <w:tc>
          <w:tcPr>
            <w:tcW w:w="2835"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b/>
                <w:sz w:val="20"/>
              </w:rPr>
            </w:pPr>
            <w:r w:rsidRPr="00F875E6">
              <w:rPr>
                <w:rFonts w:ascii="Arial Narrow" w:hAnsi="Arial Narrow"/>
                <w:b/>
                <w:sz w:val="20"/>
              </w:rPr>
              <w:t>Administrative Advice</w:t>
            </w:r>
          </w:p>
          <w:p w:rsidR="00E445EB" w:rsidRPr="00F875E6" w:rsidRDefault="00E445EB" w:rsidP="00E445EB">
            <w:pPr>
              <w:rPr>
                <w:rFonts w:ascii="Arial Narrow" w:hAnsi="Arial Narrow"/>
                <w:i/>
                <w:sz w:val="20"/>
              </w:rPr>
            </w:pPr>
          </w:p>
        </w:tc>
        <w:tc>
          <w:tcPr>
            <w:tcW w:w="5954" w:type="dxa"/>
            <w:gridSpan w:val="5"/>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sz w:val="20"/>
                <w:lang w:val="en-GB"/>
              </w:rPr>
            </w:pPr>
            <w:r w:rsidRPr="00F875E6">
              <w:rPr>
                <w:rFonts w:ascii="Arial Narrow" w:hAnsi="Arial Narrow"/>
                <w:sz w:val="20"/>
                <w:lang w:val="en-GB"/>
              </w:rPr>
              <w:t>The authority application must be made in writing and must include:</w:t>
            </w:r>
          </w:p>
          <w:p w:rsidR="00E445EB" w:rsidRPr="00F875E6" w:rsidRDefault="00E445EB" w:rsidP="00E445EB">
            <w:pPr>
              <w:rPr>
                <w:rFonts w:ascii="Arial Narrow" w:hAnsi="Arial Narrow"/>
                <w:sz w:val="20"/>
                <w:lang w:val="en-GB"/>
              </w:rPr>
            </w:pPr>
            <w:r w:rsidRPr="00F875E6">
              <w:rPr>
                <w:rFonts w:ascii="Arial Narrow" w:hAnsi="Arial Narrow"/>
                <w:sz w:val="20"/>
                <w:lang w:val="en-GB"/>
              </w:rPr>
              <w:t>1. a completed authority prescription form; and</w:t>
            </w:r>
          </w:p>
          <w:p w:rsidR="00E445EB" w:rsidRPr="00F875E6" w:rsidRDefault="00E445EB" w:rsidP="00E445EB">
            <w:pPr>
              <w:rPr>
                <w:rFonts w:ascii="Arial Narrow" w:hAnsi="Arial Narrow"/>
                <w:sz w:val="20"/>
                <w:lang w:val="en-GB"/>
              </w:rPr>
            </w:pPr>
            <w:r w:rsidRPr="00F875E6">
              <w:rPr>
                <w:rFonts w:ascii="Arial Narrow" w:hAnsi="Arial Narrow"/>
                <w:sz w:val="20"/>
                <w:lang w:val="en-GB"/>
              </w:rPr>
              <w:t xml:space="preserve">2. a completed </w:t>
            </w:r>
            <w:r w:rsidR="00097296" w:rsidRPr="00F875E6">
              <w:rPr>
                <w:rFonts w:ascii="Arial Narrow" w:hAnsi="Arial Narrow"/>
                <w:sz w:val="20"/>
                <w:lang w:val="en-GB"/>
              </w:rPr>
              <w:t xml:space="preserve">[To be confirmed] </w:t>
            </w:r>
            <w:r w:rsidRPr="00F875E6">
              <w:rPr>
                <w:rFonts w:ascii="Arial Narrow" w:hAnsi="Arial Narrow"/>
                <w:sz w:val="20"/>
                <w:lang w:val="en-GB"/>
              </w:rPr>
              <w:t>- Supporting Information Form; and</w:t>
            </w:r>
          </w:p>
          <w:p w:rsidR="00E445EB" w:rsidRPr="00F875E6" w:rsidRDefault="00E445EB" w:rsidP="00E445EB">
            <w:pPr>
              <w:rPr>
                <w:rFonts w:ascii="Arial Narrow" w:hAnsi="Arial Narrow"/>
                <w:sz w:val="20"/>
                <w:lang w:val="en-GB"/>
              </w:rPr>
            </w:pPr>
            <w:r w:rsidRPr="00F875E6">
              <w:rPr>
                <w:rFonts w:ascii="Arial Narrow" w:hAnsi="Arial Narrow"/>
                <w:sz w:val="20"/>
                <w:lang w:val="en-GB"/>
              </w:rPr>
              <w:t>3. a signed patient acknowledgement; and</w:t>
            </w:r>
          </w:p>
          <w:p w:rsidR="00E445EB" w:rsidRPr="00F875E6" w:rsidRDefault="00E445EB" w:rsidP="00E445EB">
            <w:pPr>
              <w:rPr>
                <w:rFonts w:ascii="Arial Narrow" w:hAnsi="Arial Narrow"/>
                <w:sz w:val="20"/>
                <w:lang w:val="en-GB"/>
              </w:rPr>
            </w:pPr>
            <w:r w:rsidRPr="00F875E6">
              <w:rPr>
                <w:rFonts w:ascii="Arial Narrow" w:hAnsi="Arial Narrow"/>
                <w:sz w:val="20"/>
                <w:lang w:val="en-GB"/>
              </w:rPr>
              <w:t>4. a bone marrow biopsy pathology report demonstrating the patient has active chronic myeloid leukaemia, either manifest as cytogenetic evidence of the Philadelphia chromosome, or RT-PCR level of BCR-ABL transcript greater than 0.1% on the international scale. (The date of the relevant pathology report needs to be provided); and</w:t>
            </w:r>
          </w:p>
          <w:p w:rsidR="00E445EB" w:rsidRPr="00F875E6" w:rsidRDefault="00E445EB" w:rsidP="00E445EB">
            <w:pPr>
              <w:rPr>
                <w:rFonts w:ascii="Arial Narrow" w:hAnsi="Arial Narrow"/>
                <w:sz w:val="20"/>
                <w:lang w:val="en-GB"/>
              </w:rPr>
            </w:pPr>
            <w:r w:rsidRPr="00F875E6">
              <w:rPr>
                <w:rFonts w:ascii="Arial Narrow" w:hAnsi="Arial Narrow"/>
                <w:sz w:val="20"/>
                <w:lang w:val="en-GB"/>
              </w:rPr>
              <w:t>5. where there has been a loss of response to dasatinib or nilotinib, a copy of the current confirming pathology report(s) from an Approved Pathology Authority or details of the dates of assessment in the case of progressive splenomegaly or extramedullary involvement.</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r w:rsidRPr="00F875E6">
              <w:rPr>
                <w:rFonts w:ascii="Arial Narrow" w:hAnsi="Arial Narrow"/>
                <w:sz w:val="20"/>
              </w:rPr>
              <w:t xml:space="preserve">Any queries concerning the arrangements to prescribe may be directed to the Department of Human Services on 1800 700 270 (hours of operation 8 a.m. to 5 p.m. EST Monday to Friday). </w:t>
            </w:r>
          </w:p>
          <w:p w:rsidR="00E445EB" w:rsidRPr="00F875E6" w:rsidRDefault="00E445EB" w:rsidP="00E445EB">
            <w:pPr>
              <w:rPr>
                <w:rFonts w:ascii="Arial Narrow" w:hAnsi="Arial Narrow"/>
                <w:sz w:val="20"/>
              </w:rPr>
            </w:pPr>
            <w:r w:rsidRPr="00F875E6">
              <w:rPr>
                <w:rFonts w:ascii="Arial Narrow" w:hAnsi="Arial Narrow"/>
                <w:sz w:val="20"/>
              </w:rPr>
              <w:t>Prescribing information (including Authority Application forms and other relevant documentation as applicable) is available on the Department of Human Services website at www.humanservices.gov.au</w:t>
            </w:r>
          </w:p>
          <w:p w:rsidR="00E445EB" w:rsidRPr="00F875E6" w:rsidRDefault="00E445EB" w:rsidP="00E445EB">
            <w:pPr>
              <w:rPr>
                <w:rFonts w:ascii="Arial Narrow" w:hAnsi="Arial Narrow"/>
                <w:sz w:val="20"/>
              </w:rPr>
            </w:pPr>
            <w:r w:rsidRPr="00F875E6">
              <w:rPr>
                <w:rFonts w:ascii="Arial Narrow" w:hAnsi="Arial Narrow"/>
                <w:sz w:val="20"/>
              </w:rPr>
              <w:t xml:space="preserve">Applications for authority to prescribe should be forwarded to: </w:t>
            </w:r>
          </w:p>
          <w:p w:rsidR="00E445EB" w:rsidRPr="00F875E6" w:rsidRDefault="00E445EB" w:rsidP="00E445EB">
            <w:pPr>
              <w:rPr>
                <w:rFonts w:ascii="Arial Narrow" w:hAnsi="Arial Narrow"/>
                <w:sz w:val="20"/>
              </w:rPr>
            </w:pPr>
            <w:r w:rsidRPr="00F875E6">
              <w:rPr>
                <w:rFonts w:ascii="Arial Narrow" w:hAnsi="Arial Narrow"/>
                <w:sz w:val="20"/>
              </w:rPr>
              <w:t>Department of Human Services</w:t>
            </w:r>
          </w:p>
          <w:p w:rsidR="00E445EB" w:rsidRPr="00F875E6" w:rsidRDefault="00E445EB" w:rsidP="00E445EB">
            <w:pPr>
              <w:rPr>
                <w:rFonts w:ascii="Arial Narrow" w:hAnsi="Arial Narrow"/>
                <w:sz w:val="20"/>
              </w:rPr>
            </w:pPr>
            <w:r w:rsidRPr="00F875E6">
              <w:rPr>
                <w:rFonts w:ascii="Arial Narrow" w:hAnsi="Arial Narrow"/>
                <w:sz w:val="20"/>
              </w:rPr>
              <w:t xml:space="preserve">Prior Written Approval of Complex Drugs </w:t>
            </w:r>
          </w:p>
          <w:p w:rsidR="00E445EB" w:rsidRPr="00F875E6" w:rsidRDefault="00E445EB" w:rsidP="00E445EB">
            <w:pPr>
              <w:rPr>
                <w:rFonts w:ascii="Arial Narrow" w:hAnsi="Arial Narrow"/>
                <w:sz w:val="20"/>
              </w:rPr>
            </w:pPr>
            <w:r w:rsidRPr="00F875E6">
              <w:rPr>
                <w:rFonts w:ascii="Arial Narrow" w:hAnsi="Arial Narrow"/>
                <w:sz w:val="20"/>
              </w:rPr>
              <w:t xml:space="preserve">Reply Paid 9826 </w:t>
            </w:r>
          </w:p>
          <w:p w:rsidR="00E445EB" w:rsidRPr="00F875E6" w:rsidRDefault="00E445EB" w:rsidP="00E445EB">
            <w:pPr>
              <w:rPr>
                <w:rFonts w:ascii="Arial Narrow" w:hAnsi="Arial Narrow"/>
                <w:sz w:val="20"/>
              </w:rPr>
            </w:pPr>
            <w:r w:rsidRPr="00F875E6">
              <w:rPr>
                <w:rFonts w:ascii="Arial Narrow" w:hAnsi="Arial Narrow"/>
                <w:sz w:val="20"/>
              </w:rPr>
              <w:t xml:space="preserve">GPO Box 9826 </w:t>
            </w:r>
          </w:p>
          <w:p w:rsidR="00E445EB" w:rsidRPr="00F875E6" w:rsidRDefault="00E445EB" w:rsidP="00E445EB">
            <w:pPr>
              <w:rPr>
                <w:rFonts w:ascii="Arial Narrow" w:hAnsi="Arial Narrow"/>
                <w:sz w:val="20"/>
              </w:rPr>
            </w:pPr>
            <w:r w:rsidRPr="00F875E6">
              <w:rPr>
                <w:rFonts w:ascii="Arial Narrow" w:hAnsi="Arial Narrow"/>
                <w:sz w:val="20"/>
              </w:rPr>
              <w:t>HOBART TAS 7001</w:t>
            </w:r>
          </w:p>
          <w:p w:rsidR="00E445EB" w:rsidRPr="00F875E6" w:rsidRDefault="00E445EB" w:rsidP="00E445EB">
            <w:pPr>
              <w:rPr>
                <w:rFonts w:ascii="Arial Narrow" w:hAnsi="Arial Narrow"/>
                <w:sz w:val="20"/>
              </w:rPr>
            </w:pPr>
          </w:p>
          <w:p w:rsidR="00E445EB" w:rsidRPr="00F875E6" w:rsidRDefault="00E445EB">
            <w:pPr>
              <w:rPr>
                <w:rFonts w:ascii="Arial Narrow" w:hAnsi="Arial Narrow"/>
                <w:sz w:val="20"/>
              </w:rPr>
            </w:pPr>
            <w:r w:rsidRPr="00F875E6">
              <w:rPr>
                <w:rFonts w:ascii="Arial Narrow" w:hAnsi="Arial Narrow"/>
                <w:sz w:val="20"/>
              </w:rPr>
              <w:t xml:space="preserve">Patients are eligible for PBS-subsidised treatment with only one of dasatinib, nilotinib or ponatinib at any one time and must not be receiving concomitant interferon alfa therapy. </w:t>
            </w:r>
          </w:p>
          <w:p w:rsidR="00E445EB" w:rsidRPr="00F875E6" w:rsidRDefault="00E445EB" w:rsidP="00E445EB">
            <w:pPr>
              <w:rPr>
                <w:rFonts w:ascii="Arial Narrow" w:hAnsi="Arial Narrow"/>
                <w:sz w:val="20"/>
              </w:rPr>
            </w:pPr>
          </w:p>
          <w:p w:rsidR="00E445EB" w:rsidRPr="00F875E6" w:rsidRDefault="00E10E49" w:rsidP="00E445EB">
            <w:pPr>
              <w:rPr>
                <w:rFonts w:ascii="Arial Narrow" w:hAnsi="Arial Narrow"/>
                <w:sz w:val="20"/>
              </w:rPr>
            </w:pPr>
            <w:r w:rsidRPr="00F875E6">
              <w:rPr>
                <w:rFonts w:ascii="Arial Narrow" w:hAnsi="Arial Narrow"/>
                <w:sz w:val="20"/>
              </w:rPr>
              <w:t>1</w:t>
            </w:r>
            <w:r w:rsidR="00E445EB" w:rsidRPr="00F875E6">
              <w:rPr>
                <w:rFonts w:ascii="Arial Narrow" w:hAnsi="Arial Narrow"/>
                <w:sz w:val="20"/>
              </w:rPr>
              <w:t>. Continuing treatment</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r w:rsidRPr="00F875E6">
              <w:rPr>
                <w:rFonts w:ascii="Arial Narrow" w:hAnsi="Arial Narrow"/>
                <w:sz w:val="20"/>
              </w:rPr>
              <w:t xml:space="preserve">All continuing applications are to be written and must include a pathology report demonstrating the patient has responded to PBS-subsidised treatment as follows: </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r w:rsidRPr="00F875E6">
              <w:rPr>
                <w:rFonts w:ascii="Arial Narrow" w:hAnsi="Arial Narrow"/>
                <w:sz w:val="20"/>
              </w:rPr>
              <w:t xml:space="preserve">(i) within 18 months of the commencement of treatment, at which time patients in whom a major cytogenetic response or peripheral blood BCR-ABL level of less than 1% has been demonstrated may receive authorisation for a further 12 months of treatment; and </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r w:rsidRPr="00F875E6">
              <w:rPr>
                <w:rFonts w:ascii="Arial Narrow" w:hAnsi="Arial Narrow"/>
                <w:sz w:val="20"/>
              </w:rPr>
              <w:t>(ii) at no greater than 12 month intervals thereafter, to demonstrate that the major cytogenetic response or peripheral blood BCR-ABL level of less than 1% has been sustained.</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p>
          <w:p w:rsidR="00E445EB" w:rsidRPr="00F875E6" w:rsidRDefault="00E10E49" w:rsidP="00E445EB">
            <w:pPr>
              <w:rPr>
                <w:rFonts w:ascii="Arial Narrow" w:hAnsi="Arial Narrow"/>
                <w:sz w:val="20"/>
              </w:rPr>
            </w:pPr>
            <w:r w:rsidRPr="00F875E6">
              <w:rPr>
                <w:rFonts w:ascii="Arial Narrow" w:hAnsi="Arial Narrow"/>
                <w:sz w:val="20"/>
              </w:rPr>
              <w:t>2</w:t>
            </w:r>
            <w:r w:rsidR="00E445EB" w:rsidRPr="00F875E6">
              <w:rPr>
                <w:rFonts w:ascii="Arial Narrow" w:hAnsi="Arial Narrow"/>
                <w:sz w:val="20"/>
              </w:rPr>
              <w:t>. Authority approval requirements.</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r w:rsidRPr="00F875E6">
              <w:rPr>
                <w:rFonts w:ascii="Arial Narrow" w:hAnsi="Arial Narrow"/>
                <w:sz w:val="20"/>
              </w:rPr>
              <w:t xml:space="preserve">Response criteria to initial treatment with </w:t>
            </w:r>
            <w:r w:rsidR="006F6857" w:rsidRPr="00F875E6">
              <w:rPr>
                <w:rFonts w:ascii="Arial Narrow" w:hAnsi="Arial Narrow"/>
                <w:sz w:val="20"/>
              </w:rPr>
              <w:t>ponatinib</w:t>
            </w:r>
            <w:r w:rsidRPr="00F875E6">
              <w:rPr>
                <w:rFonts w:ascii="Arial Narrow" w:hAnsi="Arial Narrow"/>
                <w:sz w:val="20"/>
              </w:rPr>
              <w:t>:</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r w:rsidRPr="00F875E6">
              <w:rPr>
                <w:rFonts w:ascii="Arial Narrow" w:hAnsi="Arial Narrow"/>
                <w:sz w:val="20"/>
              </w:rPr>
              <w:t xml:space="preserve">For the purposes of assessing response to PBS-subsidised treatment with ponatinib, either cytogenetic analysis indicating the number of Philadelphia positive [t (9;22)] cells in the bone marrow measured by standard karyotyping, or quantitative PCR indicating the relative level of BCR-ABL transcript in the peripheral blood using the international scale, must be submitted. For bone marrow analyses, where the standard karyotyping is not informative for technical reasons, a cytogenetic analysis performed on the bone marrow by the use of fluorescence in situ hybridisation (FISH) with BCR-ABL specific probe must be submitted. The cytogenetic or peripheral blood quantitative PCR analyses must be submitted within 18 months of the commencement of treatment with dasatinib, nilotinib or ponatinib (patients in whom a major cytogenetic response or peripheral blood BCR-ABL level of less than 1% is demonstrable by 18 months are eligible to receive continuing treatment with that agent). </w:t>
            </w:r>
          </w:p>
          <w:p w:rsidR="00E445EB" w:rsidRPr="00F875E6" w:rsidRDefault="00E445EB" w:rsidP="00E445EB">
            <w:pPr>
              <w:rPr>
                <w:rFonts w:ascii="Arial Narrow" w:hAnsi="Arial Narrow"/>
                <w:sz w:val="20"/>
              </w:rPr>
            </w:pPr>
          </w:p>
          <w:p w:rsidR="00E445EB" w:rsidRPr="00F875E6" w:rsidRDefault="00E10E49" w:rsidP="00E445EB">
            <w:pPr>
              <w:rPr>
                <w:rFonts w:ascii="Arial Narrow" w:hAnsi="Arial Narrow"/>
                <w:sz w:val="20"/>
              </w:rPr>
            </w:pPr>
            <w:r w:rsidRPr="00F875E6">
              <w:rPr>
                <w:rFonts w:ascii="Arial Narrow" w:hAnsi="Arial Narrow"/>
                <w:sz w:val="20"/>
              </w:rPr>
              <w:t>3</w:t>
            </w:r>
            <w:r w:rsidR="00E445EB" w:rsidRPr="00F875E6">
              <w:rPr>
                <w:rFonts w:ascii="Arial Narrow" w:hAnsi="Arial Narrow"/>
                <w:sz w:val="20"/>
              </w:rPr>
              <w:t>. Definitions of response.</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r w:rsidRPr="00F875E6">
              <w:rPr>
                <w:rFonts w:ascii="Arial Narrow" w:hAnsi="Arial Narrow"/>
                <w:sz w:val="20"/>
              </w:rPr>
              <w:t>A major cytogenetic response is defined as less than 35% Philadelphia positive bone marrow cells.</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r w:rsidRPr="00F875E6">
              <w:rPr>
                <w:rFonts w:ascii="Arial Narrow" w:hAnsi="Arial Narrow"/>
                <w:sz w:val="20"/>
              </w:rPr>
              <w:t xml:space="preserve">A peripheral blood BCR-ABL level of less than 1% on the international scale (Blood 108: 28-37, 2006) also indicates a response, at least the biological equivalent of a major cytogenetic response. </w:t>
            </w:r>
          </w:p>
          <w:p w:rsidR="00E445EB" w:rsidRPr="00F875E6" w:rsidRDefault="00E445EB" w:rsidP="00E445EB">
            <w:pPr>
              <w:rPr>
                <w:rFonts w:ascii="Arial Narrow" w:hAnsi="Arial Narrow"/>
                <w:sz w:val="20"/>
              </w:rPr>
            </w:pPr>
          </w:p>
          <w:p w:rsidR="00E445EB" w:rsidRPr="00F875E6" w:rsidRDefault="00E10E49" w:rsidP="00E445EB">
            <w:pPr>
              <w:rPr>
                <w:rFonts w:ascii="Arial Narrow" w:hAnsi="Arial Narrow"/>
                <w:sz w:val="20"/>
              </w:rPr>
            </w:pPr>
            <w:r w:rsidRPr="00F875E6">
              <w:rPr>
                <w:rFonts w:ascii="Arial Narrow" w:hAnsi="Arial Narrow"/>
                <w:sz w:val="20"/>
              </w:rPr>
              <w:t>4</w:t>
            </w:r>
            <w:r w:rsidR="00E445EB" w:rsidRPr="00F875E6">
              <w:rPr>
                <w:rFonts w:ascii="Arial Narrow" w:hAnsi="Arial Narrow"/>
                <w:sz w:val="20"/>
              </w:rPr>
              <w:t>. Definitions of loss of response.</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r w:rsidRPr="00F875E6">
              <w:rPr>
                <w:rFonts w:ascii="Arial Narrow" w:hAnsi="Arial Narrow"/>
                <w:sz w:val="20"/>
              </w:rPr>
              <w:t xml:space="preserve">Loss of a previously documented major cytogenetic response (demonstrated by the presence of greater than 35% Ph positive cells on bone marrow biopsy), during ongoing tyrosine kinase inhibitor (TKI) therapy. </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r w:rsidRPr="00F875E6">
              <w:rPr>
                <w:rFonts w:ascii="Arial Narrow" w:hAnsi="Arial Narrow"/>
                <w:sz w:val="20"/>
              </w:rPr>
              <w:t xml:space="preserve">Loss of a previously demonstrated molecular response (demonstrated by peripheral blood BCR-ABL levels increasing consecutively in value by at least 5 fold to a level of greater than 0.1% confirmed on a subsequent test), during ongoing tyrosine kinase inhibitor therapy. </w:t>
            </w:r>
          </w:p>
          <w:p w:rsidR="00E445EB" w:rsidRPr="00F875E6" w:rsidRDefault="00E445EB" w:rsidP="00E445EB">
            <w:pPr>
              <w:rPr>
                <w:rFonts w:ascii="Arial Narrow" w:hAnsi="Arial Narrow"/>
                <w:sz w:val="20"/>
              </w:rPr>
            </w:pPr>
          </w:p>
        </w:tc>
      </w:tr>
    </w:tbl>
    <w:p w:rsidR="00E445EB" w:rsidRPr="00F875E6" w:rsidRDefault="00E445EB" w:rsidP="00E445EB">
      <w:pPr>
        <w:rPr>
          <w:rFonts w:ascii="Arial Narrow" w:hAnsi="Arial Narrow"/>
          <w:b/>
          <w:i/>
          <w:szCs w:val="22"/>
          <w:u w:val="single"/>
        </w:rPr>
      </w:pPr>
    </w:p>
    <w:p w:rsidR="00E445EB" w:rsidRPr="00F875E6" w:rsidRDefault="00E445EB" w:rsidP="00E445EB">
      <w:pPr>
        <w:rPr>
          <w:szCs w:val="22"/>
        </w:rPr>
      </w:pPr>
      <w:r w:rsidRPr="00F875E6">
        <w:rPr>
          <w:rFonts w:ascii="Arial Narrow" w:hAnsi="Arial Narrow"/>
          <w:b/>
          <w:i/>
          <w:szCs w:val="22"/>
          <w:u w:val="single"/>
        </w:rPr>
        <w:t>CML (with T315I mutation)</w:t>
      </w:r>
    </w:p>
    <w:tbl>
      <w:tblPr>
        <w:tblW w:w="8789" w:type="dxa"/>
        <w:tblInd w:w="108" w:type="dxa"/>
        <w:tblLayout w:type="fixed"/>
        <w:tblLook w:val="0000" w:firstRow="0" w:lastRow="0" w:firstColumn="0" w:lastColumn="0" w:noHBand="0" w:noVBand="0"/>
      </w:tblPr>
      <w:tblGrid>
        <w:gridCol w:w="2835"/>
        <w:gridCol w:w="5954"/>
      </w:tblGrid>
      <w:tr w:rsidR="00E445EB" w:rsidRPr="00F875E6" w:rsidTr="00E445EB">
        <w:trPr>
          <w:cantSplit/>
          <w:trHeight w:val="360"/>
        </w:trPr>
        <w:tc>
          <w:tcPr>
            <w:tcW w:w="2835"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b/>
                <w:sz w:val="20"/>
              </w:rPr>
            </w:pPr>
            <w:r w:rsidRPr="00F875E6">
              <w:rPr>
                <w:rFonts w:ascii="Arial Narrow" w:hAnsi="Arial Narrow"/>
                <w:b/>
                <w:sz w:val="20"/>
              </w:rPr>
              <w:t xml:space="preserve">Category / </w:t>
            </w:r>
          </w:p>
          <w:p w:rsidR="00E445EB" w:rsidRPr="00F875E6" w:rsidRDefault="00E445EB" w:rsidP="00E445EB">
            <w:pPr>
              <w:rPr>
                <w:rFonts w:ascii="Arial Narrow" w:hAnsi="Arial Narrow"/>
                <w:b/>
                <w:sz w:val="20"/>
              </w:rPr>
            </w:pPr>
            <w:r w:rsidRPr="00F875E6">
              <w:rPr>
                <w:rFonts w:ascii="Arial Narrow" w:hAnsi="Arial Narrow"/>
                <w:b/>
                <w:sz w:val="20"/>
              </w:rPr>
              <w:t>Program</w:t>
            </w:r>
          </w:p>
        </w:tc>
        <w:tc>
          <w:tcPr>
            <w:tcW w:w="5954"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sz w:val="20"/>
              </w:rPr>
            </w:pPr>
            <w:r w:rsidRPr="00F875E6">
              <w:rPr>
                <w:rFonts w:ascii="Arial Narrow" w:hAnsi="Arial Narrow"/>
                <w:sz w:val="20"/>
              </w:rPr>
              <w:t>GENERAL – General Schedule (Code GE)</w:t>
            </w:r>
          </w:p>
          <w:p w:rsidR="00E445EB" w:rsidRPr="00F875E6" w:rsidRDefault="00E445EB" w:rsidP="00E445EB">
            <w:pPr>
              <w:rPr>
                <w:rFonts w:ascii="Arial Narrow" w:hAnsi="Arial Narrow"/>
                <w:sz w:val="20"/>
              </w:rPr>
            </w:pPr>
          </w:p>
        </w:tc>
      </w:tr>
      <w:tr w:rsidR="00E445EB" w:rsidRPr="00F875E6" w:rsidTr="00E445EB">
        <w:trPr>
          <w:cantSplit/>
          <w:trHeight w:val="360"/>
        </w:trPr>
        <w:tc>
          <w:tcPr>
            <w:tcW w:w="2835"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b/>
                <w:sz w:val="20"/>
              </w:rPr>
            </w:pPr>
            <w:r w:rsidRPr="00F875E6">
              <w:rPr>
                <w:rFonts w:ascii="Arial Narrow" w:hAnsi="Arial Narrow"/>
                <w:b/>
                <w:sz w:val="20"/>
              </w:rPr>
              <w:t>Prescriber type:</w:t>
            </w:r>
          </w:p>
          <w:p w:rsidR="00E445EB" w:rsidRPr="00F875E6" w:rsidRDefault="00E445EB" w:rsidP="00E445EB">
            <w:pPr>
              <w:rPr>
                <w:rFonts w:ascii="Arial Narrow" w:hAnsi="Arial Narrow"/>
                <w:b/>
                <w:sz w:val="20"/>
              </w:rPr>
            </w:pPr>
          </w:p>
        </w:tc>
        <w:tc>
          <w:tcPr>
            <w:tcW w:w="5954"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sz w:val="20"/>
              </w:rPr>
            </w:pPr>
            <w:r w:rsidRPr="00F875E6">
              <w:rPr>
                <w:rFonts w:ascii="Arial Narrow" w:hAnsi="Arial Narrow"/>
                <w:sz w:val="20"/>
              </w:rPr>
              <w:fldChar w:fldCharType="begin">
                <w:ffData>
                  <w:name w:val="Check1"/>
                  <w:enabled/>
                  <w:calcOnExit w:val="0"/>
                  <w:checkBox>
                    <w:sizeAuto/>
                    <w:default w:val="0"/>
                  </w:checkBox>
                </w:ffData>
              </w:fldChar>
            </w:r>
            <w:r w:rsidRPr="00F875E6">
              <w:rPr>
                <w:rFonts w:ascii="Arial Narrow" w:hAnsi="Arial Narrow"/>
                <w:sz w:val="20"/>
              </w:rPr>
              <w:instrText xml:space="preserve"> FORMCHECKBOX </w:instrText>
            </w:r>
            <w:r w:rsidR="00DC6394">
              <w:rPr>
                <w:rFonts w:ascii="Arial Narrow" w:hAnsi="Arial Narrow"/>
                <w:sz w:val="20"/>
              </w:rPr>
            </w:r>
            <w:r w:rsidR="00DC6394">
              <w:rPr>
                <w:rFonts w:ascii="Arial Narrow" w:hAnsi="Arial Narrow"/>
                <w:sz w:val="20"/>
              </w:rPr>
              <w:fldChar w:fldCharType="separate"/>
            </w:r>
            <w:r w:rsidRPr="00F875E6">
              <w:rPr>
                <w:rFonts w:ascii="Arial Narrow" w:hAnsi="Arial Narrow"/>
                <w:sz w:val="20"/>
              </w:rPr>
              <w:fldChar w:fldCharType="end"/>
            </w:r>
            <w:r w:rsidRPr="00F875E6">
              <w:rPr>
                <w:rFonts w:ascii="Arial Narrow" w:hAnsi="Arial Narrow"/>
                <w:sz w:val="20"/>
              </w:rPr>
              <w:t xml:space="preserve">Dental  </w:t>
            </w:r>
            <w:r w:rsidRPr="00F875E6">
              <w:rPr>
                <w:rFonts w:ascii="Arial Narrow" w:hAnsi="Arial Narrow"/>
                <w:sz w:val="20"/>
              </w:rPr>
              <w:fldChar w:fldCharType="begin">
                <w:ffData>
                  <w:name w:val=""/>
                  <w:enabled/>
                  <w:calcOnExit w:val="0"/>
                  <w:checkBox>
                    <w:sizeAuto/>
                    <w:default w:val="1"/>
                  </w:checkBox>
                </w:ffData>
              </w:fldChar>
            </w:r>
            <w:r w:rsidRPr="00F875E6">
              <w:rPr>
                <w:rFonts w:ascii="Arial Narrow" w:hAnsi="Arial Narrow"/>
                <w:sz w:val="20"/>
              </w:rPr>
              <w:instrText xml:space="preserve"> FORMCHECKBOX </w:instrText>
            </w:r>
            <w:r w:rsidR="00DC6394">
              <w:rPr>
                <w:rFonts w:ascii="Arial Narrow" w:hAnsi="Arial Narrow"/>
                <w:sz w:val="20"/>
              </w:rPr>
            </w:r>
            <w:r w:rsidR="00DC6394">
              <w:rPr>
                <w:rFonts w:ascii="Arial Narrow" w:hAnsi="Arial Narrow"/>
                <w:sz w:val="20"/>
              </w:rPr>
              <w:fldChar w:fldCharType="separate"/>
            </w:r>
            <w:r w:rsidRPr="00F875E6">
              <w:rPr>
                <w:rFonts w:ascii="Arial Narrow" w:hAnsi="Arial Narrow"/>
                <w:sz w:val="20"/>
              </w:rPr>
              <w:fldChar w:fldCharType="end"/>
            </w:r>
            <w:r w:rsidRPr="00F875E6">
              <w:rPr>
                <w:rFonts w:ascii="Arial Narrow" w:hAnsi="Arial Narrow"/>
                <w:sz w:val="20"/>
              </w:rPr>
              <w:t xml:space="preserve">Medical Practitioners  </w:t>
            </w:r>
            <w:r w:rsidRPr="00F875E6">
              <w:rPr>
                <w:rFonts w:ascii="Arial Narrow" w:hAnsi="Arial Narrow"/>
                <w:sz w:val="20"/>
              </w:rPr>
              <w:fldChar w:fldCharType="begin">
                <w:ffData>
                  <w:name w:val="Check3"/>
                  <w:enabled/>
                  <w:calcOnExit w:val="0"/>
                  <w:checkBox>
                    <w:sizeAuto/>
                    <w:default w:val="0"/>
                  </w:checkBox>
                </w:ffData>
              </w:fldChar>
            </w:r>
            <w:r w:rsidRPr="00F875E6">
              <w:rPr>
                <w:rFonts w:ascii="Arial Narrow" w:hAnsi="Arial Narrow"/>
                <w:sz w:val="20"/>
              </w:rPr>
              <w:instrText xml:space="preserve"> FORMCHECKBOX </w:instrText>
            </w:r>
            <w:r w:rsidR="00DC6394">
              <w:rPr>
                <w:rFonts w:ascii="Arial Narrow" w:hAnsi="Arial Narrow"/>
                <w:sz w:val="20"/>
              </w:rPr>
            </w:r>
            <w:r w:rsidR="00DC6394">
              <w:rPr>
                <w:rFonts w:ascii="Arial Narrow" w:hAnsi="Arial Narrow"/>
                <w:sz w:val="20"/>
              </w:rPr>
              <w:fldChar w:fldCharType="separate"/>
            </w:r>
            <w:r w:rsidRPr="00F875E6">
              <w:rPr>
                <w:rFonts w:ascii="Arial Narrow" w:hAnsi="Arial Narrow"/>
                <w:sz w:val="20"/>
              </w:rPr>
              <w:fldChar w:fldCharType="end"/>
            </w:r>
            <w:r w:rsidRPr="00F875E6">
              <w:rPr>
                <w:rFonts w:ascii="Arial Narrow" w:hAnsi="Arial Narrow"/>
                <w:sz w:val="20"/>
              </w:rPr>
              <w:t xml:space="preserve">Nurse practitioners  </w:t>
            </w:r>
            <w:r w:rsidRPr="00F875E6">
              <w:rPr>
                <w:rFonts w:ascii="Arial Narrow" w:hAnsi="Arial Narrow"/>
                <w:sz w:val="20"/>
              </w:rPr>
              <w:fldChar w:fldCharType="begin">
                <w:ffData>
                  <w:name w:val=""/>
                  <w:enabled/>
                  <w:calcOnExit w:val="0"/>
                  <w:checkBox>
                    <w:sizeAuto/>
                    <w:default w:val="0"/>
                  </w:checkBox>
                </w:ffData>
              </w:fldChar>
            </w:r>
            <w:r w:rsidRPr="00F875E6">
              <w:rPr>
                <w:rFonts w:ascii="Arial Narrow" w:hAnsi="Arial Narrow"/>
                <w:sz w:val="20"/>
              </w:rPr>
              <w:instrText xml:space="preserve"> FORMCHECKBOX </w:instrText>
            </w:r>
            <w:r w:rsidR="00DC6394">
              <w:rPr>
                <w:rFonts w:ascii="Arial Narrow" w:hAnsi="Arial Narrow"/>
                <w:sz w:val="20"/>
              </w:rPr>
            </w:r>
            <w:r w:rsidR="00DC6394">
              <w:rPr>
                <w:rFonts w:ascii="Arial Narrow" w:hAnsi="Arial Narrow"/>
                <w:sz w:val="20"/>
              </w:rPr>
              <w:fldChar w:fldCharType="separate"/>
            </w:r>
            <w:r w:rsidRPr="00F875E6">
              <w:rPr>
                <w:rFonts w:ascii="Arial Narrow" w:hAnsi="Arial Narrow"/>
                <w:sz w:val="20"/>
              </w:rPr>
              <w:fldChar w:fldCharType="end"/>
            </w:r>
            <w:r w:rsidRPr="00F875E6">
              <w:rPr>
                <w:rFonts w:ascii="Arial Narrow" w:hAnsi="Arial Narrow"/>
                <w:sz w:val="20"/>
              </w:rPr>
              <w:t>Optometrists</w:t>
            </w:r>
          </w:p>
          <w:p w:rsidR="00E445EB" w:rsidRPr="00F875E6" w:rsidRDefault="00E445EB" w:rsidP="00E445EB">
            <w:pPr>
              <w:rPr>
                <w:rFonts w:ascii="Arial Narrow" w:hAnsi="Arial Narrow"/>
                <w:sz w:val="20"/>
              </w:rPr>
            </w:pPr>
            <w:r w:rsidRPr="00F875E6">
              <w:rPr>
                <w:rFonts w:ascii="Arial Narrow" w:hAnsi="Arial Narrow"/>
                <w:sz w:val="20"/>
              </w:rPr>
              <w:fldChar w:fldCharType="begin">
                <w:ffData>
                  <w:name w:val="Check5"/>
                  <w:enabled/>
                  <w:calcOnExit w:val="0"/>
                  <w:checkBox>
                    <w:sizeAuto/>
                    <w:default w:val="0"/>
                  </w:checkBox>
                </w:ffData>
              </w:fldChar>
            </w:r>
            <w:r w:rsidRPr="00F875E6">
              <w:rPr>
                <w:rFonts w:ascii="Arial Narrow" w:hAnsi="Arial Narrow"/>
                <w:sz w:val="20"/>
              </w:rPr>
              <w:instrText xml:space="preserve"> FORMCHECKBOX </w:instrText>
            </w:r>
            <w:r w:rsidR="00DC6394">
              <w:rPr>
                <w:rFonts w:ascii="Arial Narrow" w:hAnsi="Arial Narrow"/>
                <w:sz w:val="20"/>
              </w:rPr>
            </w:r>
            <w:r w:rsidR="00DC6394">
              <w:rPr>
                <w:rFonts w:ascii="Arial Narrow" w:hAnsi="Arial Narrow"/>
                <w:sz w:val="20"/>
              </w:rPr>
              <w:fldChar w:fldCharType="separate"/>
            </w:r>
            <w:r w:rsidRPr="00F875E6">
              <w:rPr>
                <w:rFonts w:ascii="Arial Narrow" w:hAnsi="Arial Narrow"/>
                <w:sz w:val="20"/>
              </w:rPr>
              <w:fldChar w:fldCharType="end"/>
            </w:r>
            <w:r w:rsidRPr="00F875E6">
              <w:rPr>
                <w:rFonts w:ascii="Arial Narrow" w:hAnsi="Arial Narrow"/>
                <w:sz w:val="20"/>
              </w:rPr>
              <w:t>Midwives</w:t>
            </w:r>
          </w:p>
        </w:tc>
      </w:tr>
      <w:tr w:rsidR="00E445EB" w:rsidRPr="00F875E6" w:rsidTr="00E445EB">
        <w:trPr>
          <w:cantSplit/>
          <w:trHeight w:val="360"/>
        </w:trPr>
        <w:tc>
          <w:tcPr>
            <w:tcW w:w="2835"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b/>
                <w:sz w:val="20"/>
              </w:rPr>
            </w:pPr>
            <w:r w:rsidRPr="00F875E6">
              <w:rPr>
                <w:rFonts w:ascii="Arial Narrow" w:hAnsi="Arial Narrow"/>
                <w:b/>
                <w:sz w:val="20"/>
              </w:rPr>
              <w:t>Episodicity:</w:t>
            </w:r>
          </w:p>
        </w:tc>
        <w:tc>
          <w:tcPr>
            <w:tcW w:w="5954"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sz w:val="20"/>
              </w:rPr>
            </w:pPr>
            <w:r w:rsidRPr="00F875E6">
              <w:rPr>
                <w:rFonts w:ascii="Arial Narrow" w:hAnsi="Arial Narrow"/>
                <w:sz w:val="20"/>
              </w:rPr>
              <w:t>Chronic</w:t>
            </w:r>
          </w:p>
        </w:tc>
      </w:tr>
      <w:tr w:rsidR="00E445EB" w:rsidRPr="00F875E6" w:rsidTr="00E445EB">
        <w:trPr>
          <w:cantSplit/>
          <w:trHeight w:val="360"/>
        </w:trPr>
        <w:tc>
          <w:tcPr>
            <w:tcW w:w="2835"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b/>
                <w:sz w:val="20"/>
              </w:rPr>
            </w:pPr>
            <w:r w:rsidRPr="00F875E6">
              <w:rPr>
                <w:rFonts w:ascii="Arial Narrow" w:hAnsi="Arial Narrow"/>
                <w:b/>
                <w:sz w:val="20"/>
              </w:rPr>
              <w:t>Severity:</w:t>
            </w:r>
          </w:p>
        </w:tc>
        <w:tc>
          <w:tcPr>
            <w:tcW w:w="5954"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sz w:val="20"/>
              </w:rPr>
            </w:pPr>
            <w:r w:rsidRPr="00F875E6">
              <w:rPr>
                <w:rFonts w:ascii="Arial Narrow" w:hAnsi="Arial Narrow"/>
                <w:sz w:val="20"/>
              </w:rPr>
              <w:t>-</w:t>
            </w:r>
          </w:p>
        </w:tc>
      </w:tr>
      <w:tr w:rsidR="00E445EB" w:rsidRPr="00F875E6" w:rsidTr="00E445EB">
        <w:trPr>
          <w:cantSplit/>
          <w:trHeight w:val="360"/>
        </w:trPr>
        <w:tc>
          <w:tcPr>
            <w:tcW w:w="2835"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b/>
                <w:sz w:val="20"/>
              </w:rPr>
            </w:pPr>
            <w:r w:rsidRPr="00F875E6">
              <w:rPr>
                <w:rFonts w:ascii="Arial Narrow" w:hAnsi="Arial Narrow"/>
                <w:b/>
                <w:sz w:val="20"/>
              </w:rPr>
              <w:t>Condition:</w:t>
            </w:r>
          </w:p>
        </w:tc>
        <w:tc>
          <w:tcPr>
            <w:tcW w:w="5954"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sz w:val="20"/>
              </w:rPr>
            </w:pPr>
            <w:r w:rsidRPr="00F875E6">
              <w:rPr>
                <w:rFonts w:ascii="Arial Narrow" w:hAnsi="Arial Narrow"/>
                <w:sz w:val="20"/>
              </w:rPr>
              <w:t>Myeloid leukaemia</w:t>
            </w:r>
          </w:p>
        </w:tc>
      </w:tr>
      <w:tr w:rsidR="00E445EB" w:rsidRPr="00F875E6" w:rsidTr="00E445EB">
        <w:trPr>
          <w:cantSplit/>
          <w:trHeight w:val="360"/>
        </w:trPr>
        <w:tc>
          <w:tcPr>
            <w:tcW w:w="2835"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b/>
                <w:sz w:val="20"/>
              </w:rPr>
            </w:pPr>
            <w:r w:rsidRPr="00F875E6">
              <w:rPr>
                <w:rFonts w:ascii="Arial Narrow" w:hAnsi="Arial Narrow"/>
                <w:b/>
                <w:sz w:val="20"/>
              </w:rPr>
              <w:t>PBS Indication:</w:t>
            </w:r>
          </w:p>
        </w:tc>
        <w:tc>
          <w:tcPr>
            <w:tcW w:w="5954"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sz w:val="20"/>
              </w:rPr>
            </w:pPr>
            <w:r w:rsidRPr="00F875E6">
              <w:rPr>
                <w:rFonts w:ascii="Arial Narrow" w:hAnsi="Arial Narrow"/>
                <w:sz w:val="20"/>
              </w:rPr>
              <w:t>Chronic myeloid leukaemia</w:t>
            </w:r>
          </w:p>
        </w:tc>
      </w:tr>
      <w:tr w:rsidR="00E445EB" w:rsidRPr="00F875E6" w:rsidTr="00E445EB">
        <w:trPr>
          <w:cantSplit/>
          <w:trHeight w:val="360"/>
        </w:trPr>
        <w:tc>
          <w:tcPr>
            <w:tcW w:w="2835"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i/>
                <w:sz w:val="20"/>
              </w:rPr>
            </w:pPr>
            <w:r w:rsidRPr="00F875E6">
              <w:rPr>
                <w:rFonts w:ascii="Arial Narrow" w:hAnsi="Arial Narrow"/>
                <w:b/>
                <w:sz w:val="20"/>
              </w:rPr>
              <w:t>Treatment phase:</w:t>
            </w:r>
          </w:p>
        </w:tc>
        <w:tc>
          <w:tcPr>
            <w:tcW w:w="5954"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sz w:val="20"/>
              </w:rPr>
            </w:pPr>
            <w:r w:rsidRPr="00F875E6">
              <w:rPr>
                <w:rFonts w:ascii="Arial Narrow" w:hAnsi="Arial Narrow"/>
                <w:sz w:val="20"/>
              </w:rPr>
              <w:t>Initial</w:t>
            </w:r>
          </w:p>
        </w:tc>
      </w:tr>
      <w:tr w:rsidR="00E445EB" w:rsidRPr="00F875E6" w:rsidTr="00E445EB">
        <w:trPr>
          <w:cantSplit/>
          <w:trHeight w:val="360"/>
        </w:trPr>
        <w:tc>
          <w:tcPr>
            <w:tcW w:w="2835"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b/>
                <w:sz w:val="20"/>
              </w:rPr>
            </w:pPr>
            <w:r w:rsidRPr="00F875E6">
              <w:rPr>
                <w:rFonts w:ascii="Arial Narrow" w:hAnsi="Arial Narrow"/>
                <w:b/>
                <w:sz w:val="20"/>
              </w:rPr>
              <w:t>Restriction Level / Method:</w:t>
            </w:r>
          </w:p>
          <w:p w:rsidR="00E445EB" w:rsidRPr="00F875E6" w:rsidRDefault="00E445EB" w:rsidP="00E445EB">
            <w:pPr>
              <w:rPr>
                <w:rFonts w:ascii="Arial Narrow" w:hAnsi="Arial Narrow"/>
                <w:i/>
                <w:sz w:val="20"/>
              </w:rPr>
            </w:pPr>
          </w:p>
        </w:tc>
        <w:tc>
          <w:tcPr>
            <w:tcW w:w="5954"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sz w:val="20"/>
              </w:rPr>
            </w:pPr>
            <w:r w:rsidRPr="00F875E6">
              <w:rPr>
                <w:rFonts w:ascii="Arial Narrow" w:hAnsi="Arial Narrow"/>
                <w:sz w:val="20"/>
              </w:rPr>
              <w:fldChar w:fldCharType="begin">
                <w:ffData>
                  <w:name w:val="Check1"/>
                  <w:enabled/>
                  <w:calcOnExit w:val="0"/>
                  <w:checkBox>
                    <w:sizeAuto/>
                    <w:default w:val="0"/>
                  </w:checkBox>
                </w:ffData>
              </w:fldChar>
            </w:r>
            <w:r w:rsidRPr="00F875E6">
              <w:rPr>
                <w:rFonts w:ascii="Arial Narrow" w:hAnsi="Arial Narrow"/>
                <w:sz w:val="20"/>
              </w:rPr>
              <w:instrText xml:space="preserve"> FORMCHECKBOX </w:instrText>
            </w:r>
            <w:r w:rsidR="00DC6394">
              <w:rPr>
                <w:rFonts w:ascii="Arial Narrow" w:hAnsi="Arial Narrow"/>
                <w:sz w:val="20"/>
              </w:rPr>
            </w:r>
            <w:r w:rsidR="00DC6394">
              <w:rPr>
                <w:rFonts w:ascii="Arial Narrow" w:hAnsi="Arial Narrow"/>
                <w:sz w:val="20"/>
              </w:rPr>
              <w:fldChar w:fldCharType="separate"/>
            </w:r>
            <w:r w:rsidRPr="00F875E6">
              <w:rPr>
                <w:rFonts w:ascii="Arial Narrow" w:hAnsi="Arial Narrow"/>
                <w:sz w:val="20"/>
              </w:rPr>
              <w:fldChar w:fldCharType="end"/>
            </w:r>
            <w:r w:rsidRPr="00F875E6">
              <w:rPr>
                <w:rFonts w:ascii="Arial Narrow" w:hAnsi="Arial Narrow"/>
                <w:sz w:val="20"/>
              </w:rPr>
              <w:t>Restricted benefit</w:t>
            </w:r>
          </w:p>
          <w:p w:rsidR="00E445EB" w:rsidRPr="00F875E6" w:rsidRDefault="00E445EB" w:rsidP="00E445EB">
            <w:pPr>
              <w:rPr>
                <w:rFonts w:ascii="Arial Narrow" w:hAnsi="Arial Narrow"/>
                <w:sz w:val="20"/>
              </w:rPr>
            </w:pPr>
            <w:r w:rsidRPr="00F875E6">
              <w:rPr>
                <w:rFonts w:ascii="Arial Narrow" w:hAnsi="Arial Narrow"/>
                <w:sz w:val="20"/>
              </w:rPr>
              <w:fldChar w:fldCharType="begin">
                <w:ffData>
                  <w:name w:val=""/>
                  <w:enabled/>
                  <w:calcOnExit w:val="0"/>
                  <w:checkBox>
                    <w:sizeAuto/>
                    <w:default w:val="1"/>
                  </w:checkBox>
                </w:ffData>
              </w:fldChar>
            </w:r>
            <w:r w:rsidRPr="00F875E6">
              <w:rPr>
                <w:rFonts w:ascii="Arial Narrow" w:hAnsi="Arial Narrow"/>
                <w:sz w:val="20"/>
              </w:rPr>
              <w:instrText xml:space="preserve"> FORMCHECKBOX </w:instrText>
            </w:r>
            <w:r w:rsidR="00DC6394">
              <w:rPr>
                <w:rFonts w:ascii="Arial Narrow" w:hAnsi="Arial Narrow"/>
                <w:sz w:val="20"/>
              </w:rPr>
            </w:r>
            <w:r w:rsidR="00DC6394">
              <w:rPr>
                <w:rFonts w:ascii="Arial Narrow" w:hAnsi="Arial Narrow"/>
                <w:sz w:val="20"/>
              </w:rPr>
              <w:fldChar w:fldCharType="separate"/>
            </w:r>
            <w:r w:rsidRPr="00F875E6">
              <w:rPr>
                <w:rFonts w:ascii="Arial Narrow" w:hAnsi="Arial Narrow"/>
                <w:sz w:val="20"/>
              </w:rPr>
              <w:fldChar w:fldCharType="end"/>
            </w:r>
            <w:r w:rsidRPr="00F875E6">
              <w:rPr>
                <w:rFonts w:ascii="Arial Narrow" w:hAnsi="Arial Narrow"/>
                <w:sz w:val="20"/>
              </w:rPr>
              <w:t>Authority Required - In Writing</w:t>
            </w:r>
          </w:p>
          <w:p w:rsidR="00E445EB" w:rsidRPr="00F875E6" w:rsidRDefault="00E445EB" w:rsidP="00E445EB">
            <w:pPr>
              <w:rPr>
                <w:rFonts w:ascii="Arial Narrow" w:hAnsi="Arial Narrow"/>
                <w:sz w:val="20"/>
              </w:rPr>
            </w:pPr>
            <w:r w:rsidRPr="00F875E6">
              <w:rPr>
                <w:rFonts w:ascii="Arial Narrow" w:hAnsi="Arial Narrow"/>
                <w:sz w:val="20"/>
              </w:rPr>
              <w:fldChar w:fldCharType="begin">
                <w:ffData>
                  <w:name w:val=""/>
                  <w:enabled/>
                  <w:calcOnExit w:val="0"/>
                  <w:checkBox>
                    <w:sizeAuto/>
                    <w:default w:val="0"/>
                  </w:checkBox>
                </w:ffData>
              </w:fldChar>
            </w:r>
            <w:r w:rsidRPr="00F875E6">
              <w:rPr>
                <w:rFonts w:ascii="Arial Narrow" w:hAnsi="Arial Narrow"/>
                <w:sz w:val="20"/>
              </w:rPr>
              <w:instrText xml:space="preserve"> FORMCHECKBOX </w:instrText>
            </w:r>
            <w:r w:rsidR="00DC6394">
              <w:rPr>
                <w:rFonts w:ascii="Arial Narrow" w:hAnsi="Arial Narrow"/>
                <w:sz w:val="20"/>
              </w:rPr>
            </w:r>
            <w:r w:rsidR="00DC6394">
              <w:rPr>
                <w:rFonts w:ascii="Arial Narrow" w:hAnsi="Arial Narrow"/>
                <w:sz w:val="20"/>
              </w:rPr>
              <w:fldChar w:fldCharType="separate"/>
            </w:r>
            <w:r w:rsidRPr="00F875E6">
              <w:rPr>
                <w:rFonts w:ascii="Arial Narrow" w:hAnsi="Arial Narrow"/>
                <w:sz w:val="20"/>
              </w:rPr>
              <w:fldChar w:fldCharType="end"/>
            </w:r>
            <w:r w:rsidRPr="00F875E6">
              <w:rPr>
                <w:rFonts w:ascii="Arial Narrow" w:hAnsi="Arial Narrow"/>
                <w:sz w:val="20"/>
              </w:rPr>
              <w:t>Authority Required - Telephone</w:t>
            </w:r>
          </w:p>
          <w:p w:rsidR="00E445EB" w:rsidRPr="00F875E6" w:rsidRDefault="00E445EB" w:rsidP="00E445EB">
            <w:pPr>
              <w:rPr>
                <w:rFonts w:ascii="Arial Narrow" w:hAnsi="Arial Narrow"/>
                <w:sz w:val="20"/>
              </w:rPr>
            </w:pPr>
            <w:r w:rsidRPr="00F875E6">
              <w:rPr>
                <w:rFonts w:ascii="Arial Narrow" w:hAnsi="Arial Narrow"/>
                <w:sz w:val="20"/>
              </w:rPr>
              <w:fldChar w:fldCharType="begin">
                <w:ffData>
                  <w:name w:val=""/>
                  <w:enabled/>
                  <w:calcOnExit w:val="0"/>
                  <w:checkBox>
                    <w:sizeAuto/>
                    <w:default w:val="0"/>
                  </w:checkBox>
                </w:ffData>
              </w:fldChar>
            </w:r>
            <w:r w:rsidRPr="00F875E6">
              <w:rPr>
                <w:rFonts w:ascii="Arial Narrow" w:hAnsi="Arial Narrow"/>
                <w:sz w:val="20"/>
              </w:rPr>
              <w:instrText xml:space="preserve"> FORMCHECKBOX </w:instrText>
            </w:r>
            <w:r w:rsidR="00DC6394">
              <w:rPr>
                <w:rFonts w:ascii="Arial Narrow" w:hAnsi="Arial Narrow"/>
                <w:sz w:val="20"/>
              </w:rPr>
            </w:r>
            <w:r w:rsidR="00DC6394">
              <w:rPr>
                <w:rFonts w:ascii="Arial Narrow" w:hAnsi="Arial Narrow"/>
                <w:sz w:val="20"/>
              </w:rPr>
              <w:fldChar w:fldCharType="separate"/>
            </w:r>
            <w:r w:rsidRPr="00F875E6">
              <w:rPr>
                <w:rFonts w:ascii="Arial Narrow" w:hAnsi="Arial Narrow"/>
                <w:sz w:val="20"/>
              </w:rPr>
              <w:fldChar w:fldCharType="end"/>
            </w:r>
            <w:r w:rsidRPr="00F875E6">
              <w:rPr>
                <w:rFonts w:ascii="Arial Narrow" w:hAnsi="Arial Narrow"/>
                <w:sz w:val="20"/>
              </w:rPr>
              <w:t>Authority Required – Emergency</w:t>
            </w:r>
          </w:p>
          <w:p w:rsidR="00E445EB" w:rsidRPr="00F875E6" w:rsidRDefault="00E445EB" w:rsidP="00E445EB">
            <w:pPr>
              <w:rPr>
                <w:rFonts w:ascii="Arial Narrow" w:hAnsi="Arial Narrow"/>
                <w:sz w:val="20"/>
              </w:rPr>
            </w:pPr>
            <w:r w:rsidRPr="00F875E6">
              <w:rPr>
                <w:rFonts w:ascii="Arial Narrow" w:hAnsi="Arial Narrow"/>
                <w:sz w:val="20"/>
              </w:rPr>
              <w:fldChar w:fldCharType="begin">
                <w:ffData>
                  <w:name w:val=""/>
                  <w:enabled/>
                  <w:calcOnExit w:val="0"/>
                  <w:checkBox>
                    <w:sizeAuto/>
                    <w:default w:val="0"/>
                  </w:checkBox>
                </w:ffData>
              </w:fldChar>
            </w:r>
            <w:r w:rsidRPr="00F875E6">
              <w:rPr>
                <w:rFonts w:ascii="Arial Narrow" w:hAnsi="Arial Narrow"/>
                <w:sz w:val="20"/>
              </w:rPr>
              <w:instrText xml:space="preserve"> FORMCHECKBOX </w:instrText>
            </w:r>
            <w:r w:rsidR="00DC6394">
              <w:rPr>
                <w:rFonts w:ascii="Arial Narrow" w:hAnsi="Arial Narrow"/>
                <w:sz w:val="20"/>
              </w:rPr>
            </w:r>
            <w:r w:rsidR="00DC6394">
              <w:rPr>
                <w:rFonts w:ascii="Arial Narrow" w:hAnsi="Arial Narrow"/>
                <w:sz w:val="20"/>
              </w:rPr>
              <w:fldChar w:fldCharType="separate"/>
            </w:r>
            <w:r w:rsidRPr="00F875E6">
              <w:rPr>
                <w:rFonts w:ascii="Arial Narrow" w:hAnsi="Arial Narrow"/>
                <w:sz w:val="20"/>
              </w:rPr>
              <w:fldChar w:fldCharType="end"/>
            </w:r>
            <w:r w:rsidRPr="00F875E6">
              <w:rPr>
                <w:rFonts w:ascii="Arial Narrow" w:hAnsi="Arial Narrow"/>
                <w:sz w:val="20"/>
              </w:rPr>
              <w:t>Authority Required - Electronic</w:t>
            </w:r>
          </w:p>
          <w:p w:rsidR="00E445EB" w:rsidRPr="00F875E6" w:rsidRDefault="00E445EB" w:rsidP="00E445EB">
            <w:pPr>
              <w:rPr>
                <w:rFonts w:ascii="Arial Narrow" w:hAnsi="Arial Narrow"/>
                <w:sz w:val="20"/>
              </w:rPr>
            </w:pPr>
            <w:r w:rsidRPr="00F875E6">
              <w:rPr>
                <w:rFonts w:ascii="Arial Narrow" w:hAnsi="Arial Narrow"/>
                <w:sz w:val="20"/>
              </w:rPr>
              <w:fldChar w:fldCharType="begin">
                <w:ffData>
                  <w:name w:val="Check5"/>
                  <w:enabled/>
                  <w:calcOnExit w:val="0"/>
                  <w:checkBox>
                    <w:sizeAuto/>
                    <w:default w:val="0"/>
                  </w:checkBox>
                </w:ffData>
              </w:fldChar>
            </w:r>
            <w:r w:rsidRPr="00F875E6">
              <w:rPr>
                <w:rFonts w:ascii="Arial Narrow" w:hAnsi="Arial Narrow"/>
                <w:sz w:val="20"/>
              </w:rPr>
              <w:instrText xml:space="preserve"> FORMCHECKBOX </w:instrText>
            </w:r>
            <w:r w:rsidR="00DC6394">
              <w:rPr>
                <w:rFonts w:ascii="Arial Narrow" w:hAnsi="Arial Narrow"/>
                <w:sz w:val="20"/>
              </w:rPr>
            </w:r>
            <w:r w:rsidR="00DC6394">
              <w:rPr>
                <w:rFonts w:ascii="Arial Narrow" w:hAnsi="Arial Narrow"/>
                <w:sz w:val="20"/>
              </w:rPr>
              <w:fldChar w:fldCharType="separate"/>
            </w:r>
            <w:r w:rsidRPr="00F875E6">
              <w:rPr>
                <w:rFonts w:ascii="Arial Narrow" w:hAnsi="Arial Narrow"/>
                <w:sz w:val="20"/>
              </w:rPr>
              <w:fldChar w:fldCharType="end"/>
            </w:r>
            <w:r w:rsidRPr="00F875E6">
              <w:rPr>
                <w:rFonts w:ascii="Arial Narrow" w:hAnsi="Arial Narrow"/>
                <w:sz w:val="20"/>
              </w:rPr>
              <w:t>Streamlined</w:t>
            </w:r>
          </w:p>
        </w:tc>
      </w:tr>
      <w:tr w:rsidR="00E445EB" w:rsidRPr="00F875E6" w:rsidTr="00E445EB">
        <w:trPr>
          <w:cantSplit/>
          <w:trHeight w:val="360"/>
        </w:trPr>
        <w:tc>
          <w:tcPr>
            <w:tcW w:w="2835"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b/>
                <w:sz w:val="20"/>
              </w:rPr>
            </w:pPr>
            <w:r w:rsidRPr="00F875E6">
              <w:rPr>
                <w:rFonts w:ascii="Arial Narrow" w:hAnsi="Arial Narrow"/>
                <w:b/>
                <w:sz w:val="20"/>
              </w:rPr>
              <w:t>Clinical criteria:</w:t>
            </w:r>
          </w:p>
          <w:p w:rsidR="00E445EB" w:rsidRPr="00F875E6" w:rsidRDefault="00E445EB" w:rsidP="00E445EB">
            <w:pPr>
              <w:rPr>
                <w:rFonts w:ascii="Arial Narrow" w:hAnsi="Arial Narrow"/>
                <w:sz w:val="20"/>
              </w:rPr>
            </w:pPr>
          </w:p>
        </w:tc>
        <w:tc>
          <w:tcPr>
            <w:tcW w:w="5954"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sz w:val="20"/>
              </w:rPr>
            </w:pPr>
            <w:r w:rsidRPr="00F875E6">
              <w:rPr>
                <w:rFonts w:ascii="Arial Narrow" w:hAnsi="Arial Narrow"/>
                <w:sz w:val="20"/>
              </w:rPr>
              <w:t xml:space="preserve">The treatment must be the sole PBS-subsidised therapy for this condition </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r w:rsidRPr="00F875E6">
              <w:rPr>
                <w:rFonts w:ascii="Arial Narrow" w:hAnsi="Arial Narrow"/>
                <w:sz w:val="20"/>
              </w:rPr>
              <w:t>AND</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r w:rsidRPr="00F875E6">
              <w:rPr>
                <w:rFonts w:ascii="Arial Narrow" w:hAnsi="Arial Narrow"/>
                <w:sz w:val="20"/>
              </w:rPr>
              <w:t>Patient must be expressing the T315I mutation</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r w:rsidRPr="00F875E6">
              <w:rPr>
                <w:rFonts w:ascii="Arial Narrow" w:hAnsi="Arial Narrow"/>
                <w:sz w:val="20"/>
              </w:rPr>
              <w:t>AND</w:t>
            </w:r>
            <w:r w:rsidRPr="00F875E6">
              <w:rPr>
                <w:rFonts w:ascii="Arial Narrow" w:hAnsi="Arial Narrow"/>
                <w:sz w:val="20"/>
              </w:rPr>
              <w:br/>
            </w:r>
          </w:p>
          <w:p w:rsidR="00E445EB" w:rsidRPr="00F875E6" w:rsidRDefault="00E445EB" w:rsidP="00E445EB">
            <w:pPr>
              <w:rPr>
                <w:rFonts w:ascii="Arial Narrow" w:hAnsi="Arial Narrow"/>
                <w:sz w:val="20"/>
              </w:rPr>
            </w:pPr>
            <w:r w:rsidRPr="00F875E6">
              <w:rPr>
                <w:rFonts w:ascii="Arial Narrow" w:hAnsi="Arial Narrow"/>
                <w:sz w:val="20"/>
              </w:rPr>
              <w:t>Patient must have failed an adequate trial of imatinib; OR</w:t>
            </w:r>
          </w:p>
          <w:p w:rsidR="00E445EB" w:rsidRPr="00F875E6" w:rsidRDefault="00E445EB" w:rsidP="00E445EB">
            <w:pPr>
              <w:rPr>
                <w:rFonts w:ascii="Arial Narrow" w:hAnsi="Arial Narrow"/>
                <w:sz w:val="20"/>
              </w:rPr>
            </w:pPr>
            <w:r w:rsidRPr="00F875E6">
              <w:rPr>
                <w:rFonts w:ascii="Arial Narrow" w:hAnsi="Arial Narrow"/>
                <w:sz w:val="20"/>
              </w:rPr>
              <w:t>Patient must have failed an adequate trial of dasatinib; OR</w:t>
            </w:r>
          </w:p>
          <w:p w:rsidR="00E445EB" w:rsidRPr="00F875E6" w:rsidRDefault="00E445EB" w:rsidP="00E445EB">
            <w:pPr>
              <w:rPr>
                <w:rFonts w:ascii="Arial Narrow" w:hAnsi="Arial Narrow"/>
                <w:sz w:val="20"/>
              </w:rPr>
            </w:pPr>
            <w:r w:rsidRPr="00F875E6">
              <w:rPr>
                <w:rFonts w:ascii="Arial Narrow" w:hAnsi="Arial Narrow"/>
                <w:sz w:val="20"/>
              </w:rPr>
              <w:t>Patient must have failed an adequate trial of nilotinib.</w:t>
            </w:r>
          </w:p>
          <w:p w:rsidR="00E445EB" w:rsidRPr="00F875E6" w:rsidRDefault="00E445EB" w:rsidP="00E445EB">
            <w:pPr>
              <w:rPr>
                <w:rFonts w:ascii="Arial Narrow" w:hAnsi="Arial Narrow"/>
                <w:sz w:val="20"/>
              </w:rPr>
            </w:pPr>
          </w:p>
        </w:tc>
      </w:tr>
      <w:tr w:rsidR="00E445EB" w:rsidRPr="00F875E6" w:rsidTr="00E445EB">
        <w:trPr>
          <w:cantSplit/>
          <w:trHeight w:val="360"/>
        </w:trPr>
        <w:tc>
          <w:tcPr>
            <w:tcW w:w="2835"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b/>
                <w:sz w:val="20"/>
              </w:rPr>
            </w:pPr>
            <w:r w:rsidRPr="00F875E6">
              <w:rPr>
                <w:rFonts w:ascii="Arial Narrow" w:hAnsi="Arial Narrow"/>
                <w:b/>
                <w:sz w:val="20"/>
              </w:rPr>
              <w:t>Prescriber Instructions</w:t>
            </w:r>
          </w:p>
          <w:p w:rsidR="00E445EB" w:rsidRPr="00F875E6" w:rsidRDefault="00E445EB" w:rsidP="00E445EB">
            <w:pPr>
              <w:rPr>
                <w:rFonts w:ascii="Arial Narrow" w:hAnsi="Arial Narrow"/>
                <w:sz w:val="20"/>
              </w:rPr>
            </w:pPr>
          </w:p>
        </w:tc>
        <w:tc>
          <w:tcPr>
            <w:tcW w:w="5954"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sz w:val="20"/>
                <w:lang w:val="en-GB"/>
              </w:rPr>
            </w:pPr>
            <w:r w:rsidRPr="00F875E6">
              <w:rPr>
                <w:rFonts w:ascii="Arial Narrow" w:hAnsi="Arial Narrow"/>
                <w:sz w:val="20"/>
                <w:lang w:val="en-GB"/>
              </w:rPr>
              <w:t>Failure of an adequate trial of imatinib or dasatinib or nilotinib is defined as:</w:t>
            </w:r>
          </w:p>
          <w:p w:rsidR="00E445EB" w:rsidRPr="00F875E6" w:rsidRDefault="00E445EB" w:rsidP="00E445EB">
            <w:pPr>
              <w:rPr>
                <w:rFonts w:ascii="Arial Narrow" w:hAnsi="Arial Narrow"/>
                <w:sz w:val="20"/>
                <w:lang w:val="en-GB"/>
              </w:rPr>
            </w:pPr>
            <w:r w:rsidRPr="00F875E6">
              <w:rPr>
                <w:rFonts w:ascii="Arial Narrow" w:hAnsi="Arial Narrow"/>
                <w:sz w:val="20"/>
                <w:lang w:val="en-GB"/>
              </w:rPr>
              <w:t>1. Lack of response to imatinib or dasatinib or nilotinib therapy, defined as either:</w:t>
            </w:r>
          </w:p>
          <w:p w:rsidR="00E445EB" w:rsidRPr="00F875E6" w:rsidRDefault="00E445EB" w:rsidP="00E445EB">
            <w:pPr>
              <w:rPr>
                <w:rFonts w:ascii="Arial Narrow" w:hAnsi="Arial Narrow"/>
                <w:sz w:val="20"/>
                <w:lang w:val="en-GB"/>
              </w:rPr>
            </w:pPr>
            <w:r w:rsidRPr="00F875E6">
              <w:rPr>
                <w:rFonts w:ascii="Arial Narrow" w:hAnsi="Arial Narrow"/>
                <w:sz w:val="20"/>
                <w:lang w:val="en-GB"/>
              </w:rPr>
              <w:t>(i) failure to achieve a haematological response after a minimum of 3 months therapy with imatinib or dasatinib or nilotinib; or</w:t>
            </w:r>
          </w:p>
          <w:p w:rsidR="00E445EB" w:rsidRPr="00F875E6" w:rsidRDefault="00E445EB" w:rsidP="00E445EB">
            <w:pPr>
              <w:rPr>
                <w:rFonts w:ascii="Arial Narrow" w:hAnsi="Arial Narrow"/>
                <w:sz w:val="20"/>
                <w:lang w:val="en-GB"/>
              </w:rPr>
            </w:pPr>
            <w:r w:rsidRPr="00F875E6">
              <w:rPr>
                <w:rFonts w:ascii="Arial Narrow" w:hAnsi="Arial Narrow"/>
                <w:sz w:val="20"/>
                <w:lang w:val="en-GB"/>
              </w:rPr>
              <w:t xml:space="preserve">(ii) </w:t>
            </w:r>
            <w:r w:rsidRPr="00F875E6">
              <w:rPr>
                <w:rFonts w:ascii="Arial Narrow" w:hAnsi="Arial Narrow"/>
                <w:sz w:val="20"/>
              </w:rPr>
              <w:t>failure to achieve any cytogenetic response after a minimum of 6 months therapy with imatinib or dasatinib or nilotinib as demonstrated on bone marrow biopsy by presence of greater than 95% Philadelphia chromosome positive cells; or</w:t>
            </w:r>
          </w:p>
          <w:p w:rsidR="00E445EB" w:rsidRPr="00F875E6" w:rsidRDefault="00E445EB" w:rsidP="00E445EB">
            <w:pPr>
              <w:rPr>
                <w:rFonts w:ascii="Arial Narrow" w:hAnsi="Arial Narrow"/>
                <w:sz w:val="20"/>
                <w:lang w:val="en-GB"/>
              </w:rPr>
            </w:pPr>
            <w:r w:rsidRPr="00F875E6">
              <w:rPr>
                <w:rFonts w:ascii="Arial Narrow" w:hAnsi="Arial Narrow"/>
                <w:sz w:val="20"/>
                <w:lang w:val="en-GB"/>
              </w:rPr>
              <w:t>(iii) failure to achieve a major cytogenetic response or a peripheral blood BCR-ABL level of less than 1% after a minimum of 12 months therapy with imatinib or dasatinib or nilotinib; OR</w:t>
            </w:r>
          </w:p>
          <w:p w:rsidR="00E445EB" w:rsidRPr="00F875E6" w:rsidRDefault="00E445EB" w:rsidP="00E445EB">
            <w:pPr>
              <w:rPr>
                <w:rFonts w:ascii="Arial Narrow" w:hAnsi="Arial Narrow"/>
                <w:sz w:val="20"/>
                <w:lang w:val="en-GB"/>
              </w:rPr>
            </w:pPr>
            <w:r w:rsidRPr="00F875E6">
              <w:rPr>
                <w:rFonts w:ascii="Arial Narrow" w:hAnsi="Arial Narrow"/>
                <w:sz w:val="20"/>
                <w:lang w:val="en-GB"/>
              </w:rPr>
              <w:t>2. Loss of a previously documented major cytogenetic response (demonstrated by the presence of greater than 35% Ph positive cells on bone marrow biopsy), during ongoing imatinib or dasatinib or nilotinib therapy; OR</w:t>
            </w:r>
          </w:p>
          <w:p w:rsidR="00E445EB" w:rsidRPr="00F875E6" w:rsidRDefault="00E445EB" w:rsidP="00E445EB">
            <w:pPr>
              <w:rPr>
                <w:rFonts w:ascii="Arial Narrow" w:hAnsi="Arial Narrow"/>
                <w:sz w:val="20"/>
                <w:lang w:val="en-GB"/>
              </w:rPr>
            </w:pPr>
            <w:r w:rsidRPr="00F875E6">
              <w:rPr>
                <w:rFonts w:ascii="Arial Narrow" w:hAnsi="Arial Narrow"/>
                <w:sz w:val="20"/>
                <w:lang w:val="en-GB"/>
              </w:rPr>
              <w:t>3. Loss of a previously demonstrated molecular response (demonstrated by peripheral blood BCR-ABL levels increasing consecutively in value by at least 5 fold to a level of greater than 0.1% confirmed on a subsequent test), during ongoing imatinib or dasatinib or nilotinib therapy; OR</w:t>
            </w:r>
          </w:p>
          <w:p w:rsidR="00E445EB" w:rsidRPr="00F875E6" w:rsidRDefault="00E445EB" w:rsidP="00E445EB">
            <w:pPr>
              <w:rPr>
                <w:rFonts w:ascii="Arial Narrow" w:hAnsi="Arial Narrow"/>
                <w:sz w:val="20"/>
                <w:lang w:val="en-GB"/>
              </w:rPr>
            </w:pPr>
            <w:r w:rsidRPr="00F875E6">
              <w:rPr>
                <w:rFonts w:ascii="Arial Narrow" w:hAnsi="Arial Narrow"/>
                <w:sz w:val="20"/>
                <w:lang w:val="en-GB"/>
              </w:rPr>
              <w:t>4. Development of accelerated phase or blast crisis in a patient previously prescribed imatinib or dasatinib or nilotinib for any phase of chronic myeloid leukaemia; OR</w:t>
            </w:r>
          </w:p>
          <w:p w:rsidR="00E445EB" w:rsidRPr="00F875E6" w:rsidRDefault="00E445EB" w:rsidP="00E445EB">
            <w:pPr>
              <w:rPr>
                <w:rFonts w:ascii="Arial Narrow" w:hAnsi="Arial Narrow"/>
                <w:sz w:val="20"/>
                <w:lang w:val="en-GB"/>
              </w:rPr>
            </w:pPr>
            <w:r w:rsidRPr="00F875E6">
              <w:rPr>
                <w:rFonts w:ascii="Arial Narrow" w:hAnsi="Arial Narrow"/>
                <w:sz w:val="20"/>
                <w:lang w:val="en-GB"/>
              </w:rPr>
              <w:t>5. Disease progression (defined as a greater than or equal to 50% increase in peripheral white blood cell count, blast count, basophils or platelets) during imatinib or dasatinib or nilotinib therapy in patients with accelerated phase or blast crisis chronic myeloid leukaemia.</w:t>
            </w:r>
          </w:p>
          <w:p w:rsidR="00E445EB" w:rsidRPr="00F875E6" w:rsidRDefault="00E445EB" w:rsidP="00E445EB">
            <w:pPr>
              <w:rPr>
                <w:rFonts w:ascii="Arial Narrow" w:hAnsi="Arial Narrow"/>
                <w:sz w:val="20"/>
                <w:lang w:val="en-GB"/>
              </w:rPr>
            </w:pPr>
          </w:p>
          <w:p w:rsidR="00E445EB" w:rsidRPr="00F875E6" w:rsidRDefault="00E445EB" w:rsidP="00E445EB">
            <w:pPr>
              <w:rPr>
                <w:rFonts w:ascii="Arial Narrow" w:hAnsi="Arial Narrow"/>
                <w:sz w:val="20"/>
                <w:lang w:val="en-GB"/>
              </w:rPr>
            </w:pPr>
            <w:r w:rsidRPr="00F875E6">
              <w:rPr>
                <w:rFonts w:ascii="Arial Narrow" w:hAnsi="Arial Narrow"/>
                <w:sz w:val="20"/>
                <w:lang w:val="en-GB"/>
              </w:rPr>
              <w:t>Accelerated phase is defined by the presence of 1 or more of the following:</w:t>
            </w:r>
          </w:p>
          <w:p w:rsidR="00E445EB" w:rsidRPr="00F875E6" w:rsidRDefault="00E445EB" w:rsidP="00E445EB">
            <w:pPr>
              <w:rPr>
                <w:rFonts w:ascii="Arial Narrow" w:hAnsi="Arial Narrow"/>
                <w:sz w:val="20"/>
                <w:lang w:val="en-GB"/>
              </w:rPr>
            </w:pPr>
            <w:r w:rsidRPr="00F875E6">
              <w:rPr>
                <w:rFonts w:ascii="Arial Narrow" w:hAnsi="Arial Narrow"/>
                <w:sz w:val="20"/>
                <w:lang w:val="en-GB"/>
              </w:rPr>
              <w:t>1. Percentage of blasts in the peripheral blood or bone marrow greater than or equal to 15% but less than 30%; or</w:t>
            </w:r>
          </w:p>
          <w:p w:rsidR="00E445EB" w:rsidRPr="00F875E6" w:rsidRDefault="00E445EB" w:rsidP="00E445EB">
            <w:pPr>
              <w:rPr>
                <w:rFonts w:ascii="Arial Narrow" w:hAnsi="Arial Narrow"/>
                <w:sz w:val="20"/>
                <w:lang w:val="en-GB"/>
              </w:rPr>
            </w:pPr>
            <w:r w:rsidRPr="00F875E6">
              <w:rPr>
                <w:rFonts w:ascii="Arial Narrow" w:hAnsi="Arial Narrow"/>
                <w:sz w:val="20"/>
                <w:lang w:val="en-GB"/>
              </w:rPr>
              <w:t>2. Percentage of blasts plus promyelocytes in the peripheral blood or bone marrow greater than or equal to 30%, provided that blast count is less than 30%; or</w:t>
            </w:r>
          </w:p>
          <w:p w:rsidR="00E445EB" w:rsidRPr="00F875E6" w:rsidRDefault="00E445EB" w:rsidP="00E445EB">
            <w:pPr>
              <w:rPr>
                <w:rFonts w:ascii="Arial Narrow" w:hAnsi="Arial Narrow"/>
                <w:sz w:val="20"/>
                <w:lang w:val="en-GB"/>
              </w:rPr>
            </w:pPr>
            <w:r w:rsidRPr="00F875E6">
              <w:rPr>
                <w:rFonts w:ascii="Arial Narrow" w:hAnsi="Arial Narrow"/>
                <w:sz w:val="20"/>
                <w:lang w:val="en-GB"/>
              </w:rPr>
              <w:t>3. Peripheral basophils greater than or equal to 20%; or</w:t>
            </w:r>
          </w:p>
          <w:p w:rsidR="00E445EB" w:rsidRPr="00F875E6" w:rsidRDefault="00E445EB" w:rsidP="00E445EB">
            <w:pPr>
              <w:rPr>
                <w:rFonts w:ascii="Arial Narrow" w:hAnsi="Arial Narrow"/>
                <w:sz w:val="20"/>
                <w:lang w:val="en-GB"/>
              </w:rPr>
            </w:pPr>
            <w:r w:rsidRPr="00F875E6">
              <w:rPr>
                <w:rFonts w:ascii="Arial Narrow" w:hAnsi="Arial Narrow"/>
                <w:sz w:val="20"/>
                <w:lang w:val="en-GB"/>
              </w:rPr>
              <w:t>4. Progressive splenomegaly to a size greater than or equal to 10 cm below the left costal margin to be confirmed on 2 occasions at least 4 weeks apart, or a greater than or equal to 50% increase in size below the left costal margin over 4 weeks; or</w:t>
            </w:r>
          </w:p>
          <w:p w:rsidR="00E445EB" w:rsidRPr="00F875E6" w:rsidRDefault="00E445EB" w:rsidP="00E445EB">
            <w:pPr>
              <w:rPr>
                <w:rFonts w:ascii="Arial Narrow" w:hAnsi="Arial Narrow"/>
                <w:sz w:val="20"/>
              </w:rPr>
            </w:pPr>
            <w:r w:rsidRPr="00F875E6">
              <w:rPr>
                <w:rFonts w:ascii="Arial Narrow" w:hAnsi="Arial Narrow"/>
                <w:sz w:val="20"/>
              </w:rPr>
              <w:t>5. Karyotypic evolution (chromosomal abnormalities in addition to a single Philadelphia chromosome).</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lang w:val="en-GB"/>
              </w:rPr>
            </w:pPr>
            <w:r w:rsidRPr="00F875E6">
              <w:rPr>
                <w:rFonts w:ascii="Arial Narrow" w:hAnsi="Arial Narrow"/>
                <w:sz w:val="20"/>
                <w:lang w:val="en-GB"/>
              </w:rPr>
              <w:t>Blast crisis is defined as either:</w:t>
            </w:r>
          </w:p>
          <w:p w:rsidR="00E445EB" w:rsidRPr="00F875E6" w:rsidRDefault="00E445EB" w:rsidP="00E445EB">
            <w:pPr>
              <w:rPr>
                <w:rFonts w:ascii="Arial Narrow" w:hAnsi="Arial Narrow"/>
                <w:sz w:val="20"/>
                <w:lang w:val="en-GB"/>
              </w:rPr>
            </w:pPr>
            <w:r w:rsidRPr="00F875E6">
              <w:rPr>
                <w:rFonts w:ascii="Arial Narrow" w:hAnsi="Arial Narrow"/>
                <w:sz w:val="20"/>
                <w:lang w:val="en-GB"/>
              </w:rPr>
              <w:t>1. Percentage of blasts in the peripheral blood or bone marrow greater than or equal to 30%; or</w:t>
            </w:r>
          </w:p>
          <w:p w:rsidR="00E445EB" w:rsidRPr="00F875E6" w:rsidRDefault="00E445EB" w:rsidP="00E445EB">
            <w:pPr>
              <w:rPr>
                <w:rFonts w:ascii="Arial Narrow" w:hAnsi="Arial Narrow"/>
                <w:sz w:val="20"/>
                <w:lang w:val="en-GB"/>
              </w:rPr>
            </w:pPr>
            <w:r w:rsidRPr="00F875E6">
              <w:rPr>
                <w:rFonts w:ascii="Arial Narrow" w:hAnsi="Arial Narrow"/>
                <w:sz w:val="20"/>
                <w:lang w:val="en-GB"/>
              </w:rPr>
              <w:t>2. Extramedullary involvement other than spleen and liver.</w:t>
            </w:r>
          </w:p>
          <w:p w:rsidR="00E445EB" w:rsidRPr="00F875E6" w:rsidRDefault="00E445EB" w:rsidP="00E445EB">
            <w:pPr>
              <w:rPr>
                <w:rFonts w:ascii="Arial Narrow" w:hAnsi="Arial Narrow"/>
                <w:sz w:val="20"/>
              </w:rPr>
            </w:pPr>
          </w:p>
        </w:tc>
      </w:tr>
      <w:tr w:rsidR="00E445EB" w:rsidRPr="00F875E6" w:rsidTr="00E445EB">
        <w:trPr>
          <w:trHeight w:val="360"/>
        </w:trPr>
        <w:tc>
          <w:tcPr>
            <w:tcW w:w="2835"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b/>
                <w:sz w:val="20"/>
              </w:rPr>
            </w:pPr>
            <w:r w:rsidRPr="00F875E6">
              <w:rPr>
                <w:rFonts w:ascii="Arial Narrow" w:hAnsi="Arial Narrow"/>
                <w:b/>
                <w:sz w:val="20"/>
              </w:rPr>
              <w:t>Administrative Advice</w:t>
            </w:r>
          </w:p>
          <w:p w:rsidR="00E445EB" w:rsidRPr="00F875E6" w:rsidRDefault="00E445EB" w:rsidP="00E445EB">
            <w:pPr>
              <w:rPr>
                <w:rFonts w:ascii="Arial Narrow" w:hAnsi="Arial Narrow"/>
                <w:i/>
                <w:sz w:val="20"/>
              </w:rPr>
            </w:pPr>
          </w:p>
        </w:tc>
        <w:tc>
          <w:tcPr>
            <w:tcW w:w="5954"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sz w:val="20"/>
                <w:lang w:val="en-GB"/>
              </w:rPr>
            </w:pPr>
            <w:r w:rsidRPr="00F875E6">
              <w:rPr>
                <w:rFonts w:ascii="Arial Narrow" w:hAnsi="Arial Narrow"/>
                <w:sz w:val="20"/>
                <w:lang w:val="en-GB"/>
              </w:rPr>
              <w:t>The authority application must be made in writing and must include:</w:t>
            </w:r>
          </w:p>
          <w:p w:rsidR="00E445EB" w:rsidRPr="00F875E6" w:rsidRDefault="00E445EB" w:rsidP="00E445EB">
            <w:pPr>
              <w:rPr>
                <w:rFonts w:ascii="Arial Narrow" w:hAnsi="Arial Narrow"/>
                <w:sz w:val="20"/>
              </w:rPr>
            </w:pPr>
            <w:r w:rsidRPr="00F875E6">
              <w:rPr>
                <w:rFonts w:ascii="Arial Narrow" w:hAnsi="Arial Narrow"/>
                <w:sz w:val="20"/>
              </w:rPr>
              <w:t>1. a completed authority prescription form; and</w:t>
            </w:r>
          </w:p>
          <w:p w:rsidR="00E445EB" w:rsidRPr="00F875E6" w:rsidRDefault="00E445EB" w:rsidP="00E445EB">
            <w:pPr>
              <w:rPr>
                <w:rFonts w:ascii="Arial Narrow" w:hAnsi="Arial Narrow"/>
                <w:sz w:val="20"/>
              </w:rPr>
            </w:pPr>
            <w:r w:rsidRPr="00F875E6">
              <w:rPr>
                <w:rFonts w:ascii="Arial Narrow" w:hAnsi="Arial Narrow"/>
                <w:sz w:val="20"/>
              </w:rPr>
              <w:t xml:space="preserve">2. a completed </w:t>
            </w:r>
            <w:r w:rsidR="00097296" w:rsidRPr="00F875E6">
              <w:rPr>
                <w:rFonts w:ascii="Arial Narrow" w:hAnsi="Arial Narrow"/>
                <w:sz w:val="20"/>
                <w:lang w:val="en-GB"/>
              </w:rPr>
              <w:t xml:space="preserve">[To be confirmed] </w:t>
            </w:r>
            <w:r w:rsidRPr="00F875E6">
              <w:rPr>
                <w:rFonts w:ascii="Arial Narrow" w:hAnsi="Arial Narrow"/>
                <w:sz w:val="20"/>
              </w:rPr>
              <w:t>- Supporting Information Form; and</w:t>
            </w:r>
          </w:p>
          <w:p w:rsidR="00E445EB" w:rsidRPr="00F875E6" w:rsidRDefault="00E445EB" w:rsidP="00E445EB">
            <w:pPr>
              <w:rPr>
                <w:rFonts w:ascii="Arial Narrow" w:hAnsi="Arial Narrow"/>
                <w:sz w:val="20"/>
              </w:rPr>
            </w:pPr>
            <w:r w:rsidRPr="00F875E6">
              <w:rPr>
                <w:rFonts w:ascii="Arial Narrow" w:hAnsi="Arial Narrow"/>
                <w:sz w:val="20"/>
              </w:rPr>
              <w:t>3. a signed patient acknowledgement; and</w:t>
            </w:r>
          </w:p>
          <w:p w:rsidR="00E445EB" w:rsidRPr="00F875E6" w:rsidRDefault="00E445EB" w:rsidP="00E445EB">
            <w:pPr>
              <w:rPr>
                <w:rFonts w:ascii="Arial Narrow" w:hAnsi="Arial Narrow"/>
                <w:sz w:val="20"/>
              </w:rPr>
            </w:pPr>
            <w:r w:rsidRPr="00F875E6">
              <w:rPr>
                <w:rFonts w:ascii="Arial Narrow" w:hAnsi="Arial Narrow"/>
                <w:sz w:val="20"/>
              </w:rPr>
              <w:t>4. a bone marrow biopsy pathology report demonstrating the patient has active chronic myeloid leukaemia, either manifest as cytogenetic evidence of the Philadelphia chromosome, or RT-PCR level of BCR-ABL transcript greater than 0.1% on the international scale and evidence of the T315I mutation. (The date of the relevant pathology report needs to be provided); and</w:t>
            </w:r>
          </w:p>
          <w:p w:rsidR="00E445EB" w:rsidRPr="00F875E6" w:rsidRDefault="00E445EB" w:rsidP="00E445EB">
            <w:pPr>
              <w:rPr>
                <w:rFonts w:ascii="Arial Narrow" w:hAnsi="Arial Narrow"/>
                <w:sz w:val="20"/>
              </w:rPr>
            </w:pPr>
            <w:r w:rsidRPr="00F875E6">
              <w:rPr>
                <w:rFonts w:ascii="Arial Narrow" w:hAnsi="Arial Narrow"/>
                <w:sz w:val="20"/>
              </w:rPr>
              <w:t>5. where there has been a loss of response to imatinib or dasatinib or nilotinib, a copy of the current confirming pathology report(s) from an Approved Pathology Authority or details of the dates of assessment in the case of progressive splenomegaly or extramedullary involvement</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r w:rsidRPr="00F875E6">
              <w:rPr>
                <w:rFonts w:ascii="Arial Narrow" w:hAnsi="Arial Narrow"/>
                <w:sz w:val="20"/>
              </w:rPr>
              <w:t xml:space="preserve">Any queries concerning the arrangements to prescribe may be directed to the Department of Human Services on 1800 700 270 (hours of operation 8 a.m. to 5 p.m. EST Monday to Friday). </w:t>
            </w:r>
          </w:p>
          <w:p w:rsidR="00E445EB" w:rsidRPr="00F875E6" w:rsidRDefault="00E445EB" w:rsidP="00E445EB">
            <w:pPr>
              <w:rPr>
                <w:rFonts w:ascii="Arial Narrow" w:hAnsi="Arial Narrow"/>
                <w:sz w:val="20"/>
              </w:rPr>
            </w:pPr>
            <w:r w:rsidRPr="00F875E6">
              <w:rPr>
                <w:rFonts w:ascii="Arial Narrow" w:hAnsi="Arial Narrow"/>
                <w:sz w:val="20"/>
              </w:rPr>
              <w:t>Prescribing information (including Authority Application forms and other relevant documentation as applicable) is available on the Department of Human Services website at www.humanservices.gov.au</w:t>
            </w:r>
          </w:p>
          <w:p w:rsidR="00E445EB" w:rsidRPr="00F875E6" w:rsidRDefault="00E445EB" w:rsidP="00E445EB">
            <w:pPr>
              <w:rPr>
                <w:rFonts w:ascii="Arial Narrow" w:hAnsi="Arial Narrow"/>
                <w:sz w:val="20"/>
              </w:rPr>
            </w:pPr>
            <w:r w:rsidRPr="00F875E6">
              <w:rPr>
                <w:rFonts w:ascii="Arial Narrow" w:hAnsi="Arial Narrow"/>
                <w:sz w:val="20"/>
              </w:rPr>
              <w:t xml:space="preserve">Applications for authority to prescribe should be forwarded to: </w:t>
            </w:r>
          </w:p>
          <w:p w:rsidR="00E445EB" w:rsidRPr="00F875E6" w:rsidRDefault="00E445EB" w:rsidP="00E445EB">
            <w:pPr>
              <w:rPr>
                <w:rFonts w:ascii="Arial Narrow" w:hAnsi="Arial Narrow"/>
                <w:sz w:val="20"/>
              </w:rPr>
            </w:pPr>
            <w:r w:rsidRPr="00F875E6">
              <w:rPr>
                <w:rFonts w:ascii="Arial Narrow" w:hAnsi="Arial Narrow"/>
                <w:sz w:val="20"/>
              </w:rPr>
              <w:t>Department of Human Services</w:t>
            </w:r>
          </w:p>
          <w:p w:rsidR="00E445EB" w:rsidRPr="00F875E6" w:rsidRDefault="00E445EB" w:rsidP="00E445EB">
            <w:pPr>
              <w:rPr>
                <w:rFonts w:ascii="Arial Narrow" w:hAnsi="Arial Narrow"/>
                <w:sz w:val="20"/>
              </w:rPr>
            </w:pPr>
            <w:r w:rsidRPr="00F875E6">
              <w:rPr>
                <w:rFonts w:ascii="Arial Narrow" w:hAnsi="Arial Narrow"/>
                <w:sz w:val="20"/>
              </w:rPr>
              <w:t xml:space="preserve">Prior Written Approval of Complex Drugs </w:t>
            </w:r>
          </w:p>
          <w:p w:rsidR="00E445EB" w:rsidRPr="00F875E6" w:rsidRDefault="00E445EB" w:rsidP="00E445EB">
            <w:pPr>
              <w:rPr>
                <w:rFonts w:ascii="Arial Narrow" w:hAnsi="Arial Narrow"/>
                <w:sz w:val="20"/>
              </w:rPr>
            </w:pPr>
            <w:r w:rsidRPr="00F875E6">
              <w:rPr>
                <w:rFonts w:ascii="Arial Narrow" w:hAnsi="Arial Narrow"/>
                <w:sz w:val="20"/>
              </w:rPr>
              <w:t xml:space="preserve">Reply Paid 9826 </w:t>
            </w:r>
          </w:p>
          <w:p w:rsidR="00E445EB" w:rsidRPr="00F875E6" w:rsidRDefault="00E445EB" w:rsidP="00E445EB">
            <w:pPr>
              <w:rPr>
                <w:rFonts w:ascii="Arial Narrow" w:hAnsi="Arial Narrow"/>
                <w:sz w:val="20"/>
              </w:rPr>
            </w:pPr>
            <w:r w:rsidRPr="00F875E6">
              <w:rPr>
                <w:rFonts w:ascii="Arial Narrow" w:hAnsi="Arial Narrow"/>
                <w:sz w:val="20"/>
              </w:rPr>
              <w:t xml:space="preserve">GPO Box 9826 </w:t>
            </w:r>
          </w:p>
          <w:p w:rsidR="00E445EB" w:rsidRPr="00F875E6" w:rsidRDefault="00E445EB" w:rsidP="00E445EB">
            <w:pPr>
              <w:rPr>
                <w:rFonts w:ascii="Arial Narrow" w:hAnsi="Arial Narrow"/>
                <w:sz w:val="20"/>
              </w:rPr>
            </w:pPr>
            <w:r w:rsidRPr="00F875E6">
              <w:rPr>
                <w:rFonts w:ascii="Arial Narrow" w:hAnsi="Arial Narrow"/>
                <w:sz w:val="20"/>
              </w:rPr>
              <w:t>HOBART TAS 7001</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r w:rsidRPr="00F875E6">
              <w:rPr>
                <w:rFonts w:ascii="Arial Narrow" w:hAnsi="Arial Narrow"/>
                <w:sz w:val="20"/>
              </w:rPr>
              <w:t xml:space="preserve">Patients are eligible for PBS-subsidised treatment with only one of dasatinib, nilotinib or ponatinib at any one time and must not be receiving concomitant interferon alfa therapy. </w:t>
            </w:r>
          </w:p>
          <w:p w:rsidR="00E445EB" w:rsidRPr="00F875E6" w:rsidRDefault="00E445EB" w:rsidP="00E445EB">
            <w:pPr>
              <w:rPr>
                <w:rFonts w:ascii="Arial Narrow" w:hAnsi="Arial Narrow"/>
                <w:sz w:val="20"/>
              </w:rPr>
            </w:pPr>
          </w:p>
          <w:p w:rsidR="00E445EB" w:rsidRPr="00F875E6" w:rsidRDefault="00940A0F" w:rsidP="00E445EB">
            <w:pPr>
              <w:rPr>
                <w:rFonts w:ascii="Arial Narrow" w:hAnsi="Arial Narrow"/>
                <w:sz w:val="20"/>
              </w:rPr>
            </w:pPr>
            <w:r w:rsidRPr="00F875E6">
              <w:rPr>
                <w:rFonts w:ascii="Arial Narrow" w:hAnsi="Arial Narrow"/>
                <w:sz w:val="20"/>
              </w:rPr>
              <w:t>1</w:t>
            </w:r>
            <w:r w:rsidR="00E445EB" w:rsidRPr="00F875E6">
              <w:rPr>
                <w:rFonts w:ascii="Arial Narrow" w:hAnsi="Arial Narrow"/>
                <w:sz w:val="20"/>
              </w:rPr>
              <w:t xml:space="preserve">. Continuing treatment </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r w:rsidRPr="00F875E6">
              <w:rPr>
                <w:rFonts w:ascii="Arial Narrow" w:hAnsi="Arial Narrow"/>
                <w:sz w:val="20"/>
              </w:rPr>
              <w:t xml:space="preserve">All continuing applications are to be written and must include a pathology report demonstrating the patient has responded to PBS-subsidised treatment as follows: </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r w:rsidRPr="00F875E6">
              <w:rPr>
                <w:rFonts w:ascii="Arial Narrow" w:hAnsi="Arial Narrow"/>
                <w:sz w:val="20"/>
              </w:rPr>
              <w:t xml:space="preserve">(i) within 18 months of the commencement of treatment, at which time patients in whom a major cytogenetic response or peripheral blood BCR-ABL level of less than 1% has been demonstrated may receive authorisation for a further 12 months of treatment; and </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r w:rsidRPr="00F875E6">
              <w:rPr>
                <w:rFonts w:ascii="Arial Narrow" w:hAnsi="Arial Narrow"/>
                <w:sz w:val="20"/>
              </w:rPr>
              <w:t xml:space="preserve">(ii) at no greater than 12 month intervals thereafter, to demonstrate that the major cytogenetic response or peripheral blood BCR-ABL level of less than 1% has been sustained. </w:t>
            </w:r>
          </w:p>
          <w:p w:rsidR="00E445EB" w:rsidRPr="00F875E6" w:rsidRDefault="00E445EB" w:rsidP="00E445EB">
            <w:pPr>
              <w:rPr>
                <w:rFonts w:ascii="Arial Narrow" w:hAnsi="Arial Narrow"/>
                <w:sz w:val="20"/>
              </w:rPr>
            </w:pPr>
          </w:p>
          <w:p w:rsidR="00E445EB" w:rsidRPr="00F875E6" w:rsidRDefault="00940A0F" w:rsidP="00E445EB">
            <w:pPr>
              <w:rPr>
                <w:rFonts w:ascii="Arial Narrow" w:hAnsi="Arial Narrow"/>
                <w:sz w:val="20"/>
              </w:rPr>
            </w:pPr>
            <w:r w:rsidRPr="00F875E6">
              <w:rPr>
                <w:rFonts w:ascii="Arial Narrow" w:hAnsi="Arial Narrow"/>
                <w:sz w:val="20"/>
              </w:rPr>
              <w:t>2</w:t>
            </w:r>
            <w:r w:rsidR="00E445EB" w:rsidRPr="00F875E6">
              <w:rPr>
                <w:rFonts w:ascii="Arial Narrow" w:hAnsi="Arial Narrow"/>
                <w:sz w:val="20"/>
              </w:rPr>
              <w:t>. Authority approval requirements.</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r w:rsidRPr="00F875E6">
              <w:rPr>
                <w:rFonts w:ascii="Arial Narrow" w:hAnsi="Arial Narrow"/>
                <w:sz w:val="20"/>
              </w:rPr>
              <w:t xml:space="preserve">Response criteria to initial treatment with </w:t>
            </w:r>
            <w:r w:rsidR="00575120" w:rsidRPr="00F875E6">
              <w:rPr>
                <w:rFonts w:ascii="Arial Narrow" w:hAnsi="Arial Narrow"/>
                <w:sz w:val="20"/>
              </w:rPr>
              <w:t>ponatinib</w:t>
            </w:r>
            <w:r w:rsidRPr="00F875E6">
              <w:rPr>
                <w:rFonts w:ascii="Arial Narrow" w:hAnsi="Arial Narrow"/>
                <w:sz w:val="20"/>
              </w:rPr>
              <w:t>:</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r w:rsidRPr="00F875E6">
              <w:rPr>
                <w:rFonts w:ascii="Arial Narrow" w:hAnsi="Arial Narrow"/>
                <w:sz w:val="20"/>
              </w:rPr>
              <w:t xml:space="preserve">For the purposes of assessing response to PBS-subsidised treatment with ponatinib, either cytogenetic analysis indicating the number of Philadelphia positive [t (9;22)] cells in the bone marrow measured by standard karyotyping, or quantitative PCR indicating the relative level of BCR-ABL transcript in the peripheral blood using the international scale, must be submitted. For bone marrow analyses, where the standard karyotyping is not informative for technical reasons, a cytogenetic analysis performed on the bone marrow by the use of fluorescence in situ hybridisation (FISH) with BCR-ABL specific probe must be submitted. The cytogenetic or peripheral blood quantitative PCR analyses must be submitted within 18 months of the commencement of treatment with dasatinib, nilotinib or ponatinib (patients in whom a major cytogenetic response or peripheral blood BCR-ABL level of less than 1% is demonstrable by 18 months are eligible to receive continuing treatment with that agent). </w:t>
            </w:r>
          </w:p>
          <w:p w:rsidR="00E445EB" w:rsidRPr="00F875E6" w:rsidRDefault="00E445EB" w:rsidP="00E445EB">
            <w:pPr>
              <w:rPr>
                <w:rFonts w:ascii="Arial Narrow" w:hAnsi="Arial Narrow"/>
                <w:sz w:val="20"/>
              </w:rPr>
            </w:pPr>
          </w:p>
          <w:p w:rsidR="00E445EB" w:rsidRPr="00F875E6" w:rsidRDefault="00940A0F" w:rsidP="00E445EB">
            <w:pPr>
              <w:rPr>
                <w:rFonts w:ascii="Arial Narrow" w:hAnsi="Arial Narrow"/>
                <w:sz w:val="20"/>
              </w:rPr>
            </w:pPr>
            <w:r w:rsidRPr="00F875E6">
              <w:rPr>
                <w:rFonts w:ascii="Arial Narrow" w:hAnsi="Arial Narrow"/>
                <w:sz w:val="20"/>
              </w:rPr>
              <w:t>3</w:t>
            </w:r>
            <w:r w:rsidR="00E445EB" w:rsidRPr="00F875E6">
              <w:rPr>
                <w:rFonts w:ascii="Arial Narrow" w:hAnsi="Arial Narrow"/>
                <w:sz w:val="20"/>
              </w:rPr>
              <w:t>. Definitions of response.</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r w:rsidRPr="00F875E6">
              <w:rPr>
                <w:rFonts w:ascii="Arial Narrow" w:hAnsi="Arial Narrow"/>
                <w:sz w:val="20"/>
              </w:rPr>
              <w:t>A major cytogenetic response is defined as less than 35% Philadelphia positive bone marrow cells.</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r w:rsidRPr="00F875E6">
              <w:rPr>
                <w:rFonts w:ascii="Arial Narrow" w:hAnsi="Arial Narrow"/>
                <w:sz w:val="20"/>
              </w:rPr>
              <w:t xml:space="preserve">A peripheral blood BCR-ABL level of less than 1% on the international scale (Blood 108: 28-37, 2006) also indicates a response, at least the biological equivalent of a major cytogenetic response. </w:t>
            </w:r>
          </w:p>
          <w:p w:rsidR="00E445EB" w:rsidRPr="00F875E6" w:rsidRDefault="00E445EB" w:rsidP="00E445EB">
            <w:pPr>
              <w:rPr>
                <w:rFonts w:ascii="Arial Narrow" w:hAnsi="Arial Narrow"/>
                <w:sz w:val="20"/>
              </w:rPr>
            </w:pPr>
          </w:p>
          <w:p w:rsidR="00E445EB" w:rsidRPr="00F875E6" w:rsidRDefault="00940A0F" w:rsidP="00E445EB">
            <w:pPr>
              <w:rPr>
                <w:rFonts w:ascii="Arial Narrow" w:hAnsi="Arial Narrow"/>
                <w:sz w:val="20"/>
              </w:rPr>
            </w:pPr>
            <w:r w:rsidRPr="00F875E6">
              <w:rPr>
                <w:rFonts w:ascii="Arial Narrow" w:hAnsi="Arial Narrow"/>
                <w:sz w:val="20"/>
              </w:rPr>
              <w:t>4</w:t>
            </w:r>
            <w:r w:rsidR="00E445EB" w:rsidRPr="00F875E6">
              <w:rPr>
                <w:rFonts w:ascii="Arial Narrow" w:hAnsi="Arial Narrow"/>
                <w:sz w:val="20"/>
              </w:rPr>
              <w:t>. Definitions of loss of response.</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r w:rsidRPr="00F875E6">
              <w:rPr>
                <w:rFonts w:ascii="Arial Narrow" w:hAnsi="Arial Narrow"/>
                <w:sz w:val="20"/>
              </w:rPr>
              <w:t xml:space="preserve">Loss of a previously documented major cytogenetic response (demonstrated by the presence of greater than 35% Ph positive cells on bone marrow biopsy), during ongoing tyrosine kinase inhibitor (TKI) therapy. </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r w:rsidRPr="00F875E6">
              <w:rPr>
                <w:rFonts w:ascii="Arial Narrow" w:hAnsi="Arial Narrow"/>
                <w:sz w:val="20"/>
              </w:rPr>
              <w:t xml:space="preserve">Loss of a previously demonstrated molecular response (demonstrated by peripheral blood BCR-ABL levels increasing consecutively in value by at least 5 fold to a level of greater than 0.1% confirmed on a subsequent test), during ongoing tyrosine kinase inhibitor therapy. </w:t>
            </w:r>
          </w:p>
        </w:tc>
      </w:tr>
    </w:tbl>
    <w:p w:rsidR="00E445EB" w:rsidRPr="00F875E6" w:rsidRDefault="00E445EB" w:rsidP="00E445EB">
      <w:pPr>
        <w:rPr>
          <w:szCs w:val="22"/>
        </w:rPr>
      </w:pPr>
    </w:p>
    <w:p w:rsidR="00E445EB" w:rsidRPr="00F875E6" w:rsidRDefault="00E445EB" w:rsidP="00E445EB">
      <w:pPr>
        <w:rPr>
          <w:szCs w:val="22"/>
        </w:rPr>
      </w:pPr>
      <w:r w:rsidRPr="00F875E6">
        <w:rPr>
          <w:rFonts w:ascii="Arial Narrow" w:hAnsi="Arial Narrow"/>
          <w:b/>
          <w:i/>
          <w:szCs w:val="22"/>
          <w:u w:val="single"/>
        </w:rPr>
        <w:t>CML (continuing restriction)</w:t>
      </w:r>
    </w:p>
    <w:tbl>
      <w:tblPr>
        <w:tblW w:w="8789" w:type="dxa"/>
        <w:tblInd w:w="108" w:type="dxa"/>
        <w:tblLayout w:type="fixed"/>
        <w:tblLook w:val="0000" w:firstRow="0" w:lastRow="0" w:firstColumn="0" w:lastColumn="0" w:noHBand="0" w:noVBand="0"/>
      </w:tblPr>
      <w:tblGrid>
        <w:gridCol w:w="2835"/>
        <w:gridCol w:w="5954"/>
      </w:tblGrid>
      <w:tr w:rsidR="00E445EB" w:rsidRPr="00F875E6" w:rsidTr="00E445EB">
        <w:trPr>
          <w:cantSplit/>
          <w:trHeight w:val="360"/>
        </w:trPr>
        <w:tc>
          <w:tcPr>
            <w:tcW w:w="2835"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b/>
                <w:sz w:val="20"/>
              </w:rPr>
            </w:pPr>
            <w:r w:rsidRPr="00F875E6">
              <w:rPr>
                <w:rFonts w:ascii="Arial Narrow" w:hAnsi="Arial Narrow"/>
                <w:b/>
                <w:sz w:val="20"/>
              </w:rPr>
              <w:t xml:space="preserve">Category / </w:t>
            </w:r>
          </w:p>
          <w:p w:rsidR="00E445EB" w:rsidRPr="00F875E6" w:rsidRDefault="00E445EB" w:rsidP="00E445EB">
            <w:pPr>
              <w:rPr>
                <w:rFonts w:ascii="Arial Narrow" w:hAnsi="Arial Narrow"/>
                <w:b/>
                <w:sz w:val="20"/>
              </w:rPr>
            </w:pPr>
            <w:r w:rsidRPr="00F875E6">
              <w:rPr>
                <w:rFonts w:ascii="Arial Narrow" w:hAnsi="Arial Narrow"/>
                <w:b/>
                <w:sz w:val="20"/>
              </w:rPr>
              <w:t>Program</w:t>
            </w:r>
          </w:p>
        </w:tc>
        <w:tc>
          <w:tcPr>
            <w:tcW w:w="5954"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sz w:val="20"/>
              </w:rPr>
            </w:pPr>
            <w:r w:rsidRPr="00F875E6">
              <w:rPr>
                <w:rFonts w:ascii="Arial Narrow" w:hAnsi="Arial Narrow"/>
                <w:sz w:val="20"/>
              </w:rPr>
              <w:t>GENERAL – General Schedule (Code GE)</w:t>
            </w:r>
          </w:p>
          <w:p w:rsidR="00E445EB" w:rsidRPr="00F875E6" w:rsidRDefault="00E445EB" w:rsidP="00E445EB">
            <w:pPr>
              <w:rPr>
                <w:rFonts w:ascii="Arial Narrow" w:hAnsi="Arial Narrow"/>
                <w:sz w:val="20"/>
              </w:rPr>
            </w:pPr>
          </w:p>
        </w:tc>
      </w:tr>
      <w:tr w:rsidR="00E445EB" w:rsidRPr="00F875E6" w:rsidTr="00E445EB">
        <w:trPr>
          <w:cantSplit/>
          <w:trHeight w:val="360"/>
        </w:trPr>
        <w:tc>
          <w:tcPr>
            <w:tcW w:w="2835"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b/>
                <w:sz w:val="20"/>
              </w:rPr>
            </w:pPr>
            <w:r w:rsidRPr="00F875E6">
              <w:rPr>
                <w:rFonts w:ascii="Arial Narrow" w:hAnsi="Arial Narrow"/>
                <w:b/>
                <w:sz w:val="20"/>
              </w:rPr>
              <w:t>Prescriber type:</w:t>
            </w:r>
          </w:p>
          <w:p w:rsidR="00E445EB" w:rsidRPr="00F875E6" w:rsidRDefault="00E445EB" w:rsidP="00E445EB">
            <w:pPr>
              <w:rPr>
                <w:rFonts w:ascii="Arial Narrow" w:hAnsi="Arial Narrow"/>
                <w:b/>
                <w:sz w:val="20"/>
              </w:rPr>
            </w:pPr>
          </w:p>
        </w:tc>
        <w:tc>
          <w:tcPr>
            <w:tcW w:w="5954"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sz w:val="20"/>
              </w:rPr>
            </w:pPr>
            <w:r w:rsidRPr="00F875E6">
              <w:rPr>
                <w:rFonts w:ascii="Arial Narrow" w:hAnsi="Arial Narrow"/>
                <w:sz w:val="20"/>
              </w:rPr>
              <w:fldChar w:fldCharType="begin">
                <w:ffData>
                  <w:name w:val="Check1"/>
                  <w:enabled/>
                  <w:calcOnExit w:val="0"/>
                  <w:checkBox>
                    <w:sizeAuto/>
                    <w:default w:val="0"/>
                  </w:checkBox>
                </w:ffData>
              </w:fldChar>
            </w:r>
            <w:r w:rsidRPr="00F875E6">
              <w:rPr>
                <w:rFonts w:ascii="Arial Narrow" w:hAnsi="Arial Narrow"/>
                <w:sz w:val="20"/>
              </w:rPr>
              <w:instrText xml:space="preserve"> FORMCHECKBOX </w:instrText>
            </w:r>
            <w:r w:rsidR="00DC6394">
              <w:rPr>
                <w:rFonts w:ascii="Arial Narrow" w:hAnsi="Arial Narrow"/>
                <w:sz w:val="20"/>
              </w:rPr>
            </w:r>
            <w:r w:rsidR="00DC6394">
              <w:rPr>
                <w:rFonts w:ascii="Arial Narrow" w:hAnsi="Arial Narrow"/>
                <w:sz w:val="20"/>
              </w:rPr>
              <w:fldChar w:fldCharType="separate"/>
            </w:r>
            <w:r w:rsidRPr="00F875E6">
              <w:rPr>
                <w:rFonts w:ascii="Arial Narrow" w:hAnsi="Arial Narrow"/>
                <w:sz w:val="20"/>
              </w:rPr>
              <w:fldChar w:fldCharType="end"/>
            </w:r>
            <w:r w:rsidRPr="00F875E6">
              <w:rPr>
                <w:rFonts w:ascii="Arial Narrow" w:hAnsi="Arial Narrow"/>
                <w:sz w:val="20"/>
              </w:rPr>
              <w:t xml:space="preserve">Dental  </w:t>
            </w:r>
            <w:r w:rsidRPr="00F875E6">
              <w:rPr>
                <w:rFonts w:ascii="Arial Narrow" w:hAnsi="Arial Narrow"/>
                <w:sz w:val="20"/>
              </w:rPr>
              <w:fldChar w:fldCharType="begin">
                <w:ffData>
                  <w:name w:val=""/>
                  <w:enabled/>
                  <w:calcOnExit w:val="0"/>
                  <w:checkBox>
                    <w:sizeAuto/>
                    <w:default w:val="1"/>
                  </w:checkBox>
                </w:ffData>
              </w:fldChar>
            </w:r>
            <w:r w:rsidRPr="00F875E6">
              <w:rPr>
                <w:rFonts w:ascii="Arial Narrow" w:hAnsi="Arial Narrow"/>
                <w:sz w:val="20"/>
              </w:rPr>
              <w:instrText xml:space="preserve"> FORMCHECKBOX </w:instrText>
            </w:r>
            <w:r w:rsidR="00DC6394">
              <w:rPr>
                <w:rFonts w:ascii="Arial Narrow" w:hAnsi="Arial Narrow"/>
                <w:sz w:val="20"/>
              </w:rPr>
            </w:r>
            <w:r w:rsidR="00DC6394">
              <w:rPr>
                <w:rFonts w:ascii="Arial Narrow" w:hAnsi="Arial Narrow"/>
                <w:sz w:val="20"/>
              </w:rPr>
              <w:fldChar w:fldCharType="separate"/>
            </w:r>
            <w:r w:rsidRPr="00F875E6">
              <w:rPr>
                <w:rFonts w:ascii="Arial Narrow" w:hAnsi="Arial Narrow"/>
                <w:sz w:val="20"/>
              </w:rPr>
              <w:fldChar w:fldCharType="end"/>
            </w:r>
            <w:r w:rsidRPr="00F875E6">
              <w:rPr>
                <w:rFonts w:ascii="Arial Narrow" w:hAnsi="Arial Narrow"/>
                <w:sz w:val="20"/>
              </w:rPr>
              <w:t xml:space="preserve">Medical Practitioners  </w:t>
            </w:r>
            <w:r w:rsidRPr="00F875E6">
              <w:rPr>
                <w:rFonts w:ascii="Arial Narrow" w:hAnsi="Arial Narrow"/>
                <w:sz w:val="20"/>
              </w:rPr>
              <w:fldChar w:fldCharType="begin">
                <w:ffData>
                  <w:name w:val="Check3"/>
                  <w:enabled/>
                  <w:calcOnExit w:val="0"/>
                  <w:checkBox>
                    <w:sizeAuto/>
                    <w:default w:val="0"/>
                  </w:checkBox>
                </w:ffData>
              </w:fldChar>
            </w:r>
            <w:r w:rsidRPr="00F875E6">
              <w:rPr>
                <w:rFonts w:ascii="Arial Narrow" w:hAnsi="Arial Narrow"/>
                <w:sz w:val="20"/>
              </w:rPr>
              <w:instrText xml:space="preserve"> FORMCHECKBOX </w:instrText>
            </w:r>
            <w:r w:rsidR="00DC6394">
              <w:rPr>
                <w:rFonts w:ascii="Arial Narrow" w:hAnsi="Arial Narrow"/>
                <w:sz w:val="20"/>
              </w:rPr>
            </w:r>
            <w:r w:rsidR="00DC6394">
              <w:rPr>
                <w:rFonts w:ascii="Arial Narrow" w:hAnsi="Arial Narrow"/>
                <w:sz w:val="20"/>
              </w:rPr>
              <w:fldChar w:fldCharType="separate"/>
            </w:r>
            <w:r w:rsidRPr="00F875E6">
              <w:rPr>
                <w:rFonts w:ascii="Arial Narrow" w:hAnsi="Arial Narrow"/>
                <w:sz w:val="20"/>
              </w:rPr>
              <w:fldChar w:fldCharType="end"/>
            </w:r>
            <w:r w:rsidRPr="00F875E6">
              <w:rPr>
                <w:rFonts w:ascii="Arial Narrow" w:hAnsi="Arial Narrow"/>
                <w:sz w:val="20"/>
              </w:rPr>
              <w:t xml:space="preserve">Nurse practitioners  </w:t>
            </w:r>
            <w:r w:rsidRPr="00F875E6">
              <w:rPr>
                <w:rFonts w:ascii="Arial Narrow" w:hAnsi="Arial Narrow"/>
                <w:sz w:val="20"/>
              </w:rPr>
              <w:fldChar w:fldCharType="begin">
                <w:ffData>
                  <w:name w:val=""/>
                  <w:enabled/>
                  <w:calcOnExit w:val="0"/>
                  <w:checkBox>
                    <w:sizeAuto/>
                    <w:default w:val="0"/>
                  </w:checkBox>
                </w:ffData>
              </w:fldChar>
            </w:r>
            <w:r w:rsidRPr="00F875E6">
              <w:rPr>
                <w:rFonts w:ascii="Arial Narrow" w:hAnsi="Arial Narrow"/>
                <w:sz w:val="20"/>
              </w:rPr>
              <w:instrText xml:space="preserve"> FORMCHECKBOX </w:instrText>
            </w:r>
            <w:r w:rsidR="00DC6394">
              <w:rPr>
                <w:rFonts w:ascii="Arial Narrow" w:hAnsi="Arial Narrow"/>
                <w:sz w:val="20"/>
              </w:rPr>
            </w:r>
            <w:r w:rsidR="00DC6394">
              <w:rPr>
                <w:rFonts w:ascii="Arial Narrow" w:hAnsi="Arial Narrow"/>
                <w:sz w:val="20"/>
              </w:rPr>
              <w:fldChar w:fldCharType="separate"/>
            </w:r>
            <w:r w:rsidRPr="00F875E6">
              <w:rPr>
                <w:rFonts w:ascii="Arial Narrow" w:hAnsi="Arial Narrow"/>
                <w:sz w:val="20"/>
              </w:rPr>
              <w:fldChar w:fldCharType="end"/>
            </w:r>
            <w:r w:rsidRPr="00F875E6">
              <w:rPr>
                <w:rFonts w:ascii="Arial Narrow" w:hAnsi="Arial Narrow"/>
                <w:sz w:val="20"/>
              </w:rPr>
              <w:t>Optometrists</w:t>
            </w:r>
          </w:p>
          <w:p w:rsidR="00E445EB" w:rsidRPr="00F875E6" w:rsidRDefault="00E445EB" w:rsidP="00E445EB">
            <w:pPr>
              <w:rPr>
                <w:rFonts w:ascii="Arial Narrow" w:hAnsi="Arial Narrow"/>
                <w:sz w:val="20"/>
              </w:rPr>
            </w:pPr>
            <w:r w:rsidRPr="00F875E6">
              <w:rPr>
                <w:rFonts w:ascii="Arial Narrow" w:hAnsi="Arial Narrow"/>
                <w:sz w:val="20"/>
              </w:rPr>
              <w:fldChar w:fldCharType="begin">
                <w:ffData>
                  <w:name w:val="Check5"/>
                  <w:enabled/>
                  <w:calcOnExit w:val="0"/>
                  <w:checkBox>
                    <w:sizeAuto/>
                    <w:default w:val="0"/>
                  </w:checkBox>
                </w:ffData>
              </w:fldChar>
            </w:r>
            <w:r w:rsidRPr="00F875E6">
              <w:rPr>
                <w:rFonts w:ascii="Arial Narrow" w:hAnsi="Arial Narrow"/>
                <w:sz w:val="20"/>
              </w:rPr>
              <w:instrText xml:space="preserve"> FORMCHECKBOX </w:instrText>
            </w:r>
            <w:r w:rsidR="00DC6394">
              <w:rPr>
                <w:rFonts w:ascii="Arial Narrow" w:hAnsi="Arial Narrow"/>
                <w:sz w:val="20"/>
              </w:rPr>
            </w:r>
            <w:r w:rsidR="00DC6394">
              <w:rPr>
                <w:rFonts w:ascii="Arial Narrow" w:hAnsi="Arial Narrow"/>
                <w:sz w:val="20"/>
              </w:rPr>
              <w:fldChar w:fldCharType="separate"/>
            </w:r>
            <w:r w:rsidRPr="00F875E6">
              <w:rPr>
                <w:rFonts w:ascii="Arial Narrow" w:hAnsi="Arial Narrow"/>
                <w:sz w:val="20"/>
              </w:rPr>
              <w:fldChar w:fldCharType="end"/>
            </w:r>
            <w:r w:rsidRPr="00F875E6">
              <w:rPr>
                <w:rFonts w:ascii="Arial Narrow" w:hAnsi="Arial Narrow"/>
                <w:sz w:val="20"/>
              </w:rPr>
              <w:t>Midwives</w:t>
            </w:r>
          </w:p>
        </w:tc>
      </w:tr>
      <w:tr w:rsidR="00E445EB" w:rsidRPr="00F875E6" w:rsidTr="00E445EB">
        <w:trPr>
          <w:cantSplit/>
          <w:trHeight w:val="360"/>
        </w:trPr>
        <w:tc>
          <w:tcPr>
            <w:tcW w:w="2835"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b/>
                <w:sz w:val="20"/>
              </w:rPr>
            </w:pPr>
            <w:r w:rsidRPr="00F875E6">
              <w:rPr>
                <w:rFonts w:ascii="Arial Narrow" w:hAnsi="Arial Narrow"/>
                <w:b/>
                <w:sz w:val="20"/>
              </w:rPr>
              <w:t>Episodicity:</w:t>
            </w:r>
          </w:p>
        </w:tc>
        <w:tc>
          <w:tcPr>
            <w:tcW w:w="5954"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sz w:val="20"/>
              </w:rPr>
            </w:pPr>
            <w:r w:rsidRPr="00F875E6">
              <w:rPr>
                <w:rFonts w:ascii="Arial Narrow" w:hAnsi="Arial Narrow"/>
                <w:sz w:val="20"/>
              </w:rPr>
              <w:t>Chronic</w:t>
            </w:r>
          </w:p>
        </w:tc>
      </w:tr>
      <w:tr w:rsidR="00E445EB" w:rsidRPr="00F875E6" w:rsidTr="00E445EB">
        <w:trPr>
          <w:cantSplit/>
          <w:trHeight w:val="360"/>
        </w:trPr>
        <w:tc>
          <w:tcPr>
            <w:tcW w:w="2835"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b/>
                <w:sz w:val="20"/>
              </w:rPr>
            </w:pPr>
            <w:r w:rsidRPr="00F875E6">
              <w:rPr>
                <w:rFonts w:ascii="Arial Narrow" w:hAnsi="Arial Narrow"/>
                <w:b/>
                <w:sz w:val="20"/>
              </w:rPr>
              <w:t>Severity:</w:t>
            </w:r>
          </w:p>
        </w:tc>
        <w:tc>
          <w:tcPr>
            <w:tcW w:w="5954"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sz w:val="20"/>
              </w:rPr>
            </w:pPr>
            <w:r w:rsidRPr="00F875E6">
              <w:rPr>
                <w:rFonts w:ascii="Arial Narrow" w:hAnsi="Arial Narrow"/>
                <w:sz w:val="20"/>
              </w:rPr>
              <w:t>-</w:t>
            </w:r>
          </w:p>
        </w:tc>
      </w:tr>
      <w:tr w:rsidR="00E445EB" w:rsidRPr="00F875E6" w:rsidTr="00E445EB">
        <w:trPr>
          <w:cantSplit/>
          <w:trHeight w:val="360"/>
        </w:trPr>
        <w:tc>
          <w:tcPr>
            <w:tcW w:w="2835"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b/>
                <w:sz w:val="20"/>
              </w:rPr>
            </w:pPr>
            <w:r w:rsidRPr="00F875E6">
              <w:rPr>
                <w:rFonts w:ascii="Arial Narrow" w:hAnsi="Arial Narrow"/>
                <w:b/>
                <w:sz w:val="20"/>
              </w:rPr>
              <w:t>Condition:</w:t>
            </w:r>
          </w:p>
        </w:tc>
        <w:tc>
          <w:tcPr>
            <w:tcW w:w="5954"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sz w:val="20"/>
              </w:rPr>
            </w:pPr>
            <w:r w:rsidRPr="00F875E6">
              <w:rPr>
                <w:rFonts w:ascii="Arial Narrow" w:hAnsi="Arial Narrow"/>
                <w:sz w:val="20"/>
              </w:rPr>
              <w:t>Myeloid leukaemia</w:t>
            </w:r>
          </w:p>
        </w:tc>
      </w:tr>
      <w:tr w:rsidR="00E445EB" w:rsidRPr="00F875E6" w:rsidTr="00E445EB">
        <w:trPr>
          <w:cantSplit/>
          <w:trHeight w:val="360"/>
        </w:trPr>
        <w:tc>
          <w:tcPr>
            <w:tcW w:w="2835"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b/>
                <w:sz w:val="20"/>
              </w:rPr>
            </w:pPr>
            <w:r w:rsidRPr="00F875E6">
              <w:rPr>
                <w:rFonts w:ascii="Arial Narrow" w:hAnsi="Arial Narrow"/>
                <w:b/>
                <w:sz w:val="20"/>
              </w:rPr>
              <w:t>PBS Indication:</w:t>
            </w:r>
          </w:p>
        </w:tc>
        <w:tc>
          <w:tcPr>
            <w:tcW w:w="5954"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sz w:val="20"/>
              </w:rPr>
            </w:pPr>
            <w:r w:rsidRPr="00F875E6">
              <w:rPr>
                <w:rFonts w:ascii="Arial Narrow" w:hAnsi="Arial Narrow"/>
                <w:sz w:val="20"/>
              </w:rPr>
              <w:t>Chronic myeloid leukaemia</w:t>
            </w:r>
          </w:p>
        </w:tc>
      </w:tr>
      <w:tr w:rsidR="00E445EB" w:rsidRPr="00F875E6" w:rsidTr="00E445EB">
        <w:trPr>
          <w:cantSplit/>
          <w:trHeight w:val="360"/>
        </w:trPr>
        <w:tc>
          <w:tcPr>
            <w:tcW w:w="2835"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i/>
                <w:sz w:val="20"/>
              </w:rPr>
            </w:pPr>
            <w:r w:rsidRPr="00F875E6">
              <w:rPr>
                <w:rFonts w:ascii="Arial Narrow" w:hAnsi="Arial Narrow"/>
                <w:b/>
                <w:sz w:val="20"/>
              </w:rPr>
              <w:t>Treatment phase:</w:t>
            </w:r>
          </w:p>
        </w:tc>
        <w:tc>
          <w:tcPr>
            <w:tcW w:w="5954"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sz w:val="20"/>
              </w:rPr>
            </w:pPr>
            <w:r w:rsidRPr="00F875E6">
              <w:rPr>
                <w:rFonts w:ascii="Arial Narrow" w:hAnsi="Arial Narrow"/>
                <w:sz w:val="20"/>
              </w:rPr>
              <w:t>Continuing</w:t>
            </w:r>
          </w:p>
        </w:tc>
      </w:tr>
      <w:tr w:rsidR="00E445EB" w:rsidRPr="00F875E6" w:rsidTr="00E445EB">
        <w:trPr>
          <w:cantSplit/>
          <w:trHeight w:val="360"/>
        </w:trPr>
        <w:tc>
          <w:tcPr>
            <w:tcW w:w="2835"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b/>
                <w:sz w:val="20"/>
              </w:rPr>
            </w:pPr>
            <w:r w:rsidRPr="00F875E6">
              <w:rPr>
                <w:rFonts w:ascii="Arial Narrow" w:hAnsi="Arial Narrow"/>
                <w:b/>
                <w:sz w:val="20"/>
              </w:rPr>
              <w:t>Restriction Level / Method:</w:t>
            </w:r>
          </w:p>
          <w:p w:rsidR="00E445EB" w:rsidRPr="00F875E6" w:rsidRDefault="00E445EB" w:rsidP="00E445EB">
            <w:pPr>
              <w:rPr>
                <w:rFonts w:ascii="Arial Narrow" w:hAnsi="Arial Narrow"/>
                <w:i/>
                <w:sz w:val="20"/>
              </w:rPr>
            </w:pPr>
          </w:p>
          <w:p w:rsidR="00E445EB" w:rsidRPr="00F875E6" w:rsidRDefault="00E445EB" w:rsidP="00E445EB">
            <w:pPr>
              <w:rPr>
                <w:rFonts w:ascii="Arial Narrow" w:hAnsi="Arial Narrow"/>
                <w:i/>
                <w:sz w:val="20"/>
              </w:rPr>
            </w:pPr>
          </w:p>
        </w:tc>
        <w:tc>
          <w:tcPr>
            <w:tcW w:w="5954"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sz w:val="20"/>
              </w:rPr>
            </w:pPr>
            <w:r w:rsidRPr="00F875E6">
              <w:rPr>
                <w:rFonts w:ascii="Arial Narrow" w:hAnsi="Arial Narrow"/>
                <w:sz w:val="20"/>
              </w:rPr>
              <w:fldChar w:fldCharType="begin">
                <w:ffData>
                  <w:name w:val="Check1"/>
                  <w:enabled/>
                  <w:calcOnExit w:val="0"/>
                  <w:checkBox>
                    <w:sizeAuto/>
                    <w:default w:val="0"/>
                  </w:checkBox>
                </w:ffData>
              </w:fldChar>
            </w:r>
            <w:r w:rsidRPr="00F875E6">
              <w:rPr>
                <w:rFonts w:ascii="Arial Narrow" w:hAnsi="Arial Narrow"/>
                <w:sz w:val="20"/>
              </w:rPr>
              <w:instrText xml:space="preserve"> FORMCHECKBOX </w:instrText>
            </w:r>
            <w:r w:rsidR="00DC6394">
              <w:rPr>
                <w:rFonts w:ascii="Arial Narrow" w:hAnsi="Arial Narrow"/>
                <w:sz w:val="20"/>
              </w:rPr>
            </w:r>
            <w:r w:rsidR="00DC6394">
              <w:rPr>
                <w:rFonts w:ascii="Arial Narrow" w:hAnsi="Arial Narrow"/>
                <w:sz w:val="20"/>
              </w:rPr>
              <w:fldChar w:fldCharType="separate"/>
            </w:r>
            <w:r w:rsidRPr="00F875E6">
              <w:rPr>
                <w:rFonts w:ascii="Arial Narrow" w:hAnsi="Arial Narrow"/>
                <w:sz w:val="20"/>
              </w:rPr>
              <w:fldChar w:fldCharType="end"/>
            </w:r>
            <w:r w:rsidRPr="00F875E6">
              <w:rPr>
                <w:rFonts w:ascii="Arial Narrow" w:hAnsi="Arial Narrow"/>
                <w:sz w:val="20"/>
              </w:rPr>
              <w:t>Restricted benefit</w:t>
            </w:r>
          </w:p>
          <w:p w:rsidR="00E445EB" w:rsidRPr="00F875E6" w:rsidRDefault="00E445EB" w:rsidP="00E445EB">
            <w:pPr>
              <w:rPr>
                <w:rFonts w:ascii="Arial Narrow" w:hAnsi="Arial Narrow"/>
                <w:sz w:val="20"/>
              </w:rPr>
            </w:pPr>
            <w:r w:rsidRPr="00F875E6">
              <w:rPr>
                <w:rFonts w:ascii="Arial Narrow" w:hAnsi="Arial Narrow"/>
                <w:sz w:val="20"/>
              </w:rPr>
              <w:fldChar w:fldCharType="begin">
                <w:ffData>
                  <w:name w:val=""/>
                  <w:enabled/>
                  <w:calcOnExit w:val="0"/>
                  <w:checkBox>
                    <w:sizeAuto/>
                    <w:default w:val="1"/>
                  </w:checkBox>
                </w:ffData>
              </w:fldChar>
            </w:r>
            <w:r w:rsidRPr="00F875E6">
              <w:rPr>
                <w:rFonts w:ascii="Arial Narrow" w:hAnsi="Arial Narrow"/>
                <w:sz w:val="20"/>
              </w:rPr>
              <w:instrText xml:space="preserve"> FORMCHECKBOX </w:instrText>
            </w:r>
            <w:r w:rsidR="00DC6394">
              <w:rPr>
                <w:rFonts w:ascii="Arial Narrow" w:hAnsi="Arial Narrow"/>
                <w:sz w:val="20"/>
              </w:rPr>
            </w:r>
            <w:r w:rsidR="00DC6394">
              <w:rPr>
                <w:rFonts w:ascii="Arial Narrow" w:hAnsi="Arial Narrow"/>
                <w:sz w:val="20"/>
              </w:rPr>
              <w:fldChar w:fldCharType="separate"/>
            </w:r>
            <w:r w:rsidRPr="00F875E6">
              <w:rPr>
                <w:rFonts w:ascii="Arial Narrow" w:hAnsi="Arial Narrow"/>
                <w:sz w:val="20"/>
              </w:rPr>
              <w:fldChar w:fldCharType="end"/>
            </w:r>
            <w:r w:rsidRPr="00F875E6">
              <w:rPr>
                <w:rFonts w:ascii="Arial Narrow" w:hAnsi="Arial Narrow"/>
                <w:sz w:val="20"/>
              </w:rPr>
              <w:t>Authority Required - In Writing</w:t>
            </w:r>
          </w:p>
          <w:p w:rsidR="00E445EB" w:rsidRPr="00F875E6" w:rsidRDefault="00E445EB" w:rsidP="00E445EB">
            <w:pPr>
              <w:rPr>
                <w:rFonts w:ascii="Arial Narrow" w:hAnsi="Arial Narrow"/>
                <w:sz w:val="20"/>
              </w:rPr>
            </w:pPr>
            <w:r w:rsidRPr="00F875E6">
              <w:rPr>
                <w:rFonts w:ascii="Arial Narrow" w:hAnsi="Arial Narrow"/>
                <w:sz w:val="20"/>
              </w:rPr>
              <w:fldChar w:fldCharType="begin">
                <w:ffData>
                  <w:name w:val=""/>
                  <w:enabled/>
                  <w:calcOnExit w:val="0"/>
                  <w:checkBox>
                    <w:sizeAuto/>
                    <w:default w:val="0"/>
                  </w:checkBox>
                </w:ffData>
              </w:fldChar>
            </w:r>
            <w:r w:rsidRPr="00F875E6">
              <w:rPr>
                <w:rFonts w:ascii="Arial Narrow" w:hAnsi="Arial Narrow"/>
                <w:sz w:val="20"/>
              </w:rPr>
              <w:instrText xml:space="preserve"> FORMCHECKBOX </w:instrText>
            </w:r>
            <w:r w:rsidR="00DC6394">
              <w:rPr>
                <w:rFonts w:ascii="Arial Narrow" w:hAnsi="Arial Narrow"/>
                <w:sz w:val="20"/>
              </w:rPr>
            </w:r>
            <w:r w:rsidR="00DC6394">
              <w:rPr>
                <w:rFonts w:ascii="Arial Narrow" w:hAnsi="Arial Narrow"/>
                <w:sz w:val="20"/>
              </w:rPr>
              <w:fldChar w:fldCharType="separate"/>
            </w:r>
            <w:r w:rsidRPr="00F875E6">
              <w:rPr>
                <w:rFonts w:ascii="Arial Narrow" w:hAnsi="Arial Narrow"/>
                <w:sz w:val="20"/>
              </w:rPr>
              <w:fldChar w:fldCharType="end"/>
            </w:r>
            <w:r w:rsidRPr="00F875E6">
              <w:rPr>
                <w:rFonts w:ascii="Arial Narrow" w:hAnsi="Arial Narrow"/>
                <w:sz w:val="20"/>
              </w:rPr>
              <w:t>Authority Required - Telephone</w:t>
            </w:r>
          </w:p>
          <w:p w:rsidR="00E445EB" w:rsidRPr="00F875E6" w:rsidRDefault="00E445EB" w:rsidP="00E445EB">
            <w:pPr>
              <w:rPr>
                <w:rFonts w:ascii="Arial Narrow" w:hAnsi="Arial Narrow"/>
                <w:sz w:val="20"/>
              </w:rPr>
            </w:pPr>
            <w:r w:rsidRPr="00F875E6">
              <w:rPr>
                <w:rFonts w:ascii="Arial Narrow" w:hAnsi="Arial Narrow"/>
                <w:sz w:val="20"/>
              </w:rPr>
              <w:fldChar w:fldCharType="begin">
                <w:ffData>
                  <w:name w:val=""/>
                  <w:enabled/>
                  <w:calcOnExit w:val="0"/>
                  <w:checkBox>
                    <w:sizeAuto/>
                    <w:default w:val="0"/>
                  </w:checkBox>
                </w:ffData>
              </w:fldChar>
            </w:r>
            <w:r w:rsidRPr="00F875E6">
              <w:rPr>
                <w:rFonts w:ascii="Arial Narrow" w:hAnsi="Arial Narrow"/>
                <w:sz w:val="20"/>
              </w:rPr>
              <w:instrText xml:space="preserve"> FORMCHECKBOX </w:instrText>
            </w:r>
            <w:r w:rsidR="00DC6394">
              <w:rPr>
                <w:rFonts w:ascii="Arial Narrow" w:hAnsi="Arial Narrow"/>
                <w:sz w:val="20"/>
              </w:rPr>
            </w:r>
            <w:r w:rsidR="00DC6394">
              <w:rPr>
                <w:rFonts w:ascii="Arial Narrow" w:hAnsi="Arial Narrow"/>
                <w:sz w:val="20"/>
              </w:rPr>
              <w:fldChar w:fldCharType="separate"/>
            </w:r>
            <w:r w:rsidRPr="00F875E6">
              <w:rPr>
                <w:rFonts w:ascii="Arial Narrow" w:hAnsi="Arial Narrow"/>
                <w:sz w:val="20"/>
              </w:rPr>
              <w:fldChar w:fldCharType="end"/>
            </w:r>
            <w:r w:rsidRPr="00F875E6">
              <w:rPr>
                <w:rFonts w:ascii="Arial Narrow" w:hAnsi="Arial Narrow"/>
                <w:sz w:val="20"/>
              </w:rPr>
              <w:t>Authority Required – Emergency</w:t>
            </w:r>
          </w:p>
          <w:p w:rsidR="00E445EB" w:rsidRPr="00F875E6" w:rsidRDefault="00E445EB" w:rsidP="00E445EB">
            <w:pPr>
              <w:rPr>
                <w:rFonts w:ascii="Arial Narrow" w:hAnsi="Arial Narrow"/>
                <w:sz w:val="20"/>
              </w:rPr>
            </w:pPr>
            <w:r w:rsidRPr="00F875E6">
              <w:rPr>
                <w:rFonts w:ascii="Arial Narrow" w:hAnsi="Arial Narrow"/>
                <w:sz w:val="20"/>
              </w:rPr>
              <w:fldChar w:fldCharType="begin">
                <w:ffData>
                  <w:name w:val=""/>
                  <w:enabled/>
                  <w:calcOnExit w:val="0"/>
                  <w:checkBox>
                    <w:sizeAuto/>
                    <w:default w:val="0"/>
                  </w:checkBox>
                </w:ffData>
              </w:fldChar>
            </w:r>
            <w:r w:rsidRPr="00F875E6">
              <w:rPr>
                <w:rFonts w:ascii="Arial Narrow" w:hAnsi="Arial Narrow"/>
                <w:sz w:val="20"/>
              </w:rPr>
              <w:instrText xml:space="preserve"> FORMCHECKBOX </w:instrText>
            </w:r>
            <w:r w:rsidR="00DC6394">
              <w:rPr>
                <w:rFonts w:ascii="Arial Narrow" w:hAnsi="Arial Narrow"/>
                <w:sz w:val="20"/>
              </w:rPr>
            </w:r>
            <w:r w:rsidR="00DC6394">
              <w:rPr>
                <w:rFonts w:ascii="Arial Narrow" w:hAnsi="Arial Narrow"/>
                <w:sz w:val="20"/>
              </w:rPr>
              <w:fldChar w:fldCharType="separate"/>
            </w:r>
            <w:r w:rsidRPr="00F875E6">
              <w:rPr>
                <w:rFonts w:ascii="Arial Narrow" w:hAnsi="Arial Narrow"/>
                <w:sz w:val="20"/>
              </w:rPr>
              <w:fldChar w:fldCharType="end"/>
            </w:r>
            <w:r w:rsidRPr="00F875E6">
              <w:rPr>
                <w:rFonts w:ascii="Arial Narrow" w:hAnsi="Arial Narrow"/>
                <w:sz w:val="20"/>
              </w:rPr>
              <w:t>Authority Required - Electronic</w:t>
            </w:r>
          </w:p>
          <w:p w:rsidR="00E445EB" w:rsidRPr="00F875E6" w:rsidRDefault="00E445EB" w:rsidP="00E445EB">
            <w:pPr>
              <w:rPr>
                <w:rFonts w:ascii="Arial Narrow" w:hAnsi="Arial Narrow"/>
                <w:sz w:val="20"/>
              </w:rPr>
            </w:pPr>
            <w:r w:rsidRPr="00F875E6">
              <w:rPr>
                <w:rFonts w:ascii="Arial Narrow" w:hAnsi="Arial Narrow"/>
                <w:sz w:val="20"/>
              </w:rPr>
              <w:fldChar w:fldCharType="begin">
                <w:ffData>
                  <w:name w:val="Check5"/>
                  <w:enabled/>
                  <w:calcOnExit w:val="0"/>
                  <w:checkBox>
                    <w:sizeAuto/>
                    <w:default w:val="0"/>
                  </w:checkBox>
                </w:ffData>
              </w:fldChar>
            </w:r>
            <w:r w:rsidRPr="00F875E6">
              <w:rPr>
                <w:rFonts w:ascii="Arial Narrow" w:hAnsi="Arial Narrow"/>
                <w:sz w:val="20"/>
              </w:rPr>
              <w:instrText xml:space="preserve"> FORMCHECKBOX </w:instrText>
            </w:r>
            <w:r w:rsidR="00DC6394">
              <w:rPr>
                <w:rFonts w:ascii="Arial Narrow" w:hAnsi="Arial Narrow"/>
                <w:sz w:val="20"/>
              </w:rPr>
            </w:r>
            <w:r w:rsidR="00DC6394">
              <w:rPr>
                <w:rFonts w:ascii="Arial Narrow" w:hAnsi="Arial Narrow"/>
                <w:sz w:val="20"/>
              </w:rPr>
              <w:fldChar w:fldCharType="separate"/>
            </w:r>
            <w:r w:rsidRPr="00F875E6">
              <w:rPr>
                <w:rFonts w:ascii="Arial Narrow" w:hAnsi="Arial Narrow"/>
                <w:sz w:val="20"/>
              </w:rPr>
              <w:fldChar w:fldCharType="end"/>
            </w:r>
            <w:r w:rsidRPr="00F875E6">
              <w:rPr>
                <w:rFonts w:ascii="Arial Narrow" w:hAnsi="Arial Narrow"/>
                <w:sz w:val="20"/>
              </w:rPr>
              <w:t>Streamlined</w:t>
            </w:r>
          </w:p>
        </w:tc>
      </w:tr>
      <w:tr w:rsidR="00E445EB" w:rsidRPr="00F875E6" w:rsidTr="00E445EB">
        <w:trPr>
          <w:cantSplit/>
          <w:trHeight w:val="360"/>
        </w:trPr>
        <w:tc>
          <w:tcPr>
            <w:tcW w:w="2835"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sz w:val="20"/>
              </w:rPr>
            </w:pPr>
            <w:r w:rsidRPr="00F875E6">
              <w:rPr>
                <w:rFonts w:ascii="Arial Narrow" w:hAnsi="Arial Narrow"/>
                <w:b/>
                <w:sz w:val="20"/>
              </w:rPr>
              <w:t>Clinical criteria:</w:t>
            </w:r>
          </w:p>
        </w:tc>
        <w:tc>
          <w:tcPr>
            <w:tcW w:w="5954"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sz w:val="20"/>
              </w:rPr>
            </w:pPr>
            <w:r w:rsidRPr="00F875E6">
              <w:rPr>
                <w:rFonts w:ascii="Arial Narrow" w:hAnsi="Arial Narrow"/>
                <w:sz w:val="20"/>
              </w:rPr>
              <w:t>Patient must have previously been issued with an authority prescription for this drug for this condition</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r w:rsidRPr="00F875E6">
              <w:rPr>
                <w:rFonts w:ascii="Arial Narrow" w:hAnsi="Arial Narrow"/>
                <w:sz w:val="20"/>
              </w:rPr>
              <w:t>AND</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r w:rsidRPr="00F875E6">
              <w:rPr>
                <w:rFonts w:ascii="Arial Narrow" w:hAnsi="Arial Narrow"/>
                <w:sz w:val="20"/>
              </w:rPr>
              <w:t xml:space="preserve">The treatment must be the sole PBS-subsidised therapy for this condition </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r w:rsidRPr="00F875E6">
              <w:rPr>
                <w:rFonts w:ascii="Arial Narrow" w:hAnsi="Arial Narrow"/>
                <w:sz w:val="20"/>
              </w:rPr>
              <w:t>AND</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r w:rsidRPr="00F875E6">
              <w:rPr>
                <w:rFonts w:ascii="Arial Narrow" w:hAnsi="Arial Narrow"/>
                <w:sz w:val="20"/>
              </w:rPr>
              <w:t>Patient must have demonstrated either a major cytogenetic response, or less than 1% BCR-ABL level in the blood, to ponatinib within 18 months of commencement and at no greater than 12 month intervals thereafter</w:t>
            </w:r>
          </w:p>
        </w:tc>
      </w:tr>
      <w:tr w:rsidR="00E445EB" w:rsidRPr="00F875E6" w:rsidTr="00E445EB">
        <w:trPr>
          <w:trHeight w:val="360"/>
        </w:trPr>
        <w:tc>
          <w:tcPr>
            <w:tcW w:w="2835"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b/>
                <w:sz w:val="20"/>
              </w:rPr>
            </w:pPr>
            <w:r w:rsidRPr="00F875E6">
              <w:rPr>
                <w:rFonts w:ascii="Arial Narrow" w:hAnsi="Arial Narrow"/>
                <w:b/>
                <w:sz w:val="20"/>
              </w:rPr>
              <w:t>Administrative Advice</w:t>
            </w:r>
          </w:p>
          <w:p w:rsidR="00E445EB" w:rsidRPr="00F875E6" w:rsidRDefault="00E445EB" w:rsidP="00E445EB">
            <w:pPr>
              <w:rPr>
                <w:rFonts w:ascii="Arial Narrow" w:hAnsi="Arial Narrow"/>
                <w:i/>
                <w:sz w:val="20"/>
              </w:rPr>
            </w:pPr>
          </w:p>
        </w:tc>
        <w:tc>
          <w:tcPr>
            <w:tcW w:w="5954"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sz w:val="20"/>
                <w:lang w:val="en-GB"/>
              </w:rPr>
            </w:pPr>
            <w:r w:rsidRPr="00F875E6">
              <w:rPr>
                <w:rFonts w:ascii="Arial Narrow" w:hAnsi="Arial Narrow"/>
                <w:sz w:val="20"/>
                <w:lang w:val="en-GB"/>
              </w:rPr>
              <w:t>The authority application must be made in writing and must include:</w:t>
            </w:r>
          </w:p>
          <w:p w:rsidR="00E445EB" w:rsidRPr="00F875E6" w:rsidRDefault="00E445EB" w:rsidP="00E445EB">
            <w:pPr>
              <w:rPr>
                <w:rFonts w:ascii="Arial Narrow" w:hAnsi="Arial Narrow"/>
                <w:sz w:val="20"/>
                <w:lang w:val="en-GB"/>
              </w:rPr>
            </w:pPr>
            <w:r w:rsidRPr="00F875E6">
              <w:rPr>
                <w:rFonts w:ascii="Arial Narrow" w:hAnsi="Arial Narrow"/>
                <w:sz w:val="20"/>
                <w:lang w:val="en-GB"/>
              </w:rPr>
              <w:t>1. a completed authority prescription form; and</w:t>
            </w:r>
          </w:p>
          <w:p w:rsidR="00E445EB" w:rsidRPr="00F875E6" w:rsidRDefault="00E445EB" w:rsidP="00E445EB">
            <w:pPr>
              <w:rPr>
                <w:rFonts w:ascii="Arial Narrow" w:hAnsi="Arial Narrow"/>
                <w:sz w:val="20"/>
                <w:lang w:val="en-GB"/>
              </w:rPr>
            </w:pPr>
            <w:r w:rsidRPr="00F875E6">
              <w:rPr>
                <w:rFonts w:ascii="Arial Narrow" w:hAnsi="Arial Narrow"/>
                <w:sz w:val="20"/>
                <w:lang w:val="en-GB"/>
              </w:rPr>
              <w:t xml:space="preserve">2. a completed </w:t>
            </w:r>
            <w:r w:rsidR="00097296" w:rsidRPr="00F875E6">
              <w:rPr>
                <w:rFonts w:ascii="Arial Narrow" w:hAnsi="Arial Narrow"/>
                <w:sz w:val="20"/>
                <w:lang w:val="en-GB"/>
              </w:rPr>
              <w:t>[To be confirmed</w:t>
            </w:r>
            <w:r w:rsidRPr="00F875E6">
              <w:rPr>
                <w:rFonts w:ascii="Arial Narrow" w:hAnsi="Arial Narrow"/>
                <w:sz w:val="20"/>
                <w:lang w:val="en-GB"/>
              </w:rPr>
              <w:t xml:space="preserve">– </w:t>
            </w:r>
            <w:r w:rsidR="00097296" w:rsidRPr="00F875E6">
              <w:rPr>
                <w:rFonts w:ascii="Arial Narrow" w:hAnsi="Arial Narrow"/>
                <w:sz w:val="20"/>
                <w:lang w:val="en-GB"/>
              </w:rPr>
              <w:t xml:space="preserve">Continuing] </w:t>
            </w:r>
            <w:r w:rsidRPr="00F875E6">
              <w:rPr>
                <w:rFonts w:ascii="Arial Narrow" w:hAnsi="Arial Narrow"/>
                <w:sz w:val="20"/>
                <w:lang w:val="en-GB"/>
              </w:rPr>
              <w:t>PBS authority application - Supporting Information Form; and</w:t>
            </w:r>
          </w:p>
          <w:p w:rsidR="00E445EB" w:rsidRPr="00F875E6" w:rsidRDefault="00E445EB" w:rsidP="00E445EB">
            <w:pPr>
              <w:rPr>
                <w:rFonts w:ascii="Arial Narrow" w:hAnsi="Arial Narrow"/>
                <w:sz w:val="20"/>
                <w:lang w:val="en-GB"/>
              </w:rPr>
            </w:pPr>
            <w:r w:rsidRPr="00F875E6">
              <w:rPr>
                <w:rFonts w:ascii="Arial Narrow" w:hAnsi="Arial Narrow"/>
                <w:sz w:val="20"/>
                <w:lang w:val="en-GB"/>
              </w:rPr>
              <w:t>3. demonstration of continued response to treatment as evidenced by either:</w:t>
            </w:r>
          </w:p>
          <w:p w:rsidR="00E445EB" w:rsidRPr="00F875E6" w:rsidRDefault="00E445EB" w:rsidP="00E445EB">
            <w:pPr>
              <w:rPr>
                <w:rFonts w:ascii="Arial Narrow" w:hAnsi="Arial Narrow"/>
                <w:sz w:val="20"/>
                <w:lang w:val="en-GB"/>
              </w:rPr>
            </w:pPr>
            <w:r w:rsidRPr="00F875E6">
              <w:rPr>
                <w:rFonts w:ascii="Arial Narrow" w:hAnsi="Arial Narrow"/>
                <w:sz w:val="20"/>
                <w:lang w:val="en-GB"/>
              </w:rPr>
              <w:t xml:space="preserve">(i) major cytogenetic response </w:t>
            </w:r>
            <w:r w:rsidRPr="00F875E6">
              <w:rPr>
                <w:rFonts w:ascii="Arial Narrow" w:hAnsi="Arial Narrow"/>
                <w:sz w:val="20"/>
              </w:rPr>
              <w:t>[see Note explaining definitions of response]</w:t>
            </w:r>
            <w:r w:rsidRPr="00F875E6">
              <w:rPr>
                <w:rFonts w:ascii="Arial Narrow" w:hAnsi="Arial Narrow"/>
                <w:sz w:val="20"/>
                <w:lang w:val="en-GB"/>
              </w:rPr>
              <w:t>. Where this has been supplied within the previous 12 months (or 18 months for the initial supply), only the date of the relevant pathology report needs to be provided; or</w:t>
            </w:r>
          </w:p>
          <w:p w:rsidR="00E445EB" w:rsidRPr="00F875E6" w:rsidRDefault="00E445EB" w:rsidP="00E445EB">
            <w:pPr>
              <w:rPr>
                <w:rFonts w:ascii="Arial Narrow" w:hAnsi="Arial Narrow"/>
                <w:sz w:val="20"/>
              </w:rPr>
            </w:pPr>
            <w:r w:rsidRPr="00F875E6">
              <w:rPr>
                <w:rFonts w:ascii="Arial Narrow" w:hAnsi="Arial Narrow"/>
                <w:sz w:val="20"/>
              </w:rPr>
              <w:t>(ii) a peripheral blood level of BCR-ABL of less than 1% on the international scale [see Note explaining definitions of response]. Where this has been supplied within the previous 12 months (or 18 months for the initial supply), only the date of the relevant pathology report needs to be provided</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r w:rsidRPr="00F875E6">
              <w:rPr>
                <w:rFonts w:ascii="Arial Narrow" w:hAnsi="Arial Narrow"/>
                <w:sz w:val="20"/>
              </w:rPr>
              <w:t xml:space="preserve">Any queries concerning the arrangements to prescribe may be directed to the Department of Human Services on 1800 700 270 (hours of operation 8 a.m. to 5 p.m. EST Monday to Friday). </w:t>
            </w:r>
          </w:p>
          <w:p w:rsidR="00E445EB" w:rsidRPr="00F875E6" w:rsidRDefault="00E445EB" w:rsidP="00E445EB">
            <w:pPr>
              <w:rPr>
                <w:rFonts w:ascii="Arial Narrow" w:hAnsi="Arial Narrow"/>
                <w:sz w:val="20"/>
              </w:rPr>
            </w:pPr>
            <w:r w:rsidRPr="00F875E6">
              <w:rPr>
                <w:rFonts w:ascii="Arial Narrow" w:hAnsi="Arial Narrow"/>
                <w:sz w:val="20"/>
              </w:rPr>
              <w:t>Prescribing information (including Authority Application forms and other relevant documentation as applicable) is available on the Department of Human Services website at www.humanservices.gov.au</w:t>
            </w:r>
          </w:p>
          <w:p w:rsidR="00E445EB" w:rsidRPr="00F875E6" w:rsidRDefault="00E445EB" w:rsidP="00E445EB">
            <w:pPr>
              <w:rPr>
                <w:rFonts w:ascii="Arial Narrow" w:hAnsi="Arial Narrow"/>
                <w:sz w:val="20"/>
              </w:rPr>
            </w:pPr>
            <w:r w:rsidRPr="00F875E6">
              <w:rPr>
                <w:rFonts w:ascii="Arial Narrow" w:hAnsi="Arial Narrow"/>
                <w:sz w:val="20"/>
              </w:rPr>
              <w:t xml:space="preserve">Applications for authority to prescribe should be forwarded to: </w:t>
            </w:r>
          </w:p>
          <w:p w:rsidR="00E445EB" w:rsidRPr="00F875E6" w:rsidRDefault="00E445EB" w:rsidP="00E445EB">
            <w:pPr>
              <w:rPr>
                <w:rFonts w:ascii="Arial Narrow" w:hAnsi="Arial Narrow"/>
                <w:sz w:val="20"/>
              </w:rPr>
            </w:pPr>
            <w:r w:rsidRPr="00F875E6">
              <w:rPr>
                <w:rFonts w:ascii="Arial Narrow" w:hAnsi="Arial Narrow"/>
                <w:sz w:val="20"/>
              </w:rPr>
              <w:t>Department of Human Services</w:t>
            </w:r>
          </w:p>
          <w:p w:rsidR="00E445EB" w:rsidRPr="00F875E6" w:rsidRDefault="00E445EB" w:rsidP="00E445EB">
            <w:pPr>
              <w:rPr>
                <w:rFonts w:ascii="Arial Narrow" w:hAnsi="Arial Narrow"/>
                <w:sz w:val="20"/>
              </w:rPr>
            </w:pPr>
            <w:r w:rsidRPr="00F875E6">
              <w:rPr>
                <w:rFonts w:ascii="Arial Narrow" w:hAnsi="Arial Narrow"/>
                <w:sz w:val="20"/>
              </w:rPr>
              <w:t xml:space="preserve">Prior Written Approval of Complex Drugs </w:t>
            </w:r>
          </w:p>
          <w:p w:rsidR="00E445EB" w:rsidRPr="00F875E6" w:rsidRDefault="00E445EB" w:rsidP="00E445EB">
            <w:pPr>
              <w:rPr>
                <w:rFonts w:ascii="Arial Narrow" w:hAnsi="Arial Narrow"/>
                <w:sz w:val="20"/>
              </w:rPr>
            </w:pPr>
            <w:r w:rsidRPr="00F875E6">
              <w:rPr>
                <w:rFonts w:ascii="Arial Narrow" w:hAnsi="Arial Narrow"/>
                <w:sz w:val="20"/>
              </w:rPr>
              <w:t xml:space="preserve">Reply Paid 9826 </w:t>
            </w:r>
          </w:p>
          <w:p w:rsidR="00E445EB" w:rsidRPr="00F875E6" w:rsidRDefault="00E445EB" w:rsidP="00E445EB">
            <w:pPr>
              <w:rPr>
                <w:rFonts w:ascii="Arial Narrow" w:hAnsi="Arial Narrow"/>
                <w:sz w:val="20"/>
              </w:rPr>
            </w:pPr>
            <w:r w:rsidRPr="00F875E6">
              <w:rPr>
                <w:rFonts w:ascii="Arial Narrow" w:hAnsi="Arial Narrow"/>
                <w:sz w:val="20"/>
              </w:rPr>
              <w:t xml:space="preserve">GPO Box 9826 </w:t>
            </w:r>
          </w:p>
          <w:p w:rsidR="00E445EB" w:rsidRPr="00F875E6" w:rsidRDefault="00E445EB" w:rsidP="00E445EB">
            <w:pPr>
              <w:rPr>
                <w:rFonts w:ascii="Arial Narrow" w:hAnsi="Arial Narrow"/>
                <w:sz w:val="20"/>
              </w:rPr>
            </w:pPr>
            <w:r w:rsidRPr="00F875E6">
              <w:rPr>
                <w:rFonts w:ascii="Arial Narrow" w:hAnsi="Arial Narrow"/>
                <w:sz w:val="20"/>
              </w:rPr>
              <w:t>HOBART TAS 7001</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p>
          <w:p w:rsidR="00E445EB" w:rsidRPr="00F875E6" w:rsidRDefault="00E445EB">
            <w:pPr>
              <w:rPr>
                <w:rFonts w:ascii="Arial Narrow" w:hAnsi="Arial Narrow"/>
                <w:sz w:val="20"/>
              </w:rPr>
            </w:pPr>
            <w:r w:rsidRPr="00F875E6">
              <w:rPr>
                <w:rFonts w:ascii="Arial Narrow" w:hAnsi="Arial Narrow"/>
                <w:sz w:val="20"/>
              </w:rPr>
              <w:t xml:space="preserve">Patients are eligible for PBS-subsidised treatment with only one of dasatinib, nilotinib or ponatinib at any one time and must not be receiving concomitant interferon alfa therapy. </w:t>
            </w:r>
          </w:p>
          <w:p w:rsidR="00E445EB" w:rsidRPr="00F875E6" w:rsidRDefault="00E445EB" w:rsidP="00E445EB">
            <w:pPr>
              <w:rPr>
                <w:rFonts w:ascii="Arial Narrow" w:hAnsi="Arial Narrow"/>
                <w:sz w:val="20"/>
              </w:rPr>
            </w:pPr>
          </w:p>
          <w:p w:rsidR="00E445EB" w:rsidRPr="00F875E6" w:rsidRDefault="00390927" w:rsidP="00E445EB">
            <w:pPr>
              <w:rPr>
                <w:rFonts w:ascii="Arial Narrow" w:hAnsi="Arial Narrow"/>
                <w:sz w:val="20"/>
              </w:rPr>
            </w:pPr>
            <w:r w:rsidRPr="00F875E6">
              <w:rPr>
                <w:rFonts w:ascii="Arial Narrow" w:hAnsi="Arial Narrow"/>
                <w:sz w:val="20"/>
              </w:rPr>
              <w:t>1</w:t>
            </w:r>
            <w:r w:rsidR="00E445EB" w:rsidRPr="00F875E6">
              <w:rPr>
                <w:rFonts w:ascii="Arial Narrow" w:hAnsi="Arial Narrow"/>
                <w:sz w:val="20"/>
              </w:rPr>
              <w:t xml:space="preserve">. Continuing treatment </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r w:rsidRPr="00F875E6">
              <w:rPr>
                <w:rFonts w:ascii="Arial Narrow" w:hAnsi="Arial Narrow"/>
                <w:sz w:val="20"/>
              </w:rPr>
              <w:t xml:space="preserve">All continuing applications are to be written and must include a pathology report demonstrating the patient has responded to PBS-subsidised treatment as follows: </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r w:rsidRPr="00F875E6">
              <w:rPr>
                <w:rFonts w:ascii="Arial Narrow" w:hAnsi="Arial Narrow"/>
                <w:sz w:val="20"/>
              </w:rPr>
              <w:t xml:space="preserve">(i) within 18 months of the commencement of treatment, at which time patients in whom a major cytogenetic response or peripheral blood BCR-ABL level of less than 1% has been demonstrated may receive authorisation for a further 12 months of treatment; and </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r w:rsidRPr="00F875E6">
              <w:rPr>
                <w:rFonts w:ascii="Arial Narrow" w:hAnsi="Arial Narrow"/>
                <w:sz w:val="20"/>
              </w:rPr>
              <w:t xml:space="preserve">(ii) at no greater than 12 month intervals thereafter, to demonstrate that the major cytogenetic response or peripheral blood BCR-ABL level of less than 1% has been sustained. </w:t>
            </w:r>
          </w:p>
          <w:p w:rsidR="00E445EB" w:rsidRPr="00F875E6" w:rsidRDefault="00E445EB" w:rsidP="00E445EB">
            <w:pPr>
              <w:rPr>
                <w:rFonts w:ascii="Arial Narrow" w:hAnsi="Arial Narrow"/>
                <w:sz w:val="20"/>
              </w:rPr>
            </w:pPr>
          </w:p>
          <w:p w:rsidR="00E445EB" w:rsidRPr="00F875E6" w:rsidRDefault="00390927" w:rsidP="00E445EB">
            <w:pPr>
              <w:rPr>
                <w:rFonts w:ascii="Arial Narrow" w:hAnsi="Arial Narrow"/>
                <w:sz w:val="20"/>
              </w:rPr>
            </w:pPr>
            <w:r w:rsidRPr="00F875E6">
              <w:rPr>
                <w:rFonts w:ascii="Arial Narrow" w:hAnsi="Arial Narrow"/>
                <w:sz w:val="20"/>
              </w:rPr>
              <w:t>2</w:t>
            </w:r>
            <w:r w:rsidR="00E445EB" w:rsidRPr="00F875E6">
              <w:rPr>
                <w:rFonts w:ascii="Arial Narrow" w:hAnsi="Arial Narrow"/>
                <w:sz w:val="20"/>
              </w:rPr>
              <w:t>. Authority approval requirements.</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r w:rsidRPr="00F875E6">
              <w:rPr>
                <w:rFonts w:ascii="Arial Narrow" w:hAnsi="Arial Narrow"/>
                <w:sz w:val="20"/>
              </w:rPr>
              <w:t xml:space="preserve">Response criteria to initial treatment with </w:t>
            </w:r>
            <w:r w:rsidR="007005B5" w:rsidRPr="00F875E6">
              <w:rPr>
                <w:rFonts w:ascii="Arial Narrow" w:hAnsi="Arial Narrow"/>
                <w:sz w:val="20"/>
              </w:rPr>
              <w:t>ponatinib</w:t>
            </w:r>
            <w:r w:rsidRPr="00F875E6">
              <w:rPr>
                <w:rFonts w:ascii="Arial Narrow" w:hAnsi="Arial Narrow"/>
                <w:sz w:val="20"/>
              </w:rPr>
              <w:t>:</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r w:rsidRPr="00F875E6">
              <w:rPr>
                <w:rFonts w:ascii="Arial Narrow" w:hAnsi="Arial Narrow"/>
                <w:sz w:val="20"/>
              </w:rPr>
              <w:t xml:space="preserve">For the purposes of assessing response to PBS-subsidised treatment with ponatinib, either cytogenetic analysis indicating the number of Philadelphia positive [t (9;22)] cells in the bone marrow measured by standard karyotyping, or quantitative PCR indicating the relative level of BCR-ABL transcript in the peripheral blood using the international scale, must be submitted. For bone marrow analyses, where the standard karyotyping is not informative for technical reasons, a cytogenetic analysis performed on the bone marrow by the use of fluorescence in situ hybridisation (FISH) with BCR-ABL specific probe must be submitted. The cytogenetic or peripheral blood quantitative PCR analyses must be submitted within 18 months of the commencement of treatment with dasatinib, nilotinib or ponatinib (patients in whom a major cytogenetic response or peripheral blood BCR-ABL level of less than 1% is demonstrable by 18 months are eligible to receive continuing treatment with that agent). </w:t>
            </w:r>
          </w:p>
          <w:p w:rsidR="00E445EB" w:rsidRPr="00F875E6" w:rsidRDefault="00E445EB" w:rsidP="00E445EB">
            <w:pPr>
              <w:rPr>
                <w:rFonts w:ascii="Arial Narrow" w:hAnsi="Arial Narrow"/>
                <w:sz w:val="20"/>
              </w:rPr>
            </w:pPr>
          </w:p>
          <w:p w:rsidR="00E445EB" w:rsidRPr="00F875E6" w:rsidRDefault="00390927" w:rsidP="00E445EB">
            <w:pPr>
              <w:rPr>
                <w:rFonts w:ascii="Arial Narrow" w:hAnsi="Arial Narrow"/>
                <w:sz w:val="20"/>
              </w:rPr>
            </w:pPr>
            <w:r w:rsidRPr="00F875E6">
              <w:rPr>
                <w:rFonts w:ascii="Arial Narrow" w:hAnsi="Arial Narrow"/>
                <w:sz w:val="20"/>
              </w:rPr>
              <w:t>3</w:t>
            </w:r>
            <w:r w:rsidR="00E445EB" w:rsidRPr="00F875E6">
              <w:rPr>
                <w:rFonts w:ascii="Arial Narrow" w:hAnsi="Arial Narrow"/>
                <w:sz w:val="20"/>
              </w:rPr>
              <w:t>. Definitions of response.</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r w:rsidRPr="00F875E6">
              <w:rPr>
                <w:rFonts w:ascii="Arial Narrow" w:hAnsi="Arial Narrow"/>
                <w:sz w:val="20"/>
              </w:rPr>
              <w:t>A major cytogenetic response is defined as less than 35% Philadelphia positive bone marrow cells.</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r w:rsidRPr="00F875E6">
              <w:rPr>
                <w:rFonts w:ascii="Arial Narrow" w:hAnsi="Arial Narrow"/>
                <w:sz w:val="20"/>
              </w:rPr>
              <w:t xml:space="preserve">A peripheral blood BCR-ABL level of less than 1% on the international scale (Blood 108: 28-37, 2006) also indicates a response, at least the biological equivalent of a major cytogenetic response. </w:t>
            </w:r>
          </w:p>
          <w:p w:rsidR="00E445EB" w:rsidRPr="00F875E6" w:rsidRDefault="00E445EB" w:rsidP="00E445EB">
            <w:pPr>
              <w:rPr>
                <w:rFonts w:ascii="Arial Narrow" w:hAnsi="Arial Narrow"/>
                <w:sz w:val="20"/>
              </w:rPr>
            </w:pPr>
          </w:p>
          <w:p w:rsidR="00E445EB" w:rsidRPr="00F875E6" w:rsidRDefault="00390927" w:rsidP="00E445EB">
            <w:pPr>
              <w:rPr>
                <w:rFonts w:ascii="Arial Narrow" w:hAnsi="Arial Narrow"/>
                <w:sz w:val="20"/>
              </w:rPr>
            </w:pPr>
            <w:r w:rsidRPr="00F875E6">
              <w:rPr>
                <w:rFonts w:ascii="Arial Narrow" w:hAnsi="Arial Narrow"/>
                <w:sz w:val="20"/>
              </w:rPr>
              <w:t>4</w:t>
            </w:r>
            <w:r w:rsidR="00E445EB" w:rsidRPr="00F875E6">
              <w:rPr>
                <w:rFonts w:ascii="Arial Narrow" w:hAnsi="Arial Narrow"/>
                <w:sz w:val="20"/>
              </w:rPr>
              <w:t>. Definitions of loss of response.</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r w:rsidRPr="00F875E6">
              <w:rPr>
                <w:rFonts w:ascii="Arial Narrow" w:hAnsi="Arial Narrow"/>
                <w:sz w:val="20"/>
              </w:rPr>
              <w:t xml:space="preserve">Loss of a previously documented major cytogenetic response (demonstrated by the presence of greater than 35% Ph positive cells on bone marrow biopsy), during ongoing tyrosine kinase inhibitor (TKI) therapy. </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r w:rsidRPr="00F875E6">
              <w:rPr>
                <w:rFonts w:ascii="Arial Narrow" w:hAnsi="Arial Narrow"/>
                <w:sz w:val="20"/>
              </w:rPr>
              <w:t xml:space="preserve">Loss of a previously demonstrated molecular response (demonstrated by peripheral blood BCR-ABL levels increasing consecutively in value by at least 5 fold to a level of greater than 0.1% confirmed on a subsequent test), during ongoing tyrosine kinase inhibitor therapy. </w:t>
            </w:r>
          </w:p>
          <w:p w:rsidR="00E445EB" w:rsidRPr="00F875E6" w:rsidRDefault="00E445EB" w:rsidP="00E445EB">
            <w:pPr>
              <w:rPr>
                <w:rFonts w:ascii="Arial Narrow" w:hAnsi="Arial Narrow"/>
                <w:sz w:val="20"/>
              </w:rPr>
            </w:pPr>
          </w:p>
        </w:tc>
      </w:tr>
    </w:tbl>
    <w:p w:rsidR="00E445EB" w:rsidRPr="00F875E6" w:rsidRDefault="00E445EB" w:rsidP="00E445EB">
      <w:pPr>
        <w:rPr>
          <w:szCs w:val="22"/>
        </w:rPr>
      </w:pPr>
    </w:p>
    <w:tbl>
      <w:tblPr>
        <w:tblW w:w="8789" w:type="dxa"/>
        <w:tblInd w:w="108" w:type="dxa"/>
        <w:tblLayout w:type="fixed"/>
        <w:tblLook w:val="0000" w:firstRow="0" w:lastRow="0" w:firstColumn="0" w:lastColumn="0" w:noHBand="0" w:noVBand="0"/>
      </w:tblPr>
      <w:tblGrid>
        <w:gridCol w:w="3686"/>
        <w:gridCol w:w="709"/>
        <w:gridCol w:w="1134"/>
        <w:gridCol w:w="1275"/>
        <w:gridCol w:w="1985"/>
      </w:tblGrid>
      <w:tr w:rsidR="00240020" w:rsidRPr="00F875E6" w:rsidTr="00240020">
        <w:trPr>
          <w:cantSplit/>
          <w:trHeight w:val="471"/>
        </w:trPr>
        <w:tc>
          <w:tcPr>
            <w:tcW w:w="3686" w:type="dxa"/>
            <w:tcBorders>
              <w:bottom w:val="single" w:sz="4" w:space="0" w:color="auto"/>
            </w:tcBorders>
          </w:tcPr>
          <w:p w:rsidR="00240020" w:rsidRPr="00F875E6" w:rsidRDefault="00240020" w:rsidP="00E445EB">
            <w:pPr>
              <w:keepNext/>
              <w:ind w:left="-108"/>
              <w:rPr>
                <w:rFonts w:ascii="Arial Narrow" w:hAnsi="Arial Narrow"/>
                <w:sz w:val="20"/>
              </w:rPr>
            </w:pPr>
            <w:r w:rsidRPr="00F875E6">
              <w:rPr>
                <w:rFonts w:ascii="Arial Narrow" w:hAnsi="Arial Narrow"/>
                <w:sz w:val="20"/>
              </w:rPr>
              <w:t>Name, Restriction,</w:t>
            </w:r>
          </w:p>
          <w:p w:rsidR="00240020" w:rsidRPr="00F875E6" w:rsidRDefault="00240020" w:rsidP="00E445EB">
            <w:pPr>
              <w:keepNext/>
              <w:ind w:left="-108"/>
              <w:rPr>
                <w:rFonts w:ascii="Arial Narrow" w:hAnsi="Arial Narrow"/>
                <w:sz w:val="20"/>
              </w:rPr>
            </w:pPr>
            <w:r w:rsidRPr="00F875E6">
              <w:rPr>
                <w:rFonts w:ascii="Arial Narrow" w:hAnsi="Arial Narrow"/>
                <w:sz w:val="20"/>
              </w:rPr>
              <w:t>Manner of administration and form</w:t>
            </w:r>
          </w:p>
        </w:tc>
        <w:tc>
          <w:tcPr>
            <w:tcW w:w="709" w:type="dxa"/>
            <w:tcBorders>
              <w:bottom w:val="single" w:sz="4" w:space="0" w:color="auto"/>
            </w:tcBorders>
          </w:tcPr>
          <w:p w:rsidR="00240020" w:rsidRPr="00F875E6" w:rsidRDefault="00240020" w:rsidP="00E445EB">
            <w:pPr>
              <w:keepNext/>
              <w:ind w:left="-108"/>
              <w:rPr>
                <w:rFonts w:ascii="Arial Narrow" w:hAnsi="Arial Narrow"/>
                <w:sz w:val="20"/>
              </w:rPr>
            </w:pPr>
            <w:r w:rsidRPr="00F875E6">
              <w:rPr>
                <w:rFonts w:ascii="Arial Narrow" w:hAnsi="Arial Narrow"/>
                <w:sz w:val="20"/>
              </w:rPr>
              <w:t>Max.</w:t>
            </w:r>
          </w:p>
          <w:p w:rsidR="00240020" w:rsidRPr="00F875E6" w:rsidRDefault="00240020" w:rsidP="00E445EB">
            <w:pPr>
              <w:keepNext/>
              <w:ind w:left="-108"/>
              <w:rPr>
                <w:rFonts w:ascii="Arial Narrow" w:hAnsi="Arial Narrow"/>
                <w:sz w:val="20"/>
              </w:rPr>
            </w:pPr>
            <w:r w:rsidRPr="00F875E6">
              <w:rPr>
                <w:rFonts w:ascii="Arial Narrow" w:hAnsi="Arial Narrow"/>
                <w:sz w:val="20"/>
              </w:rPr>
              <w:t>Qty</w:t>
            </w:r>
          </w:p>
        </w:tc>
        <w:tc>
          <w:tcPr>
            <w:tcW w:w="1134" w:type="dxa"/>
            <w:tcBorders>
              <w:bottom w:val="single" w:sz="4" w:space="0" w:color="auto"/>
            </w:tcBorders>
          </w:tcPr>
          <w:p w:rsidR="00240020" w:rsidRPr="00F875E6" w:rsidRDefault="00240020" w:rsidP="00E445EB">
            <w:pPr>
              <w:keepNext/>
              <w:ind w:left="-108"/>
              <w:rPr>
                <w:rFonts w:ascii="Arial Narrow" w:hAnsi="Arial Narrow"/>
                <w:sz w:val="20"/>
              </w:rPr>
            </w:pPr>
            <w:r w:rsidRPr="00F875E6">
              <w:rPr>
                <w:rFonts w:ascii="Arial Narrow" w:hAnsi="Arial Narrow"/>
                <w:sz w:val="20"/>
              </w:rPr>
              <w:t>№.of</w:t>
            </w:r>
          </w:p>
          <w:p w:rsidR="00240020" w:rsidRPr="00F875E6" w:rsidRDefault="00240020" w:rsidP="00E445EB">
            <w:pPr>
              <w:keepNext/>
              <w:ind w:left="-108"/>
              <w:rPr>
                <w:rFonts w:ascii="Arial Narrow" w:hAnsi="Arial Narrow"/>
                <w:sz w:val="20"/>
              </w:rPr>
            </w:pPr>
            <w:r w:rsidRPr="00F875E6">
              <w:rPr>
                <w:rFonts w:ascii="Arial Narrow" w:hAnsi="Arial Narrow"/>
                <w:sz w:val="20"/>
              </w:rPr>
              <w:t>Rpts</w:t>
            </w:r>
          </w:p>
        </w:tc>
        <w:tc>
          <w:tcPr>
            <w:tcW w:w="3260" w:type="dxa"/>
            <w:gridSpan w:val="2"/>
            <w:tcBorders>
              <w:bottom w:val="single" w:sz="4" w:space="0" w:color="auto"/>
            </w:tcBorders>
          </w:tcPr>
          <w:p w:rsidR="00240020" w:rsidRPr="00F875E6" w:rsidRDefault="00240020" w:rsidP="00E445EB">
            <w:pPr>
              <w:keepNext/>
              <w:rPr>
                <w:rFonts w:ascii="Arial Narrow" w:hAnsi="Arial Narrow"/>
                <w:sz w:val="20"/>
                <w:lang w:val="fr-FR"/>
              </w:rPr>
            </w:pPr>
            <w:r w:rsidRPr="00F875E6">
              <w:rPr>
                <w:rFonts w:ascii="Arial Narrow" w:hAnsi="Arial Narrow"/>
                <w:sz w:val="20"/>
              </w:rPr>
              <w:t>Proprietary Name and Manufacturer</w:t>
            </w:r>
          </w:p>
        </w:tc>
      </w:tr>
      <w:tr w:rsidR="00240020" w:rsidRPr="00F875E6" w:rsidTr="00240020">
        <w:trPr>
          <w:trHeight w:val="577"/>
        </w:trPr>
        <w:tc>
          <w:tcPr>
            <w:tcW w:w="3686" w:type="dxa"/>
          </w:tcPr>
          <w:p w:rsidR="00240020" w:rsidRPr="00F875E6" w:rsidRDefault="00240020" w:rsidP="00E445EB">
            <w:pPr>
              <w:keepNext/>
              <w:ind w:left="-108"/>
              <w:rPr>
                <w:rFonts w:ascii="Arial Narrow" w:hAnsi="Arial Narrow"/>
                <w:sz w:val="20"/>
              </w:rPr>
            </w:pPr>
            <w:r w:rsidRPr="00F875E6">
              <w:rPr>
                <w:rFonts w:ascii="Arial Narrow" w:hAnsi="Arial Narrow"/>
                <w:smallCaps/>
                <w:sz w:val="20"/>
              </w:rPr>
              <w:t>ponatinib</w:t>
            </w:r>
          </w:p>
          <w:p w:rsidR="00240020" w:rsidRPr="00F875E6" w:rsidRDefault="00240020" w:rsidP="00E445EB">
            <w:pPr>
              <w:keepNext/>
              <w:ind w:left="-108"/>
              <w:rPr>
                <w:rFonts w:ascii="Arial Narrow" w:hAnsi="Arial Narrow"/>
                <w:sz w:val="20"/>
              </w:rPr>
            </w:pPr>
            <w:r w:rsidRPr="00F875E6">
              <w:rPr>
                <w:rFonts w:ascii="Arial Narrow" w:hAnsi="Arial Narrow"/>
                <w:sz w:val="20"/>
              </w:rPr>
              <w:t>ponatinib 15 mg tablet, 60</w:t>
            </w:r>
          </w:p>
          <w:p w:rsidR="00240020" w:rsidRPr="00F875E6" w:rsidRDefault="00240020" w:rsidP="00E445EB">
            <w:pPr>
              <w:keepNext/>
              <w:ind w:left="-108"/>
              <w:rPr>
                <w:rFonts w:ascii="Arial Narrow" w:hAnsi="Arial Narrow"/>
                <w:sz w:val="20"/>
              </w:rPr>
            </w:pPr>
          </w:p>
          <w:p w:rsidR="00240020" w:rsidRPr="00F875E6" w:rsidRDefault="00240020" w:rsidP="00E445EB">
            <w:pPr>
              <w:keepNext/>
              <w:ind w:left="-108"/>
              <w:rPr>
                <w:rFonts w:ascii="Arial Narrow" w:hAnsi="Arial Narrow"/>
                <w:sz w:val="20"/>
              </w:rPr>
            </w:pPr>
            <w:r w:rsidRPr="00F875E6">
              <w:rPr>
                <w:rFonts w:ascii="Arial Narrow" w:hAnsi="Arial Narrow"/>
                <w:sz w:val="20"/>
              </w:rPr>
              <w:t>ponatinib 45 mg tablet, 30</w:t>
            </w:r>
          </w:p>
        </w:tc>
        <w:tc>
          <w:tcPr>
            <w:tcW w:w="709" w:type="dxa"/>
          </w:tcPr>
          <w:p w:rsidR="00240020" w:rsidRPr="00F875E6" w:rsidRDefault="00240020" w:rsidP="00E445EB">
            <w:pPr>
              <w:keepNext/>
              <w:ind w:left="-108"/>
              <w:rPr>
                <w:rFonts w:ascii="Arial Narrow" w:hAnsi="Arial Narrow"/>
                <w:sz w:val="20"/>
              </w:rPr>
            </w:pPr>
          </w:p>
          <w:p w:rsidR="00240020" w:rsidRPr="00F875E6" w:rsidRDefault="00240020" w:rsidP="00E445EB">
            <w:pPr>
              <w:keepNext/>
              <w:ind w:left="-108"/>
              <w:rPr>
                <w:rFonts w:ascii="Arial Narrow" w:hAnsi="Arial Narrow"/>
                <w:sz w:val="20"/>
              </w:rPr>
            </w:pPr>
            <w:r w:rsidRPr="00F875E6">
              <w:rPr>
                <w:rFonts w:ascii="Arial Narrow" w:hAnsi="Arial Narrow"/>
                <w:sz w:val="20"/>
              </w:rPr>
              <w:t>1</w:t>
            </w:r>
          </w:p>
          <w:p w:rsidR="00240020" w:rsidRPr="00F875E6" w:rsidRDefault="00240020" w:rsidP="00E445EB">
            <w:pPr>
              <w:keepNext/>
              <w:ind w:left="-108"/>
              <w:rPr>
                <w:rFonts w:ascii="Arial Narrow" w:hAnsi="Arial Narrow"/>
                <w:sz w:val="20"/>
              </w:rPr>
            </w:pPr>
          </w:p>
          <w:p w:rsidR="00240020" w:rsidRPr="00F875E6" w:rsidRDefault="00240020" w:rsidP="00E445EB">
            <w:pPr>
              <w:keepNext/>
              <w:ind w:left="-108"/>
              <w:rPr>
                <w:rFonts w:ascii="Arial Narrow" w:hAnsi="Arial Narrow"/>
                <w:sz w:val="20"/>
              </w:rPr>
            </w:pPr>
            <w:r w:rsidRPr="00F875E6">
              <w:rPr>
                <w:rFonts w:ascii="Arial Narrow" w:hAnsi="Arial Narrow"/>
                <w:sz w:val="20"/>
              </w:rPr>
              <w:t>1</w:t>
            </w:r>
          </w:p>
        </w:tc>
        <w:tc>
          <w:tcPr>
            <w:tcW w:w="1134" w:type="dxa"/>
          </w:tcPr>
          <w:p w:rsidR="00240020" w:rsidRPr="00F875E6" w:rsidRDefault="00240020" w:rsidP="00E445EB">
            <w:pPr>
              <w:keepNext/>
              <w:ind w:left="-108"/>
              <w:rPr>
                <w:rFonts w:ascii="Arial Narrow" w:hAnsi="Arial Narrow"/>
                <w:sz w:val="20"/>
              </w:rPr>
            </w:pPr>
          </w:p>
          <w:p w:rsidR="00240020" w:rsidRPr="00F875E6" w:rsidRDefault="00240020" w:rsidP="00E445EB">
            <w:pPr>
              <w:keepNext/>
              <w:ind w:left="-108"/>
              <w:rPr>
                <w:rFonts w:ascii="Arial Narrow" w:hAnsi="Arial Narrow"/>
                <w:sz w:val="20"/>
              </w:rPr>
            </w:pPr>
            <w:r w:rsidRPr="00F875E6">
              <w:rPr>
                <w:rFonts w:ascii="Arial Narrow" w:hAnsi="Arial Narrow"/>
                <w:sz w:val="20"/>
              </w:rPr>
              <w:t>2</w:t>
            </w:r>
          </w:p>
          <w:p w:rsidR="00240020" w:rsidRPr="00F875E6" w:rsidRDefault="00240020" w:rsidP="00E445EB">
            <w:pPr>
              <w:keepNext/>
              <w:ind w:left="-108"/>
              <w:rPr>
                <w:rFonts w:ascii="Arial Narrow" w:hAnsi="Arial Narrow"/>
                <w:sz w:val="20"/>
              </w:rPr>
            </w:pPr>
          </w:p>
          <w:p w:rsidR="00240020" w:rsidRPr="00F875E6" w:rsidRDefault="00240020" w:rsidP="00E445EB">
            <w:pPr>
              <w:keepNext/>
              <w:ind w:left="-108"/>
              <w:rPr>
                <w:rFonts w:ascii="Arial Narrow" w:hAnsi="Arial Narrow"/>
                <w:i/>
                <w:sz w:val="20"/>
              </w:rPr>
            </w:pPr>
            <w:r w:rsidRPr="00F875E6">
              <w:rPr>
                <w:rFonts w:ascii="Arial Narrow" w:hAnsi="Arial Narrow"/>
                <w:sz w:val="20"/>
              </w:rPr>
              <w:t>2</w:t>
            </w:r>
          </w:p>
        </w:tc>
        <w:tc>
          <w:tcPr>
            <w:tcW w:w="1275" w:type="dxa"/>
          </w:tcPr>
          <w:p w:rsidR="00240020" w:rsidRPr="00F875E6" w:rsidRDefault="00240020" w:rsidP="00E445EB">
            <w:pPr>
              <w:keepNext/>
              <w:rPr>
                <w:rFonts w:ascii="Arial Narrow" w:hAnsi="Arial Narrow"/>
                <w:sz w:val="20"/>
              </w:rPr>
            </w:pPr>
            <w:r w:rsidRPr="00F875E6">
              <w:rPr>
                <w:rFonts w:ascii="Arial Narrow" w:hAnsi="Arial Narrow"/>
                <w:sz w:val="20"/>
              </w:rPr>
              <w:t>Iclusig</w:t>
            </w:r>
            <w:r w:rsidRPr="00F875E6" w:rsidDel="00670295">
              <w:rPr>
                <w:rFonts w:ascii="Arial Narrow" w:hAnsi="Arial Narrow"/>
                <w:sz w:val="20"/>
              </w:rPr>
              <w:t xml:space="preserve"> </w:t>
            </w:r>
          </w:p>
        </w:tc>
        <w:tc>
          <w:tcPr>
            <w:tcW w:w="1985" w:type="dxa"/>
          </w:tcPr>
          <w:p w:rsidR="00240020" w:rsidRPr="00F875E6" w:rsidRDefault="00240020" w:rsidP="00E445EB">
            <w:pPr>
              <w:keepNext/>
              <w:rPr>
                <w:rFonts w:ascii="Arial Narrow" w:hAnsi="Arial Narrow"/>
                <w:sz w:val="20"/>
              </w:rPr>
            </w:pPr>
            <w:r w:rsidRPr="00F875E6">
              <w:rPr>
                <w:rFonts w:ascii="Arial Narrow" w:hAnsi="Arial Narrow"/>
                <w:sz w:val="20"/>
              </w:rPr>
              <w:t>Specialised Therapeutics Australia</w:t>
            </w:r>
            <w:r w:rsidRPr="00F875E6" w:rsidDel="00670295">
              <w:rPr>
                <w:rFonts w:ascii="Arial Narrow" w:hAnsi="Arial Narrow"/>
                <w:sz w:val="20"/>
              </w:rPr>
              <w:t xml:space="preserve"> </w:t>
            </w:r>
          </w:p>
        </w:tc>
      </w:tr>
    </w:tbl>
    <w:p w:rsidR="00E445EB" w:rsidRPr="00F875E6" w:rsidRDefault="00E445EB" w:rsidP="00E445EB">
      <w:pPr>
        <w:rPr>
          <w:szCs w:val="22"/>
        </w:rPr>
      </w:pPr>
    </w:p>
    <w:p w:rsidR="00E445EB" w:rsidRPr="00F875E6" w:rsidRDefault="00E445EB" w:rsidP="00E445EB">
      <w:pPr>
        <w:rPr>
          <w:szCs w:val="22"/>
        </w:rPr>
      </w:pPr>
    </w:p>
    <w:p w:rsidR="00E445EB" w:rsidRPr="00F875E6" w:rsidRDefault="00E445EB" w:rsidP="00E445EB">
      <w:pPr>
        <w:rPr>
          <w:szCs w:val="22"/>
        </w:rPr>
      </w:pPr>
      <w:r w:rsidRPr="00F875E6">
        <w:rPr>
          <w:rFonts w:ascii="Arial Narrow" w:hAnsi="Arial Narrow"/>
          <w:b/>
          <w:i/>
          <w:szCs w:val="22"/>
          <w:u w:val="single"/>
        </w:rPr>
        <w:t>Ph+ ALL (with T315I mutation)</w:t>
      </w:r>
    </w:p>
    <w:tbl>
      <w:tblPr>
        <w:tblW w:w="8789" w:type="dxa"/>
        <w:tblInd w:w="108" w:type="dxa"/>
        <w:tblLayout w:type="fixed"/>
        <w:tblLook w:val="0000" w:firstRow="0" w:lastRow="0" w:firstColumn="0" w:lastColumn="0" w:noHBand="0" w:noVBand="0"/>
      </w:tblPr>
      <w:tblGrid>
        <w:gridCol w:w="2835"/>
        <w:gridCol w:w="5954"/>
      </w:tblGrid>
      <w:tr w:rsidR="00E445EB" w:rsidRPr="00F875E6" w:rsidTr="00E445EB">
        <w:trPr>
          <w:cantSplit/>
          <w:trHeight w:val="360"/>
        </w:trPr>
        <w:tc>
          <w:tcPr>
            <w:tcW w:w="2835"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b/>
                <w:sz w:val="20"/>
              </w:rPr>
            </w:pPr>
            <w:r w:rsidRPr="00F875E6">
              <w:rPr>
                <w:rFonts w:ascii="Arial Narrow" w:hAnsi="Arial Narrow"/>
                <w:b/>
                <w:sz w:val="20"/>
              </w:rPr>
              <w:t xml:space="preserve">Category / </w:t>
            </w:r>
          </w:p>
          <w:p w:rsidR="00E445EB" w:rsidRPr="00F875E6" w:rsidRDefault="00E445EB" w:rsidP="00E445EB">
            <w:pPr>
              <w:rPr>
                <w:rFonts w:ascii="Arial Narrow" w:hAnsi="Arial Narrow"/>
                <w:b/>
                <w:sz w:val="20"/>
              </w:rPr>
            </w:pPr>
            <w:r w:rsidRPr="00F875E6">
              <w:rPr>
                <w:rFonts w:ascii="Arial Narrow" w:hAnsi="Arial Narrow"/>
                <w:b/>
                <w:sz w:val="20"/>
              </w:rPr>
              <w:t>Program</w:t>
            </w:r>
          </w:p>
        </w:tc>
        <w:tc>
          <w:tcPr>
            <w:tcW w:w="5954"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sz w:val="20"/>
              </w:rPr>
            </w:pPr>
            <w:r w:rsidRPr="00F875E6">
              <w:rPr>
                <w:rFonts w:ascii="Arial Narrow" w:hAnsi="Arial Narrow"/>
                <w:sz w:val="20"/>
              </w:rPr>
              <w:t>GENERAL – General Schedule (Code GE)</w:t>
            </w:r>
          </w:p>
          <w:p w:rsidR="00E445EB" w:rsidRPr="00F875E6" w:rsidRDefault="00E445EB" w:rsidP="00E445EB">
            <w:pPr>
              <w:rPr>
                <w:rFonts w:ascii="Arial Narrow" w:hAnsi="Arial Narrow"/>
                <w:sz w:val="20"/>
              </w:rPr>
            </w:pPr>
          </w:p>
        </w:tc>
      </w:tr>
      <w:tr w:rsidR="00E445EB" w:rsidRPr="00F875E6" w:rsidTr="00E445EB">
        <w:trPr>
          <w:cantSplit/>
          <w:trHeight w:val="360"/>
        </w:trPr>
        <w:tc>
          <w:tcPr>
            <w:tcW w:w="2835"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b/>
                <w:sz w:val="20"/>
              </w:rPr>
            </w:pPr>
            <w:r w:rsidRPr="00F875E6">
              <w:rPr>
                <w:rFonts w:ascii="Arial Narrow" w:hAnsi="Arial Narrow"/>
                <w:b/>
                <w:sz w:val="20"/>
              </w:rPr>
              <w:t>Prescriber type:</w:t>
            </w:r>
          </w:p>
          <w:p w:rsidR="00E445EB" w:rsidRPr="00F875E6" w:rsidRDefault="00E445EB" w:rsidP="00E445EB">
            <w:pPr>
              <w:rPr>
                <w:rFonts w:ascii="Arial Narrow" w:hAnsi="Arial Narrow"/>
                <w:b/>
                <w:sz w:val="20"/>
              </w:rPr>
            </w:pPr>
          </w:p>
        </w:tc>
        <w:tc>
          <w:tcPr>
            <w:tcW w:w="5954"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sz w:val="20"/>
              </w:rPr>
            </w:pPr>
            <w:r w:rsidRPr="00F875E6">
              <w:rPr>
                <w:rFonts w:ascii="Arial Narrow" w:hAnsi="Arial Narrow"/>
                <w:sz w:val="20"/>
              </w:rPr>
              <w:fldChar w:fldCharType="begin">
                <w:ffData>
                  <w:name w:val="Check1"/>
                  <w:enabled/>
                  <w:calcOnExit w:val="0"/>
                  <w:checkBox>
                    <w:sizeAuto/>
                    <w:default w:val="0"/>
                  </w:checkBox>
                </w:ffData>
              </w:fldChar>
            </w:r>
            <w:r w:rsidRPr="00F875E6">
              <w:rPr>
                <w:rFonts w:ascii="Arial Narrow" w:hAnsi="Arial Narrow"/>
                <w:sz w:val="20"/>
              </w:rPr>
              <w:instrText xml:space="preserve"> FORMCHECKBOX </w:instrText>
            </w:r>
            <w:r w:rsidR="00DC6394">
              <w:rPr>
                <w:rFonts w:ascii="Arial Narrow" w:hAnsi="Arial Narrow"/>
                <w:sz w:val="20"/>
              </w:rPr>
            </w:r>
            <w:r w:rsidR="00DC6394">
              <w:rPr>
                <w:rFonts w:ascii="Arial Narrow" w:hAnsi="Arial Narrow"/>
                <w:sz w:val="20"/>
              </w:rPr>
              <w:fldChar w:fldCharType="separate"/>
            </w:r>
            <w:r w:rsidRPr="00F875E6">
              <w:rPr>
                <w:rFonts w:ascii="Arial Narrow" w:hAnsi="Arial Narrow"/>
                <w:sz w:val="20"/>
              </w:rPr>
              <w:fldChar w:fldCharType="end"/>
            </w:r>
            <w:r w:rsidRPr="00F875E6">
              <w:rPr>
                <w:rFonts w:ascii="Arial Narrow" w:hAnsi="Arial Narrow"/>
                <w:sz w:val="20"/>
              </w:rPr>
              <w:t xml:space="preserve">Dental  </w:t>
            </w:r>
            <w:r w:rsidRPr="00F875E6">
              <w:rPr>
                <w:rFonts w:ascii="Arial Narrow" w:hAnsi="Arial Narrow"/>
                <w:sz w:val="20"/>
              </w:rPr>
              <w:fldChar w:fldCharType="begin">
                <w:ffData>
                  <w:name w:val=""/>
                  <w:enabled/>
                  <w:calcOnExit w:val="0"/>
                  <w:checkBox>
                    <w:sizeAuto/>
                    <w:default w:val="1"/>
                  </w:checkBox>
                </w:ffData>
              </w:fldChar>
            </w:r>
            <w:r w:rsidRPr="00F875E6">
              <w:rPr>
                <w:rFonts w:ascii="Arial Narrow" w:hAnsi="Arial Narrow"/>
                <w:sz w:val="20"/>
              </w:rPr>
              <w:instrText xml:space="preserve"> FORMCHECKBOX </w:instrText>
            </w:r>
            <w:r w:rsidR="00DC6394">
              <w:rPr>
                <w:rFonts w:ascii="Arial Narrow" w:hAnsi="Arial Narrow"/>
                <w:sz w:val="20"/>
              </w:rPr>
            </w:r>
            <w:r w:rsidR="00DC6394">
              <w:rPr>
                <w:rFonts w:ascii="Arial Narrow" w:hAnsi="Arial Narrow"/>
                <w:sz w:val="20"/>
              </w:rPr>
              <w:fldChar w:fldCharType="separate"/>
            </w:r>
            <w:r w:rsidRPr="00F875E6">
              <w:rPr>
                <w:rFonts w:ascii="Arial Narrow" w:hAnsi="Arial Narrow"/>
                <w:sz w:val="20"/>
              </w:rPr>
              <w:fldChar w:fldCharType="end"/>
            </w:r>
            <w:r w:rsidRPr="00F875E6">
              <w:rPr>
                <w:rFonts w:ascii="Arial Narrow" w:hAnsi="Arial Narrow"/>
                <w:sz w:val="20"/>
              </w:rPr>
              <w:t xml:space="preserve">Medical Practitioners  </w:t>
            </w:r>
            <w:r w:rsidRPr="00F875E6">
              <w:rPr>
                <w:rFonts w:ascii="Arial Narrow" w:hAnsi="Arial Narrow"/>
                <w:sz w:val="20"/>
              </w:rPr>
              <w:fldChar w:fldCharType="begin">
                <w:ffData>
                  <w:name w:val="Check3"/>
                  <w:enabled/>
                  <w:calcOnExit w:val="0"/>
                  <w:checkBox>
                    <w:sizeAuto/>
                    <w:default w:val="0"/>
                  </w:checkBox>
                </w:ffData>
              </w:fldChar>
            </w:r>
            <w:r w:rsidRPr="00F875E6">
              <w:rPr>
                <w:rFonts w:ascii="Arial Narrow" w:hAnsi="Arial Narrow"/>
                <w:sz w:val="20"/>
              </w:rPr>
              <w:instrText xml:space="preserve"> FORMCHECKBOX </w:instrText>
            </w:r>
            <w:r w:rsidR="00DC6394">
              <w:rPr>
                <w:rFonts w:ascii="Arial Narrow" w:hAnsi="Arial Narrow"/>
                <w:sz w:val="20"/>
              </w:rPr>
            </w:r>
            <w:r w:rsidR="00DC6394">
              <w:rPr>
                <w:rFonts w:ascii="Arial Narrow" w:hAnsi="Arial Narrow"/>
                <w:sz w:val="20"/>
              </w:rPr>
              <w:fldChar w:fldCharType="separate"/>
            </w:r>
            <w:r w:rsidRPr="00F875E6">
              <w:rPr>
                <w:rFonts w:ascii="Arial Narrow" w:hAnsi="Arial Narrow"/>
                <w:sz w:val="20"/>
              </w:rPr>
              <w:fldChar w:fldCharType="end"/>
            </w:r>
            <w:r w:rsidRPr="00F875E6">
              <w:rPr>
                <w:rFonts w:ascii="Arial Narrow" w:hAnsi="Arial Narrow"/>
                <w:sz w:val="20"/>
              </w:rPr>
              <w:t xml:space="preserve">Nurse practitioners  </w:t>
            </w:r>
            <w:r w:rsidRPr="00F875E6">
              <w:rPr>
                <w:rFonts w:ascii="Arial Narrow" w:hAnsi="Arial Narrow"/>
                <w:sz w:val="20"/>
              </w:rPr>
              <w:fldChar w:fldCharType="begin">
                <w:ffData>
                  <w:name w:val=""/>
                  <w:enabled/>
                  <w:calcOnExit w:val="0"/>
                  <w:checkBox>
                    <w:sizeAuto/>
                    <w:default w:val="0"/>
                  </w:checkBox>
                </w:ffData>
              </w:fldChar>
            </w:r>
            <w:r w:rsidRPr="00F875E6">
              <w:rPr>
                <w:rFonts w:ascii="Arial Narrow" w:hAnsi="Arial Narrow"/>
                <w:sz w:val="20"/>
              </w:rPr>
              <w:instrText xml:space="preserve"> FORMCHECKBOX </w:instrText>
            </w:r>
            <w:r w:rsidR="00DC6394">
              <w:rPr>
                <w:rFonts w:ascii="Arial Narrow" w:hAnsi="Arial Narrow"/>
                <w:sz w:val="20"/>
              </w:rPr>
            </w:r>
            <w:r w:rsidR="00DC6394">
              <w:rPr>
                <w:rFonts w:ascii="Arial Narrow" w:hAnsi="Arial Narrow"/>
                <w:sz w:val="20"/>
              </w:rPr>
              <w:fldChar w:fldCharType="separate"/>
            </w:r>
            <w:r w:rsidRPr="00F875E6">
              <w:rPr>
                <w:rFonts w:ascii="Arial Narrow" w:hAnsi="Arial Narrow"/>
                <w:sz w:val="20"/>
              </w:rPr>
              <w:fldChar w:fldCharType="end"/>
            </w:r>
            <w:r w:rsidRPr="00F875E6">
              <w:rPr>
                <w:rFonts w:ascii="Arial Narrow" w:hAnsi="Arial Narrow"/>
                <w:sz w:val="20"/>
              </w:rPr>
              <w:t>Optometrists</w:t>
            </w:r>
          </w:p>
          <w:p w:rsidR="00E445EB" w:rsidRPr="00F875E6" w:rsidRDefault="00E445EB" w:rsidP="00E445EB">
            <w:pPr>
              <w:rPr>
                <w:rFonts w:ascii="Arial Narrow" w:hAnsi="Arial Narrow"/>
                <w:sz w:val="20"/>
              </w:rPr>
            </w:pPr>
            <w:r w:rsidRPr="00F875E6">
              <w:rPr>
                <w:rFonts w:ascii="Arial Narrow" w:hAnsi="Arial Narrow"/>
                <w:sz w:val="20"/>
              </w:rPr>
              <w:fldChar w:fldCharType="begin">
                <w:ffData>
                  <w:name w:val="Check5"/>
                  <w:enabled/>
                  <w:calcOnExit w:val="0"/>
                  <w:checkBox>
                    <w:sizeAuto/>
                    <w:default w:val="0"/>
                  </w:checkBox>
                </w:ffData>
              </w:fldChar>
            </w:r>
            <w:r w:rsidRPr="00F875E6">
              <w:rPr>
                <w:rFonts w:ascii="Arial Narrow" w:hAnsi="Arial Narrow"/>
                <w:sz w:val="20"/>
              </w:rPr>
              <w:instrText xml:space="preserve"> FORMCHECKBOX </w:instrText>
            </w:r>
            <w:r w:rsidR="00DC6394">
              <w:rPr>
                <w:rFonts w:ascii="Arial Narrow" w:hAnsi="Arial Narrow"/>
                <w:sz w:val="20"/>
              </w:rPr>
            </w:r>
            <w:r w:rsidR="00DC6394">
              <w:rPr>
                <w:rFonts w:ascii="Arial Narrow" w:hAnsi="Arial Narrow"/>
                <w:sz w:val="20"/>
              </w:rPr>
              <w:fldChar w:fldCharType="separate"/>
            </w:r>
            <w:r w:rsidRPr="00F875E6">
              <w:rPr>
                <w:rFonts w:ascii="Arial Narrow" w:hAnsi="Arial Narrow"/>
                <w:sz w:val="20"/>
              </w:rPr>
              <w:fldChar w:fldCharType="end"/>
            </w:r>
            <w:r w:rsidRPr="00F875E6">
              <w:rPr>
                <w:rFonts w:ascii="Arial Narrow" w:hAnsi="Arial Narrow"/>
                <w:sz w:val="20"/>
              </w:rPr>
              <w:t>Midwives</w:t>
            </w:r>
          </w:p>
        </w:tc>
      </w:tr>
      <w:tr w:rsidR="00E445EB" w:rsidRPr="00F875E6" w:rsidTr="00E445EB">
        <w:trPr>
          <w:cantSplit/>
          <w:trHeight w:val="360"/>
        </w:trPr>
        <w:tc>
          <w:tcPr>
            <w:tcW w:w="2835"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b/>
                <w:sz w:val="20"/>
              </w:rPr>
            </w:pPr>
            <w:r w:rsidRPr="00F875E6">
              <w:rPr>
                <w:rFonts w:ascii="Arial Narrow" w:hAnsi="Arial Narrow"/>
                <w:b/>
                <w:sz w:val="20"/>
              </w:rPr>
              <w:t>Episodicity:</w:t>
            </w:r>
          </w:p>
        </w:tc>
        <w:tc>
          <w:tcPr>
            <w:tcW w:w="5954"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sz w:val="20"/>
              </w:rPr>
            </w:pPr>
            <w:r w:rsidRPr="00F875E6">
              <w:rPr>
                <w:rFonts w:ascii="Arial Narrow" w:hAnsi="Arial Narrow"/>
                <w:sz w:val="20"/>
              </w:rPr>
              <w:t>Acute</w:t>
            </w:r>
          </w:p>
        </w:tc>
      </w:tr>
      <w:tr w:rsidR="00E445EB" w:rsidRPr="00F875E6" w:rsidTr="00E445EB">
        <w:trPr>
          <w:cantSplit/>
          <w:trHeight w:val="360"/>
        </w:trPr>
        <w:tc>
          <w:tcPr>
            <w:tcW w:w="2835"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b/>
                <w:sz w:val="20"/>
              </w:rPr>
            </w:pPr>
            <w:r w:rsidRPr="00F875E6">
              <w:rPr>
                <w:rFonts w:ascii="Arial Narrow" w:hAnsi="Arial Narrow"/>
                <w:b/>
                <w:sz w:val="20"/>
              </w:rPr>
              <w:t>Severity:</w:t>
            </w:r>
          </w:p>
        </w:tc>
        <w:tc>
          <w:tcPr>
            <w:tcW w:w="5954"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sz w:val="20"/>
              </w:rPr>
            </w:pPr>
            <w:r w:rsidRPr="00F875E6">
              <w:rPr>
                <w:rFonts w:ascii="Arial Narrow" w:hAnsi="Arial Narrow"/>
                <w:sz w:val="20"/>
              </w:rPr>
              <w:t>-</w:t>
            </w:r>
          </w:p>
        </w:tc>
      </w:tr>
      <w:tr w:rsidR="00E445EB" w:rsidRPr="00F875E6" w:rsidTr="00E445EB">
        <w:trPr>
          <w:cantSplit/>
          <w:trHeight w:val="360"/>
        </w:trPr>
        <w:tc>
          <w:tcPr>
            <w:tcW w:w="2835"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b/>
                <w:sz w:val="20"/>
              </w:rPr>
            </w:pPr>
            <w:r w:rsidRPr="00F875E6">
              <w:rPr>
                <w:rFonts w:ascii="Arial Narrow" w:hAnsi="Arial Narrow"/>
                <w:b/>
                <w:sz w:val="20"/>
              </w:rPr>
              <w:t>Condition:</w:t>
            </w:r>
          </w:p>
        </w:tc>
        <w:tc>
          <w:tcPr>
            <w:tcW w:w="5954"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sz w:val="20"/>
              </w:rPr>
            </w:pPr>
            <w:r w:rsidRPr="00F875E6">
              <w:rPr>
                <w:rFonts w:ascii="Arial Narrow" w:hAnsi="Arial Narrow"/>
                <w:sz w:val="20"/>
              </w:rPr>
              <w:t>Lymphoblastic leukaemia</w:t>
            </w:r>
          </w:p>
        </w:tc>
      </w:tr>
      <w:tr w:rsidR="00E445EB" w:rsidRPr="00F875E6" w:rsidTr="00E445EB">
        <w:trPr>
          <w:cantSplit/>
          <w:trHeight w:val="360"/>
        </w:trPr>
        <w:tc>
          <w:tcPr>
            <w:tcW w:w="2835"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b/>
                <w:sz w:val="20"/>
              </w:rPr>
            </w:pPr>
            <w:r w:rsidRPr="00F875E6">
              <w:rPr>
                <w:rFonts w:ascii="Arial Narrow" w:hAnsi="Arial Narrow"/>
                <w:b/>
                <w:sz w:val="20"/>
              </w:rPr>
              <w:t>PBS Indication:</w:t>
            </w:r>
          </w:p>
        </w:tc>
        <w:tc>
          <w:tcPr>
            <w:tcW w:w="5954"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sz w:val="20"/>
              </w:rPr>
            </w:pPr>
            <w:r w:rsidRPr="00F875E6">
              <w:rPr>
                <w:rFonts w:ascii="Arial Narrow" w:hAnsi="Arial Narrow"/>
                <w:sz w:val="20"/>
              </w:rPr>
              <w:t>Acute lymphoblastic leukaemia</w:t>
            </w:r>
          </w:p>
        </w:tc>
      </w:tr>
      <w:tr w:rsidR="00E445EB" w:rsidRPr="00F875E6" w:rsidTr="00E445EB">
        <w:trPr>
          <w:cantSplit/>
          <w:trHeight w:val="360"/>
        </w:trPr>
        <w:tc>
          <w:tcPr>
            <w:tcW w:w="2835"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i/>
                <w:sz w:val="20"/>
              </w:rPr>
            </w:pPr>
            <w:r w:rsidRPr="00F875E6">
              <w:rPr>
                <w:rFonts w:ascii="Arial Narrow" w:hAnsi="Arial Narrow"/>
                <w:b/>
                <w:sz w:val="20"/>
              </w:rPr>
              <w:t>Treatment phase:</w:t>
            </w:r>
          </w:p>
        </w:tc>
        <w:tc>
          <w:tcPr>
            <w:tcW w:w="5954"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sz w:val="20"/>
              </w:rPr>
            </w:pPr>
            <w:r w:rsidRPr="00F875E6">
              <w:rPr>
                <w:rFonts w:ascii="Arial Narrow" w:hAnsi="Arial Narrow"/>
                <w:sz w:val="20"/>
              </w:rPr>
              <w:t>Initial</w:t>
            </w:r>
          </w:p>
        </w:tc>
      </w:tr>
      <w:tr w:rsidR="00E445EB" w:rsidRPr="00F875E6" w:rsidTr="00E445EB">
        <w:trPr>
          <w:cantSplit/>
          <w:trHeight w:val="360"/>
        </w:trPr>
        <w:tc>
          <w:tcPr>
            <w:tcW w:w="2835"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i/>
                <w:sz w:val="20"/>
              </w:rPr>
            </w:pPr>
            <w:r w:rsidRPr="00F875E6">
              <w:rPr>
                <w:rFonts w:ascii="Arial Narrow" w:hAnsi="Arial Narrow"/>
                <w:b/>
                <w:sz w:val="20"/>
              </w:rPr>
              <w:t>Restriction Level / Method:</w:t>
            </w:r>
          </w:p>
        </w:tc>
        <w:tc>
          <w:tcPr>
            <w:tcW w:w="5954"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sz w:val="20"/>
              </w:rPr>
            </w:pPr>
            <w:r w:rsidRPr="00F875E6">
              <w:rPr>
                <w:rFonts w:ascii="Arial Narrow" w:hAnsi="Arial Narrow"/>
                <w:sz w:val="20"/>
              </w:rPr>
              <w:fldChar w:fldCharType="begin">
                <w:ffData>
                  <w:name w:val="Check1"/>
                  <w:enabled/>
                  <w:calcOnExit w:val="0"/>
                  <w:checkBox>
                    <w:sizeAuto/>
                    <w:default w:val="0"/>
                  </w:checkBox>
                </w:ffData>
              </w:fldChar>
            </w:r>
            <w:r w:rsidRPr="00F875E6">
              <w:rPr>
                <w:rFonts w:ascii="Arial Narrow" w:hAnsi="Arial Narrow"/>
                <w:sz w:val="20"/>
              </w:rPr>
              <w:instrText xml:space="preserve"> FORMCHECKBOX </w:instrText>
            </w:r>
            <w:r w:rsidR="00DC6394">
              <w:rPr>
                <w:rFonts w:ascii="Arial Narrow" w:hAnsi="Arial Narrow"/>
                <w:sz w:val="20"/>
              </w:rPr>
            </w:r>
            <w:r w:rsidR="00DC6394">
              <w:rPr>
                <w:rFonts w:ascii="Arial Narrow" w:hAnsi="Arial Narrow"/>
                <w:sz w:val="20"/>
              </w:rPr>
              <w:fldChar w:fldCharType="separate"/>
            </w:r>
            <w:r w:rsidRPr="00F875E6">
              <w:rPr>
                <w:rFonts w:ascii="Arial Narrow" w:hAnsi="Arial Narrow"/>
                <w:sz w:val="20"/>
              </w:rPr>
              <w:fldChar w:fldCharType="end"/>
            </w:r>
            <w:r w:rsidRPr="00F875E6">
              <w:rPr>
                <w:rFonts w:ascii="Arial Narrow" w:hAnsi="Arial Narrow"/>
                <w:sz w:val="20"/>
              </w:rPr>
              <w:t>Restricted benefit</w:t>
            </w:r>
          </w:p>
          <w:p w:rsidR="00E445EB" w:rsidRPr="00F875E6" w:rsidRDefault="00E445EB" w:rsidP="00E445EB">
            <w:pPr>
              <w:rPr>
                <w:rFonts w:ascii="Arial Narrow" w:hAnsi="Arial Narrow"/>
                <w:sz w:val="20"/>
              </w:rPr>
            </w:pPr>
            <w:r w:rsidRPr="00F875E6">
              <w:rPr>
                <w:rFonts w:ascii="Arial Narrow" w:hAnsi="Arial Narrow"/>
                <w:sz w:val="20"/>
              </w:rPr>
              <w:fldChar w:fldCharType="begin">
                <w:ffData>
                  <w:name w:val=""/>
                  <w:enabled/>
                  <w:calcOnExit w:val="0"/>
                  <w:checkBox>
                    <w:sizeAuto/>
                    <w:default w:val="1"/>
                  </w:checkBox>
                </w:ffData>
              </w:fldChar>
            </w:r>
            <w:r w:rsidRPr="00F875E6">
              <w:rPr>
                <w:rFonts w:ascii="Arial Narrow" w:hAnsi="Arial Narrow"/>
                <w:sz w:val="20"/>
              </w:rPr>
              <w:instrText xml:space="preserve"> FORMCHECKBOX </w:instrText>
            </w:r>
            <w:r w:rsidR="00DC6394">
              <w:rPr>
                <w:rFonts w:ascii="Arial Narrow" w:hAnsi="Arial Narrow"/>
                <w:sz w:val="20"/>
              </w:rPr>
            </w:r>
            <w:r w:rsidR="00DC6394">
              <w:rPr>
                <w:rFonts w:ascii="Arial Narrow" w:hAnsi="Arial Narrow"/>
                <w:sz w:val="20"/>
              </w:rPr>
              <w:fldChar w:fldCharType="separate"/>
            </w:r>
            <w:r w:rsidRPr="00F875E6">
              <w:rPr>
                <w:rFonts w:ascii="Arial Narrow" w:hAnsi="Arial Narrow"/>
                <w:sz w:val="20"/>
              </w:rPr>
              <w:fldChar w:fldCharType="end"/>
            </w:r>
            <w:r w:rsidRPr="00F875E6">
              <w:rPr>
                <w:rFonts w:ascii="Arial Narrow" w:hAnsi="Arial Narrow"/>
                <w:sz w:val="20"/>
              </w:rPr>
              <w:t>Authority Required - In Writing</w:t>
            </w:r>
          </w:p>
          <w:p w:rsidR="00E445EB" w:rsidRPr="00F875E6" w:rsidRDefault="00E445EB" w:rsidP="00E445EB">
            <w:pPr>
              <w:rPr>
                <w:rFonts w:ascii="Arial Narrow" w:hAnsi="Arial Narrow"/>
                <w:sz w:val="20"/>
              </w:rPr>
            </w:pPr>
            <w:r w:rsidRPr="00F875E6">
              <w:rPr>
                <w:rFonts w:ascii="Arial Narrow" w:hAnsi="Arial Narrow"/>
                <w:sz w:val="20"/>
              </w:rPr>
              <w:fldChar w:fldCharType="begin">
                <w:ffData>
                  <w:name w:val=""/>
                  <w:enabled/>
                  <w:calcOnExit w:val="0"/>
                  <w:checkBox>
                    <w:sizeAuto/>
                    <w:default w:val="0"/>
                  </w:checkBox>
                </w:ffData>
              </w:fldChar>
            </w:r>
            <w:r w:rsidRPr="00F875E6">
              <w:rPr>
                <w:rFonts w:ascii="Arial Narrow" w:hAnsi="Arial Narrow"/>
                <w:sz w:val="20"/>
              </w:rPr>
              <w:instrText xml:space="preserve"> FORMCHECKBOX </w:instrText>
            </w:r>
            <w:r w:rsidR="00DC6394">
              <w:rPr>
                <w:rFonts w:ascii="Arial Narrow" w:hAnsi="Arial Narrow"/>
                <w:sz w:val="20"/>
              </w:rPr>
            </w:r>
            <w:r w:rsidR="00DC6394">
              <w:rPr>
                <w:rFonts w:ascii="Arial Narrow" w:hAnsi="Arial Narrow"/>
                <w:sz w:val="20"/>
              </w:rPr>
              <w:fldChar w:fldCharType="separate"/>
            </w:r>
            <w:r w:rsidRPr="00F875E6">
              <w:rPr>
                <w:rFonts w:ascii="Arial Narrow" w:hAnsi="Arial Narrow"/>
                <w:sz w:val="20"/>
              </w:rPr>
              <w:fldChar w:fldCharType="end"/>
            </w:r>
            <w:r w:rsidRPr="00F875E6">
              <w:rPr>
                <w:rFonts w:ascii="Arial Narrow" w:hAnsi="Arial Narrow"/>
                <w:sz w:val="20"/>
              </w:rPr>
              <w:t>Authority Required - Telephone</w:t>
            </w:r>
          </w:p>
          <w:p w:rsidR="00E445EB" w:rsidRPr="00F875E6" w:rsidRDefault="00E445EB" w:rsidP="00E445EB">
            <w:pPr>
              <w:rPr>
                <w:rFonts w:ascii="Arial Narrow" w:hAnsi="Arial Narrow"/>
                <w:sz w:val="20"/>
              </w:rPr>
            </w:pPr>
            <w:r w:rsidRPr="00F875E6">
              <w:rPr>
                <w:rFonts w:ascii="Arial Narrow" w:hAnsi="Arial Narrow"/>
                <w:sz w:val="20"/>
              </w:rPr>
              <w:fldChar w:fldCharType="begin">
                <w:ffData>
                  <w:name w:val=""/>
                  <w:enabled/>
                  <w:calcOnExit w:val="0"/>
                  <w:checkBox>
                    <w:sizeAuto/>
                    <w:default w:val="0"/>
                  </w:checkBox>
                </w:ffData>
              </w:fldChar>
            </w:r>
            <w:r w:rsidRPr="00F875E6">
              <w:rPr>
                <w:rFonts w:ascii="Arial Narrow" w:hAnsi="Arial Narrow"/>
                <w:sz w:val="20"/>
              </w:rPr>
              <w:instrText xml:space="preserve"> FORMCHECKBOX </w:instrText>
            </w:r>
            <w:r w:rsidR="00DC6394">
              <w:rPr>
                <w:rFonts w:ascii="Arial Narrow" w:hAnsi="Arial Narrow"/>
                <w:sz w:val="20"/>
              </w:rPr>
            </w:r>
            <w:r w:rsidR="00DC6394">
              <w:rPr>
                <w:rFonts w:ascii="Arial Narrow" w:hAnsi="Arial Narrow"/>
                <w:sz w:val="20"/>
              </w:rPr>
              <w:fldChar w:fldCharType="separate"/>
            </w:r>
            <w:r w:rsidRPr="00F875E6">
              <w:rPr>
                <w:rFonts w:ascii="Arial Narrow" w:hAnsi="Arial Narrow"/>
                <w:sz w:val="20"/>
              </w:rPr>
              <w:fldChar w:fldCharType="end"/>
            </w:r>
            <w:r w:rsidRPr="00F875E6">
              <w:rPr>
                <w:rFonts w:ascii="Arial Narrow" w:hAnsi="Arial Narrow"/>
                <w:sz w:val="20"/>
              </w:rPr>
              <w:t>Authority Required – Emergency</w:t>
            </w:r>
          </w:p>
          <w:p w:rsidR="00E445EB" w:rsidRPr="00F875E6" w:rsidRDefault="00E445EB" w:rsidP="00E445EB">
            <w:pPr>
              <w:rPr>
                <w:rFonts w:ascii="Arial Narrow" w:hAnsi="Arial Narrow"/>
                <w:sz w:val="20"/>
              </w:rPr>
            </w:pPr>
            <w:r w:rsidRPr="00F875E6">
              <w:rPr>
                <w:rFonts w:ascii="Arial Narrow" w:hAnsi="Arial Narrow"/>
                <w:sz w:val="20"/>
              </w:rPr>
              <w:fldChar w:fldCharType="begin">
                <w:ffData>
                  <w:name w:val=""/>
                  <w:enabled/>
                  <w:calcOnExit w:val="0"/>
                  <w:checkBox>
                    <w:sizeAuto/>
                    <w:default w:val="0"/>
                  </w:checkBox>
                </w:ffData>
              </w:fldChar>
            </w:r>
            <w:r w:rsidRPr="00F875E6">
              <w:rPr>
                <w:rFonts w:ascii="Arial Narrow" w:hAnsi="Arial Narrow"/>
                <w:sz w:val="20"/>
              </w:rPr>
              <w:instrText xml:space="preserve"> FORMCHECKBOX </w:instrText>
            </w:r>
            <w:r w:rsidR="00DC6394">
              <w:rPr>
                <w:rFonts w:ascii="Arial Narrow" w:hAnsi="Arial Narrow"/>
                <w:sz w:val="20"/>
              </w:rPr>
            </w:r>
            <w:r w:rsidR="00DC6394">
              <w:rPr>
                <w:rFonts w:ascii="Arial Narrow" w:hAnsi="Arial Narrow"/>
                <w:sz w:val="20"/>
              </w:rPr>
              <w:fldChar w:fldCharType="separate"/>
            </w:r>
            <w:r w:rsidRPr="00F875E6">
              <w:rPr>
                <w:rFonts w:ascii="Arial Narrow" w:hAnsi="Arial Narrow"/>
                <w:sz w:val="20"/>
              </w:rPr>
              <w:fldChar w:fldCharType="end"/>
            </w:r>
            <w:r w:rsidRPr="00F875E6">
              <w:rPr>
                <w:rFonts w:ascii="Arial Narrow" w:hAnsi="Arial Narrow"/>
                <w:sz w:val="20"/>
              </w:rPr>
              <w:t>Authority Required - Electronic</w:t>
            </w:r>
          </w:p>
          <w:p w:rsidR="00E445EB" w:rsidRPr="00F875E6" w:rsidRDefault="00E445EB" w:rsidP="00E445EB">
            <w:pPr>
              <w:rPr>
                <w:rFonts w:ascii="Arial Narrow" w:hAnsi="Arial Narrow"/>
                <w:sz w:val="20"/>
              </w:rPr>
            </w:pPr>
            <w:r w:rsidRPr="00F875E6">
              <w:rPr>
                <w:rFonts w:ascii="Arial Narrow" w:hAnsi="Arial Narrow"/>
                <w:sz w:val="20"/>
              </w:rPr>
              <w:fldChar w:fldCharType="begin">
                <w:ffData>
                  <w:name w:val="Check5"/>
                  <w:enabled/>
                  <w:calcOnExit w:val="0"/>
                  <w:checkBox>
                    <w:sizeAuto/>
                    <w:default w:val="0"/>
                  </w:checkBox>
                </w:ffData>
              </w:fldChar>
            </w:r>
            <w:r w:rsidRPr="00F875E6">
              <w:rPr>
                <w:rFonts w:ascii="Arial Narrow" w:hAnsi="Arial Narrow"/>
                <w:sz w:val="20"/>
              </w:rPr>
              <w:instrText xml:space="preserve"> FORMCHECKBOX </w:instrText>
            </w:r>
            <w:r w:rsidR="00DC6394">
              <w:rPr>
                <w:rFonts w:ascii="Arial Narrow" w:hAnsi="Arial Narrow"/>
                <w:sz w:val="20"/>
              </w:rPr>
            </w:r>
            <w:r w:rsidR="00DC6394">
              <w:rPr>
                <w:rFonts w:ascii="Arial Narrow" w:hAnsi="Arial Narrow"/>
                <w:sz w:val="20"/>
              </w:rPr>
              <w:fldChar w:fldCharType="separate"/>
            </w:r>
            <w:r w:rsidRPr="00F875E6">
              <w:rPr>
                <w:rFonts w:ascii="Arial Narrow" w:hAnsi="Arial Narrow"/>
                <w:sz w:val="20"/>
              </w:rPr>
              <w:fldChar w:fldCharType="end"/>
            </w:r>
            <w:r w:rsidRPr="00F875E6">
              <w:rPr>
                <w:rFonts w:ascii="Arial Narrow" w:hAnsi="Arial Narrow"/>
                <w:sz w:val="20"/>
              </w:rPr>
              <w:t>Streamlined</w:t>
            </w:r>
          </w:p>
        </w:tc>
      </w:tr>
      <w:tr w:rsidR="00E445EB" w:rsidRPr="00F875E6" w:rsidTr="00E445EB">
        <w:trPr>
          <w:cantSplit/>
          <w:trHeight w:val="360"/>
        </w:trPr>
        <w:tc>
          <w:tcPr>
            <w:tcW w:w="2835"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b/>
                <w:sz w:val="20"/>
              </w:rPr>
            </w:pPr>
            <w:r w:rsidRPr="00F875E6">
              <w:rPr>
                <w:rFonts w:ascii="Arial Narrow" w:hAnsi="Arial Narrow"/>
                <w:b/>
                <w:sz w:val="20"/>
              </w:rPr>
              <w:t>Clinical criteria:</w:t>
            </w:r>
          </w:p>
          <w:p w:rsidR="00E445EB" w:rsidRPr="00F875E6" w:rsidRDefault="00E445EB" w:rsidP="00E445EB">
            <w:pPr>
              <w:rPr>
                <w:rFonts w:ascii="Arial Narrow" w:hAnsi="Arial Narrow"/>
                <w:sz w:val="20"/>
              </w:rPr>
            </w:pPr>
          </w:p>
        </w:tc>
        <w:tc>
          <w:tcPr>
            <w:tcW w:w="5954"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sz w:val="20"/>
              </w:rPr>
            </w:pPr>
            <w:r w:rsidRPr="00F875E6">
              <w:rPr>
                <w:rFonts w:ascii="Arial Narrow" w:hAnsi="Arial Narrow"/>
                <w:sz w:val="20"/>
              </w:rPr>
              <w:t xml:space="preserve">The treatment must be the sole PBS-subsidised therapy for this condition </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r w:rsidRPr="00F875E6">
              <w:rPr>
                <w:rFonts w:ascii="Arial Narrow" w:hAnsi="Arial Narrow"/>
                <w:sz w:val="20"/>
              </w:rPr>
              <w:t>AND</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r w:rsidRPr="00F875E6">
              <w:rPr>
                <w:rFonts w:ascii="Arial Narrow" w:hAnsi="Arial Narrow"/>
                <w:sz w:val="20"/>
              </w:rPr>
              <w:t>Patient must be expressing the T315I mutation</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r w:rsidRPr="00F875E6">
              <w:rPr>
                <w:rFonts w:ascii="Arial Narrow" w:hAnsi="Arial Narrow"/>
                <w:sz w:val="20"/>
              </w:rPr>
              <w:t>AND</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r w:rsidRPr="00F875E6">
              <w:rPr>
                <w:rFonts w:ascii="Arial Narrow" w:hAnsi="Arial Narrow"/>
                <w:sz w:val="20"/>
              </w:rPr>
              <w:t>Patient must have failed treatment with chemotherapy,</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r w:rsidRPr="00F875E6">
              <w:rPr>
                <w:rFonts w:ascii="Arial Narrow" w:hAnsi="Arial Narrow"/>
                <w:sz w:val="20"/>
              </w:rPr>
              <w:t>AND</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r w:rsidRPr="00F875E6">
              <w:rPr>
                <w:rFonts w:ascii="Arial Narrow" w:hAnsi="Arial Narrow"/>
                <w:sz w:val="20"/>
              </w:rPr>
              <w:t>Patient must have failed treatment with PBS-subsidised imatinib for this condition,</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r w:rsidRPr="00F875E6">
              <w:rPr>
                <w:rFonts w:ascii="Arial Narrow" w:hAnsi="Arial Narrow"/>
                <w:sz w:val="20"/>
              </w:rPr>
              <w:t>AND</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r w:rsidRPr="00F875E6">
              <w:rPr>
                <w:rFonts w:ascii="Arial Narrow" w:hAnsi="Arial Narrow"/>
                <w:sz w:val="20"/>
              </w:rPr>
              <w:t xml:space="preserve">Patient must have failed allogeneic haemopoietic stem cell transplantation (where appropriate). </w:t>
            </w:r>
          </w:p>
          <w:p w:rsidR="00E445EB" w:rsidRPr="00F875E6" w:rsidRDefault="00E445EB" w:rsidP="00E445EB">
            <w:pPr>
              <w:rPr>
                <w:rFonts w:ascii="Arial Narrow" w:hAnsi="Arial Narrow"/>
                <w:sz w:val="20"/>
              </w:rPr>
            </w:pPr>
          </w:p>
        </w:tc>
      </w:tr>
      <w:tr w:rsidR="00E445EB" w:rsidRPr="00F875E6" w:rsidTr="00E445EB">
        <w:trPr>
          <w:trHeight w:val="360"/>
        </w:trPr>
        <w:tc>
          <w:tcPr>
            <w:tcW w:w="2835"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b/>
                <w:sz w:val="20"/>
              </w:rPr>
            </w:pPr>
            <w:r w:rsidRPr="00F875E6">
              <w:rPr>
                <w:rFonts w:ascii="Arial Narrow" w:hAnsi="Arial Narrow"/>
                <w:b/>
                <w:sz w:val="20"/>
              </w:rPr>
              <w:t>Prescriber Instructions</w:t>
            </w:r>
          </w:p>
          <w:p w:rsidR="00E445EB" w:rsidRPr="00F875E6" w:rsidRDefault="00E445EB" w:rsidP="00E445EB">
            <w:pPr>
              <w:rPr>
                <w:rFonts w:ascii="Arial Narrow" w:hAnsi="Arial Narrow"/>
                <w:sz w:val="20"/>
              </w:rPr>
            </w:pPr>
          </w:p>
        </w:tc>
        <w:tc>
          <w:tcPr>
            <w:tcW w:w="5954"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sz w:val="20"/>
                <w:lang w:val="en-GB"/>
              </w:rPr>
            </w:pPr>
            <w:r w:rsidRPr="00F875E6">
              <w:rPr>
                <w:rFonts w:ascii="Arial Narrow" w:hAnsi="Arial Narrow"/>
                <w:sz w:val="20"/>
                <w:lang w:val="en-GB"/>
              </w:rPr>
              <w:t>Failure of treatment is defined as either:</w:t>
            </w:r>
          </w:p>
          <w:p w:rsidR="00E445EB" w:rsidRPr="00F875E6" w:rsidRDefault="00E445EB" w:rsidP="00E445EB">
            <w:pPr>
              <w:rPr>
                <w:rFonts w:ascii="Arial Narrow" w:hAnsi="Arial Narrow"/>
                <w:sz w:val="20"/>
                <w:lang w:val="en-GB"/>
              </w:rPr>
            </w:pPr>
            <w:r w:rsidRPr="00F875E6">
              <w:rPr>
                <w:rFonts w:ascii="Arial Narrow" w:hAnsi="Arial Narrow"/>
                <w:sz w:val="20"/>
                <w:lang w:val="en-GB"/>
              </w:rPr>
              <w:t xml:space="preserve">1. Failure to achieve a complete morphological and cytogenetic remission after a minimum of 2 months treatment with intensive chemotherapy and imatinib </w:t>
            </w:r>
            <w:r w:rsidR="006F6857" w:rsidRPr="00F875E6">
              <w:rPr>
                <w:rFonts w:ascii="Arial Narrow" w:hAnsi="Arial Narrow"/>
                <w:sz w:val="20"/>
                <w:lang w:val="en-GB"/>
              </w:rPr>
              <w:t xml:space="preserve">OR </w:t>
            </w:r>
            <w:r w:rsidRPr="00F875E6">
              <w:rPr>
                <w:rFonts w:ascii="Arial Narrow" w:hAnsi="Arial Narrow"/>
                <w:sz w:val="20"/>
                <w:lang w:val="en-GB"/>
              </w:rPr>
              <w:t>dasatinib;</w:t>
            </w:r>
          </w:p>
          <w:p w:rsidR="00E445EB" w:rsidRPr="00F875E6" w:rsidRDefault="00E445EB" w:rsidP="00E445EB">
            <w:pPr>
              <w:rPr>
                <w:rFonts w:ascii="Arial Narrow" w:hAnsi="Arial Narrow"/>
                <w:sz w:val="20"/>
                <w:lang w:val="en-GB"/>
              </w:rPr>
            </w:pPr>
            <w:r w:rsidRPr="00F875E6">
              <w:rPr>
                <w:rFonts w:ascii="Arial Narrow" w:hAnsi="Arial Narrow"/>
                <w:sz w:val="20"/>
                <w:lang w:val="en-GB"/>
              </w:rPr>
              <w:t xml:space="preserve">2. Morphological or cytogenetic relapse of leukaemia after achieving a complete remission induced by chemotherapy and imatinib </w:t>
            </w:r>
            <w:r w:rsidR="006F6857" w:rsidRPr="00F875E6">
              <w:rPr>
                <w:rFonts w:ascii="Arial Narrow" w:hAnsi="Arial Narrow"/>
                <w:sz w:val="20"/>
                <w:lang w:val="en-GB"/>
              </w:rPr>
              <w:t xml:space="preserve">OR </w:t>
            </w:r>
            <w:r w:rsidRPr="00F875E6">
              <w:rPr>
                <w:rFonts w:ascii="Arial Narrow" w:hAnsi="Arial Narrow"/>
                <w:sz w:val="20"/>
                <w:lang w:val="en-GB"/>
              </w:rPr>
              <w:t>dasatinib;</w:t>
            </w:r>
          </w:p>
          <w:p w:rsidR="00E445EB" w:rsidRPr="00F875E6" w:rsidRDefault="00E445EB" w:rsidP="00E445EB">
            <w:pPr>
              <w:rPr>
                <w:rFonts w:ascii="Arial Narrow" w:hAnsi="Arial Narrow"/>
                <w:sz w:val="20"/>
                <w:lang w:val="en-GB"/>
              </w:rPr>
            </w:pPr>
            <w:r w:rsidRPr="00F875E6">
              <w:rPr>
                <w:rFonts w:ascii="Arial Narrow" w:hAnsi="Arial Narrow"/>
                <w:sz w:val="20"/>
                <w:lang w:val="en-GB"/>
              </w:rPr>
              <w:t>3. Morphological or cytogenetic relapse or persistence of leukaemia after allogeneic haemopoietic stem cell transplantation.</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lang w:val="en-GB"/>
              </w:rPr>
            </w:pPr>
            <w:r w:rsidRPr="00F875E6">
              <w:rPr>
                <w:rFonts w:ascii="Arial Narrow" w:hAnsi="Arial Narrow"/>
                <w:sz w:val="20"/>
                <w:lang w:val="en-GB"/>
              </w:rPr>
              <w:t>Patients must have active leukaemia, as defined by presence on current pathology assessments of either morphological infiltration of the bone marrow (greater than 5% lymphoblasts) or cerebrospinal fluid or other sites; OR the presence of cells bearing the Philadelphia chromosome on cytogenetic or FISH analysis in the bone marrow of patients in morphological remission.</w:t>
            </w:r>
          </w:p>
        </w:tc>
      </w:tr>
      <w:tr w:rsidR="00E445EB" w:rsidRPr="00F875E6" w:rsidTr="00E445EB">
        <w:trPr>
          <w:cantSplit/>
          <w:trHeight w:val="360"/>
        </w:trPr>
        <w:tc>
          <w:tcPr>
            <w:tcW w:w="2835"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b/>
                <w:sz w:val="20"/>
              </w:rPr>
            </w:pPr>
            <w:r w:rsidRPr="00F875E6">
              <w:rPr>
                <w:rFonts w:ascii="Arial Narrow" w:hAnsi="Arial Narrow"/>
                <w:b/>
                <w:sz w:val="20"/>
              </w:rPr>
              <w:t>Administrative Advice</w:t>
            </w:r>
          </w:p>
          <w:p w:rsidR="00E445EB" w:rsidRPr="00F875E6" w:rsidRDefault="00E445EB" w:rsidP="00E445EB">
            <w:pPr>
              <w:rPr>
                <w:rFonts w:ascii="Arial Narrow" w:hAnsi="Arial Narrow"/>
                <w:i/>
                <w:sz w:val="20"/>
              </w:rPr>
            </w:pPr>
          </w:p>
        </w:tc>
        <w:tc>
          <w:tcPr>
            <w:tcW w:w="5954"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sz w:val="20"/>
                <w:lang w:val="en-GB"/>
              </w:rPr>
            </w:pPr>
            <w:r w:rsidRPr="00F875E6">
              <w:rPr>
                <w:rFonts w:ascii="Arial Narrow" w:hAnsi="Arial Narrow"/>
                <w:sz w:val="20"/>
                <w:lang w:val="en-GB"/>
              </w:rPr>
              <w:t>The authority application must be made in writing and must include:</w:t>
            </w:r>
          </w:p>
          <w:p w:rsidR="00E445EB" w:rsidRPr="00F875E6" w:rsidRDefault="00E445EB" w:rsidP="00E445EB">
            <w:pPr>
              <w:rPr>
                <w:rFonts w:ascii="Arial Narrow" w:hAnsi="Arial Narrow"/>
                <w:sz w:val="20"/>
                <w:lang w:val="en-GB"/>
              </w:rPr>
            </w:pPr>
            <w:r w:rsidRPr="00F875E6">
              <w:rPr>
                <w:rFonts w:ascii="Arial Narrow" w:hAnsi="Arial Narrow"/>
                <w:sz w:val="20"/>
                <w:lang w:val="en-GB"/>
              </w:rPr>
              <w:t>1. a completed authority prescription form; and</w:t>
            </w:r>
          </w:p>
          <w:p w:rsidR="00E445EB" w:rsidRPr="00F875E6" w:rsidRDefault="00E445EB" w:rsidP="00E445EB">
            <w:pPr>
              <w:rPr>
                <w:rFonts w:ascii="Arial Narrow" w:hAnsi="Arial Narrow"/>
                <w:sz w:val="20"/>
                <w:lang w:val="en-GB"/>
              </w:rPr>
            </w:pPr>
            <w:r w:rsidRPr="00F875E6">
              <w:rPr>
                <w:rFonts w:ascii="Arial Narrow" w:hAnsi="Arial Narrow"/>
                <w:sz w:val="20"/>
                <w:lang w:val="en-GB"/>
              </w:rPr>
              <w:t xml:space="preserve">2. a completed </w:t>
            </w:r>
            <w:r w:rsidR="00097296" w:rsidRPr="00F875E6">
              <w:rPr>
                <w:rFonts w:ascii="Arial Narrow" w:hAnsi="Arial Narrow"/>
                <w:sz w:val="20"/>
                <w:lang w:val="en-GB"/>
              </w:rPr>
              <w:t>[To be confirmed]</w:t>
            </w:r>
            <w:r w:rsidRPr="00F875E6">
              <w:rPr>
                <w:rFonts w:ascii="Arial Narrow" w:hAnsi="Arial Narrow"/>
                <w:sz w:val="20"/>
                <w:lang w:val="en-GB"/>
              </w:rPr>
              <w:t xml:space="preserve"> PBS Authority Application - Supporting Information Form; and</w:t>
            </w:r>
          </w:p>
          <w:p w:rsidR="00E445EB" w:rsidRPr="00F875E6" w:rsidRDefault="00E445EB" w:rsidP="00E445EB">
            <w:pPr>
              <w:rPr>
                <w:rFonts w:ascii="Arial Narrow" w:hAnsi="Arial Narrow"/>
                <w:sz w:val="20"/>
                <w:lang w:val="en-GB"/>
              </w:rPr>
            </w:pPr>
            <w:r w:rsidRPr="00F875E6">
              <w:rPr>
                <w:rFonts w:ascii="Arial Narrow" w:hAnsi="Arial Narrow"/>
                <w:sz w:val="20"/>
                <w:lang w:val="en-GB"/>
              </w:rPr>
              <w:t>3. a signed patient acknowledgement; and</w:t>
            </w:r>
          </w:p>
          <w:p w:rsidR="00E445EB" w:rsidRPr="00F875E6" w:rsidRDefault="00E445EB" w:rsidP="00E445EB">
            <w:pPr>
              <w:rPr>
                <w:rFonts w:ascii="Arial Narrow" w:hAnsi="Arial Narrow"/>
                <w:sz w:val="20"/>
              </w:rPr>
            </w:pPr>
            <w:r w:rsidRPr="00F875E6">
              <w:rPr>
                <w:rFonts w:ascii="Arial Narrow" w:hAnsi="Arial Narrow"/>
                <w:sz w:val="20"/>
              </w:rPr>
              <w:t>4. a pathology report demonstrating that the patient has active acute lymphoblastic leukaemia, either manifest as cytogenetic evidence of the Philadelphia chromosome, or morphological evidence of acute lymphoblastic leukaemia plus qualitative RT-PCR evidence of BCR-ABL transcript.</w:t>
            </w:r>
            <w:r w:rsidR="00E10E49" w:rsidRPr="00F875E6">
              <w:rPr>
                <w:rFonts w:ascii="Arial Narrow" w:hAnsi="Arial Narrow"/>
                <w:sz w:val="20"/>
              </w:rPr>
              <w:t>; and evidence of the T315I mutation.</w:t>
            </w:r>
            <w:r w:rsidRPr="00F875E6">
              <w:rPr>
                <w:rFonts w:ascii="Arial Narrow" w:hAnsi="Arial Narrow"/>
                <w:sz w:val="20"/>
              </w:rPr>
              <w:t xml:space="preserve"> The date of the relevant pathology report(s) need(s) to be provided</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r w:rsidRPr="00F875E6">
              <w:rPr>
                <w:rFonts w:ascii="Arial Narrow" w:hAnsi="Arial Narrow"/>
                <w:sz w:val="20"/>
              </w:rPr>
              <w:t xml:space="preserve">Any queries concerning the arrangements to prescribe may be directed to the Department of Human Services on 1800 700 270 (hours of operation 8 a.m. to 5 p.m. EST Monday to Friday). </w:t>
            </w:r>
          </w:p>
          <w:p w:rsidR="00E445EB" w:rsidRPr="00F875E6" w:rsidRDefault="00E445EB" w:rsidP="00E445EB">
            <w:pPr>
              <w:rPr>
                <w:rFonts w:ascii="Arial Narrow" w:hAnsi="Arial Narrow"/>
                <w:sz w:val="20"/>
              </w:rPr>
            </w:pPr>
            <w:r w:rsidRPr="00F875E6">
              <w:rPr>
                <w:rFonts w:ascii="Arial Narrow" w:hAnsi="Arial Narrow"/>
                <w:sz w:val="20"/>
              </w:rPr>
              <w:t>Prescribing information (including Authority Application forms and other relevant documentation as applicable) is available on the Department of Human Services website at www.humanservices.gov.au</w:t>
            </w:r>
          </w:p>
          <w:p w:rsidR="00E445EB" w:rsidRPr="00F875E6" w:rsidRDefault="00E445EB" w:rsidP="00E445EB">
            <w:pPr>
              <w:rPr>
                <w:rFonts w:ascii="Arial Narrow" w:hAnsi="Arial Narrow"/>
                <w:sz w:val="20"/>
              </w:rPr>
            </w:pPr>
            <w:r w:rsidRPr="00F875E6">
              <w:rPr>
                <w:rFonts w:ascii="Arial Narrow" w:hAnsi="Arial Narrow"/>
                <w:sz w:val="20"/>
              </w:rPr>
              <w:t xml:space="preserve">Applications for authority to prescribe should be forwarded to: </w:t>
            </w:r>
          </w:p>
          <w:p w:rsidR="00E445EB" w:rsidRPr="00F875E6" w:rsidRDefault="00E445EB" w:rsidP="00E445EB">
            <w:pPr>
              <w:rPr>
                <w:rFonts w:ascii="Arial Narrow" w:hAnsi="Arial Narrow"/>
                <w:sz w:val="20"/>
              </w:rPr>
            </w:pPr>
            <w:r w:rsidRPr="00F875E6">
              <w:rPr>
                <w:rFonts w:ascii="Arial Narrow" w:hAnsi="Arial Narrow"/>
                <w:sz w:val="20"/>
              </w:rPr>
              <w:t>Department of Human Services</w:t>
            </w:r>
          </w:p>
          <w:p w:rsidR="00E445EB" w:rsidRPr="00F875E6" w:rsidRDefault="00E445EB" w:rsidP="00E445EB">
            <w:pPr>
              <w:rPr>
                <w:rFonts w:ascii="Arial Narrow" w:hAnsi="Arial Narrow"/>
                <w:sz w:val="20"/>
              </w:rPr>
            </w:pPr>
            <w:r w:rsidRPr="00F875E6">
              <w:rPr>
                <w:rFonts w:ascii="Arial Narrow" w:hAnsi="Arial Narrow"/>
                <w:sz w:val="20"/>
              </w:rPr>
              <w:t xml:space="preserve">Prior Written Approval of Complex Drugs </w:t>
            </w:r>
          </w:p>
          <w:p w:rsidR="00E445EB" w:rsidRPr="00F875E6" w:rsidRDefault="00E445EB" w:rsidP="00E445EB">
            <w:pPr>
              <w:rPr>
                <w:rFonts w:ascii="Arial Narrow" w:hAnsi="Arial Narrow"/>
                <w:sz w:val="20"/>
              </w:rPr>
            </w:pPr>
            <w:r w:rsidRPr="00F875E6">
              <w:rPr>
                <w:rFonts w:ascii="Arial Narrow" w:hAnsi="Arial Narrow"/>
                <w:sz w:val="20"/>
              </w:rPr>
              <w:t xml:space="preserve">Reply Paid 9826 </w:t>
            </w:r>
          </w:p>
          <w:p w:rsidR="00E445EB" w:rsidRPr="00F875E6" w:rsidRDefault="00E445EB" w:rsidP="00E445EB">
            <w:pPr>
              <w:rPr>
                <w:rFonts w:ascii="Arial Narrow" w:hAnsi="Arial Narrow"/>
                <w:sz w:val="20"/>
              </w:rPr>
            </w:pPr>
            <w:r w:rsidRPr="00F875E6">
              <w:rPr>
                <w:rFonts w:ascii="Arial Narrow" w:hAnsi="Arial Narrow"/>
                <w:sz w:val="20"/>
              </w:rPr>
              <w:t xml:space="preserve">GPO Box 9826 </w:t>
            </w:r>
          </w:p>
          <w:p w:rsidR="00E445EB" w:rsidRPr="00F875E6" w:rsidRDefault="00E445EB" w:rsidP="00E445EB">
            <w:pPr>
              <w:rPr>
                <w:rFonts w:ascii="Arial Narrow" w:hAnsi="Arial Narrow"/>
                <w:sz w:val="20"/>
              </w:rPr>
            </w:pPr>
            <w:r w:rsidRPr="00F875E6">
              <w:rPr>
                <w:rFonts w:ascii="Arial Narrow" w:hAnsi="Arial Narrow"/>
                <w:sz w:val="20"/>
              </w:rPr>
              <w:t>HOBART TAS 7001</w:t>
            </w:r>
          </w:p>
        </w:tc>
      </w:tr>
    </w:tbl>
    <w:p w:rsidR="00E445EB" w:rsidRPr="00F875E6" w:rsidRDefault="00E445EB" w:rsidP="00E445EB">
      <w:pPr>
        <w:rPr>
          <w:szCs w:val="22"/>
        </w:rPr>
      </w:pPr>
    </w:p>
    <w:p w:rsidR="00E445EB" w:rsidRPr="00F875E6" w:rsidRDefault="00E445EB" w:rsidP="00E445EB">
      <w:pPr>
        <w:rPr>
          <w:szCs w:val="22"/>
        </w:rPr>
      </w:pPr>
      <w:r w:rsidRPr="00F875E6">
        <w:rPr>
          <w:rFonts w:ascii="Arial Narrow" w:hAnsi="Arial Narrow"/>
          <w:b/>
          <w:i/>
          <w:szCs w:val="22"/>
          <w:u w:val="single"/>
        </w:rPr>
        <w:t>Ph+ ALL (continuing)</w:t>
      </w:r>
    </w:p>
    <w:tbl>
      <w:tblPr>
        <w:tblW w:w="8789" w:type="dxa"/>
        <w:tblInd w:w="108" w:type="dxa"/>
        <w:tblLayout w:type="fixed"/>
        <w:tblLook w:val="0000" w:firstRow="0" w:lastRow="0" w:firstColumn="0" w:lastColumn="0" w:noHBand="0" w:noVBand="0"/>
      </w:tblPr>
      <w:tblGrid>
        <w:gridCol w:w="2835"/>
        <w:gridCol w:w="5954"/>
      </w:tblGrid>
      <w:tr w:rsidR="00E445EB" w:rsidRPr="00F875E6" w:rsidTr="00E445EB">
        <w:trPr>
          <w:cantSplit/>
          <w:trHeight w:val="360"/>
        </w:trPr>
        <w:tc>
          <w:tcPr>
            <w:tcW w:w="2835"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b/>
                <w:sz w:val="20"/>
              </w:rPr>
            </w:pPr>
            <w:r w:rsidRPr="00F875E6">
              <w:rPr>
                <w:rFonts w:ascii="Arial Narrow" w:hAnsi="Arial Narrow"/>
                <w:b/>
                <w:sz w:val="20"/>
              </w:rPr>
              <w:t xml:space="preserve">Category / </w:t>
            </w:r>
          </w:p>
          <w:p w:rsidR="00E445EB" w:rsidRPr="00F875E6" w:rsidRDefault="00E445EB" w:rsidP="00E445EB">
            <w:pPr>
              <w:rPr>
                <w:rFonts w:ascii="Arial Narrow" w:hAnsi="Arial Narrow"/>
                <w:b/>
                <w:sz w:val="20"/>
              </w:rPr>
            </w:pPr>
            <w:r w:rsidRPr="00F875E6">
              <w:rPr>
                <w:rFonts w:ascii="Arial Narrow" w:hAnsi="Arial Narrow"/>
                <w:b/>
                <w:sz w:val="20"/>
              </w:rPr>
              <w:t>Program</w:t>
            </w:r>
          </w:p>
        </w:tc>
        <w:tc>
          <w:tcPr>
            <w:tcW w:w="5954"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sz w:val="20"/>
              </w:rPr>
            </w:pPr>
            <w:r w:rsidRPr="00F875E6">
              <w:rPr>
                <w:rFonts w:ascii="Arial Narrow" w:hAnsi="Arial Narrow"/>
                <w:sz w:val="20"/>
              </w:rPr>
              <w:t>GENERAL – General Schedule (Code GE)</w:t>
            </w:r>
          </w:p>
          <w:p w:rsidR="00E445EB" w:rsidRPr="00F875E6" w:rsidRDefault="00E445EB" w:rsidP="00E445EB">
            <w:pPr>
              <w:rPr>
                <w:rFonts w:ascii="Arial Narrow" w:hAnsi="Arial Narrow"/>
                <w:sz w:val="20"/>
              </w:rPr>
            </w:pPr>
          </w:p>
        </w:tc>
      </w:tr>
      <w:tr w:rsidR="00E445EB" w:rsidRPr="00F875E6" w:rsidTr="00E445EB">
        <w:trPr>
          <w:cantSplit/>
          <w:trHeight w:val="360"/>
        </w:trPr>
        <w:tc>
          <w:tcPr>
            <w:tcW w:w="2835"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b/>
                <w:sz w:val="20"/>
              </w:rPr>
            </w:pPr>
            <w:r w:rsidRPr="00F875E6">
              <w:rPr>
                <w:rFonts w:ascii="Arial Narrow" w:hAnsi="Arial Narrow"/>
                <w:b/>
                <w:sz w:val="20"/>
              </w:rPr>
              <w:t>Prescriber type:</w:t>
            </w:r>
          </w:p>
          <w:p w:rsidR="00E445EB" w:rsidRPr="00F875E6" w:rsidRDefault="00E445EB" w:rsidP="00E445EB">
            <w:pPr>
              <w:rPr>
                <w:rFonts w:ascii="Arial Narrow" w:hAnsi="Arial Narrow"/>
                <w:b/>
                <w:sz w:val="20"/>
              </w:rPr>
            </w:pPr>
          </w:p>
        </w:tc>
        <w:tc>
          <w:tcPr>
            <w:tcW w:w="5954"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sz w:val="20"/>
              </w:rPr>
            </w:pPr>
            <w:r w:rsidRPr="00F875E6">
              <w:rPr>
                <w:rFonts w:ascii="Arial Narrow" w:hAnsi="Arial Narrow"/>
                <w:sz w:val="20"/>
              </w:rPr>
              <w:fldChar w:fldCharType="begin">
                <w:ffData>
                  <w:name w:val="Check1"/>
                  <w:enabled/>
                  <w:calcOnExit w:val="0"/>
                  <w:checkBox>
                    <w:sizeAuto/>
                    <w:default w:val="0"/>
                  </w:checkBox>
                </w:ffData>
              </w:fldChar>
            </w:r>
            <w:r w:rsidRPr="00F875E6">
              <w:rPr>
                <w:rFonts w:ascii="Arial Narrow" w:hAnsi="Arial Narrow"/>
                <w:sz w:val="20"/>
              </w:rPr>
              <w:instrText xml:space="preserve"> FORMCHECKBOX </w:instrText>
            </w:r>
            <w:r w:rsidR="00DC6394">
              <w:rPr>
                <w:rFonts w:ascii="Arial Narrow" w:hAnsi="Arial Narrow"/>
                <w:sz w:val="20"/>
              </w:rPr>
            </w:r>
            <w:r w:rsidR="00DC6394">
              <w:rPr>
                <w:rFonts w:ascii="Arial Narrow" w:hAnsi="Arial Narrow"/>
                <w:sz w:val="20"/>
              </w:rPr>
              <w:fldChar w:fldCharType="separate"/>
            </w:r>
            <w:r w:rsidRPr="00F875E6">
              <w:rPr>
                <w:rFonts w:ascii="Arial Narrow" w:hAnsi="Arial Narrow"/>
                <w:sz w:val="20"/>
              </w:rPr>
              <w:fldChar w:fldCharType="end"/>
            </w:r>
            <w:r w:rsidRPr="00F875E6">
              <w:rPr>
                <w:rFonts w:ascii="Arial Narrow" w:hAnsi="Arial Narrow"/>
                <w:sz w:val="20"/>
              </w:rPr>
              <w:t xml:space="preserve">Dental  </w:t>
            </w:r>
            <w:r w:rsidRPr="00F875E6">
              <w:rPr>
                <w:rFonts w:ascii="Arial Narrow" w:hAnsi="Arial Narrow"/>
                <w:sz w:val="20"/>
              </w:rPr>
              <w:fldChar w:fldCharType="begin">
                <w:ffData>
                  <w:name w:val=""/>
                  <w:enabled/>
                  <w:calcOnExit w:val="0"/>
                  <w:checkBox>
                    <w:sizeAuto/>
                    <w:default w:val="1"/>
                  </w:checkBox>
                </w:ffData>
              </w:fldChar>
            </w:r>
            <w:r w:rsidRPr="00F875E6">
              <w:rPr>
                <w:rFonts w:ascii="Arial Narrow" w:hAnsi="Arial Narrow"/>
                <w:sz w:val="20"/>
              </w:rPr>
              <w:instrText xml:space="preserve"> FORMCHECKBOX </w:instrText>
            </w:r>
            <w:r w:rsidR="00DC6394">
              <w:rPr>
                <w:rFonts w:ascii="Arial Narrow" w:hAnsi="Arial Narrow"/>
                <w:sz w:val="20"/>
              </w:rPr>
            </w:r>
            <w:r w:rsidR="00DC6394">
              <w:rPr>
                <w:rFonts w:ascii="Arial Narrow" w:hAnsi="Arial Narrow"/>
                <w:sz w:val="20"/>
              </w:rPr>
              <w:fldChar w:fldCharType="separate"/>
            </w:r>
            <w:r w:rsidRPr="00F875E6">
              <w:rPr>
                <w:rFonts w:ascii="Arial Narrow" w:hAnsi="Arial Narrow"/>
                <w:sz w:val="20"/>
              </w:rPr>
              <w:fldChar w:fldCharType="end"/>
            </w:r>
            <w:r w:rsidRPr="00F875E6">
              <w:rPr>
                <w:rFonts w:ascii="Arial Narrow" w:hAnsi="Arial Narrow"/>
                <w:sz w:val="20"/>
              </w:rPr>
              <w:t xml:space="preserve">Medical Practitioners  </w:t>
            </w:r>
            <w:r w:rsidRPr="00F875E6">
              <w:rPr>
                <w:rFonts w:ascii="Arial Narrow" w:hAnsi="Arial Narrow"/>
                <w:sz w:val="20"/>
              </w:rPr>
              <w:fldChar w:fldCharType="begin">
                <w:ffData>
                  <w:name w:val="Check3"/>
                  <w:enabled/>
                  <w:calcOnExit w:val="0"/>
                  <w:checkBox>
                    <w:sizeAuto/>
                    <w:default w:val="0"/>
                  </w:checkBox>
                </w:ffData>
              </w:fldChar>
            </w:r>
            <w:r w:rsidRPr="00F875E6">
              <w:rPr>
                <w:rFonts w:ascii="Arial Narrow" w:hAnsi="Arial Narrow"/>
                <w:sz w:val="20"/>
              </w:rPr>
              <w:instrText xml:space="preserve"> FORMCHECKBOX </w:instrText>
            </w:r>
            <w:r w:rsidR="00DC6394">
              <w:rPr>
                <w:rFonts w:ascii="Arial Narrow" w:hAnsi="Arial Narrow"/>
                <w:sz w:val="20"/>
              </w:rPr>
            </w:r>
            <w:r w:rsidR="00DC6394">
              <w:rPr>
                <w:rFonts w:ascii="Arial Narrow" w:hAnsi="Arial Narrow"/>
                <w:sz w:val="20"/>
              </w:rPr>
              <w:fldChar w:fldCharType="separate"/>
            </w:r>
            <w:r w:rsidRPr="00F875E6">
              <w:rPr>
                <w:rFonts w:ascii="Arial Narrow" w:hAnsi="Arial Narrow"/>
                <w:sz w:val="20"/>
              </w:rPr>
              <w:fldChar w:fldCharType="end"/>
            </w:r>
            <w:r w:rsidRPr="00F875E6">
              <w:rPr>
                <w:rFonts w:ascii="Arial Narrow" w:hAnsi="Arial Narrow"/>
                <w:sz w:val="20"/>
              </w:rPr>
              <w:t xml:space="preserve">Nurse practitioners  </w:t>
            </w:r>
            <w:r w:rsidRPr="00F875E6">
              <w:rPr>
                <w:rFonts w:ascii="Arial Narrow" w:hAnsi="Arial Narrow"/>
                <w:sz w:val="20"/>
              </w:rPr>
              <w:fldChar w:fldCharType="begin">
                <w:ffData>
                  <w:name w:val=""/>
                  <w:enabled/>
                  <w:calcOnExit w:val="0"/>
                  <w:checkBox>
                    <w:sizeAuto/>
                    <w:default w:val="0"/>
                  </w:checkBox>
                </w:ffData>
              </w:fldChar>
            </w:r>
            <w:r w:rsidRPr="00F875E6">
              <w:rPr>
                <w:rFonts w:ascii="Arial Narrow" w:hAnsi="Arial Narrow"/>
                <w:sz w:val="20"/>
              </w:rPr>
              <w:instrText xml:space="preserve"> FORMCHECKBOX </w:instrText>
            </w:r>
            <w:r w:rsidR="00DC6394">
              <w:rPr>
                <w:rFonts w:ascii="Arial Narrow" w:hAnsi="Arial Narrow"/>
                <w:sz w:val="20"/>
              </w:rPr>
            </w:r>
            <w:r w:rsidR="00DC6394">
              <w:rPr>
                <w:rFonts w:ascii="Arial Narrow" w:hAnsi="Arial Narrow"/>
                <w:sz w:val="20"/>
              </w:rPr>
              <w:fldChar w:fldCharType="separate"/>
            </w:r>
            <w:r w:rsidRPr="00F875E6">
              <w:rPr>
                <w:rFonts w:ascii="Arial Narrow" w:hAnsi="Arial Narrow"/>
                <w:sz w:val="20"/>
              </w:rPr>
              <w:fldChar w:fldCharType="end"/>
            </w:r>
            <w:r w:rsidRPr="00F875E6">
              <w:rPr>
                <w:rFonts w:ascii="Arial Narrow" w:hAnsi="Arial Narrow"/>
                <w:sz w:val="20"/>
              </w:rPr>
              <w:t>Optometrists</w:t>
            </w:r>
          </w:p>
          <w:p w:rsidR="00E445EB" w:rsidRPr="00F875E6" w:rsidRDefault="00E445EB" w:rsidP="00E445EB">
            <w:pPr>
              <w:rPr>
                <w:rFonts w:ascii="Arial Narrow" w:hAnsi="Arial Narrow"/>
                <w:sz w:val="20"/>
              </w:rPr>
            </w:pPr>
            <w:r w:rsidRPr="00F875E6">
              <w:rPr>
                <w:rFonts w:ascii="Arial Narrow" w:hAnsi="Arial Narrow"/>
                <w:sz w:val="20"/>
              </w:rPr>
              <w:fldChar w:fldCharType="begin">
                <w:ffData>
                  <w:name w:val="Check5"/>
                  <w:enabled/>
                  <w:calcOnExit w:val="0"/>
                  <w:checkBox>
                    <w:sizeAuto/>
                    <w:default w:val="0"/>
                  </w:checkBox>
                </w:ffData>
              </w:fldChar>
            </w:r>
            <w:r w:rsidRPr="00F875E6">
              <w:rPr>
                <w:rFonts w:ascii="Arial Narrow" w:hAnsi="Arial Narrow"/>
                <w:sz w:val="20"/>
              </w:rPr>
              <w:instrText xml:space="preserve"> FORMCHECKBOX </w:instrText>
            </w:r>
            <w:r w:rsidR="00DC6394">
              <w:rPr>
                <w:rFonts w:ascii="Arial Narrow" w:hAnsi="Arial Narrow"/>
                <w:sz w:val="20"/>
              </w:rPr>
            </w:r>
            <w:r w:rsidR="00DC6394">
              <w:rPr>
                <w:rFonts w:ascii="Arial Narrow" w:hAnsi="Arial Narrow"/>
                <w:sz w:val="20"/>
              </w:rPr>
              <w:fldChar w:fldCharType="separate"/>
            </w:r>
            <w:r w:rsidRPr="00F875E6">
              <w:rPr>
                <w:rFonts w:ascii="Arial Narrow" w:hAnsi="Arial Narrow"/>
                <w:sz w:val="20"/>
              </w:rPr>
              <w:fldChar w:fldCharType="end"/>
            </w:r>
            <w:r w:rsidRPr="00F875E6">
              <w:rPr>
                <w:rFonts w:ascii="Arial Narrow" w:hAnsi="Arial Narrow"/>
                <w:sz w:val="20"/>
              </w:rPr>
              <w:t>Midwives</w:t>
            </w:r>
          </w:p>
        </w:tc>
      </w:tr>
      <w:tr w:rsidR="00E445EB" w:rsidRPr="00F875E6" w:rsidTr="00E445EB">
        <w:trPr>
          <w:cantSplit/>
          <w:trHeight w:val="360"/>
        </w:trPr>
        <w:tc>
          <w:tcPr>
            <w:tcW w:w="2835"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b/>
                <w:sz w:val="20"/>
              </w:rPr>
            </w:pPr>
            <w:r w:rsidRPr="00F875E6">
              <w:rPr>
                <w:rFonts w:ascii="Arial Narrow" w:hAnsi="Arial Narrow"/>
                <w:b/>
                <w:sz w:val="20"/>
              </w:rPr>
              <w:t>Episodicity:</w:t>
            </w:r>
          </w:p>
        </w:tc>
        <w:tc>
          <w:tcPr>
            <w:tcW w:w="5954"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sz w:val="20"/>
              </w:rPr>
            </w:pPr>
            <w:r w:rsidRPr="00F875E6">
              <w:rPr>
                <w:rFonts w:ascii="Arial Narrow" w:hAnsi="Arial Narrow"/>
                <w:sz w:val="20"/>
              </w:rPr>
              <w:t>Acute</w:t>
            </w:r>
          </w:p>
        </w:tc>
      </w:tr>
      <w:tr w:rsidR="00E445EB" w:rsidRPr="00F875E6" w:rsidTr="00E445EB">
        <w:trPr>
          <w:cantSplit/>
          <w:trHeight w:val="360"/>
        </w:trPr>
        <w:tc>
          <w:tcPr>
            <w:tcW w:w="2835"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b/>
                <w:sz w:val="20"/>
              </w:rPr>
            </w:pPr>
            <w:r w:rsidRPr="00F875E6">
              <w:rPr>
                <w:rFonts w:ascii="Arial Narrow" w:hAnsi="Arial Narrow"/>
                <w:b/>
                <w:sz w:val="20"/>
              </w:rPr>
              <w:t>Severity:</w:t>
            </w:r>
          </w:p>
        </w:tc>
        <w:tc>
          <w:tcPr>
            <w:tcW w:w="5954"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sz w:val="20"/>
              </w:rPr>
            </w:pPr>
            <w:r w:rsidRPr="00F875E6">
              <w:rPr>
                <w:rFonts w:ascii="Arial Narrow" w:hAnsi="Arial Narrow"/>
                <w:sz w:val="20"/>
              </w:rPr>
              <w:t>-</w:t>
            </w:r>
          </w:p>
        </w:tc>
      </w:tr>
      <w:tr w:rsidR="00E445EB" w:rsidRPr="00F875E6" w:rsidTr="00E445EB">
        <w:trPr>
          <w:cantSplit/>
          <w:trHeight w:val="360"/>
        </w:trPr>
        <w:tc>
          <w:tcPr>
            <w:tcW w:w="2835"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b/>
                <w:sz w:val="20"/>
              </w:rPr>
            </w:pPr>
            <w:r w:rsidRPr="00F875E6">
              <w:rPr>
                <w:rFonts w:ascii="Arial Narrow" w:hAnsi="Arial Narrow"/>
                <w:b/>
                <w:sz w:val="20"/>
              </w:rPr>
              <w:t>Condition:</w:t>
            </w:r>
          </w:p>
        </w:tc>
        <w:tc>
          <w:tcPr>
            <w:tcW w:w="5954"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sz w:val="20"/>
              </w:rPr>
            </w:pPr>
            <w:r w:rsidRPr="00F875E6">
              <w:rPr>
                <w:rFonts w:ascii="Arial Narrow" w:hAnsi="Arial Narrow"/>
                <w:sz w:val="20"/>
              </w:rPr>
              <w:t>Lymphoblastic leukaemia</w:t>
            </w:r>
          </w:p>
        </w:tc>
      </w:tr>
      <w:tr w:rsidR="00E445EB" w:rsidRPr="00F875E6" w:rsidTr="00E445EB">
        <w:trPr>
          <w:cantSplit/>
          <w:trHeight w:val="360"/>
        </w:trPr>
        <w:tc>
          <w:tcPr>
            <w:tcW w:w="2835"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b/>
                <w:sz w:val="20"/>
              </w:rPr>
            </w:pPr>
            <w:r w:rsidRPr="00F875E6">
              <w:rPr>
                <w:rFonts w:ascii="Arial Narrow" w:hAnsi="Arial Narrow"/>
                <w:b/>
                <w:sz w:val="20"/>
              </w:rPr>
              <w:t>PBS Indication:</w:t>
            </w:r>
          </w:p>
        </w:tc>
        <w:tc>
          <w:tcPr>
            <w:tcW w:w="5954"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sz w:val="20"/>
              </w:rPr>
            </w:pPr>
            <w:r w:rsidRPr="00F875E6">
              <w:rPr>
                <w:rFonts w:ascii="Arial Narrow" w:hAnsi="Arial Narrow"/>
                <w:sz w:val="20"/>
              </w:rPr>
              <w:t>Acute lymphoblastic leukaemia</w:t>
            </w:r>
          </w:p>
        </w:tc>
      </w:tr>
      <w:tr w:rsidR="00E445EB" w:rsidRPr="00F875E6" w:rsidTr="00E445EB">
        <w:trPr>
          <w:cantSplit/>
          <w:trHeight w:val="360"/>
        </w:trPr>
        <w:tc>
          <w:tcPr>
            <w:tcW w:w="2835"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i/>
                <w:sz w:val="20"/>
              </w:rPr>
            </w:pPr>
            <w:r w:rsidRPr="00F875E6">
              <w:rPr>
                <w:rFonts w:ascii="Arial Narrow" w:hAnsi="Arial Narrow"/>
                <w:b/>
                <w:sz w:val="20"/>
              </w:rPr>
              <w:t>Treatment phase:</w:t>
            </w:r>
          </w:p>
        </w:tc>
        <w:tc>
          <w:tcPr>
            <w:tcW w:w="5954"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sz w:val="20"/>
              </w:rPr>
            </w:pPr>
            <w:r w:rsidRPr="00F875E6">
              <w:rPr>
                <w:rFonts w:ascii="Arial Narrow" w:hAnsi="Arial Narrow"/>
                <w:sz w:val="20"/>
              </w:rPr>
              <w:t>Continuing</w:t>
            </w:r>
          </w:p>
        </w:tc>
      </w:tr>
      <w:tr w:rsidR="00E445EB" w:rsidRPr="00F875E6" w:rsidTr="00E445EB">
        <w:trPr>
          <w:cantSplit/>
          <w:trHeight w:val="360"/>
        </w:trPr>
        <w:tc>
          <w:tcPr>
            <w:tcW w:w="2835"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i/>
                <w:sz w:val="20"/>
              </w:rPr>
            </w:pPr>
            <w:r w:rsidRPr="00F875E6">
              <w:rPr>
                <w:rFonts w:ascii="Arial Narrow" w:hAnsi="Arial Narrow"/>
                <w:b/>
                <w:sz w:val="20"/>
              </w:rPr>
              <w:t>Restriction Level / Method:</w:t>
            </w:r>
          </w:p>
        </w:tc>
        <w:tc>
          <w:tcPr>
            <w:tcW w:w="5954"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sz w:val="20"/>
              </w:rPr>
            </w:pPr>
            <w:r w:rsidRPr="00F875E6">
              <w:rPr>
                <w:rFonts w:ascii="Arial Narrow" w:hAnsi="Arial Narrow"/>
                <w:sz w:val="20"/>
              </w:rPr>
              <w:fldChar w:fldCharType="begin">
                <w:ffData>
                  <w:name w:val="Check1"/>
                  <w:enabled/>
                  <w:calcOnExit w:val="0"/>
                  <w:checkBox>
                    <w:sizeAuto/>
                    <w:default w:val="0"/>
                  </w:checkBox>
                </w:ffData>
              </w:fldChar>
            </w:r>
            <w:r w:rsidRPr="00F875E6">
              <w:rPr>
                <w:rFonts w:ascii="Arial Narrow" w:hAnsi="Arial Narrow"/>
                <w:sz w:val="20"/>
              </w:rPr>
              <w:instrText xml:space="preserve"> FORMCHECKBOX </w:instrText>
            </w:r>
            <w:r w:rsidR="00DC6394">
              <w:rPr>
                <w:rFonts w:ascii="Arial Narrow" w:hAnsi="Arial Narrow"/>
                <w:sz w:val="20"/>
              </w:rPr>
            </w:r>
            <w:r w:rsidR="00DC6394">
              <w:rPr>
                <w:rFonts w:ascii="Arial Narrow" w:hAnsi="Arial Narrow"/>
                <w:sz w:val="20"/>
              </w:rPr>
              <w:fldChar w:fldCharType="separate"/>
            </w:r>
            <w:r w:rsidRPr="00F875E6">
              <w:rPr>
                <w:rFonts w:ascii="Arial Narrow" w:hAnsi="Arial Narrow"/>
                <w:sz w:val="20"/>
              </w:rPr>
              <w:fldChar w:fldCharType="end"/>
            </w:r>
            <w:r w:rsidRPr="00F875E6">
              <w:rPr>
                <w:rFonts w:ascii="Arial Narrow" w:hAnsi="Arial Narrow"/>
                <w:sz w:val="20"/>
              </w:rPr>
              <w:t>Restricted benefit</w:t>
            </w:r>
          </w:p>
          <w:p w:rsidR="00E445EB" w:rsidRPr="00F875E6" w:rsidRDefault="00E445EB" w:rsidP="00E445EB">
            <w:pPr>
              <w:rPr>
                <w:rFonts w:ascii="Arial Narrow" w:hAnsi="Arial Narrow"/>
                <w:sz w:val="20"/>
              </w:rPr>
            </w:pPr>
            <w:r w:rsidRPr="00F875E6">
              <w:rPr>
                <w:rFonts w:ascii="Arial Narrow" w:hAnsi="Arial Narrow"/>
                <w:sz w:val="20"/>
              </w:rPr>
              <w:fldChar w:fldCharType="begin">
                <w:ffData>
                  <w:name w:val=""/>
                  <w:enabled/>
                  <w:calcOnExit w:val="0"/>
                  <w:checkBox>
                    <w:sizeAuto/>
                    <w:default w:val="1"/>
                  </w:checkBox>
                </w:ffData>
              </w:fldChar>
            </w:r>
            <w:r w:rsidRPr="00F875E6">
              <w:rPr>
                <w:rFonts w:ascii="Arial Narrow" w:hAnsi="Arial Narrow"/>
                <w:sz w:val="20"/>
              </w:rPr>
              <w:instrText xml:space="preserve"> FORMCHECKBOX </w:instrText>
            </w:r>
            <w:r w:rsidR="00DC6394">
              <w:rPr>
                <w:rFonts w:ascii="Arial Narrow" w:hAnsi="Arial Narrow"/>
                <w:sz w:val="20"/>
              </w:rPr>
            </w:r>
            <w:r w:rsidR="00DC6394">
              <w:rPr>
                <w:rFonts w:ascii="Arial Narrow" w:hAnsi="Arial Narrow"/>
                <w:sz w:val="20"/>
              </w:rPr>
              <w:fldChar w:fldCharType="separate"/>
            </w:r>
            <w:r w:rsidRPr="00F875E6">
              <w:rPr>
                <w:rFonts w:ascii="Arial Narrow" w:hAnsi="Arial Narrow"/>
                <w:sz w:val="20"/>
              </w:rPr>
              <w:fldChar w:fldCharType="end"/>
            </w:r>
            <w:r w:rsidRPr="00F875E6">
              <w:rPr>
                <w:rFonts w:ascii="Arial Narrow" w:hAnsi="Arial Narrow"/>
                <w:sz w:val="20"/>
              </w:rPr>
              <w:t>Authority Required - In Writing</w:t>
            </w:r>
          </w:p>
          <w:p w:rsidR="00E445EB" w:rsidRPr="00F875E6" w:rsidRDefault="00E445EB" w:rsidP="00E445EB">
            <w:pPr>
              <w:rPr>
                <w:rFonts w:ascii="Arial Narrow" w:hAnsi="Arial Narrow"/>
                <w:sz w:val="20"/>
              </w:rPr>
            </w:pPr>
            <w:r w:rsidRPr="00F875E6">
              <w:rPr>
                <w:rFonts w:ascii="Arial Narrow" w:hAnsi="Arial Narrow"/>
                <w:sz w:val="20"/>
              </w:rPr>
              <w:fldChar w:fldCharType="begin">
                <w:ffData>
                  <w:name w:val="Check3"/>
                  <w:enabled/>
                  <w:calcOnExit w:val="0"/>
                  <w:checkBox>
                    <w:sizeAuto/>
                    <w:default w:val="1"/>
                  </w:checkBox>
                </w:ffData>
              </w:fldChar>
            </w:r>
            <w:r w:rsidRPr="00F875E6">
              <w:rPr>
                <w:rFonts w:ascii="Arial Narrow" w:hAnsi="Arial Narrow"/>
                <w:sz w:val="20"/>
              </w:rPr>
              <w:instrText xml:space="preserve"> FORMCHECKBOX </w:instrText>
            </w:r>
            <w:r w:rsidR="00DC6394">
              <w:rPr>
                <w:rFonts w:ascii="Arial Narrow" w:hAnsi="Arial Narrow"/>
                <w:sz w:val="20"/>
              </w:rPr>
            </w:r>
            <w:r w:rsidR="00DC6394">
              <w:rPr>
                <w:rFonts w:ascii="Arial Narrow" w:hAnsi="Arial Narrow"/>
                <w:sz w:val="20"/>
              </w:rPr>
              <w:fldChar w:fldCharType="separate"/>
            </w:r>
            <w:r w:rsidRPr="00F875E6">
              <w:rPr>
                <w:rFonts w:ascii="Arial Narrow" w:hAnsi="Arial Narrow"/>
                <w:sz w:val="20"/>
              </w:rPr>
              <w:fldChar w:fldCharType="end"/>
            </w:r>
            <w:r w:rsidRPr="00F875E6">
              <w:rPr>
                <w:rFonts w:ascii="Arial Narrow" w:hAnsi="Arial Narrow"/>
                <w:sz w:val="20"/>
              </w:rPr>
              <w:t>Authority Required - Telephone</w:t>
            </w:r>
          </w:p>
          <w:p w:rsidR="00E445EB" w:rsidRPr="00F875E6" w:rsidRDefault="00E445EB" w:rsidP="00E445EB">
            <w:pPr>
              <w:rPr>
                <w:rFonts w:ascii="Arial Narrow" w:hAnsi="Arial Narrow"/>
                <w:sz w:val="20"/>
              </w:rPr>
            </w:pPr>
            <w:r w:rsidRPr="00F875E6">
              <w:rPr>
                <w:rFonts w:ascii="Arial Narrow" w:hAnsi="Arial Narrow"/>
                <w:sz w:val="20"/>
              </w:rPr>
              <w:fldChar w:fldCharType="begin">
                <w:ffData>
                  <w:name w:val=""/>
                  <w:enabled/>
                  <w:calcOnExit w:val="0"/>
                  <w:checkBox>
                    <w:sizeAuto/>
                    <w:default w:val="0"/>
                  </w:checkBox>
                </w:ffData>
              </w:fldChar>
            </w:r>
            <w:r w:rsidRPr="00F875E6">
              <w:rPr>
                <w:rFonts w:ascii="Arial Narrow" w:hAnsi="Arial Narrow"/>
                <w:sz w:val="20"/>
              </w:rPr>
              <w:instrText xml:space="preserve"> FORMCHECKBOX </w:instrText>
            </w:r>
            <w:r w:rsidR="00DC6394">
              <w:rPr>
                <w:rFonts w:ascii="Arial Narrow" w:hAnsi="Arial Narrow"/>
                <w:sz w:val="20"/>
              </w:rPr>
            </w:r>
            <w:r w:rsidR="00DC6394">
              <w:rPr>
                <w:rFonts w:ascii="Arial Narrow" w:hAnsi="Arial Narrow"/>
                <w:sz w:val="20"/>
              </w:rPr>
              <w:fldChar w:fldCharType="separate"/>
            </w:r>
            <w:r w:rsidRPr="00F875E6">
              <w:rPr>
                <w:rFonts w:ascii="Arial Narrow" w:hAnsi="Arial Narrow"/>
                <w:sz w:val="20"/>
              </w:rPr>
              <w:fldChar w:fldCharType="end"/>
            </w:r>
            <w:r w:rsidRPr="00F875E6">
              <w:rPr>
                <w:rFonts w:ascii="Arial Narrow" w:hAnsi="Arial Narrow"/>
                <w:sz w:val="20"/>
              </w:rPr>
              <w:t>Authority Required – Emergency</w:t>
            </w:r>
          </w:p>
          <w:p w:rsidR="00E445EB" w:rsidRPr="00F875E6" w:rsidRDefault="00E445EB" w:rsidP="00E445EB">
            <w:pPr>
              <w:rPr>
                <w:rFonts w:ascii="Arial Narrow" w:hAnsi="Arial Narrow"/>
                <w:sz w:val="20"/>
              </w:rPr>
            </w:pPr>
            <w:r w:rsidRPr="00F875E6">
              <w:rPr>
                <w:rFonts w:ascii="Arial Narrow" w:hAnsi="Arial Narrow"/>
                <w:sz w:val="20"/>
              </w:rPr>
              <w:fldChar w:fldCharType="begin">
                <w:ffData>
                  <w:name w:val=""/>
                  <w:enabled/>
                  <w:calcOnExit w:val="0"/>
                  <w:checkBox>
                    <w:sizeAuto/>
                    <w:default w:val="0"/>
                  </w:checkBox>
                </w:ffData>
              </w:fldChar>
            </w:r>
            <w:r w:rsidRPr="00F875E6">
              <w:rPr>
                <w:rFonts w:ascii="Arial Narrow" w:hAnsi="Arial Narrow"/>
                <w:sz w:val="20"/>
              </w:rPr>
              <w:instrText xml:space="preserve"> FORMCHECKBOX </w:instrText>
            </w:r>
            <w:r w:rsidR="00DC6394">
              <w:rPr>
                <w:rFonts w:ascii="Arial Narrow" w:hAnsi="Arial Narrow"/>
                <w:sz w:val="20"/>
              </w:rPr>
            </w:r>
            <w:r w:rsidR="00DC6394">
              <w:rPr>
                <w:rFonts w:ascii="Arial Narrow" w:hAnsi="Arial Narrow"/>
                <w:sz w:val="20"/>
              </w:rPr>
              <w:fldChar w:fldCharType="separate"/>
            </w:r>
            <w:r w:rsidRPr="00F875E6">
              <w:rPr>
                <w:rFonts w:ascii="Arial Narrow" w:hAnsi="Arial Narrow"/>
                <w:sz w:val="20"/>
              </w:rPr>
              <w:fldChar w:fldCharType="end"/>
            </w:r>
            <w:r w:rsidRPr="00F875E6">
              <w:rPr>
                <w:rFonts w:ascii="Arial Narrow" w:hAnsi="Arial Narrow"/>
                <w:sz w:val="20"/>
              </w:rPr>
              <w:t>Authority Required - Electronic</w:t>
            </w:r>
          </w:p>
          <w:p w:rsidR="00E445EB" w:rsidRPr="00F875E6" w:rsidRDefault="00E445EB" w:rsidP="00E445EB">
            <w:pPr>
              <w:rPr>
                <w:rFonts w:ascii="Arial Narrow" w:hAnsi="Arial Narrow"/>
                <w:sz w:val="20"/>
              </w:rPr>
            </w:pPr>
            <w:r w:rsidRPr="00F875E6">
              <w:rPr>
                <w:rFonts w:ascii="Arial Narrow" w:hAnsi="Arial Narrow"/>
                <w:sz w:val="20"/>
              </w:rPr>
              <w:fldChar w:fldCharType="begin">
                <w:ffData>
                  <w:name w:val="Check5"/>
                  <w:enabled/>
                  <w:calcOnExit w:val="0"/>
                  <w:checkBox>
                    <w:sizeAuto/>
                    <w:default w:val="0"/>
                  </w:checkBox>
                </w:ffData>
              </w:fldChar>
            </w:r>
            <w:r w:rsidRPr="00F875E6">
              <w:rPr>
                <w:rFonts w:ascii="Arial Narrow" w:hAnsi="Arial Narrow"/>
                <w:sz w:val="20"/>
              </w:rPr>
              <w:instrText xml:space="preserve"> FORMCHECKBOX </w:instrText>
            </w:r>
            <w:r w:rsidR="00DC6394">
              <w:rPr>
                <w:rFonts w:ascii="Arial Narrow" w:hAnsi="Arial Narrow"/>
                <w:sz w:val="20"/>
              </w:rPr>
            </w:r>
            <w:r w:rsidR="00DC6394">
              <w:rPr>
                <w:rFonts w:ascii="Arial Narrow" w:hAnsi="Arial Narrow"/>
                <w:sz w:val="20"/>
              </w:rPr>
              <w:fldChar w:fldCharType="separate"/>
            </w:r>
            <w:r w:rsidRPr="00F875E6">
              <w:rPr>
                <w:rFonts w:ascii="Arial Narrow" w:hAnsi="Arial Narrow"/>
                <w:sz w:val="20"/>
              </w:rPr>
              <w:fldChar w:fldCharType="end"/>
            </w:r>
            <w:r w:rsidRPr="00F875E6">
              <w:rPr>
                <w:rFonts w:ascii="Arial Narrow" w:hAnsi="Arial Narrow"/>
                <w:sz w:val="20"/>
              </w:rPr>
              <w:t>Streamlined</w:t>
            </w:r>
          </w:p>
        </w:tc>
      </w:tr>
      <w:tr w:rsidR="00E445EB" w:rsidRPr="00F875E6" w:rsidTr="00E445EB">
        <w:trPr>
          <w:cantSplit/>
          <w:trHeight w:val="360"/>
        </w:trPr>
        <w:tc>
          <w:tcPr>
            <w:tcW w:w="2835"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b/>
                <w:sz w:val="20"/>
              </w:rPr>
            </w:pPr>
            <w:r w:rsidRPr="00F875E6">
              <w:rPr>
                <w:rFonts w:ascii="Arial Narrow" w:hAnsi="Arial Narrow"/>
                <w:b/>
                <w:sz w:val="20"/>
              </w:rPr>
              <w:t>Clinical criteria:</w:t>
            </w:r>
          </w:p>
          <w:p w:rsidR="00E445EB" w:rsidRPr="00F875E6" w:rsidRDefault="00E445EB" w:rsidP="00E445EB">
            <w:pPr>
              <w:rPr>
                <w:rFonts w:ascii="Arial Narrow" w:hAnsi="Arial Narrow"/>
                <w:sz w:val="20"/>
              </w:rPr>
            </w:pPr>
          </w:p>
        </w:tc>
        <w:tc>
          <w:tcPr>
            <w:tcW w:w="5954"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sz w:val="20"/>
              </w:rPr>
            </w:pPr>
            <w:r w:rsidRPr="00F875E6">
              <w:rPr>
                <w:rFonts w:ascii="Arial Narrow" w:hAnsi="Arial Narrow"/>
                <w:sz w:val="20"/>
              </w:rPr>
              <w:t>Patient must have previously been issued with an authority prescription for this drug for this condition</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r w:rsidRPr="00F875E6">
              <w:rPr>
                <w:rFonts w:ascii="Arial Narrow" w:hAnsi="Arial Narrow"/>
                <w:sz w:val="20"/>
              </w:rPr>
              <w:t>AND</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r w:rsidRPr="00F875E6">
              <w:rPr>
                <w:rFonts w:ascii="Arial Narrow" w:hAnsi="Arial Narrow"/>
                <w:sz w:val="20"/>
              </w:rPr>
              <w:t xml:space="preserve">The treatment must be the sole PBS-subsidised therapy for this condition </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r w:rsidRPr="00F875E6">
              <w:rPr>
                <w:rFonts w:ascii="Arial Narrow" w:hAnsi="Arial Narrow"/>
                <w:sz w:val="20"/>
              </w:rPr>
              <w:t>AND</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lang w:val="en-GB"/>
              </w:rPr>
            </w:pPr>
            <w:r w:rsidRPr="00F875E6">
              <w:rPr>
                <w:rFonts w:ascii="Arial Narrow" w:hAnsi="Arial Narrow"/>
                <w:sz w:val="20"/>
                <w:lang w:val="en-GB"/>
              </w:rPr>
              <w:t>Patient must not have progressive disease.</w:t>
            </w:r>
          </w:p>
          <w:p w:rsidR="00E445EB" w:rsidRPr="00F875E6" w:rsidRDefault="00E445EB" w:rsidP="00E445EB">
            <w:pPr>
              <w:rPr>
                <w:rFonts w:ascii="Arial Narrow" w:hAnsi="Arial Narrow"/>
                <w:sz w:val="20"/>
              </w:rPr>
            </w:pPr>
          </w:p>
        </w:tc>
      </w:tr>
      <w:tr w:rsidR="00E445EB" w:rsidRPr="00260CE3" w:rsidTr="00E445EB">
        <w:trPr>
          <w:cantSplit/>
          <w:trHeight w:val="360"/>
        </w:trPr>
        <w:tc>
          <w:tcPr>
            <w:tcW w:w="2835"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b/>
                <w:sz w:val="20"/>
              </w:rPr>
            </w:pPr>
            <w:r w:rsidRPr="00F875E6">
              <w:rPr>
                <w:rFonts w:ascii="Arial Narrow" w:hAnsi="Arial Narrow"/>
                <w:b/>
                <w:sz w:val="20"/>
              </w:rPr>
              <w:t>Administrative Advice</w:t>
            </w:r>
          </w:p>
          <w:p w:rsidR="00E445EB" w:rsidRPr="00F875E6" w:rsidRDefault="00E445EB" w:rsidP="00E445EB">
            <w:pPr>
              <w:rPr>
                <w:rFonts w:ascii="Arial Narrow" w:hAnsi="Arial Narrow"/>
                <w:i/>
                <w:sz w:val="20"/>
              </w:rPr>
            </w:pPr>
          </w:p>
        </w:tc>
        <w:tc>
          <w:tcPr>
            <w:tcW w:w="5954" w:type="dxa"/>
            <w:tcBorders>
              <w:top w:val="single" w:sz="4" w:space="0" w:color="auto"/>
              <w:left w:val="single" w:sz="4" w:space="0" w:color="auto"/>
              <w:bottom w:val="single" w:sz="4" w:space="0" w:color="auto"/>
              <w:right w:val="single" w:sz="4" w:space="0" w:color="auto"/>
            </w:tcBorders>
          </w:tcPr>
          <w:p w:rsidR="00E445EB" w:rsidRPr="00F875E6" w:rsidRDefault="00E445EB" w:rsidP="00E445EB">
            <w:pPr>
              <w:rPr>
                <w:rFonts w:ascii="Arial Narrow" w:hAnsi="Arial Narrow"/>
                <w:sz w:val="20"/>
              </w:rPr>
            </w:pPr>
            <w:r w:rsidRPr="00F875E6">
              <w:rPr>
                <w:rFonts w:ascii="Arial Narrow" w:hAnsi="Arial Narrow"/>
                <w:sz w:val="20"/>
              </w:rPr>
              <w:t>Authority applications for continuing treatment may be made by telephone to the Department of Human Services on 1800 700 270 (hours of operation 8 a.m. to 5 p.m. EST Monday to Friday).</w:t>
            </w:r>
          </w:p>
          <w:p w:rsidR="00E445EB" w:rsidRPr="00F875E6" w:rsidRDefault="00E445EB" w:rsidP="00E445EB">
            <w:pPr>
              <w:rPr>
                <w:rFonts w:ascii="Arial Narrow" w:hAnsi="Arial Narrow"/>
                <w:sz w:val="20"/>
              </w:rPr>
            </w:pPr>
          </w:p>
          <w:p w:rsidR="00E445EB" w:rsidRPr="00F875E6" w:rsidRDefault="00E445EB" w:rsidP="00E445EB">
            <w:pPr>
              <w:rPr>
                <w:rFonts w:ascii="Arial Narrow" w:hAnsi="Arial Narrow"/>
                <w:sz w:val="20"/>
              </w:rPr>
            </w:pPr>
            <w:r w:rsidRPr="00F875E6">
              <w:rPr>
                <w:rFonts w:ascii="Arial Narrow" w:hAnsi="Arial Narrow"/>
                <w:sz w:val="20"/>
              </w:rPr>
              <w:t xml:space="preserve">Any queries concerning the arrangements to prescribe may be directed to the Department of Human Services on 1800 700 270 (hours of operation 8 a.m. to 5 p.m. EST Monday to Friday). </w:t>
            </w:r>
          </w:p>
          <w:p w:rsidR="00E445EB" w:rsidRPr="00F875E6" w:rsidRDefault="00E445EB" w:rsidP="00E445EB">
            <w:pPr>
              <w:rPr>
                <w:rFonts w:ascii="Arial Narrow" w:hAnsi="Arial Narrow"/>
                <w:sz w:val="20"/>
              </w:rPr>
            </w:pPr>
            <w:r w:rsidRPr="00F875E6">
              <w:rPr>
                <w:rFonts w:ascii="Arial Narrow" w:hAnsi="Arial Narrow"/>
                <w:sz w:val="20"/>
              </w:rPr>
              <w:t>Prescribing information (including Authority Application forms and other relevant documentation as applicable) is available on the Department of Human Services website at www.humanservices.gov.au</w:t>
            </w:r>
          </w:p>
          <w:p w:rsidR="00E445EB" w:rsidRPr="00F875E6" w:rsidRDefault="00E445EB" w:rsidP="00E445EB">
            <w:pPr>
              <w:rPr>
                <w:rFonts w:ascii="Arial Narrow" w:hAnsi="Arial Narrow"/>
                <w:sz w:val="20"/>
              </w:rPr>
            </w:pPr>
            <w:r w:rsidRPr="00F875E6">
              <w:rPr>
                <w:rFonts w:ascii="Arial Narrow" w:hAnsi="Arial Narrow"/>
                <w:sz w:val="20"/>
              </w:rPr>
              <w:t xml:space="preserve">Applications for authority to prescribe should be forwarded to: </w:t>
            </w:r>
          </w:p>
          <w:p w:rsidR="00E445EB" w:rsidRPr="00F875E6" w:rsidRDefault="00E445EB" w:rsidP="00E445EB">
            <w:pPr>
              <w:rPr>
                <w:rFonts w:ascii="Arial Narrow" w:hAnsi="Arial Narrow"/>
                <w:sz w:val="20"/>
              </w:rPr>
            </w:pPr>
            <w:r w:rsidRPr="00F875E6">
              <w:rPr>
                <w:rFonts w:ascii="Arial Narrow" w:hAnsi="Arial Narrow"/>
                <w:sz w:val="20"/>
              </w:rPr>
              <w:t>Department of Human Services</w:t>
            </w:r>
          </w:p>
          <w:p w:rsidR="00E445EB" w:rsidRPr="00F875E6" w:rsidRDefault="00E445EB" w:rsidP="00E445EB">
            <w:pPr>
              <w:rPr>
                <w:rFonts w:ascii="Arial Narrow" w:hAnsi="Arial Narrow"/>
                <w:sz w:val="20"/>
              </w:rPr>
            </w:pPr>
            <w:r w:rsidRPr="00F875E6">
              <w:rPr>
                <w:rFonts w:ascii="Arial Narrow" w:hAnsi="Arial Narrow"/>
                <w:sz w:val="20"/>
              </w:rPr>
              <w:t xml:space="preserve">Prior Written Approval of Complex Drugs </w:t>
            </w:r>
          </w:p>
          <w:p w:rsidR="00E445EB" w:rsidRPr="00F875E6" w:rsidRDefault="00E445EB" w:rsidP="00E445EB">
            <w:pPr>
              <w:rPr>
                <w:rFonts w:ascii="Arial Narrow" w:hAnsi="Arial Narrow"/>
                <w:sz w:val="20"/>
              </w:rPr>
            </w:pPr>
            <w:r w:rsidRPr="00F875E6">
              <w:rPr>
                <w:rFonts w:ascii="Arial Narrow" w:hAnsi="Arial Narrow"/>
                <w:sz w:val="20"/>
              </w:rPr>
              <w:t xml:space="preserve">Reply Paid 9826 </w:t>
            </w:r>
          </w:p>
          <w:p w:rsidR="00E445EB" w:rsidRPr="00F875E6" w:rsidRDefault="00E445EB" w:rsidP="00E445EB">
            <w:pPr>
              <w:rPr>
                <w:rFonts w:ascii="Arial Narrow" w:hAnsi="Arial Narrow"/>
                <w:sz w:val="20"/>
              </w:rPr>
            </w:pPr>
            <w:r w:rsidRPr="00F875E6">
              <w:rPr>
                <w:rFonts w:ascii="Arial Narrow" w:hAnsi="Arial Narrow"/>
                <w:sz w:val="20"/>
              </w:rPr>
              <w:t xml:space="preserve">GPO Box 9826 </w:t>
            </w:r>
          </w:p>
          <w:p w:rsidR="00E445EB" w:rsidRPr="00260CE3" w:rsidRDefault="00E445EB" w:rsidP="00E445EB">
            <w:pPr>
              <w:rPr>
                <w:rFonts w:ascii="Arial Narrow" w:hAnsi="Arial Narrow"/>
                <w:sz w:val="20"/>
              </w:rPr>
            </w:pPr>
            <w:r w:rsidRPr="00F875E6">
              <w:rPr>
                <w:rFonts w:ascii="Arial Narrow" w:hAnsi="Arial Narrow"/>
                <w:sz w:val="20"/>
              </w:rPr>
              <w:t>HOBART TAS 7001</w:t>
            </w:r>
          </w:p>
        </w:tc>
      </w:tr>
    </w:tbl>
    <w:p w:rsidR="00E445EB" w:rsidRDefault="00E445EB" w:rsidP="00C0210F">
      <w:pPr>
        <w:widowControl/>
        <w:jc w:val="left"/>
        <w:rPr>
          <w:bCs/>
          <w:i/>
          <w:szCs w:val="22"/>
        </w:rPr>
      </w:pPr>
    </w:p>
    <w:p w:rsidR="00B01CD2" w:rsidRDefault="00B01CD2" w:rsidP="00C0210F">
      <w:pPr>
        <w:widowControl/>
        <w:jc w:val="left"/>
        <w:rPr>
          <w:bCs/>
          <w:i/>
          <w:szCs w:val="22"/>
        </w:rPr>
      </w:pPr>
    </w:p>
    <w:p w:rsidR="00B01CD2" w:rsidRPr="00B01CD2" w:rsidRDefault="00B01CD2" w:rsidP="00B01CD2">
      <w:pPr>
        <w:pStyle w:val="PBACheading1"/>
        <w:rPr>
          <w:b/>
        </w:rPr>
      </w:pPr>
      <w:r w:rsidRPr="00B01CD2">
        <w:rPr>
          <w:b/>
        </w:rPr>
        <w:t xml:space="preserve">Context for Decision </w:t>
      </w:r>
    </w:p>
    <w:p w:rsidR="00B01CD2" w:rsidRDefault="00B01CD2" w:rsidP="00B01CD2">
      <w:pPr>
        <w:pStyle w:val="PBACheading1"/>
        <w:numPr>
          <w:ilvl w:val="0"/>
          <w:numId w:val="0"/>
        </w:numPr>
        <w:ind w:left="720"/>
      </w:pPr>
    </w:p>
    <w:p w:rsidR="00B01CD2" w:rsidRDefault="00B01CD2" w:rsidP="00B01CD2">
      <w:pPr>
        <w:pStyle w:val="PBACheading1"/>
        <w:numPr>
          <w:ilvl w:val="0"/>
          <w:numId w:val="0"/>
        </w:numPr>
        <w:ind w:left="720"/>
      </w:pPr>
      <w: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B01CD2" w:rsidRDefault="00B01CD2" w:rsidP="00B01CD2">
      <w:pPr>
        <w:pStyle w:val="PBACheading1"/>
        <w:numPr>
          <w:ilvl w:val="0"/>
          <w:numId w:val="0"/>
        </w:numPr>
        <w:ind w:left="720"/>
        <w:rPr>
          <w:bCs/>
          <w:i/>
        </w:rPr>
      </w:pPr>
    </w:p>
    <w:p w:rsidR="00B01CD2" w:rsidRPr="00B01CD2" w:rsidRDefault="00B01CD2" w:rsidP="00B01CD2">
      <w:pPr>
        <w:pStyle w:val="PBACheading1"/>
        <w:numPr>
          <w:ilvl w:val="0"/>
          <w:numId w:val="0"/>
        </w:numPr>
        <w:ind w:left="720"/>
        <w:rPr>
          <w:bCs/>
          <w:i/>
        </w:rPr>
      </w:pPr>
    </w:p>
    <w:p w:rsidR="00B01CD2" w:rsidRPr="00B01CD2" w:rsidRDefault="00B01CD2" w:rsidP="00B01CD2">
      <w:pPr>
        <w:pStyle w:val="PBACheading1"/>
        <w:rPr>
          <w:b/>
          <w:bCs/>
          <w:i/>
        </w:rPr>
      </w:pPr>
      <w:r w:rsidRPr="00B01CD2">
        <w:rPr>
          <w:b/>
        </w:rPr>
        <w:t xml:space="preserve">Sponsor’s Comment </w:t>
      </w:r>
    </w:p>
    <w:p w:rsidR="00B01CD2" w:rsidRPr="00B01CD2" w:rsidRDefault="00B01CD2" w:rsidP="00B01CD2">
      <w:pPr>
        <w:pStyle w:val="PBACheading1"/>
        <w:numPr>
          <w:ilvl w:val="0"/>
          <w:numId w:val="0"/>
        </w:numPr>
        <w:ind w:left="720"/>
        <w:rPr>
          <w:bCs/>
          <w:i/>
        </w:rPr>
      </w:pPr>
    </w:p>
    <w:p w:rsidR="00B01CD2" w:rsidRPr="00B01CD2" w:rsidRDefault="00E53F52" w:rsidP="00E53F52">
      <w:pPr>
        <w:pStyle w:val="PBACheading1"/>
        <w:numPr>
          <w:ilvl w:val="0"/>
          <w:numId w:val="0"/>
        </w:numPr>
        <w:ind w:left="720"/>
        <w:rPr>
          <w:bCs/>
        </w:rPr>
      </w:pPr>
      <w:r>
        <w:rPr>
          <w:bCs/>
        </w:rPr>
        <w:t xml:space="preserve">The sponsor had no comment. </w:t>
      </w:r>
    </w:p>
    <w:sectPr w:rsidR="00B01CD2" w:rsidRPr="00B01CD2" w:rsidSect="00164493">
      <w:headerReference w:type="default" r:id="rId9"/>
      <w:footerReference w:type="default" r:id="rId10"/>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A51" w:rsidRDefault="005F7A51" w:rsidP="00124A51">
      <w:r>
        <w:separator/>
      </w:r>
    </w:p>
  </w:endnote>
  <w:endnote w:type="continuationSeparator" w:id="0">
    <w:p w:rsidR="005F7A51" w:rsidRDefault="005F7A51"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CD2" w:rsidRDefault="00B01CD2" w:rsidP="006A305A">
    <w:pPr>
      <w:ind w:left="709"/>
      <w:contextualSpacing/>
      <w:jc w:val="center"/>
      <w:rPr>
        <w:sz w:val="20"/>
      </w:rPr>
    </w:pPr>
  </w:p>
  <w:p w:rsidR="00B01CD2" w:rsidRDefault="00B01CD2" w:rsidP="006A305A">
    <w:pPr>
      <w:ind w:left="709"/>
      <w:contextualSpacing/>
      <w:jc w:val="center"/>
      <w:rPr>
        <w:b/>
        <w:bCs/>
        <w:szCs w:val="22"/>
      </w:rPr>
    </w:pPr>
    <w:r w:rsidRPr="00651169">
      <w:rPr>
        <w:sz w:val="20"/>
      </w:rPr>
      <w:fldChar w:fldCharType="begin"/>
    </w:r>
    <w:r w:rsidRPr="00651169">
      <w:rPr>
        <w:sz w:val="20"/>
      </w:rPr>
      <w:instrText xml:space="preserve"> PAGE   \* MERGEFORMAT </w:instrText>
    </w:r>
    <w:r w:rsidRPr="00651169">
      <w:rPr>
        <w:sz w:val="20"/>
      </w:rPr>
      <w:fldChar w:fldCharType="separate"/>
    </w:r>
    <w:r w:rsidR="00DC6394">
      <w:rPr>
        <w:noProof/>
        <w:sz w:val="20"/>
      </w:rPr>
      <w:t>1</w:t>
    </w:r>
    <w:r w:rsidRPr="00651169">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A51" w:rsidRDefault="005F7A51" w:rsidP="00124A51">
      <w:r>
        <w:separator/>
      </w:r>
    </w:p>
  </w:footnote>
  <w:footnote w:type="continuationSeparator" w:id="0">
    <w:p w:rsidR="005F7A51" w:rsidRDefault="005F7A51"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CD2" w:rsidRPr="00DF217D" w:rsidRDefault="00B01CD2" w:rsidP="00E467D8">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July 2015 </w:t>
    </w:r>
    <w:r w:rsidRPr="00DF217D">
      <w:rPr>
        <w:i/>
        <w:color w:val="808080"/>
      </w:rPr>
      <w:t>PBAC</w:t>
    </w:r>
    <w:r>
      <w:rPr>
        <w:i/>
        <w:color w:val="808080"/>
      </w:rPr>
      <w:t xml:space="preserve"> </w:t>
    </w:r>
    <w:r w:rsidRPr="00DF217D">
      <w:rPr>
        <w:i/>
        <w:color w:val="808080"/>
      </w:rPr>
      <w:t>Meeting</w:t>
    </w:r>
  </w:p>
  <w:p w:rsidR="00B01CD2" w:rsidRDefault="00B01CD2" w:rsidP="00E467D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12EF1"/>
    <w:multiLevelType w:val="hybridMultilevel"/>
    <w:tmpl w:val="2C8688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6F47985"/>
    <w:multiLevelType w:val="hybridMultilevel"/>
    <w:tmpl w:val="62248D4A"/>
    <w:lvl w:ilvl="0" w:tplc="0D6C300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88F0CF3"/>
    <w:multiLevelType w:val="hybridMultilevel"/>
    <w:tmpl w:val="C39824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B2B332E"/>
    <w:multiLevelType w:val="multilevel"/>
    <w:tmpl w:val="828496E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D3848C8"/>
    <w:multiLevelType w:val="hybridMultilevel"/>
    <w:tmpl w:val="B84A7004"/>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EAF0BAB"/>
    <w:multiLevelType w:val="hybridMultilevel"/>
    <w:tmpl w:val="7D025CDE"/>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92A0EAC"/>
    <w:multiLevelType w:val="hybridMultilevel"/>
    <w:tmpl w:val="3B1A9F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C8841FC"/>
    <w:multiLevelType w:val="hybridMultilevel"/>
    <w:tmpl w:val="4DEEF8CE"/>
    <w:lvl w:ilvl="0" w:tplc="0C090001">
      <w:start w:val="1"/>
      <w:numFmt w:val="bullet"/>
      <w:lvlText w:val=""/>
      <w:lvlJc w:val="left"/>
      <w:pPr>
        <w:tabs>
          <w:tab w:val="num" w:pos="152"/>
        </w:tabs>
        <w:ind w:left="152" w:hanging="360"/>
      </w:pPr>
      <w:rPr>
        <w:rFonts w:ascii="Symbol" w:hAnsi="Symbol" w:hint="default"/>
      </w:rPr>
    </w:lvl>
    <w:lvl w:ilvl="1" w:tplc="F488CFD6">
      <w:numFmt w:val="bullet"/>
      <w:lvlText w:val="-"/>
      <w:lvlJc w:val="left"/>
      <w:pPr>
        <w:tabs>
          <w:tab w:val="num" w:pos="872"/>
        </w:tabs>
        <w:ind w:left="872" w:hanging="360"/>
      </w:pPr>
      <w:rPr>
        <w:rFonts w:ascii="Times New Roman" w:eastAsia="Times New Roman" w:hAnsi="Times New Roman" w:cs="Times New Roman" w:hint="default"/>
      </w:rPr>
    </w:lvl>
    <w:lvl w:ilvl="2" w:tplc="FFFFFFFF">
      <w:start w:val="1"/>
      <w:numFmt w:val="bullet"/>
      <w:lvlText w:val=""/>
      <w:lvlJc w:val="left"/>
      <w:pPr>
        <w:tabs>
          <w:tab w:val="num" w:pos="1592"/>
        </w:tabs>
        <w:ind w:left="1592" w:hanging="360"/>
      </w:pPr>
      <w:rPr>
        <w:rFonts w:ascii="Wingdings" w:hAnsi="Wingdings" w:hint="default"/>
      </w:rPr>
    </w:lvl>
    <w:lvl w:ilvl="3" w:tplc="FFFFFFFF" w:tentative="1">
      <w:start w:val="1"/>
      <w:numFmt w:val="bullet"/>
      <w:lvlText w:val=""/>
      <w:lvlJc w:val="left"/>
      <w:pPr>
        <w:tabs>
          <w:tab w:val="num" w:pos="2312"/>
        </w:tabs>
        <w:ind w:left="2312" w:hanging="360"/>
      </w:pPr>
      <w:rPr>
        <w:rFonts w:ascii="Symbol" w:hAnsi="Symbol" w:hint="default"/>
      </w:rPr>
    </w:lvl>
    <w:lvl w:ilvl="4" w:tplc="FFFFFFFF">
      <w:start w:val="1"/>
      <w:numFmt w:val="bullet"/>
      <w:lvlText w:val="o"/>
      <w:lvlJc w:val="left"/>
      <w:pPr>
        <w:tabs>
          <w:tab w:val="num" w:pos="3032"/>
        </w:tabs>
        <w:ind w:left="3032" w:hanging="360"/>
      </w:pPr>
      <w:rPr>
        <w:rFonts w:ascii="Courier New" w:hAnsi="Courier New" w:cs="Courier New" w:hint="default"/>
      </w:rPr>
    </w:lvl>
    <w:lvl w:ilvl="5" w:tplc="FFFFFFFF" w:tentative="1">
      <w:start w:val="1"/>
      <w:numFmt w:val="bullet"/>
      <w:lvlText w:val=""/>
      <w:lvlJc w:val="left"/>
      <w:pPr>
        <w:tabs>
          <w:tab w:val="num" w:pos="3752"/>
        </w:tabs>
        <w:ind w:left="3752" w:hanging="360"/>
      </w:pPr>
      <w:rPr>
        <w:rFonts w:ascii="Wingdings" w:hAnsi="Wingdings" w:hint="default"/>
      </w:rPr>
    </w:lvl>
    <w:lvl w:ilvl="6" w:tplc="FFFFFFFF" w:tentative="1">
      <w:start w:val="1"/>
      <w:numFmt w:val="bullet"/>
      <w:lvlText w:val=""/>
      <w:lvlJc w:val="left"/>
      <w:pPr>
        <w:tabs>
          <w:tab w:val="num" w:pos="4472"/>
        </w:tabs>
        <w:ind w:left="4472" w:hanging="360"/>
      </w:pPr>
      <w:rPr>
        <w:rFonts w:ascii="Symbol" w:hAnsi="Symbol" w:hint="default"/>
      </w:rPr>
    </w:lvl>
    <w:lvl w:ilvl="7" w:tplc="FFFFFFFF" w:tentative="1">
      <w:start w:val="1"/>
      <w:numFmt w:val="bullet"/>
      <w:lvlText w:val="o"/>
      <w:lvlJc w:val="left"/>
      <w:pPr>
        <w:tabs>
          <w:tab w:val="num" w:pos="5192"/>
        </w:tabs>
        <w:ind w:left="5192" w:hanging="360"/>
      </w:pPr>
      <w:rPr>
        <w:rFonts w:ascii="Courier New" w:hAnsi="Courier New" w:cs="Courier New" w:hint="default"/>
      </w:rPr>
    </w:lvl>
    <w:lvl w:ilvl="8" w:tplc="FFFFFFFF" w:tentative="1">
      <w:start w:val="1"/>
      <w:numFmt w:val="bullet"/>
      <w:lvlText w:val=""/>
      <w:lvlJc w:val="left"/>
      <w:pPr>
        <w:tabs>
          <w:tab w:val="num" w:pos="5912"/>
        </w:tabs>
        <w:ind w:left="5912" w:hanging="360"/>
      </w:pPr>
      <w:rPr>
        <w:rFonts w:ascii="Wingdings" w:hAnsi="Wingdings" w:hint="default"/>
      </w:rPr>
    </w:lvl>
  </w:abstractNum>
  <w:abstractNum w:abstractNumId="9">
    <w:nsid w:val="230541B0"/>
    <w:multiLevelType w:val="multilevel"/>
    <w:tmpl w:val="5E36CEDC"/>
    <w:lvl w:ilvl="0">
      <w:start w:val="1"/>
      <w:numFmt w:val="decimal"/>
      <w:lvlText w:val="%1"/>
      <w:lvlJc w:val="left"/>
      <w:pPr>
        <w:ind w:left="720" w:hanging="720"/>
      </w:pPr>
      <w:rPr>
        <w:rFonts w:hint="default"/>
        <w:b/>
        <w:i w:val="0"/>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32F7286"/>
    <w:multiLevelType w:val="hybridMultilevel"/>
    <w:tmpl w:val="D354E9AA"/>
    <w:lvl w:ilvl="0" w:tplc="CE2E4198">
      <w:start w:val="1"/>
      <w:numFmt w:val="lowerRoman"/>
      <w:lvlText w:val="%1)"/>
      <w:lvlJc w:val="righ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4731A14"/>
    <w:multiLevelType w:val="hybridMultilevel"/>
    <w:tmpl w:val="D72A1082"/>
    <w:lvl w:ilvl="0" w:tplc="0809000F">
      <w:start w:val="1"/>
      <w:numFmt w:val="decimal"/>
      <w:lvlText w:val="%1."/>
      <w:lvlJc w:val="left"/>
      <w:pPr>
        <w:ind w:left="360" w:hanging="360"/>
      </w:p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2">
    <w:nsid w:val="24C01C02"/>
    <w:multiLevelType w:val="hybridMultilevel"/>
    <w:tmpl w:val="4468B1A6"/>
    <w:lvl w:ilvl="0" w:tplc="0C090001">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9E2732B"/>
    <w:multiLevelType w:val="hybridMultilevel"/>
    <w:tmpl w:val="ED321520"/>
    <w:lvl w:ilvl="0" w:tplc="B07E7E58">
      <w:start w:val="1"/>
      <w:numFmt w:val="bullet"/>
      <w:lvlText w:val=""/>
      <w:lvlJc w:val="left"/>
      <w:pPr>
        <w:ind w:left="928" w:hanging="360"/>
      </w:pPr>
      <w:rPr>
        <w:rFonts w:ascii="Symbol" w:hAnsi="Symbol" w:hint="default"/>
        <w:color w:val="auto"/>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4">
    <w:nsid w:val="2D28169B"/>
    <w:multiLevelType w:val="hybridMultilevel"/>
    <w:tmpl w:val="C7DCEB34"/>
    <w:lvl w:ilvl="0" w:tplc="2182D750">
      <w:start w:val="1"/>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2E233FFF"/>
    <w:multiLevelType w:val="hybridMultilevel"/>
    <w:tmpl w:val="C7B04AA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6">
    <w:nsid w:val="2FCC72CD"/>
    <w:multiLevelType w:val="hybridMultilevel"/>
    <w:tmpl w:val="D7D82A16"/>
    <w:lvl w:ilvl="0" w:tplc="0C090001">
      <w:start w:val="1"/>
      <w:numFmt w:val="bullet"/>
      <w:lvlText w:val=""/>
      <w:lvlJc w:val="left"/>
      <w:pPr>
        <w:ind w:left="360" w:hanging="360"/>
      </w:pPr>
      <w:rPr>
        <w:rFonts w:ascii="Symbol" w:hAnsi="Symbol"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355F4A5B"/>
    <w:multiLevelType w:val="multilevel"/>
    <w:tmpl w:val="3B047324"/>
    <w:lvl w:ilvl="0">
      <w:start w:val="2"/>
      <w:numFmt w:val="decimal"/>
      <w:lvlText w:val="%1"/>
      <w:lvlJc w:val="left"/>
      <w:pPr>
        <w:ind w:left="720" w:hanging="720"/>
      </w:pPr>
      <w:rPr>
        <w:rFonts w:hint="default"/>
        <w:b/>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70754BE"/>
    <w:multiLevelType w:val="hybridMultilevel"/>
    <w:tmpl w:val="706C5F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7F15CE2"/>
    <w:multiLevelType w:val="multilevel"/>
    <w:tmpl w:val="D1CE5320"/>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ascii="Arial" w:hAnsi="Arial" w:cs="Arial"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3B7C34E2"/>
    <w:multiLevelType w:val="hybridMultilevel"/>
    <w:tmpl w:val="F6A0F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B991A9A"/>
    <w:multiLevelType w:val="hybridMultilevel"/>
    <w:tmpl w:val="56E067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3BF57045"/>
    <w:multiLevelType w:val="hybridMultilevel"/>
    <w:tmpl w:val="D3CCDAD4"/>
    <w:lvl w:ilvl="0" w:tplc="F488CFD6">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3E0E542F"/>
    <w:multiLevelType w:val="hybridMultilevel"/>
    <w:tmpl w:val="D72A1082"/>
    <w:lvl w:ilvl="0" w:tplc="0809000F">
      <w:start w:val="1"/>
      <w:numFmt w:val="decimal"/>
      <w:lvlText w:val="%1."/>
      <w:lvlJc w:val="left"/>
      <w:pPr>
        <w:ind w:left="360" w:hanging="360"/>
      </w:p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4">
    <w:nsid w:val="3F2B1102"/>
    <w:multiLevelType w:val="hybridMultilevel"/>
    <w:tmpl w:val="4CBEA56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nsid w:val="3FBF56E1"/>
    <w:multiLevelType w:val="hybridMultilevel"/>
    <w:tmpl w:val="5B4CF9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44A233E8"/>
    <w:multiLevelType w:val="hybridMultilevel"/>
    <w:tmpl w:val="FB48A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7930C71"/>
    <w:multiLevelType w:val="hybridMultilevel"/>
    <w:tmpl w:val="F0F483EA"/>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nsid w:val="4C8E2B38"/>
    <w:multiLevelType w:val="hybridMultilevel"/>
    <w:tmpl w:val="67EC23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D9E5F10"/>
    <w:multiLevelType w:val="hybridMultilevel"/>
    <w:tmpl w:val="5A2A7CD6"/>
    <w:lvl w:ilvl="0" w:tplc="F8B87106">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FD73331"/>
    <w:multiLevelType w:val="hybridMultilevel"/>
    <w:tmpl w:val="17C06E04"/>
    <w:lvl w:ilvl="0" w:tplc="0C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31">
    <w:nsid w:val="54A46AF4"/>
    <w:multiLevelType w:val="hybridMultilevel"/>
    <w:tmpl w:val="D5969A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nsid w:val="56C459B1"/>
    <w:multiLevelType w:val="hybridMultilevel"/>
    <w:tmpl w:val="D354E9AA"/>
    <w:lvl w:ilvl="0" w:tplc="CE2E4198">
      <w:start w:val="1"/>
      <w:numFmt w:val="lowerRoman"/>
      <w:lvlText w:val="%1)"/>
      <w:lvlJc w:val="righ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9BC5196"/>
    <w:multiLevelType w:val="multilevel"/>
    <w:tmpl w:val="828496E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5EB47BD3"/>
    <w:multiLevelType w:val="hybridMultilevel"/>
    <w:tmpl w:val="356CFECE"/>
    <w:lvl w:ilvl="0" w:tplc="2182D750">
      <w:start w:val="1"/>
      <w:numFmt w:val="bullet"/>
      <w:lvlText w:val="-"/>
      <w:lvlJc w:val="left"/>
      <w:pPr>
        <w:ind w:left="1080" w:hanging="360"/>
      </w:pPr>
      <w:rPr>
        <w:rFonts w:ascii="Arial" w:eastAsia="Times New Roman" w:hAnsi="Arial" w:cs="Arial" w:hint="default"/>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nsid w:val="5F8A6D97"/>
    <w:multiLevelType w:val="hybridMultilevel"/>
    <w:tmpl w:val="ECA8AD72"/>
    <w:lvl w:ilvl="0" w:tplc="3C0C2AD0">
      <w:start w:val="9"/>
      <w:numFmt w:val="bullet"/>
      <w:lvlText w:val="-"/>
      <w:lvlJc w:val="left"/>
      <w:pPr>
        <w:ind w:left="720" w:hanging="360"/>
      </w:pPr>
      <w:rPr>
        <w:rFonts w:ascii="Arial Narrow" w:eastAsia="Times New Roman"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0DB08CA"/>
    <w:multiLevelType w:val="hybridMultilevel"/>
    <w:tmpl w:val="AD648AF4"/>
    <w:lvl w:ilvl="0" w:tplc="0C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62DB411D"/>
    <w:multiLevelType w:val="hybridMultilevel"/>
    <w:tmpl w:val="6A965760"/>
    <w:lvl w:ilvl="0" w:tplc="CE2E4198">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8D32F78"/>
    <w:multiLevelType w:val="hybridMultilevel"/>
    <w:tmpl w:val="10D2CF6C"/>
    <w:lvl w:ilvl="0" w:tplc="0C090001">
      <w:start w:val="1"/>
      <w:numFmt w:val="bullet"/>
      <w:lvlText w:val=""/>
      <w:lvlJc w:val="left"/>
      <w:pPr>
        <w:tabs>
          <w:tab w:val="num" w:pos="152"/>
        </w:tabs>
        <w:ind w:left="152" w:hanging="360"/>
      </w:pPr>
      <w:rPr>
        <w:rFonts w:ascii="Symbol" w:hAnsi="Symbol" w:hint="default"/>
      </w:rPr>
    </w:lvl>
    <w:lvl w:ilvl="1" w:tplc="F488CFD6">
      <w:numFmt w:val="bullet"/>
      <w:lvlText w:val="-"/>
      <w:lvlJc w:val="left"/>
      <w:pPr>
        <w:tabs>
          <w:tab w:val="num" w:pos="872"/>
        </w:tabs>
        <w:ind w:left="872" w:hanging="360"/>
      </w:pPr>
      <w:rPr>
        <w:rFonts w:ascii="Times New Roman" w:eastAsia="Times New Roman" w:hAnsi="Times New Roman" w:cs="Times New Roman" w:hint="default"/>
      </w:rPr>
    </w:lvl>
    <w:lvl w:ilvl="2" w:tplc="FFFFFFFF" w:tentative="1">
      <w:start w:val="1"/>
      <w:numFmt w:val="bullet"/>
      <w:lvlText w:val=""/>
      <w:lvlJc w:val="left"/>
      <w:pPr>
        <w:tabs>
          <w:tab w:val="num" w:pos="1592"/>
        </w:tabs>
        <w:ind w:left="1592" w:hanging="360"/>
      </w:pPr>
      <w:rPr>
        <w:rFonts w:ascii="Wingdings" w:hAnsi="Wingdings" w:hint="default"/>
      </w:rPr>
    </w:lvl>
    <w:lvl w:ilvl="3" w:tplc="FFFFFFFF" w:tentative="1">
      <w:start w:val="1"/>
      <w:numFmt w:val="bullet"/>
      <w:lvlText w:val=""/>
      <w:lvlJc w:val="left"/>
      <w:pPr>
        <w:tabs>
          <w:tab w:val="num" w:pos="2312"/>
        </w:tabs>
        <w:ind w:left="2312" w:hanging="360"/>
      </w:pPr>
      <w:rPr>
        <w:rFonts w:ascii="Symbol" w:hAnsi="Symbol" w:hint="default"/>
      </w:rPr>
    </w:lvl>
    <w:lvl w:ilvl="4" w:tplc="FFFFFFFF" w:tentative="1">
      <w:start w:val="1"/>
      <w:numFmt w:val="bullet"/>
      <w:lvlText w:val="o"/>
      <w:lvlJc w:val="left"/>
      <w:pPr>
        <w:tabs>
          <w:tab w:val="num" w:pos="3032"/>
        </w:tabs>
        <w:ind w:left="3032" w:hanging="360"/>
      </w:pPr>
      <w:rPr>
        <w:rFonts w:ascii="Courier New" w:hAnsi="Courier New" w:cs="Courier New" w:hint="default"/>
      </w:rPr>
    </w:lvl>
    <w:lvl w:ilvl="5" w:tplc="FFFFFFFF" w:tentative="1">
      <w:start w:val="1"/>
      <w:numFmt w:val="bullet"/>
      <w:lvlText w:val=""/>
      <w:lvlJc w:val="left"/>
      <w:pPr>
        <w:tabs>
          <w:tab w:val="num" w:pos="3752"/>
        </w:tabs>
        <w:ind w:left="3752" w:hanging="360"/>
      </w:pPr>
      <w:rPr>
        <w:rFonts w:ascii="Wingdings" w:hAnsi="Wingdings" w:hint="default"/>
      </w:rPr>
    </w:lvl>
    <w:lvl w:ilvl="6" w:tplc="FFFFFFFF" w:tentative="1">
      <w:start w:val="1"/>
      <w:numFmt w:val="bullet"/>
      <w:lvlText w:val=""/>
      <w:lvlJc w:val="left"/>
      <w:pPr>
        <w:tabs>
          <w:tab w:val="num" w:pos="4472"/>
        </w:tabs>
        <w:ind w:left="4472" w:hanging="360"/>
      </w:pPr>
      <w:rPr>
        <w:rFonts w:ascii="Symbol" w:hAnsi="Symbol" w:hint="default"/>
      </w:rPr>
    </w:lvl>
    <w:lvl w:ilvl="7" w:tplc="FFFFFFFF" w:tentative="1">
      <w:start w:val="1"/>
      <w:numFmt w:val="bullet"/>
      <w:lvlText w:val="o"/>
      <w:lvlJc w:val="left"/>
      <w:pPr>
        <w:tabs>
          <w:tab w:val="num" w:pos="5192"/>
        </w:tabs>
        <w:ind w:left="5192" w:hanging="360"/>
      </w:pPr>
      <w:rPr>
        <w:rFonts w:ascii="Courier New" w:hAnsi="Courier New" w:cs="Courier New" w:hint="default"/>
      </w:rPr>
    </w:lvl>
    <w:lvl w:ilvl="8" w:tplc="FFFFFFFF" w:tentative="1">
      <w:start w:val="1"/>
      <w:numFmt w:val="bullet"/>
      <w:lvlText w:val=""/>
      <w:lvlJc w:val="left"/>
      <w:pPr>
        <w:tabs>
          <w:tab w:val="num" w:pos="5912"/>
        </w:tabs>
        <w:ind w:left="5912" w:hanging="360"/>
      </w:pPr>
      <w:rPr>
        <w:rFonts w:ascii="Wingdings" w:hAnsi="Wingdings" w:hint="default"/>
      </w:rPr>
    </w:lvl>
  </w:abstractNum>
  <w:abstractNum w:abstractNumId="39">
    <w:nsid w:val="6A807247"/>
    <w:multiLevelType w:val="hybridMultilevel"/>
    <w:tmpl w:val="B9E873E6"/>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6AB856A8"/>
    <w:multiLevelType w:val="hybridMultilevel"/>
    <w:tmpl w:val="852A1C56"/>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41">
    <w:nsid w:val="720A2EFD"/>
    <w:multiLevelType w:val="hybridMultilevel"/>
    <w:tmpl w:val="C3E2347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24337F3"/>
    <w:multiLevelType w:val="hybridMultilevel"/>
    <w:tmpl w:val="D354E9AA"/>
    <w:lvl w:ilvl="0" w:tplc="CE2E4198">
      <w:start w:val="1"/>
      <w:numFmt w:val="lowerRoman"/>
      <w:lvlText w:val="%1)"/>
      <w:lvlJc w:val="righ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84D033C"/>
    <w:multiLevelType w:val="multilevel"/>
    <w:tmpl w:val="D4E023EA"/>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ascii="Arial" w:hAnsi="Arial" w:cs="Aria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7C0D60A0"/>
    <w:multiLevelType w:val="hybridMultilevel"/>
    <w:tmpl w:val="D354E9AA"/>
    <w:lvl w:ilvl="0" w:tplc="CE2E4198">
      <w:start w:val="1"/>
      <w:numFmt w:val="lowerRoman"/>
      <w:lvlText w:val="%1)"/>
      <w:lvlJc w:val="righ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F6E6D64"/>
    <w:multiLevelType w:val="hybridMultilevel"/>
    <w:tmpl w:val="60CCD4D0"/>
    <w:lvl w:ilvl="0" w:tplc="0C090001">
      <w:start w:val="1"/>
      <w:numFmt w:val="bullet"/>
      <w:lvlText w:val=""/>
      <w:lvlJc w:val="left"/>
      <w:pPr>
        <w:tabs>
          <w:tab w:val="num" w:pos="360"/>
        </w:tabs>
        <w:ind w:left="360" w:hanging="360"/>
      </w:pPr>
      <w:rPr>
        <w:rFonts w:ascii="Symbol" w:hAnsi="Symbol" w:hint="default"/>
      </w:rPr>
    </w:lvl>
    <w:lvl w:ilvl="1" w:tplc="F488CFD6">
      <w:numFmt w:val="bullet"/>
      <w:lvlText w:val="-"/>
      <w:lvlJc w:val="left"/>
      <w:pPr>
        <w:tabs>
          <w:tab w:val="num" w:pos="1080"/>
        </w:tabs>
        <w:ind w:left="1080" w:hanging="360"/>
      </w:pPr>
      <w:rPr>
        <w:rFonts w:ascii="Times New Roman" w:eastAsia="Times New Roman" w:hAnsi="Times New Roman"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23"/>
  </w:num>
  <w:num w:numId="2">
    <w:abstractNumId w:val="20"/>
  </w:num>
  <w:num w:numId="3">
    <w:abstractNumId w:val="0"/>
  </w:num>
  <w:num w:numId="4">
    <w:abstractNumId w:val="43"/>
  </w:num>
  <w:num w:numId="5">
    <w:abstractNumId w:val="33"/>
  </w:num>
  <w:num w:numId="6">
    <w:abstractNumId w:val="17"/>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39"/>
  </w:num>
  <w:num w:numId="10">
    <w:abstractNumId w:val="37"/>
  </w:num>
  <w:num w:numId="11">
    <w:abstractNumId w:val="44"/>
  </w:num>
  <w:num w:numId="12">
    <w:abstractNumId w:val="32"/>
  </w:num>
  <w:num w:numId="13">
    <w:abstractNumId w:val="10"/>
  </w:num>
  <w:num w:numId="14">
    <w:abstractNumId w:val="27"/>
  </w:num>
  <w:num w:numId="15">
    <w:abstractNumId w:val="35"/>
  </w:num>
  <w:num w:numId="16">
    <w:abstractNumId w:val="6"/>
  </w:num>
  <w:num w:numId="17">
    <w:abstractNumId w:val="13"/>
  </w:num>
  <w:num w:numId="18">
    <w:abstractNumId w:val="3"/>
  </w:num>
  <w:num w:numId="19">
    <w:abstractNumId w:val="15"/>
  </w:num>
  <w:num w:numId="20">
    <w:abstractNumId w:val="19"/>
  </w:num>
  <w:num w:numId="21">
    <w:abstractNumId w:val="11"/>
  </w:num>
  <w:num w:numId="22">
    <w:abstractNumId w:val="1"/>
  </w:num>
  <w:num w:numId="23">
    <w:abstractNumId w:val="7"/>
  </w:num>
  <w:num w:numId="24">
    <w:abstractNumId w:val="22"/>
  </w:num>
  <w:num w:numId="25">
    <w:abstractNumId w:val="40"/>
  </w:num>
  <w:num w:numId="26">
    <w:abstractNumId w:val="21"/>
  </w:num>
  <w:num w:numId="27">
    <w:abstractNumId w:val="38"/>
  </w:num>
  <w:num w:numId="28">
    <w:abstractNumId w:val="45"/>
  </w:num>
  <w:num w:numId="29">
    <w:abstractNumId w:val="8"/>
  </w:num>
  <w:num w:numId="30">
    <w:abstractNumId w:val="25"/>
  </w:num>
  <w:num w:numId="31">
    <w:abstractNumId w:val="30"/>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31"/>
  </w:num>
  <w:num w:numId="35">
    <w:abstractNumId w:val="12"/>
  </w:num>
  <w:num w:numId="36">
    <w:abstractNumId w:val="5"/>
  </w:num>
  <w:num w:numId="37">
    <w:abstractNumId w:val="14"/>
  </w:num>
  <w:num w:numId="38">
    <w:abstractNumId w:val="34"/>
  </w:num>
  <w:num w:numId="39">
    <w:abstractNumId w:val="4"/>
  </w:num>
  <w:num w:numId="40">
    <w:abstractNumId w:val="29"/>
  </w:num>
  <w:num w:numId="41">
    <w:abstractNumId w:val="41"/>
  </w:num>
  <w:num w:numId="42">
    <w:abstractNumId w:val="24"/>
  </w:num>
  <w:num w:numId="43">
    <w:abstractNumId w:val="28"/>
  </w:num>
  <w:num w:numId="44">
    <w:abstractNumId w:val="2"/>
  </w:num>
  <w:num w:numId="45">
    <w:abstractNumId w:val="16"/>
  </w:num>
  <w:num w:numId="46">
    <w:abstractNumId w:val="26"/>
  </w:num>
  <w:num w:numId="47">
    <w:abstractNumId w:val="18"/>
  </w:num>
  <w:num w:numId="48">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D84"/>
    <w:rsid w:val="00000790"/>
    <w:rsid w:val="0000110B"/>
    <w:rsid w:val="00003AAF"/>
    <w:rsid w:val="000046F4"/>
    <w:rsid w:val="00004CCC"/>
    <w:rsid w:val="00004ED3"/>
    <w:rsid w:val="00005990"/>
    <w:rsid w:val="00005B1A"/>
    <w:rsid w:val="00006648"/>
    <w:rsid w:val="0000782A"/>
    <w:rsid w:val="00010113"/>
    <w:rsid w:val="00010B96"/>
    <w:rsid w:val="00011147"/>
    <w:rsid w:val="0001138D"/>
    <w:rsid w:val="00013247"/>
    <w:rsid w:val="00015886"/>
    <w:rsid w:val="000162EF"/>
    <w:rsid w:val="0002225F"/>
    <w:rsid w:val="00023763"/>
    <w:rsid w:val="00025987"/>
    <w:rsid w:val="00030F86"/>
    <w:rsid w:val="000311EA"/>
    <w:rsid w:val="00032E69"/>
    <w:rsid w:val="00032F0F"/>
    <w:rsid w:val="000360A7"/>
    <w:rsid w:val="000379E5"/>
    <w:rsid w:val="00040895"/>
    <w:rsid w:val="00041382"/>
    <w:rsid w:val="00041851"/>
    <w:rsid w:val="0004231D"/>
    <w:rsid w:val="0004286F"/>
    <w:rsid w:val="00043C37"/>
    <w:rsid w:val="00043C7C"/>
    <w:rsid w:val="00044115"/>
    <w:rsid w:val="00045CC3"/>
    <w:rsid w:val="0004685E"/>
    <w:rsid w:val="000544BC"/>
    <w:rsid w:val="000546D7"/>
    <w:rsid w:val="00055D48"/>
    <w:rsid w:val="000566A6"/>
    <w:rsid w:val="00061B1E"/>
    <w:rsid w:val="000644B0"/>
    <w:rsid w:val="000656BD"/>
    <w:rsid w:val="00066B5E"/>
    <w:rsid w:val="00070E15"/>
    <w:rsid w:val="00071248"/>
    <w:rsid w:val="00071453"/>
    <w:rsid w:val="000720B9"/>
    <w:rsid w:val="000723B2"/>
    <w:rsid w:val="00072D1E"/>
    <w:rsid w:val="0007407E"/>
    <w:rsid w:val="00074B81"/>
    <w:rsid w:val="00076761"/>
    <w:rsid w:val="000812CA"/>
    <w:rsid w:val="00081ACB"/>
    <w:rsid w:val="0008356B"/>
    <w:rsid w:val="00090C7E"/>
    <w:rsid w:val="00091A64"/>
    <w:rsid w:val="000960D4"/>
    <w:rsid w:val="0009628D"/>
    <w:rsid w:val="000965FB"/>
    <w:rsid w:val="00096997"/>
    <w:rsid w:val="00097296"/>
    <w:rsid w:val="000A0212"/>
    <w:rsid w:val="000A1C0E"/>
    <w:rsid w:val="000A45B6"/>
    <w:rsid w:val="000A6408"/>
    <w:rsid w:val="000B08EE"/>
    <w:rsid w:val="000B102C"/>
    <w:rsid w:val="000B5126"/>
    <w:rsid w:val="000B76D2"/>
    <w:rsid w:val="000C062F"/>
    <w:rsid w:val="000C278C"/>
    <w:rsid w:val="000C27C2"/>
    <w:rsid w:val="000C6AF7"/>
    <w:rsid w:val="000D191F"/>
    <w:rsid w:val="000D195A"/>
    <w:rsid w:val="000D1A17"/>
    <w:rsid w:val="000D1BFC"/>
    <w:rsid w:val="000D57BF"/>
    <w:rsid w:val="000D5D85"/>
    <w:rsid w:val="000D6071"/>
    <w:rsid w:val="000E1EA0"/>
    <w:rsid w:val="000E3828"/>
    <w:rsid w:val="000E685D"/>
    <w:rsid w:val="000E77AE"/>
    <w:rsid w:val="000F0947"/>
    <w:rsid w:val="000F26CB"/>
    <w:rsid w:val="000F27A6"/>
    <w:rsid w:val="00100F8A"/>
    <w:rsid w:val="00101592"/>
    <w:rsid w:val="00101AA2"/>
    <w:rsid w:val="0011032E"/>
    <w:rsid w:val="0011045C"/>
    <w:rsid w:val="00110E6A"/>
    <w:rsid w:val="00115479"/>
    <w:rsid w:val="00120F63"/>
    <w:rsid w:val="00121799"/>
    <w:rsid w:val="001222FC"/>
    <w:rsid w:val="00122C3F"/>
    <w:rsid w:val="001249E4"/>
    <w:rsid w:val="00124A51"/>
    <w:rsid w:val="00124D04"/>
    <w:rsid w:val="001262FE"/>
    <w:rsid w:val="0012634F"/>
    <w:rsid w:val="00126621"/>
    <w:rsid w:val="001301E9"/>
    <w:rsid w:val="0013088E"/>
    <w:rsid w:val="00130B7B"/>
    <w:rsid w:val="00135199"/>
    <w:rsid w:val="00137645"/>
    <w:rsid w:val="001400C2"/>
    <w:rsid w:val="0014015A"/>
    <w:rsid w:val="00140E99"/>
    <w:rsid w:val="0014114C"/>
    <w:rsid w:val="001414D0"/>
    <w:rsid w:val="00142686"/>
    <w:rsid w:val="00142946"/>
    <w:rsid w:val="00142D49"/>
    <w:rsid w:val="00145642"/>
    <w:rsid w:val="001456B0"/>
    <w:rsid w:val="00147751"/>
    <w:rsid w:val="00147AC9"/>
    <w:rsid w:val="00150167"/>
    <w:rsid w:val="001505F5"/>
    <w:rsid w:val="00152F61"/>
    <w:rsid w:val="00154295"/>
    <w:rsid w:val="00157130"/>
    <w:rsid w:val="00161A84"/>
    <w:rsid w:val="00162913"/>
    <w:rsid w:val="0016377D"/>
    <w:rsid w:val="00163EFF"/>
    <w:rsid w:val="00164493"/>
    <w:rsid w:val="0016494D"/>
    <w:rsid w:val="00165CC5"/>
    <w:rsid w:val="001661FB"/>
    <w:rsid w:val="00171C32"/>
    <w:rsid w:val="00174098"/>
    <w:rsid w:val="00176877"/>
    <w:rsid w:val="0017710E"/>
    <w:rsid w:val="00182C29"/>
    <w:rsid w:val="00183647"/>
    <w:rsid w:val="00183D71"/>
    <w:rsid w:val="0018446A"/>
    <w:rsid w:val="0018486C"/>
    <w:rsid w:val="00185528"/>
    <w:rsid w:val="00185EC2"/>
    <w:rsid w:val="00187E36"/>
    <w:rsid w:val="00190C98"/>
    <w:rsid w:val="00191738"/>
    <w:rsid w:val="00195222"/>
    <w:rsid w:val="00196A8E"/>
    <w:rsid w:val="00196BAB"/>
    <w:rsid w:val="001971A6"/>
    <w:rsid w:val="001975D8"/>
    <w:rsid w:val="00197985"/>
    <w:rsid w:val="001A2910"/>
    <w:rsid w:val="001A6284"/>
    <w:rsid w:val="001A68CC"/>
    <w:rsid w:val="001B15C8"/>
    <w:rsid w:val="001B2D68"/>
    <w:rsid w:val="001B3171"/>
    <w:rsid w:val="001B3232"/>
    <w:rsid w:val="001B3443"/>
    <w:rsid w:val="001B34D9"/>
    <w:rsid w:val="001B6188"/>
    <w:rsid w:val="001C042A"/>
    <w:rsid w:val="001C1030"/>
    <w:rsid w:val="001C6E66"/>
    <w:rsid w:val="001D0F9D"/>
    <w:rsid w:val="001D112E"/>
    <w:rsid w:val="001D1754"/>
    <w:rsid w:val="001D2711"/>
    <w:rsid w:val="001D2840"/>
    <w:rsid w:val="001D3084"/>
    <w:rsid w:val="001D789F"/>
    <w:rsid w:val="001E238E"/>
    <w:rsid w:val="001E2592"/>
    <w:rsid w:val="001E27FE"/>
    <w:rsid w:val="001E3B4D"/>
    <w:rsid w:val="001E52EB"/>
    <w:rsid w:val="001E6703"/>
    <w:rsid w:val="001E740C"/>
    <w:rsid w:val="001F04C9"/>
    <w:rsid w:val="001F0E0C"/>
    <w:rsid w:val="001F1235"/>
    <w:rsid w:val="001F1CB3"/>
    <w:rsid w:val="001F3361"/>
    <w:rsid w:val="001F37D8"/>
    <w:rsid w:val="001F4E00"/>
    <w:rsid w:val="001F51C8"/>
    <w:rsid w:val="001F5328"/>
    <w:rsid w:val="001F648B"/>
    <w:rsid w:val="001F7361"/>
    <w:rsid w:val="0020112D"/>
    <w:rsid w:val="002019E4"/>
    <w:rsid w:val="00202355"/>
    <w:rsid w:val="002025FE"/>
    <w:rsid w:val="0020290F"/>
    <w:rsid w:val="002078F9"/>
    <w:rsid w:val="00207BEB"/>
    <w:rsid w:val="00210514"/>
    <w:rsid w:val="002105C1"/>
    <w:rsid w:val="0021317E"/>
    <w:rsid w:val="00217BA1"/>
    <w:rsid w:val="00220798"/>
    <w:rsid w:val="002212BA"/>
    <w:rsid w:val="0022185D"/>
    <w:rsid w:val="002235BB"/>
    <w:rsid w:val="00223B49"/>
    <w:rsid w:val="00224DD4"/>
    <w:rsid w:val="002278ED"/>
    <w:rsid w:val="002309CC"/>
    <w:rsid w:val="00232528"/>
    <w:rsid w:val="002335DC"/>
    <w:rsid w:val="0023366E"/>
    <w:rsid w:val="00234746"/>
    <w:rsid w:val="00235304"/>
    <w:rsid w:val="00240020"/>
    <w:rsid w:val="00241235"/>
    <w:rsid w:val="00241A85"/>
    <w:rsid w:val="00241AC1"/>
    <w:rsid w:val="00241E76"/>
    <w:rsid w:val="00242E4B"/>
    <w:rsid w:val="00242FAC"/>
    <w:rsid w:val="00244BB0"/>
    <w:rsid w:val="00245159"/>
    <w:rsid w:val="002466EB"/>
    <w:rsid w:val="00246AF5"/>
    <w:rsid w:val="00247560"/>
    <w:rsid w:val="0025076B"/>
    <w:rsid w:val="002510AA"/>
    <w:rsid w:val="0025196A"/>
    <w:rsid w:val="00252D04"/>
    <w:rsid w:val="0025534B"/>
    <w:rsid w:val="00255BB7"/>
    <w:rsid w:val="00256CC5"/>
    <w:rsid w:val="002570C5"/>
    <w:rsid w:val="00260716"/>
    <w:rsid w:val="00262A87"/>
    <w:rsid w:val="002633C1"/>
    <w:rsid w:val="002638E1"/>
    <w:rsid w:val="00264A78"/>
    <w:rsid w:val="0027430C"/>
    <w:rsid w:val="00275183"/>
    <w:rsid w:val="00275C5A"/>
    <w:rsid w:val="002766D0"/>
    <w:rsid w:val="0027732D"/>
    <w:rsid w:val="00280B1A"/>
    <w:rsid w:val="00283B96"/>
    <w:rsid w:val="0028506D"/>
    <w:rsid w:val="002866D3"/>
    <w:rsid w:val="00295697"/>
    <w:rsid w:val="0029638A"/>
    <w:rsid w:val="00297E64"/>
    <w:rsid w:val="002A039C"/>
    <w:rsid w:val="002A0F5C"/>
    <w:rsid w:val="002A11BD"/>
    <w:rsid w:val="002A1321"/>
    <w:rsid w:val="002A14AB"/>
    <w:rsid w:val="002A67F2"/>
    <w:rsid w:val="002A7ACD"/>
    <w:rsid w:val="002B1C1F"/>
    <w:rsid w:val="002B432F"/>
    <w:rsid w:val="002B4428"/>
    <w:rsid w:val="002B6CCE"/>
    <w:rsid w:val="002C23FC"/>
    <w:rsid w:val="002C264E"/>
    <w:rsid w:val="002C27C1"/>
    <w:rsid w:val="002C4C8B"/>
    <w:rsid w:val="002D1119"/>
    <w:rsid w:val="002D342E"/>
    <w:rsid w:val="002D3D30"/>
    <w:rsid w:val="002E098F"/>
    <w:rsid w:val="002E0A8C"/>
    <w:rsid w:val="002E0A98"/>
    <w:rsid w:val="002E1108"/>
    <w:rsid w:val="002E18C6"/>
    <w:rsid w:val="002E18CA"/>
    <w:rsid w:val="002E3080"/>
    <w:rsid w:val="002E35C4"/>
    <w:rsid w:val="002E400A"/>
    <w:rsid w:val="002E6B50"/>
    <w:rsid w:val="002E7188"/>
    <w:rsid w:val="002F05A7"/>
    <w:rsid w:val="002F1AE5"/>
    <w:rsid w:val="002F659D"/>
    <w:rsid w:val="002F782A"/>
    <w:rsid w:val="00301017"/>
    <w:rsid w:val="00303219"/>
    <w:rsid w:val="00304777"/>
    <w:rsid w:val="00305395"/>
    <w:rsid w:val="00305EBA"/>
    <w:rsid w:val="0030728F"/>
    <w:rsid w:val="0030786C"/>
    <w:rsid w:val="0031031A"/>
    <w:rsid w:val="0031062C"/>
    <w:rsid w:val="003112F3"/>
    <w:rsid w:val="0031317E"/>
    <w:rsid w:val="00313846"/>
    <w:rsid w:val="00315498"/>
    <w:rsid w:val="00315A59"/>
    <w:rsid w:val="003162CF"/>
    <w:rsid w:val="003203E8"/>
    <w:rsid w:val="003207F5"/>
    <w:rsid w:val="00321336"/>
    <w:rsid w:val="003214C4"/>
    <w:rsid w:val="003247A8"/>
    <w:rsid w:val="003262A9"/>
    <w:rsid w:val="003302C4"/>
    <w:rsid w:val="00332AA2"/>
    <w:rsid w:val="00335CD3"/>
    <w:rsid w:val="00336488"/>
    <w:rsid w:val="003366C9"/>
    <w:rsid w:val="00336F9C"/>
    <w:rsid w:val="00340415"/>
    <w:rsid w:val="003409CE"/>
    <w:rsid w:val="003425CB"/>
    <w:rsid w:val="00343048"/>
    <w:rsid w:val="00343B1E"/>
    <w:rsid w:val="00346650"/>
    <w:rsid w:val="0035375E"/>
    <w:rsid w:val="003538E4"/>
    <w:rsid w:val="00355A6C"/>
    <w:rsid w:val="00355DE6"/>
    <w:rsid w:val="0035620E"/>
    <w:rsid w:val="00356A01"/>
    <w:rsid w:val="00357A3F"/>
    <w:rsid w:val="003612D8"/>
    <w:rsid w:val="00366451"/>
    <w:rsid w:val="00370858"/>
    <w:rsid w:val="00376494"/>
    <w:rsid w:val="0038222B"/>
    <w:rsid w:val="0038365C"/>
    <w:rsid w:val="00386A83"/>
    <w:rsid w:val="00387ACD"/>
    <w:rsid w:val="00390927"/>
    <w:rsid w:val="00393F75"/>
    <w:rsid w:val="00393FC4"/>
    <w:rsid w:val="00395048"/>
    <w:rsid w:val="00396CA3"/>
    <w:rsid w:val="00396FD0"/>
    <w:rsid w:val="003A004B"/>
    <w:rsid w:val="003A1A7A"/>
    <w:rsid w:val="003A24F8"/>
    <w:rsid w:val="003A2C74"/>
    <w:rsid w:val="003A3A57"/>
    <w:rsid w:val="003A67E7"/>
    <w:rsid w:val="003A7E49"/>
    <w:rsid w:val="003B22B8"/>
    <w:rsid w:val="003B3D1E"/>
    <w:rsid w:val="003B3EC0"/>
    <w:rsid w:val="003B4391"/>
    <w:rsid w:val="003B4F6D"/>
    <w:rsid w:val="003B6273"/>
    <w:rsid w:val="003C2E07"/>
    <w:rsid w:val="003C3777"/>
    <w:rsid w:val="003C4B65"/>
    <w:rsid w:val="003D1828"/>
    <w:rsid w:val="003D2422"/>
    <w:rsid w:val="003D34D8"/>
    <w:rsid w:val="003D3FEE"/>
    <w:rsid w:val="003D6389"/>
    <w:rsid w:val="003D6754"/>
    <w:rsid w:val="003D6EE1"/>
    <w:rsid w:val="003E1A2A"/>
    <w:rsid w:val="003E1B6C"/>
    <w:rsid w:val="003E30EF"/>
    <w:rsid w:val="003E4510"/>
    <w:rsid w:val="003E4669"/>
    <w:rsid w:val="003E4845"/>
    <w:rsid w:val="003E492C"/>
    <w:rsid w:val="003F030E"/>
    <w:rsid w:val="003F34BA"/>
    <w:rsid w:val="003F4156"/>
    <w:rsid w:val="003F4197"/>
    <w:rsid w:val="003F485D"/>
    <w:rsid w:val="003F4D4D"/>
    <w:rsid w:val="003F5429"/>
    <w:rsid w:val="003F606F"/>
    <w:rsid w:val="003F6965"/>
    <w:rsid w:val="00402A45"/>
    <w:rsid w:val="00406405"/>
    <w:rsid w:val="00406AE8"/>
    <w:rsid w:val="00407A97"/>
    <w:rsid w:val="004102AF"/>
    <w:rsid w:val="00410EC7"/>
    <w:rsid w:val="004133DD"/>
    <w:rsid w:val="00413579"/>
    <w:rsid w:val="00413A50"/>
    <w:rsid w:val="00414476"/>
    <w:rsid w:val="00414CE6"/>
    <w:rsid w:val="00415E4B"/>
    <w:rsid w:val="00420358"/>
    <w:rsid w:val="00420B9F"/>
    <w:rsid w:val="0042261C"/>
    <w:rsid w:val="0042304E"/>
    <w:rsid w:val="00423EB2"/>
    <w:rsid w:val="00424400"/>
    <w:rsid w:val="00425CB2"/>
    <w:rsid w:val="00427C9C"/>
    <w:rsid w:val="004302D7"/>
    <w:rsid w:val="00430CB6"/>
    <w:rsid w:val="00430FF1"/>
    <w:rsid w:val="004319F8"/>
    <w:rsid w:val="0043283D"/>
    <w:rsid w:val="00435738"/>
    <w:rsid w:val="004365AA"/>
    <w:rsid w:val="00436F30"/>
    <w:rsid w:val="00442180"/>
    <w:rsid w:val="004431C9"/>
    <w:rsid w:val="004443A7"/>
    <w:rsid w:val="0044452A"/>
    <w:rsid w:val="004464EB"/>
    <w:rsid w:val="00447CD3"/>
    <w:rsid w:val="00450C34"/>
    <w:rsid w:val="00451159"/>
    <w:rsid w:val="004515CA"/>
    <w:rsid w:val="0045342E"/>
    <w:rsid w:val="00455D45"/>
    <w:rsid w:val="00456D4E"/>
    <w:rsid w:val="00460484"/>
    <w:rsid w:val="0046186B"/>
    <w:rsid w:val="0046340F"/>
    <w:rsid w:val="00464595"/>
    <w:rsid w:val="004649F0"/>
    <w:rsid w:val="00465E63"/>
    <w:rsid w:val="00470460"/>
    <w:rsid w:val="004713F6"/>
    <w:rsid w:val="004714AB"/>
    <w:rsid w:val="00472359"/>
    <w:rsid w:val="0047456A"/>
    <w:rsid w:val="00475C2F"/>
    <w:rsid w:val="004765A8"/>
    <w:rsid w:val="00476768"/>
    <w:rsid w:val="00477270"/>
    <w:rsid w:val="004802C8"/>
    <w:rsid w:val="004867E2"/>
    <w:rsid w:val="004868C0"/>
    <w:rsid w:val="00491B3A"/>
    <w:rsid w:val="004940F2"/>
    <w:rsid w:val="004948B5"/>
    <w:rsid w:val="0049581E"/>
    <w:rsid w:val="00496754"/>
    <w:rsid w:val="004979CB"/>
    <w:rsid w:val="00497F10"/>
    <w:rsid w:val="004A0DA1"/>
    <w:rsid w:val="004A15F3"/>
    <w:rsid w:val="004A1A75"/>
    <w:rsid w:val="004A22EE"/>
    <w:rsid w:val="004A2C45"/>
    <w:rsid w:val="004A3B8B"/>
    <w:rsid w:val="004A4BF1"/>
    <w:rsid w:val="004A6597"/>
    <w:rsid w:val="004A7338"/>
    <w:rsid w:val="004A7A75"/>
    <w:rsid w:val="004B037E"/>
    <w:rsid w:val="004B0C43"/>
    <w:rsid w:val="004B19D2"/>
    <w:rsid w:val="004B2F18"/>
    <w:rsid w:val="004B37E2"/>
    <w:rsid w:val="004B3A47"/>
    <w:rsid w:val="004B3DDB"/>
    <w:rsid w:val="004B44FD"/>
    <w:rsid w:val="004B5CFC"/>
    <w:rsid w:val="004B6ABC"/>
    <w:rsid w:val="004B70DA"/>
    <w:rsid w:val="004C213F"/>
    <w:rsid w:val="004C40C5"/>
    <w:rsid w:val="004C4AED"/>
    <w:rsid w:val="004C62DB"/>
    <w:rsid w:val="004D0483"/>
    <w:rsid w:val="004D076D"/>
    <w:rsid w:val="004D3D4F"/>
    <w:rsid w:val="004D4F94"/>
    <w:rsid w:val="004D5B3F"/>
    <w:rsid w:val="004D61B8"/>
    <w:rsid w:val="004E02A1"/>
    <w:rsid w:val="004E053A"/>
    <w:rsid w:val="004E0AE8"/>
    <w:rsid w:val="004E0EB8"/>
    <w:rsid w:val="004E20CE"/>
    <w:rsid w:val="004E2ADC"/>
    <w:rsid w:val="004E4E08"/>
    <w:rsid w:val="004E6E4D"/>
    <w:rsid w:val="004E7995"/>
    <w:rsid w:val="004E7A7A"/>
    <w:rsid w:val="004F1C6E"/>
    <w:rsid w:val="004F1D02"/>
    <w:rsid w:val="004F2679"/>
    <w:rsid w:val="004F44AF"/>
    <w:rsid w:val="004F46BC"/>
    <w:rsid w:val="004F46CD"/>
    <w:rsid w:val="004F56E9"/>
    <w:rsid w:val="00500DE2"/>
    <w:rsid w:val="005061A5"/>
    <w:rsid w:val="00506468"/>
    <w:rsid w:val="00506701"/>
    <w:rsid w:val="00506E16"/>
    <w:rsid w:val="00511749"/>
    <w:rsid w:val="005118FA"/>
    <w:rsid w:val="00511A49"/>
    <w:rsid w:val="005132E0"/>
    <w:rsid w:val="005132E8"/>
    <w:rsid w:val="005137FB"/>
    <w:rsid w:val="005152B5"/>
    <w:rsid w:val="005155F5"/>
    <w:rsid w:val="00516FA2"/>
    <w:rsid w:val="00520715"/>
    <w:rsid w:val="005207C4"/>
    <w:rsid w:val="00521319"/>
    <w:rsid w:val="00522027"/>
    <w:rsid w:val="00522D4C"/>
    <w:rsid w:val="00523C28"/>
    <w:rsid w:val="005258B5"/>
    <w:rsid w:val="005277A3"/>
    <w:rsid w:val="00532976"/>
    <w:rsid w:val="0053739A"/>
    <w:rsid w:val="00540E93"/>
    <w:rsid w:val="00545374"/>
    <w:rsid w:val="00546EB9"/>
    <w:rsid w:val="005526B1"/>
    <w:rsid w:val="00553E61"/>
    <w:rsid w:val="00555109"/>
    <w:rsid w:val="00556F27"/>
    <w:rsid w:val="00560530"/>
    <w:rsid w:val="00560881"/>
    <w:rsid w:val="0056194B"/>
    <w:rsid w:val="00561FEF"/>
    <w:rsid w:val="0056276A"/>
    <w:rsid w:val="00564159"/>
    <w:rsid w:val="005666AD"/>
    <w:rsid w:val="0056696F"/>
    <w:rsid w:val="005702A0"/>
    <w:rsid w:val="00571C7B"/>
    <w:rsid w:val="00571DE9"/>
    <w:rsid w:val="00572701"/>
    <w:rsid w:val="00575120"/>
    <w:rsid w:val="00576700"/>
    <w:rsid w:val="00576972"/>
    <w:rsid w:val="00577717"/>
    <w:rsid w:val="0058002C"/>
    <w:rsid w:val="005801E9"/>
    <w:rsid w:val="0058194B"/>
    <w:rsid w:val="00583699"/>
    <w:rsid w:val="00584E9D"/>
    <w:rsid w:val="0058580B"/>
    <w:rsid w:val="00586059"/>
    <w:rsid w:val="00586B6B"/>
    <w:rsid w:val="0058704A"/>
    <w:rsid w:val="005876CA"/>
    <w:rsid w:val="00592904"/>
    <w:rsid w:val="00592F0E"/>
    <w:rsid w:val="0059392E"/>
    <w:rsid w:val="00594812"/>
    <w:rsid w:val="00595210"/>
    <w:rsid w:val="00596B31"/>
    <w:rsid w:val="00597771"/>
    <w:rsid w:val="005A19D8"/>
    <w:rsid w:val="005A256C"/>
    <w:rsid w:val="005A4E7A"/>
    <w:rsid w:val="005A519E"/>
    <w:rsid w:val="005A5ACC"/>
    <w:rsid w:val="005A6AA4"/>
    <w:rsid w:val="005A6D02"/>
    <w:rsid w:val="005B1267"/>
    <w:rsid w:val="005B3325"/>
    <w:rsid w:val="005B3C14"/>
    <w:rsid w:val="005B5857"/>
    <w:rsid w:val="005B6BD3"/>
    <w:rsid w:val="005C1A9B"/>
    <w:rsid w:val="005C1B83"/>
    <w:rsid w:val="005C346B"/>
    <w:rsid w:val="005C74D7"/>
    <w:rsid w:val="005C7A8F"/>
    <w:rsid w:val="005C7B83"/>
    <w:rsid w:val="005D11C8"/>
    <w:rsid w:val="005D1508"/>
    <w:rsid w:val="005D18AD"/>
    <w:rsid w:val="005D23AA"/>
    <w:rsid w:val="005D3F17"/>
    <w:rsid w:val="005D5836"/>
    <w:rsid w:val="005D720D"/>
    <w:rsid w:val="005D783E"/>
    <w:rsid w:val="005D7B09"/>
    <w:rsid w:val="005D7E3E"/>
    <w:rsid w:val="005E038F"/>
    <w:rsid w:val="005E1476"/>
    <w:rsid w:val="005E1639"/>
    <w:rsid w:val="005E43D4"/>
    <w:rsid w:val="005E5B09"/>
    <w:rsid w:val="005E79F8"/>
    <w:rsid w:val="005E7D77"/>
    <w:rsid w:val="005F0273"/>
    <w:rsid w:val="005F08F1"/>
    <w:rsid w:val="005F2706"/>
    <w:rsid w:val="005F3442"/>
    <w:rsid w:val="005F6A8F"/>
    <w:rsid w:val="005F75FE"/>
    <w:rsid w:val="005F7A51"/>
    <w:rsid w:val="00600341"/>
    <w:rsid w:val="006034DD"/>
    <w:rsid w:val="00603592"/>
    <w:rsid w:val="00603A96"/>
    <w:rsid w:val="00604FF7"/>
    <w:rsid w:val="006055A7"/>
    <w:rsid w:val="00607669"/>
    <w:rsid w:val="00607E1E"/>
    <w:rsid w:val="00612F97"/>
    <w:rsid w:val="006131DA"/>
    <w:rsid w:val="0061517E"/>
    <w:rsid w:val="00615779"/>
    <w:rsid w:val="00616802"/>
    <w:rsid w:val="00616E9B"/>
    <w:rsid w:val="00617065"/>
    <w:rsid w:val="006170EE"/>
    <w:rsid w:val="00617E12"/>
    <w:rsid w:val="00621477"/>
    <w:rsid w:val="00624789"/>
    <w:rsid w:val="00625B48"/>
    <w:rsid w:val="006260B9"/>
    <w:rsid w:val="00631D6B"/>
    <w:rsid w:val="00633809"/>
    <w:rsid w:val="00633D4F"/>
    <w:rsid w:val="0063473D"/>
    <w:rsid w:val="0063479F"/>
    <w:rsid w:val="00635D80"/>
    <w:rsid w:val="006364A1"/>
    <w:rsid w:val="00637BFD"/>
    <w:rsid w:val="00640216"/>
    <w:rsid w:val="00641DF2"/>
    <w:rsid w:val="0064223D"/>
    <w:rsid w:val="00642292"/>
    <w:rsid w:val="00645664"/>
    <w:rsid w:val="006471CC"/>
    <w:rsid w:val="0065079F"/>
    <w:rsid w:val="00656A8F"/>
    <w:rsid w:val="00663C29"/>
    <w:rsid w:val="0066558C"/>
    <w:rsid w:val="00666064"/>
    <w:rsid w:val="006679A5"/>
    <w:rsid w:val="00671B85"/>
    <w:rsid w:val="006743AA"/>
    <w:rsid w:val="00674E42"/>
    <w:rsid w:val="006757F6"/>
    <w:rsid w:val="00677250"/>
    <w:rsid w:val="00680C95"/>
    <w:rsid w:val="00681544"/>
    <w:rsid w:val="00682112"/>
    <w:rsid w:val="006877BC"/>
    <w:rsid w:val="00687815"/>
    <w:rsid w:val="0069368B"/>
    <w:rsid w:val="00693B09"/>
    <w:rsid w:val="00694A1F"/>
    <w:rsid w:val="00694F44"/>
    <w:rsid w:val="00695A06"/>
    <w:rsid w:val="00697993"/>
    <w:rsid w:val="006A0551"/>
    <w:rsid w:val="006A0804"/>
    <w:rsid w:val="006A18A2"/>
    <w:rsid w:val="006A305A"/>
    <w:rsid w:val="006A30D7"/>
    <w:rsid w:val="006A3638"/>
    <w:rsid w:val="006A4EDF"/>
    <w:rsid w:val="006A5EBF"/>
    <w:rsid w:val="006B1D73"/>
    <w:rsid w:val="006B3CED"/>
    <w:rsid w:val="006B4276"/>
    <w:rsid w:val="006B501D"/>
    <w:rsid w:val="006B5630"/>
    <w:rsid w:val="006C2A8E"/>
    <w:rsid w:val="006C301B"/>
    <w:rsid w:val="006C31A3"/>
    <w:rsid w:val="006C3A67"/>
    <w:rsid w:val="006C438C"/>
    <w:rsid w:val="006C5A50"/>
    <w:rsid w:val="006C6095"/>
    <w:rsid w:val="006C73F0"/>
    <w:rsid w:val="006C7D5D"/>
    <w:rsid w:val="006D0587"/>
    <w:rsid w:val="006D1EE0"/>
    <w:rsid w:val="006D3C7D"/>
    <w:rsid w:val="006D67AD"/>
    <w:rsid w:val="006E35B4"/>
    <w:rsid w:val="006E49B1"/>
    <w:rsid w:val="006E777E"/>
    <w:rsid w:val="006E7EEC"/>
    <w:rsid w:val="006F119C"/>
    <w:rsid w:val="006F1D84"/>
    <w:rsid w:val="006F39B5"/>
    <w:rsid w:val="006F50DF"/>
    <w:rsid w:val="006F560E"/>
    <w:rsid w:val="006F5A00"/>
    <w:rsid w:val="006F63A5"/>
    <w:rsid w:val="006F6857"/>
    <w:rsid w:val="006F6C79"/>
    <w:rsid w:val="007005B5"/>
    <w:rsid w:val="00701153"/>
    <w:rsid w:val="0070276E"/>
    <w:rsid w:val="007043B6"/>
    <w:rsid w:val="007061F5"/>
    <w:rsid w:val="00711A36"/>
    <w:rsid w:val="00712682"/>
    <w:rsid w:val="00712EE1"/>
    <w:rsid w:val="00715C70"/>
    <w:rsid w:val="00716454"/>
    <w:rsid w:val="00716C84"/>
    <w:rsid w:val="007172AD"/>
    <w:rsid w:val="007223C5"/>
    <w:rsid w:val="007251B1"/>
    <w:rsid w:val="007252F2"/>
    <w:rsid w:val="00725B49"/>
    <w:rsid w:val="007265FB"/>
    <w:rsid w:val="00727489"/>
    <w:rsid w:val="0072767E"/>
    <w:rsid w:val="0073036E"/>
    <w:rsid w:val="00732BAB"/>
    <w:rsid w:val="00732D44"/>
    <w:rsid w:val="007332CD"/>
    <w:rsid w:val="007333BD"/>
    <w:rsid w:val="00733881"/>
    <w:rsid w:val="00735328"/>
    <w:rsid w:val="007358E5"/>
    <w:rsid w:val="0073685B"/>
    <w:rsid w:val="0074148F"/>
    <w:rsid w:val="00745A64"/>
    <w:rsid w:val="007474AD"/>
    <w:rsid w:val="0075606F"/>
    <w:rsid w:val="00757D15"/>
    <w:rsid w:val="00762291"/>
    <w:rsid w:val="007629DC"/>
    <w:rsid w:val="007632C9"/>
    <w:rsid w:val="00764EE0"/>
    <w:rsid w:val="00767B00"/>
    <w:rsid w:val="00770A52"/>
    <w:rsid w:val="00773548"/>
    <w:rsid w:val="00775E3F"/>
    <w:rsid w:val="007775C1"/>
    <w:rsid w:val="0078058C"/>
    <w:rsid w:val="00781975"/>
    <w:rsid w:val="0078316E"/>
    <w:rsid w:val="00783627"/>
    <w:rsid w:val="00784FA1"/>
    <w:rsid w:val="007856B4"/>
    <w:rsid w:val="00786DAE"/>
    <w:rsid w:val="00786E5B"/>
    <w:rsid w:val="00787207"/>
    <w:rsid w:val="007875F6"/>
    <w:rsid w:val="00790006"/>
    <w:rsid w:val="00792B70"/>
    <w:rsid w:val="00794BC7"/>
    <w:rsid w:val="0079647F"/>
    <w:rsid w:val="00796FD4"/>
    <w:rsid w:val="00797082"/>
    <w:rsid w:val="007A0402"/>
    <w:rsid w:val="007A0DDD"/>
    <w:rsid w:val="007A1234"/>
    <w:rsid w:val="007A183D"/>
    <w:rsid w:val="007A30D5"/>
    <w:rsid w:val="007A66F9"/>
    <w:rsid w:val="007A6728"/>
    <w:rsid w:val="007B0171"/>
    <w:rsid w:val="007B251D"/>
    <w:rsid w:val="007B3432"/>
    <w:rsid w:val="007B519D"/>
    <w:rsid w:val="007B77D1"/>
    <w:rsid w:val="007B7A0A"/>
    <w:rsid w:val="007C1C04"/>
    <w:rsid w:val="007C387B"/>
    <w:rsid w:val="007C7621"/>
    <w:rsid w:val="007D0B38"/>
    <w:rsid w:val="007D26FE"/>
    <w:rsid w:val="007D2A7E"/>
    <w:rsid w:val="007D458B"/>
    <w:rsid w:val="007D4700"/>
    <w:rsid w:val="007D4DD5"/>
    <w:rsid w:val="007D4E6B"/>
    <w:rsid w:val="007E0473"/>
    <w:rsid w:val="007E578B"/>
    <w:rsid w:val="007E59C9"/>
    <w:rsid w:val="007E6365"/>
    <w:rsid w:val="007E6C1E"/>
    <w:rsid w:val="007F0046"/>
    <w:rsid w:val="007F0145"/>
    <w:rsid w:val="007F0FE9"/>
    <w:rsid w:val="007F1017"/>
    <w:rsid w:val="007F10DA"/>
    <w:rsid w:val="007F204C"/>
    <w:rsid w:val="007F3E62"/>
    <w:rsid w:val="007F3EFB"/>
    <w:rsid w:val="007F4192"/>
    <w:rsid w:val="007F4A3F"/>
    <w:rsid w:val="007F5FA3"/>
    <w:rsid w:val="007F7AF4"/>
    <w:rsid w:val="0080204D"/>
    <w:rsid w:val="0080244B"/>
    <w:rsid w:val="00802607"/>
    <w:rsid w:val="00805142"/>
    <w:rsid w:val="00805594"/>
    <w:rsid w:val="008059A9"/>
    <w:rsid w:val="008065BF"/>
    <w:rsid w:val="00806A18"/>
    <w:rsid w:val="00807A8B"/>
    <w:rsid w:val="008104CB"/>
    <w:rsid w:val="00810D63"/>
    <w:rsid w:val="00812149"/>
    <w:rsid w:val="00812C32"/>
    <w:rsid w:val="008135E2"/>
    <w:rsid w:val="00815129"/>
    <w:rsid w:val="00815C7E"/>
    <w:rsid w:val="008166EF"/>
    <w:rsid w:val="00816AD9"/>
    <w:rsid w:val="00816EDD"/>
    <w:rsid w:val="00821CAC"/>
    <w:rsid w:val="00821D7D"/>
    <w:rsid w:val="0082227C"/>
    <w:rsid w:val="00822DD4"/>
    <w:rsid w:val="008264EB"/>
    <w:rsid w:val="00826EDC"/>
    <w:rsid w:val="008308F4"/>
    <w:rsid w:val="0083289A"/>
    <w:rsid w:val="008348DA"/>
    <w:rsid w:val="00834B7B"/>
    <w:rsid w:val="00840CA2"/>
    <w:rsid w:val="00841F9D"/>
    <w:rsid w:val="00842E2E"/>
    <w:rsid w:val="008450D4"/>
    <w:rsid w:val="00845FE1"/>
    <w:rsid w:val="00846C49"/>
    <w:rsid w:val="00847732"/>
    <w:rsid w:val="0085206C"/>
    <w:rsid w:val="008525C5"/>
    <w:rsid w:val="00853D2E"/>
    <w:rsid w:val="008563DD"/>
    <w:rsid w:val="00856839"/>
    <w:rsid w:val="00856C71"/>
    <w:rsid w:val="00856E9A"/>
    <w:rsid w:val="00860F73"/>
    <w:rsid w:val="008622FC"/>
    <w:rsid w:val="00862D44"/>
    <w:rsid w:val="00863D52"/>
    <w:rsid w:val="008642A8"/>
    <w:rsid w:val="008651FC"/>
    <w:rsid w:val="0086632E"/>
    <w:rsid w:val="00867399"/>
    <w:rsid w:val="008715E5"/>
    <w:rsid w:val="0087320E"/>
    <w:rsid w:val="00873EB9"/>
    <w:rsid w:val="00875DE1"/>
    <w:rsid w:val="008766E2"/>
    <w:rsid w:val="00880A85"/>
    <w:rsid w:val="00882453"/>
    <w:rsid w:val="0088256D"/>
    <w:rsid w:val="00882874"/>
    <w:rsid w:val="00882EA5"/>
    <w:rsid w:val="00883787"/>
    <w:rsid w:val="00884893"/>
    <w:rsid w:val="00884980"/>
    <w:rsid w:val="00892824"/>
    <w:rsid w:val="008928C8"/>
    <w:rsid w:val="00894B5A"/>
    <w:rsid w:val="008952B2"/>
    <w:rsid w:val="008963A5"/>
    <w:rsid w:val="008A3C3E"/>
    <w:rsid w:val="008A3FEB"/>
    <w:rsid w:val="008A79DE"/>
    <w:rsid w:val="008B09DA"/>
    <w:rsid w:val="008B2C69"/>
    <w:rsid w:val="008B671A"/>
    <w:rsid w:val="008B7D7E"/>
    <w:rsid w:val="008C2C2D"/>
    <w:rsid w:val="008C2D7C"/>
    <w:rsid w:val="008C3401"/>
    <w:rsid w:val="008C3F75"/>
    <w:rsid w:val="008C7AE5"/>
    <w:rsid w:val="008C7ECB"/>
    <w:rsid w:val="008D0055"/>
    <w:rsid w:val="008D0517"/>
    <w:rsid w:val="008D0AA9"/>
    <w:rsid w:val="008D2482"/>
    <w:rsid w:val="008D29F6"/>
    <w:rsid w:val="008D3861"/>
    <w:rsid w:val="008D7B61"/>
    <w:rsid w:val="008E1B9E"/>
    <w:rsid w:val="008E2880"/>
    <w:rsid w:val="008E407A"/>
    <w:rsid w:val="008E53F3"/>
    <w:rsid w:val="008E6231"/>
    <w:rsid w:val="008F319B"/>
    <w:rsid w:val="008F350E"/>
    <w:rsid w:val="008F48EB"/>
    <w:rsid w:val="008F4F0B"/>
    <w:rsid w:val="008F5F18"/>
    <w:rsid w:val="008F6393"/>
    <w:rsid w:val="008F6484"/>
    <w:rsid w:val="008F735C"/>
    <w:rsid w:val="0090017D"/>
    <w:rsid w:val="00900302"/>
    <w:rsid w:val="009008ED"/>
    <w:rsid w:val="00903201"/>
    <w:rsid w:val="0090349A"/>
    <w:rsid w:val="00903619"/>
    <w:rsid w:val="00903AA2"/>
    <w:rsid w:val="00904690"/>
    <w:rsid w:val="0090572C"/>
    <w:rsid w:val="009062A5"/>
    <w:rsid w:val="0090740F"/>
    <w:rsid w:val="009102A0"/>
    <w:rsid w:val="00911272"/>
    <w:rsid w:val="00912FD4"/>
    <w:rsid w:val="009151F2"/>
    <w:rsid w:val="00921DC8"/>
    <w:rsid w:val="00922C90"/>
    <w:rsid w:val="00923375"/>
    <w:rsid w:val="00926AC8"/>
    <w:rsid w:val="00927468"/>
    <w:rsid w:val="00935FE5"/>
    <w:rsid w:val="00936760"/>
    <w:rsid w:val="00936F8B"/>
    <w:rsid w:val="00940A0F"/>
    <w:rsid w:val="00942E2E"/>
    <w:rsid w:val="00953000"/>
    <w:rsid w:val="00954C5E"/>
    <w:rsid w:val="00954DE9"/>
    <w:rsid w:val="0095710B"/>
    <w:rsid w:val="009613CA"/>
    <w:rsid w:val="0096193E"/>
    <w:rsid w:val="00961AF9"/>
    <w:rsid w:val="00962CB9"/>
    <w:rsid w:val="00964312"/>
    <w:rsid w:val="00973D3A"/>
    <w:rsid w:val="0097525A"/>
    <w:rsid w:val="0097533F"/>
    <w:rsid w:val="009756B6"/>
    <w:rsid w:val="009763C9"/>
    <w:rsid w:val="00976EF7"/>
    <w:rsid w:val="00977060"/>
    <w:rsid w:val="0098002F"/>
    <w:rsid w:val="009817CA"/>
    <w:rsid w:val="00982112"/>
    <w:rsid w:val="00983000"/>
    <w:rsid w:val="00983E57"/>
    <w:rsid w:val="00985347"/>
    <w:rsid w:val="00986DBC"/>
    <w:rsid w:val="009926BA"/>
    <w:rsid w:val="00993081"/>
    <w:rsid w:val="0099498B"/>
    <w:rsid w:val="00996073"/>
    <w:rsid w:val="00996B1A"/>
    <w:rsid w:val="009977FB"/>
    <w:rsid w:val="00997FB7"/>
    <w:rsid w:val="009A1DAD"/>
    <w:rsid w:val="009A23EC"/>
    <w:rsid w:val="009A3BEC"/>
    <w:rsid w:val="009A3DF8"/>
    <w:rsid w:val="009A4BDE"/>
    <w:rsid w:val="009A4FE1"/>
    <w:rsid w:val="009A57C7"/>
    <w:rsid w:val="009A5921"/>
    <w:rsid w:val="009B0C5E"/>
    <w:rsid w:val="009B3887"/>
    <w:rsid w:val="009B3E26"/>
    <w:rsid w:val="009B578C"/>
    <w:rsid w:val="009B5C3D"/>
    <w:rsid w:val="009B7E3D"/>
    <w:rsid w:val="009C031F"/>
    <w:rsid w:val="009C3ACC"/>
    <w:rsid w:val="009C5656"/>
    <w:rsid w:val="009C5F38"/>
    <w:rsid w:val="009D4C41"/>
    <w:rsid w:val="009D4E34"/>
    <w:rsid w:val="009D5B91"/>
    <w:rsid w:val="009D7430"/>
    <w:rsid w:val="009E1789"/>
    <w:rsid w:val="009E2193"/>
    <w:rsid w:val="009E387F"/>
    <w:rsid w:val="009E4C07"/>
    <w:rsid w:val="009E76A1"/>
    <w:rsid w:val="009E7CCC"/>
    <w:rsid w:val="009F31C5"/>
    <w:rsid w:val="009F456C"/>
    <w:rsid w:val="009F5684"/>
    <w:rsid w:val="009F5961"/>
    <w:rsid w:val="009F6CB9"/>
    <w:rsid w:val="00A00DE3"/>
    <w:rsid w:val="00A03D43"/>
    <w:rsid w:val="00A04380"/>
    <w:rsid w:val="00A06CA9"/>
    <w:rsid w:val="00A072AB"/>
    <w:rsid w:val="00A076C6"/>
    <w:rsid w:val="00A12DB6"/>
    <w:rsid w:val="00A13948"/>
    <w:rsid w:val="00A143F9"/>
    <w:rsid w:val="00A14F78"/>
    <w:rsid w:val="00A2132E"/>
    <w:rsid w:val="00A26227"/>
    <w:rsid w:val="00A27AEC"/>
    <w:rsid w:val="00A302A2"/>
    <w:rsid w:val="00A306FB"/>
    <w:rsid w:val="00A349AB"/>
    <w:rsid w:val="00A34CA5"/>
    <w:rsid w:val="00A35D16"/>
    <w:rsid w:val="00A363F0"/>
    <w:rsid w:val="00A40001"/>
    <w:rsid w:val="00A43C59"/>
    <w:rsid w:val="00A4683A"/>
    <w:rsid w:val="00A46BE3"/>
    <w:rsid w:val="00A50ECD"/>
    <w:rsid w:val="00A51F78"/>
    <w:rsid w:val="00A52654"/>
    <w:rsid w:val="00A526D2"/>
    <w:rsid w:val="00A52729"/>
    <w:rsid w:val="00A52E9C"/>
    <w:rsid w:val="00A53675"/>
    <w:rsid w:val="00A54871"/>
    <w:rsid w:val="00A56B6A"/>
    <w:rsid w:val="00A578DC"/>
    <w:rsid w:val="00A602DD"/>
    <w:rsid w:val="00A62E10"/>
    <w:rsid w:val="00A63DC5"/>
    <w:rsid w:val="00A65D4C"/>
    <w:rsid w:val="00A66A54"/>
    <w:rsid w:val="00A6725B"/>
    <w:rsid w:val="00A70782"/>
    <w:rsid w:val="00A729F6"/>
    <w:rsid w:val="00A73183"/>
    <w:rsid w:val="00A7441A"/>
    <w:rsid w:val="00A764A0"/>
    <w:rsid w:val="00A7656F"/>
    <w:rsid w:val="00A76619"/>
    <w:rsid w:val="00A76AD8"/>
    <w:rsid w:val="00A77531"/>
    <w:rsid w:val="00A8090E"/>
    <w:rsid w:val="00A82398"/>
    <w:rsid w:val="00A86E8B"/>
    <w:rsid w:val="00A902F9"/>
    <w:rsid w:val="00A93072"/>
    <w:rsid w:val="00A96955"/>
    <w:rsid w:val="00AA0A07"/>
    <w:rsid w:val="00AA21BD"/>
    <w:rsid w:val="00AA5AB9"/>
    <w:rsid w:val="00AB042A"/>
    <w:rsid w:val="00AB0C5E"/>
    <w:rsid w:val="00AB0D29"/>
    <w:rsid w:val="00AB0FF8"/>
    <w:rsid w:val="00AB3430"/>
    <w:rsid w:val="00AB3E2C"/>
    <w:rsid w:val="00AB4407"/>
    <w:rsid w:val="00AB7287"/>
    <w:rsid w:val="00AB74E8"/>
    <w:rsid w:val="00AB7CFA"/>
    <w:rsid w:val="00AC17B5"/>
    <w:rsid w:val="00AC1B72"/>
    <w:rsid w:val="00AC2437"/>
    <w:rsid w:val="00AC32A7"/>
    <w:rsid w:val="00AC3403"/>
    <w:rsid w:val="00AC3455"/>
    <w:rsid w:val="00AC6C52"/>
    <w:rsid w:val="00AC70F7"/>
    <w:rsid w:val="00AD079B"/>
    <w:rsid w:val="00AD2805"/>
    <w:rsid w:val="00AD49B9"/>
    <w:rsid w:val="00AD5CA9"/>
    <w:rsid w:val="00AD6323"/>
    <w:rsid w:val="00AE0194"/>
    <w:rsid w:val="00AE12F5"/>
    <w:rsid w:val="00AE1525"/>
    <w:rsid w:val="00AE3377"/>
    <w:rsid w:val="00AF3F20"/>
    <w:rsid w:val="00AF481E"/>
    <w:rsid w:val="00AF60AD"/>
    <w:rsid w:val="00AF6301"/>
    <w:rsid w:val="00B01CD2"/>
    <w:rsid w:val="00B0551F"/>
    <w:rsid w:val="00B05989"/>
    <w:rsid w:val="00B1215D"/>
    <w:rsid w:val="00B130DD"/>
    <w:rsid w:val="00B13340"/>
    <w:rsid w:val="00B141EA"/>
    <w:rsid w:val="00B16A39"/>
    <w:rsid w:val="00B20887"/>
    <w:rsid w:val="00B2179C"/>
    <w:rsid w:val="00B23BBE"/>
    <w:rsid w:val="00B265F0"/>
    <w:rsid w:val="00B26C01"/>
    <w:rsid w:val="00B27122"/>
    <w:rsid w:val="00B30A93"/>
    <w:rsid w:val="00B32B26"/>
    <w:rsid w:val="00B3487D"/>
    <w:rsid w:val="00B36EF4"/>
    <w:rsid w:val="00B37DB4"/>
    <w:rsid w:val="00B40459"/>
    <w:rsid w:val="00B42851"/>
    <w:rsid w:val="00B44C65"/>
    <w:rsid w:val="00B4583E"/>
    <w:rsid w:val="00B4737C"/>
    <w:rsid w:val="00B51566"/>
    <w:rsid w:val="00B515E6"/>
    <w:rsid w:val="00B5218D"/>
    <w:rsid w:val="00B54B5B"/>
    <w:rsid w:val="00B54D3E"/>
    <w:rsid w:val="00B5562E"/>
    <w:rsid w:val="00B57000"/>
    <w:rsid w:val="00B571BA"/>
    <w:rsid w:val="00B57A27"/>
    <w:rsid w:val="00B57FF0"/>
    <w:rsid w:val="00B608CF"/>
    <w:rsid w:val="00B60939"/>
    <w:rsid w:val="00B60AFD"/>
    <w:rsid w:val="00B62715"/>
    <w:rsid w:val="00B644EA"/>
    <w:rsid w:val="00B64CE2"/>
    <w:rsid w:val="00B664AE"/>
    <w:rsid w:val="00B6723C"/>
    <w:rsid w:val="00B676AC"/>
    <w:rsid w:val="00B71B75"/>
    <w:rsid w:val="00B72D56"/>
    <w:rsid w:val="00B739DA"/>
    <w:rsid w:val="00B745A4"/>
    <w:rsid w:val="00B76A68"/>
    <w:rsid w:val="00B76D84"/>
    <w:rsid w:val="00B77A3A"/>
    <w:rsid w:val="00B818A4"/>
    <w:rsid w:val="00B835DE"/>
    <w:rsid w:val="00B849A7"/>
    <w:rsid w:val="00B8649C"/>
    <w:rsid w:val="00B92D0B"/>
    <w:rsid w:val="00B94945"/>
    <w:rsid w:val="00B95AEF"/>
    <w:rsid w:val="00B95C00"/>
    <w:rsid w:val="00BA19E5"/>
    <w:rsid w:val="00BA299B"/>
    <w:rsid w:val="00BA4DCE"/>
    <w:rsid w:val="00BA4F69"/>
    <w:rsid w:val="00BA5DB8"/>
    <w:rsid w:val="00BB073E"/>
    <w:rsid w:val="00BB1729"/>
    <w:rsid w:val="00BB198F"/>
    <w:rsid w:val="00BB406C"/>
    <w:rsid w:val="00BB49E8"/>
    <w:rsid w:val="00BB4A18"/>
    <w:rsid w:val="00BB4E60"/>
    <w:rsid w:val="00BC0352"/>
    <w:rsid w:val="00BC0B2F"/>
    <w:rsid w:val="00BC53CF"/>
    <w:rsid w:val="00BC5E94"/>
    <w:rsid w:val="00BC6673"/>
    <w:rsid w:val="00BC7DF0"/>
    <w:rsid w:val="00BD302A"/>
    <w:rsid w:val="00BE0F8F"/>
    <w:rsid w:val="00BE133E"/>
    <w:rsid w:val="00BE2180"/>
    <w:rsid w:val="00BE2F09"/>
    <w:rsid w:val="00BE3246"/>
    <w:rsid w:val="00BE4209"/>
    <w:rsid w:val="00BE4275"/>
    <w:rsid w:val="00BE42CC"/>
    <w:rsid w:val="00BE52A1"/>
    <w:rsid w:val="00BE67D1"/>
    <w:rsid w:val="00BF23ED"/>
    <w:rsid w:val="00BF2433"/>
    <w:rsid w:val="00BF36DF"/>
    <w:rsid w:val="00BF494E"/>
    <w:rsid w:val="00BF5667"/>
    <w:rsid w:val="00BF61C9"/>
    <w:rsid w:val="00BF7473"/>
    <w:rsid w:val="00C018DB"/>
    <w:rsid w:val="00C0210F"/>
    <w:rsid w:val="00C03C3A"/>
    <w:rsid w:val="00C115D2"/>
    <w:rsid w:val="00C1298D"/>
    <w:rsid w:val="00C15719"/>
    <w:rsid w:val="00C15F7E"/>
    <w:rsid w:val="00C21B73"/>
    <w:rsid w:val="00C228D4"/>
    <w:rsid w:val="00C250FC"/>
    <w:rsid w:val="00C25418"/>
    <w:rsid w:val="00C25D9C"/>
    <w:rsid w:val="00C277E3"/>
    <w:rsid w:val="00C30FDF"/>
    <w:rsid w:val="00C31649"/>
    <w:rsid w:val="00C35832"/>
    <w:rsid w:val="00C40385"/>
    <w:rsid w:val="00C46EF5"/>
    <w:rsid w:val="00C47612"/>
    <w:rsid w:val="00C51468"/>
    <w:rsid w:val="00C524F7"/>
    <w:rsid w:val="00C53B4C"/>
    <w:rsid w:val="00C542CA"/>
    <w:rsid w:val="00C56A7D"/>
    <w:rsid w:val="00C60536"/>
    <w:rsid w:val="00C6207E"/>
    <w:rsid w:val="00C65576"/>
    <w:rsid w:val="00C65622"/>
    <w:rsid w:val="00C66165"/>
    <w:rsid w:val="00C66AA2"/>
    <w:rsid w:val="00C66D4A"/>
    <w:rsid w:val="00C75099"/>
    <w:rsid w:val="00C752D8"/>
    <w:rsid w:val="00C805D7"/>
    <w:rsid w:val="00C8213F"/>
    <w:rsid w:val="00C83FEC"/>
    <w:rsid w:val="00C85FCC"/>
    <w:rsid w:val="00C86B35"/>
    <w:rsid w:val="00C8797A"/>
    <w:rsid w:val="00C919BF"/>
    <w:rsid w:val="00C938CF"/>
    <w:rsid w:val="00C93E6B"/>
    <w:rsid w:val="00CA39E7"/>
    <w:rsid w:val="00CA5245"/>
    <w:rsid w:val="00CA5581"/>
    <w:rsid w:val="00CA62B3"/>
    <w:rsid w:val="00CA7B09"/>
    <w:rsid w:val="00CB0D81"/>
    <w:rsid w:val="00CB1F0E"/>
    <w:rsid w:val="00CB3144"/>
    <w:rsid w:val="00CB3152"/>
    <w:rsid w:val="00CB3D71"/>
    <w:rsid w:val="00CB5B1A"/>
    <w:rsid w:val="00CB64F5"/>
    <w:rsid w:val="00CC120A"/>
    <w:rsid w:val="00CC238E"/>
    <w:rsid w:val="00CC550E"/>
    <w:rsid w:val="00CC68E4"/>
    <w:rsid w:val="00CD0487"/>
    <w:rsid w:val="00CD1885"/>
    <w:rsid w:val="00CD5C26"/>
    <w:rsid w:val="00CD6ADC"/>
    <w:rsid w:val="00CE3C4B"/>
    <w:rsid w:val="00CE6274"/>
    <w:rsid w:val="00CF0CBF"/>
    <w:rsid w:val="00CF14B8"/>
    <w:rsid w:val="00CF2691"/>
    <w:rsid w:val="00CF3F0B"/>
    <w:rsid w:val="00CF456B"/>
    <w:rsid w:val="00CF5A22"/>
    <w:rsid w:val="00CF6EDB"/>
    <w:rsid w:val="00CF7E01"/>
    <w:rsid w:val="00D0262E"/>
    <w:rsid w:val="00D03132"/>
    <w:rsid w:val="00D04C42"/>
    <w:rsid w:val="00D06961"/>
    <w:rsid w:val="00D06A03"/>
    <w:rsid w:val="00D06FD4"/>
    <w:rsid w:val="00D079F0"/>
    <w:rsid w:val="00D10158"/>
    <w:rsid w:val="00D110BD"/>
    <w:rsid w:val="00D12125"/>
    <w:rsid w:val="00D12AF5"/>
    <w:rsid w:val="00D15304"/>
    <w:rsid w:val="00D164FD"/>
    <w:rsid w:val="00D17D05"/>
    <w:rsid w:val="00D17D6C"/>
    <w:rsid w:val="00D23818"/>
    <w:rsid w:val="00D24FE3"/>
    <w:rsid w:val="00D330D8"/>
    <w:rsid w:val="00D3355D"/>
    <w:rsid w:val="00D42FD6"/>
    <w:rsid w:val="00D43C02"/>
    <w:rsid w:val="00D453F5"/>
    <w:rsid w:val="00D51F09"/>
    <w:rsid w:val="00D52E53"/>
    <w:rsid w:val="00D536E8"/>
    <w:rsid w:val="00D53FA1"/>
    <w:rsid w:val="00D55D23"/>
    <w:rsid w:val="00D617D3"/>
    <w:rsid w:val="00D62158"/>
    <w:rsid w:val="00D62DAA"/>
    <w:rsid w:val="00D63930"/>
    <w:rsid w:val="00D6707F"/>
    <w:rsid w:val="00D671E8"/>
    <w:rsid w:val="00D72482"/>
    <w:rsid w:val="00D72505"/>
    <w:rsid w:val="00D76356"/>
    <w:rsid w:val="00D76977"/>
    <w:rsid w:val="00D76A44"/>
    <w:rsid w:val="00D76A9C"/>
    <w:rsid w:val="00D828AD"/>
    <w:rsid w:val="00D830ED"/>
    <w:rsid w:val="00D8372C"/>
    <w:rsid w:val="00D86357"/>
    <w:rsid w:val="00D93753"/>
    <w:rsid w:val="00D93922"/>
    <w:rsid w:val="00D95321"/>
    <w:rsid w:val="00D9542F"/>
    <w:rsid w:val="00D968DA"/>
    <w:rsid w:val="00DA044F"/>
    <w:rsid w:val="00DA0949"/>
    <w:rsid w:val="00DA0D78"/>
    <w:rsid w:val="00DA1D26"/>
    <w:rsid w:val="00DA77A5"/>
    <w:rsid w:val="00DB127F"/>
    <w:rsid w:val="00DB1A99"/>
    <w:rsid w:val="00DB2727"/>
    <w:rsid w:val="00DB2A68"/>
    <w:rsid w:val="00DB40A1"/>
    <w:rsid w:val="00DB50DB"/>
    <w:rsid w:val="00DB60B6"/>
    <w:rsid w:val="00DB7E28"/>
    <w:rsid w:val="00DC3CA7"/>
    <w:rsid w:val="00DC5501"/>
    <w:rsid w:val="00DC5B18"/>
    <w:rsid w:val="00DC6394"/>
    <w:rsid w:val="00DD201D"/>
    <w:rsid w:val="00DD2072"/>
    <w:rsid w:val="00DD3F28"/>
    <w:rsid w:val="00DD4537"/>
    <w:rsid w:val="00DD4E15"/>
    <w:rsid w:val="00DD6BE6"/>
    <w:rsid w:val="00DE1AC8"/>
    <w:rsid w:val="00DE2953"/>
    <w:rsid w:val="00DE45BD"/>
    <w:rsid w:val="00DE4FCB"/>
    <w:rsid w:val="00DE6928"/>
    <w:rsid w:val="00DF0E56"/>
    <w:rsid w:val="00DF217F"/>
    <w:rsid w:val="00DF2266"/>
    <w:rsid w:val="00DF3B03"/>
    <w:rsid w:val="00DF48D7"/>
    <w:rsid w:val="00DF4C14"/>
    <w:rsid w:val="00DF5AF6"/>
    <w:rsid w:val="00DF736B"/>
    <w:rsid w:val="00E01CDE"/>
    <w:rsid w:val="00E021E6"/>
    <w:rsid w:val="00E049F5"/>
    <w:rsid w:val="00E06C1A"/>
    <w:rsid w:val="00E07773"/>
    <w:rsid w:val="00E10149"/>
    <w:rsid w:val="00E1071A"/>
    <w:rsid w:val="00E1087C"/>
    <w:rsid w:val="00E10E49"/>
    <w:rsid w:val="00E117BA"/>
    <w:rsid w:val="00E16159"/>
    <w:rsid w:val="00E16372"/>
    <w:rsid w:val="00E1644B"/>
    <w:rsid w:val="00E172B0"/>
    <w:rsid w:val="00E1778A"/>
    <w:rsid w:val="00E2006C"/>
    <w:rsid w:val="00E20ED6"/>
    <w:rsid w:val="00E21358"/>
    <w:rsid w:val="00E2249B"/>
    <w:rsid w:val="00E25AA3"/>
    <w:rsid w:val="00E26372"/>
    <w:rsid w:val="00E2771E"/>
    <w:rsid w:val="00E31A2D"/>
    <w:rsid w:val="00E321CC"/>
    <w:rsid w:val="00E33EDF"/>
    <w:rsid w:val="00E342AD"/>
    <w:rsid w:val="00E3517F"/>
    <w:rsid w:val="00E367F6"/>
    <w:rsid w:val="00E37569"/>
    <w:rsid w:val="00E40902"/>
    <w:rsid w:val="00E41200"/>
    <w:rsid w:val="00E41E30"/>
    <w:rsid w:val="00E445EB"/>
    <w:rsid w:val="00E467D8"/>
    <w:rsid w:val="00E469F4"/>
    <w:rsid w:val="00E47B2C"/>
    <w:rsid w:val="00E5037C"/>
    <w:rsid w:val="00E50EA1"/>
    <w:rsid w:val="00E513DF"/>
    <w:rsid w:val="00E53DBD"/>
    <w:rsid w:val="00E53F52"/>
    <w:rsid w:val="00E55424"/>
    <w:rsid w:val="00E57599"/>
    <w:rsid w:val="00E57B07"/>
    <w:rsid w:val="00E6094F"/>
    <w:rsid w:val="00E62286"/>
    <w:rsid w:val="00E65E79"/>
    <w:rsid w:val="00E67416"/>
    <w:rsid w:val="00E67C96"/>
    <w:rsid w:val="00E718B6"/>
    <w:rsid w:val="00E719A0"/>
    <w:rsid w:val="00E72EFF"/>
    <w:rsid w:val="00E73581"/>
    <w:rsid w:val="00E74A9B"/>
    <w:rsid w:val="00E74CB3"/>
    <w:rsid w:val="00E75DD2"/>
    <w:rsid w:val="00E80528"/>
    <w:rsid w:val="00E8308A"/>
    <w:rsid w:val="00E83A54"/>
    <w:rsid w:val="00E83BDF"/>
    <w:rsid w:val="00E86485"/>
    <w:rsid w:val="00E9384E"/>
    <w:rsid w:val="00E93A43"/>
    <w:rsid w:val="00E955F5"/>
    <w:rsid w:val="00EA09D7"/>
    <w:rsid w:val="00EA31E0"/>
    <w:rsid w:val="00EA3791"/>
    <w:rsid w:val="00EA3864"/>
    <w:rsid w:val="00EA4115"/>
    <w:rsid w:val="00EA7753"/>
    <w:rsid w:val="00EA793C"/>
    <w:rsid w:val="00EB0378"/>
    <w:rsid w:val="00EB255E"/>
    <w:rsid w:val="00EB2885"/>
    <w:rsid w:val="00EB7698"/>
    <w:rsid w:val="00EB7D05"/>
    <w:rsid w:val="00EC00C9"/>
    <w:rsid w:val="00EC33D1"/>
    <w:rsid w:val="00EC4271"/>
    <w:rsid w:val="00EC5B23"/>
    <w:rsid w:val="00EC65F4"/>
    <w:rsid w:val="00ED3F22"/>
    <w:rsid w:val="00EE02F2"/>
    <w:rsid w:val="00EE0496"/>
    <w:rsid w:val="00EE07D3"/>
    <w:rsid w:val="00EE09DD"/>
    <w:rsid w:val="00EE1936"/>
    <w:rsid w:val="00EE44AB"/>
    <w:rsid w:val="00EF4849"/>
    <w:rsid w:val="00F011D7"/>
    <w:rsid w:val="00F01777"/>
    <w:rsid w:val="00F01CBA"/>
    <w:rsid w:val="00F033A6"/>
    <w:rsid w:val="00F03739"/>
    <w:rsid w:val="00F05138"/>
    <w:rsid w:val="00F058C9"/>
    <w:rsid w:val="00F05FE9"/>
    <w:rsid w:val="00F06066"/>
    <w:rsid w:val="00F067A2"/>
    <w:rsid w:val="00F078D6"/>
    <w:rsid w:val="00F12E9D"/>
    <w:rsid w:val="00F15496"/>
    <w:rsid w:val="00F1561E"/>
    <w:rsid w:val="00F161B7"/>
    <w:rsid w:val="00F16E8F"/>
    <w:rsid w:val="00F21340"/>
    <w:rsid w:val="00F2240B"/>
    <w:rsid w:val="00F23069"/>
    <w:rsid w:val="00F234BA"/>
    <w:rsid w:val="00F24837"/>
    <w:rsid w:val="00F2575F"/>
    <w:rsid w:val="00F25F1A"/>
    <w:rsid w:val="00F30ABC"/>
    <w:rsid w:val="00F3157D"/>
    <w:rsid w:val="00F338FF"/>
    <w:rsid w:val="00F33A57"/>
    <w:rsid w:val="00F33DE9"/>
    <w:rsid w:val="00F34B9F"/>
    <w:rsid w:val="00F34FC6"/>
    <w:rsid w:val="00F3619A"/>
    <w:rsid w:val="00F42A65"/>
    <w:rsid w:val="00F42C00"/>
    <w:rsid w:val="00F449C2"/>
    <w:rsid w:val="00F46CB6"/>
    <w:rsid w:val="00F46E96"/>
    <w:rsid w:val="00F47152"/>
    <w:rsid w:val="00F47665"/>
    <w:rsid w:val="00F533E4"/>
    <w:rsid w:val="00F53EAE"/>
    <w:rsid w:val="00F55E73"/>
    <w:rsid w:val="00F55EFA"/>
    <w:rsid w:val="00F56C51"/>
    <w:rsid w:val="00F5715B"/>
    <w:rsid w:val="00F60FFB"/>
    <w:rsid w:val="00F631D8"/>
    <w:rsid w:val="00F647D3"/>
    <w:rsid w:val="00F673CC"/>
    <w:rsid w:val="00F72704"/>
    <w:rsid w:val="00F752CD"/>
    <w:rsid w:val="00F757CE"/>
    <w:rsid w:val="00F77A79"/>
    <w:rsid w:val="00F80E5D"/>
    <w:rsid w:val="00F812EF"/>
    <w:rsid w:val="00F82213"/>
    <w:rsid w:val="00F838A2"/>
    <w:rsid w:val="00F84B09"/>
    <w:rsid w:val="00F851CE"/>
    <w:rsid w:val="00F875E6"/>
    <w:rsid w:val="00F90CA4"/>
    <w:rsid w:val="00F91D37"/>
    <w:rsid w:val="00F9575B"/>
    <w:rsid w:val="00F977E5"/>
    <w:rsid w:val="00F97A78"/>
    <w:rsid w:val="00FA052D"/>
    <w:rsid w:val="00FA10FE"/>
    <w:rsid w:val="00FA290D"/>
    <w:rsid w:val="00FA3933"/>
    <w:rsid w:val="00FA49D6"/>
    <w:rsid w:val="00FA63AA"/>
    <w:rsid w:val="00FA6E82"/>
    <w:rsid w:val="00FA6F09"/>
    <w:rsid w:val="00FA79A8"/>
    <w:rsid w:val="00FB126D"/>
    <w:rsid w:val="00FB2FCB"/>
    <w:rsid w:val="00FB749F"/>
    <w:rsid w:val="00FC0233"/>
    <w:rsid w:val="00FC1074"/>
    <w:rsid w:val="00FC12F8"/>
    <w:rsid w:val="00FC1884"/>
    <w:rsid w:val="00FC1954"/>
    <w:rsid w:val="00FC1F84"/>
    <w:rsid w:val="00FD2100"/>
    <w:rsid w:val="00FD28B3"/>
    <w:rsid w:val="00FD2EBD"/>
    <w:rsid w:val="00FD446D"/>
    <w:rsid w:val="00FD4A00"/>
    <w:rsid w:val="00FD54F8"/>
    <w:rsid w:val="00FE0F38"/>
    <w:rsid w:val="00FE620E"/>
    <w:rsid w:val="00FE640B"/>
    <w:rsid w:val="00FE70B2"/>
    <w:rsid w:val="00FE756E"/>
    <w:rsid w:val="00FF1426"/>
    <w:rsid w:val="00FF1C23"/>
    <w:rsid w:val="00FF2280"/>
    <w:rsid w:val="00FF3013"/>
    <w:rsid w:val="00FF3DCF"/>
    <w:rsid w:val="00FF3F5C"/>
    <w:rsid w:val="00FF4F91"/>
    <w:rsid w:val="00FF56B4"/>
    <w:rsid w:val="00FF5AA3"/>
    <w:rsid w:val="00FF5F6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D5F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25FE"/>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qFormat/>
    <w:rsid w:val="00081ACB"/>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081ACB"/>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2025FE"/>
    <w:pPr>
      <w:numPr>
        <w:numId w:val="4"/>
      </w:numPr>
    </w:pPr>
    <w:rPr>
      <w:rFonts w:ascii="Arial" w:hAnsi="Arial" w:cs="Arial"/>
      <w:snapToGrid w:val="0"/>
      <w:sz w:val="22"/>
      <w:szCs w:val="22"/>
      <w:lang w:eastAsia="en-US"/>
    </w:rPr>
  </w:style>
  <w:style w:type="character" w:customStyle="1" w:styleId="TableTextChar0">
    <w:name w:val="TableText Char"/>
    <w:basedOn w:val="DefaultParagraphFont"/>
    <w:link w:val="TableText0"/>
    <w:rsid w:val="00241AC1"/>
    <w:rPr>
      <w:rFonts w:ascii="Arial Narrow" w:hAnsi="Arial Narrow" w:cs="Arial Narrow"/>
      <w:lang w:eastAsia="en-US"/>
    </w:rPr>
  </w:style>
  <w:style w:type="paragraph" w:customStyle="1" w:styleId="PBACHeading10">
    <w:name w:val="PBAC Heading 1"/>
    <w:qFormat/>
    <w:rsid w:val="00936760"/>
    <w:pPr>
      <w:ind w:left="720" w:hanging="720"/>
    </w:pPr>
    <w:rPr>
      <w:rFonts w:ascii="Arial" w:hAnsi="Arial" w:cs="Arial"/>
      <w:b/>
      <w:snapToGrid w:val="0"/>
      <w:sz w:val="22"/>
      <w:szCs w:val="22"/>
      <w:lang w:eastAsia="en-US"/>
    </w:rPr>
  </w:style>
  <w:style w:type="paragraph" w:customStyle="1" w:styleId="TableBodytext">
    <w:name w:val="Table_Body text"/>
    <w:basedOn w:val="BodyText"/>
    <w:rsid w:val="00C250FC"/>
    <w:pPr>
      <w:widowControl/>
      <w:spacing w:before="60" w:after="60"/>
    </w:pPr>
    <w:rPr>
      <w:rFonts w:ascii="Verdana" w:hAnsi="Verdana"/>
      <w:snapToGrid/>
      <w:sz w:val="18"/>
      <w:szCs w:val="24"/>
    </w:rPr>
  </w:style>
  <w:style w:type="character" w:customStyle="1" w:styleId="form-strength">
    <w:name w:val="form-strength"/>
    <w:basedOn w:val="DefaultParagraphFont"/>
    <w:rsid w:val="007F204C"/>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F2280"/>
    <w:pPr>
      <w:widowControl/>
      <w:spacing w:after="160" w:line="240" w:lineRule="exact"/>
      <w:jc w:val="left"/>
    </w:pPr>
    <w:rPr>
      <w:rFonts w:ascii="Verdana" w:eastAsia="MS Mincho" w:hAnsi="Verdana" w:cs="Verdana"/>
      <w:snapToGrid/>
      <w:sz w:val="20"/>
      <w:lang w:val="en-US"/>
    </w:rPr>
  </w:style>
  <w:style w:type="paragraph" w:styleId="PlainText">
    <w:name w:val="Plain Text"/>
    <w:basedOn w:val="Normal"/>
    <w:link w:val="PlainTextChar"/>
    <w:uiPriority w:val="99"/>
    <w:unhideWhenUsed/>
    <w:rsid w:val="005061A5"/>
    <w:pPr>
      <w:widowControl/>
      <w:jc w:val="left"/>
    </w:pPr>
    <w:rPr>
      <w:rFonts w:eastAsiaTheme="minorHAnsi" w:cs="Consolas"/>
      <w:snapToGrid/>
      <w:sz w:val="18"/>
      <w:szCs w:val="21"/>
    </w:rPr>
  </w:style>
  <w:style w:type="character" w:customStyle="1" w:styleId="PlainTextChar">
    <w:name w:val="Plain Text Char"/>
    <w:basedOn w:val="DefaultParagraphFont"/>
    <w:link w:val="PlainText"/>
    <w:uiPriority w:val="99"/>
    <w:rsid w:val="005061A5"/>
    <w:rPr>
      <w:rFonts w:ascii="Arial" w:eastAsiaTheme="minorHAnsi" w:hAnsi="Arial" w:cs="Consolas"/>
      <w:sz w:val="18"/>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25FE"/>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qFormat/>
    <w:rsid w:val="00081ACB"/>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081ACB"/>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2025FE"/>
    <w:pPr>
      <w:numPr>
        <w:numId w:val="4"/>
      </w:numPr>
    </w:pPr>
    <w:rPr>
      <w:rFonts w:ascii="Arial" w:hAnsi="Arial" w:cs="Arial"/>
      <w:snapToGrid w:val="0"/>
      <w:sz w:val="22"/>
      <w:szCs w:val="22"/>
      <w:lang w:eastAsia="en-US"/>
    </w:rPr>
  </w:style>
  <w:style w:type="character" w:customStyle="1" w:styleId="TableTextChar0">
    <w:name w:val="TableText Char"/>
    <w:basedOn w:val="DefaultParagraphFont"/>
    <w:link w:val="TableText0"/>
    <w:rsid w:val="00241AC1"/>
    <w:rPr>
      <w:rFonts w:ascii="Arial Narrow" w:hAnsi="Arial Narrow" w:cs="Arial Narrow"/>
      <w:lang w:eastAsia="en-US"/>
    </w:rPr>
  </w:style>
  <w:style w:type="paragraph" w:customStyle="1" w:styleId="PBACHeading10">
    <w:name w:val="PBAC Heading 1"/>
    <w:qFormat/>
    <w:rsid w:val="00936760"/>
    <w:pPr>
      <w:ind w:left="720" w:hanging="720"/>
    </w:pPr>
    <w:rPr>
      <w:rFonts w:ascii="Arial" w:hAnsi="Arial" w:cs="Arial"/>
      <w:b/>
      <w:snapToGrid w:val="0"/>
      <w:sz w:val="22"/>
      <w:szCs w:val="22"/>
      <w:lang w:eastAsia="en-US"/>
    </w:rPr>
  </w:style>
  <w:style w:type="paragraph" w:customStyle="1" w:styleId="TableBodytext">
    <w:name w:val="Table_Body text"/>
    <w:basedOn w:val="BodyText"/>
    <w:rsid w:val="00C250FC"/>
    <w:pPr>
      <w:widowControl/>
      <w:spacing w:before="60" w:after="60"/>
    </w:pPr>
    <w:rPr>
      <w:rFonts w:ascii="Verdana" w:hAnsi="Verdana"/>
      <w:snapToGrid/>
      <w:sz w:val="18"/>
      <w:szCs w:val="24"/>
    </w:rPr>
  </w:style>
  <w:style w:type="character" w:customStyle="1" w:styleId="form-strength">
    <w:name w:val="form-strength"/>
    <w:basedOn w:val="DefaultParagraphFont"/>
    <w:rsid w:val="007F204C"/>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F2280"/>
    <w:pPr>
      <w:widowControl/>
      <w:spacing w:after="160" w:line="240" w:lineRule="exact"/>
      <w:jc w:val="left"/>
    </w:pPr>
    <w:rPr>
      <w:rFonts w:ascii="Verdana" w:eastAsia="MS Mincho" w:hAnsi="Verdana" w:cs="Verdana"/>
      <w:snapToGrid/>
      <w:sz w:val="20"/>
      <w:lang w:val="en-US"/>
    </w:rPr>
  </w:style>
  <w:style w:type="paragraph" w:styleId="PlainText">
    <w:name w:val="Plain Text"/>
    <w:basedOn w:val="Normal"/>
    <w:link w:val="PlainTextChar"/>
    <w:uiPriority w:val="99"/>
    <w:unhideWhenUsed/>
    <w:rsid w:val="005061A5"/>
    <w:pPr>
      <w:widowControl/>
      <w:jc w:val="left"/>
    </w:pPr>
    <w:rPr>
      <w:rFonts w:eastAsiaTheme="minorHAnsi" w:cs="Consolas"/>
      <w:snapToGrid/>
      <w:sz w:val="18"/>
      <w:szCs w:val="21"/>
    </w:rPr>
  </w:style>
  <w:style w:type="character" w:customStyle="1" w:styleId="PlainTextChar">
    <w:name w:val="Plain Text Char"/>
    <w:basedOn w:val="DefaultParagraphFont"/>
    <w:link w:val="PlainText"/>
    <w:uiPriority w:val="99"/>
    <w:rsid w:val="005061A5"/>
    <w:rPr>
      <w:rFonts w:ascii="Arial" w:eastAsiaTheme="minorHAnsi" w:hAnsi="Arial" w:cs="Consolas"/>
      <w:sz w:val="18"/>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3653">
      <w:bodyDiv w:val="1"/>
      <w:marLeft w:val="0"/>
      <w:marRight w:val="0"/>
      <w:marTop w:val="0"/>
      <w:marBottom w:val="0"/>
      <w:divBdr>
        <w:top w:val="none" w:sz="0" w:space="0" w:color="auto"/>
        <w:left w:val="none" w:sz="0" w:space="0" w:color="auto"/>
        <w:bottom w:val="none" w:sz="0" w:space="0" w:color="auto"/>
        <w:right w:val="none" w:sz="0" w:space="0" w:color="auto"/>
      </w:divBdr>
    </w:div>
    <w:div w:id="212498205">
      <w:bodyDiv w:val="1"/>
      <w:marLeft w:val="0"/>
      <w:marRight w:val="0"/>
      <w:marTop w:val="0"/>
      <w:marBottom w:val="0"/>
      <w:divBdr>
        <w:top w:val="none" w:sz="0" w:space="0" w:color="auto"/>
        <w:left w:val="none" w:sz="0" w:space="0" w:color="auto"/>
        <w:bottom w:val="none" w:sz="0" w:space="0" w:color="auto"/>
        <w:right w:val="none" w:sz="0" w:space="0" w:color="auto"/>
      </w:divBdr>
    </w:div>
    <w:div w:id="272906921">
      <w:bodyDiv w:val="1"/>
      <w:marLeft w:val="0"/>
      <w:marRight w:val="0"/>
      <w:marTop w:val="0"/>
      <w:marBottom w:val="0"/>
      <w:divBdr>
        <w:top w:val="none" w:sz="0" w:space="0" w:color="auto"/>
        <w:left w:val="none" w:sz="0" w:space="0" w:color="auto"/>
        <w:bottom w:val="none" w:sz="0" w:space="0" w:color="auto"/>
        <w:right w:val="none" w:sz="0" w:space="0" w:color="auto"/>
      </w:divBdr>
    </w:div>
    <w:div w:id="387653857">
      <w:bodyDiv w:val="1"/>
      <w:marLeft w:val="0"/>
      <w:marRight w:val="0"/>
      <w:marTop w:val="0"/>
      <w:marBottom w:val="0"/>
      <w:divBdr>
        <w:top w:val="none" w:sz="0" w:space="0" w:color="auto"/>
        <w:left w:val="none" w:sz="0" w:space="0" w:color="auto"/>
        <w:bottom w:val="none" w:sz="0" w:space="0" w:color="auto"/>
        <w:right w:val="none" w:sz="0" w:space="0" w:color="auto"/>
      </w:divBdr>
    </w:div>
    <w:div w:id="457918699">
      <w:bodyDiv w:val="1"/>
      <w:marLeft w:val="0"/>
      <w:marRight w:val="0"/>
      <w:marTop w:val="0"/>
      <w:marBottom w:val="0"/>
      <w:divBdr>
        <w:top w:val="none" w:sz="0" w:space="0" w:color="auto"/>
        <w:left w:val="none" w:sz="0" w:space="0" w:color="auto"/>
        <w:bottom w:val="none" w:sz="0" w:space="0" w:color="auto"/>
        <w:right w:val="none" w:sz="0" w:space="0" w:color="auto"/>
      </w:divBdr>
    </w:div>
    <w:div w:id="495607597">
      <w:bodyDiv w:val="1"/>
      <w:marLeft w:val="0"/>
      <w:marRight w:val="0"/>
      <w:marTop w:val="0"/>
      <w:marBottom w:val="0"/>
      <w:divBdr>
        <w:top w:val="none" w:sz="0" w:space="0" w:color="auto"/>
        <w:left w:val="none" w:sz="0" w:space="0" w:color="auto"/>
        <w:bottom w:val="none" w:sz="0" w:space="0" w:color="auto"/>
        <w:right w:val="none" w:sz="0" w:space="0" w:color="auto"/>
      </w:divBdr>
    </w:div>
    <w:div w:id="505219198">
      <w:bodyDiv w:val="1"/>
      <w:marLeft w:val="0"/>
      <w:marRight w:val="0"/>
      <w:marTop w:val="0"/>
      <w:marBottom w:val="0"/>
      <w:divBdr>
        <w:top w:val="none" w:sz="0" w:space="0" w:color="auto"/>
        <w:left w:val="none" w:sz="0" w:space="0" w:color="auto"/>
        <w:bottom w:val="none" w:sz="0" w:space="0" w:color="auto"/>
        <w:right w:val="none" w:sz="0" w:space="0" w:color="auto"/>
      </w:divBdr>
    </w:div>
    <w:div w:id="644747016">
      <w:bodyDiv w:val="1"/>
      <w:marLeft w:val="0"/>
      <w:marRight w:val="0"/>
      <w:marTop w:val="0"/>
      <w:marBottom w:val="0"/>
      <w:divBdr>
        <w:top w:val="none" w:sz="0" w:space="0" w:color="auto"/>
        <w:left w:val="none" w:sz="0" w:space="0" w:color="auto"/>
        <w:bottom w:val="none" w:sz="0" w:space="0" w:color="auto"/>
        <w:right w:val="none" w:sz="0" w:space="0" w:color="auto"/>
      </w:divBdr>
    </w:div>
    <w:div w:id="1137916648">
      <w:bodyDiv w:val="1"/>
      <w:marLeft w:val="0"/>
      <w:marRight w:val="0"/>
      <w:marTop w:val="0"/>
      <w:marBottom w:val="0"/>
      <w:divBdr>
        <w:top w:val="none" w:sz="0" w:space="0" w:color="auto"/>
        <w:left w:val="none" w:sz="0" w:space="0" w:color="auto"/>
        <w:bottom w:val="none" w:sz="0" w:space="0" w:color="auto"/>
        <w:right w:val="none" w:sz="0" w:space="0" w:color="auto"/>
      </w:divBdr>
    </w:div>
    <w:div w:id="1153565443">
      <w:bodyDiv w:val="1"/>
      <w:marLeft w:val="0"/>
      <w:marRight w:val="0"/>
      <w:marTop w:val="0"/>
      <w:marBottom w:val="0"/>
      <w:divBdr>
        <w:top w:val="none" w:sz="0" w:space="0" w:color="auto"/>
        <w:left w:val="none" w:sz="0" w:space="0" w:color="auto"/>
        <w:bottom w:val="none" w:sz="0" w:space="0" w:color="auto"/>
        <w:right w:val="none" w:sz="0" w:space="0" w:color="auto"/>
      </w:divBdr>
    </w:div>
    <w:div w:id="1156919747">
      <w:bodyDiv w:val="1"/>
      <w:marLeft w:val="0"/>
      <w:marRight w:val="0"/>
      <w:marTop w:val="0"/>
      <w:marBottom w:val="0"/>
      <w:divBdr>
        <w:top w:val="none" w:sz="0" w:space="0" w:color="auto"/>
        <w:left w:val="none" w:sz="0" w:space="0" w:color="auto"/>
        <w:bottom w:val="none" w:sz="0" w:space="0" w:color="auto"/>
        <w:right w:val="none" w:sz="0" w:space="0" w:color="auto"/>
      </w:divBdr>
    </w:div>
    <w:div w:id="1268347016">
      <w:bodyDiv w:val="1"/>
      <w:marLeft w:val="0"/>
      <w:marRight w:val="0"/>
      <w:marTop w:val="0"/>
      <w:marBottom w:val="0"/>
      <w:divBdr>
        <w:top w:val="none" w:sz="0" w:space="0" w:color="auto"/>
        <w:left w:val="none" w:sz="0" w:space="0" w:color="auto"/>
        <w:bottom w:val="none" w:sz="0" w:space="0" w:color="auto"/>
        <w:right w:val="none" w:sz="0" w:space="0" w:color="auto"/>
      </w:divBdr>
    </w:div>
    <w:div w:id="1937713451">
      <w:bodyDiv w:val="1"/>
      <w:marLeft w:val="0"/>
      <w:marRight w:val="0"/>
      <w:marTop w:val="0"/>
      <w:marBottom w:val="0"/>
      <w:divBdr>
        <w:top w:val="none" w:sz="0" w:space="0" w:color="auto"/>
        <w:left w:val="none" w:sz="0" w:space="0" w:color="auto"/>
        <w:bottom w:val="none" w:sz="0" w:space="0" w:color="auto"/>
        <w:right w:val="none" w:sz="0" w:space="0" w:color="auto"/>
      </w:divBdr>
    </w:div>
    <w:div w:id="1991788301">
      <w:bodyDiv w:val="1"/>
      <w:marLeft w:val="0"/>
      <w:marRight w:val="0"/>
      <w:marTop w:val="0"/>
      <w:marBottom w:val="0"/>
      <w:divBdr>
        <w:top w:val="none" w:sz="0" w:space="0" w:color="auto"/>
        <w:left w:val="none" w:sz="0" w:space="0" w:color="auto"/>
        <w:bottom w:val="none" w:sz="0" w:space="0" w:color="auto"/>
        <w:right w:val="none" w:sz="0" w:space="0" w:color="auto"/>
      </w:divBdr>
    </w:div>
    <w:div w:id="2001541945">
      <w:bodyDiv w:val="1"/>
      <w:marLeft w:val="0"/>
      <w:marRight w:val="0"/>
      <w:marTop w:val="0"/>
      <w:marBottom w:val="0"/>
      <w:divBdr>
        <w:top w:val="none" w:sz="0" w:space="0" w:color="auto"/>
        <w:left w:val="none" w:sz="0" w:space="0" w:color="auto"/>
        <w:bottom w:val="none" w:sz="0" w:space="0" w:color="auto"/>
        <w:right w:val="none" w:sz="0" w:space="0" w:color="auto"/>
      </w:divBdr>
    </w:div>
    <w:div w:id="209874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966A3-E00D-4A84-8EC2-C8558BEC1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12278</Words>
  <Characters>70393</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2015-10-21T22:53:00Z</dcterms:created>
  <dcterms:modified xsi:type="dcterms:W3CDTF">2015-10-21T22:56:00Z</dcterms:modified>
</cp:coreProperties>
</file>