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D928C5" w:rsidRDefault="006E2BE8" w:rsidP="007C0F57">
      <w:pPr>
        <w:ind w:left="720" w:hanging="720"/>
        <w:rPr>
          <w:rFonts w:ascii="Arial" w:hAnsi="Arial"/>
          <w:b/>
          <w:sz w:val="28"/>
          <w:szCs w:val="28"/>
        </w:rPr>
      </w:pPr>
      <w:bookmarkStart w:id="0" w:name="_GoBack"/>
      <w:bookmarkEnd w:id="0"/>
      <w:r w:rsidRPr="00D928C5">
        <w:rPr>
          <w:rFonts w:ascii="Arial" w:hAnsi="Arial"/>
          <w:b/>
          <w:sz w:val="28"/>
          <w:szCs w:val="28"/>
        </w:rPr>
        <w:t>7.09</w:t>
      </w:r>
      <w:r w:rsidR="007C0F57" w:rsidRPr="00D928C5">
        <w:rPr>
          <w:rFonts w:ascii="Arial" w:hAnsi="Arial"/>
          <w:b/>
          <w:sz w:val="28"/>
          <w:szCs w:val="28"/>
        </w:rPr>
        <w:tab/>
      </w:r>
      <w:r w:rsidR="0033006C" w:rsidRPr="00D928C5">
        <w:rPr>
          <w:rFonts w:ascii="Arial" w:hAnsi="Arial"/>
          <w:b/>
          <w:sz w:val="28"/>
          <w:szCs w:val="28"/>
        </w:rPr>
        <w:t>R</w:t>
      </w:r>
      <w:r w:rsidR="0033006C" w:rsidRPr="00D928C5">
        <w:rPr>
          <w:rFonts w:ascii="Arial" w:hAnsi="Arial"/>
          <w:b/>
          <w:caps/>
          <w:sz w:val="28"/>
          <w:szCs w:val="28"/>
        </w:rPr>
        <w:t>ibavirin</w:t>
      </w:r>
    </w:p>
    <w:p w:rsidR="00C27B58" w:rsidRPr="00D928C5" w:rsidRDefault="0033006C" w:rsidP="00C27B58">
      <w:pPr>
        <w:ind w:left="720"/>
        <w:rPr>
          <w:rFonts w:ascii="Arial" w:hAnsi="Arial"/>
          <w:b/>
          <w:sz w:val="28"/>
          <w:szCs w:val="28"/>
        </w:rPr>
      </w:pPr>
      <w:r w:rsidRPr="00D928C5">
        <w:rPr>
          <w:rFonts w:ascii="Arial" w:hAnsi="Arial"/>
          <w:b/>
          <w:sz w:val="28"/>
          <w:szCs w:val="28"/>
        </w:rPr>
        <w:t>tablets</w:t>
      </w:r>
      <w:r w:rsidR="0004240E" w:rsidRPr="00D928C5">
        <w:rPr>
          <w:rFonts w:ascii="Arial" w:hAnsi="Arial"/>
          <w:b/>
          <w:sz w:val="28"/>
          <w:szCs w:val="28"/>
        </w:rPr>
        <w:t xml:space="preserve">, </w:t>
      </w:r>
      <w:r w:rsidRPr="00D928C5">
        <w:rPr>
          <w:rFonts w:ascii="Arial" w:hAnsi="Arial"/>
          <w:b/>
          <w:sz w:val="28"/>
          <w:szCs w:val="28"/>
        </w:rPr>
        <w:t>400mg and 600mg</w:t>
      </w:r>
      <w:r w:rsidR="0004240E" w:rsidRPr="00D928C5">
        <w:rPr>
          <w:rFonts w:ascii="Arial" w:hAnsi="Arial"/>
          <w:b/>
          <w:sz w:val="28"/>
          <w:szCs w:val="28"/>
        </w:rPr>
        <w:t>,</w:t>
      </w:r>
    </w:p>
    <w:p w:rsidR="00D3280C" w:rsidRPr="00D928C5" w:rsidRDefault="0033006C" w:rsidP="00C27B58">
      <w:pPr>
        <w:ind w:left="720"/>
        <w:rPr>
          <w:rFonts w:ascii="Arial" w:hAnsi="Arial"/>
          <w:b/>
          <w:sz w:val="28"/>
          <w:szCs w:val="28"/>
        </w:rPr>
      </w:pPr>
      <w:r w:rsidRPr="00D928C5">
        <w:rPr>
          <w:rFonts w:ascii="Arial" w:hAnsi="Arial"/>
          <w:b/>
          <w:sz w:val="28"/>
          <w:szCs w:val="28"/>
        </w:rPr>
        <w:t>Ibavyr</w:t>
      </w:r>
      <w:r w:rsidR="0004240E" w:rsidRPr="00D928C5">
        <w:rPr>
          <w:rFonts w:ascii="Arial" w:hAnsi="Arial"/>
          <w:b/>
          <w:sz w:val="28"/>
          <w:szCs w:val="28"/>
          <w:vertAlign w:val="superscript"/>
        </w:rPr>
        <w:t>®</w:t>
      </w:r>
      <w:r w:rsidR="00EF44A0" w:rsidRPr="00D928C5">
        <w:rPr>
          <w:rFonts w:ascii="Arial" w:hAnsi="Arial"/>
          <w:b/>
          <w:sz w:val="28"/>
          <w:szCs w:val="28"/>
        </w:rPr>
        <w:t xml:space="preserve">, </w:t>
      </w:r>
      <w:r w:rsidRPr="00D928C5">
        <w:rPr>
          <w:rFonts w:ascii="Arial" w:hAnsi="Arial"/>
          <w:b/>
          <w:sz w:val="28"/>
          <w:szCs w:val="28"/>
        </w:rPr>
        <w:t>Clinect Pty Ltd</w:t>
      </w:r>
    </w:p>
    <w:p w:rsidR="00CE10C4" w:rsidRPr="00D928C5" w:rsidRDefault="00CE10C4" w:rsidP="00C27B58">
      <w:pPr>
        <w:pStyle w:val="NoSpacing"/>
      </w:pPr>
    </w:p>
    <w:p w:rsidR="00C27B58" w:rsidRPr="00D928C5" w:rsidRDefault="00C27B58" w:rsidP="00C27B58">
      <w:pPr>
        <w:pStyle w:val="NoSpacing"/>
      </w:pPr>
    </w:p>
    <w:p w:rsidR="00CE10C4" w:rsidRPr="00D928C5" w:rsidRDefault="00CE10C4" w:rsidP="00B1320F">
      <w:pPr>
        <w:pStyle w:val="ListParagraph"/>
        <w:numPr>
          <w:ilvl w:val="0"/>
          <w:numId w:val="2"/>
        </w:numPr>
        <w:jc w:val="both"/>
        <w:rPr>
          <w:rFonts w:ascii="Arial" w:hAnsi="Arial"/>
          <w:b/>
          <w:sz w:val="22"/>
          <w:szCs w:val="22"/>
        </w:rPr>
      </w:pPr>
      <w:r w:rsidRPr="00D928C5">
        <w:rPr>
          <w:rFonts w:ascii="Arial" w:hAnsi="Arial"/>
          <w:b/>
          <w:sz w:val="22"/>
          <w:szCs w:val="22"/>
        </w:rPr>
        <w:t xml:space="preserve">Purpose of </w:t>
      </w:r>
      <w:r w:rsidR="0004240E" w:rsidRPr="00D928C5">
        <w:rPr>
          <w:rFonts w:ascii="Arial" w:hAnsi="Arial"/>
          <w:b/>
          <w:sz w:val="22"/>
          <w:szCs w:val="22"/>
        </w:rPr>
        <w:t>Application</w:t>
      </w:r>
    </w:p>
    <w:p w:rsidR="006A12A5" w:rsidRPr="00D928C5" w:rsidRDefault="006A12A5" w:rsidP="00882085">
      <w:pPr>
        <w:jc w:val="both"/>
        <w:rPr>
          <w:rFonts w:ascii="Arial" w:hAnsi="Arial"/>
          <w:sz w:val="22"/>
          <w:szCs w:val="22"/>
        </w:rPr>
      </w:pPr>
    </w:p>
    <w:p w:rsidR="00EF44A0" w:rsidRPr="00D928C5" w:rsidRDefault="00EF44A0" w:rsidP="00B1320F">
      <w:pPr>
        <w:pStyle w:val="ListParagraph"/>
        <w:numPr>
          <w:ilvl w:val="1"/>
          <w:numId w:val="2"/>
        </w:numPr>
        <w:jc w:val="both"/>
        <w:rPr>
          <w:rFonts w:ascii="Arial" w:hAnsi="Arial"/>
          <w:sz w:val="22"/>
          <w:szCs w:val="22"/>
        </w:rPr>
      </w:pPr>
      <w:r w:rsidRPr="00D928C5">
        <w:rPr>
          <w:rFonts w:ascii="Arial" w:hAnsi="Arial"/>
          <w:sz w:val="22"/>
          <w:szCs w:val="22"/>
        </w:rPr>
        <w:t xml:space="preserve">The minor </w:t>
      </w:r>
      <w:r w:rsidR="003921E1" w:rsidRPr="00D928C5">
        <w:rPr>
          <w:rFonts w:ascii="Arial" w:hAnsi="Arial"/>
          <w:sz w:val="22"/>
          <w:szCs w:val="22"/>
        </w:rPr>
        <w:t>re-</w:t>
      </w:r>
      <w:r w:rsidRPr="00D928C5">
        <w:rPr>
          <w:rFonts w:ascii="Arial" w:hAnsi="Arial"/>
          <w:sz w:val="22"/>
          <w:szCs w:val="22"/>
        </w:rPr>
        <w:t xml:space="preserve">submission </w:t>
      </w:r>
      <w:r w:rsidR="000A0AE2" w:rsidRPr="00D928C5">
        <w:rPr>
          <w:rFonts w:ascii="Arial" w:hAnsi="Arial"/>
          <w:sz w:val="22"/>
          <w:szCs w:val="22"/>
        </w:rPr>
        <w:t>sought</w:t>
      </w:r>
      <w:r w:rsidRPr="00D928C5">
        <w:rPr>
          <w:rFonts w:ascii="Arial" w:hAnsi="Arial"/>
          <w:sz w:val="22"/>
          <w:szCs w:val="22"/>
        </w:rPr>
        <w:t xml:space="preserve"> </w:t>
      </w:r>
      <w:r w:rsidR="000A0AE2" w:rsidRPr="00D928C5">
        <w:rPr>
          <w:rFonts w:ascii="Arial" w:hAnsi="Arial"/>
          <w:sz w:val="22"/>
          <w:szCs w:val="22"/>
        </w:rPr>
        <w:t>General Schedule (</w:t>
      </w:r>
      <w:r w:rsidR="0033006C" w:rsidRPr="00D928C5">
        <w:rPr>
          <w:rFonts w:ascii="Arial" w:hAnsi="Arial"/>
          <w:sz w:val="22"/>
          <w:szCs w:val="22"/>
        </w:rPr>
        <w:t>Section</w:t>
      </w:r>
      <w:r w:rsidR="003921E1" w:rsidRPr="00D928C5">
        <w:rPr>
          <w:rFonts w:ascii="Arial" w:hAnsi="Arial"/>
          <w:sz w:val="22"/>
          <w:szCs w:val="22"/>
        </w:rPr>
        <w:t xml:space="preserve"> </w:t>
      </w:r>
      <w:r w:rsidR="0033006C" w:rsidRPr="00D928C5">
        <w:rPr>
          <w:rFonts w:ascii="Arial" w:hAnsi="Arial"/>
          <w:sz w:val="22"/>
          <w:szCs w:val="22"/>
        </w:rPr>
        <w:t>85</w:t>
      </w:r>
      <w:r w:rsidR="000A0AE2" w:rsidRPr="00D928C5">
        <w:rPr>
          <w:rFonts w:ascii="Arial" w:hAnsi="Arial"/>
          <w:sz w:val="22"/>
          <w:szCs w:val="22"/>
        </w:rPr>
        <w:t>)</w:t>
      </w:r>
      <w:r w:rsidR="0033006C" w:rsidRPr="00D928C5">
        <w:rPr>
          <w:rFonts w:ascii="Arial" w:hAnsi="Arial"/>
          <w:sz w:val="22"/>
          <w:szCs w:val="22"/>
        </w:rPr>
        <w:t xml:space="preserve"> listing</w:t>
      </w:r>
      <w:r w:rsidR="00C36311" w:rsidRPr="00D928C5">
        <w:rPr>
          <w:rFonts w:ascii="Arial" w:hAnsi="Arial"/>
          <w:sz w:val="22"/>
          <w:szCs w:val="22"/>
        </w:rPr>
        <w:t>s</w:t>
      </w:r>
      <w:r w:rsidR="0033006C" w:rsidRPr="00D928C5">
        <w:rPr>
          <w:rFonts w:ascii="Arial" w:hAnsi="Arial"/>
          <w:sz w:val="22"/>
          <w:szCs w:val="22"/>
        </w:rPr>
        <w:t xml:space="preserve"> for </w:t>
      </w:r>
      <w:r w:rsidR="000A0AE2" w:rsidRPr="00D928C5">
        <w:rPr>
          <w:rFonts w:ascii="Arial" w:hAnsi="Arial"/>
          <w:sz w:val="22"/>
          <w:szCs w:val="22"/>
        </w:rPr>
        <w:t xml:space="preserve">ribavirin, in combination with sofosbuvir, for </w:t>
      </w:r>
      <w:r w:rsidR="0033006C" w:rsidRPr="00D928C5">
        <w:rPr>
          <w:rFonts w:ascii="Arial" w:hAnsi="Arial"/>
          <w:sz w:val="22"/>
          <w:szCs w:val="22"/>
        </w:rPr>
        <w:t>the treatment of adults with chronic hepatitis C (CHC)</w:t>
      </w:r>
      <w:r w:rsidR="00842119" w:rsidRPr="00D928C5">
        <w:rPr>
          <w:rFonts w:ascii="Arial" w:hAnsi="Arial"/>
          <w:sz w:val="22"/>
          <w:szCs w:val="22"/>
        </w:rPr>
        <w:t xml:space="preserve"> genotype 2 or 3</w:t>
      </w:r>
      <w:r w:rsidR="00D94C5E" w:rsidRPr="00D928C5">
        <w:rPr>
          <w:rFonts w:ascii="Arial" w:hAnsi="Arial"/>
          <w:sz w:val="22"/>
          <w:szCs w:val="22"/>
        </w:rPr>
        <w:t xml:space="preserve">. </w:t>
      </w:r>
    </w:p>
    <w:p w:rsidR="00EF44A0" w:rsidRPr="00D928C5" w:rsidRDefault="00EF44A0" w:rsidP="00C27B58">
      <w:pPr>
        <w:pStyle w:val="NoSpacing"/>
      </w:pPr>
    </w:p>
    <w:p w:rsidR="00614159" w:rsidRPr="00D928C5" w:rsidRDefault="006A12A5" w:rsidP="00B1320F">
      <w:pPr>
        <w:pStyle w:val="ListParagraph"/>
        <w:numPr>
          <w:ilvl w:val="0"/>
          <w:numId w:val="2"/>
        </w:numPr>
        <w:jc w:val="both"/>
        <w:rPr>
          <w:rFonts w:ascii="Arial" w:hAnsi="Arial"/>
          <w:b/>
          <w:sz w:val="22"/>
          <w:szCs w:val="22"/>
        </w:rPr>
      </w:pPr>
      <w:r w:rsidRPr="00D928C5">
        <w:rPr>
          <w:rFonts w:ascii="Arial" w:hAnsi="Arial"/>
          <w:b/>
          <w:sz w:val="22"/>
          <w:szCs w:val="22"/>
        </w:rPr>
        <w:t>Requested listing</w:t>
      </w:r>
    </w:p>
    <w:p w:rsidR="006A12A5" w:rsidRPr="00D928C5" w:rsidRDefault="006A12A5" w:rsidP="00882085">
      <w:pPr>
        <w:jc w:val="both"/>
        <w:rPr>
          <w:rFonts w:ascii="Arial" w:hAnsi="Arial"/>
          <w:b/>
          <w:sz w:val="22"/>
          <w:szCs w:val="22"/>
        </w:rPr>
      </w:pPr>
    </w:p>
    <w:p w:rsidR="00826F6D" w:rsidRPr="00D928C5" w:rsidRDefault="00EF44A0" w:rsidP="00B1320F">
      <w:pPr>
        <w:pStyle w:val="ListParagraph"/>
        <w:numPr>
          <w:ilvl w:val="1"/>
          <w:numId w:val="2"/>
        </w:numPr>
        <w:jc w:val="both"/>
        <w:rPr>
          <w:rFonts w:ascii="Arial" w:hAnsi="Arial"/>
          <w:sz w:val="22"/>
          <w:szCs w:val="22"/>
        </w:rPr>
      </w:pPr>
      <w:r w:rsidRPr="00D928C5">
        <w:rPr>
          <w:rFonts w:ascii="Arial" w:hAnsi="Arial"/>
          <w:sz w:val="22"/>
          <w:szCs w:val="22"/>
        </w:rPr>
        <w:t xml:space="preserve">The </w:t>
      </w:r>
      <w:r w:rsidR="003921E1" w:rsidRPr="00D928C5">
        <w:rPr>
          <w:rFonts w:ascii="Arial" w:hAnsi="Arial"/>
          <w:sz w:val="22"/>
          <w:szCs w:val="22"/>
        </w:rPr>
        <w:t>re-</w:t>
      </w:r>
      <w:r w:rsidRPr="00D928C5">
        <w:rPr>
          <w:rFonts w:ascii="Arial" w:hAnsi="Arial"/>
          <w:sz w:val="22"/>
          <w:szCs w:val="22"/>
        </w:rPr>
        <w:t xml:space="preserve">submission </w:t>
      </w:r>
      <w:r w:rsidR="000A0AE2" w:rsidRPr="00D928C5">
        <w:rPr>
          <w:rFonts w:ascii="Arial" w:hAnsi="Arial"/>
          <w:sz w:val="22"/>
          <w:szCs w:val="22"/>
        </w:rPr>
        <w:t>requested</w:t>
      </w:r>
      <w:r w:rsidRPr="00D928C5">
        <w:rPr>
          <w:rFonts w:ascii="Arial" w:hAnsi="Arial"/>
          <w:sz w:val="22"/>
          <w:szCs w:val="22"/>
        </w:rPr>
        <w:t xml:space="preserve"> the following </w:t>
      </w:r>
      <w:r w:rsidR="0076420C" w:rsidRPr="00D928C5">
        <w:rPr>
          <w:rFonts w:ascii="Arial" w:hAnsi="Arial"/>
          <w:sz w:val="22"/>
          <w:szCs w:val="22"/>
        </w:rPr>
        <w:t xml:space="preserve">new </w:t>
      </w:r>
      <w:r w:rsidRPr="00D928C5">
        <w:rPr>
          <w:rFonts w:ascii="Arial" w:hAnsi="Arial"/>
          <w:sz w:val="22"/>
          <w:szCs w:val="22"/>
        </w:rPr>
        <w:t>listing</w:t>
      </w:r>
      <w:r w:rsidR="00EE189B" w:rsidRPr="00D928C5">
        <w:rPr>
          <w:rFonts w:ascii="Arial" w:hAnsi="Arial"/>
          <w:sz w:val="22"/>
          <w:szCs w:val="22"/>
        </w:rPr>
        <w:t>s</w:t>
      </w:r>
      <w:r w:rsidR="00826F6D" w:rsidRPr="00D928C5">
        <w:rPr>
          <w:rFonts w:ascii="Arial" w:hAnsi="Arial"/>
          <w:sz w:val="22"/>
          <w:szCs w:val="22"/>
        </w:rPr>
        <w:t>:</w:t>
      </w:r>
      <w:r w:rsidRPr="00D928C5">
        <w:rPr>
          <w:rFonts w:ascii="Arial" w:hAnsi="Arial"/>
          <w:sz w:val="22"/>
          <w:szCs w:val="22"/>
        </w:rPr>
        <w:t xml:space="preserve"> </w:t>
      </w:r>
    </w:p>
    <w:p w:rsidR="00A1470A" w:rsidRPr="00D928C5" w:rsidRDefault="00A1470A" w:rsidP="00A1470A">
      <w:pPr>
        <w:pStyle w:val="ListParagraph"/>
        <w:jc w:val="both"/>
        <w:rPr>
          <w:rFonts w:ascii="Arial" w:hAnsi="Arial"/>
          <w:sz w:val="22"/>
          <w:szCs w:val="22"/>
        </w:rPr>
      </w:pPr>
    </w:p>
    <w:p w:rsidR="00826F6D" w:rsidRPr="00D928C5" w:rsidRDefault="00A1470A" w:rsidP="00A1470A">
      <w:pPr>
        <w:pStyle w:val="ListParagraph"/>
        <w:jc w:val="both"/>
        <w:rPr>
          <w:rFonts w:ascii="Arial" w:hAnsi="Arial"/>
          <w:b/>
          <w:sz w:val="22"/>
          <w:szCs w:val="22"/>
        </w:rPr>
      </w:pPr>
      <w:r w:rsidRPr="00D928C5">
        <w:rPr>
          <w:rFonts w:ascii="Arial" w:hAnsi="Arial"/>
          <w:b/>
          <w:sz w:val="22"/>
          <w:szCs w:val="22"/>
        </w:rPr>
        <w:t>Requested PBS listing: initiation of treatment for previously untreated patients (Chronic genotype 2 or 3 hepatitis C infection)</w:t>
      </w:r>
    </w:p>
    <w:tbl>
      <w:tblPr>
        <w:tblW w:w="8363" w:type="dxa"/>
        <w:tblInd w:w="817" w:type="dxa"/>
        <w:tblLayout w:type="fixed"/>
        <w:tblLook w:val="0000" w:firstRow="0" w:lastRow="0" w:firstColumn="0" w:lastColumn="0" w:noHBand="0" w:noVBand="0"/>
      </w:tblPr>
      <w:tblGrid>
        <w:gridCol w:w="1985"/>
        <w:gridCol w:w="992"/>
        <w:gridCol w:w="850"/>
        <w:gridCol w:w="709"/>
        <w:gridCol w:w="1276"/>
        <w:gridCol w:w="1275"/>
        <w:gridCol w:w="1276"/>
      </w:tblGrid>
      <w:tr w:rsidR="00826F6D" w:rsidRPr="00D928C5" w:rsidTr="00D94C5E">
        <w:trPr>
          <w:cantSplit/>
          <w:trHeight w:val="471"/>
        </w:trPr>
        <w:tc>
          <w:tcPr>
            <w:tcW w:w="2977" w:type="dxa"/>
            <w:gridSpan w:val="2"/>
            <w:tcBorders>
              <w:bottom w:val="single" w:sz="4" w:space="0" w:color="auto"/>
            </w:tcBorders>
          </w:tcPr>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Name, Restriction,</w:t>
            </w:r>
          </w:p>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Manner of administration and form</w:t>
            </w:r>
          </w:p>
        </w:tc>
        <w:tc>
          <w:tcPr>
            <w:tcW w:w="850" w:type="dxa"/>
            <w:tcBorders>
              <w:bottom w:val="single" w:sz="4" w:space="0" w:color="auto"/>
            </w:tcBorders>
          </w:tcPr>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Max.</w:t>
            </w:r>
          </w:p>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Qty</w:t>
            </w:r>
          </w:p>
        </w:tc>
        <w:tc>
          <w:tcPr>
            <w:tcW w:w="709" w:type="dxa"/>
            <w:tcBorders>
              <w:bottom w:val="single" w:sz="4" w:space="0" w:color="auto"/>
            </w:tcBorders>
          </w:tcPr>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№.of</w:t>
            </w:r>
          </w:p>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Rpts</w:t>
            </w:r>
          </w:p>
        </w:tc>
        <w:tc>
          <w:tcPr>
            <w:tcW w:w="1276" w:type="dxa"/>
            <w:tcBorders>
              <w:bottom w:val="single" w:sz="4" w:space="0" w:color="auto"/>
            </w:tcBorders>
          </w:tcPr>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Dispensed Price for Max. Qty</w:t>
            </w:r>
          </w:p>
        </w:tc>
        <w:tc>
          <w:tcPr>
            <w:tcW w:w="2551" w:type="dxa"/>
            <w:gridSpan w:val="2"/>
            <w:tcBorders>
              <w:bottom w:val="single" w:sz="4" w:space="0" w:color="auto"/>
            </w:tcBorders>
          </w:tcPr>
          <w:p w:rsidR="00826F6D" w:rsidRPr="00D928C5" w:rsidRDefault="00826F6D" w:rsidP="00C27B58">
            <w:pPr>
              <w:keepNext/>
              <w:jc w:val="both"/>
              <w:rPr>
                <w:rFonts w:ascii="Arial Narrow" w:hAnsi="Arial Narrow" w:cs="Arial"/>
                <w:b/>
                <w:sz w:val="20"/>
                <w:szCs w:val="20"/>
                <w:lang w:val="fr-FR"/>
              </w:rPr>
            </w:pPr>
            <w:r w:rsidRPr="00D928C5">
              <w:rPr>
                <w:rFonts w:ascii="Arial Narrow" w:hAnsi="Arial Narrow" w:cs="Arial"/>
                <w:b/>
                <w:sz w:val="20"/>
                <w:szCs w:val="20"/>
              </w:rPr>
              <w:t>Proprietary Name and Manufacturer</w:t>
            </w:r>
          </w:p>
        </w:tc>
      </w:tr>
      <w:tr w:rsidR="00826F6D" w:rsidRPr="00D928C5" w:rsidTr="00D94C5E">
        <w:trPr>
          <w:cantSplit/>
          <w:trHeight w:val="577"/>
        </w:trPr>
        <w:tc>
          <w:tcPr>
            <w:tcW w:w="2977" w:type="dxa"/>
            <w:gridSpan w:val="2"/>
          </w:tcPr>
          <w:p w:rsidR="00826F6D" w:rsidRPr="00D928C5" w:rsidRDefault="00D94C5E" w:rsidP="00C27B58">
            <w:pPr>
              <w:keepNext/>
              <w:ind w:left="-108"/>
              <w:jc w:val="both"/>
              <w:rPr>
                <w:rFonts w:ascii="Arial Narrow" w:hAnsi="Arial Narrow" w:cs="Arial"/>
                <w:sz w:val="20"/>
                <w:szCs w:val="20"/>
              </w:rPr>
            </w:pPr>
            <w:r w:rsidRPr="00D928C5">
              <w:rPr>
                <w:rFonts w:ascii="Arial Narrow" w:hAnsi="Arial Narrow" w:cs="Arial"/>
                <w:smallCaps/>
                <w:sz w:val="20"/>
                <w:szCs w:val="20"/>
              </w:rPr>
              <w:t xml:space="preserve">RIBAVIRIN </w:t>
            </w:r>
          </w:p>
          <w:p w:rsidR="00D94C5E" w:rsidRPr="00D928C5" w:rsidRDefault="00D94C5E" w:rsidP="00C27B58">
            <w:pPr>
              <w:keepNext/>
              <w:ind w:left="-108"/>
              <w:jc w:val="both"/>
              <w:rPr>
                <w:rFonts w:ascii="Arial Narrow" w:hAnsi="Arial Narrow" w:cs="Arial"/>
                <w:sz w:val="20"/>
                <w:szCs w:val="20"/>
              </w:rPr>
            </w:pPr>
            <w:r w:rsidRPr="00D928C5">
              <w:rPr>
                <w:rFonts w:ascii="Arial Narrow" w:hAnsi="Arial Narrow" w:cs="Arial"/>
                <w:sz w:val="20"/>
                <w:szCs w:val="20"/>
              </w:rPr>
              <w:t xml:space="preserve">Tablets 400mg, 28 </w:t>
            </w:r>
          </w:p>
          <w:p w:rsidR="00826F6D" w:rsidRPr="00D928C5" w:rsidRDefault="00D94C5E" w:rsidP="00D94C5E">
            <w:pPr>
              <w:keepNext/>
              <w:ind w:left="-108"/>
              <w:jc w:val="both"/>
              <w:rPr>
                <w:rFonts w:ascii="Arial Narrow" w:hAnsi="Arial Narrow" w:cs="Arial"/>
                <w:sz w:val="20"/>
                <w:szCs w:val="20"/>
              </w:rPr>
            </w:pPr>
            <w:r w:rsidRPr="00D928C5">
              <w:rPr>
                <w:rFonts w:ascii="Arial Narrow" w:hAnsi="Arial Narrow" w:cs="Arial"/>
                <w:sz w:val="20"/>
                <w:szCs w:val="20"/>
              </w:rPr>
              <w:t>Tablets 600mg, 28</w:t>
            </w:r>
          </w:p>
        </w:tc>
        <w:tc>
          <w:tcPr>
            <w:tcW w:w="850" w:type="dxa"/>
          </w:tcPr>
          <w:p w:rsidR="00826F6D" w:rsidRPr="00D928C5" w:rsidRDefault="00826F6D" w:rsidP="00C27B58">
            <w:pPr>
              <w:keepNext/>
              <w:ind w:left="-108"/>
              <w:jc w:val="both"/>
              <w:rPr>
                <w:rFonts w:ascii="Arial Narrow" w:hAnsi="Arial Narrow" w:cs="Arial"/>
                <w:sz w:val="20"/>
                <w:szCs w:val="20"/>
              </w:rPr>
            </w:pPr>
          </w:p>
          <w:p w:rsidR="00826F6D" w:rsidRPr="00D928C5" w:rsidRDefault="00D94C5E" w:rsidP="00C27B58">
            <w:pPr>
              <w:keepNext/>
              <w:ind w:left="-108"/>
              <w:jc w:val="both"/>
              <w:rPr>
                <w:rFonts w:ascii="Arial Narrow" w:hAnsi="Arial Narrow" w:cs="Arial"/>
                <w:sz w:val="20"/>
                <w:szCs w:val="20"/>
              </w:rPr>
            </w:pPr>
            <w:r w:rsidRPr="00D928C5">
              <w:rPr>
                <w:rFonts w:ascii="Arial Narrow" w:hAnsi="Arial Narrow" w:cs="Arial"/>
                <w:sz w:val="20"/>
                <w:szCs w:val="20"/>
              </w:rPr>
              <w:t>2</w:t>
            </w:r>
          </w:p>
          <w:p w:rsidR="00D94C5E" w:rsidRPr="00D928C5" w:rsidRDefault="00D94C5E" w:rsidP="00C27B58">
            <w:pPr>
              <w:keepNext/>
              <w:ind w:left="-108"/>
              <w:jc w:val="both"/>
              <w:rPr>
                <w:rFonts w:ascii="Arial Narrow" w:hAnsi="Arial Narrow" w:cs="Arial"/>
                <w:sz w:val="20"/>
                <w:szCs w:val="20"/>
              </w:rPr>
            </w:pPr>
            <w:r w:rsidRPr="00D928C5">
              <w:rPr>
                <w:rFonts w:ascii="Arial Narrow" w:hAnsi="Arial Narrow" w:cs="Arial"/>
                <w:sz w:val="20"/>
                <w:szCs w:val="20"/>
              </w:rPr>
              <w:t>2</w:t>
            </w:r>
          </w:p>
        </w:tc>
        <w:tc>
          <w:tcPr>
            <w:tcW w:w="709" w:type="dxa"/>
          </w:tcPr>
          <w:p w:rsidR="00826F6D" w:rsidRPr="00D928C5" w:rsidRDefault="00826F6D" w:rsidP="00C27B58">
            <w:pPr>
              <w:keepNext/>
              <w:ind w:left="-108"/>
              <w:jc w:val="both"/>
              <w:rPr>
                <w:rFonts w:ascii="Arial Narrow" w:hAnsi="Arial Narrow" w:cs="Arial"/>
                <w:sz w:val="20"/>
                <w:szCs w:val="20"/>
              </w:rPr>
            </w:pPr>
          </w:p>
          <w:p w:rsidR="00826F6D" w:rsidRPr="00D928C5" w:rsidRDefault="00D94C5E" w:rsidP="00C27B58">
            <w:pPr>
              <w:keepNext/>
              <w:ind w:left="-108"/>
              <w:jc w:val="both"/>
              <w:rPr>
                <w:rFonts w:ascii="Arial Narrow" w:hAnsi="Arial Narrow" w:cs="Arial"/>
                <w:sz w:val="20"/>
                <w:szCs w:val="20"/>
              </w:rPr>
            </w:pPr>
            <w:r w:rsidRPr="00D928C5">
              <w:rPr>
                <w:rFonts w:ascii="Arial Narrow" w:hAnsi="Arial Narrow" w:cs="Arial"/>
                <w:sz w:val="20"/>
                <w:szCs w:val="20"/>
              </w:rPr>
              <w:t>2</w:t>
            </w:r>
          </w:p>
          <w:p w:rsidR="00D94C5E" w:rsidRPr="00D928C5" w:rsidRDefault="00D94C5E" w:rsidP="00C27B58">
            <w:pPr>
              <w:keepNext/>
              <w:ind w:left="-108"/>
              <w:jc w:val="both"/>
              <w:rPr>
                <w:rFonts w:ascii="Arial Narrow" w:hAnsi="Arial Narrow" w:cs="Arial"/>
                <w:sz w:val="20"/>
                <w:szCs w:val="20"/>
              </w:rPr>
            </w:pPr>
            <w:r w:rsidRPr="00D928C5">
              <w:rPr>
                <w:rFonts w:ascii="Arial Narrow" w:hAnsi="Arial Narrow" w:cs="Arial"/>
                <w:sz w:val="20"/>
                <w:szCs w:val="20"/>
              </w:rPr>
              <w:t>2</w:t>
            </w:r>
          </w:p>
        </w:tc>
        <w:tc>
          <w:tcPr>
            <w:tcW w:w="1276" w:type="dxa"/>
          </w:tcPr>
          <w:p w:rsidR="00826F6D" w:rsidRPr="00D928C5" w:rsidRDefault="00826F6D" w:rsidP="00C27B58">
            <w:pPr>
              <w:keepNext/>
              <w:ind w:left="-108"/>
              <w:jc w:val="both"/>
              <w:rPr>
                <w:rFonts w:ascii="Arial Narrow" w:hAnsi="Arial Narrow" w:cs="Arial"/>
                <w:sz w:val="20"/>
                <w:szCs w:val="20"/>
              </w:rPr>
            </w:pPr>
          </w:p>
          <w:p w:rsidR="00826F6D" w:rsidRPr="00D928C5" w:rsidRDefault="00D94C5E" w:rsidP="00D94C5E">
            <w:pPr>
              <w:keepNext/>
              <w:ind w:left="-108"/>
              <w:jc w:val="right"/>
              <w:rPr>
                <w:rFonts w:ascii="Arial Narrow" w:hAnsi="Arial Narrow" w:cs="Arial"/>
                <w:sz w:val="20"/>
                <w:szCs w:val="20"/>
              </w:rPr>
            </w:pPr>
            <w:r w:rsidRPr="00D928C5">
              <w:rPr>
                <w:rFonts w:ascii="Arial Narrow" w:hAnsi="Arial Narrow" w:cs="Arial"/>
                <w:sz w:val="20"/>
                <w:szCs w:val="20"/>
              </w:rPr>
              <w:t>$</w:t>
            </w:r>
            <w:r w:rsidR="00F53974">
              <w:rPr>
                <w:rFonts w:ascii="Arial Narrow" w:hAnsi="Arial Narrow" w:cs="Arial"/>
                <w:noProof/>
                <w:color w:val="000000"/>
                <w:sz w:val="20"/>
                <w:szCs w:val="20"/>
                <w:highlight w:val="black"/>
              </w:rPr>
              <w:t>''''''''''''''''</w:t>
            </w:r>
          </w:p>
          <w:p w:rsidR="00D94C5E" w:rsidRPr="00D928C5" w:rsidRDefault="00D94C5E" w:rsidP="00D94C5E">
            <w:pPr>
              <w:keepNext/>
              <w:ind w:left="-108"/>
              <w:jc w:val="right"/>
              <w:rPr>
                <w:rFonts w:ascii="Arial Narrow" w:hAnsi="Arial Narrow" w:cs="Arial"/>
                <w:sz w:val="20"/>
                <w:szCs w:val="20"/>
              </w:rPr>
            </w:pPr>
            <w:r w:rsidRPr="00D928C5">
              <w:rPr>
                <w:rFonts w:ascii="Arial Narrow" w:hAnsi="Arial Narrow" w:cs="Arial"/>
                <w:sz w:val="20"/>
                <w:szCs w:val="20"/>
              </w:rPr>
              <w:t>$</w:t>
            </w:r>
            <w:r w:rsidR="00F53974">
              <w:rPr>
                <w:rFonts w:ascii="Arial Narrow" w:hAnsi="Arial Narrow" w:cs="Arial"/>
                <w:noProof/>
                <w:color w:val="000000"/>
                <w:sz w:val="20"/>
                <w:szCs w:val="20"/>
                <w:highlight w:val="black"/>
              </w:rPr>
              <w:t>'''''''''''''''''</w:t>
            </w:r>
          </w:p>
        </w:tc>
        <w:tc>
          <w:tcPr>
            <w:tcW w:w="1275" w:type="dxa"/>
          </w:tcPr>
          <w:p w:rsidR="00826F6D" w:rsidRPr="00D928C5" w:rsidRDefault="00D94C5E" w:rsidP="00C27B58">
            <w:pPr>
              <w:keepNext/>
              <w:jc w:val="both"/>
              <w:rPr>
                <w:rFonts w:ascii="Arial Narrow" w:hAnsi="Arial Narrow" w:cs="Arial"/>
                <w:sz w:val="20"/>
                <w:szCs w:val="20"/>
              </w:rPr>
            </w:pPr>
            <w:r w:rsidRPr="00D928C5">
              <w:rPr>
                <w:rFonts w:ascii="Arial Narrow" w:hAnsi="Arial Narrow" w:cs="Arial"/>
                <w:sz w:val="20"/>
                <w:szCs w:val="20"/>
              </w:rPr>
              <w:t>Ibavyr</w:t>
            </w:r>
            <w:r w:rsidRPr="00D928C5">
              <w:rPr>
                <w:rFonts w:ascii="Arial Narrow" w:hAnsi="Arial Narrow" w:cs="Arial"/>
                <w:sz w:val="20"/>
                <w:szCs w:val="20"/>
                <w:vertAlign w:val="superscript"/>
              </w:rPr>
              <w:t xml:space="preserve">® </w:t>
            </w:r>
          </w:p>
        </w:tc>
        <w:tc>
          <w:tcPr>
            <w:tcW w:w="1276" w:type="dxa"/>
          </w:tcPr>
          <w:p w:rsidR="00C27B58" w:rsidRPr="00D928C5" w:rsidRDefault="00D94C5E" w:rsidP="00C27B58">
            <w:pPr>
              <w:keepNext/>
              <w:jc w:val="both"/>
              <w:rPr>
                <w:rFonts w:ascii="Arial Narrow" w:hAnsi="Arial Narrow" w:cs="Arial"/>
                <w:sz w:val="20"/>
                <w:szCs w:val="20"/>
              </w:rPr>
            </w:pPr>
            <w:r w:rsidRPr="00D928C5">
              <w:rPr>
                <w:rFonts w:ascii="Arial Narrow" w:hAnsi="Arial Narrow" w:cs="Arial"/>
                <w:sz w:val="20"/>
                <w:szCs w:val="20"/>
              </w:rPr>
              <w:t>Clinect Pty Ltd</w:t>
            </w:r>
          </w:p>
          <w:p w:rsidR="00826F6D" w:rsidRPr="00D928C5" w:rsidRDefault="00826F6D" w:rsidP="00C27B58">
            <w:pPr>
              <w:keepNext/>
              <w:jc w:val="both"/>
              <w:rPr>
                <w:rFonts w:ascii="Arial Narrow" w:hAnsi="Arial Narrow" w:cs="Arial"/>
                <w:sz w:val="20"/>
                <w:szCs w:val="20"/>
              </w:rPr>
            </w:pPr>
          </w:p>
        </w:tc>
      </w:tr>
      <w:tr w:rsidR="00826F6D" w:rsidRPr="00D928C5" w:rsidTr="00D94C5E">
        <w:trPr>
          <w:cantSplit/>
          <w:trHeight w:val="360"/>
        </w:trPr>
        <w:tc>
          <w:tcPr>
            <w:tcW w:w="8363" w:type="dxa"/>
            <w:gridSpan w:val="7"/>
            <w:tcBorders>
              <w:bottom w:val="single" w:sz="4" w:space="0" w:color="auto"/>
            </w:tcBorders>
          </w:tcPr>
          <w:p w:rsidR="00826F6D" w:rsidRPr="00D928C5" w:rsidRDefault="00826F6D" w:rsidP="00C27B58">
            <w:pPr>
              <w:jc w:val="both"/>
              <w:rPr>
                <w:rFonts w:ascii="Arial Narrow" w:hAnsi="Arial Narrow" w:cs="Arial"/>
                <w:sz w:val="20"/>
                <w:szCs w:val="20"/>
              </w:rPr>
            </w:pP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 xml:space="preserve">Category / </w:t>
            </w:r>
          </w:p>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826F6D" w:rsidP="00C27B58">
            <w:pPr>
              <w:rPr>
                <w:rFonts w:ascii="Arial Narrow" w:hAnsi="Arial Narrow" w:cs="Arial"/>
                <w:sz w:val="20"/>
                <w:szCs w:val="20"/>
              </w:rPr>
            </w:pPr>
            <w:r w:rsidRPr="00D928C5">
              <w:rPr>
                <w:rFonts w:ascii="Arial Narrow" w:hAnsi="Arial Narrow" w:cs="Arial"/>
                <w:sz w:val="20"/>
                <w:szCs w:val="20"/>
              </w:rPr>
              <w:t>GENERAL – General Schedule (Code GE)</w:t>
            </w:r>
          </w:p>
          <w:p w:rsidR="00826F6D" w:rsidRPr="00D928C5" w:rsidRDefault="00826F6D" w:rsidP="00C27B58">
            <w:pPr>
              <w:rPr>
                <w:rFonts w:ascii="Arial Narrow" w:hAnsi="Arial Narrow" w:cs="Arial"/>
                <w:sz w:val="20"/>
                <w:szCs w:val="20"/>
              </w:rPr>
            </w:pP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672007" w:rsidP="00C27B58">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00826F6D"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 xml:space="preserve">Dental  </w:t>
            </w:r>
            <w:r w:rsidRPr="00D928C5">
              <w:rPr>
                <w:rFonts w:ascii="Arial Narrow" w:hAnsi="Arial Narrow" w:cs="Arial"/>
                <w:sz w:val="20"/>
                <w:szCs w:val="20"/>
              </w:rPr>
              <w:fldChar w:fldCharType="begin">
                <w:ffData>
                  <w:name w:val=""/>
                  <w:enabled/>
                  <w:calcOnExit w:val="0"/>
                  <w:checkBox>
                    <w:sizeAuto/>
                    <w:default w:val="1"/>
                  </w:checkBox>
                </w:ffData>
              </w:fldChar>
            </w:r>
            <w:r w:rsidR="00D94C5E"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 xml:space="preserve">Medical Practitioners  </w:t>
            </w:r>
            <w:r w:rsidRPr="00D928C5">
              <w:rPr>
                <w:rFonts w:ascii="Arial Narrow" w:hAnsi="Arial Narrow" w:cs="Arial"/>
                <w:sz w:val="20"/>
                <w:szCs w:val="20"/>
              </w:rPr>
              <w:fldChar w:fldCharType="begin">
                <w:ffData>
                  <w:name w:val="Check3"/>
                  <w:enabled/>
                  <w:calcOnExit w:val="0"/>
                  <w:checkBox>
                    <w:sizeAuto/>
                    <w:default w:val="0"/>
                  </w:checkBox>
                </w:ffData>
              </w:fldChar>
            </w:r>
            <w:r w:rsidR="00826F6D"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 xml:space="preserve">Nurse practitioners  </w:t>
            </w:r>
            <w:r w:rsidRPr="00D928C5">
              <w:rPr>
                <w:rFonts w:ascii="Arial Narrow" w:hAnsi="Arial Narrow" w:cs="Arial"/>
                <w:sz w:val="20"/>
                <w:szCs w:val="20"/>
              </w:rPr>
              <w:fldChar w:fldCharType="begin">
                <w:ffData>
                  <w:name w:val=""/>
                  <w:enabled/>
                  <w:calcOnExit w:val="0"/>
                  <w:checkBox>
                    <w:sizeAuto/>
                    <w:default w:val="0"/>
                  </w:checkBox>
                </w:ffData>
              </w:fldChar>
            </w:r>
            <w:r w:rsidR="00826F6D"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Optometrists</w:t>
            </w:r>
          </w:p>
          <w:p w:rsidR="00826F6D" w:rsidRPr="00D928C5" w:rsidRDefault="00672007" w:rsidP="00C27B58">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00826F6D"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Midwives</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25512B" w:rsidP="00C27B58">
            <w:pPr>
              <w:rPr>
                <w:rFonts w:ascii="Arial Narrow" w:hAnsi="Arial Narrow" w:cs="Arial"/>
                <w:sz w:val="20"/>
                <w:szCs w:val="20"/>
              </w:rPr>
            </w:pPr>
            <w:r w:rsidRPr="00D928C5">
              <w:rPr>
                <w:rFonts w:ascii="Arial Narrow" w:hAnsi="Arial Narrow" w:cs="Arial"/>
                <w:sz w:val="20"/>
                <w:szCs w:val="20"/>
              </w:rPr>
              <w:sym w:font="Symbol" w:char="F02D"/>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EE189B" w:rsidP="00C27B58">
            <w:pPr>
              <w:rPr>
                <w:rFonts w:ascii="Arial Narrow" w:hAnsi="Arial Narrow" w:cs="Arial"/>
                <w:sz w:val="20"/>
                <w:szCs w:val="20"/>
              </w:rPr>
            </w:pPr>
            <w:r w:rsidRPr="00D928C5">
              <w:rPr>
                <w:rFonts w:ascii="Arial Narrow" w:hAnsi="Arial Narrow" w:cs="Arial"/>
                <w:sz w:val="20"/>
                <w:szCs w:val="20"/>
              </w:rPr>
              <w:t>Chronic hepatitis C infection</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1222BA" w:rsidP="00EE189B">
            <w:pPr>
              <w:rPr>
                <w:rFonts w:ascii="Arial Narrow" w:hAnsi="Arial Narrow" w:cs="Arial"/>
                <w:sz w:val="20"/>
                <w:szCs w:val="20"/>
              </w:rPr>
            </w:pPr>
            <w:r w:rsidRPr="00D928C5">
              <w:rPr>
                <w:rFonts w:ascii="Arial Narrow" w:hAnsi="Arial Narrow" w:cs="Arial"/>
                <w:sz w:val="20"/>
                <w:szCs w:val="20"/>
              </w:rPr>
              <w:t>C</w:t>
            </w:r>
            <w:r w:rsidR="00EE189B" w:rsidRPr="00D928C5">
              <w:rPr>
                <w:rFonts w:ascii="Arial Narrow" w:hAnsi="Arial Narrow" w:cs="Arial"/>
                <w:sz w:val="20"/>
                <w:szCs w:val="20"/>
              </w:rPr>
              <w:t xml:space="preserve">hronic hepatitis C infection </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EE189B" w:rsidP="00C27B58">
            <w:pPr>
              <w:rPr>
                <w:rFonts w:ascii="Arial Narrow" w:hAnsi="Arial Narrow" w:cs="Arial"/>
                <w:sz w:val="20"/>
                <w:szCs w:val="20"/>
              </w:rPr>
            </w:pPr>
            <w:r w:rsidRPr="00D928C5">
              <w:rPr>
                <w:rFonts w:ascii="Arial Narrow" w:hAnsi="Arial Narrow" w:cs="Arial"/>
                <w:sz w:val="20"/>
                <w:szCs w:val="20"/>
              </w:rPr>
              <w:t>Initial</w:t>
            </w:r>
            <w:r w:rsidR="000A0AE2" w:rsidRPr="00D928C5">
              <w:rPr>
                <w:rFonts w:ascii="Arial Narrow" w:hAnsi="Arial Narrow" w:cs="Arial"/>
                <w:sz w:val="20"/>
                <w:szCs w:val="20"/>
              </w:rPr>
              <w:t xml:space="preserve"> treatment</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Restriction Level / Method:</w:t>
            </w:r>
          </w:p>
          <w:p w:rsidR="00826F6D" w:rsidRPr="00D928C5"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672007" w:rsidP="00C27B58">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00826F6D"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Restricted benefit</w:t>
            </w:r>
          </w:p>
          <w:p w:rsidR="00826F6D" w:rsidRPr="00D928C5" w:rsidRDefault="00672007" w:rsidP="00C27B58">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Authority Required - In Writing</w:t>
            </w:r>
          </w:p>
          <w:p w:rsidR="00826F6D" w:rsidRPr="00D928C5" w:rsidRDefault="00672007" w:rsidP="00C27B58">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Authority Required - Telephone</w:t>
            </w:r>
          </w:p>
          <w:p w:rsidR="00826F6D" w:rsidRPr="00D928C5" w:rsidRDefault="00672007" w:rsidP="00C27B58">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0"/>
                  </w:checkBox>
                </w:ffData>
              </w:fldChar>
            </w:r>
            <w:r w:rsidR="00826F6D"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Authority Required – Emergency</w:t>
            </w:r>
          </w:p>
          <w:p w:rsidR="00826F6D" w:rsidRPr="00D928C5" w:rsidRDefault="00672007" w:rsidP="00C27B58">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00826F6D"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Authority Required - Electronic</w:t>
            </w:r>
          </w:p>
          <w:p w:rsidR="00826F6D" w:rsidRPr="00D928C5" w:rsidRDefault="00672007" w:rsidP="00C27B58">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00EE189B"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Streamlined</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rPr>
                <w:rFonts w:ascii="Arial Narrow" w:hAnsi="Arial Narrow" w:cs="Arial"/>
                <w:b/>
                <w:sz w:val="20"/>
                <w:szCs w:val="20"/>
              </w:rPr>
            </w:pPr>
            <w:r w:rsidRPr="00D928C5">
              <w:rPr>
                <w:rFonts w:ascii="Arial Narrow" w:hAnsi="Arial Narrow" w:cs="Arial"/>
                <w:b/>
                <w:sz w:val="20"/>
                <w:szCs w:val="20"/>
              </w:rPr>
              <w:t>Treatment criteria:</w:t>
            </w:r>
          </w:p>
          <w:p w:rsidR="00826F6D" w:rsidRPr="00D928C5" w:rsidRDefault="00826F6D" w:rsidP="00EE189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EE189B" w:rsidP="00C27B58">
            <w:pPr>
              <w:rPr>
                <w:rFonts w:ascii="Arial Narrow" w:hAnsi="Arial Narrow" w:cs="Arial"/>
                <w:sz w:val="20"/>
                <w:szCs w:val="20"/>
              </w:rPr>
            </w:pPr>
            <w:r w:rsidRPr="00D928C5">
              <w:rPr>
                <w:rFonts w:ascii="Arial Narrow" w:hAnsi="Arial Narrow" w:cs="Arial"/>
                <w:sz w:val="20"/>
                <w:szCs w:val="20"/>
              </w:rPr>
              <w:t>Must be treated in an accredited treatment centre.</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Clinical criteria:</w:t>
            </w:r>
          </w:p>
          <w:p w:rsidR="00826F6D" w:rsidRPr="00D928C5" w:rsidRDefault="00826F6D" w:rsidP="00EE189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 xml:space="preserve">Patient must have compensated liver disease. </w:t>
            </w:r>
          </w:p>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 xml:space="preserve">For patients with HCV genotype 2 infection: </w:t>
            </w:r>
          </w:p>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ab/>
              <w:t>The treatment must be in combination with sofosbuvir only.</w:t>
            </w:r>
          </w:p>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ab/>
            </w:r>
          </w:p>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For patients with HCV genotype 3 infection:</w:t>
            </w:r>
          </w:p>
          <w:p w:rsidR="00826F6D" w:rsidRPr="00D928C5" w:rsidRDefault="00EE189B" w:rsidP="00EE189B">
            <w:pPr>
              <w:rPr>
                <w:rFonts w:ascii="Arial Narrow" w:hAnsi="Arial Narrow" w:cs="Arial"/>
                <w:sz w:val="20"/>
                <w:szCs w:val="20"/>
              </w:rPr>
            </w:pPr>
            <w:r w:rsidRPr="00D928C5">
              <w:rPr>
                <w:rFonts w:ascii="Arial Narrow" w:hAnsi="Arial Narrow" w:cs="Arial"/>
                <w:sz w:val="20"/>
                <w:szCs w:val="20"/>
              </w:rPr>
              <w:tab/>
              <w:t>The treatment must be in combination with sofosbuvir only.</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lastRenderedPageBreak/>
              <w:t>Population criteria:</w:t>
            </w:r>
          </w:p>
          <w:p w:rsidR="00826F6D" w:rsidRPr="00D928C5" w:rsidRDefault="00826F6D" w:rsidP="00EE189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Patient must be 18 years or older.</w:t>
            </w:r>
          </w:p>
          <w:p w:rsidR="00EE189B" w:rsidRPr="00D928C5" w:rsidRDefault="00EE189B" w:rsidP="00EE189B">
            <w:pPr>
              <w:rPr>
                <w:rFonts w:ascii="Arial Narrow" w:hAnsi="Arial Narrow" w:cs="Arial"/>
                <w:sz w:val="20"/>
                <w:szCs w:val="20"/>
              </w:rPr>
            </w:pPr>
          </w:p>
          <w:p w:rsidR="00826F6D" w:rsidRPr="00D928C5" w:rsidRDefault="00EE189B" w:rsidP="00EE189B">
            <w:pPr>
              <w:rPr>
                <w:rFonts w:ascii="Arial Narrow" w:hAnsi="Arial Narrow" w:cs="Arial"/>
                <w:sz w:val="20"/>
                <w:szCs w:val="20"/>
              </w:rPr>
            </w:pPr>
            <w:r w:rsidRPr="00D928C5">
              <w:rPr>
                <w:rFonts w:ascii="Arial Narrow" w:hAnsi="Arial Narrow" w:cs="Arial"/>
                <w:sz w:val="20"/>
                <w:szCs w:val="20"/>
              </w:rPr>
              <w:t>Patient must not be pregnant or breastfeeding. Female partners of male patients must not be pregnant. Patients and their partners must each be using an effective form of contraception if of child-bearing age.</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Prescriber Instructions</w:t>
            </w:r>
          </w:p>
          <w:p w:rsidR="00826F6D" w:rsidRPr="00D928C5" w:rsidRDefault="00826F6D" w:rsidP="00A1470A">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A1470A" w:rsidP="00C27B58">
            <w:pPr>
              <w:rPr>
                <w:rFonts w:ascii="Arial Narrow" w:hAnsi="Arial Narrow" w:cs="Arial"/>
                <w:sz w:val="20"/>
                <w:szCs w:val="20"/>
              </w:rPr>
            </w:pPr>
            <w:r w:rsidRPr="00D928C5">
              <w:rPr>
                <w:rFonts w:ascii="Arial Narrow" w:hAnsi="Arial Narrow" w:cs="Arial"/>
                <w:sz w:val="20"/>
                <w:szCs w:val="20"/>
              </w:rPr>
              <w:t>Evidence of chronic hepatitis C infection (repeatedly anti-HCV positive and HCV RNA positive) must be documented in the patient's medical records.</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Administrative Advice</w:t>
            </w:r>
          </w:p>
          <w:p w:rsidR="00826F6D" w:rsidRPr="00D928C5" w:rsidRDefault="00826F6D" w:rsidP="00A1470A">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 xml:space="preserve">Note: </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Increased repeats may be requested from the Department of Human Services for patients weighing equal to or greater than 75 kg</w:t>
            </w:r>
          </w:p>
          <w:p w:rsidR="00A1470A" w:rsidRPr="00D928C5" w:rsidRDefault="00A1470A" w:rsidP="00A1470A">
            <w:pPr>
              <w:rPr>
                <w:rFonts w:ascii="Arial Narrow" w:hAnsi="Arial Narrow" w:cs="Arial"/>
                <w:sz w:val="20"/>
                <w:szCs w:val="20"/>
              </w:rPr>
            </w:pP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Treatment centres are required to have access to the following appropriate specialist facilities for the provision of clinical support services for hepatitis C:</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a)</w:t>
            </w:r>
            <w:r w:rsidRPr="00D928C5">
              <w:rPr>
                <w:rFonts w:ascii="Arial Narrow" w:hAnsi="Arial Narrow" w:cs="Arial"/>
                <w:sz w:val="20"/>
                <w:szCs w:val="20"/>
              </w:rPr>
              <w:tab/>
              <w:t>a nurse educator/counsellor for patients; and</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b)</w:t>
            </w:r>
            <w:r w:rsidRPr="00D928C5">
              <w:rPr>
                <w:rFonts w:ascii="Arial Narrow" w:hAnsi="Arial Narrow" w:cs="Arial"/>
                <w:sz w:val="20"/>
                <w:szCs w:val="20"/>
              </w:rPr>
              <w:tab/>
              <w:t>24-hour access by patients to medical advice; and</w:t>
            </w:r>
          </w:p>
          <w:p w:rsidR="00826F6D" w:rsidRPr="00D928C5" w:rsidRDefault="00A1470A" w:rsidP="00A1470A">
            <w:pPr>
              <w:rPr>
                <w:rFonts w:ascii="Arial Narrow" w:hAnsi="Arial Narrow" w:cs="Arial"/>
                <w:sz w:val="20"/>
                <w:szCs w:val="20"/>
              </w:rPr>
            </w:pPr>
            <w:r w:rsidRPr="00D928C5">
              <w:rPr>
                <w:rFonts w:ascii="Arial Narrow" w:hAnsi="Arial Narrow" w:cs="Arial"/>
                <w:sz w:val="20"/>
                <w:szCs w:val="20"/>
              </w:rPr>
              <w:t>c)</w:t>
            </w:r>
            <w:r w:rsidRPr="00D928C5">
              <w:rPr>
                <w:rFonts w:ascii="Arial Narrow" w:hAnsi="Arial Narrow" w:cs="Arial"/>
                <w:sz w:val="20"/>
                <w:szCs w:val="20"/>
              </w:rPr>
              <w:tab/>
              <w:t>an established liver clinic</w:t>
            </w:r>
          </w:p>
        </w:tc>
      </w:tr>
    </w:tbl>
    <w:p w:rsidR="00826F6D" w:rsidRPr="00D928C5" w:rsidRDefault="00826F6D" w:rsidP="00826F6D">
      <w:pPr>
        <w:pStyle w:val="ListParagraph"/>
        <w:jc w:val="both"/>
        <w:rPr>
          <w:rFonts w:ascii="Arial" w:hAnsi="Arial"/>
          <w:sz w:val="22"/>
          <w:szCs w:val="22"/>
        </w:rPr>
      </w:pPr>
    </w:p>
    <w:p w:rsidR="00A1470A" w:rsidRPr="00D928C5" w:rsidRDefault="00A1470A" w:rsidP="00826F6D">
      <w:pPr>
        <w:pStyle w:val="ListParagraph"/>
        <w:jc w:val="both"/>
        <w:rPr>
          <w:rFonts w:ascii="Arial" w:hAnsi="Arial"/>
          <w:sz w:val="22"/>
          <w:szCs w:val="22"/>
        </w:rPr>
      </w:pPr>
    </w:p>
    <w:p w:rsidR="00A1470A" w:rsidRPr="00D928C5" w:rsidRDefault="00A1470A" w:rsidP="00826F6D">
      <w:pPr>
        <w:pStyle w:val="ListParagraph"/>
        <w:jc w:val="both"/>
        <w:rPr>
          <w:rFonts w:ascii="Arial" w:hAnsi="Arial"/>
          <w:b/>
          <w:sz w:val="22"/>
          <w:szCs w:val="22"/>
        </w:rPr>
      </w:pPr>
      <w:r w:rsidRPr="00D928C5">
        <w:rPr>
          <w:rFonts w:ascii="Arial" w:hAnsi="Arial"/>
          <w:b/>
          <w:sz w:val="22"/>
          <w:szCs w:val="22"/>
        </w:rPr>
        <w:t>Requested PBS listing: initiation of treatment for previously treated patients (Chronic genotype 2 or 3 hepatitis C infection)</w:t>
      </w:r>
    </w:p>
    <w:tbl>
      <w:tblPr>
        <w:tblW w:w="8363" w:type="dxa"/>
        <w:tblInd w:w="817" w:type="dxa"/>
        <w:tblLayout w:type="fixed"/>
        <w:tblLook w:val="0000" w:firstRow="0" w:lastRow="0" w:firstColumn="0" w:lastColumn="0" w:noHBand="0" w:noVBand="0"/>
      </w:tblPr>
      <w:tblGrid>
        <w:gridCol w:w="1985"/>
        <w:gridCol w:w="992"/>
        <w:gridCol w:w="850"/>
        <w:gridCol w:w="709"/>
        <w:gridCol w:w="1276"/>
        <w:gridCol w:w="1275"/>
        <w:gridCol w:w="1276"/>
      </w:tblGrid>
      <w:tr w:rsidR="00A1470A" w:rsidRPr="00D928C5" w:rsidTr="00C265DB">
        <w:trPr>
          <w:cantSplit/>
          <w:trHeight w:val="471"/>
        </w:trPr>
        <w:tc>
          <w:tcPr>
            <w:tcW w:w="2977" w:type="dxa"/>
            <w:gridSpan w:val="2"/>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Name, Restriction,</w:t>
            </w:r>
          </w:p>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Manner of administration and form</w:t>
            </w:r>
          </w:p>
        </w:tc>
        <w:tc>
          <w:tcPr>
            <w:tcW w:w="850"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Max.</w:t>
            </w:r>
          </w:p>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Qty</w:t>
            </w:r>
          </w:p>
        </w:tc>
        <w:tc>
          <w:tcPr>
            <w:tcW w:w="709"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№.of</w:t>
            </w:r>
          </w:p>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Rpts</w:t>
            </w:r>
          </w:p>
        </w:tc>
        <w:tc>
          <w:tcPr>
            <w:tcW w:w="1276"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Dispensed Price for Max. Qty</w:t>
            </w:r>
          </w:p>
        </w:tc>
        <w:tc>
          <w:tcPr>
            <w:tcW w:w="2551" w:type="dxa"/>
            <w:gridSpan w:val="2"/>
            <w:tcBorders>
              <w:bottom w:val="single" w:sz="4" w:space="0" w:color="auto"/>
            </w:tcBorders>
          </w:tcPr>
          <w:p w:rsidR="00A1470A" w:rsidRPr="00D928C5" w:rsidRDefault="00A1470A" w:rsidP="00C265DB">
            <w:pPr>
              <w:keepNext/>
              <w:jc w:val="both"/>
              <w:rPr>
                <w:rFonts w:ascii="Arial Narrow" w:hAnsi="Arial Narrow" w:cs="Arial"/>
                <w:b/>
                <w:sz w:val="20"/>
                <w:szCs w:val="20"/>
                <w:lang w:val="fr-FR"/>
              </w:rPr>
            </w:pPr>
            <w:r w:rsidRPr="00D928C5">
              <w:rPr>
                <w:rFonts w:ascii="Arial Narrow" w:hAnsi="Arial Narrow" w:cs="Arial"/>
                <w:b/>
                <w:sz w:val="20"/>
                <w:szCs w:val="20"/>
              </w:rPr>
              <w:t>Proprietary Name and Manufacturer</w:t>
            </w:r>
          </w:p>
        </w:tc>
      </w:tr>
      <w:tr w:rsidR="00A1470A" w:rsidRPr="00D928C5" w:rsidTr="00C265DB">
        <w:trPr>
          <w:cantSplit/>
          <w:trHeight w:val="577"/>
        </w:trPr>
        <w:tc>
          <w:tcPr>
            <w:tcW w:w="2977" w:type="dxa"/>
            <w:gridSpan w:val="2"/>
          </w:tcPr>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mallCaps/>
                <w:sz w:val="20"/>
                <w:szCs w:val="20"/>
              </w:rPr>
              <w:t xml:space="preserve">RIBAVIRIN </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 xml:space="preserve">Tablets 400mg, 28 </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Tablets 600mg, 28</w:t>
            </w:r>
          </w:p>
        </w:tc>
        <w:tc>
          <w:tcPr>
            <w:tcW w:w="850"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tc>
        <w:tc>
          <w:tcPr>
            <w:tcW w:w="709"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tc>
        <w:tc>
          <w:tcPr>
            <w:tcW w:w="1276"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right"/>
              <w:rPr>
                <w:rFonts w:ascii="Arial Narrow" w:hAnsi="Arial Narrow" w:cs="Arial"/>
                <w:sz w:val="20"/>
                <w:szCs w:val="20"/>
              </w:rPr>
            </w:pPr>
            <w:r w:rsidRPr="00D928C5">
              <w:rPr>
                <w:rFonts w:ascii="Arial Narrow" w:hAnsi="Arial Narrow" w:cs="Arial"/>
                <w:sz w:val="20"/>
                <w:szCs w:val="20"/>
              </w:rPr>
              <w:t>$</w:t>
            </w:r>
            <w:r w:rsidR="00F53974">
              <w:rPr>
                <w:rFonts w:ascii="Arial Narrow" w:hAnsi="Arial Narrow" w:cs="Arial"/>
                <w:noProof/>
                <w:color w:val="000000"/>
                <w:sz w:val="20"/>
                <w:szCs w:val="20"/>
                <w:highlight w:val="black"/>
              </w:rPr>
              <w:t>'''''''''''''''''</w:t>
            </w:r>
          </w:p>
          <w:p w:rsidR="00A1470A" w:rsidRPr="00D928C5" w:rsidRDefault="00A1470A" w:rsidP="00C265DB">
            <w:pPr>
              <w:keepNext/>
              <w:ind w:left="-108"/>
              <w:jc w:val="right"/>
              <w:rPr>
                <w:rFonts w:ascii="Arial Narrow" w:hAnsi="Arial Narrow" w:cs="Arial"/>
                <w:sz w:val="20"/>
                <w:szCs w:val="20"/>
              </w:rPr>
            </w:pPr>
            <w:r w:rsidRPr="00D928C5">
              <w:rPr>
                <w:rFonts w:ascii="Arial Narrow" w:hAnsi="Arial Narrow" w:cs="Arial"/>
                <w:sz w:val="20"/>
                <w:szCs w:val="20"/>
              </w:rPr>
              <w:t>$</w:t>
            </w:r>
            <w:r w:rsidR="00F53974">
              <w:rPr>
                <w:rFonts w:ascii="Arial Narrow" w:hAnsi="Arial Narrow" w:cs="Arial"/>
                <w:noProof/>
                <w:color w:val="000000"/>
                <w:sz w:val="20"/>
                <w:szCs w:val="20"/>
                <w:highlight w:val="black"/>
              </w:rPr>
              <w:t>''''''''''''''''</w:t>
            </w:r>
          </w:p>
        </w:tc>
        <w:tc>
          <w:tcPr>
            <w:tcW w:w="1275" w:type="dxa"/>
          </w:tcPr>
          <w:p w:rsidR="00A1470A" w:rsidRPr="00D928C5" w:rsidRDefault="00A1470A" w:rsidP="00C265DB">
            <w:pPr>
              <w:keepNext/>
              <w:jc w:val="both"/>
              <w:rPr>
                <w:rFonts w:ascii="Arial Narrow" w:hAnsi="Arial Narrow" w:cs="Arial"/>
                <w:sz w:val="20"/>
                <w:szCs w:val="20"/>
              </w:rPr>
            </w:pPr>
            <w:r w:rsidRPr="00D928C5">
              <w:rPr>
                <w:rFonts w:ascii="Arial Narrow" w:hAnsi="Arial Narrow" w:cs="Arial"/>
                <w:sz w:val="20"/>
                <w:szCs w:val="20"/>
              </w:rPr>
              <w:t>Ibavyr</w:t>
            </w:r>
            <w:r w:rsidRPr="00D928C5">
              <w:rPr>
                <w:rFonts w:ascii="Arial Narrow" w:hAnsi="Arial Narrow" w:cs="Arial"/>
                <w:sz w:val="20"/>
                <w:szCs w:val="20"/>
                <w:vertAlign w:val="superscript"/>
              </w:rPr>
              <w:t xml:space="preserve">® </w:t>
            </w:r>
          </w:p>
        </w:tc>
        <w:tc>
          <w:tcPr>
            <w:tcW w:w="1276" w:type="dxa"/>
          </w:tcPr>
          <w:p w:rsidR="00A1470A" w:rsidRPr="00D928C5" w:rsidRDefault="00A1470A" w:rsidP="00C265DB">
            <w:pPr>
              <w:keepNext/>
              <w:jc w:val="both"/>
              <w:rPr>
                <w:rFonts w:ascii="Arial Narrow" w:hAnsi="Arial Narrow" w:cs="Arial"/>
                <w:sz w:val="20"/>
                <w:szCs w:val="20"/>
              </w:rPr>
            </w:pPr>
            <w:r w:rsidRPr="00D928C5">
              <w:rPr>
                <w:rFonts w:ascii="Arial Narrow" w:hAnsi="Arial Narrow" w:cs="Arial"/>
                <w:sz w:val="20"/>
                <w:szCs w:val="20"/>
              </w:rPr>
              <w:t>Clinect Pty Ltd</w:t>
            </w:r>
          </w:p>
          <w:p w:rsidR="00A1470A" w:rsidRPr="00D928C5" w:rsidRDefault="00A1470A" w:rsidP="00C265DB">
            <w:pPr>
              <w:keepNext/>
              <w:jc w:val="both"/>
              <w:rPr>
                <w:rFonts w:ascii="Arial Narrow" w:hAnsi="Arial Narrow" w:cs="Arial"/>
                <w:sz w:val="20"/>
                <w:szCs w:val="20"/>
              </w:rPr>
            </w:pPr>
          </w:p>
        </w:tc>
      </w:tr>
      <w:tr w:rsidR="00A1470A" w:rsidRPr="00D928C5" w:rsidTr="00C265DB">
        <w:trPr>
          <w:cantSplit/>
          <w:trHeight w:val="360"/>
        </w:trPr>
        <w:tc>
          <w:tcPr>
            <w:tcW w:w="8363" w:type="dxa"/>
            <w:gridSpan w:val="7"/>
            <w:tcBorders>
              <w:bottom w:val="single" w:sz="4" w:space="0" w:color="auto"/>
            </w:tcBorders>
          </w:tcPr>
          <w:p w:rsidR="00A1470A" w:rsidRPr="00D928C5" w:rsidRDefault="00A1470A" w:rsidP="00C265DB">
            <w:pPr>
              <w:jc w:val="both"/>
              <w:rPr>
                <w:rFonts w:ascii="Arial Narrow" w:hAnsi="Arial Narrow" w:cs="Arial"/>
                <w:sz w:val="20"/>
                <w:szCs w:val="20"/>
              </w:rPr>
            </w:pP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 xml:space="preserve">Category / </w:t>
            </w:r>
          </w:p>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GENERAL – General Schedule (Code GE)</w:t>
            </w:r>
          </w:p>
          <w:p w:rsidR="00A1470A" w:rsidRPr="00D928C5" w:rsidRDefault="00A1470A" w:rsidP="00C265DB">
            <w:pPr>
              <w:rPr>
                <w:rFonts w:ascii="Arial Narrow" w:hAnsi="Arial Narrow" w:cs="Arial"/>
                <w:sz w:val="20"/>
                <w:szCs w:val="20"/>
              </w:rPr>
            </w:pP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672007" w:rsidP="00C265DB">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 xml:space="preserve">Dental  </w:t>
            </w:r>
            <w:r w:rsidRPr="00D928C5">
              <w:rPr>
                <w:rFonts w:ascii="Arial Narrow" w:hAnsi="Arial Narrow" w:cs="Arial"/>
                <w:sz w:val="20"/>
                <w:szCs w:val="20"/>
              </w:rPr>
              <w:fldChar w:fldCharType="begin">
                <w:ffData>
                  <w:name w:val=""/>
                  <w:enabled/>
                  <w:calcOnExit w:val="0"/>
                  <w:checkBox>
                    <w:sizeAuto/>
                    <w:default w:val="1"/>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 xml:space="preserve">Medical Practitioners  </w:t>
            </w:r>
            <w:r w:rsidRPr="00D928C5">
              <w:rPr>
                <w:rFonts w:ascii="Arial Narrow" w:hAnsi="Arial Narrow" w:cs="Arial"/>
                <w:sz w:val="20"/>
                <w:szCs w:val="20"/>
              </w:rPr>
              <w:fldChar w:fldCharType="begin">
                <w:ffData>
                  <w:name w:val="Check3"/>
                  <w:enabled/>
                  <w:calcOnExit w:val="0"/>
                  <w:checkBox>
                    <w:sizeAuto/>
                    <w:default w:val="0"/>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 xml:space="preserve">Nurse practitioners  </w:t>
            </w:r>
            <w:r w:rsidRPr="00D928C5">
              <w:rPr>
                <w:rFonts w:ascii="Arial Narrow" w:hAnsi="Arial Narrow" w:cs="Arial"/>
                <w:sz w:val="20"/>
                <w:szCs w:val="20"/>
              </w:rPr>
              <w:fldChar w:fldCharType="begin">
                <w:ffData>
                  <w:name w:val=""/>
                  <w:enabled/>
                  <w:calcOnExit w:val="0"/>
                  <w:checkBox>
                    <w:sizeAuto/>
                    <w:default w:val="0"/>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Optometrists</w:t>
            </w:r>
          </w:p>
          <w:p w:rsidR="00A1470A" w:rsidRPr="00D928C5" w:rsidRDefault="00672007" w:rsidP="00C265DB">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Midwives</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25512B" w:rsidP="00C265DB">
            <w:pPr>
              <w:rPr>
                <w:rFonts w:ascii="Arial Narrow" w:hAnsi="Arial Narrow" w:cs="Arial"/>
                <w:sz w:val="20"/>
                <w:szCs w:val="20"/>
              </w:rPr>
            </w:pPr>
            <w:r w:rsidRPr="00D928C5">
              <w:rPr>
                <w:rFonts w:ascii="Arial Narrow" w:hAnsi="Arial Narrow" w:cs="Arial"/>
                <w:sz w:val="20"/>
                <w:szCs w:val="20"/>
              </w:rPr>
              <w:sym w:font="Symbol" w:char="F02D"/>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Chronic hepatitis C infection</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1222BA" w:rsidP="00C265DB">
            <w:pPr>
              <w:rPr>
                <w:rFonts w:ascii="Arial Narrow" w:hAnsi="Arial Narrow" w:cs="Arial"/>
                <w:sz w:val="20"/>
                <w:szCs w:val="20"/>
              </w:rPr>
            </w:pPr>
            <w:r w:rsidRPr="00D928C5">
              <w:rPr>
                <w:rFonts w:ascii="Arial Narrow" w:hAnsi="Arial Narrow" w:cs="Arial"/>
                <w:sz w:val="20"/>
                <w:szCs w:val="20"/>
              </w:rPr>
              <w:t>C</w:t>
            </w:r>
            <w:r w:rsidR="00A1470A" w:rsidRPr="00D928C5">
              <w:rPr>
                <w:rFonts w:ascii="Arial Narrow" w:hAnsi="Arial Narrow" w:cs="Arial"/>
                <w:sz w:val="20"/>
                <w:szCs w:val="20"/>
              </w:rPr>
              <w:t xml:space="preserve">hronic hepatitis C infection </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Initial</w:t>
            </w:r>
            <w:r w:rsidR="000A0AE2" w:rsidRPr="00D928C5">
              <w:rPr>
                <w:rFonts w:ascii="Arial Narrow" w:hAnsi="Arial Narrow" w:cs="Arial"/>
                <w:sz w:val="20"/>
                <w:szCs w:val="20"/>
              </w:rPr>
              <w:t xml:space="preserve"> treatment</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Restriction Level / Method:</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0A0AE2" w:rsidRPr="00D928C5" w:rsidRDefault="00672007" w:rsidP="000A0AE2">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0A0AE2" w:rsidRPr="00D928C5">
              <w:rPr>
                <w:rFonts w:ascii="Arial Narrow" w:hAnsi="Arial Narrow" w:cs="Arial"/>
                <w:sz w:val="20"/>
                <w:szCs w:val="20"/>
              </w:rPr>
              <w:t>Restricted benefit</w:t>
            </w:r>
          </w:p>
          <w:p w:rsidR="000A0AE2" w:rsidRPr="00D928C5" w:rsidRDefault="00672007"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0A0AE2" w:rsidRPr="00D928C5">
              <w:rPr>
                <w:rFonts w:ascii="Arial Narrow" w:hAnsi="Arial Narrow" w:cs="Arial"/>
                <w:sz w:val="20"/>
                <w:szCs w:val="20"/>
              </w:rPr>
              <w:t>Authority Required - In Writing</w:t>
            </w:r>
          </w:p>
          <w:p w:rsidR="000A0AE2" w:rsidRPr="00D928C5" w:rsidRDefault="00672007"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0A0AE2" w:rsidRPr="00D928C5">
              <w:rPr>
                <w:rFonts w:ascii="Arial Narrow" w:hAnsi="Arial Narrow" w:cs="Arial"/>
                <w:sz w:val="20"/>
                <w:szCs w:val="20"/>
              </w:rPr>
              <w:t>Authority Required - Telephone</w:t>
            </w:r>
          </w:p>
          <w:p w:rsidR="000A0AE2" w:rsidRPr="00D928C5" w:rsidRDefault="00672007"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0"/>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0A0AE2" w:rsidRPr="00D928C5">
              <w:rPr>
                <w:rFonts w:ascii="Arial Narrow" w:hAnsi="Arial Narrow" w:cs="Arial"/>
                <w:sz w:val="20"/>
                <w:szCs w:val="20"/>
              </w:rPr>
              <w:t>Authority Required – Emergency</w:t>
            </w:r>
          </w:p>
          <w:p w:rsidR="000A0AE2" w:rsidRPr="00D928C5" w:rsidRDefault="00672007" w:rsidP="000A0AE2">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0A0AE2" w:rsidRPr="00D928C5">
              <w:rPr>
                <w:rFonts w:ascii="Arial Narrow" w:hAnsi="Arial Narrow" w:cs="Arial"/>
                <w:sz w:val="20"/>
                <w:szCs w:val="20"/>
              </w:rPr>
              <w:t>Authority Required - Electronic</w:t>
            </w:r>
          </w:p>
          <w:p w:rsidR="00A1470A" w:rsidRPr="00D928C5" w:rsidRDefault="00672007" w:rsidP="00C265DB">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Streamlined</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b/>
                <w:sz w:val="20"/>
                <w:szCs w:val="20"/>
              </w:rPr>
            </w:pPr>
            <w:r w:rsidRPr="00D928C5">
              <w:rPr>
                <w:rFonts w:ascii="Arial Narrow" w:hAnsi="Arial Narrow" w:cs="Arial"/>
                <w:b/>
                <w:sz w:val="20"/>
                <w:szCs w:val="20"/>
              </w:rPr>
              <w:t>Treatment criteria:</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Must be treated in an accredited treatment centre.</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lastRenderedPageBreak/>
              <w:t>Clinical criteria:</w:t>
            </w:r>
          </w:p>
          <w:p w:rsidR="00A1470A" w:rsidRPr="00D928C5" w:rsidRDefault="00A1470A" w:rsidP="00C265D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 xml:space="preserve">Patient must have compensated liver disease. </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The patient must have received prior therapy with an interferon-based regimen.</w:t>
            </w:r>
          </w:p>
          <w:p w:rsidR="00A1470A" w:rsidRPr="00D928C5" w:rsidRDefault="00A1470A" w:rsidP="00A1470A">
            <w:pPr>
              <w:rPr>
                <w:rFonts w:ascii="Arial Narrow" w:hAnsi="Arial Narrow" w:cs="Arial"/>
                <w:sz w:val="20"/>
                <w:szCs w:val="20"/>
              </w:rPr>
            </w:pP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 xml:space="preserve">For patients with HCV genotype 2 infection: </w:t>
            </w:r>
          </w:p>
          <w:p w:rsidR="00A1470A" w:rsidRDefault="00A1470A" w:rsidP="00A1470A">
            <w:pPr>
              <w:rPr>
                <w:rFonts w:ascii="Arial Narrow" w:hAnsi="Arial Narrow" w:cs="Arial"/>
                <w:sz w:val="20"/>
                <w:szCs w:val="20"/>
              </w:rPr>
            </w:pPr>
            <w:r w:rsidRPr="00D928C5">
              <w:rPr>
                <w:rFonts w:ascii="Arial Narrow" w:hAnsi="Arial Narrow" w:cs="Arial"/>
                <w:sz w:val="20"/>
                <w:szCs w:val="20"/>
              </w:rPr>
              <w:tab/>
              <w:t>The treatment must be in co</w:t>
            </w:r>
            <w:r w:rsidR="005E3A94">
              <w:rPr>
                <w:rFonts w:ascii="Arial Narrow" w:hAnsi="Arial Narrow" w:cs="Arial"/>
                <w:sz w:val="20"/>
                <w:szCs w:val="20"/>
              </w:rPr>
              <w:t>mbination with sofosbuvir only,</w:t>
            </w:r>
          </w:p>
          <w:p w:rsidR="005E3A94" w:rsidRPr="00D928C5" w:rsidRDefault="005E3A94" w:rsidP="00A1470A">
            <w:pPr>
              <w:rPr>
                <w:rFonts w:ascii="Arial Narrow" w:hAnsi="Arial Narrow" w:cs="Arial"/>
                <w:sz w:val="20"/>
                <w:szCs w:val="20"/>
              </w:rPr>
            </w:pP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For patients with HCV genotype 3 infection:</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ab/>
              <w:t xml:space="preserve">The treatment must be in combination with sofosbuvir only, </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ab/>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Population criteria:</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Patient must be 18 years or older.</w:t>
            </w:r>
          </w:p>
          <w:p w:rsidR="00A1470A" w:rsidRPr="00D928C5" w:rsidRDefault="00A1470A" w:rsidP="00C265DB">
            <w:pPr>
              <w:rPr>
                <w:rFonts w:ascii="Arial Narrow" w:hAnsi="Arial Narrow" w:cs="Arial"/>
                <w:sz w:val="20"/>
                <w:szCs w:val="20"/>
              </w:rPr>
            </w:pP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Patient must not be pregnant or breastfeeding. Female partners of male patients must not be pregnant. Patients and their partners must each be using an effective form of contraception if of child-bearing age.</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Prescriber Instructions</w:t>
            </w:r>
          </w:p>
          <w:p w:rsidR="00A1470A" w:rsidRPr="00D928C5" w:rsidRDefault="00A1470A" w:rsidP="00C265D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Evidence of chronic hepatitis C infection (repeatedly anti-HCV positive and HCV RNA positive) must be documented in the patient's medical records.</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Administrative Advice</w:t>
            </w:r>
          </w:p>
          <w:p w:rsidR="00A1470A" w:rsidRPr="00D928C5" w:rsidRDefault="00A1470A" w:rsidP="00C265DB">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 xml:space="preserve">Note: </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Increased repeats may be requested from the Department of Human Services for patients weighing equal to or greater than 75 kg</w:t>
            </w:r>
          </w:p>
          <w:p w:rsidR="00A1470A" w:rsidRPr="00D928C5" w:rsidRDefault="00A1470A" w:rsidP="00C265DB">
            <w:pPr>
              <w:rPr>
                <w:rFonts w:ascii="Arial Narrow" w:hAnsi="Arial Narrow" w:cs="Arial"/>
                <w:sz w:val="20"/>
                <w:szCs w:val="20"/>
              </w:rPr>
            </w:pP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Treatment centres are required to have access to the following appropriate specialist facilities for the provision of clinical support services for hepatitis C:</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a)</w:t>
            </w:r>
            <w:r w:rsidRPr="00D928C5">
              <w:rPr>
                <w:rFonts w:ascii="Arial Narrow" w:hAnsi="Arial Narrow" w:cs="Arial"/>
                <w:sz w:val="20"/>
                <w:szCs w:val="20"/>
              </w:rPr>
              <w:tab/>
              <w:t>a nurse educator/counsellor for patients; and</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b)</w:t>
            </w:r>
            <w:r w:rsidRPr="00D928C5">
              <w:rPr>
                <w:rFonts w:ascii="Arial Narrow" w:hAnsi="Arial Narrow" w:cs="Arial"/>
                <w:sz w:val="20"/>
                <w:szCs w:val="20"/>
              </w:rPr>
              <w:tab/>
              <w:t>24-hour access by patients to medical advice; and</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c)</w:t>
            </w:r>
            <w:r w:rsidRPr="00D928C5">
              <w:rPr>
                <w:rFonts w:ascii="Arial Narrow" w:hAnsi="Arial Narrow" w:cs="Arial"/>
                <w:sz w:val="20"/>
                <w:szCs w:val="20"/>
              </w:rPr>
              <w:tab/>
              <w:t>an established liver clinic</w:t>
            </w:r>
          </w:p>
        </w:tc>
      </w:tr>
    </w:tbl>
    <w:p w:rsidR="00A1470A" w:rsidRPr="00D928C5" w:rsidRDefault="00A1470A" w:rsidP="00826F6D">
      <w:pPr>
        <w:pStyle w:val="ListParagraph"/>
        <w:jc w:val="both"/>
        <w:rPr>
          <w:rFonts w:ascii="Arial" w:hAnsi="Arial"/>
          <w:sz w:val="22"/>
          <w:szCs w:val="22"/>
        </w:rPr>
      </w:pPr>
    </w:p>
    <w:p w:rsidR="00A1470A" w:rsidRPr="00D928C5" w:rsidRDefault="00A1470A" w:rsidP="00826F6D">
      <w:pPr>
        <w:pStyle w:val="ListParagraph"/>
        <w:jc w:val="both"/>
        <w:rPr>
          <w:rFonts w:ascii="Arial" w:hAnsi="Arial"/>
          <w:sz w:val="22"/>
          <w:szCs w:val="22"/>
        </w:rPr>
      </w:pPr>
    </w:p>
    <w:p w:rsidR="00A1470A" w:rsidRPr="00D928C5" w:rsidRDefault="00A1470A" w:rsidP="00826F6D">
      <w:pPr>
        <w:pStyle w:val="ListParagraph"/>
        <w:jc w:val="both"/>
        <w:rPr>
          <w:rFonts w:ascii="Arial" w:hAnsi="Arial"/>
          <w:b/>
          <w:sz w:val="22"/>
          <w:szCs w:val="22"/>
        </w:rPr>
      </w:pPr>
      <w:r w:rsidRPr="00D928C5">
        <w:rPr>
          <w:rFonts w:ascii="Arial" w:hAnsi="Arial"/>
          <w:b/>
          <w:sz w:val="22"/>
          <w:szCs w:val="22"/>
        </w:rPr>
        <w:t>Requested PBS listing: continuation of treatment (Chronic genotype 3 hepatitis C infection, patients electing 24 week regimen)</w:t>
      </w:r>
    </w:p>
    <w:tbl>
      <w:tblPr>
        <w:tblW w:w="8363" w:type="dxa"/>
        <w:tblInd w:w="817" w:type="dxa"/>
        <w:tblLayout w:type="fixed"/>
        <w:tblLook w:val="0000" w:firstRow="0" w:lastRow="0" w:firstColumn="0" w:lastColumn="0" w:noHBand="0" w:noVBand="0"/>
      </w:tblPr>
      <w:tblGrid>
        <w:gridCol w:w="1985"/>
        <w:gridCol w:w="992"/>
        <w:gridCol w:w="850"/>
        <w:gridCol w:w="709"/>
        <w:gridCol w:w="1276"/>
        <w:gridCol w:w="1275"/>
        <w:gridCol w:w="1276"/>
      </w:tblGrid>
      <w:tr w:rsidR="00A1470A" w:rsidRPr="00D928C5" w:rsidTr="00C265DB">
        <w:trPr>
          <w:cantSplit/>
          <w:trHeight w:val="471"/>
        </w:trPr>
        <w:tc>
          <w:tcPr>
            <w:tcW w:w="2977" w:type="dxa"/>
            <w:gridSpan w:val="2"/>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Name, Restriction,</w:t>
            </w:r>
          </w:p>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Manner of administration and form</w:t>
            </w:r>
          </w:p>
        </w:tc>
        <w:tc>
          <w:tcPr>
            <w:tcW w:w="850"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Max.</w:t>
            </w:r>
          </w:p>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Qty</w:t>
            </w:r>
          </w:p>
        </w:tc>
        <w:tc>
          <w:tcPr>
            <w:tcW w:w="709"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№.of</w:t>
            </w:r>
          </w:p>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Rpts</w:t>
            </w:r>
          </w:p>
        </w:tc>
        <w:tc>
          <w:tcPr>
            <w:tcW w:w="1276"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Dispensed Price for Max. Qty</w:t>
            </w:r>
          </w:p>
        </w:tc>
        <w:tc>
          <w:tcPr>
            <w:tcW w:w="2551" w:type="dxa"/>
            <w:gridSpan w:val="2"/>
            <w:tcBorders>
              <w:bottom w:val="single" w:sz="4" w:space="0" w:color="auto"/>
            </w:tcBorders>
          </w:tcPr>
          <w:p w:rsidR="00A1470A" w:rsidRPr="00D928C5" w:rsidRDefault="00A1470A" w:rsidP="00C265DB">
            <w:pPr>
              <w:keepNext/>
              <w:jc w:val="both"/>
              <w:rPr>
                <w:rFonts w:ascii="Arial Narrow" w:hAnsi="Arial Narrow" w:cs="Arial"/>
                <w:b/>
                <w:sz w:val="20"/>
                <w:szCs w:val="20"/>
                <w:lang w:val="fr-FR"/>
              </w:rPr>
            </w:pPr>
            <w:r w:rsidRPr="00D928C5">
              <w:rPr>
                <w:rFonts w:ascii="Arial Narrow" w:hAnsi="Arial Narrow" w:cs="Arial"/>
                <w:b/>
                <w:sz w:val="20"/>
                <w:szCs w:val="20"/>
              </w:rPr>
              <w:t>Proprietary Name and Manufacturer</w:t>
            </w:r>
          </w:p>
        </w:tc>
      </w:tr>
      <w:tr w:rsidR="00A1470A" w:rsidRPr="00D928C5" w:rsidTr="00C265DB">
        <w:trPr>
          <w:cantSplit/>
          <w:trHeight w:val="577"/>
        </w:trPr>
        <w:tc>
          <w:tcPr>
            <w:tcW w:w="2977" w:type="dxa"/>
            <w:gridSpan w:val="2"/>
          </w:tcPr>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mallCaps/>
                <w:sz w:val="20"/>
                <w:szCs w:val="20"/>
              </w:rPr>
              <w:t xml:space="preserve">RIBAVIRIN </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 xml:space="preserve">Tablets 400mg, 28 </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Tablets 600mg, 28</w:t>
            </w:r>
          </w:p>
        </w:tc>
        <w:tc>
          <w:tcPr>
            <w:tcW w:w="850"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tc>
        <w:tc>
          <w:tcPr>
            <w:tcW w:w="709"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tc>
        <w:tc>
          <w:tcPr>
            <w:tcW w:w="1276"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right"/>
              <w:rPr>
                <w:rFonts w:ascii="Arial Narrow" w:hAnsi="Arial Narrow" w:cs="Arial"/>
                <w:sz w:val="20"/>
                <w:szCs w:val="20"/>
              </w:rPr>
            </w:pPr>
            <w:r w:rsidRPr="00D928C5">
              <w:rPr>
                <w:rFonts w:ascii="Arial Narrow" w:hAnsi="Arial Narrow" w:cs="Arial"/>
                <w:sz w:val="20"/>
                <w:szCs w:val="20"/>
              </w:rPr>
              <w:t>$</w:t>
            </w:r>
            <w:r w:rsidR="00F53974">
              <w:rPr>
                <w:rFonts w:ascii="Arial Narrow" w:hAnsi="Arial Narrow" w:cs="Arial"/>
                <w:noProof/>
                <w:color w:val="000000"/>
                <w:sz w:val="20"/>
                <w:szCs w:val="20"/>
                <w:highlight w:val="black"/>
              </w:rPr>
              <w:t>'''''''''''''''''</w:t>
            </w:r>
          </w:p>
          <w:p w:rsidR="00A1470A" w:rsidRPr="00D928C5" w:rsidRDefault="00A1470A" w:rsidP="00C265DB">
            <w:pPr>
              <w:keepNext/>
              <w:ind w:left="-108"/>
              <w:jc w:val="right"/>
              <w:rPr>
                <w:rFonts w:ascii="Arial Narrow" w:hAnsi="Arial Narrow" w:cs="Arial"/>
                <w:sz w:val="20"/>
                <w:szCs w:val="20"/>
              </w:rPr>
            </w:pPr>
            <w:r w:rsidRPr="00D928C5">
              <w:rPr>
                <w:rFonts w:ascii="Arial Narrow" w:hAnsi="Arial Narrow" w:cs="Arial"/>
                <w:sz w:val="20"/>
                <w:szCs w:val="20"/>
              </w:rPr>
              <w:t>$</w:t>
            </w:r>
            <w:r w:rsidR="00F53974">
              <w:rPr>
                <w:rFonts w:ascii="Arial Narrow" w:hAnsi="Arial Narrow" w:cs="Arial"/>
                <w:noProof/>
                <w:color w:val="000000"/>
                <w:sz w:val="20"/>
                <w:szCs w:val="20"/>
                <w:highlight w:val="black"/>
              </w:rPr>
              <w:t>''''''''''''''''</w:t>
            </w:r>
          </w:p>
        </w:tc>
        <w:tc>
          <w:tcPr>
            <w:tcW w:w="1275" w:type="dxa"/>
          </w:tcPr>
          <w:p w:rsidR="00A1470A" w:rsidRPr="00D928C5" w:rsidRDefault="00A1470A" w:rsidP="00C265DB">
            <w:pPr>
              <w:keepNext/>
              <w:jc w:val="both"/>
              <w:rPr>
                <w:rFonts w:ascii="Arial Narrow" w:hAnsi="Arial Narrow" w:cs="Arial"/>
                <w:sz w:val="20"/>
                <w:szCs w:val="20"/>
              </w:rPr>
            </w:pPr>
            <w:r w:rsidRPr="00D928C5">
              <w:rPr>
                <w:rFonts w:ascii="Arial Narrow" w:hAnsi="Arial Narrow" w:cs="Arial"/>
                <w:sz w:val="20"/>
                <w:szCs w:val="20"/>
              </w:rPr>
              <w:t>Ibavyr</w:t>
            </w:r>
            <w:r w:rsidRPr="00D928C5">
              <w:rPr>
                <w:rFonts w:ascii="Arial Narrow" w:hAnsi="Arial Narrow" w:cs="Arial"/>
                <w:sz w:val="20"/>
                <w:szCs w:val="20"/>
                <w:vertAlign w:val="superscript"/>
              </w:rPr>
              <w:t xml:space="preserve">® </w:t>
            </w:r>
          </w:p>
        </w:tc>
        <w:tc>
          <w:tcPr>
            <w:tcW w:w="1276" w:type="dxa"/>
          </w:tcPr>
          <w:p w:rsidR="00A1470A" w:rsidRPr="00D928C5" w:rsidRDefault="00A1470A" w:rsidP="00C265DB">
            <w:pPr>
              <w:keepNext/>
              <w:jc w:val="both"/>
              <w:rPr>
                <w:rFonts w:ascii="Arial Narrow" w:hAnsi="Arial Narrow" w:cs="Arial"/>
                <w:sz w:val="20"/>
                <w:szCs w:val="20"/>
              </w:rPr>
            </w:pPr>
            <w:r w:rsidRPr="00D928C5">
              <w:rPr>
                <w:rFonts w:ascii="Arial Narrow" w:hAnsi="Arial Narrow" w:cs="Arial"/>
                <w:sz w:val="20"/>
                <w:szCs w:val="20"/>
              </w:rPr>
              <w:t>Clinect Pty Ltd</w:t>
            </w:r>
          </w:p>
          <w:p w:rsidR="00A1470A" w:rsidRPr="00D928C5" w:rsidRDefault="00A1470A" w:rsidP="00C265DB">
            <w:pPr>
              <w:keepNext/>
              <w:jc w:val="both"/>
              <w:rPr>
                <w:rFonts w:ascii="Arial Narrow" w:hAnsi="Arial Narrow" w:cs="Arial"/>
                <w:sz w:val="20"/>
                <w:szCs w:val="20"/>
              </w:rPr>
            </w:pPr>
          </w:p>
        </w:tc>
      </w:tr>
      <w:tr w:rsidR="00A1470A" w:rsidRPr="00D928C5" w:rsidTr="00C265DB">
        <w:trPr>
          <w:cantSplit/>
          <w:trHeight w:val="360"/>
        </w:trPr>
        <w:tc>
          <w:tcPr>
            <w:tcW w:w="8363" w:type="dxa"/>
            <w:gridSpan w:val="7"/>
            <w:tcBorders>
              <w:bottom w:val="single" w:sz="4" w:space="0" w:color="auto"/>
            </w:tcBorders>
          </w:tcPr>
          <w:p w:rsidR="00A1470A" w:rsidRPr="00D928C5" w:rsidRDefault="00A1470A" w:rsidP="00C265DB">
            <w:pPr>
              <w:jc w:val="both"/>
              <w:rPr>
                <w:rFonts w:ascii="Arial Narrow" w:hAnsi="Arial Narrow" w:cs="Arial"/>
                <w:sz w:val="20"/>
                <w:szCs w:val="20"/>
              </w:rPr>
            </w:pP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 xml:space="preserve">Category / </w:t>
            </w:r>
          </w:p>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GENERAL – General Schedule (Code GE)</w:t>
            </w:r>
          </w:p>
          <w:p w:rsidR="00A1470A" w:rsidRPr="00D928C5" w:rsidRDefault="00A1470A" w:rsidP="00C265DB">
            <w:pPr>
              <w:rPr>
                <w:rFonts w:ascii="Arial Narrow" w:hAnsi="Arial Narrow" w:cs="Arial"/>
                <w:sz w:val="20"/>
                <w:szCs w:val="20"/>
              </w:rPr>
            </w:pP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672007" w:rsidP="00C265DB">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 xml:space="preserve">Dental  </w:t>
            </w:r>
            <w:r w:rsidRPr="00D928C5">
              <w:rPr>
                <w:rFonts w:ascii="Arial Narrow" w:hAnsi="Arial Narrow" w:cs="Arial"/>
                <w:sz w:val="20"/>
                <w:szCs w:val="20"/>
              </w:rPr>
              <w:fldChar w:fldCharType="begin">
                <w:ffData>
                  <w:name w:val=""/>
                  <w:enabled/>
                  <w:calcOnExit w:val="0"/>
                  <w:checkBox>
                    <w:sizeAuto/>
                    <w:default w:val="1"/>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 xml:space="preserve">Medical Practitioners  </w:t>
            </w:r>
            <w:r w:rsidRPr="00D928C5">
              <w:rPr>
                <w:rFonts w:ascii="Arial Narrow" w:hAnsi="Arial Narrow" w:cs="Arial"/>
                <w:sz w:val="20"/>
                <w:szCs w:val="20"/>
              </w:rPr>
              <w:fldChar w:fldCharType="begin">
                <w:ffData>
                  <w:name w:val="Check3"/>
                  <w:enabled/>
                  <w:calcOnExit w:val="0"/>
                  <w:checkBox>
                    <w:sizeAuto/>
                    <w:default w:val="0"/>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 xml:space="preserve">Nurse practitioners  </w:t>
            </w:r>
            <w:r w:rsidRPr="00D928C5">
              <w:rPr>
                <w:rFonts w:ascii="Arial Narrow" w:hAnsi="Arial Narrow" w:cs="Arial"/>
                <w:sz w:val="20"/>
                <w:szCs w:val="20"/>
              </w:rPr>
              <w:fldChar w:fldCharType="begin">
                <w:ffData>
                  <w:name w:val=""/>
                  <w:enabled/>
                  <w:calcOnExit w:val="0"/>
                  <w:checkBox>
                    <w:sizeAuto/>
                    <w:default w:val="0"/>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Optometrists</w:t>
            </w:r>
          </w:p>
          <w:p w:rsidR="00A1470A" w:rsidRPr="00D928C5" w:rsidRDefault="00672007" w:rsidP="00C265DB">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Midwives</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25512B" w:rsidP="0025512B">
            <w:pPr>
              <w:rPr>
                <w:rFonts w:ascii="Arial Narrow" w:hAnsi="Arial Narrow" w:cs="Arial"/>
                <w:sz w:val="20"/>
                <w:szCs w:val="20"/>
              </w:rPr>
            </w:pPr>
            <w:r w:rsidRPr="00D928C5">
              <w:rPr>
                <w:rFonts w:ascii="Arial Narrow" w:hAnsi="Arial Narrow" w:cs="Arial"/>
                <w:sz w:val="20"/>
                <w:szCs w:val="20"/>
              </w:rPr>
              <w:sym w:font="Symbol" w:char="F02D"/>
            </w:r>
            <w:r w:rsidRPr="00D928C5">
              <w:rPr>
                <w:rFonts w:ascii="Arial Narrow" w:hAnsi="Arial Narrow" w:cs="Arial"/>
                <w:sz w:val="20"/>
                <w:szCs w:val="20"/>
              </w:rPr>
              <w:t xml:space="preserve"> </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Chronic hepatitis C infection</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1222BA" w:rsidP="00C265DB">
            <w:pPr>
              <w:rPr>
                <w:rFonts w:ascii="Arial Narrow" w:hAnsi="Arial Narrow" w:cs="Arial"/>
                <w:sz w:val="20"/>
                <w:szCs w:val="20"/>
              </w:rPr>
            </w:pPr>
            <w:r w:rsidRPr="00D928C5">
              <w:rPr>
                <w:rFonts w:ascii="Arial Narrow" w:hAnsi="Arial Narrow" w:cs="Arial"/>
                <w:sz w:val="20"/>
                <w:szCs w:val="20"/>
              </w:rPr>
              <w:t>C</w:t>
            </w:r>
            <w:r w:rsidR="00A1470A" w:rsidRPr="00D928C5">
              <w:rPr>
                <w:rFonts w:ascii="Arial Narrow" w:hAnsi="Arial Narrow" w:cs="Arial"/>
                <w:sz w:val="20"/>
                <w:szCs w:val="20"/>
              </w:rPr>
              <w:t xml:space="preserve">hronic hepatitis C infection </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7C44D6" w:rsidP="00C265DB">
            <w:pPr>
              <w:rPr>
                <w:rFonts w:ascii="Arial Narrow" w:hAnsi="Arial Narrow" w:cs="Arial"/>
                <w:sz w:val="20"/>
                <w:szCs w:val="20"/>
              </w:rPr>
            </w:pPr>
            <w:r w:rsidRPr="00D928C5">
              <w:rPr>
                <w:rFonts w:ascii="Arial Narrow" w:hAnsi="Arial Narrow" w:cs="Arial"/>
                <w:sz w:val="20"/>
                <w:szCs w:val="20"/>
              </w:rPr>
              <w:t>Continuing</w:t>
            </w:r>
            <w:r w:rsidR="000A0AE2" w:rsidRPr="00D928C5">
              <w:rPr>
                <w:rFonts w:ascii="Arial Narrow" w:hAnsi="Arial Narrow" w:cs="Arial"/>
                <w:sz w:val="20"/>
                <w:szCs w:val="20"/>
              </w:rPr>
              <w:t xml:space="preserve"> treatment</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Restriction Level / Method:</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0A0AE2" w:rsidRPr="00D928C5" w:rsidRDefault="00672007" w:rsidP="000A0AE2">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0A0AE2" w:rsidRPr="00D928C5">
              <w:rPr>
                <w:rFonts w:ascii="Arial Narrow" w:hAnsi="Arial Narrow" w:cs="Arial"/>
                <w:sz w:val="20"/>
                <w:szCs w:val="20"/>
              </w:rPr>
              <w:t>Restricted benefit</w:t>
            </w:r>
          </w:p>
          <w:p w:rsidR="000A0AE2" w:rsidRPr="00D928C5" w:rsidRDefault="00672007"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0A0AE2" w:rsidRPr="00D928C5">
              <w:rPr>
                <w:rFonts w:ascii="Arial Narrow" w:hAnsi="Arial Narrow" w:cs="Arial"/>
                <w:sz w:val="20"/>
                <w:szCs w:val="20"/>
              </w:rPr>
              <w:t>Authority Required - In Writing</w:t>
            </w:r>
          </w:p>
          <w:p w:rsidR="000A0AE2" w:rsidRPr="00D928C5" w:rsidRDefault="00672007"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0A0AE2" w:rsidRPr="00D928C5">
              <w:rPr>
                <w:rFonts w:ascii="Arial Narrow" w:hAnsi="Arial Narrow" w:cs="Arial"/>
                <w:sz w:val="20"/>
                <w:szCs w:val="20"/>
              </w:rPr>
              <w:t>Authority Required - Telephone</w:t>
            </w:r>
          </w:p>
          <w:p w:rsidR="000A0AE2" w:rsidRPr="00D928C5" w:rsidRDefault="00672007"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0"/>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0A0AE2" w:rsidRPr="00D928C5">
              <w:rPr>
                <w:rFonts w:ascii="Arial Narrow" w:hAnsi="Arial Narrow" w:cs="Arial"/>
                <w:sz w:val="20"/>
                <w:szCs w:val="20"/>
              </w:rPr>
              <w:t>Authority Required – Emergency</w:t>
            </w:r>
          </w:p>
          <w:p w:rsidR="000A0AE2" w:rsidRPr="00D928C5" w:rsidRDefault="00672007" w:rsidP="000A0AE2">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000A0AE2"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0A0AE2" w:rsidRPr="00D928C5">
              <w:rPr>
                <w:rFonts w:ascii="Arial Narrow" w:hAnsi="Arial Narrow" w:cs="Arial"/>
                <w:sz w:val="20"/>
                <w:szCs w:val="20"/>
              </w:rPr>
              <w:t>Authority Required - Electronic</w:t>
            </w:r>
          </w:p>
          <w:p w:rsidR="00A1470A" w:rsidRPr="00D928C5" w:rsidRDefault="00672007" w:rsidP="00C265DB">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00A1470A" w:rsidRPr="00D928C5">
              <w:rPr>
                <w:rFonts w:ascii="Arial Narrow" w:hAnsi="Arial Narrow" w:cs="Arial"/>
                <w:sz w:val="20"/>
                <w:szCs w:val="20"/>
              </w:rPr>
              <w:instrText xml:space="preserve"> FORMCHECKBOX </w:instrText>
            </w:r>
            <w:r w:rsidR="007B2C99">
              <w:rPr>
                <w:rFonts w:ascii="Arial Narrow" w:hAnsi="Arial Narrow" w:cs="Arial"/>
                <w:sz w:val="20"/>
                <w:szCs w:val="20"/>
              </w:rPr>
            </w:r>
            <w:r w:rsidR="007B2C99">
              <w:rPr>
                <w:rFonts w:ascii="Arial Narrow" w:hAnsi="Arial Narrow" w:cs="Arial"/>
                <w:sz w:val="20"/>
                <w:szCs w:val="20"/>
              </w:rPr>
              <w:fldChar w:fldCharType="separate"/>
            </w:r>
            <w:r w:rsidRPr="00D928C5">
              <w:rPr>
                <w:rFonts w:ascii="Arial Narrow" w:hAnsi="Arial Narrow" w:cs="Arial"/>
                <w:sz w:val="20"/>
                <w:szCs w:val="20"/>
              </w:rPr>
              <w:fldChar w:fldCharType="end"/>
            </w:r>
            <w:r w:rsidR="00A1470A" w:rsidRPr="00D928C5">
              <w:rPr>
                <w:rFonts w:ascii="Arial Narrow" w:hAnsi="Arial Narrow" w:cs="Arial"/>
                <w:sz w:val="20"/>
                <w:szCs w:val="20"/>
              </w:rPr>
              <w:t>Streamlined</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b/>
                <w:sz w:val="20"/>
                <w:szCs w:val="20"/>
              </w:rPr>
            </w:pPr>
            <w:r w:rsidRPr="00D928C5">
              <w:rPr>
                <w:rFonts w:ascii="Arial Narrow" w:hAnsi="Arial Narrow" w:cs="Arial"/>
                <w:b/>
                <w:sz w:val="20"/>
                <w:szCs w:val="20"/>
              </w:rPr>
              <w:lastRenderedPageBreak/>
              <w:t>Treatment criteria:</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Must be treated in an accredited treatment centre.</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Clinical criteria:</w:t>
            </w:r>
          </w:p>
          <w:p w:rsidR="00A1470A" w:rsidRPr="00D928C5" w:rsidRDefault="00A1470A" w:rsidP="00C265D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7C44D6" w:rsidRPr="00D928C5" w:rsidRDefault="007C44D6" w:rsidP="007C44D6">
            <w:pPr>
              <w:rPr>
                <w:rFonts w:ascii="Arial Narrow" w:hAnsi="Arial Narrow" w:cs="Arial"/>
                <w:sz w:val="20"/>
                <w:szCs w:val="20"/>
              </w:rPr>
            </w:pPr>
            <w:r w:rsidRPr="00D928C5">
              <w:rPr>
                <w:rFonts w:ascii="Arial Narrow" w:hAnsi="Arial Narrow" w:cs="Arial"/>
                <w:sz w:val="20"/>
                <w:szCs w:val="20"/>
              </w:rPr>
              <w:t>Patient must have initiated ribavirin treatment under PBS Item number [TBC for initiation listing] for the first 12 weeks of the same course of treatment,</w:t>
            </w:r>
          </w:p>
          <w:p w:rsidR="007C44D6" w:rsidRPr="00D928C5" w:rsidRDefault="007C44D6" w:rsidP="007C44D6">
            <w:pPr>
              <w:rPr>
                <w:rFonts w:ascii="Arial Narrow" w:hAnsi="Arial Narrow" w:cs="Arial"/>
                <w:sz w:val="20"/>
                <w:szCs w:val="20"/>
              </w:rPr>
            </w:pPr>
          </w:p>
          <w:p w:rsidR="00A1470A" w:rsidRPr="00D928C5" w:rsidRDefault="007C44D6" w:rsidP="007C44D6">
            <w:pPr>
              <w:rPr>
                <w:rFonts w:ascii="Arial Narrow" w:hAnsi="Arial Narrow" w:cs="Arial"/>
                <w:sz w:val="20"/>
                <w:szCs w:val="20"/>
              </w:rPr>
            </w:pPr>
            <w:r w:rsidRPr="00D928C5">
              <w:rPr>
                <w:rFonts w:ascii="Arial Narrow" w:hAnsi="Arial Narrow" w:cs="Arial"/>
                <w:sz w:val="20"/>
                <w:szCs w:val="20"/>
              </w:rPr>
              <w:t>The treatment must be in combination with sofosbuvir only.</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Population criteria:</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Patient must be 18 years or older.</w:t>
            </w:r>
          </w:p>
          <w:p w:rsidR="00A1470A" w:rsidRPr="00D928C5" w:rsidRDefault="00A1470A" w:rsidP="00C265DB">
            <w:pPr>
              <w:rPr>
                <w:rFonts w:ascii="Arial Narrow" w:hAnsi="Arial Narrow" w:cs="Arial"/>
                <w:sz w:val="20"/>
                <w:szCs w:val="20"/>
              </w:rPr>
            </w:pP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Patient must not be pregnant or breastfeeding. Female partners of male patients must not be pregnant. Patients and their partners must each be using an effective form of contraception if of child-bearing age.</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Prescriber Instructions</w:t>
            </w:r>
          </w:p>
          <w:p w:rsidR="00A1470A" w:rsidRPr="00D928C5" w:rsidRDefault="00A1470A" w:rsidP="00C265D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Evidence of chronic hepatitis C infection (repeatedly anti-HCV positive and HCV RNA positive) must be documented in the patient's medical records.</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Administrative Advice</w:t>
            </w:r>
          </w:p>
          <w:p w:rsidR="00A1470A" w:rsidRPr="00D928C5" w:rsidRDefault="00A1470A" w:rsidP="00C265DB">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 xml:space="preserve">Note: </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Increased repeats may be requested from the Department of Human Services for patients weighing equal to or greater than 75 kg</w:t>
            </w:r>
          </w:p>
          <w:p w:rsidR="00A1470A" w:rsidRPr="00D928C5" w:rsidRDefault="00A1470A" w:rsidP="00C265DB">
            <w:pPr>
              <w:rPr>
                <w:rFonts w:ascii="Arial Narrow" w:hAnsi="Arial Narrow" w:cs="Arial"/>
                <w:sz w:val="20"/>
                <w:szCs w:val="20"/>
              </w:rPr>
            </w:pP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Treatment centres are required to have access to the following appropriate specialist facilities for the provision of clinical support services for hepatitis C:</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a)</w:t>
            </w:r>
            <w:r w:rsidRPr="00D928C5">
              <w:rPr>
                <w:rFonts w:ascii="Arial Narrow" w:hAnsi="Arial Narrow" w:cs="Arial"/>
                <w:sz w:val="20"/>
                <w:szCs w:val="20"/>
              </w:rPr>
              <w:tab/>
              <w:t>a nurse educator/counsellor for patients; and</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b)</w:t>
            </w:r>
            <w:r w:rsidRPr="00D928C5">
              <w:rPr>
                <w:rFonts w:ascii="Arial Narrow" w:hAnsi="Arial Narrow" w:cs="Arial"/>
                <w:sz w:val="20"/>
                <w:szCs w:val="20"/>
              </w:rPr>
              <w:tab/>
              <w:t>24-hour access by patients to medical advice; and</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c)</w:t>
            </w:r>
            <w:r w:rsidRPr="00D928C5">
              <w:rPr>
                <w:rFonts w:ascii="Arial Narrow" w:hAnsi="Arial Narrow" w:cs="Arial"/>
                <w:sz w:val="20"/>
                <w:szCs w:val="20"/>
              </w:rPr>
              <w:tab/>
              <w:t>an established liver clinic</w:t>
            </w:r>
          </w:p>
        </w:tc>
      </w:tr>
    </w:tbl>
    <w:p w:rsidR="00A1470A" w:rsidRPr="00D928C5" w:rsidRDefault="00A1470A" w:rsidP="00826F6D">
      <w:pPr>
        <w:pStyle w:val="ListParagraph"/>
        <w:jc w:val="both"/>
        <w:rPr>
          <w:rFonts w:ascii="Arial" w:hAnsi="Arial"/>
          <w:sz w:val="22"/>
          <w:szCs w:val="22"/>
        </w:rPr>
      </w:pPr>
    </w:p>
    <w:p w:rsidR="007C44D6" w:rsidRPr="00606F12" w:rsidRDefault="007C44D6" w:rsidP="00B1320F">
      <w:pPr>
        <w:pStyle w:val="ListParagraph"/>
        <w:numPr>
          <w:ilvl w:val="1"/>
          <w:numId w:val="2"/>
        </w:numPr>
        <w:jc w:val="both"/>
        <w:rPr>
          <w:rFonts w:ascii="Arial" w:hAnsi="Arial"/>
          <w:sz w:val="22"/>
          <w:szCs w:val="22"/>
        </w:rPr>
      </w:pPr>
      <w:r w:rsidRPr="00606F12">
        <w:rPr>
          <w:rFonts w:ascii="Arial" w:hAnsi="Arial"/>
          <w:sz w:val="22"/>
          <w:szCs w:val="22"/>
        </w:rPr>
        <w:t xml:space="preserve">The minor </w:t>
      </w:r>
      <w:r w:rsidR="00133C8E" w:rsidRPr="00606F12">
        <w:rPr>
          <w:rFonts w:ascii="Arial" w:hAnsi="Arial"/>
          <w:sz w:val="22"/>
          <w:szCs w:val="22"/>
        </w:rPr>
        <w:t>re-</w:t>
      </w:r>
      <w:r w:rsidRPr="00606F12">
        <w:rPr>
          <w:rFonts w:ascii="Arial" w:hAnsi="Arial"/>
          <w:sz w:val="22"/>
          <w:szCs w:val="22"/>
        </w:rPr>
        <w:t>submission</w:t>
      </w:r>
      <w:r w:rsidR="00133C8E" w:rsidRPr="00606F12">
        <w:rPr>
          <w:rFonts w:ascii="Arial" w:hAnsi="Arial"/>
          <w:sz w:val="22"/>
          <w:szCs w:val="22"/>
        </w:rPr>
        <w:t xml:space="preserve"> revised the requested listings for ribavirin to </w:t>
      </w:r>
      <w:r w:rsidR="00306C09" w:rsidRPr="00606F12">
        <w:rPr>
          <w:rFonts w:ascii="Arial" w:hAnsi="Arial"/>
          <w:sz w:val="22"/>
          <w:szCs w:val="22"/>
        </w:rPr>
        <w:t xml:space="preserve">Section </w:t>
      </w:r>
      <w:r w:rsidR="006F1CEB" w:rsidRPr="00606F12">
        <w:rPr>
          <w:rFonts w:ascii="Arial" w:hAnsi="Arial"/>
          <w:sz w:val="22"/>
          <w:szCs w:val="22"/>
        </w:rPr>
        <w:t xml:space="preserve">85 </w:t>
      </w:r>
      <w:r w:rsidR="00133C8E" w:rsidRPr="00606F12">
        <w:rPr>
          <w:rFonts w:ascii="Arial" w:hAnsi="Arial"/>
          <w:sz w:val="22"/>
          <w:szCs w:val="22"/>
        </w:rPr>
        <w:t xml:space="preserve">(General schedule) </w:t>
      </w:r>
      <w:r w:rsidR="006F1CEB" w:rsidRPr="00606F12">
        <w:rPr>
          <w:rFonts w:ascii="Arial" w:hAnsi="Arial"/>
          <w:sz w:val="22"/>
          <w:szCs w:val="22"/>
        </w:rPr>
        <w:t>listing</w:t>
      </w:r>
      <w:r w:rsidR="00133C8E" w:rsidRPr="00606F12">
        <w:rPr>
          <w:rFonts w:ascii="Arial" w:hAnsi="Arial"/>
          <w:sz w:val="22"/>
          <w:szCs w:val="22"/>
        </w:rPr>
        <w:t>s</w:t>
      </w:r>
      <w:r w:rsidR="00306C09" w:rsidRPr="00606F12">
        <w:rPr>
          <w:rFonts w:ascii="Arial" w:hAnsi="Arial"/>
          <w:sz w:val="22"/>
          <w:szCs w:val="22"/>
        </w:rPr>
        <w:t xml:space="preserve"> </w:t>
      </w:r>
      <w:r w:rsidR="006F1CEB" w:rsidRPr="00606F12">
        <w:rPr>
          <w:rFonts w:ascii="Arial" w:hAnsi="Arial"/>
          <w:sz w:val="22"/>
          <w:szCs w:val="22"/>
        </w:rPr>
        <w:t>as per PBAC advice that “it was appropriate that the new all oral treatment regimens be listed in the General Schedule, to facilitate the longer term objectives for access to treatment, increase treatment rates and outcomes with a view to treat all patients with CHC over time” (</w:t>
      </w:r>
      <w:r w:rsidR="00BB0AC4" w:rsidRPr="00606F12">
        <w:rPr>
          <w:rFonts w:ascii="Arial" w:hAnsi="Arial"/>
          <w:sz w:val="22"/>
          <w:szCs w:val="22"/>
        </w:rPr>
        <w:t xml:space="preserve">Paragraph </w:t>
      </w:r>
      <w:r w:rsidR="00E3385B" w:rsidRPr="00606F12">
        <w:rPr>
          <w:rFonts w:ascii="Arial" w:hAnsi="Arial"/>
          <w:sz w:val="22"/>
          <w:szCs w:val="22"/>
        </w:rPr>
        <w:t>2.3</w:t>
      </w:r>
      <w:r w:rsidR="006F1CEB" w:rsidRPr="00606F12">
        <w:rPr>
          <w:rFonts w:ascii="Arial" w:hAnsi="Arial"/>
          <w:sz w:val="22"/>
          <w:szCs w:val="22"/>
        </w:rPr>
        <w:t>, Item 5.21 Ribavirin, Ratified Minutes, March 2015 PBAC meeting)</w:t>
      </w:r>
      <w:r w:rsidR="00133C8E" w:rsidRPr="00606F12">
        <w:rPr>
          <w:rFonts w:ascii="Arial" w:hAnsi="Arial"/>
          <w:sz w:val="22"/>
          <w:szCs w:val="22"/>
        </w:rPr>
        <w:t xml:space="preserve">. In addition, the re-submission </w:t>
      </w:r>
      <w:r w:rsidR="006F1CEB" w:rsidRPr="00606F12">
        <w:rPr>
          <w:rFonts w:ascii="Arial" w:hAnsi="Arial"/>
          <w:sz w:val="22"/>
          <w:szCs w:val="22"/>
        </w:rPr>
        <w:t>propose</w:t>
      </w:r>
      <w:r w:rsidR="00BB0AC4" w:rsidRPr="00606F12">
        <w:rPr>
          <w:rFonts w:ascii="Arial" w:hAnsi="Arial"/>
          <w:sz w:val="22"/>
          <w:szCs w:val="22"/>
        </w:rPr>
        <w:t>d</w:t>
      </w:r>
      <w:r w:rsidR="006F1CEB" w:rsidRPr="00606F12">
        <w:rPr>
          <w:rFonts w:ascii="Arial" w:hAnsi="Arial"/>
          <w:sz w:val="22"/>
          <w:szCs w:val="22"/>
        </w:rPr>
        <w:t xml:space="preserve"> lower dispensed price</w:t>
      </w:r>
      <w:r w:rsidR="00BB0AC4" w:rsidRPr="00606F12">
        <w:rPr>
          <w:rFonts w:ascii="Arial" w:hAnsi="Arial"/>
          <w:sz w:val="22"/>
          <w:szCs w:val="22"/>
        </w:rPr>
        <w:t>s</w:t>
      </w:r>
      <w:r w:rsidR="006F1CEB" w:rsidRPr="00606F12">
        <w:rPr>
          <w:rFonts w:ascii="Arial" w:hAnsi="Arial"/>
          <w:sz w:val="22"/>
          <w:szCs w:val="22"/>
        </w:rPr>
        <w:t xml:space="preserve"> for maximum quantity (DPMQ</w:t>
      </w:r>
      <w:r w:rsidR="00BB0AC4" w:rsidRPr="00606F12">
        <w:rPr>
          <w:rFonts w:ascii="Arial" w:hAnsi="Arial"/>
          <w:sz w:val="22"/>
          <w:szCs w:val="22"/>
        </w:rPr>
        <w:t>s</w:t>
      </w:r>
      <w:r w:rsidR="006F1CEB" w:rsidRPr="00606F12">
        <w:rPr>
          <w:rFonts w:ascii="Arial" w:hAnsi="Arial"/>
          <w:sz w:val="22"/>
          <w:szCs w:val="22"/>
        </w:rPr>
        <w:t xml:space="preserve">) for ribavirin than </w:t>
      </w:r>
      <w:r w:rsidR="00BB0AC4" w:rsidRPr="00606F12">
        <w:rPr>
          <w:rFonts w:ascii="Arial" w:hAnsi="Arial"/>
          <w:sz w:val="22"/>
          <w:szCs w:val="22"/>
        </w:rPr>
        <w:t>those</w:t>
      </w:r>
      <w:r w:rsidR="006F1CEB" w:rsidRPr="00606F12">
        <w:rPr>
          <w:rFonts w:ascii="Arial" w:hAnsi="Arial"/>
          <w:sz w:val="22"/>
          <w:szCs w:val="22"/>
        </w:rPr>
        <w:t xml:space="preserve"> requested in the March 2015 submission </w:t>
      </w:r>
      <w:r w:rsidR="00675D4A" w:rsidRPr="00606F12">
        <w:rPr>
          <w:rFonts w:ascii="Arial" w:hAnsi="Arial"/>
          <w:sz w:val="22"/>
          <w:szCs w:val="22"/>
        </w:rPr>
        <w:t>(eg 600mg</w:t>
      </w:r>
      <w:r w:rsidR="00BB0AC4" w:rsidRPr="00606F12">
        <w:rPr>
          <w:rFonts w:ascii="Arial" w:hAnsi="Arial"/>
          <w:sz w:val="22"/>
          <w:szCs w:val="22"/>
        </w:rPr>
        <w:t xml:space="preserve"> pack</w:t>
      </w:r>
      <w:r w:rsidR="00675D4A" w:rsidRPr="00606F12">
        <w:rPr>
          <w:rFonts w:ascii="Arial" w:hAnsi="Arial"/>
          <w:sz w:val="22"/>
          <w:szCs w:val="22"/>
        </w:rPr>
        <w:t>: $</w:t>
      </w:r>
      <w:r w:rsidR="00F53974">
        <w:rPr>
          <w:rFonts w:ascii="Arial" w:hAnsi="Arial"/>
          <w:noProof/>
          <w:color w:val="000000"/>
          <w:sz w:val="22"/>
          <w:szCs w:val="22"/>
          <w:highlight w:val="black"/>
        </w:rPr>
        <w:t>'''''''''''''''''</w:t>
      </w:r>
      <w:r w:rsidR="00675D4A" w:rsidRPr="00606F12">
        <w:rPr>
          <w:rFonts w:ascii="Arial" w:hAnsi="Arial"/>
          <w:sz w:val="22"/>
          <w:szCs w:val="22"/>
        </w:rPr>
        <w:t xml:space="preserve"> vs $</w:t>
      </w:r>
      <w:r w:rsidR="00F53974">
        <w:rPr>
          <w:rFonts w:ascii="Arial" w:hAnsi="Arial"/>
          <w:noProof/>
          <w:color w:val="000000"/>
          <w:sz w:val="22"/>
          <w:szCs w:val="22"/>
          <w:highlight w:val="black"/>
        </w:rPr>
        <w:t>'''''''''''''''''''''</w:t>
      </w:r>
      <w:r w:rsidR="00675D4A" w:rsidRPr="00606F12">
        <w:rPr>
          <w:rFonts w:ascii="Arial" w:hAnsi="Arial"/>
          <w:sz w:val="22"/>
          <w:szCs w:val="22"/>
        </w:rPr>
        <w:t xml:space="preserve"> (private hospital))</w:t>
      </w:r>
      <w:r w:rsidRPr="00606F12">
        <w:rPr>
          <w:rFonts w:ascii="Arial" w:hAnsi="Arial"/>
          <w:sz w:val="22"/>
          <w:szCs w:val="22"/>
        </w:rPr>
        <w:t>.</w:t>
      </w:r>
      <w:r w:rsidR="00C8353B" w:rsidRPr="00606F12">
        <w:rPr>
          <w:rFonts w:ascii="Arial" w:hAnsi="Arial"/>
          <w:sz w:val="22"/>
          <w:szCs w:val="22"/>
        </w:rPr>
        <w:t xml:space="preserve"> </w:t>
      </w:r>
      <w:r w:rsidR="00861422" w:rsidRPr="00606F12">
        <w:rPr>
          <w:rFonts w:ascii="Arial" w:hAnsi="Arial"/>
          <w:sz w:val="22"/>
          <w:szCs w:val="22"/>
        </w:rPr>
        <w:t xml:space="preserve">The proposed DPMQ included general schedule mark ups and fees and a </w:t>
      </w:r>
      <w:r w:rsidR="00F53974">
        <w:rPr>
          <w:rFonts w:ascii="Arial" w:hAnsi="Arial"/>
          <w:noProof/>
          <w:color w:val="000000"/>
          <w:sz w:val="22"/>
          <w:szCs w:val="22"/>
          <w:highlight w:val="black"/>
        </w:rPr>
        <w:t>''''''</w:t>
      </w:r>
      <w:r w:rsidR="00861422" w:rsidRPr="00606F12">
        <w:rPr>
          <w:rFonts w:ascii="Arial" w:hAnsi="Arial"/>
          <w:sz w:val="22"/>
          <w:szCs w:val="22"/>
        </w:rPr>
        <w:t>% reduction in the ex-</w:t>
      </w:r>
      <w:r w:rsidR="00683F3C" w:rsidRPr="00606F12">
        <w:rPr>
          <w:rFonts w:ascii="Arial" w:hAnsi="Arial"/>
          <w:sz w:val="22"/>
          <w:szCs w:val="22"/>
        </w:rPr>
        <w:t>manufacturer</w:t>
      </w:r>
      <w:r w:rsidR="00861422" w:rsidRPr="00606F12">
        <w:rPr>
          <w:rFonts w:ascii="Arial" w:hAnsi="Arial"/>
          <w:sz w:val="22"/>
          <w:szCs w:val="22"/>
        </w:rPr>
        <w:t xml:space="preserve"> price</w:t>
      </w:r>
      <w:r w:rsidR="00683F3C" w:rsidRPr="00606F12">
        <w:rPr>
          <w:rFonts w:ascii="Arial" w:hAnsi="Arial"/>
          <w:sz w:val="22"/>
          <w:szCs w:val="22"/>
        </w:rPr>
        <w:t>.</w:t>
      </w:r>
      <w:r w:rsidR="00683F3C" w:rsidRPr="00606F12">
        <w:rPr>
          <w:rFonts w:ascii="Arial" w:hAnsi="Arial"/>
          <w:i/>
          <w:sz w:val="22"/>
          <w:szCs w:val="22"/>
        </w:rPr>
        <w:t xml:space="preserve"> </w:t>
      </w:r>
    </w:p>
    <w:p w:rsidR="001222BA" w:rsidRPr="00D928C5" w:rsidRDefault="001222BA" w:rsidP="001222BA">
      <w:pPr>
        <w:pStyle w:val="ListParagraph"/>
        <w:jc w:val="both"/>
        <w:rPr>
          <w:rFonts w:ascii="Arial" w:hAnsi="Arial"/>
          <w:sz w:val="22"/>
          <w:szCs w:val="22"/>
        </w:rPr>
      </w:pPr>
    </w:p>
    <w:p w:rsidR="00A1470A" w:rsidRPr="00D928C5" w:rsidRDefault="001222BA" w:rsidP="00826F6D">
      <w:pPr>
        <w:pStyle w:val="ListParagraph"/>
        <w:jc w:val="both"/>
        <w:rPr>
          <w:rFonts w:ascii="Arial" w:hAnsi="Arial"/>
          <w:sz w:val="22"/>
          <w:szCs w:val="22"/>
        </w:rPr>
      </w:pPr>
      <w:r w:rsidRPr="00D928C5">
        <w:rPr>
          <w:rFonts w:ascii="Arial" w:hAnsi="Arial"/>
          <w:sz w:val="22"/>
          <w:szCs w:val="22"/>
        </w:rPr>
        <w:t>The minor re-submission requested three listings for ribavirin</w:t>
      </w:r>
      <w:r w:rsidR="00404187" w:rsidRPr="00D928C5">
        <w:rPr>
          <w:rFonts w:ascii="Arial" w:hAnsi="Arial"/>
          <w:sz w:val="22"/>
          <w:szCs w:val="22"/>
        </w:rPr>
        <w:t xml:space="preserve"> (in combination with sofosbuvir)</w:t>
      </w:r>
      <w:r w:rsidRPr="00D928C5">
        <w:rPr>
          <w:rFonts w:ascii="Arial" w:hAnsi="Arial"/>
          <w:sz w:val="22"/>
          <w:szCs w:val="22"/>
        </w:rPr>
        <w:t xml:space="preserve">: 1) for </w:t>
      </w:r>
      <w:r w:rsidR="009465AD" w:rsidRPr="00D928C5">
        <w:rPr>
          <w:rFonts w:ascii="Arial" w:hAnsi="Arial"/>
          <w:sz w:val="22"/>
          <w:szCs w:val="22"/>
        </w:rPr>
        <w:t xml:space="preserve">genotypes 2 and 3 </w:t>
      </w:r>
      <w:r w:rsidRPr="00D928C5">
        <w:rPr>
          <w:rFonts w:ascii="Arial" w:hAnsi="Arial"/>
          <w:sz w:val="22"/>
          <w:szCs w:val="22"/>
        </w:rPr>
        <w:t xml:space="preserve">treatment-naïve patients </w:t>
      </w:r>
      <w:r w:rsidR="009465AD" w:rsidRPr="00D928C5">
        <w:rPr>
          <w:rFonts w:ascii="Arial" w:hAnsi="Arial"/>
          <w:sz w:val="22"/>
          <w:szCs w:val="22"/>
        </w:rPr>
        <w:t>(initial</w:t>
      </w:r>
      <w:r w:rsidR="00777CCD" w:rsidRPr="00D928C5">
        <w:rPr>
          <w:rFonts w:ascii="Arial" w:hAnsi="Arial"/>
          <w:sz w:val="22"/>
          <w:szCs w:val="22"/>
        </w:rPr>
        <w:t xml:space="preserve"> treatment</w:t>
      </w:r>
      <w:r w:rsidR="009465AD" w:rsidRPr="00D928C5">
        <w:rPr>
          <w:rFonts w:ascii="Arial" w:hAnsi="Arial"/>
          <w:sz w:val="22"/>
          <w:szCs w:val="22"/>
        </w:rPr>
        <w:t>)</w:t>
      </w:r>
      <w:r w:rsidRPr="00D928C5">
        <w:rPr>
          <w:rFonts w:ascii="Arial" w:hAnsi="Arial"/>
          <w:sz w:val="22"/>
          <w:szCs w:val="22"/>
        </w:rPr>
        <w:t xml:space="preserve">; 2) </w:t>
      </w:r>
      <w:r w:rsidR="00BB0AC4" w:rsidRPr="00D928C5">
        <w:rPr>
          <w:rFonts w:ascii="Arial" w:hAnsi="Arial"/>
          <w:sz w:val="22"/>
          <w:szCs w:val="22"/>
        </w:rPr>
        <w:t xml:space="preserve">for </w:t>
      </w:r>
      <w:r w:rsidR="009465AD" w:rsidRPr="00D928C5">
        <w:rPr>
          <w:rFonts w:ascii="Arial" w:hAnsi="Arial"/>
          <w:sz w:val="22"/>
          <w:szCs w:val="22"/>
        </w:rPr>
        <w:t xml:space="preserve">genotypes 2 and 3 </w:t>
      </w:r>
      <w:r w:rsidRPr="00D928C5">
        <w:rPr>
          <w:rFonts w:ascii="Arial" w:hAnsi="Arial"/>
          <w:sz w:val="22"/>
          <w:szCs w:val="22"/>
        </w:rPr>
        <w:t xml:space="preserve">treatment-experienced patients </w:t>
      </w:r>
      <w:r w:rsidR="009465AD" w:rsidRPr="00D928C5">
        <w:rPr>
          <w:rFonts w:ascii="Arial" w:hAnsi="Arial"/>
          <w:sz w:val="22"/>
          <w:szCs w:val="22"/>
        </w:rPr>
        <w:t>(</w:t>
      </w:r>
      <w:r w:rsidRPr="00D928C5">
        <w:rPr>
          <w:rFonts w:ascii="Arial" w:hAnsi="Arial"/>
          <w:sz w:val="22"/>
          <w:szCs w:val="22"/>
        </w:rPr>
        <w:t>initial</w:t>
      </w:r>
      <w:r w:rsidR="00777CCD" w:rsidRPr="00D928C5">
        <w:rPr>
          <w:rFonts w:ascii="Arial" w:hAnsi="Arial"/>
          <w:sz w:val="22"/>
          <w:szCs w:val="22"/>
        </w:rPr>
        <w:t xml:space="preserve"> treatment</w:t>
      </w:r>
      <w:r w:rsidR="009465AD" w:rsidRPr="00D928C5">
        <w:rPr>
          <w:rFonts w:ascii="Arial" w:hAnsi="Arial"/>
          <w:sz w:val="22"/>
          <w:szCs w:val="22"/>
        </w:rPr>
        <w:t>)</w:t>
      </w:r>
      <w:r w:rsidRPr="00D928C5">
        <w:rPr>
          <w:rFonts w:ascii="Arial" w:hAnsi="Arial"/>
          <w:sz w:val="22"/>
          <w:szCs w:val="22"/>
        </w:rPr>
        <w:t xml:space="preserve">; and 3) </w:t>
      </w:r>
      <w:r w:rsidR="00BB0AC4" w:rsidRPr="00D928C5">
        <w:rPr>
          <w:rFonts w:ascii="Arial" w:hAnsi="Arial"/>
          <w:sz w:val="22"/>
          <w:szCs w:val="22"/>
        </w:rPr>
        <w:t xml:space="preserve">for </w:t>
      </w:r>
      <w:r w:rsidRPr="00D928C5">
        <w:rPr>
          <w:rFonts w:ascii="Arial" w:hAnsi="Arial"/>
          <w:sz w:val="22"/>
          <w:szCs w:val="22"/>
        </w:rPr>
        <w:t xml:space="preserve">genotype 3 </w:t>
      </w:r>
      <w:r w:rsidR="00BB0AC4" w:rsidRPr="00D928C5">
        <w:rPr>
          <w:rFonts w:ascii="Arial" w:hAnsi="Arial"/>
          <w:sz w:val="22"/>
          <w:szCs w:val="22"/>
        </w:rPr>
        <w:t xml:space="preserve">HCV </w:t>
      </w:r>
      <w:r w:rsidR="009465AD" w:rsidRPr="00D928C5">
        <w:rPr>
          <w:rFonts w:ascii="Arial" w:hAnsi="Arial"/>
          <w:sz w:val="22"/>
          <w:szCs w:val="22"/>
        </w:rPr>
        <w:t>(</w:t>
      </w:r>
      <w:r w:rsidRPr="00D928C5">
        <w:rPr>
          <w:rFonts w:ascii="Arial" w:hAnsi="Arial"/>
          <w:sz w:val="22"/>
          <w:szCs w:val="22"/>
        </w:rPr>
        <w:t>continuing treatment</w:t>
      </w:r>
      <w:r w:rsidR="009465AD" w:rsidRPr="00D928C5">
        <w:rPr>
          <w:rFonts w:ascii="Arial" w:hAnsi="Arial"/>
          <w:sz w:val="22"/>
          <w:szCs w:val="22"/>
        </w:rPr>
        <w:t>)</w:t>
      </w:r>
      <w:r w:rsidRPr="00D928C5">
        <w:rPr>
          <w:rFonts w:ascii="Arial" w:hAnsi="Arial"/>
          <w:sz w:val="22"/>
          <w:szCs w:val="22"/>
        </w:rPr>
        <w:t xml:space="preserve">. </w:t>
      </w:r>
      <w:r w:rsidR="001773BE" w:rsidRPr="00D928C5">
        <w:rPr>
          <w:rFonts w:ascii="Arial" w:hAnsi="Arial"/>
          <w:sz w:val="22"/>
          <w:szCs w:val="22"/>
        </w:rPr>
        <w:t xml:space="preserve">Apart from sofosbuvir, </w:t>
      </w:r>
      <w:r w:rsidR="00683F3C" w:rsidRPr="00D928C5">
        <w:rPr>
          <w:rFonts w:ascii="Arial" w:hAnsi="Arial"/>
          <w:sz w:val="22"/>
          <w:szCs w:val="22"/>
        </w:rPr>
        <w:t>ribavirin has been</w:t>
      </w:r>
      <w:r w:rsidR="001773BE" w:rsidRPr="00D928C5">
        <w:rPr>
          <w:rFonts w:ascii="Arial" w:hAnsi="Arial"/>
          <w:sz w:val="22"/>
          <w:szCs w:val="22"/>
        </w:rPr>
        <w:t xml:space="preserve"> used in combination with other direct-acting antivirals (DAAs) </w:t>
      </w:r>
      <w:r w:rsidR="00683F3C" w:rsidRPr="00D928C5">
        <w:rPr>
          <w:rFonts w:ascii="Arial" w:hAnsi="Arial"/>
          <w:sz w:val="22"/>
          <w:szCs w:val="22"/>
        </w:rPr>
        <w:t xml:space="preserve">in various studies and recommended in </w:t>
      </w:r>
      <w:r w:rsidR="00283643" w:rsidRPr="00D928C5">
        <w:rPr>
          <w:rFonts w:ascii="Arial" w:hAnsi="Arial"/>
          <w:sz w:val="22"/>
          <w:szCs w:val="22"/>
        </w:rPr>
        <w:t xml:space="preserve">American Association for the Study of Liver Diseases (AASLD)/Infectious Diseases Society of America (IDSA) </w:t>
      </w:r>
      <w:r w:rsidR="00683F3C" w:rsidRPr="00D928C5">
        <w:rPr>
          <w:rFonts w:ascii="Arial" w:hAnsi="Arial"/>
          <w:sz w:val="22"/>
          <w:szCs w:val="22"/>
        </w:rPr>
        <w:t>guidelines</w:t>
      </w:r>
      <w:r w:rsidR="00404187" w:rsidRPr="00D928C5">
        <w:rPr>
          <w:rFonts w:ascii="Arial" w:hAnsi="Arial"/>
          <w:sz w:val="22"/>
          <w:szCs w:val="22"/>
        </w:rPr>
        <w:t xml:space="preserve">. </w:t>
      </w:r>
      <w:r w:rsidR="001773BE" w:rsidRPr="00D928C5">
        <w:rPr>
          <w:rFonts w:ascii="Arial" w:hAnsi="Arial"/>
          <w:sz w:val="22"/>
          <w:szCs w:val="22"/>
        </w:rPr>
        <w:t>At the March 2015 meeting, the PBAC noted that the ESC highlighted that there was evidence that ribavirin was used as adjunctive therapy to improve the sustained virologic response (SVR) or shorten treatment duration of DAA-based regimens (</w:t>
      </w:r>
      <w:r w:rsidR="006D4955" w:rsidRPr="00D928C5">
        <w:rPr>
          <w:rFonts w:ascii="Arial" w:hAnsi="Arial"/>
          <w:sz w:val="22"/>
          <w:szCs w:val="22"/>
        </w:rPr>
        <w:t>r</w:t>
      </w:r>
      <w:r w:rsidR="001773BE" w:rsidRPr="00D928C5">
        <w:rPr>
          <w:rFonts w:ascii="Arial" w:hAnsi="Arial"/>
          <w:sz w:val="22"/>
          <w:szCs w:val="22"/>
        </w:rPr>
        <w:t>ibavirin</w:t>
      </w:r>
      <w:r w:rsidR="006D4955" w:rsidRPr="00D928C5">
        <w:rPr>
          <w:rFonts w:ascii="Arial" w:hAnsi="Arial"/>
          <w:sz w:val="22"/>
          <w:szCs w:val="22"/>
        </w:rPr>
        <w:t xml:space="preserve"> PSD, March 2015</w:t>
      </w:r>
      <w:r w:rsidR="001773BE" w:rsidRPr="00D928C5">
        <w:rPr>
          <w:rFonts w:ascii="Arial" w:hAnsi="Arial"/>
          <w:sz w:val="22"/>
          <w:szCs w:val="22"/>
        </w:rPr>
        <w:t xml:space="preserve">). </w:t>
      </w:r>
    </w:p>
    <w:p w:rsidR="006D4955" w:rsidRPr="00D928C5" w:rsidRDefault="006D4955" w:rsidP="00826F6D">
      <w:pPr>
        <w:pStyle w:val="ListParagraph"/>
        <w:jc w:val="both"/>
        <w:rPr>
          <w:rFonts w:ascii="Arial" w:hAnsi="Arial"/>
          <w:sz w:val="22"/>
          <w:szCs w:val="22"/>
        </w:rPr>
      </w:pPr>
    </w:p>
    <w:p w:rsidR="006D4955" w:rsidRPr="00D928C5" w:rsidRDefault="006D4955" w:rsidP="00826F6D">
      <w:pPr>
        <w:pStyle w:val="ListParagraph"/>
        <w:jc w:val="both"/>
        <w:rPr>
          <w:rFonts w:ascii="Arial" w:hAnsi="Arial" w:cs="Arial"/>
          <w:sz w:val="22"/>
          <w:szCs w:val="22"/>
        </w:rPr>
      </w:pPr>
      <w:r w:rsidRPr="00D928C5">
        <w:rPr>
          <w:rFonts w:ascii="Arial" w:hAnsi="Arial" w:cs="Arial"/>
          <w:i/>
          <w:sz w:val="22"/>
          <w:szCs w:val="22"/>
        </w:rPr>
        <w:t>For more detail on PBAC’s view, see section 7 “PBAC outcome”</w:t>
      </w:r>
    </w:p>
    <w:p w:rsidR="00BB7EC3" w:rsidRPr="00D928C5" w:rsidRDefault="00BB7EC3" w:rsidP="00882085">
      <w:pPr>
        <w:jc w:val="both"/>
        <w:rPr>
          <w:rFonts w:ascii="Arial" w:hAnsi="Arial" w:cs="Arial"/>
          <w:i/>
          <w:sz w:val="22"/>
          <w:szCs w:val="22"/>
        </w:rPr>
      </w:pPr>
    </w:p>
    <w:p w:rsidR="00404187" w:rsidRPr="00D928C5" w:rsidRDefault="00404187" w:rsidP="00882085">
      <w:pPr>
        <w:jc w:val="both"/>
        <w:rPr>
          <w:rFonts w:ascii="Arial" w:hAnsi="Arial"/>
          <w:b/>
          <w:sz w:val="22"/>
          <w:szCs w:val="22"/>
        </w:rPr>
      </w:pPr>
    </w:p>
    <w:p w:rsidR="00CE10C4" w:rsidRPr="00D928C5" w:rsidRDefault="00CE10C4" w:rsidP="003E2A6B">
      <w:pPr>
        <w:pStyle w:val="ListParagraph"/>
        <w:keepNext/>
        <w:numPr>
          <w:ilvl w:val="0"/>
          <w:numId w:val="2"/>
        </w:numPr>
        <w:jc w:val="both"/>
        <w:rPr>
          <w:rFonts w:ascii="Arial" w:hAnsi="Arial"/>
          <w:sz w:val="22"/>
          <w:szCs w:val="22"/>
        </w:rPr>
      </w:pPr>
      <w:r w:rsidRPr="00D928C5">
        <w:rPr>
          <w:rFonts w:ascii="Arial" w:hAnsi="Arial"/>
          <w:b/>
          <w:sz w:val="22"/>
          <w:szCs w:val="22"/>
        </w:rPr>
        <w:t>Background</w:t>
      </w:r>
    </w:p>
    <w:p w:rsidR="006A12A5" w:rsidRPr="00D928C5" w:rsidRDefault="006A12A5" w:rsidP="003E2A6B">
      <w:pPr>
        <w:keepNext/>
        <w:jc w:val="both"/>
        <w:rPr>
          <w:rFonts w:ascii="Arial" w:hAnsi="Arial"/>
          <w:sz w:val="22"/>
          <w:szCs w:val="22"/>
        </w:rPr>
      </w:pPr>
    </w:p>
    <w:p w:rsidR="002B1AE6" w:rsidRPr="00D928C5" w:rsidRDefault="00DF31CE" w:rsidP="00B1320F">
      <w:pPr>
        <w:pStyle w:val="ListParagraph"/>
        <w:numPr>
          <w:ilvl w:val="1"/>
          <w:numId w:val="2"/>
        </w:numPr>
        <w:jc w:val="both"/>
        <w:rPr>
          <w:rFonts w:ascii="Arial" w:hAnsi="Arial"/>
          <w:i/>
          <w:sz w:val="22"/>
          <w:szCs w:val="22"/>
        </w:rPr>
      </w:pPr>
      <w:r w:rsidRPr="00D928C5">
        <w:rPr>
          <w:rFonts w:ascii="Arial" w:hAnsi="Arial"/>
          <w:sz w:val="22"/>
          <w:szCs w:val="22"/>
        </w:rPr>
        <w:t xml:space="preserve">Ribavirin </w:t>
      </w:r>
      <w:r w:rsidR="001E4122" w:rsidRPr="00D928C5">
        <w:rPr>
          <w:rFonts w:ascii="Arial" w:hAnsi="Arial"/>
          <w:sz w:val="22"/>
          <w:szCs w:val="22"/>
        </w:rPr>
        <w:t>was</w:t>
      </w:r>
      <w:r w:rsidR="00476245" w:rsidRPr="00D928C5">
        <w:rPr>
          <w:rFonts w:ascii="Arial" w:hAnsi="Arial"/>
          <w:sz w:val="22"/>
          <w:szCs w:val="22"/>
        </w:rPr>
        <w:t xml:space="preserve"> </w:t>
      </w:r>
      <w:r w:rsidR="001E4122" w:rsidRPr="00D928C5">
        <w:rPr>
          <w:rFonts w:ascii="Arial" w:hAnsi="Arial"/>
          <w:sz w:val="22"/>
          <w:szCs w:val="22"/>
        </w:rPr>
        <w:t xml:space="preserve">registered with the </w:t>
      </w:r>
      <w:r w:rsidR="00476245" w:rsidRPr="00D928C5">
        <w:rPr>
          <w:rFonts w:ascii="Arial" w:hAnsi="Arial"/>
          <w:sz w:val="22"/>
          <w:szCs w:val="22"/>
        </w:rPr>
        <w:t xml:space="preserve">TGA </w:t>
      </w:r>
      <w:r w:rsidR="001E4122" w:rsidRPr="00D928C5">
        <w:rPr>
          <w:rFonts w:ascii="Arial" w:hAnsi="Arial"/>
          <w:sz w:val="22"/>
          <w:szCs w:val="22"/>
        </w:rPr>
        <w:t xml:space="preserve">in February 2015 </w:t>
      </w:r>
      <w:r w:rsidRPr="00D928C5">
        <w:rPr>
          <w:rFonts w:ascii="Arial" w:hAnsi="Arial"/>
          <w:sz w:val="22"/>
          <w:szCs w:val="22"/>
        </w:rPr>
        <w:t>for the treatment of CHC in adults,</w:t>
      </w:r>
      <w:r w:rsidR="002B1AE6" w:rsidRPr="00D928C5">
        <w:rPr>
          <w:rFonts w:ascii="Arial" w:hAnsi="Arial"/>
          <w:sz w:val="22"/>
          <w:szCs w:val="22"/>
        </w:rPr>
        <w:t xml:space="preserve"> </w:t>
      </w:r>
      <w:r w:rsidRPr="00D928C5">
        <w:rPr>
          <w:rFonts w:ascii="Arial" w:hAnsi="Arial"/>
          <w:sz w:val="22"/>
          <w:szCs w:val="22"/>
        </w:rPr>
        <w:t>in combination with other oral agents.</w:t>
      </w:r>
    </w:p>
    <w:p w:rsidR="006B0D94" w:rsidRPr="00D928C5" w:rsidRDefault="006B0D94" w:rsidP="00882085">
      <w:pPr>
        <w:pStyle w:val="ListParagraph"/>
        <w:jc w:val="both"/>
        <w:rPr>
          <w:rFonts w:ascii="Arial" w:hAnsi="Arial"/>
          <w:sz w:val="22"/>
          <w:szCs w:val="22"/>
        </w:rPr>
      </w:pPr>
    </w:p>
    <w:p w:rsidR="00326E79" w:rsidRDefault="00F82635" w:rsidP="00B1320F">
      <w:pPr>
        <w:pStyle w:val="ListParagraph"/>
        <w:numPr>
          <w:ilvl w:val="1"/>
          <w:numId w:val="2"/>
        </w:numPr>
        <w:jc w:val="both"/>
        <w:rPr>
          <w:rFonts w:ascii="Arial" w:hAnsi="Arial"/>
          <w:sz w:val="22"/>
          <w:szCs w:val="22"/>
        </w:rPr>
      </w:pPr>
      <w:r w:rsidRPr="00D928C5">
        <w:rPr>
          <w:rFonts w:ascii="Arial" w:hAnsi="Arial"/>
          <w:sz w:val="22"/>
          <w:szCs w:val="22"/>
        </w:rPr>
        <w:t xml:space="preserve">A major submission for </w:t>
      </w:r>
      <w:r w:rsidR="007A5C26" w:rsidRPr="00D928C5">
        <w:rPr>
          <w:rFonts w:ascii="Arial" w:hAnsi="Arial"/>
          <w:sz w:val="22"/>
          <w:szCs w:val="22"/>
        </w:rPr>
        <w:t>ribavirin for the treatment of genotype</w:t>
      </w:r>
      <w:r w:rsidR="00EE73B7" w:rsidRPr="00D928C5">
        <w:rPr>
          <w:rFonts w:ascii="Arial" w:hAnsi="Arial"/>
          <w:sz w:val="22"/>
          <w:szCs w:val="22"/>
        </w:rPr>
        <w:t>s</w:t>
      </w:r>
      <w:r w:rsidR="007A5C26" w:rsidRPr="00D928C5">
        <w:rPr>
          <w:rFonts w:ascii="Arial" w:hAnsi="Arial"/>
          <w:sz w:val="22"/>
          <w:szCs w:val="22"/>
        </w:rPr>
        <w:t xml:space="preserve"> 2 and 3 CHC (</w:t>
      </w:r>
      <w:r w:rsidR="00B06F04" w:rsidRPr="00D928C5">
        <w:rPr>
          <w:rFonts w:ascii="Arial" w:hAnsi="Arial"/>
          <w:sz w:val="22"/>
          <w:szCs w:val="22"/>
        </w:rPr>
        <w:t>Section 100 (Highly Specialised Drugs Program) Authority Required (Streamlined) listing</w:t>
      </w:r>
      <w:r w:rsidR="007A5C26" w:rsidRPr="00D928C5">
        <w:rPr>
          <w:rFonts w:ascii="Arial" w:hAnsi="Arial"/>
          <w:sz w:val="22"/>
          <w:szCs w:val="22"/>
        </w:rPr>
        <w:t>)</w:t>
      </w:r>
      <w:r w:rsidR="00B06F04" w:rsidRPr="00D928C5">
        <w:rPr>
          <w:rFonts w:ascii="Arial" w:hAnsi="Arial"/>
          <w:sz w:val="22"/>
          <w:szCs w:val="22"/>
        </w:rPr>
        <w:t xml:space="preserve"> was rejected by the PBAC at the March 2015 meeting, on the basis that the submission had not justified the incremental cost-effectiveness of ribavirin compared to the currently listed ribavirin-based items. </w:t>
      </w:r>
      <w:r w:rsidR="00B10579" w:rsidRPr="00D928C5">
        <w:rPr>
          <w:rFonts w:ascii="Arial" w:hAnsi="Arial"/>
          <w:sz w:val="22"/>
          <w:szCs w:val="22"/>
        </w:rPr>
        <w:t>The following table provides a summary of the key differences between the previous submission and th</w:t>
      </w:r>
      <w:r w:rsidR="00F7279B" w:rsidRPr="00D928C5">
        <w:rPr>
          <w:rFonts w:ascii="Arial" w:hAnsi="Arial"/>
          <w:sz w:val="22"/>
          <w:szCs w:val="22"/>
        </w:rPr>
        <w:t xml:space="preserve">e </w:t>
      </w:r>
      <w:r w:rsidR="00B10579" w:rsidRPr="00D928C5">
        <w:rPr>
          <w:rFonts w:ascii="Arial" w:hAnsi="Arial"/>
          <w:sz w:val="22"/>
          <w:szCs w:val="22"/>
        </w:rPr>
        <w:t>current re-submission, including PBAC comments on the March 2015 submission.</w:t>
      </w:r>
    </w:p>
    <w:p w:rsidR="003E2A6B" w:rsidRPr="003E2A6B" w:rsidRDefault="003E2A6B" w:rsidP="003E2A6B">
      <w:pPr>
        <w:jc w:val="both"/>
        <w:rPr>
          <w:rFonts w:ascii="Arial" w:hAnsi="Arial"/>
          <w:sz w:val="22"/>
          <w:szCs w:val="22"/>
        </w:rPr>
      </w:pPr>
    </w:p>
    <w:p w:rsidR="00B06F04" w:rsidRPr="00D928C5" w:rsidRDefault="00B06F04" w:rsidP="00B06F04">
      <w:pPr>
        <w:pStyle w:val="ListParagraph"/>
        <w:jc w:val="both"/>
        <w:rPr>
          <w:rFonts w:ascii="Arial Narrow" w:hAnsi="Arial Narrow"/>
          <w:b/>
          <w:sz w:val="20"/>
          <w:szCs w:val="20"/>
        </w:rPr>
      </w:pPr>
      <w:r w:rsidRPr="00D928C5">
        <w:rPr>
          <w:rFonts w:ascii="Arial Narrow" w:hAnsi="Arial Narrow"/>
          <w:b/>
          <w:sz w:val="20"/>
          <w:szCs w:val="20"/>
        </w:rPr>
        <w:t>Table 1: Key differences between the March 2015 submission and the current minor re-submission</w:t>
      </w:r>
    </w:p>
    <w:tbl>
      <w:tblPr>
        <w:tblStyle w:val="TableGrid"/>
        <w:tblW w:w="8602" w:type="dxa"/>
        <w:tblInd w:w="720" w:type="dxa"/>
        <w:tblLook w:val="04A0" w:firstRow="1" w:lastRow="0" w:firstColumn="1" w:lastColumn="0" w:noHBand="0" w:noVBand="1"/>
        <w:tblCaption w:val="Table 1: Key differences between the March 2015 submission and the current minor re-submission"/>
        <w:tblDescription w:val="This table summarises the key differences between the March 2015 submission and the current minor re-submission. "/>
      </w:tblPr>
      <w:tblGrid>
        <w:gridCol w:w="1231"/>
        <w:gridCol w:w="4536"/>
        <w:gridCol w:w="2835"/>
      </w:tblGrid>
      <w:tr w:rsidR="00B06F04" w:rsidRPr="00D928C5" w:rsidTr="005E3A94">
        <w:trPr>
          <w:tblHeader/>
        </w:trPr>
        <w:tc>
          <w:tcPr>
            <w:tcW w:w="1231" w:type="dxa"/>
          </w:tcPr>
          <w:p w:rsidR="00B06F04" w:rsidRPr="00D928C5" w:rsidRDefault="00B06F04" w:rsidP="00882085">
            <w:pPr>
              <w:pStyle w:val="ListParagraph"/>
              <w:ind w:left="0"/>
              <w:jc w:val="both"/>
              <w:rPr>
                <w:rFonts w:ascii="Arial Narrow" w:hAnsi="Arial Narrow"/>
                <w:sz w:val="20"/>
                <w:szCs w:val="20"/>
              </w:rPr>
            </w:pPr>
          </w:p>
        </w:tc>
        <w:tc>
          <w:tcPr>
            <w:tcW w:w="4536" w:type="dxa"/>
          </w:tcPr>
          <w:p w:rsidR="00B06F04" w:rsidRPr="00D928C5" w:rsidRDefault="00B06F04" w:rsidP="00B06F04">
            <w:pPr>
              <w:pStyle w:val="ListParagraph"/>
              <w:ind w:left="0"/>
              <w:jc w:val="center"/>
              <w:rPr>
                <w:rFonts w:ascii="Arial Narrow" w:hAnsi="Arial Narrow"/>
                <w:b/>
                <w:sz w:val="20"/>
                <w:szCs w:val="20"/>
              </w:rPr>
            </w:pPr>
            <w:r w:rsidRPr="00D928C5">
              <w:rPr>
                <w:rFonts w:ascii="Arial Narrow" w:hAnsi="Arial Narrow"/>
                <w:b/>
                <w:sz w:val="20"/>
                <w:szCs w:val="20"/>
              </w:rPr>
              <w:t>March 2015</w:t>
            </w:r>
            <w:r w:rsidR="00F7279B" w:rsidRPr="00D928C5">
              <w:rPr>
                <w:rFonts w:ascii="Arial Narrow" w:hAnsi="Arial Narrow"/>
                <w:b/>
                <w:sz w:val="20"/>
                <w:szCs w:val="20"/>
              </w:rPr>
              <w:t xml:space="preserve"> submission</w:t>
            </w:r>
          </w:p>
        </w:tc>
        <w:tc>
          <w:tcPr>
            <w:tcW w:w="2835" w:type="dxa"/>
          </w:tcPr>
          <w:p w:rsidR="00B06F04" w:rsidRPr="00D928C5" w:rsidRDefault="00B06F04" w:rsidP="00B06F04">
            <w:pPr>
              <w:pStyle w:val="ListParagraph"/>
              <w:ind w:left="0"/>
              <w:jc w:val="center"/>
              <w:rPr>
                <w:rFonts w:ascii="Arial Narrow" w:hAnsi="Arial Narrow"/>
                <w:b/>
                <w:sz w:val="20"/>
                <w:szCs w:val="20"/>
              </w:rPr>
            </w:pPr>
            <w:r w:rsidRPr="00D928C5">
              <w:rPr>
                <w:rFonts w:ascii="Arial Narrow" w:hAnsi="Arial Narrow"/>
                <w:b/>
                <w:sz w:val="20"/>
                <w:szCs w:val="20"/>
              </w:rPr>
              <w:t>Current re-submission</w:t>
            </w:r>
          </w:p>
        </w:tc>
      </w:tr>
      <w:tr w:rsidR="00B06F04" w:rsidRPr="00D928C5" w:rsidTr="00032118">
        <w:tc>
          <w:tcPr>
            <w:tcW w:w="1231" w:type="dxa"/>
          </w:tcPr>
          <w:p w:rsidR="00B06F04" w:rsidRPr="00D928C5" w:rsidRDefault="00B06F04" w:rsidP="00882085">
            <w:pPr>
              <w:pStyle w:val="ListParagraph"/>
              <w:ind w:left="0"/>
              <w:jc w:val="both"/>
              <w:rPr>
                <w:rFonts w:ascii="Arial Narrow" w:hAnsi="Arial Narrow"/>
                <w:sz w:val="20"/>
                <w:szCs w:val="20"/>
              </w:rPr>
            </w:pPr>
            <w:r w:rsidRPr="00D928C5">
              <w:rPr>
                <w:rFonts w:ascii="Arial Narrow" w:hAnsi="Arial Narrow"/>
                <w:sz w:val="20"/>
                <w:szCs w:val="20"/>
              </w:rPr>
              <w:t>Requested listing</w:t>
            </w:r>
          </w:p>
        </w:tc>
        <w:tc>
          <w:tcPr>
            <w:tcW w:w="4536" w:type="dxa"/>
          </w:tcPr>
          <w:p w:rsidR="00B06F04" w:rsidRPr="00D928C5" w:rsidRDefault="00B06F04" w:rsidP="00882085">
            <w:pPr>
              <w:pStyle w:val="ListParagraph"/>
              <w:ind w:left="0"/>
              <w:jc w:val="both"/>
              <w:rPr>
                <w:rFonts w:ascii="Arial Narrow" w:hAnsi="Arial Narrow"/>
                <w:sz w:val="20"/>
                <w:szCs w:val="20"/>
              </w:rPr>
            </w:pPr>
            <w:r w:rsidRPr="00D928C5">
              <w:rPr>
                <w:rFonts w:ascii="Arial Narrow" w:hAnsi="Arial Narrow"/>
                <w:sz w:val="20"/>
                <w:szCs w:val="20"/>
              </w:rPr>
              <w:t xml:space="preserve">Section 100 listing for treatment of genotypes 2 and 3 CHC </w:t>
            </w:r>
          </w:p>
          <w:p w:rsidR="003F752E" w:rsidRPr="00D928C5" w:rsidRDefault="003F752E" w:rsidP="00882085">
            <w:pPr>
              <w:pStyle w:val="ListParagraph"/>
              <w:ind w:left="0"/>
              <w:jc w:val="both"/>
              <w:rPr>
                <w:rFonts w:ascii="Arial Narrow" w:hAnsi="Arial Narrow"/>
                <w:sz w:val="20"/>
                <w:szCs w:val="20"/>
              </w:rPr>
            </w:pPr>
          </w:p>
          <w:p w:rsidR="000729B9" w:rsidRPr="00D928C5" w:rsidRDefault="003F752E" w:rsidP="003F752E">
            <w:pPr>
              <w:pStyle w:val="ListParagraph"/>
              <w:ind w:left="0"/>
              <w:jc w:val="both"/>
              <w:rPr>
                <w:rFonts w:ascii="Arial Narrow" w:hAnsi="Arial Narrow"/>
                <w:b/>
                <w:sz w:val="20"/>
                <w:szCs w:val="20"/>
              </w:rPr>
            </w:pPr>
            <w:r w:rsidRPr="00D928C5">
              <w:rPr>
                <w:rFonts w:ascii="Arial Narrow" w:hAnsi="Arial Narrow"/>
                <w:b/>
                <w:sz w:val="20"/>
                <w:szCs w:val="20"/>
              </w:rPr>
              <w:t xml:space="preserve">PBAC comment: </w:t>
            </w:r>
          </w:p>
          <w:p w:rsidR="00B06F04" w:rsidRPr="00D928C5" w:rsidRDefault="000729B9" w:rsidP="003F752E">
            <w:pPr>
              <w:pStyle w:val="ListParagraph"/>
              <w:ind w:left="0"/>
              <w:jc w:val="both"/>
              <w:rPr>
                <w:rFonts w:ascii="Arial Narrow" w:hAnsi="Arial Narrow"/>
                <w:b/>
                <w:i/>
                <w:sz w:val="20"/>
                <w:szCs w:val="20"/>
              </w:rPr>
            </w:pPr>
            <w:r w:rsidRPr="00D928C5">
              <w:rPr>
                <w:rFonts w:ascii="Arial Narrow" w:hAnsi="Arial Narrow"/>
                <w:sz w:val="20"/>
                <w:szCs w:val="20"/>
              </w:rPr>
              <w:t>I</w:t>
            </w:r>
            <w:r w:rsidR="003F752E" w:rsidRPr="00D928C5">
              <w:rPr>
                <w:rFonts w:ascii="Arial Narrow" w:hAnsi="Arial Narrow"/>
                <w:sz w:val="20"/>
                <w:szCs w:val="20"/>
              </w:rPr>
              <w:t>t was appropriate that the new all oral treatment regimens be listed in the General Schedule.</w:t>
            </w:r>
          </w:p>
        </w:tc>
        <w:tc>
          <w:tcPr>
            <w:tcW w:w="2835" w:type="dxa"/>
          </w:tcPr>
          <w:p w:rsidR="00B06F04" w:rsidRPr="00D928C5" w:rsidRDefault="00F7279B" w:rsidP="00882085">
            <w:pPr>
              <w:pStyle w:val="ListParagraph"/>
              <w:ind w:left="0"/>
              <w:jc w:val="both"/>
              <w:rPr>
                <w:rFonts w:ascii="Arial Narrow" w:hAnsi="Arial Narrow"/>
                <w:sz w:val="20"/>
                <w:szCs w:val="20"/>
              </w:rPr>
            </w:pPr>
            <w:r w:rsidRPr="00D928C5">
              <w:rPr>
                <w:rFonts w:ascii="Arial Narrow" w:hAnsi="Arial Narrow"/>
                <w:sz w:val="20"/>
                <w:szCs w:val="20"/>
              </w:rPr>
              <w:t>General Schedule</w:t>
            </w:r>
            <w:r w:rsidR="003F752E" w:rsidRPr="00D928C5">
              <w:rPr>
                <w:rFonts w:ascii="Arial Narrow" w:hAnsi="Arial Narrow"/>
                <w:sz w:val="20"/>
                <w:szCs w:val="20"/>
              </w:rPr>
              <w:t xml:space="preserve"> listing for treatment of genotypes 2 and 3 CHC</w:t>
            </w:r>
          </w:p>
        </w:tc>
      </w:tr>
      <w:tr w:rsidR="00B06F04" w:rsidRPr="00D928C5" w:rsidTr="00032118">
        <w:tc>
          <w:tcPr>
            <w:tcW w:w="1231" w:type="dxa"/>
          </w:tcPr>
          <w:p w:rsidR="00B06F04" w:rsidRPr="00D928C5" w:rsidRDefault="003F752E" w:rsidP="00882085">
            <w:pPr>
              <w:pStyle w:val="ListParagraph"/>
              <w:ind w:left="0"/>
              <w:jc w:val="both"/>
              <w:rPr>
                <w:rFonts w:ascii="Arial Narrow" w:hAnsi="Arial Narrow"/>
                <w:sz w:val="20"/>
                <w:szCs w:val="20"/>
              </w:rPr>
            </w:pPr>
            <w:r w:rsidRPr="00D928C5">
              <w:rPr>
                <w:rFonts w:ascii="Arial Narrow" w:hAnsi="Arial Narrow"/>
                <w:sz w:val="20"/>
                <w:szCs w:val="20"/>
              </w:rPr>
              <w:t>DPMQ</w:t>
            </w:r>
          </w:p>
        </w:tc>
        <w:tc>
          <w:tcPr>
            <w:tcW w:w="4536" w:type="dxa"/>
          </w:tcPr>
          <w:p w:rsidR="000729B9" w:rsidRPr="00D928C5" w:rsidRDefault="000729B9" w:rsidP="000729B9">
            <w:pPr>
              <w:pStyle w:val="ListParagraph"/>
              <w:ind w:left="0"/>
              <w:jc w:val="both"/>
              <w:rPr>
                <w:rFonts w:ascii="Arial Narrow" w:hAnsi="Arial Narrow"/>
                <w:sz w:val="20"/>
                <w:szCs w:val="20"/>
              </w:rPr>
            </w:pPr>
            <w:r w:rsidRPr="00D928C5">
              <w:rPr>
                <w:rFonts w:ascii="Arial Narrow" w:hAnsi="Arial Narrow"/>
                <w:sz w:val="20"/>
                <w:szCs w:val="20"/>
              </w:rPr>
              <w:t>400mg x 28</w:t>
            </w:r>
            <w:r w:rsidRPr="00D928C5">
              <w:rPr>
                <w:rFonts w:ascii="Arial Narrow" w:hAnsi="Arial Narrow"/>
                <w:sz w:val="20"/>
                <w:szCs w:val="20"/>
                <w:vertAlign w:val="superscript"/>
              </w:rPr>
              <w:t>#</w:t>
            </w:r>
            <w:r w:rsidRPr="00D928C5">
              <w:rPr>
                <w:rFonts w:ascii="Arial Narrow" w:hAnsi="Arial Narrow"/>
                <w:sz w:val="20"/>
                <w:szCs w:val="20"/>
              </w:rPr>
              <w:t xml:space="preserve"> x 2: </w:t>
            </w:r>
            <w:r w:rsidRPr="00D928C5">
              <w:rPr>
                <w:rFonts w:ascii="Arial Narrow" w:hAnsi="Arial Narrow"/>
                <w:sz w:val="20"/>
                <w:szCs w:val="20"/>
              </w:rPr>
              <w:tab/>
              <w:t>$</w:t>
            </w:r>
            <w:r w:rsidR="00F53974">
              <w:rPr>
                <w:rFonts w:ascii="Arial Narrow" w:hAnsi="Arial Narrow"/>
                <w:noProof/>
                <w:color w:val="000000"/>
                <w:sz w:val="20"/>
                <w:szCs w:val="20"/>
                <w:highlight w:val="black"/>
              </w:rPr>
              <w:t>''''''''''''''''</w:t>
            </w:r>
            <w:r w:rsidRPr="00D928C5">
              <w:rPr>
                <w:rFonts w:ascii="Arial Narrow" w:hAnsi="Arial Narrow"/>
                <w:sz w:val="20"/>
                <w:szCs w:val="20"/>
              </w:rPr>
              <w:t xml:space="preserve"> (Public)</w:t>
            </w:r>
          </w:p>
          <w:p w:rsidR="00B06F04" w:rsidRPr="00D928C5" w:rsidRDefault="000729B9" w:rsidP="000729B9">
            <w:pPr>
              <w:pStyle w:val="ListParagraph"/>
              <w:ind w:left="0"/>
              <w:jc w:val="both"/>
              <w:rPr>
                <w:rFonts w:ascii="Arial Narrow" w:hAnsi="Arial Narrow"/>
                <w:sz w:val="20"/>
                <w:szCs w:val="20"/>
              </w:rPr>
            </w:pPr>
            <w:r w:rsidRPr="00D928C5">
              <w:rPr>
                <w:rFonts w:ascii="Arial Narrow" w:hAnsi="Arial Narrow"/>
                <w:sz w:val="20"/>
                <w:szCs w:val="20"/>
              </w:rPr>
              <w:tab/>
            </w:r>
            <w:r w:rsidRPr="00D928C5">
              <w:rPr>
                <w:rFonts w:ascii="Arial Narrow" w:hAnsi="Arial Narrow"/>
                <w:sz w:val="20"/>
                <w:szCs w:val="20"/>
              </w:rPr>
              <w:tab/>
              <w:t>$</w:t>
            </w:r>
            <w:r w:rsidR="00F53974">
              <w:rPr>
                <w:rFonts w:ascii="Arial Narrow" w:hAnsi="Arial Narrow"/>
                <w:noProof/>
                <w:color w:val="000000"/>
                <w:sz w:val="20"/>
                <w:szCs w:val="20"/>
                <w:highlight w:val="black"/>
              </w:rPr>
              <w:t>'''''''''''''''</w:t>
            </w:r>
            <w:r w:rsidRPr="00D928C5">
              <w:rPr>
                <w:rFonts w:ascii="Arial Narrow" w:hAnsi="Arial Narrow"/>
                <w:sz w:val="20"/>
                <w:szCs w:val="20"/>
              </w:rPr>
              <w:t xml:space="preserve"> (Private)</w:t>
            </w:r>
          </w:p>
          <w:p w:rsidR="000729B9" w:rsidRPr="00D928C5" w:rsidRDefault="000729B9" w:rsidP="000729B9">
            <w:pPr>
              <w:pStyle w:val="ListParagraph"/>
              <w:ind w:left="0"/>
              <w:jc w:val="both"/>
              <w:rPr>
                <w:rFonts w:ascii="Arial Narrow" w:hAnsi="Arial Narrow"/>
                <w:sz w:val="20"/>
                <w:szCs w:val="20"/>
              </w:rPr>
            </w:pPr>
            <w:r w:rsidRPr="00D928C5">
              <w:rPr>
                <w:rFonts w:ascii="Arial Narrow" w:hAnsi="Arial Narrow"/>
                <w:sz w:val="20"/>
                <w:szCs w:val="20"/>
              </w:rPr>
              <w:t>600mg x 28</w:t>
            </w:r>
            <w:r w:rsidRPr="00D928C5">
              <w:rPr>
                <w:rFonts w:ascii="Arial Narrow" w:hAnsi="Arial Narrow"/>
                <w:sz w:val="20"/>
                <w:szCs w:val="20"/>
                <w:vertAlign w:val="superscript"/>
              </w:rPr>
              <w:t>#</w:t>
            </w:r>
            <w:r w:rsidRPr="00D928C5">
              <w:rPr>
                <w:rFonts w:ascii="Arial Narrow" w:hAnsi="Arial Narrow"/>
                <w:sz w:val="20"/>
                <w:szCs w:val="20"/>
              </w:rPr>
              <w:t xml:space="preserve"> x 2: </w:t>
            </w:r>
            <w:r w:rsidRPr="00D928C5">
              <w:rPr>
                <w:rFonts w:ascii="Arial Narrow" w:hAnsi="Arial Narrow"/>
                <w:sz w:val="20"/>
                <w:szCs w:val="20"/>
              </w:rPr>
              <w:tab/>
              <w:t>$</w:t>
            </w:r>
            <w:r w:rsidR="00F53974">
              <w:rPr>
                <w:rFonts w:ascii="Arial Narrow" w:hAnsi="Arial Narrow"/>
                <w:noProof/>
                <w:color w:val="000000"/>
                <w:sz w:val="20"/>
                <w:szCs w:val="20"/>
                <w:highlight w:val="black"/>
              </w:rPr>
              <w:t>'''''''''''''''''''''</w:t>
            </w:r>
            <w:r w:rsidRPr="00D928C5">
              <w:rPr>
                <w:rFonts w:ascii="Arial Narrow" w:hAnsi="Arial Narrow"/>
                <w:sz w:val="20"/>
                <w:szCs w:val="20"/>
              </w:rPr>
              <w:t xml:space="preserve"> (Public)</w:t>
            </w:r>
          </w:p>
          <w:p w:rsidR="000729B9" w:rsidRPr="00D928C5" w:rsidRDefault="000729B9" w:rsidP="000729B9">
            <w:pPr>
              <w:pStyle w:val="ListParagraph"/>
              <w:ind w:left="0"/>
              <w:jc w:val="both"/>
              <w:rPr>
                <w:rFonts w:ascii="Arial Narrow" w:hAnsi="Arial Narrow"/>
                <w:sz w:val="20"/>
                <w:szCs w:val="20"/>
              </w:rPr>
            </w:pPr>
            <w:r w:rsidRPr="00D928C5">
              <w:rPr>
                <w:rFonts w:ascii="Arial Narrow" w:hAnsi="Arial Narrow"/>
                <w:sz w:val="20"/>
                <w:szCs w:val="20"/>
              </w:rPr>
              <w:tab/>
            </w:r>
            <w:r w:rsidRPr="00D928C5">
              <w:rPr>
                <w:rFonts w:ascii="Arial Narrow" w:hAnsi="Arial Narrow"/>
                <w:sz w:val="20"/>
                <w:szCs w:val="20"/>
              </w:rPr>
              <w:tab/>
              <w:t>$</w:t>
            </w:r>
            <w:r w:rsidR="00F53974">
              <w:rPr>
                <w:rFonts w:ascii="Arial Narrow" w:hAnsi="Arial Narrow"/>
                <w:noProof/>
                <w:color w:val="000000"/>
                <w:sz w:val="20"/>
                <w:szCs w:val="20"/>
                <w:highlight w:val="black"/>
              </w:rPr>
              <w:t>''''''''''''''''''''</w:t>
            </w:r>
            <w:r w:rsidRPr="00D928C5">
              <w:rPr>
                <w:rFonts w:ascii="Arial Narrow" w:hAnsi="Arial Narrow"/>
                <w:sz w:val="20"/>
                <w:szCs w:val="20"/>
              </w:rPr>
              <w:t xml:space="preserve"> (Private)</w:t>
            </w:r>
          </w:p>
        </w:tc>
        <w:tc>
          <w:tcPr>
            <w:tcW w:w="2835" w:type="dxa"/>
          </w:tcPr>
          <w:p w:rsidR="000729B9" w:rsidRPr="00D928C5" w:rsidRDefault="000729B9" w:rsidP="000729B9">
            <w:pPr>
              <w:pStyle w:val="ListParagraph"/>
              <w:ind w:left="0"/>
              <w:jc w:val="both"/>
              <w:rPr>
                <w:rFonts w:ascii="Arial Narrow" w:hAnsi="Arial Narrow"/>
                <w:sz w:val="20"/>
                <w:szCs w:val="20"/>
              </w:rPr>
            </w:pPr>
            <w:r w:rsidRPr="00D928C5">
              <w:rPr>
                <w:rFonts w:ascii="Arial Narrow" w:hAnsi="Arial Narrow"/>
                <w:sz w:val="20"/>
                <w:szCs w:val="20"/>
              </w:rPr>
              <w:t>400mg x 28</w:t>
            </w:r>
            <w:r w:rsidRPr="00D928C5">
              <w:rPr>
                <w:rFonts w:ascii="Arial Narrow" w:hAnsi="Arial Narrow"/>
                <w:sz w:val="20"/>
                <w:szCs w:val="20"/>
                <w:vertAlign w:val="superscript"/>
              </w:rPr>
              <w:t>#</w:t>
            </w:r>
            <w:r w:rsidRPr="00D928C5">
              <w:rPr>
                <w:rFonts w:ascii="Arial Narrow" w:hAnsi="Arial Narrow"/>
                <w:sz w:val="20"/>
                <w:szCs w:val="20"/>
              </w:rPr>
              <w:t xml:space="preserve"> x 2: </w:t>
            </w:r>
            <w:r w:rsidRPr="00D928C5">
              <w:rPr>
                <w:rFonts w:ascii="Arial Narrow" w:hAnsi="Arial Narrow"/>
                <w:sz w:val="20"/>
                <w:szCs w:val="20"/>
              </w:rPr>
              <w:tab/>
              <w:t>$</w:t>
            </w:r>
            <w:r w:rsidR="00F53974">
              <w:rPr>
                <w:rFonts w:ascii="Arial Narrow" w:hAnsi="Arial Narrow"/>
                <w:noProof/>
                <w:color w:val="000000"/>
                <w:sz w:val="20"/>
                <w:szCs w:val="20"/>
                <w:highlight w:val="black"/>
              </w:rPr>
              <w:t>'''''''''''''''''</w:t>
            </w:r>
          </w:p>
          <w:p w:rsidR="000729B9" w:rsidRPr="00D928C5" w:rsidRDefault="000729B9" w:rsidP="000729B9">
            <w:pPr>
              <w:pStyle w:val="ListParagraph"/>
              <w:ind w:left="0"/>
              <w:jc w:val="both"/>
              <w:rPr>
                <w:rFonts w:ascii="Arial Narrow" w:hAnsi="Arial Narrow"/>
                <w:sz w:val="20"/>
                <w:szCs w:val="20"/>
              </w:rPr>
            </w:pPr>
          </w:p>
          <w:p w:rsidR="00B06F04" w:rsidRPr="00D928C5" w:rsidRDefault="000729B9" w:rsidP="000729B9">
            <w:pPr>
              <w:pStyle w:val="ListParagraph"/>
              <w:ind w:left="0"/>
              <w:jc w:val="both"/>
              <w:rPr>
                <w:rFonts w:ascii="Arial Narrow" w:hAnsi="Arial Narrow"/>
                <w:sz w:val="20"/>
                <w:szCs w:val="20"/>
              </w:rPr>
            </w:pPr>
            <w:r w:rsidRPr="00D928C5">
              <w:rPr>
                <w:rFonts w:ascii="Arial Narrow" w:hAnsi="Arial Narrow"/>
                <w:sz w:val="20"/>
                <w:szCs w:val="20"/>
              </w:rPr>
              <w:t>600mg x 28</w:t>
            </w:r>
            <w:r w:rsidRPr="00D928C5">
              <w:rPr>
                <w:rFonts w:ascii="Arial Narrow" w:hAnsi="Arial Narrow"/>
                <w:sz w:val="20"/>
                <w:szCs w:val="20"/>
                <w:vertAlign w:val="superscript"/>
              </w:rPr>
              <w:t>#</w:t>
            </w:r>
            <w:r w:rsidRPr="00D928C5">
              <w:rPr>
                <w:rFonts w:ascii="Arial Narrow" w:hAnsi="Arial Narrow"/>
                <w:sz w:val="20"/>
                <w:szCs w:val="20"/>
              </w:rPr>
              <w:t xml:space="preserve"> x 2: </w:t>
            </w:r>
            <w:r w:rsidRPr="00D928C5">
              <w:rPr>
                <w:rFonts w:ascii="Arial Narrow" w:hAnsi="Arial Narrow"/>
                <w:sz w:val="20"/>
                <w:szCs w:val="20"/>
              </w:rPr>
              <w:tab/>
              <w:t>$</w:t>
            </w:r>
            <w:r w:rsidR="00F53974">
              <w:rPr>
                <w:rFonts w:ascii="Arial Narrow" w:hAnsi="Arial Narrow"/>
                <w:noProof/>
                <w:color w:val="000000"/>
                <w:sz w:val="20"/>
                <w:szCs w:val="20"/>
                <w:highlight w:val="black"/>
              </w:rPr>
              <w:t>'''''''''''''''</w:t>
            </w:r>
          </w:p>
          <w:p w:rsidR="00683F3C" w:rsidRPr="00D928C5" w:rsidRDefault="00683F3C" w:rsidP="00506A0D">
            <w:pPr>
              <w:pStyle w:val="ListParagraph"/>
              <w:ind w:left="0"/>
              <w:jc w:val="both"/>
              <w:rPr>
                <w:rFonts w:ascii="Arial Narrow" w:hAnsi="Arial Narrow"/>
                <w:sz w:val="20"/>
                <w:szCs w:val="20"/>
              </w:rPr>
            </w:pPr>
            <w:r w:rsidRPr="00D928C5">
              <w:rPr>
                <w:rFonts w:ascii="Arial Narrow" w:hAnsi="Arial Narrow"/>
                <w:sz w:val="20"/>
                <w:szCs w:val="20"/>
              </w:rPr>
              <w:t xml:space="preserve">The proposed DPMQ included general schedule mark ups and fees and a </w:t>
            </w:r>
            <w:r w:rsidR="00F53974">
              <w:rPr>
                <w:rFonts w:ascii="Arial Narrow" w:hAnsi="Arial Narrow"/>
                <w:noProof/>
                <w:color w:val="000000"/>
                <w:sz w:val="20"/>
                <w:szCs w:val="20"/>
                <w:highlight w:val="black"/>
              </w:rPr>
              <w:t>''''''</w:t>
            </w:r>
            <w:r w:rsidRPr="00606F12">
              <w:rPr>
                <w:rFonts w:ascii="Arial Narrow" w:hAnsi="Arial Narrow"/>
                <w:sz w:val="20"/>
                <w:szCs w:val="20"/>
              </w:rPr>
              <w:t xml:space="preserve">% </w:t>
            </w:r>
            <w:r w:rsidRPr="00D928C5">
              <w:rPr>
                <w:rFonts w:ascii="Arial Narrow" w:hAnsi="Arial Narrow"/>
                <w:sz w:val="20"/>
                <w:szCs w:val="20"/>
              </w:rPr>
              <w:t>reduction in the ex-manufacturer price.</w:t>
            </w:r>
          </w:p>
        </w:tc>
      </w:tr>
      <w:tr w:rsidR="00B06F04" w:rsidRPr="00D928C5" w:rsidTr="00032118">
        <w:tc>
          <w:tcPr>
            <w:tcW w:w="1231" w:type="dxa"/>
          </w:tcPr>
          <w:p w:rsidR="00B06F04" w:rsidRPr="00D928C5" w:rsidRDefault="008C36BF" w:rsidP="00882085">
            <w:pPr>
              <w:pStyle w:val="ListParagraph"/>
              <w:ind w:left="0"/>
              <w:jc w:val="both"/>
              <w:rPr>
                <w:rFonts w:ascii="Arial Narrow" w:hAnsi="Arial Narrow"/>
                <w:sz w:val="20"/>
                <w:szCs w:val="20"/>
              </w:rPr>
            </w:pPr>
            <w:r w:rsidRPr="00D928C5">
              <w:rPr>
                <w:rFonts w:ascii="Arial Narrow" w:hAnsi="Arial Narrow"/>
                <w:sz w:val="20"/>
                <w:szCs w:val="20"/>
              </w:rPr>
              <w:t>Economic analysis</w:t>
            </w:r>
          </w:p>
        </w:tc>
        <w:tc>
          <w:tcPr>
            <w:tcW w:w="4536" w:type="dxa"/>
          </w:tcPr>
          <w:p w:rsidR="00B06F04" w:rsidRPr="00D928C5" w:rsidRDefault="000729B9" w:rsidP="000729B9">
            <w:pPr>
              <w:pStyle w:val="ListParagraph"/>
              <w:ind w:left="0"/>
              <w:jc w:val="both"/>
              <w:rPr>
                <w:rFonts w:ascii="Arial Narrow" w:hAnsi="Arial Narrow"/>
                <w:sz w:val="20"/>
                <w:szCs w:val="20"/>
              </w:rPr>
            </w:pPr>
            <w:r w:rsidRPr="00D928C5">
              <w:rPr>
                <w:rFonts w:ascii="Arial Narrow" w:hAnsi="Arial Narrow"/>
                <w:sz w:val="20"/>
                <w:szCs w:val="20"/>
              </w:rPr>
              <w:t>The proposed price</w:t>
            </w:r>
            <w:r w:rsidR="00F7279B" w:rsidRPr="00D928C5">
              <w:rPr>
                <w:rFonts w:ascii="Arial Narrow" w:hAnsi="Arial Narrow"/>
                <w:sz w:val="20"/>
                <w:szCs w:val="20"/>
              </w:rPr>
              <w:t>s</w:t>
            </w:r>
            <w:r w:rsidRPr="00D928C5">
              <w:rPr>
                <w:rFonts w:ascii="Arial Narrow" w:hAnsi="Arial Narrow"/>
                <w:sz w:val="20"/>
                <w:szCs w:val="20"/>
              </w:rPr>
              <w:t xml:space="preserve"> for ribavirin w</w:t>
            </w:r>
            <w:r w:rsidR="00F7279B" w:rsidRPr="00D928C5">
              <w:rPr>
                <w:rFonts w:ascii="Arial Narrow" w:hAnsi="Arial Narrow"/>
                <w:sz w:val="20"/>
                <w:szCs w:val="20"/>
              </w:rPr>
              <w:t>ere</w:t>
            </w:r>
            <w:r w:rsidRPr="00D928C5">
              <w:rPr>
                <w:rFonts w:ascii="Arial Narrow" w:hAnsi="Arial Narrow"/>
                <w:sz w:val="20"/>
                <w:szCs w:val="20"/>
              </w:rPr>
              <w:t xml:space="preserve"> derived from external reference pricing. </w:t>
            </w:r>
          </w:p>
          <w:p w:rsidR="000729B9" w:rsidRPr="00D928C5" w:rsidRDefault="000729B9" w:rsidP="000729B9">
            <w:pPr>
              <w:pStyle w:val="ListParagraph"/>
              <w:ind w:left="0"/>
              <w:jc w:val="both"/>
              <w:rPr>
                <w:rFonts w:ascii="Arial Narrow" w:hAnsi="Arial Narrow"/>
                <w:sz w:val="20"/>
                <w:szCs w:val="20"/>
              </w:rPr>
            </w:pPr>
          </w:p>
          <w:p w:rsidR="000729B9" w:rsidRPr="00D928C5" w:rsidRDefault="000729B9" w:rsidP="000729B9">
            <w:pPr>
              <w:pStyle w:val="ListParagraph"/>
              <w:ind w:left="0"/>
              <w:jc w:val="both"/>
              <w:rPr>
                <w:rFonts w:ascii="Arial Narrow" w:hAnsi="Arial Narrow"/>
                <w:b/>
                <w:sz w:val="20"/>
                <w:szCs w:val="20"/>
              </w:rPr>
            </w:pPr>
            <w:r w:rsidRPr="00D928C5">
              <w:rPr>
                <w:rFonts w:ascii="Arial Narrow" w:hAnsi="Arial Narrow"/>
                <w:b/>
                <w:sz w:val="20"/>
                <w:szCs w:val="20"/>
              </w:rPr>
              <w:t>PBAC comment:</w:t>
            </w:r>
          </w:p>
          <w:p w:rsidR="0065067C" w:rsidRPr="00D928C5" w:rsidRDefault="000729B9" w:rsidP="00B1320F">
            <w:pPr>
              <w:pStyle w:val="ListParagraph"/>
              <w:numPr>
                <w:ilvl w:val="0"/>
                <w:numId w:val="8"/>
              </w:numPr>
              <w:ind w:left="175" w:hanging="175"/>
              <w:jc w:val="both"/>
              <w:rPr>
                <w:rFonts w:ascii="Arial Narrow" w:hAnsi="Arial Narrow"/>
                <w:sz w:val="20"/>
                <w:szCs w:val="20"/>
              </w:rPr>
            </w:pPr>
            <w:r w:rsidRPr="00D928C5">
              <w:rPr>
                <w:rFonts w:ascii="Arial Narrow" w:hAnsi="Arial Narrow"/>
                <w:sz w:val="20"/>
                <w:szCs w:val="20"/>
              </w:rPr>
              <w:t>The approach presented in the submission, based on international reference pricing</w:t>
            </w:r>
            <w:r w:rsidR="007E3809" w:rsidRPr="00D928C5">
              <w:rPr>
                <w:rFonts w:ascii="Arial Narrow" w:hAnsi="Arial Narrow"/>
                <w:sz w:val="20"/>
                <w:szCs w:val="20"/>
              </w:rPr>
              <w:t>,</w:t>
            </w:r>
            <w:r w:rsidRPr="00D928C5">
              <w:rPr>
                <w:rFonts w:ascii="Arial Narrow" w:hAnsi="Arial Narrow"/>
                <w:sz w:val="20"/>
                <w:szCs w:val="20"/>
              </w:rPr>
              <w:t xml:space="preserve"> was not informative for valuing ribavirin in the Australian context</w:t>
            </w:r>
            <w:r w:rsidR="0065067C" w:rsidRPr="00D928C5">
              <w:rPr>
                <w:rFonts w:ascii="Arial Narrow" w:hAnsi="Arial Narrow"/>
                <w:sz w:val="20"/>
                <w:szCs w:val="20"/>
              </w:rPr>
              <w:t>;</w:t>
            </w:r>
          </w:p>
          <w:p w:rsidR="000729B9" w:rsidRPr="00D928C5" w:rsidRDefault="0065067C" w:rsidP="00B1320F">
            <w:pPr>
              <w:pStyle w:val="ListParagraph"/>
              <w:numPr>
                <w:ilvl w:val="0"/>
                <w:numId w:val="8"/>
              </w:numPr>
              <w:ind w:left="175" w:hanging="175"/>
              <w:jc w:val="both"/>
              <w:rPr>
                <w:rFonts w:ascii="Arial Narrow" w:hAnsi="Arial Narrow"/>
                <w:sz w:val="20"/>
                <w:szCs w:val="20"/>
              </w:rPr>
            </w:pPr>
            <w:r w:rsidRPr="00D928C5">
              <w:rPr>
                <w:rFonts w:ascii="Arial Narrow" w:hAnsi="Arial Narrow"/>
                <w:sz w:val="20"/>
                <w:szCs w:val="20"/>
              </w:rPr>
              <w:t>The PBAC noted that the submission presented an analysis of the ‘shadow price’ of ribavirin on the PBS. The PBAC considered that, though mathematically correct to use negative unit costs for deriving a weighted price, it was more appropriate to exclude negative costs in this analysis;</w:t>
            </w:r>
          </w:p>
          <w:p w:rsidR="0065067C" w:rsidRPr="00D928C5" w:rsidRDefault="000729B9" w:rsidP="00B1320F">
            <w:pPr>
              <w:pStyle w:val="ListParagraph"/>
              <w:numPr>
                <w:ilvl w:val="0"/>
                <w:numId w:val="8"/>
              </w:numPr>
              <w:ind w:left="175" w:hanging="175"/>
              <w:jc w:val="both"/>
              <w:rPr>
                <w:rFonts w:ascii="Arial Narrow" w:hAnsi="Arial Narrow"/>
                <w:sz w:val="20"/>
                <w:szCs w:val="20"/>
              </w:rPr>
            </w:pPr>
            <w:r w:rsidRPr="00D928C5">
              <w:rPr>
                <w:rFonts w:ascii="Arial Narrow" w:hAnsi="Arial Narrow"/>
                <w:sz w:val="20"/>
                <w:szCs w:val="20"/>
              </w:rPr>
              <w:t xml:space="preserve">The PBAC were of a mind to approve listing if stand-alone ribavirin was cost-minimised to the ribavirin in the co-pack with peginterferon most likely to be replaced, based on current usage, and </w:t>
            </w:r>
            <w:r w:rsidR="009D64C0" w:rsidRPr="00D928C5">
              <w:rPr>
                <w:rFonts w:ascii="Arial Narrow" w:hAnsi="Arial Narrow"/>
                <w:sz w:val="20"/>
                <w:szCs w:val="20"/>
              </w:rPr>
              <w:t>if</w:t>
            </w:r>
            <w:r w:rsidRPr="00D928C5">
              <w:rPr>
                <w:rFonts w:ascii="Arial Narrow" w:hAnsi="Arial Narrow"/>
                <w:sz w:val="20"/>
                <w:szCs w:val="20"/>
              </w:rPr>
              <w:t xml:space="preserve"> the cost of the total treatment course remained in the acceptable willingness-to-pay threshold for a CHC patient weighting less than 75kg</w:t>
            </w:r>
            <w:r w:rsidR="0065067C" w:rsidRPr="00D928C5">
              <w:rPr>
                <w:rFonts w:ascii="Arial Narrow" w:hAnsi="Arial Narrow"/>
                <w:sz w:val="20"/>
                <w:szCs w:val="20"/>
              </w:rPr>
              <w:t>; and</w:t>
            </w:r>
            <w:r w:rsidRPr="00D928C5">
              <w:rPr>
                <w:rFonts w:ascii="Arial Narrow" w:hAnsi="Arial Narrow"/>
                <w:sz w:val="20"/>
                <w:szCs w:val="20"/>
              </w:rPr>
              <w:t xml:space="preserve"> </w:t>
            </w:r>
          </w:p>
          <w:p w:rsidR="000729B9" w:rsidRPr="00D928C5" w:rsidRDefault="000729B9" w:rsidP="00B1320F">
            <w:pPr>
              <w:pStyle w:val="ListParagraph"/>
              <w:numPr>
                <w:ilvl w:val="0"/>
                <w:numId w:val="8"/>
              </w:numPr>
              <w:ind w:left="175" w:hanging="175"/>
              <w:jc w:val="both"/>
              <w:rPr>
                <w:rFonts w:ascii="Arial Narrow" w:hAnsi="Arial Narrow"/>
                <w:sz w:val="20"/>
                <w:szCs w:val="20"/>
              </w:rPr>
            </w:pPr>
            <w:r w:rsidRPr="00D928C5">
              <w:rPr>
                <w:rFonts w:ascii="Arial Narrow" w:hAnsi="Arial Narrow"/>
                <w:sz w:val="20"/>
                <w:szCs w:val="20"/>
              </w:rPr>
              <w:t>The PBAC noted that the Commentary stated that an alternative approach to determine the ribavirin price could have been to establish the cost-effective price for SOF+R as a combination therapy and then suggest a negotiation between the sponsors of the two products with regard to the disaggregated reimbursed prices for sofosbuvir and ribavirin that they would be willing to have listed on the PBS.</w:t>
            </w:r>
          </w:p>
          <w:p w:rsidR="000801A6" w:rsidRPr="00D928C5" w:rsidRDefault="000801A6" w:rsidP="000801A6">
            <w:pPr>
              <w:pStyle w:val="ListParagraph"/>
              <w:numPr>
                <w:ilvl w:val="0"/>
                <w:numId w:val="8"/>
              </w:numPr>
              <w:ind w:left="175" w:hanging="175"/>
              <w:jc w:val="both"/>
              <w:rPr>
                <w:rFonts w:ascii="Arial Narrow" w:hAnsi="Arial Narrow"/>
                <w:sz w:val="20"/>
                <w:szCs w:val="20"/>
              </w:rPr>
            </w:pPr>
            <w:r w:rsidRPr="00D928C5">
              <w:rPr>
                <w:rFonts w:ascii="Arial Narrow" w:hAnsi="Arial Narrow"/>
                <w:sz w:val="20"/>
                <w:szCs w:val="20"/>
              </w:rPr>
              <w:t xml:space="preserve">During consideration of sofosubvir, daclatasvir and ledipasvir/sofosbuvir at the March 2015 meeting, the PBAC advised the Minister that there was no basis on which to recommend that any one treatment be more expensive than another. </w:t>
            </w:r>
          </w:p>
          <w:p w:rsidR="000801A6" w:rsidRPr="00D928C5" w:rsidRDefault="000801A6" w:rsidP="00404187">
            <w:pPr>
              <w:jc w:val="both"/>
              <w:rPr>
                <w:rFonts w:ascii="Arial Narrow" w:hAnsi="Arial Narrow"/>
                <w:sz w:val="20"/>
                <w:szCs w:val="20"/>
              </w:rPr>
            </w:pPr>
          </w:p>
        </w:tc>
        <w:tc>
          <w:tcPr>
            <w:tcW w:w="2835" w:type="dxa"/>
          </w:tcPr>
          <w:p w:rsidR="00B06F04" w:rsidRPr="00D928C5" w:rsidRDefault="0065067C" w:rsidP="007E3809">
            <w:pPr>
              <w:pStyle w:val="ListParagraph"/>
              <w:ind w:left="0"/>
              <w:jc w:val="both"/>
              <w:rPr>
                <w:rFonts w:ascii="Arial Narrow" w:hAnsi="Arial Narrow"/>
                <w:i/>
                <w:sz w:val="20"/>
                <w:szCs w:val="20"/>
              </w:rPr>
            </w:pPr>
            <w:r w:rsidRPr="00877735">
              <w:rPr>
                <w:rFonts w:ascii="Arial Narrow" w:hAnsi="Arial Narrow"/>
                <w:sz w:val="20"/>
                <w:szCs w:val="20"/>
              </w:rPr>
              <w:t>The requested price</w:t>
            </w:r>
            <w:r w:rsidR="00F7279B" w:rsidRPr="00877735">
              <w:rPr>
                <w:rFonts w:ascii="Arial Narrow" w:hAnsi="Arial Narrow"/>
                <w:sz w:val="20"/>
                <w:szCs w:val="20"/>
              </w:rPr>
              <w:t>s</w:t>
            </w:r>
            <w:r w:rsidRPr="00877735">
              <w:rPr>
                <w:rFonts w:ascii="Arial Narrow" w:hAnsi="Arial Narrow"/>
                <w:sz w:val="20"/>
                <w:szCs w:val="20"/>
              </w:rPr>
              <w:t xml:space="preserve"> for ribavirin w</w:t>
            </w:r>
            <w:r w:rsidR="00F7279B" w:rsidRPr="00877735">
              <w:rPr>
                <w:rFonts w:ascii="Arial Narrow" w:hAnsi="Arial Narrow"/>
                <w:sz w:val="20"/>
                <w:szCs w:val="20"/>
              </w:rPr>
              <w:t>ere</w:t>
            </w:r>
            <w:r w:rsidRPr="00877735">
              <w:rPr>
                <w:rFonts w:ascii="Arial Narrow" w:hAnsi="Arial Narrow"/>
                <w:sz w:val="20"/>
                <w:szCs w:val="20"/>
              </w:rPr>
              <w:t xml:space="preserve"> determined on a cost-</w:t>
            </w:r>
            <w:r w:rsidR="00AD1636" w:rsidRPr="00877735">
              <w:rPr>
                <w:rFonts w:ascii="Arial Narrow" w:hAnsi="Arial Narrow"/>
                <w:sz w:val="20"/>
                <w:szCs w:val="20"/>
              </w:rPr>
              <w:t xml:space="preserve">minimisation </w:t>
            </w:r>
            <w:r w:rsidRPr="00877735">
              <w:rPr>
                <w:rFonts w:ascii="Arial Narrow" w:hAnsi="Arial Narrow"/>
                <w:sz w:val="20"/>
                <w:szCs w:val="20"/>
              </w:rPr>
              <w:t xml:space="preserve">basis to the component of cost attributable to ribavirin </w:t>
            </w:r>
            <w:r w:rsidR="00AB293D" w:rsidRPr="003F183C">
              <w:rPr>
                <w:rFonts w:ascii="Arial Narrow" w:hAnsi="Arial Narrow"/>
                <w:sz w:val="20"/>
                <w:szCs w:val="20"/>
              </w:rPr>
              <w:t xml:space="preserve">within </w:t>
            </w:r>
            <w:r w:rsidRPr="003F183C">
              <w:rPr>
                <w:rFonts w:ascii="Arial Narrow" w:hAnsi="Arial Narrow"/>
                <w:sz w:val="20"/>
                <w:szCs w:val="20"/>
              </w:rPr>
              <w:t>Pegasys RBV®</w:t>
            </w:r>
            <w:r w:rsidRPr="00F9428A">
              <w:rPr>
                <w:rFonts w:ascii="Arial Narrow" w:hAnsi="Arial Narrow"/>
                <w:color w:val="FF0000"/>
                <w:sz w:val="20"/>
                <w:szCs w:val="20"/>
              </w:rPr>
              <w:t xml:space="preserve"> </w:t>
            </w:r>
            <w:r w:rsidR="00F53974">
              <w:rPr>
                <w:rFonts w:ascii="Arial Narrow" w:hAnsi="Arial Narrow"/>
                <w:noProof/>
                <w:color w:val="000000"/>
                <w:sz w:val="20"/>
                <w:szCs w:val="20"/>
                <w:highlight w:val="black"/>
              </w:rPr>
              <w:t>'''''' '''''''''' ''''''''''''''' '''' '''''''''''''''''''''''' ''''''''''''' ''' '''''''''''''''''''''''' '''''''''''' '''''''' ''''''''''''''''' ''''''''''''''''''' '''''''''' '''''''''''''''' ''''''''''''''' ''''''''''''''''''''' '''''''''''''''''''''' ''''' '''''''''''''''''''''' '''''''''''''' ''''''''' '''''''''''''''''''''''''</w:t>
            </w:r>
            <w:r w:rsidR="00B1320F" w:rsidRPr="00F9428A">
              <w:rPr>
                <w:rFonts w:ascii="Arial Narrow" w:hAnsi="Arial Narrow"/>
                <w:sz w:val="20"/>
                <w:szCs w:val="20"/>
              </w:rPr>
              <w:t xml:space="preserve"> </w:t>
            </w:r>
            <w:r w:rsidR="0066064B" w:rsidRPr="00F9428A">
              <w:rPr>
                <w:rFonts w:ascii="Arial Narrow" w:hAnsi="Arial Narrow"/>
                <w:sz w:val="20"/>
                <w:szCs w:val="20"/>
              </w:rPr>
              <w:t>(Table 2)</w:t>
            </w:r>
            <w:r w:rsidR="008C36BF" w:rsidRPr="00F9428A">
              <w:rPr>
                <w:rFonts w:ascii="Arial Narrow" w:hAnsi="Arial Narrow"/>
                <w:sz w:val="20"/>
                <w:szCs w:val="20"/>
              </w:rPr>
              <w:t xml:space="preserve">. </w:t>
            </w:r>
            <w:r w:rsidR="00BA3924" w:rsidRPr="00D928C5">
              <w:rPr>
                <w:rFonts w:ascii="Arial Narrow" w:hAnsi="Arial Narrow"/>
                <w:sz w:val="20"/>
                <w:szCs w:val="20"/>
              </w:rPr>
              <w:t>Not from the submission, a</w:t>
            </w:r>
            <w:r w:rsidR="00A51F33" w:rsidRPr="00D928C5">
              <w:rPr>
                <w:rFonts w:ascii="Arial Narrow" w:hAnsi="Arial Narrow"/>
                <w:sz w:val="20"/>
                <w:szCs w:val="20"/>
              </w:rPr>
              <w:t xml:space="preserve"> weighted shadow price for ribavirin was calculated </w:t>
            </w:r>
            <w:r w:rsidR="007E3809" w:rsidRPr="00D928C5">
              <w:rPr>
                <w:rFonts w:ascii="Arial Narrow" w:hAnsi="Arial Narrow"/>
                <w:sz w:val="20"/>
                <w:szCs w:val="20"/>
              </w:rPr>
              <w:t>according to PBAC advice</w:t>
            </w:r>
            <w:r w:rsidR="00A51F33" w:rsidRPr="00D928C5">
              <w:rPr>
                <w:rFonts w:ascii="Arial Narrow" w:hAnsi="Arial Narrow"/>
                <w:sz w:val="20"/>
                <w:szCs w:val="20"/>
              </w:rPr>
              <w:t xml:space="preserve">, </w:t>
            </w:r>
            <w:r w:rsidR="007E3809" w:rsidRPr="00F9428A">
              <w:rPr>
                <w:rFonts w:ascii="Arial Narrow" w:hAnsi="Arial Narrow"/>
                <w:sz w:val="20"/>
                <w:szCs w:val="20"/>
              </w:rPr>
              <w:t xml:space="preserve">ie </w:t>
            </w:r>
            <w:r w:rsidR="00F53974">
              <w:rPr>
                <w:rFonts w:ascii="Arial Narrow" w:hAnsi="Arial Narrow"/>
                <w:noProof/>
                <w:color w:val="000000"/>
                <w:sz w:val="20"/>
                <w:szCs w:val="20"/>
                <w:highlight w:val="black"/>
              </w:rPr>
              <w:t>''''''''''''' ''''''' '''''''''''''''' '''''''''' '''''''''''''' '''''' ''''''''''''''''''''''''''''''''' ''''''''''''''''''''' ''''''''' ''''''''''' '''''''''''''''''''''''''''''''''''' ''''''''''''''''''''''''''''' ''''''''''''''''''''''' '''''''''' ''''''''''''''''''''''' '''''''' ''''''''''''''''''' ''''''''' '''''''''''</w:t>
            </w:r>
            <w:r w:rsidR="00F9428A" w:rsidRPr="00F9428A">
              <w:rPr>
                <w:rFonts w:ascii="Arial Narrow" w:hAnsi="Arial Narrow"/>
                <w:sz w:val="20"/>
                <w:szCs w:val="20"/>
              </w:rPr>
              <w:t xml:space="preserve"> </w:t>
            </w:r>
            <w:r w:rsidR="0066064B" w:rsidRPr="00F9428A">
              <w:rPr>
                <w:rFonts w:ascii="Arial Narrow" w:hAnsi="Arial Narrow"/>
                <w:sz w:val="20"/>
                <w:szCs w:val="20"/>
              </w:rPr>
              <w:t>(Table 3)</w:t>
            </w:r>
            <w:r w:rsidR="006A0D98" w:rsidRPr="00F9428A">
              <w:rPr>
                <w:rFonts w:ascii="Arial Narrow" w:hAnsi="Arial Narrow"/>
                <w:sz w:val="20"/>
                <w:szCs w:val="20"/>
              </w:rPr>
              <w:t>.</w:t>
            </w:r>
          </w:p>
        </w:tc>
      </w:tr>
      <w:tr w:rsidR="00B06F04" w:rsidRPr="00D928C5" w:rsidTr="00032118">
        <w:tc>
          <w:tcPr>
            <w:tcW w:w="1231" w:type="dxa"/>
            <w:tcBorders>
              <w:bottom w:val="single" w:sz="4" w:space="0" w:color="auto"/>
            </w:tcBorders>
          </w:tcPr>
          <w:p w:rsidR="00B06F04" w:rsidRPr="00D928C5" w:rsidRDefault="008C36BF" w:rsidP="00882085">
            <w:pPr>
              <w:pStyle w:val="ListParagraph"/>
              <w:ind w:left="0"/>
              <w:jc w:val="both"/>
              <w:rPr>
                <w:rFonts w:ascii="Arial Narrow" w:hAnsi="Arial Narrow"/>
                <w:sz w:val="20"/>
                <w:szCs w:val="20"/>
              </w:rPr>
            </w:pPr>
            <w:r w:rsidRPr="00D928C5">
              <w:rPr>
                <w:rFonts w:ascii="Arial Narrow" w:hAnsi="Arial Narrow"/>
                <w:sz w:val="20"/>
                <w:szCs w:val="20"/>
              </w:rPr>
              <w:t>Financial analysis</w:t>
            </w:r>
          </w:p>
        </w:tc>
        <w:tc>
          <w:tcPr>
            <w:tcW w:w="4536" w:type="dxa"/>
            <w:tcBorders>
              <w:bottom w:val="single" w:sz="4" w:space="0" w:color="auto"/>
            </w:tcBorders>
          </w:tcPr>
          <w:p w:rsidR="00B06F04" w:rsidRPr="00D928C5" w:rsidRDefault="008C36BF" w:rsidP="00882085">
            <w:pPr>
              <w:pStyle w:val="ListParagraph"/>
              <w:ind w:left="0"/>
              <w:jc w:val="both"/>
              <w:rPr>
                <w:rFonts w:ascii="Arial Narrow" w:hAnsi="Arial Narrow"/>
                <w:sz w:val="20"/>
                <w:szCs w:val="20"/>
              </w:rPr>
            </w:pPr>
            <w:r w:rsidRPr="00D928C5">
              <w:rPr>
                <w:rFonts w:ascii="Arial Narrow" w:hAnsi="Arial Narrow"/>
                <w:sz w:val="20"/>
                <w:szCs w:val="20"/>
              </w:rPr>
              <w:t xml:space="preserve">Number of patients likely to receive ribavirin: </w:t>
            </w:r>
            <w:r w:rsidR="00681699">
              <w:rPr>
                <w:rFonts w:ascii="Arial Narrow" w:hAnsi="Arial Narrow"/>
                <w:sz w:val="20"/>
                <w:szCs w:val="20"/>
              </w:rPr>
              <w:t xml:space="preserve">less than 10,000 </w:t>
            </w:r>
            <w:r w:rsidRPr="00D928C5">
              <w:rPr>
                <w:rFonts w:ascii="Arial Narrow" w:hAnsi="Arial Narrow"/>
                <w:sz w:val="20"/>
                <w:szCs w:val="20"/>
              </w:rPr>
              <w:t xml:space="preserve">in Year 1, increasing to </w:t>
            </w:r>
            <w:r w:rsidR="00681699">
              <w:rPr>
                <w:rFonts w:ascii="Arial Narrow" w:hAnsi="Arial Narrow"/>
                <w:sz w:val="20"/>
                <w:szCs w:val="20"/>
              </w:rPr>
              <w:t>less than 10,000</w:t>
            </w:r>
            <w:r w:rsidR="003E2A6B">
              <w:rPr>
                <w:rFonts w:ascii="Arial Narrow" w:hAnsi="Arial Narrow"/>
                <w:sz w:val="20"/>
                <w:szCs w:val="20"/>
              </w:rPr>
              <w:t xml:space="preserve"> </w:t>
            </w:r>
            <w:r w:rsidRPr="00D928C5">
              <w:rPr>
                <w:rFonts w:ascii="Arial Narrow" w:hAnsi="Arial Narrow"/>
                <w:sz w:val="20"/>
                <w:szCs w:val="20"/>
              </w:rPr>
              <w:t xml:space="preserve">in Year 5 </w:t>
            </w:r>
          </w:p>
          <w:p w:rsidR="008C36BF" w:rsidRPr="00D928C5" w:rsidRDefault="008C36BF" w:rsidP="00882085">
            <w:pPr>
              <w:pStyle w:val="ListParagraph"/>
              <w:ind w:left="0"/>
              <w:jc w:val="both"/>
              <w:rPr>
                <w:rFonts w:ascii="Arial Narrow" w:hAnsi="Arial Narrow"/>
                <w:sz w:val="20"/>
                <w:szCs w:val="20"/>
              </w:rPr>
            </w:pPr>
            <w:r w:rsidRPr="00D928C5">
              <w:rPr>
                <w:rFonts w:ascii="Arial Narrow" w:hAnsi="Arial Narrow"/>
                <w:sz w:val="20"/>
                <w:szCs w:val="20"/>
              </w:rPr>
              <w:t xml:space="preserve">Net costs to the PBS: </w:t>
            </w:r>
            <w:r w:rsidR="00681699">
              <w:rPr>
                <w:rFonts w:ascii="Arial Narrow" w:hAnsi="Arial Narrow"/>
                <w:sz w:val="20"/>
                <w:szCs w:val="20"/>
              </w:rPr>
              <w:t xml:space="preserve">less than $10 million </w:t>
            </w:r>
            <w:r w:rsidRPr="00D928C5">
              <w:rPr>
                <w:rFonts w:ascii="Arial Narrow" w:hAnsi="Arial Narrow"/>
                <w:sz w:val="20"/>
                <w:szCs w:val="20"/>
              </w:rPr>
              <w:t>in Year 1</w:t>
            </w:r>
            <w:r w:rsidR="00032118" w:rsidRPr="00D928C5">
              <w:rPr>
                <w:rFonts w:ascii="Arial Narrow" w:hAnsi="Arial Narrow"/>
                <w:sz w:val="20"/>
                <w:szCs w:val="20"/>
              </w:rPr>
              <w:t xml:space="preserve">, increasing </w:t>
            </w:r>
            <w:r w:rsidR="009D64C0" w:rsidRPr="00D928C5">
              <w:rPr>
                <w:rFonts w:ascii="Arial Narrow" w:hAnsi="Arial Narrow"/>
                <w:sz w:val="20"/>
                <w:szCs w:val="20"/>
              </w:rPr>
              <w:t xml:space="preserve">to </w:t>
            </w:r>
            <w:r w:rsidR="00681699">
              <w:rPr>
                <w:rFonts w:ascii="Arial Narrow" w:hAnsi="Arial Narrow"/>
                <w:sz w:val="20"/>
                <w:szCs w:val="20"/>
              </w:rPr>
              <w:t xml:space="preserve">between $10-$20 million </w:t>
            </w:r>
            <w:r w:rsidRPr="00D928C5">
              <w:rPr>
                <w:rFonts w:ascii="Arial Narrow" w:hAnsi="Arial Narrow"/>
                <w:sz w:val="20"/>
                <w:szCs w:val="20"/>
              </w:rPr>
              <w:t>in Year 5</w:t>
            </w:r>
          </w:p>
          <w:p w:rsidR="008C36BF" w:rsidRPr="00D928C5" w:rsidRDefault="008C36BF" w:rsidP="00882085">
            <w:pPr>
              <w:pStyle w:val="ListParagraph"/>
              <w:ind w:left="0"/>
              <w:jc w:val="both"/>
              <w:rPr>
                <w:rFonts w:ascii="Arial Narrow" w:hAnsi="Arial Narrow"/>
                <w:sz w:val="20"/>
                <w:szCs w:val="20"/>
              </w:rPr>
            </w:pPr>
          </w:p>
          <w:p w:rsidR="00032118" w:rsidRPr="00D928C5" w:rsidRDefault="00032118" w:rsidP="00882085">
            <w:pPr>
              <w:pStyle w:val="ListParagraph"/>
              <w:ind w:left="0"/>
              <w:jc w:val="both"/>
              <w:rPr>
                <w:rFonts w:ascii="Arial Narrow" w:hAnsi="Arial Narrow"/>
                <w:b/>
                <w:sz w:val="20"/>
                <w:szCs w:val="20"/>
              </w:rPr>
            </w:pPr>
            <w:r w:rsidRPr="00D928C5">
              <w:rPr>
                <w:rFonts w:ascii="Arial Narrow" w:hAnsi="Arial Narrow"/>
                <w:b/>
                <w:sz w:val="20"/>
                <w:szCs w:val="20"/>
              </w:rPr>
              <w:t>PBAC comment:</w:t>
            </w:r>
          </w:p>
          <w:p w:rsidR="00032118" w:rsidRPr="00D928C5" w:rsidRDefault="00032118" w:rsidP="00B1320F">
            <w:pPr>
              <w:pStyle w:val="ListParagraph"/>
              <w:numPr>
                <w:ilvl w:val="0"/>
                <w:numId w:val="8"/>
              </w:numPr>
              <w:ind w:left="175" w:hanging="175"/>
              <w:jc w:val="both"/>
              <w:rPr>
                <w:rFonts w:ascii="Arial Narrow" w:hAnsi="Arial Narrow"/>
                <w:sz w:val="20"/>
                <w:szCs w:val="20"/>
              </w:rPr>
            </w:pPr>
            <w:r w:rsidRPr="00D928C5">
              <w:rPr>
                <w:rFonts w:ascii="Arial Narrow" w:hAnsi="Arial Narrow"/>
                <w:sz w:val="20"/>
                <w:szCs w:val="20"/>
              </w:rPr>
              <w:t xml:space="preserve">The PBAC noted the estimates by DUSC, during the consideration of items 5.03, 5.06, 5.13 and 7.04. The number of patients of all genotypes estimated to be treated over the first five years of listing of new treatments would be </w:t>
            </w:r>
            <w:r w:rsidR="00681699">
              <w:rPr>
                <w:rFonts w:ascii="Arial Narrow" w:hAnsi="Arial Narrow"/>
                <w:sz w:val="20"/>
                <w:szCs w:val="20"/>
              </w:rPr>
              <w:t>less than 10,000</w:t>
            </w:r>
            <w:r w:rsidR="003E2A6B">
              <w:rPr>
                <w:rFonts w:ascii="Arial Narrow" w:hAnsi="Arial Narrow"/>
                <w:sz w:val="20"/>
                <w:szCs w:val="20"/>
              </w:rPr>
              <w:t xml:space="preserve"> </w:t>
            </w:r>
            <w:r w:rsidRPr="00D928C5">
              <w:rPr>
                <w:rFonts w:ascii="Arial Narrow" w:hAnsi="Arial Narrow"/>
                <w:sz w:val="20"/>
                <w:szCs w:val="20"/>
              </w:rPr>
              <w:t xml:space="preserve">in Year 1, increasing to </w:t>
            </w:r>
            <w:r w:rsidR="00681699">
              <w:rPr>
                <w:rFonts w:ascii="Arial Narrow" w:hAnsi="Arial Narrow"/>
                <w:sz w:val="20"/>
                <w:szCs w:val="20"/>
              </w:rPr>
              <w:t>10,000-50,000</w:t>
            </w:r>
            <w:r w:rsidR="003E2A6B">
              <w:rPr>
                <w:rFonts w:ascii="Arial Narrow" w:hAnsi="Arial Narrow"/>
                <w:sz w:val="20"/>
                <w:szCs w:val="20"/>
              </w:rPr>
              <w:t xml:space="preserve"> </w:t>
            </w:r>
            <w:r w:rsidRPr="00D928C5">
              <w:rPr>
                <w:rFonts w:ascii="Arial Narrow" w:hAnsi="Arial Narrow"/>
                <w:sz w:val="20"/>
                <w:szCs w:val="20"/>
              </w:rPr>
              <w:t>in Year 5 (higher than the submission’s estimate (</w:t>
            </w:r>
            <w:r w:rsidR="00681699">
              <w:rPr>
                <w:rFonts w:ascii="Arial Narrow" w:hAnsi="Arial Narrow"/>
                <w:sz w:val="20"/>
                <w:szCs w:val="20"/>
              </w:rPr>
              <w:t xml:space="preserve"> less than 10,000</w:t>
            </w:r>
            <w:r w:rsidRPr="00D928C5">
              <w:rPr>
                <w:rFonts w:ascii="Arial Narrow" w:hAnsi="Arial Narrow"/>
                <w:sz w:val="20"/>
                <w:szCs w:val="20"/>
              </w:rPr>
              <w:t>)</w:t>
            </w:r>
            <w:r w:rsidR="00C75894" w:rsidRPr="00D928C5">
              <w:rPr>
                <w:rFonts w:ascii="Arial Narrow" w:hAnsi="Arial Narrow"/>
                <w:sz w:val="20"/>
                <w:szCs w:val="20"/>
              </w:rPr>
              <w:t>)</w:t>
            </w:r>
            <w:r w:rsidRPr="00D928C5">
              <w:rPr>
                <w:rFonts w:ascii="Arial Narrow" w:hAnsi="Arial Narrow"/>
                <w:sz w:val="20"/>
                <w:szCs w:val="20"/>
              </w:rPr>
              <w:t>.</w:t>
            </w:r>
          </w:p>
          <w:p w:rsidR="00032118" w:rsidRPr="00D928C5" w:rsidRDefault="00032118" w:rsidP="00B1320F">
            <w:pPr>
              <w:pStyle w:val="ListParagraph"/>
              <w:numPr>
                <w:ilvl w:val="0"/>
                <w:numId w:val="8"/>
              </w:numPr>
              <w:ind w:left="175" w:hanging="175"/>
              <w:jc w:val="both"/>
              <w:rPr>
                <w:rFonts w:ascii="Arial Narrow" w:hAnsi="Arial Narrow"/>
                <w:sz w:val="20"/>
                <w:szCs w:val="20"/>
              </w:rPr>
            </w:pPr>
            <w:r w:rsidRPr="00D928C5">
              <w:rPr>
                <w:rFonts w:ascii="Arial Narrow" w:hAnsi="Arial Narrow"/>
                <w:sz w:val="20"/>
                <w:szCs w:val="20"/>
              </w:rPr>
              <w:t xml:space="preserve">The PBAC considered that the advice received from the Australian Liver Association, namely Bruggmann </w:t>
            </w:r>
            <w:r w:rsidRPr="00D928C5">
              <w:rPr>
                <w:rFonts w:ascii="Arial Narrow" w:hAnsi="Arial Narrow"/>
                <w:i/>
                <w:sz w:val="20"/>
                <w:szCs w:val="20"/>
              </w:rPr>
              <w:t>et al</w:t>
            </w:r>
            <w:r w:rsidRPr="00D928C5">
              <w:rPr>
                <w:rFonts w:ascii="Arial Narrow" w:hAnsi="Arial Narrow"/>
                <w:sz w:val="20"/>
                <w:szCs w:val="20"/>
              </w:rPr>
              <w:t>. (2014), was the most appropriate source of HCV genotype distribution in Australia.</w:t>
            </w:r>
          </w:p>
          <w:p w:rsidR="00B10579" w:rsidRPr="00D928C5" w:rsidRDefault="00B10579" w:rsidP="00B1320F">
            <w:pPr>
              <w:pStyle w:val="ListParagraph"/>
              <w:numPr>
                <w:ilvl w:val="0"/>
                <w:numId w:val="8"/>
              </w:numPr>
              <w:ind w:left="175" w:hanging="175"/>
              <w:jc w:val="both"/>
              <w:rPr>
                <w:rFonts w:ascii="Arial Narrow" w:hAnsi="Arial Narrow"/>
                <w:sz w:val="20"/>
                <w:szCs w:val="20"/>
              </w:rPr>
            </w:pPr>
            <w:r w:rsidRPr="00D928C5">
              <w:rPr>
                <w:rFonts w:ascii="Arial Narrow" w:hAnsi="Arial Narrow"/>
                <w:sz w:val="20"/>
                <w:szCs w:val="20"/>
              </w:rPr>
              <w:t>The submission’s estimate of the proportion of patients with genotype 3 CHC seeking an interferon-free treatment of SOF+R (66.8%) was considered an underestimate. The PBAC agreed with ESC and DUSC and considered more appropriate to assume 100% of genotype 3 HCV patients will seek SOF+R.</w:t>
            </w:r>
          </w:p>
        </w:tc>
        <w:tc>
          <w:tcPr>
            <w:tcW w:w="2835" w:type="dxa"/>
            <w:tcBorders>
              <w:bottom w:val="single" w:sz="4" w:space="0" w:color="auto"/>
            </w:tcBorders>
          </w:tcPr>
          <w:p w:rsidR="00B06F04" w:rsidRPr="00606F12" w:rsidRDefault="00032118" w:rsidP="00882085">
            <w:pPr>
              <w:pStyle w:val="ListParagraph"/>
              <w:ind w:left="0"/>
              <w:jc w:val="both"/>
              <w:rPr>
                <w:rFonts w:ascii="Arial Narrow" w:hAnsi="Arial Narrow"/>
                <w:sz w:val="20"/>
                <w:szCs w:val="20"/>
              </w:rPr>
            </w:pPr>
            <w:r w:rsidRPr="00877735">
              <w:rPr>
                <w:rFonts w:ascii="Arial Narrow" w:hAnsi="Arial Narrow"/>
                <w:sz w:val="20"/>
                <w:szCs w:val="20"/>
              </w:rPr>
              <w:t xml:space="preserve">Number of patients likely to receive ribavirin: </w:t>
            </w:r>
            <w:r w:rsidR="00F43D87" w:rsidRPr="00606F12">
              <w:rPr>
                <w:rFonts w:ascii="Arial Narrow" w:hAnsi="Arial Narrow"/>
                <w:sz w:val="20"/>
                <w:szCs w:val="20"/>
              </w:rPr>
              <w:t xml:space="preserve">less than 10,000 </w:t>
            </w:r>
            <w:r w:rsidRPr="00606F12">
              <w:rPr>
                <w:rFonts w:ascii="Arial Narrow" w:hAnsi="Arial Narrow"/>
                <w:sz w:val="20"/>
                <w:szCs w:val="20"/>
              </w:rPr>
              <w:t xml:space="preserve">in Year 1, increasing to </w:t>
            </w:r>
            <w:r w:rsidR="00F43D87" w:rsidRPr="00606F12">
              <w:rPr>
                <w:rFonts w:ascii="Arial Narrow" w:hAnsi="Arial Narrow"/>
                <w:sz w:val="20"/>
                <w:szCs w:val="20"/>
              </w:rPr>
              <w:t xml:space="preserve">less than 10,000 </w:t>
            </w:r>
            <w:r w:rsidRPr="00606F12">
              <w:rPr>
                <w:rFonts w:ascii="Arial Narrow" w:hAnsi="Arial Narrow"/>
                <w:sz w:val="20"/>
                <w:szCs w:val="20"/>
              </w:rPr>
              <w:t>in Year 5</w:t>
            </w:r>
            <w:r w:rsidR="00F9428A">
              <w:rPr>
                <w:rFonts w:ascii="Arial Narrow" w:hAnsi="Arial Narrow"/>
                <w:sz w:val="20"/>
                <w:szCs w:val="20"/>
              </w:rPr>
              <w:t xml:space="preserve">. </w:t>
            </w:r>
          </w:p>
          <w:p w:rsidR="00B10579" w:rsidRPr="00D928C5" w:rsidRDefault="009D64C0" w:rsidP="00882085">
            <w:pPr>
              <w:pStyle w:val="ListParagraph"/>
              <w:ind w:left="0"/>
              <w:jc w:val="both"/>
              <w:rPr>
                <w:rFonts w:ascii="Arial Narrow" w:hAnsi="Arial Narrow"/>
                <w:sz w:val="20"/>
                <w:szCs w:val="20"/>
              </w:rPr>
            </w:pPr>
            <w:r w:rsidRPr="00D928C5">
              <w:rPr>
                <w:rFonts w:ascii="Arial Narrow" w:hAnsi="Arial Narrow"/>
                <w:sz w:val="20"/>
                <w:szCs w:val="20"/>
              </w:rPr>
              <w:t xml:space="preserve">Net costs to the PBS: </w:t>
            </w:r>
            <w:r w:rsidR="00681699">
              <w:rPr>
                <w:rFonts w:ascii="Arial Narrow" w:hAnsi="Arial Narrow"/>
                <w:sz w:val="20"/>
                <w:szCs w:val="20"/>
              </w:rPr>
              <w:t xml:space="preserve"> less than $10 million</w:t>
            </w:r>
            <w:r w:rsidR="003E2A6B">
              <w:rPr>
                <w:rFonts w:ascii="Arial Narrow" w:hAnsi="Arial Narrow"/>
                <w:sz w:val="20"/>
                <w:szCs w:val="20"/>
              </w:rPr>
              <w:t xml:space="preserve"> </w:t>
            </w:r>
            <w:r w:rsidRPr="00D928C5">
              <w:rPr>
                <w:rFonts w:ascii="Arial Narrow" w:hAnsi="Arial Narrow"/>
                <w:sz w:val="20"/>
                <w:szCs w:val="20"/>
              </w:rPr>
              <w:t xml:space="preserve">in Year 1, increasing to </w:t>
            </w:r>
            <w:r w:rsidR="00681699">
              <w:rPr>
                <w:rFonts w:ascii="Arial Narrow" w:hAnsi="Arial Narrow"/>
                <w:sz w:val="20"/>
                <w:szCs w:val="20"/>
              </w:rPr>
              <w:t xml:space="preserve"> between $10 - $20 million </w:t>
            </w:r>
            <w:r w:rsidR="00032118" w:rsidRPr="00D928C5">
              <w:rPr>
                <w:rFonts w:ascii="Arial Narrow" w:hAnsi="Arial Narrow"/>
                <w:sz w:val="20"/>
                <w:szCs w:val="20"/>
              </w:rPr>
              <w:t>in Year 5</w:t>
            </w:r>
          </w:p>
          <w:p w:rsidR="009D64C0" w:rsidRPr="00D928C5" w:rsidRDefault="009D64C0" w:rsidP="00882085">
            <w:pPr>
              <w:pStyle w:val="ListParagraph"/>
              <w:ind w:left="0"/>
              <w:jc w:val="both"/>
              <w:rPr>
                <w:rFonts w:ascii="Arial Narrow" w:hAnsi="Arial Narrow"/>
                <w:sz w:val="20"/>
                <w:szCs w:val="20"/>
              </w:rPr>
            </w:pPr>
          </w:p>
          <w:p w:rsidR="009D64C0" w:rsidRPr="00D928C5" w:rsidRDefault="009D64C0" w:rsidP="009D64C0">
            <w:pPr>
              <w:pStyle w:val="ListParagraph"/>
              <w:ind w:left="0"/>
              <w:jc w:val="both"/>
              <w:rPr>
                <w:rFonts w:ascii="Arial Narrow" w:hAnsi="Arial Narrow"/>
                <w:sz w:val="20"/>
                <w:szCs w:val="20"/>
              </w:rPr>
            </w:pPr>
            <w:r w:rsidRPr="00D928C5">
              <w:rPr>
                <w:rFonts w:ascii="Arial Narrow" w:hAnsi="Arial Narrow"/>
                <w:sz w:val="20"/>
                <w:szCs w:val="20"/>
              </w:rPr>
              <w:t>PBAC’s suggestions for determination of the financial implications associated with the proposed listing of ribavirin have been accepted in full.</w:t>
            </w:r>
          </w:p>
        </w:tc>
      </w:tr>
    </w:tbl>
    <w:p w:rsidR="006A12A5" w:rsidRPr="00D928C5" w:rsidRDefault="00B10579" w:rsidP="00882085">
      <w:pPr>
        <w:pStyle w:val="ListParagraph"/>
        <w:jc w:val="both"/>
        <w:rPr>
          <w:rFonts w:ascii="Arial Narrow" w:hAnsi="Arial Narrow"/>
          <w:sz w:val="18"/>
          <w:szCs w:val="18"/>
        </w:rPr>
      </w:pPr>
      <w:r w:rsidRPr="00D928C5">
        <w:rPr>
          <w:rFonts w:ascii="Arial Narrow" w:hAnsi="Arial Narrow"/>
          <w:sz w:val="18"/>
          <w:szCs w:val="18"/>
        </w:rPr>
        <w:t>CHC = chronic hepatitis C; DPMQ = dispensed price for maximum quantity; HCV = hepatitis C virus; SOF+R</w:t>
      </w:r>
      <w:r w:rsidR="008C2676" w:rsidRPr="00D928C5">
        <w:rPr>
          <w:rFonts w:ascii="Arial Narrow" w:hAnsi="Arial Narrow"/>
          <w:sz w:val="18"/>
          <w:szCs w:val="18"/>
        </w:rPr>
        <w:t xml:space="preserve"> =</w:t>
      </w:r>
      <w:r w:rsidRPr="00D928C5">
        <w:rPr>
          <w:rFonts w:ascii="Arial Narrow" w:hAnsi="Arial Narrow"/>
          <w:sz w:val="18"/>
          <w:szCs w:val="18"/>
        </w:rPr>
        <w:t xml:space="preserve"> sofosbuvir + ribavirin</w:t>
      </w:r>
    </w:p>
    <w:p w:rsidR="00567527" w:rsidRPr="00D928C5" w:rsidRDefault="00567527" w:rsidP="00882085">
      <w:pPr>
        <w:pStyle w:val="ListParagraph"/>
        <w:jc w:val="both"/>
        <w:rPr>
          <w:rFonts w:ascii="Arial Narrow" w:hAnsi="Arial Narrow"/>
          <w:i/>
          <w:sz w:val="18"/>
          <w:szCs w:val="18"/>
        </w:rPr>
      </w:pPr>
      <w:r w:rsidRPr="00D928C5">
        <w:rPr>
          <w:rFonts w:ascii="Arial Narrow" w:hAnsi="Arial Narrow"/>
          <w:i/>
          <w:sz w:val="18"/>
          <w:szCs w:val="18"/>
        </w:rPr>
        <w:t xml:space="preserve">Source: </w:t>
      </w:r>
      <w:r w:rsidR="006A0D98" w:rsidRPr="00D928C5">
        <w:rPr>
          <w:rFonts w:ascii="Arial Narrow" w:hAnsi="Arial Narrow"/>
          <w:i/>
          <w:sz w:val="18"/>
          <w:szCs w:val="18"/>
        </w:rPr>
        <w:t xml:space="preserve">Table </w:t>
      </w:r>
      <w:r w:rsidR="00AE64B1" w:rsidRPr="00D928C5">
        <w:rPr>
          <w:rFonts w:ascii="Arial Narrow" w:hAnsi="Arial Narrow"/>
          <w:i/>
          <w:sz w:val="18"/>
          <w:szCs w:val="18"/>
        </w:rPr>
        <w:t xml:space="preserve">compiled </w:t>
      </w:r>
      <w:r w:rsidR="003416BE" w:rsidRPr="00D928C5">
        <w:rPr>
          <w:rFonts w:ascii="Arial Narrow" w:hAnsi="Arial Narrow"/>
          <w:i/>
          <w:sz w:val="18"/>
          <w:szCs w:val="18"/>
        </w:rPr>
        <w:t xml:space="preserve">for the purpose of the Overview, </w:t>
      </w:r>
      <w:r w:rsidR="00AE64B1" w:rsidRPr="00D928C5">
        <w:rPr>
          <w:rFonts w:ascii="Arial Narrow" w:hAnsi="Arial Narrow"/>
          <w:i/>
          <w:sz w:val="18"/>
          <w:szCs w:val="18"/>
        </w:rPr>
        <w:t xml:space="preserve">based on ribavirin submissions and the </w:t>
      </w:r>
      <w:r w:rsidR="003416BE" w:rsidRPr="00D928C5">
        <w:rPr>
          <w:rFonts w:ascii="Arial Narrow" w:hAnsi="Arial Narrow"/>
          <w:i/>
          <w:sz w:val="18"/>
          <w:szCs w:val="18"/>
        </w:rPr>
        <w:t>March 2015 Ratified PBAC Minutes for ribavirin</w:t>
      </w:r>
      <w:r w:rsidR="00553060" w:rsidRPr="00D928C5">
        <w:rPr>
          <w:rFonts w:ascii="Arial Narrow" w:hAnsi="Arial Narrow"/>
          <w:i/>
          <w:sz w:val="18"/>
          <w:szCs w:val="18"/>
        </w:rPr>
        <w:t>.</w:t>
      </w:r>
    </w:p>
    <w:p w:rsidR="008A1956" w:rsidRPr="00D928C5" w:rsidRDefault="008A1956" w:rsidP="00032118"/>
    <w:p w:rsidR="00032118" w:rsidRPr="00D928C5" w:rsidRDefault="00032118" w:rsidP="00032118"/>
    <w:p w:rsidR="00CE10C4" w:rsidRPr="00D928C5" w:rsidRDefault="00CE10C4" w:rsidP="00B1320F">
      <w:pPr>
        <w:pStyle w:val="ListParagraph"/>
        <w:numPr>
          <w:ilvl w:val="0"/>
          <w:numId w:val="2"/>
        </w:numPr>
        <w:jc w:val="both"/>
        <w:rPr>
          <w:rFonts w:ascii="Arial" w:hAnsi="Arial"/>
          <w:b/>
          <w:sz w:val="22"/>
          <w:szCs w:val="22"/>
        </w:rPr>
      </w:pPr>
      <w:r w:rsidRPr="00D928C5">
        <w:rPr>
          <w:rFonts w:ascii="Arial" w:hAnsi="Arial"/>
          <w:b/>
          <w:sz w:val="22"/>
          <w:szCs w:val="22"/>
        </w:rPr>
        <w:t>Clinical place for the proposed ther</w:t>
      </w:r>
      <w:r w:rsidR="006A12A5" w:rsidRPr="00D928C5">
        <w:rPr>
          <w:rFonts w:ascii="Arial" w:hAnsi="Arial"/>
          <w:b/>
          <w:sz w:val="22"/>
          <w:szCs w:val="22"/>
        </w:rPr>
        <w:t>apy</w:t>
      </w:r>
    </w:p>
    <w:p w:rsidR="00CE10C4" w:rsidRPr="00D928C5" w:rsidRDefault="00CE10C4" w:rsidP="00882085">
      <w:pPr>
        <w:jc w:val="both"/>
        <w:rPr>
          <w:rFonts w:ascii="Arial" w:hAnsi="Arial"/>
          <w:sz w:val="22"/>
          <w:szCs w:val="22"/>
        </w:rPr>
      </w:pPr>
    </w:p>
    <w:p w:rsidR="006A12A5" w:rsidRPr="00D928C5" w:rsidRDefault="008C2676" w:rsidP="00B1320F">
      <w:pPr>
        <w:pStyle w:val="ListParagraph"/>
        <w:numPr>
          <w:ilvl w:val="1"/>
          <w:numId w:val="2"/>
        </w:numPr>
        <w:jc w:val="both"/>
        <w:rPr>
          <w:rFonts w:ascii="Arial" w:hAnsi="Arial"/>
          <w:sz w:val="22"/>
          <w:szCs w:val="22"/>
        </w:rPr>
      </w:pPr>
      <w:r w:rsidRPr="00D928C5">
        <w:rPr>
          <w:rFonts w:ascii="Arial" w:hAnsi="Arial"/>
          <w:sz w:val="22"/>
          <w:szCs w:val="22"/>
        </w:rPr>
        <w:t xml:space="preserve">In Australia, ribavirin </w:t>
      </w:r>
      <w:r w:rsidR="005C5E11" w:rsidRPr="00D928C5">
        <w:rPr>
          <w:rFonts w:ascii="Arial" w:hAnsi="Arial"/>
          <w:sz w:val="22"/>
          <w:szCs w:val="22"/>
        </w:rPr>
        <w:t xml:space="preserve">has not been listed as a stand-alone medicine on the PBS and </w:t>
      </w:r>
      <w:r w:rsidRPr="00D928C5">
        <w:rPr>
          <w:rFonts w:ascii="Arial" w:hAnsi="Arial"/>
          <w:sz w:val="22"/>
          <w:szCs w:val="22"/>
        </w:rPr>
        <w:t>is only available within a combination package with peginterferon alfa-2a (Pegasys RBV</w:t>
      </w:r>
      <w:r w:rsidRPr="00D928C5">
        <w:rPr>
          <w:rFonts w:ascii="Arial" w:hAnsi="Arial"/>
          <w:sz w:val="22"/>
          <w:szCs w:val="22"/>
          <w:vertAlign w:val="superscript"/>
        </w:rPr>
        <w:t>®</w:t>
      </w:r>
      <w:r w:rsidRPr="00D928C5">
        <w:rPr>
          <w:rFonts w:ascii="Arial" w:hAnsi="Arial"/>
          <w:sz w:val="22"/>
          <w:szCs w:val="22"/>
        </w:rPr>
        <w:t>) or peginterferon alfa-2b (Pegatron</w:t>
      </w:r>
      <w:r w:rsidRPr="00D928C5">
        <w:rPr>
          <w:rFonts w:ascii="Arial" w:hAnsi="Arial"/>
          <w:sz w:val="22"/>
          <w:szCs w:val="22"/>
          <w:vertAlign w:val="superscript"/>
        </w:rPr>
        <w:t>®</w:t>
      </w:r>
      <w:r w:rsidRPr="00D928C5">
        <w:rPr>
          <w:rFonts w:ascii="Arial" w:hAnsi="Arial"/>
          <w:sz w:val="22"/>
          <w:szCs w:val="22"/>
        </w:rPr>
        <w:t xml:space="preserve">). </w:t>
      </w:r>
      <w:r w:rsidR="00E916ED" w:rsidRPr="00D928C5">
        <w:rPr>
          <w:rFonts w:ascii="Arial" w:hAnsi="Arial"/>
          <w:sz w:val="22"/>
          <w:szCs w:val="22"/>
        </w:rPr>
        <w:t>T</w:t>
      </w:r>
      <w:r w:rsidR="008E1DB6" w:rsidRPr="00D928C5">
        <w:rPr>
          <w:rFonts w:ascii="Arial" w:hAnsi="Arial"/>
          <w:sz w:val="22"/>
          <w:szCs w:val="22"/>
        </w:rPr>
        <w:t xml:space="preserve">he PBAC </w:t>
      </w:r>
      <w:r w:rsidR="00E916ED" w:rsidRPr="00D928C5">
        <w:rPr>
          <w:rFonts w:ascii="Arial" w:hAnsi="Arial"/>
          <w:sz w:val="22"/>
          <w:szCs w:val="22"/>
        </w:rPr>
        <w:t xml:space="preserve">has previously </w:t>
      </w:r>
      <w:r w:rsidR="008E1DB6" w:rsidRPr="00D928C5">
        <w:rPr>
          <w:rFonts w:ascii="Arial" w:hAnsi="Arial"/>
          <w:sz w:val="22"/>
          <w:szCs w:val="22"/>
        </w:rPr>
        <w:t>noted the clinical need for a stand-alone ribavirin for the treatment of genotype</w:t>
      </w:r>
      <w:r w:rsidR="00AD1636" w:rsidRPr="00D928C5">
        <w:rPr>
          <w:rFonts w:ascii="Arial" w:hAnsi="Arial"/>
          <w:sz w:val="22"/>
          <w:szCs w:val="22"/>
        </w:rPr>
        <w:t>s</w:t>
      </w:r>
      <w:r w:rsidR="008E1DB6" w:rsidRPr="00D928C5">
        <w:rPr>
          <w:rFonts w:ascii="Arial" w:hAnsi="Arial"/>
          <w:sz w:val="22"/>
          <w:szCs w:val="22"/>
        </w:rPr>
        <w:t xml:space="preserve"> 2 and 3 patients if sofosbuvir is listed on the PBS</w:t>
      </w:r>
      <w:r w:rsidR="00E916ED" w:rsidRPr="00D928C5">
        <w:rPr>
          <w:rFonts w:ascii="Arial" w:hAnsi="Arial"/>
          <w:sz w:val="22"/>
          <w:szCs w:val="22"/>
        </w:rPr>
        <w:t xml:space="preserve"> (</w:t>
      </w:r>
      <w:r w:rsidR="00B111C7" w:rsidRPr="00D928C5">
        <w:rPr>
          <w:rFonts w:ascii="Arial" w:hAnsi="Arial"/>
          <w:sz w:val="22"/>
          <w:szCs w:val="22"/>
        </w:rPr>
        <w:t>ribavirin PSD, March 2015</w:t>
      </w:r>
      <w:r w:rsidR="00E916ED" w:rsidRPr="00D928C5">
        <w:rPr>
          <w:rFonts w:ascii="Arial" w:hAnsi="Arial"/>
          <w:sz w:val="22"/>
          <w:szCs w:val="22"/>
        </w:rPr>
        <w:t>)</w:t>
      </w:r>
      <w:r w:rsidR="008E1DB6" w:rsidRPr="00D928C5">
        <w:rPr>
          <w:rFonts w:ascii="Arial" w:hAnsi="Arial"/>
          <w:sz w:val="22"/>
          <w:szCs w:val="22"/>
        </w:rPr>
        <w:t xml:space="preserve">. </w:t>
      </w:r>
      <w:r w:rsidR="00863C00" w:rsidRPr="00D928C5">
        <w:rPr>
          <w:rFonts w:ascii="Arial" w:hAnsi="Arial"/>
          <w:sz w:val="22"/>
          <w:szCs w:val="22"/>
        </w:rPr>
        <w:t>Apart from sofosbuvir, ribavirin has been used in combination with other direct-acting antivirals (DAAs) in various studies and recommended in guidelines</w:t>
      </w:r>
      <w:r w:rsidR="005F30EF" w:rsidRPr="00D928C5">
        <w:rPr>
          <w:rFonts w:ascii="Arial" w:hAnsi="Arial" w:cs="Arial"/>
          <w:noProof/>
          <w:snapToGrid w:val="0"/>
          <w:sz w:val="22"/>
          <w:szCs w:val="20"/>
          <w:vertAlign w:val="superscript"/>
          <w:lang w:eastAsia="en-US"/>
        </w:rPr>
        <w:t>4</w:t>
      </w:r>
      <w:r w:rsidR="00863C00" w:rsidRPr="00D928C5">
        <w:rPr>
          <w:rFonts w:ascii="Arial" w:hAnsi="Arial"/>
          <w:sz w:val="22"/>
          <w:szCs w:val="22"/>
        </w:rPr>
        <w:t>. (Additional information in the “Committee-In-Confidence information” section). At the March 2015 meeting, the PBAC noted that the ESC highlighted that there was evidence that ribavirin was used as adjunctive therapy to improve the sustained virologic response (SVR) or shorten treatment duration of DAA-based regimens (</w:t>
      </w:r>
      <w:r w:rsidR="00B111C7" w:rsidRPr="00D928C5">
        <w:rPr>
          <w:rFonts w:ascii="Arial" w:hAnsi="Arial"/>
          <w:sz w:val="22"/>
          <w:szCs w:val="22"/>
        </w:rPr>
        <w:t>ribavirin PSD, March 2015</w:t>
      </w:r>
      <w:r w:rsidR="00863C00" w:rsidRPr="00D928C5">
        <w:rPr>
          <w:rFonts w:ascii="Arial" w:hAnsi="Arial"/>
          <w:sz w:val="22"/>
          <w:szCs w:val="22"/>
        </w:rPr>
        <w:t>).</w:t>
      </w:r>
      <w:r w:rsidR="00463CF8" w:rsidRPr="00D928C5">
        <w:rPr>
          <w:rFonts w:ascii="Arial" w:hAnsi="Arial"/>
          <w:sz w:val="22"/>
          <w:szCs w:val="22"/>
        </w:rPr>
        <w:t xml:space="preserve"> </w:t>
      </w:r>
    </w:p>
    <w:p w:rsidR="008A1956" w:rsidRPr="00D928C5" w:rsidRDefault="008A1956" w:rsidP="00882085">
      <w:pPr>
        <w:pStyle w:val="Header"/>
        <w:tabs>
          <w:tab w:val="clear" w:pos="4153"/>
          <w:tab w:val="clear" w:pos="8306"/>
        </w:tabs>
        <w:jc w:val="both"/>
        <w:rPr>
          <w:rFonts w:ascii="Arial" w:hAnsi="Arial"/>
          <w:sz w:val="22"/>
          <w:szCs w:val="22"/>
        </w:rPr>
      </w:pPr>
    </w:p>
    <w:p w:rsidR="005A3173" w:rsidRPr="00D928C5" w:rsidRDefault="005A3173" w:rsidP="003E2A6B">
      <w:pPr>
        <w:pStyle w:val="Header"/>
        <w:keepNext/>
        <w:numPr>
          <w:ilvl w:val="0"/>
          <w:numId w:val="2"/>
        </w:numPr>
        <w:tabs>
          <w:tab w:val="clear" w:pos="4153"/>
          <w:tab w:val="clear" w:pos="8306"/>
        </w:tabs>
        <w:jc w:val="both"/>
        <w:rPr>
          <w:rFonts w:ascii="Arial" w:hAnsi="Arial"/>
          <w:b/>
          <w:sz w:val="22"/>
          <w:szCs w:val="22"/>
        </w:rPr>
      </w:pPr>
      <w:r w:rsidRPr="00D928C5">
        <w:rPr>
          <w:rFonts w:ascii="Arial" w:hAnsi="Arial"/>
          <w:b/>
          <w:sz w:val="22"/>
          <w:szCs w:val="22"/>
        </w:rPr>
        <w:t>Comparator</w:t>
      </w:r>
    </w:p>
    <w:p w:rsidR="005A3173" w:rsidRPr="00D928C5" w:rsidRDefault="005A3173" w:rsidP="003E2A6B">
      <w:pPr>
        <w:pStyle w:val="Header"/>
        <w:keepNext/>
        <w:tabs>
          <w:tab w:val="clear" w:pos="4153"/>
          <w:tab w:val="clear" w:pos="8306"/>
        </w:tabs>
        <w:jc w:val="both"/>
        <w:rPr>
          <w:rFonts w:ascii="Arial" w:hAnsi="Arial"/>
          <w:b/>
          <w:sz w:val="22"/>
          <w:szCs w:val="22"/>
        </w:rPr>
      </w:pPr>
    </w:p>
    <w:p w:rsidR="00476245" w:rsidRPr="00D928C5" w:rsidRDefault="004F611E" w:rsidP="00B1320F">
      <w:pPr>
        <w:pStyle w:val="ListParagraph"/>
        <w:numPr>
          <w:ilvl w:val="1"/>
          <w:numId w:val="2"/>
        </w:numPr>
        <w:jc w:val="both"/>
        <w:rPr>
          <w:rFonts w:ascii="Arial" w:hAnsi="Arial"/>
          <w:sz w:val="22"/>
          <w:szCs w:val="22"/>
        </w:rPr>
      </w:pPr>
      <w:r w:rsidRPr="00D928C5">
        <w:rPr>
          <w:rFonts w:ascii="Arial" w:hAnsi="Arial"/>
          <w:sz w:val="22"/>
          <w:szCs w:val="22"/>
        </w:rPr>
        <w:t xml:space="preserve">The </w:t>
      </w:r>
      <w:r w:rsidR="0032700D" w:rsidRPr="00D928C5">
        <w:rPr>
          <w:rFonts w:ascii="Arial" w:hAnsi="Arial"/>
          <w:sz w:val="22"/>
          <w:szCs w:val="22"/>
        </w:rPr>
        <w:t xml:space="preserve">minor re-submission agreed with the PBAC that </w:t>
      </w:r>
      <w:r w:rsidR="006A0D98" w:rsidRPr="00D928C5">
        <w:rPr>
          <w:rFonts w:ascii="Arial" w:hAnsi="Arial"/>
          <w:sz w:val="22"/>
          <w:szCs w:val="22"/>
        </w:rPr>
        <w:t xml:space="preserve">‘no treatment’ </w:t>
      </w:r>
      <w:r w:rsidR="009179B1" w:rsidRPr="00D928C5">
        <w:rPr>
          <w:rFonts w:ascii="Arial" w:hAnsi="Arial"/>
          <w:sz w:val="22"/>
          <w:szCs w:val="22"/>
        </w:rPr>
        <w:t>wa</w:t>
      </w:r>
      <w:r w:rsidR="006A0D98" w:rsidRPr="00D928C5">
        <w:rPr>
          <w:rFonts w:ascii="Arial" w:hAnsi="Arial"/>
          <w:sz w:val="22"/>
          <w:szCs w:val="22"/>
        </w:rPr>
        <w:t>s the most appropriate comparator in view of the broader context of infected individuals whose treatment preference is interferon-free therapies (</w:t>
      </w:r>
      <w:r w:rsidR="00DE6F1E" w:rsidRPr="00D928C5">
        <w:rPr>
          <w:rFonts w:ascii="Arial" w:hAnsi="Arial"/>
          <w:sz w:val="22"/>
          <w:szCs w:val="22"/>
        </w:rPr>
        <w:t>r</w:t>
      </w:r>
      <w:r w:rsidR="001E1E60" w:rsidRPr="00D928C5">
        <w:rPr>
          <w:rFonts w:ascii="Arial" w:hAnsi="Arial"/>
          <w:sz w:val="22"/>
          <w:szCs w:val="22"/>
        </w:rPr>
        <w:t>ibavirin</w:t>
      </w:r>
      <w:r w:rsidR="00DE6F1E" w:rsidRPr="00D928C5">
        <w:rPr>
          <w:rFonts w:ascii="Arial" w:hAnsi="Arial"/>
          <w:sz w:val="22"/>
          <w:szCs w:val="22"/>
        </w:rPr>
        <w:t xml:space="preserve"> PSDs</w:t>
      </w:r>
      <w:r w:rsidR="00B53614" w:rsidRPr="00D928C5">
        <w:rPr>
          <w:rFonts w:ascii="Arial" w:hAnsi="Arial"/>
          <w:sz w:val="22"/>
          <w:szCs w:val="22"/>
        </w:rPr>
        <w:t xml:space="preserve">, </w:t>
      </w:r>
      <w:r w:rsidR="00DE6F1E" w:rsidRPr="00D928C5">
        <w:rPr>
          <w:rFonts w:ascii="Arial" w:hAnsi="Arial"/>
          <w:sz w:val="22"/>
          <w:szCs w:val="22"/>
        </w:rPr>
        <w:t>March 2015</w:t>
      </w:r>
      <w:r w:rsidR="006A0D98" w:rsidRPr="00D928C5">
        <w:rPr>
          <w:rFonts w:ascii="Arial" w:hAnsi="Arial"/>
          <w:sz w:val="22"/>
          <w:szCs w:val="22"/>
        </w:rPr>
        <w:t>).</w:t>
      </w:r>
    </w:p>
    <w:p w:rsidR="008A1956" w:rsidRPr="00D928C5" w:rsidRDefault="008A1956" w:rsidP="00476245">
      <w:pPr>
        <w:jc w:val="both"/>
        <w:rPr>
          <w:rFonts w:ascii="Arial" w:hAnsi="Arial"/>
          <w:sz w:val="22"/>
          <w:szCs w:val="22"/>
        </w:rPr>
      </w:pPr>
    </w:p>
    <w:p w:rsidR="000B558D" w:rsidRPr="00D928C5" w:rsidRDefault="008D7A41" w:rsidP="00B1320F">
      <w:pPr>
        <w:pStyle w:val="Header"/>
        <w:numPr>
          <w:ilvl w:val="0"/>
          <w:numId w:val="2"/>
        </w:numPr>
        <w:tabs>
          <w:tab w:val="clear" w:pos="4153"/>
          <w:tab w:val="clear" w:pos="8306"/>
        </w:tabs>
        <w:jc w:val="both"/>
        <w:rPr>
          <w:rFonts w:ascii="Arial" w:hAnsi="Arial"/>
          <w:b/>
          <w:sz w:val="22"/>
          <w:szCs w:val="22"/>
        </w:rPr>
      </w:pPr>
      <w:r w:rsidRPr="00D928C5">
        <w:rPr>
          <w:rFonts w:ascii="Arial" w:hAnsi="Arial"/>
          <w:b/>
          <w:sz w:val="22"/>
          <w:szCs w:val="22"/>
        </w:rPr>
        <w:t>C</w:t>
      </w:r>
      <w:r w:rsidR="00D84934" w:rsidRPr="00D928C5">
        <w:rPr>
          <w:rFonts w:ascii="Arial" w:hAnsi="Arial"/>
          <w:b/>
          <w:sz w:val="22"/>
          <w:szCs w:val="22"/>
        </w:rPr>
        <w:t>onsideration of the evidence</w:t>
      </w:r>
    </w:p>
    <w:p w:rsidR="00BB7EC3" w:rsidRPr="00D928C5" w:rsidRDefault="00BB7EC3" w:rsidP="00F9629A">
      <w:pPr>
        <w:jc w:val="both"/>
        <w:rPr>
          <w:rFonts w:ascii="Arial" w:hAnsi="Arial"/>
          <w:sz w:val="22"/>
          <w:szCs w:val="22"/>
        </w:rPr>
      </w:pPr>
    </w:p>
    <w:p w:rsidR="0033390C" w:rsidRPr="00D928C5" w:rsidRDefault="0033390C" w:rsidP="0033390C">
      <w:pPr>
        <w:widowControl w:val="0"/>
        <w:jc w:val="both"/>
        <w:rPr>
          <w:rFonts w:ascii="Arial" w:hAnsi="Arial" w:cs="Arial"/>
          <w:b/>
          <w:snapToGrid w:val="0"/>
          <w:sz w:val="22"/>
          <w:szCs w:val="20"/>
          <w:lang w:eastAsia="en-US"/>
        </w:rPr>
      </w:pPr>
      <w:r w:rsidRPr="00D928C5">
        <w:rPr>
          <w:rFonts w:ascii="Arial" w:hAnsi="Arial" w:cs="Arial"/>
          <w:b/>
          <w:snapToGrid w:val="0"/>
          <w:sz w:val="22"/>
          <w:szCs w:val="20"/>
          <w:lang w:eastAsia="en-US"/>
        </w:rPr>
        <w:t>Sponsor hearing</w:t>
      </w:r>
    </w:p>
    <w:p w:rsidR="0033390C" w:rsidRPr="00D928C5" w:rsidRDefault="0033390C" w:rsidP="0033390C">
      <w:pPr>
        <w:widowControl w:val="0"/>
        <w:jc w:val="both"/>
        <w:rPr>
          <w:rFonts w:ascii="Arial" w:hAnsi="Arial" w:cs="Arial"/>
          <w:b/>
          <w:snapToGrid w:val="0"/>
          <w:sz w:val="22"/>
          <w:szCs w:val="20"/>
          <w:lang w:eastAsia="en-US"/>
        </w:rPr>
      </w:pPr>
    </w:p>
    <w:p w:rsidR="0033390C" w:rsidRPr="00D928C5" w:rsidRDefault="0033390C" w:rsidP="0033390C">
      <w:pPr>
        <w:widowControl w:val="0"/>
        <w:numPr>
          <w:ilvl w:val="1"/>
          <w:numId w:val="2"/>
        </w:numPr>
        <w:jc w:val="both"/>
        <w:rPr>
          <w:rFonts w:ascii="Arial" w:hAnsi="Arial" w:cs="Arial"/>
          <w:snapToGrid w:val="0"/>
          <w:sz w:val="22"/>
          <w:szCs w:val="20"/>
          <w:lang w:eastAsia="en-US"/>
        </w:rPr>
      </w:pPr>
      <w:r w:rsidRPr="00D928C5">
        <w:rPr>
          <w:rFonts w:ascii="Arial" w:hAnsi="Arial" w:cs="Arial"/>
          <w:snapToGrid w:val="0"/>
          <w:sz w:val="22"/>
          <w:szCs w:val="20"/>
          <w:lang w:eastAsia="en-US"/>
        </w:rPr>
        <w:t>There was no hearing for this item</w:t>
      </w:r>
      <w:r w:rsidR="00404187" w:rsidRPr="00D928C5">
        <w:rPr>
          <w:rFonts w:ascii="Arial" w:hAnsi="Arial" w:cs="Arial"/>
          <w:snapToGrid w:val="0"/>
          <w:sz w:val="22"/>
          <w:szCs w:val="20"/>
          <w:lang w:eastAsia="en-US"/>
        </w:rPr>
        <w:t>, as it was a minor submission</w:t>
      </w:r>
      <w:r w:rsidRPr="00D928C5">
        <w:rPr>
          <w:rFonts w:ascii="Arial" w:hAnsi="Arial" w:cs="Arial"/>
          <w:snapToGrid w:val="0"/>
          <w:sz w:val="22"/>
          <w:szCs w:val="20"/>
          <w:lang w:eastAsia="en-US"/>
        </w:rPr>
        <w:t>.</w:t>
      </w:r>
    </w:p>
    <w:p w:rsidR="0033390C" w:rsidRPr="00D928C5" w:rsidRDefault="0033390C" w:rsidP="0033390C">
      <w:pPr>
        <w:widowControl w:val="0"/>
        <w:jc w:val="both"/>
        <w:rPr>
          <w:rFonts w:ascii="Arial" w:hAnsi="Arial" w:cs="Arial"/>
          <w:snapToGrid w:val="0"/>
          <w:sz w:val="22"/>
          <w:szCs w:val="20"/>
          <w:lang w:eastAsia="en-US"/>
        </w:rPr>
      </w:pPr>
    </w:p>
    <w:p w:rsidR="0033390C" w:rsidRPr="00D928C5" w:rsidRDefault="0033390C" w:rsidP="0033390C">
      <w:pPr>
        <w:widowControl w:val="0"/>
        <w:jc w:val="both"/>
        <w:rPr>
          <w:rFonts w:ascii="Arial" w:hAnsi="Arial" w:cs="Arial"/>
          <w:b/>
          <w:snapToGrid w:val="0"/>
          <w:sz w:val="22"/>
          <w:szCs w:val="20"/>
          <w:lang w:eastAsia="en-US"/>
        </w:rPr>
      </w:pPr>
      <w:r w:rsidRPr="00D928C5">
        <w:rPr>
          <w:rFonts w:ascii="Arial" w:hAnsi="Arial" w:cs="Arial"/>
          <w:b/>
          <w:snapToGrid w:val="0"/>
          <w:sz w:val="22"/>
          <w:szCs w:val="20"/>
          <w:lang w:eastAsia="en-US"/>
        </w:rPr>
        <w:t>Consumer comments</w:t>
      </w:r>
    </w:p>
    <w:p w:rsidR="0033390C" w:rsidRPr="00D928C5" w:rsidRDefault="0033390C" w:rsidP="0033390C">
      <w:pPr>
        <w:widowControl w:val="0"/>
        <w:jc w:val="both"/>
        <w:rPr>
          <w:rFonts w:ascii="Arial" w:hAnsi="Arial" w:cs="Arial"/>
          <w:snapToGrid w:val="0"/>
          <w:sz w:val="22"/>
          <w:szCs w:val="20"/>
          <w:lang w:eastAsia="en-US"/>
        </w:rPr>
      </w:pPr>
    </w:p>
    <w:p w:rsidR="0033390C" w:rsidRPr="00D928C5" w:rsidRDefault="0033390C" w:rsidP="0033390C">
      <w:pPr>
        <w:widowControl w:val="0"/>
        <w:numPr>
          <w:ilvl w:val="1"/>
          <w:numId w:val="2"/>
        </w:numPr>
        <w:jc w:val="both"/>
        <w:rPr>
          <w:rFonts w:ascii="Arial" w:hAnsi="Arial" w:cs="Arial"/>
          <w:snapToGrid w:val="0"/>
          <w:sz w:val="22"/>
          <w:szCs w:val="20"/>
          <w:lang w:eastAsia="en-US"/>
        </w:rPr>
      </w:pPr>
      <w:r w:rsidRPr="00D928C5">
        <w:rPr>
          <w:rFonts w:ascii="Arial" w:hAnsi="Arial" w:cs="Arial"/>
          <w:bCs/>
          <w:snapToGrid w:val="0"/>
          <w:sz w:val="22"/>
          <w:szCs w:val="20"/>
          <w:lang w:eastAsia="en-US"/>
        </w:rPr>
        <w:t xml:space="preserve">The PBAC noted and welcomed the input from individuals (78), health care professionals (14) and organisations (17) via the Consumer Comments facility on the PBS website. The large number of comments and discussion reiterate the comments received during previous considerations of the IFN-free treatments, namely the benefit of the availability of a highly effective treatment that should be made available for all infected individuals, the improved quality of life as well as the side effects avoided associated with the current treatments. </w:t>
      </w:r>
    </w:p>
    <w:p w:rsidR="0033390C" w:rsidRPr="00D928C5" w:rsidRDefault="0033390C" w:rsidP="0033390C">
      <w:pPr>
        <w:widowControl w:val="0"/>
        <w:jc w:val="both"/>
        <w:rPr>
          <w:rFonts w:ascii="Arial" w:hAnsi="Arial" w:cs="Arial"/>
          <w:snapToGrid w:val="0"/>
          <w:sz w:val="22"/>
          <w:szCs w:val="20"/>
          <w:lang w:eastAsia="en-US"/>
        </w:rPr>
      </w:pPr>
    </w:p>
    <w:p w:rsidR="0033390C" w:rsidRPr="00D928C5" w:rsidRDefault="0033390C" w:rsidP="0033390C">
      <w:pPr>
        <w:widowControl w:val="0"/>
        <w:numPr>
          <w:ilvl w:val="1"/>
          <w:numId w:val="2"/>
        </w:numPr>
        <w:jc w:val="both"/>
        <w:rPr>
          <w:rFonts w:ascii="Arial" w:hAnsi="Arial" w:cs="Arial"/>
          <w:snapToGrid w:val="0"/>
          <w:sz w:val="22"/>
          <w:szCs w:val="20"/>
          <w:lang w:eastAsia="en-US"/>
        </w:rPr>
      </w:pPr>
      <w:r w:rsidRPr="00D928C5">
        <w:rPr>
          <w:rFonts w:ascii="Arial" w:hAnsi="Arial" w:cs="Arial"/>
          <w:snapToGrid w:val="0"/>
          <w:sz w:val="22"/>
          <w:szCs w:val="20"/>
          <w:lang w:eastAsia="en-US"/>
        </w:rPr>
        <w:t>The PBAC recalled the discussion during meeting of the representatives of the PBAC with Hepatitis Australia, Hepatitis NSW, the Australian Injecting and the Illicit Drug User’s League prior to the March 2015 PBAC meeting.</w:t>
      </w:r>
    </w:p>
    <w:p w:rsidR="0033390C" w:rsidRPr="00D928C5" w:rsidRDefault="0033390C" w:rsidP="0033390C">
      <w:pPr>
        <w:widowControl w:val="0"/>
        <w:ind w:left="720"/>
        <w:jc w:val="both"/>
        <w:rPr>
          <w:rFonts w:ascii="Arial" w:hAnsi="Arial" w:cs="Arial"/>
          <w:snapToGrid w:val="0"/>
          <w:sz w:val="22"/>
          <w:szCs w:val="20"/>
          <w:lang w:eastAsia="en-US"/>
        </w:rPr>
      </w:pPr>
    </w:p>
    <w:p w:rsidR="0033390C" w:rsidRPr="00D928C5" w:rsidRDefault="0033390C" w:rsidP="0033390C">
      <w:pPr>
        <w:widowControl w:val="0"/>
        <w:numPr>
          <w:ilvl w:val="1"/>
          <w:numId w:val="2"/>
        </w:numPr>
        <w:jc w:val="both"/>
        <w:rPr>
          <w:rFonts w:ascii="Arial" w:hAnsi="Arial" w:cs="Arial"/>
          <w:snapToGrid w:val="0"/>
          <w:sz w:val="22"/>
          <w:szCs w:val="20"/>
          <w:lang w:eastAsia="en-US"/>
        </w:rPr>
      </w:pPr>
      <w:r w:rsidRPr="00D928C5">
        <w:rPr>
          <w:rFonts w:ascii="Arial" w:hAnsi="Arial" w:cs="Arial"/>
          <w:snapToGrid w:val="0"/>
          <w:sz w:val="22"/>
          <w:szCs w:val="20"/>
          <w:lang w:eastAsia="en-US"/>
        </w:rPr>
        <w:t>The PBAC noted and welcomed this input.</w:t>
      </w:r>
    </w:p>
    <w:p w:rsidR="0033390C" w:rsidRPr="00D928C5" w:rsidRDefault="0033390C" w:rsidP="00D84934">
      <w:pPr>
        <w:jc w:val="both"/>
        <w:rPr>
          <w:rFonts w:ascii="Arial" w:hAnsi="Arial"/>
          <w:b/>
          <w:i/>
          <w:sz w:val="22"/>
          <w:szCs w:val="22"/>
        </w:rPr>
      </w:pPr>
    </w:p>
    <w:p w:rsidR="00D84934" w:rsidRPr="00D928C5" w:rsidRDefault="00D84934" w:rsidP="00D84934">
      <w:pPr>
        <w:jc w:val="both"/>
        <w:rPr>
          <w:rFonts w:ascii="Arial" w:hAnsi="Arial"/>
          <w:b/>
          <w:i/>
          <w:sz w:val="22"/>
          <w:szCs w:val="22"/>
        </w:rPr>
      </w:pPr>
      <w:r w:rsidRPr="00D928C5">
        <w:rPr>
          <w:rFonts w:ascii="Arial" w:hAnsi="Arial"/>
          <w:b/>
          <w:i/>
          <w:sz w:val="22"/>
          <w:szCs w:val="22"/>
        </w:rPr>
        <w:t>Clinical trials</w:t>
      </w:r>
    </w:p>
    <w:p w:rsidR="00D84934" w:rsidRPr="00D928C5" w:rsidRDefault="00D84934" w:rsidP="00F9629A">
      <w:pPr>
        <w:jc w:val="both"/>
        <w:rPr>
          <w:rFonts w:ascii="Arial" w:hAnsi="Arial"/>
          <w:sz w:val="22"/>
          <w:szCs w:val="22"/>
        </w:rPr>
      </w:pPr>
    </w:p>
    <w:p w:rsidR="0076420C" w:rsidRPr="00D928C5" w:rsidRDefault="00751277" w:rsidP="00B1320F">
      <w:pPr>
        <w:pStyle w:val="ListParagraph"/>
        <w:numPr>
          <w:ilvl w:val="1"/>
          <w:numId w:val="2"/>
        </w:numPr>
        <w:jc w:val="both"/>
        <w:rPr>
          <w:rFonts w:ascii="Arial" w:hAnsi="Arial"/>
          <w:sz w:val="22"/>
          <w:szCs w:val="22"/>
        </w:rPr>
      </w:pPr>
      <w:r w:rsidRPr="00D928C5">
        <w:rPr>
          <w:rFonts w:ascii="Arial" w:hAnsi="Arial"/>
          <w:sz w:val="22"/>
          <w:szCs w:val="22"/>
        </w:rPr>
        <w:t>As in the previous submission, n</w:t>
      </w:r>
      <w:r w:rsidR="0076420C" w:rsidRPr="00D928C5">
        <w:rPr>
          <w:rFonts w:ascii="Arial" w:hAnsi="Arial"/>
          <w:sz w:val="22"/>
          <w:szCs w:val="22"/>
        </w:rPr>
        <w:t>o clinical</w:t>
      </w:r>
      <w:r w:rsidRPr="00D928C5">
        <w:rPr>
          <w:rFonts w:ascii="Arial" w:hAnsi="Arial"/>
          <w:sz w:val="22"/>
          <w:szCs w:val="22"/>
        </w:rPr>
        <w:t xml:space="preserve"> data </w:t>
      </w:r>
      <w:r w:rsidR="00982738" w:rsidRPr="00D928C5">
        <w:rPr>
          <w:rFonts w:ascii="Arial" w:hAnsi="Arial"/>
          <w:sz w:val="22"/>
          <w:szCs w:val="22"/>
        </w:rPr>
        <w:t>were</w:t>
      </w:r>
      <w:r w:rsidRPr="00D928C5">
        <w:rPr>
          <w:rFonts w:ascii="Arial" w:hAnsi="Arial"/>
          <w:sz w:val="22"/>
          <w:szCs w:val="22"/>
        </w:rPr>
        <w:t xml:space="preserve"> presented in the re-submission</w:t>
      </w:r>
      <w:r w:rsidR="0076420C" w:rsidRPr="00D928C5">
        <w:rPr>
          <w:rFonts w:ascii="Arial" w:hAnsi="Arial"/>
          <w:sz w:val="22"/>
          <w:szCs w:val="22"/>
        </w:rPr>
        <w:t>.</w:t>
      </w:r>
    </w:p>
    <w:p w:rsidR="00BB7EC3" w:rsidRPr="00D928C5" w:rsidRDefault="00BB7EC3" w:rsidP="009B0F67">
      <w:pPr>
        <w:jc w:val="both"/>
        <w:rPr>
          <w:rFonts w:ascii="Arial" w:hAnsi="Arial"/>
          <w:sz w:val="22"/>
          <w:szCs w:val="22"/>
        </w:rPr>
      </w:pPr>
    </w:p>
    <w:p w:rsidR="005A3173" w:rsidRPr="00D928C5" w:rsidRDefault="005A3173" w:rsidP="00D84934">
      <w:pPr>
        <w:jc w:val="both"/>
        <w:rPr>
          <w:rFonts w:ascii="Arial" w:hAnsi="Arial"/>
          <w:b/>
          <w:i/>
          <w:sz w:val="22"/>
          <w:szCs w:val="22"/>
        </w:rPr>
      </w:pPr>
      <w:r w:rsidRPr="00D928C5">
        <w:rPr>
          <w:rFonts w:ascii="Arial" w:hAnsi="Arial"/>
          <w:b/>
          <w:i/>
          <w:sz w:val="22"/>
          <w:szCs w:val="22"/>
        </w:rPr>
        <w:t>Economic analysis</w:t>
      </w:r>
    </w:p>
    <w:p w:rsidR="005A3173" w:rsidRPr="00D928C5" w:rsidRDefault="005A3173" w:rsidP="00D84934">
      <w:pPr>
        <w:pStyle w:val="NoSpacing"/>
      </w:pPr>
    </w:p>
    <w:p w:rsidR="005C7B55" w:rsidRPr="00D928C5" w:rsidRDefault="008C2676" w:rsidP="00B1320F">
      <w:pPr>
        <w:pStyle w:val="ListParagraph"/>
        <w:numPr>
          <w:ilvl w:val="1"/>
          <w:numId w:val="2"/>
        </w:numPr>
        <w:jc w:val="both"/>
        <w:rPr>
          <w:rFonts w:ascii="Arial" w:hAnsi="Arial"/>
          <w:sz w:val="22"/>
          <w:szCs w:val="22"/>
        </w:rPr>
      </w:pPr>
      <w:r w:rsidRPr="00D928C5">
        <w:rPr>
          <w:rFonts w:ascii="Arial" w:hAnsi="Arial"/>
          <w:sz w:val="22"/>
          <w:szCs w:val="22"/>
        </w:rPr>
        <w:t>T</w:t>
      </w:r>
      <w:r w:rsidR="009B0F67" w:rsidRPr="00D928C5">
        <w:rPr>
          <w:rFonts w:ascii="Arial" w:hAnsi="Arial"/>
          <w:sz w:val="22"/>
          <w:szCs w:val="22"/>
        </w:rPr>
        <w:t xml:space="preserve">he </w:t>
      </w:r>
      <w:r w:rsidR="000451CE" w:rsidRPr="00D928C5">
        <w:rPr>
          <w:rFonts w:ascii="Arial" w:hAnsi="Arial"/>
          <w:sz w:val="22"/>
          <w:szCs w:val="22"/>
        </w:rPr>
        <w:t xml:space="preserve">March 2015 ribavirin submission </w:t>
      </w:r>
      <w:r w:rsidR="00E53A5D" w:rsidRPr="00D928C5">
        <w:rPr>
          <w:rFonts w:ascii="Arial" w:hAnsi="Arial"/>
          <w:sz w:val="22"/>
          <w:szCs w:val="22"/>
        </w:rPr>
        <w:t xml:space="preserve">referred to the sofosbuvir submission for cost-utility analyses of </w:t>
      </w:r>
      <w:r w:rsidRPr="00D928C5">
        <w:rPr>
          <w:rFonts w:ascii="Arial" w:hAnsi="Arial"/>
          <w:sz w:val="22"/>
          <w:szCs w:val="22"/>
        </w:rPr>
        <w:t>sofosbuvir</w:t>
      </w:r>
      <w:r w:rsidR="00C25927" w:rsidRPr="00D928C5">
        <w:rPr>
          <w:rFonts w:ascii="Arial" w:hAnsi="Arial"/>
          <w:sz w:val="22"/>
          <w:szCs w:val="22"/>
        </w:rPr>
        <w:t xml:space="preserve"> </w:t>
      </w:r>
      <w:r w:rsidRPr="00D928C5">
        <w:rPr>
          <w:rFonts w:ascii="Arial" w:hAnsi="Arial"/>
          <w:sz w:val="22"/>
          <w:szCs w:val="22"/>
        </w:rPr>
        <w:t>+</w:t>
      </w:r>
      <w:r w:rsidR="00C25927" w:rsidRPr="00D928C5">
        <w:rPr>
          <w:rFonts w:ascii="Arial" w:hAnsi="Arial"/>
          <w:sz w:val="22"/>
          <w:szCs w:val="22"/>
        </w:rPr>
        <w:t xml:space="preserve"> </w:t>
      </w:r>
      <w:r w:rsidRPr="00D928C5">
        <w:rPr>
          <w:rFonts w:ascii="Arial" w:hAnsi="Arial"/>
          <w:sz w:val="22"/>
          <w:szCs w:val="22"/>
        </w:rPr>
        <w:t>ribavirin (</w:t>
      </w:r>
      <w:r w:rsidR="00E53A5D" w:rsidRPr="00D928C5">
        <w:rPr>
          <w:rFonts w:ascii="Arial" w:hAnsi="Arial"/>
          <w:sz w:val="22"/>
          <w:szCs w:val="22"/>
        </w:rPr>
        <w:t>SOF+R</w:t>
      </w:r>
      <w:r w:rsidRPr="00D928C5">
        <w:rPr>
          <w:rFonts w:ascii="Arial" w:hAnsi="Arial"/>
          <w:sz w:val="22"/>
          <w:szCs w:val="22"/>
        </w:rPr>
        <w:t>)</w:t>
      </w:r>
      <w:r w:rsidR="00E53A5D" w:rsidRPr="00D928C5">
        <w:rPr>
          <w:rFonts w:ascii="Arial" w:hAnsi="Arial"/>
          <w:sz w:val="22"/>
          <w:szCs w:val="22"/>
        </w:rPr>
        <w:t xml:space="preserve"> in the intended PBS population. The proposed price for ribavirin in the </w:t>
      </w:r>
      <w:r w:rsidR="005C7B55" w:rsidRPr="00D928C5">
        <w:rPr>
          <w:rFonts w:ascii="Arial" w:hAnsi="Arial"/>
          <w:sz w:val="22"/>
          <w:szCs w:val="22"/>
        </w:rPr>
        <w:t xml:space="preserve">previous </w:t>
      </w:r>
      <w:r w:rsidR="00E53A5D" w:rsidRPr="00D928C5">
        <w:rPr>
          <w:rFonts w:ascii="Arial" w:hAnsi="Arial"/>
          <w:sz w:val="22"/>
          <w:szCs w:val="22"/>
        </w:rPr>
        <w:t xml:space="preserve">submission was not based on any economic analysis; it was derived from </w:t>
      </w:r>
      <w:r w:rsidR="00AB293D" w:rsidRPr="00D928C5">
        <w:rPr>
          <w:rFonts w:ascii="Arial" w:hAnsi="Arial"/>
          <w:sz w:val="22"/>
          <w:szCs w:val="22"/>
        </w:rPr>
        <w:t xml:space="preserve">international </w:t>
      </w:r>
      <w:r w:rsidR="00E53A5D" w:rsidRPr="00D928C5">
        <w:rPr>
          <w:rFonts w:ascii="Arial" w:hAnsi="Arial"/>
          <w:sz w:val="22"/>
          <w:szCs w:val="22"/>
        </w:rPr>
        <w:t xml:space="preserve">reference pricing. </w:t>
      </w:r>
      <w:r w:rsidR="005C7B55" w:rsidRPr="00D928C5">
        <w:rPr>
          <w:rFonts w:ascii="Arial" w:hAnsi="Arial"/>
          <w:sz w:val="22"/>
          <w:szCs w:val="22"/>
        </w:rPr>
        <w:t>The PBAC considered that th</w:t>
      </w:r>
      <w:r w:rsidR="009743DB" w:rsidRPr="00D928C5">
        <w:rPr>
          <w:rFonts w:ascii="Arial" w:hAnsi="Arial"/>
          <w:sz w:val="22"/>
          <w:szCs w:val="22"/>
        </w:rPr>
        <w:t xml:space="preserve">is </w:t>
      </w:r>
      <w:r w:rsidR="005C7B55" w:rsidRPr="00D928C5">
        <w:rPr>
          <w:rFonts w:ascii="Arial" w:hAnsi="Arial"/>
          <w:sz w:val="22"/>
          <w:szCs w:val="22"/>
        </w:rPr>
        <w:t>approach was not informative for valuing ribavirin in the Australian context (</w:t>
      </w:r>
      <w:r w:rsidR="000805FA" w:rsidRPr="00D928C5">
        <w:rPr>
          <w:rFonts w:ascii="Arial" w:hAnsi="Arial"/>
          <w:sz w:val="22"/>
          <w:szCs w:val="22"/>
        </w:rPr>
        <w:t>r</w:t>
      </w:r>
      <w:r w:rsidR="005C7B55" w:rsidRPr="00D928C5">
        <w:rPr>
          <w:rFonts w:ascii="Arial" w:hAnsi="Arial"/>
          <w:sz w:val="22"/>
          <w:szCs w:val="22"/>
        </w:rPr>
        <w:t>ibavirin</w:t>
      </w:r>
      <w:r w:rsidR="000805FA" w:rsidRPr="00D928C5">
        <w:rPr>
          <w:rFonts w:ascii="Arial" w:hAnsi="Arial"/>
          <w:sz w:val="22"/>
          <w:szCs w:val="22"/>
        </w:rPr>
        <w:t xml:space="preserve"> PSD</w:t>
      </w:r>
      <w:r w:rsidR="005C7B55" w:rsidRPr="00D928C5">
        <w:rPr>
          <w:rFonts w:ascii="Arial" w:hAnsi="Arial"/>
          <w:sz w:val="22"/>
          <w:szCs w:val="22"/>
        </w:rPr>
        <w:t>, March 2015).</w:t>
      </w:r>
    </w:p>
    <w:p w:rsidR="00E27339" w:rsidRPr="00D928C5" w:rsidRDefault="00E27339" w:rsidP="00E27339">
      <w:pPr>
        <w:pStyle w:val="ListParagraph"/>
        <w:rPr>
          <w:rFonts w:ascii="Arial" w:hAnsi="Arial"/>
          <w:sz w:val="22"/>
          <w:szCs w:val="22"/>
        </w:rPr>
      </w:pPr>
    </w:p>
    <w:p w:rsidR="00EB46EF" w:rsidRPr="00877735" w:rsidRDefault="00B47C23" w:rsidP="00B1320F">
      <w:pPr>
        <w:pStyle w:val="ListParagraph"/>
        <w:numPr>
          <w:ilvl w:val="1"/>
          <w:numId w:val="2"/>
        </w:numPr>
        <w:jc w:val="both"/>
        <w:rPr>
          <w:rFonts w:ascii="Arial" w:hAnsi="Arial"/>
          <w:strike/>
          <w:color w:val="FF0000"/>
          <w:sz w:val="22"/>
          <w:szCs w:val="22"/>
        </w:rPr>
      </w:pPr>
      <w:r w:rsidRPr="00D928C5">
        <w:rPr>
          <w:rFonts w:ascii="Arial" w:hAnsi="Arial"/>
          <w:sz w:val="22"/>
          <w:szCs w:val="22"/>
        </w:rPr>
        <w:t xml:space="preserve">In the </w:t>
      </w:r>
      <w:r w:rsidR="00E27339" w:rsidRPr="00D928C5">
        <w:rPr>
          <w:rFonts w:ascii="Arial" w:hAnsi="Arial"/>
          <w:sz w:val="22"/>
          <w:szCs w:val="22"/>
        </w:rPr>
        <w:t>minor re-submission</w:t>
      </w:r>
      <w:r w:rsidRPr="00D928C5">
        <w:rPr>
          <w:rFonts w:ascii="Arial" w:hAnsi="Arial"/>
          <w:sz w:val="22"/>
          <w:szCs w:val="22"/>
        </w:rPr>
        <w:t xml:space="preserve">, the </w:t>
      </w:r>
      <w:r w:rsidR="009743DB" w:rsidRPr="00D928C5">
        <w:rPr>
          <w:rFonts w:ascii="Arial" w:hAnsi="Arial"/>
          <w:sz w:val="22"/>
          <w:szCs w:val="22"/>
        </w:rPr>
        <w:t>request</w:t>
      </w:r>
      <w:r w:rsidRPr="00D928C5">
        <w:rPr>
          <w:rFonts w:ascii="Arial" w:hAnsi="Arial"/>
          <w:sz w:val="22"/>
          <w:szCs w:val="22"/>
        </w:rPr>
        <w:t xml:space="preserve">ed </w:t>
      </w:r>
      <w:r w:rsidR="005E601C" w:rsidRPr="00D928C5">
        <w:rPr>
          <w:rFonts w:ascii="Arial" w:hAnsi="Arial"/>
          <w:sz w:val="22"/>
          <w:szCs w:val="22"/>
        </w:rPr>
        <w:t xml:space="preserve">price for ribavirin </w:t>
      </w:r>
      <w:r w:rsidR="00C2403E" w:rsidRPr="00606F12">
        <w:rPr>
          <w:rFonts w:ascii="Arial" w:hAnsi="Arial"/>
          <w:sz w:val="22"/>
          <w:szCs w:val="22"/>
        </w:rPr>
        <w:t>(</w:t>
      </w:r>
      <w:r w:rsidR="00F91258" w:rsidRPr="00606F12">
        <w:rPr>
          <w:rFonts w:ascii="Arial" w:hAnsi="Arial"/>
          <w:sz w:val="22"/>
          <w:szCs w:val="22"/>
        </w:rPr>
        <w:t>ex-manufacturer price of $</w:t>
      </w:r>
      <w:r w:rsidR="00F53974">
        <w:rPr>
          <w:rFonts w:ascii="Arial" w:hAnsi="Arial"/>
          <w:noProof/>
          <w:color w:val="000000"/>
          <w:sz w:val="22"/>
          <w:szCs w:val="22"/>
          <w:highlight w:val="black"/>
        </w:rPr>
        <w:t>'''''''''''</w:t>
      </w:r>
      <w:r w:rsidR="00F91258" w:rsidRPr="00606F12">
        <w:rPr>
          <w:rFonts w:ascii="Arial" w:hAnsi="Arial"/>
          <w:sz w:val="22"/>
          <w:szCs w:val="22"/>
        </w:rPr>
        <w:t xml:space="preserve"> per 200mg ribavirin) </w:t>
      </w:r>
      <w:r w:rsidR="005E601C" w:rsidRPr="00D928C5">
        <w:rPr>
          <w:rFonts w:ascii="Arial" w:hAnsi="Arial"/>
          <w:sz w:val="22"/>
          <w:szCs w:val="22"/>
        </w:rPr>
        <w:t xml:space="preserve">was determined via an </w:t>
      </w:r>
      <w:r w:rsidR="00D06ADC" w:rsidRPr="00D928C5">
        <w:rPr>
          <w:rFonts w:ascii="Arial" w:hAnsi="Arial"/>
          <w:sz w:val="22"/>
          <w:szCs w:val="22"/>
        </w:rPr>
        <w:t xml:space="preserve">assessment of the </w:t>
      </w:r>
      <w:r w:rsidR="008C2676" w:rsidRPr="00D928C5">
        <w:rPr>
          <w:rFonts w:ascii="Arial" w:hAnsi="Arial"/>
          <w:sz w:val="22"/>
          <w:szCs w:val="22"/>
        </w:rPr>
        <w:t xml:space="preserve">cost </w:t>
      </w:r>
      <w:r w:rsidR="00D06ADC" w:rsidRPr="00D928C5">
        <w:rPr>
          <w:rFonts w:ascii="Arial" w:hAnsi="Arial"/>
          <w:sz w:val="22"/>
          <w:szCs w:val="22"/>
        </w:rPr>
        <w:t>attributa</w:t>
      </w:r>
      <w:r w:rsidR="00DA0CAA" w:rsidRPr="00D928C5">
        <w:rPr>
          <w:rFonts w:ascii="Arial" w:hAnsi="Arial"/>
          <w:sz w:val="22"/>
          <w:szCs w:val="22"/>
        </w:rPr>
        <w:t xml:space="preserve">ble to ribavirin within </w:t>
      </w:r>
      <w:r w:rsidR="0005482B" w:rsidRPr="00D928C5">
        <w:rPr>
          <w:rFonts w:ascii="Arial" w:hAnsi="Arial"/>
          <w:sz w:val="22"/>
          <w:szCs w:val="22"/>
        </w:rPr>
        <w:t>Pegasys RBV</w:t>
      </w:r>
      <w:r w:rsidR="0005482B" w:rsidRPr="00D928C5">
        <w:rPr>
          <w:rFonts w:ascii="Arial" w:hAnsi="Arial"/>
          <w:sz w:val="22"/>
          <w:szCs w:val="22"/>
          <w:vertAlign w:val="superscript"/>
        </w:rPr>
        <w:t>®</w:t>
      </w:r>
      <w:r w:rsidR="0005482B" w:rsidRPr="00D928C5">
        <w:rPr>
          <w:rFonts w:ascii="Arial" w:hAnsi="Arial"/>
          <w:sz w:val="22"/>
          <w:szCs w:val="22"/>
        </w:rPr>
        <w:t xml:space="preserve"> </w:t>
      </w:r>
      <w:r w:rsidR="00F53974">
        <w:rPr>
          <w:rFonts w:ascii="Arial" w:hAnsi="Arial"/>
          <w:noProof/>
          <w:color w:val="000000"/>
          <w:sz w:val="22"/>
          <w:szCs w:val="22"/>
          <w:highlight w:val="black"/>
        </w:rPr>
        <w:t>'''''' ''''''''''''' '''' ''''''''''''''''''''''' '''''''''''''' '''''' ''''''''''''''' '''''''' ''''''''''' ''''''' '''''''''''''''' '''' '''''''' ''''''''''''''' '''''' '''''''''''''''''''''''''' ''''''''''''''''''''''''''''''''' '''''''''''''''''' ''''''''''''''''''''''''''''' ''''''' '''''''''''''''''''''''''''''' ''''''''''''''''''''''''''' ''''' ''''''''''''''''''' ''''''''''''''''''' ''''''''''''' ''''''''''''' '''''''''' '''''' ''''''''''''''''''''''''' ''''''''''''''''''''''''''''''' '''''''''''''''''' ''''''''''''''''''''''''''''''''' ''''''' ''''''''''''''''''''''''''''''''' ''''''''''''''''''''''''' ''''' ''''''''''''''''''''''''''' ''''''''''' ''''''''''''' '''''''''' '''''' '''''''''''''''''''' '''' ''''''''''''' '''''''''''' ''''''' '''''''''''''' '''''' ''''' ''''''''''''''''''''''''''''''' '''''''''''''''''''''' ''''''''''' ''''''''''''''''''''''''''' ''''''''''' '''''''''''' '''''''''' '''''''''''' '''''''''''''''''''''''''''''' '''''''''''''''' '''''''''' '''''''' ''''''''''' '''''' '''''''''''''''''''' '''''''''''''' '''' '''''''''''''''''''''''' ''''''''''''''''' ''''''''''' ''''''''''''''''''''''''' ''''''''' '''''''''''''''''''' ''''' '''''''''''''''''''''' '''''''' '''''''''''''''''''' '''''''''''''''''' '''''''''''''' ''''''''</w:t>
      </w:r>
    </w:p>
    <w:p w:rsidR="00EB46EF" w:rsidRPr="00D928C5" w:rsidRDefault="00EB46EF" w:rsidP="00EB46EF">
      <w:pPr>
        <w:pStyle w:val="ListParagraph"/>
        <w:jc w:val="both"/>
        <w:rPr>
          <w:rFonts w:ascii="Arial" w:hAnsi="Arial"/>
          <w:sz w:val="22"/>
          <w:szCs w:val="22"/>
        </w:rPr>
      </w:pPr>
    </w:p>
    <w:p w:rsidR="00EB46EF" w:rsidRPr="001634F0" w:rsidRDefault="009179B1" w:rsidP="00755743">
      <w:pPr>
        <w:pStyle w:val="ListParagraph"/>
        <w:numPr>
          <w:ilvl w:val="1"/>
          <w:numId w:val="5"/>
        </w:numPr>
        <w:ind w:left="1560" w:hanging="426"/>
        <w:jc w:val="both"/>
        <w:rPr>
          <w:rFonts w:ascii="Arial" w:hAnsi="Arial"/>
          <w:sz w:val="22"/>
          <w:szCs w:val="22"/>
        </w:rPr>
      </w:pPr>
      <w:r w:rsidRPr="001634F0">
        <w:rPr>
          <w:rFonts w:ascii="Arial" w:hAnsi="Arial"/>
          <w:sz w:val="22"/>
          <w:szCs w:val="22"/>
        </w:rPr>
        <w:t>At the June 2003 PBAC meeting, Pegasys RBV</w:t>
      </w:r>
      <w:r w:rsidRPr="001634F0">
        <w:rPr>
          <w:rFonts w:ascii="Arial" w:hAnsi="Arial"/>
          <w:sz w:val="22"/>
          <w:szCs w:val="22"/>
          <w:vertAlign w:val="superscript"/>
        </w:rPr>
        <w:t>®</w:t>
      </w:r>
      <w:r w:rsidRPr="001634F0">
        <w:rPr>
          <w:rFonts w:ascii="Arial" w:hAnsi="Arial"/>
          <w:sz w:val="22"/>
          <w:szCs w:val="22"/>
        </w:rPr>
        <w:t xml:space="preserve"> was recommended </w:t>
      </w:r>
      <w:r w:rsidR="00755743" w:rsidRPr="001634F0">
        <w:rPr>
          <w:rFonts w:ascii="Arial" w:hAnsi="Arial"/>
          <w:sz w:val="22"/>
          <w:szCs w:val="22"/>
        </w:rPr>
        <w:t xml:space="preserve">for treatment of CHC </w:t>
      </w:r>
      <w:r w:rsidRPr="001634F0">
        <w:rPr>
          <w:rFonts w:ascii="Arial" w:hAnsi="Arial"/>
          <w:sz w:val="22"/>
          <w:szCs w:val="22"/>
        </w:rPr>
        <w:t>on a cost-minimisation basis against Pegatron</w:t>
      </w:r>
      <w:r w:rsidR="00EB46EF" w:rsidRPr="001634F0">
        <w:rPr>
          <w:rFonts w:ascii="Arial" w:hAnsi="Arial"/>
          <w:sz w:val="22"/>
          <w:szCs w:val="22"/>
          <w:vertAlign w:val="superscript"/>
        </w:rPr>
        <w:t>®</w:t>
      </w:r>
      <w:r w:rsidR="00FF3140" w:rsidRPr="001634F0">
        <w:rPr>
          <w:rFonts w:ascii="Arial" w:hAnsi="Arial"/>
          <w:sz w:val="22"/>
          <w:szCs w:val="22"/>
        </w:rPr>
        <w:t>, with implicit cost-effectiveness, as Pegatron</w:t>
      </w:r>
      <w:r w:rsidR="00FF3140" w:rsidRPr="001634F0">
        <w:rPr>
          <w:rFonts w:ascii="Arial" w:hAnsi="Arial"/>
          <w:sz w:val="22"/>
          <w:szCs w:val="22"/>
          <w:vertAlign w:val="superscript"/>
        </w:rPr>
        <w:t>®</w:t>
      </w:r>
      <w:r w:rsidR="00FF3140" w:rsidRPr="001634F0">
        <w:rPr>
          <w:rFonts w:ascii="Arial" w:hAnsi="Arial"/>
          <w:sz w:val="22"/>
          <w:szCs w:val="22"/>
        </w:rPr>
        <w:t xml:space="preserve"> </w:t>
      </w:r>
      <w:r w:rsidR="003C2C78" w:rsidRPr="001634F0">
        <w:rPr>
          <w:rFonts w:ascii="Arial" w:hAnsi="Arial"/>
          <w:sz w:val="22"/>
          <w:szCs w:val="22"/>
        </w:rPr>
        <w:t xml:space="preserve">had been listed on the PBS on a cost-effectiveness basis for patients with </w:t>
      </w:r>
      <w:r w:rsidR="00032934" w:rsidRPr="001634F0">
        <w:rPr>
          <w:rFonts w:ascii="Arial" w:hAnsi="Arial"/>
          <w:sz w:val="22"/>
          <w:szCs w:val="22"/>
        </w:rPr>
        <w:t xml:space="preserve">HCV </w:t>
      </w:r>
      <w:r w:rsidR="003C2C78" w:rsidRPr="001634F0">
        <w:rPr>
          <w:rFonts w:ascii="Arial" w:hAnsi="Arial"/>
          <w:sz w:val="22"/>
          <w:szCs w:val="22"/>
        </w:rPr>
        <w:t>genotypes 1, 4, 5 or 6 and on a cost-minimisation basis for patients with genotypes 2 or 3</w:t>
      </w:r>
      <w:r w:rsidR="00755743" w:rsidRPr="001634F0">
        <w:rPr>
          <w:rFonts w:ascii="Arial" w:hAnsi="Arial"/>
          <w:sz w:val="22"/>
          <w:szCs w:val="22"/>
        </w:rPr>
        <w:t xml:space="preserve"> against non-pegylated interferon alfa-2b plus ribavirin</w:t>
      </w:r>
      <w:r w:rsidR="00685CFD" w:rsidRPr="001634F0">
        <w:rPr>
          <w:rFonts w:ascii="Arial" w:hAnsi="Arial"/>
          <w:sz w:val="22"/>
          <w:szCs w:val="22"/>
        </w:rPr>
        <w:t xml:space="preserve"> (Rebetron</w:t>
      </w:r>
      <w:r w:rsidR="00685CFD" w:rsidRPr="001634F0">
        <w:rPr>
          <w:rFonts w:ascii="Arial" w:hAnsi="Arial"/>
          <w:sz w:val="22"/>
          <w:szCs w:val="22"/>
          <w:vertAlign w:val="superscript"/>
        </w:rPr>
        <w:t>®</w:t>
      </w:r>
      <w:r w:rsidR="00685CFD" w:rsidRPr="001634F0">
        <w:rPr>
          <w:rFonts w:ascii="Arial" w:hAnsi="Arial"/>
          <w:sz w:val="22"/>
          <w:szCs w:val="22"/>
        </w:rPr>
        <w:t>)</w:t>
      </w:r>
      <w:r w:rsidR="00755743" w:rsidRPr="001634F0">
        <w:rPr>
          <w:rFonts w:ascii="Arial" w:hAnsi="Arial"/>
          <w:sz w:val="22"/>
          <w:szCs w:val="22"/>
        </w:rPr>
        <w:t xml:space="preserve">. </w:t>
      </w:r>
      <w:r w:rsidR="00FF3140" w:rsidRPr="001634F0">
        <w:rPr>
          <w:rFonts w:ascii="Arial" w:hAnsi="Arial"/>
          <w:sz w:val="22"/>
          <w:szCs w:val="22"/>
        </w:rPr>
        <w:t>As stated in t</w:t>
      </w:r>
      <w:r w:rsidR="00EB46EF" w:rsidRPr="001634F0">
        <w:rPr>
          <w:rFonts w:ascii="Arial" w:hAnsi="Arial"/>
          <w:sz w:val="22"/>
          <w:szCs w:val="22"/>
        </w:rPr>
        <w:t xml:space="preserve">he </w:t>
      </w:r>
      <w:r w:rsidR="00EB46EF" w:rsidRPr="00F53974">
        <w:rPr>
          <w:rFonts w:ascii="Arial" w:hAnsi="Arial"/>
          <w:sz w:val="22"/>
          <w:szCs w:val="22"/>
        </w:rPr>
        <w:t>Therapeutic Relativity Sheets</w:t>
      </w:r>
      <w:r w:rsidR="00EB46EF" w:rsidRPr="001634F0">
        <w:rPr>
          <w:rFonts w:ascii="Arial" w:hAnsi="Arial"/>
          <w:sz w:val="22"/>
          <w:szCs w:val="22"/>
        </w:rPr>
        <w:t xml:space="preserve"> (December 2014)</w:t>
      </w:r>
      <w:r w:rsidR="00FF3140" w:rsidRPr="001634F0">
        <w:rPr>
          <w:rFonts w:ascii="Arial" w:hAnsi="Arial"/>
          <w:sz w:val="22"/>
          <w:szCs w:val="22"/>
        </w:rPr>
        <w:t>,</w:t>
      </w:r>
      <w:r w:rsidR="00EB46EF" w:rsidRPr="001634F0">
        <w:rPr>
          <w:rFonts w:ascii="Arial" w:hAnsi="Arial"/>
          <w:sz w:val="22"/>
          <w:szCs w:val="22"/>
        </w:rPr>
        <w:t xml:space="preserve"> “Peginterferon alfa-2a and ribavirin (Pegasys RBV</w:t>
      </w:r>
      <w:r w:rsidR="00EB46EF" w:rsidRPr="001634F0">
        <w:rPr>
          <w:rFonts w:ascii="Arial" w:hAnsi="Arial"/>
          <w:sz w:val="22"/>
          <w:szCs w:val="22"/>
          <w:vertAlign w:val="superscript"/>
        </w:rPr>
        <w:t>®</w:t>
      </w:r>
      <w:r w:rsidR="00EB46EF" w:rsidRPr="001634F0">
        <w:rPr>
          <w:rFonts w:ascii="Arial" w:hAnsi="Arial"/>
          <w:sz w:val="22"/>
          <w:szCs w:val="22"/>
        </w:rPr>
        <w:t>) for use in hepatitis C patients who have had no prior interferon therapy, was recommended on the basis of acceptable cost-effectiveness compared to plain (non-pegylated) interferon alfa therapy”;</w:t>
      </w:r>
      <w:r w:rsidR="00352410" w:rsidRPr="001634F0">
        <w:rPr>
          <w:rFonts w:ascii="Arial" w:hAnsi="Arial"/>
          <w:sz w:val="22"/>
          <w:szCs w:val="22"/>
        </w:rPr>
        <w:t xml:space="preserve"> and</w:t>
      </w:r>
    </w:p>
    <w:p w:rsidR="00EB46EF" w:rsidRPr="00F9428A" w:rsidRDefault="00F53974" w:rsidP="00B1320F">
      <w:pPr>
        <w:pStyle w:val="ListParagraph"/>
        <w:numPr>
          <w:ilvl w:val="1"/>
          <w:numId w:val="5"/>
        </w:numPr>
        <w:ind w:left="1560" w:hanging="425"/>
        <w:jc w:val="both"/>
        <w:rPr>
          <w:rFonts w:ascii="Arial" w:hAnsi="Arial"/>
          <w:sz w:val="22"/>
          <w:szCs w:val="22"/>
        </w:rPr>
      </w:pPr>
      <w:r>
        <w:rPr>
          <w:rFonts w:ascii="Arial" w:hAnsi="Arial"/>
          <w:noProof/>
          <w:color w:val="000000"/>
          <w:sz w:val="22"/>
          <w:szCs w:val="22"/>
          <w:highlight w:val="black"/>
        </w:rPr>
        <w:t>'''''''' ''''''''''''''''' ''''''''''''''' ''''''' '''''''''''''''''' ''''''''''''''''' ''''''''''' ''''''''''''''''''''''''' ''''' ''''''' ''''''''''' ''''' '''''''''''''''''''''''' ''''''''''''''' '''''''''''''''''' ''''''''''''''''''''''' ''''' '''''''''''''''''''''' '''''''''''''''' ''''''''' ''''''''''''''''''''''''''' '''''' ''''''''''''''''''' ''''''' '''''''''''''''''' ''''''''''''''''''' '''''''''''''' '''''''''''''' ''' '''''''''' ''''''''''''' '''''''''''''''''''''''''' ''''''''''' ''''''''''''''''''''' '''''''''''''''' ''''''''' '''''''''''''''''''''''''' '''' '''''''''''''''' ''''''''''' ''''''''''''''' '''''' ''''''''''' ''''''''''''''''''''''''' '''''''''' ''''''''''''''''''''''''''''''' ''''' ''''''' ''''''''''''''' '''''''''''''''''''''''' '''''' '''''''' ''''''''''' ''''''''''''' ''''''''''''</w:t>
      </w:r>
      <w:r w:rsidR="00EB46EF" w:rsidRPr="00F9428A">
        <w:rPr>
          <w:rFonts w:ascii="Arial" w:hAnsi="Arial"/>
          <w:sz w:val="22"/>
          <w:szCs w:val="22"/>
        </w:rPr>
        <w:t xml:space="preserve">. </w:t>
      </w:r>
    </w:p>
    <w:p w:rsidR="00BC559F" w:rsidRPr="00D928C5" w:rsidRDefault="00BC559F" w:rsidP="004F611E">
      <w:pPr>
        <w:rPr>
          <w:rFonts w:ascii="Arial" w:hAnsi="Arial"/>
          <w:sz w:val="22"/>
          <w:szCs w:val="22"/>
        </w:rPr>
      </w:pPr>
    </w:p>
    <w:p w:rsidR="00BC559F" w:rsidRPr="00D928C5" w:rsidRDefault="00BC559F" w:rsidP="00BC559F">
      <w:pPr>
        <w:pStyle w:val="Caption"/>
        <w:keepNext/>
        <w:ind w:left="720"/>
      </w:pPr>
      <w:bookmarkStart w:id="1" w:name="_Ref416956030"/>
      <w:r w:rsidRPr="00D928C5">
        <w:t xml:space="preserve">Table </w:t>
      </w:r>
      <w:bookmarkEnd w:id="1"/>
      <w:r w:rsidRPr="00D928C5">
        <w:t>2: Pricing of ribavirin within Pegasys-RBV</w:t>
      </w:r>
      <w:r w:rsidRPr="00D928C5">
        <w:rPr>
          <w:vertAlign w:val="superscript"/>
        </w:rPr>
        <w:t>®</w:t>
      </w:r>
      <w:r w:rsidRPr="00D928C5">
        <w:t xml:space="preserve"> combination on listing in 2004/2005</w:t>
      </w:r>
      <w:r w:rsidRPr="00D928C5">
        <w:rPr>
          <w:vertAlign w:val="superscript"/>
        </w:rPr>
        <w:t>a</w:t>
      </w:r>
    </w:p>
    <w:tbl>
      <w:tblPr>
        <w:tblStyle w:val="TableGrid"/>
        <w:tblW w:w="8460" w:type="dxa"/>
        <w:tblInd w:w="720" w:type="dxa"/>
        <w:shd w:val="clear" w:color="auto" w:fill="FFFFFF" w:themeFill="background1"/>
        <w:tblLook w:val="04A0" w:firstRow="1" w:lastRow="0" w:firstColumn="1" w:lastColumn="0" w:noHBand="0" w:noVBand="1"/>
        <w:tblCaption w:val="Table 2: Pricing of ribavirin within Pegasys-RBV® combination on listing in 2004/2005a"/>
        <w:tblDescription w:val="This table summarises the pricing of ribavirin within Pegasys-RBV® combination on listing in 2004/2005a"/>
      </w:tblPr>
      <w:tblGrid>
        <w:gridCol w:w="1639"/>
        <w:gridCol w:w="846"/>
        <w:gridCol w:w="878"/>
        <w:gridCol w:w="843"/>
        <w:gridCol w:w="909"/>
        <w:gridCol w:w="843"/>
        <w:gridCol w:w="878"/>
        <w:gridCol w:w="825"/>
        <w:gridCol w:w="861"/>
      </w:tblGrid>
      <w:tr w:rsidR="00BC559F" w:rsidRPr="00D928C5" w:rsidTr="00960567">
        <w:trPr>
          <w:tblHeader/>
        </w:trPr>
        <w:tc>
          <w:tcPr>
            <w:tcW w:w="1656" w:type="dxa"/>
            <w:tcBorders>
              <w:bottom w:val="dotted" w:sz="4" w:space="0" w:color="auto"/>
            </w:tcBorders>
            <w:shd w:val="clear" w:color="auto" w:fill="FFFFFF" w:themeFill="background1"/>
            <w:noWrap/>
            <w:hideMark/>
          </w:tcPr>
          <w:p w:rsidR="00BC559F" w:rsidRPr="00D928C5" w:rsidRDefault="00BC559F" w:rsidP="003921E1">
            <w:pPr>
              <w:pStyle w:val="Table"/>
              <w:rPr>
                <w:rFonts w:ascii="Arial Narrow" w:hAnsi="Arial Narrow"/>
                <w:b/>
              </w:rPr>
            </w:pPr>
            <w:r w:rsidRPr="00D928C5">
              <w:rPr>
                <w:rFonts w:ascii="Arial Narrow" w:hAnsi="Arial Narrow"/>
                <w:b/>
              </w:rPr>
              <w:t>Pegasys</w:t>
            </w:r>
            <w:r w:rsidRPr="00D928C5">
              <w:rPr>
                <w:rFonts w:ascii="Arial Narrow" w:hAnsi="Arial Narrow"/>
                <w:b/>
                <w:vertAlign w:val="superscript"/>
              </w:rPr>
              <w:t>®</w:t>
            </w:r>
          </w:p>
        </w:tc>
        <w:tc>
          <w:tcPr>
            <w:tcW w:w="3402" w:type="dxa"/>
            <w:gridSpan w:val="4"/>
            <w:tcBorders>
              <w:bottom w:val="dotted" w:sz="4" w:space="0" w:color="auto"/>
            </w:tcBorders>
            <w:shd w:val="clear" w:color="auto" w:fill="FFFFFF" w:themeFill="background1"/>
            <w:noWrap/>
            <w:hideMark/>
          </w:tcPr>
          <w:p w:rsidR="00BC559F" w:rsidRPr="00D928C5" w:rsidRDefault="00BC559F" w:rsidP="003921E1">
            <w:pPr>
              <w:pStyle w:val="TableCentre"/>
              <w:rPr>
                <w:rFonts w:ascii="Arial Narrow" w:hAnsi="Arial Narrow"/>
                <w:b/>
              </w:rPr>
            </w:pPr>
          </w:p>
        </w:tc>
        <w:tc>
          <w:tcPr>
            <w:tcW w:w="3402" w:type="dxa"/>
            <w:gridSpan w:val="4"/>
            <w:tcBorders>
              <w:bottom w:val="dotted" w:sz="4" w:space="0" w:color="auto"/>
            </w:tcBorders>
            <w:shd w:val="clear" w:color="auto" w:fill="FFFFFF" w:themeFill="background1"/>
            <w:noWrap/>
            <w:hideMark/>
          </w:tcPr>
          <w:p w:rsidR="00BC559F" w:rsidRPr="00D928C5" w:rsidRDefault="00BC559F" w:rsidP="003921E1">
            <w:pPr>
              <w:pStyle w:val="TableCentre"/>
              <w:rPr>
                <w:rFonts w:ascii="Arial Narrow" w:hAnsi="Arial Narrow"/>
                <w:b/>
              </w:rPr>
            </w:pPr>
          </w:p>
        </w:tc>
      </w:tr>
      <w:tr w:rsidR="00BC559F" w:rsidRPr="00D928C5" w:rsidTr="003921E1">
        <w:trPr>
          <w:trHeight w:val="167"/>
        </w:trPr>
        <w:tc>
          <w:tcPr>
            <w:tcW w:w="1656" w:type="dxa"/>
            <w:tcBorders>
              <w:top w:val="dotted" w:sz="4" w:space="0" w:color="auto"/>
              <w:bottom w:val="dotted" w:sz="4" w:space="0" w:color="auto"/>
            </w:tcBorders>
            <w:shd w:val="clear" w:color="auto" w:fill="FFFFFF" w:themeFill="background1"/>
            <w:noWrap/>
          </w:tcPr>
          <w:p w:rsidR="00BC559F" w:rsidRPr="00D928C5" w:rsidRDefault="00BC559F" w:rsidP="003921E1">
            <w:pPr>
              <w:pStyle w:val="Table"/>
              <w:ind w:left="273"/>
              <w:rPr>
                <w:rFonts w:ascii="Arial Narrow" w:hAnsi="Arial Narrow"/>
              </w:rPr>
            </w:pPr>
            <w:r w:rsidRPr="00D928C5">
              <w:rPr>
                <w:rFonts w:ascii="Arial Narrow" w:hAnsi="Arial Narrow"/>
              </w:rPr>
              <w:t>Pegasys dose</w:t>
            </w:r>
          </w:p>
        </w:tc>
        <w:tc>
          <w:tcPr>
            <w:tcW w:w="3402" w:type="dxa"/>
            <w:gridSpan w:val="4"/>
            <w:tcBorders>
              <w:top w:val="dotted" w:sz="4" w:space="0" w:color="auto"/>
              <w:bottom w:val="dotted" w:sz="4" w:space="0" w:color="auto"/>
            </w:tcBorders>
            <w:shd w:val="clear" w:color="auto" w:fill="FFFFFF" w:themeFill="background1"/>
            <w:noWrap/>
          </w:tcPr>
          <w:p w:rsidR="00BC559F" w:rsidRPr="00D928C5" w:rsidRDefault="00BC559F" w:rsidP="003921E1">
            <w:pPr>
              <w:pStyle w:val="TableCentre"/>
              <w:rPr>
                <w:rFonts w:ascii="Arial Narrow" w:hAnsi="Arial Narrow"/>
              </w:rPr>
            </w:pPr>
            <w:r w:rsidRPr="00D928C5">
              <w:rPr>
                <w:rFonts w:ascii="Arial Narrow" w:hAnsi="Arial Narrow"/>
              </w:rPr>
              <w:t>135μg</w:t>
            </w:r>
          </w:p>
        </w:tc>
        <w:tc>
          <w:tcPr>
            <w:tcW w:w="3402" w:type="dxa"/>
            <w:gridSpan w:val="4"/>
            <w:tcBorders>
              <w:top w:val="dotted" w:sz="4" w:space="0" w:color="auto"/>
              <w:bottom w:val="dotted" w:sz="4" w:space="0" w:color="auto"/>
            </w:tcBorders>
            <w:shd w:val="clear" w:color="auto" w:fill="FFFFFF" w:themeFill="background1"/>
            <w:noWrap/>
          </w:tcPr>
          <w:p w:rsidR="00BC559F" w:rsidRPr="00D928C5" w:rsidRDefault="00BC559F" w:rsidP="003921E1">
            <w:pPr>
              <w:pStyle w:val="TableCentre"/>
              <w:rPr>
                <w:rFonts w:ascii="Arial Narrow" w:hAnsi="Arial Narrow"/>
              </w:rPr>
            </w:pPr>
            <w:r w:rsidRPr="00D928C5">
              <w:rPr>
                <w:rFonts w:ascii="Arial Narrow" w:hAnsi="Arial Narrow"/>
              </w:rPr>
              <w:t>180μg</w:t>
            </w:r>
          </w:p>
        </w:tc>
      </w:tr>
      <w:tr w:rsidR="00BC559F" w:rsidRPr="00D928C5" w:rsidTr="003921E1">
        <w:tc>
          <w:tcPr>
            <w:tcW w:w="1656" w:type="dxa"/>
            <w:tcBorders>
              <w:top w:val="dotted" w:sz="4" w:space="0" w:color="auto"/>
              <w:bottom w:val="single" w:sz="4" w:space="0" w:color="auto"/>
            </w:tcBorders>
            <w:shd w:val="clear" w:color="auto" w:fill="FFFFFF" w:themeFill="background1"/>
            <w:noWrap/>
          </w:tcPr>
          <w:p w:rsidR="00BC559F" w:rsidRPr="00D928C5" w:rsidRDefault="00BC559F" w:rsidP="003921E1">
            <w:pPr>
              <w:pStyle w:val="Table"/>
              <w:ind w:left="273"/>
              <w:rPr>
                <w:rFonts w:ascii="Arial Narrow" w:hAnsi="Arial Narrow"/>
              </w:rPr>
            </w:pPr>
            <w:r w:rsidRPr="00D928C5">
              <w:rPr>
                <w:rFonts w:ascii="Arial Narrow" w:hAnsi="Arial Narrow"/>
              </w:rPr>
              <w:t>Price</w:t>
            </w:r>
          </w:p>
        </w:tc>
        <w:tc>
          <w:tcPr>
            <w:tcW w:w="3402" w:type="dxa"/>
            <w:gridSpan w:val="4"/>
            <w:tcBorders>
              <w:top w:val="dotted" w:sz="4" w:space="0" w:color="auto"/>
              <w:bottom w:val="single" w:sz="4" w:space="0" w:color="auto"/>
            </w:tcBorders>
            <w:shd w:val="clear" w:color="auto" w:fill="FFFFFF" w:themeFill="background1"/>
            <w:noWrap/>
          </w:tcPr>
          <w:p w:rsidR="00BC559F" w:rsidRPr="00D928C5" w:rsidRDefault="00BC559F" w:rsidP="003921E1">
            <w:pPr>
              <w:pStyle w:val="TableCentre"/>
              <w:rPr>
                <w:rFonts w:ascii="Arial Narrow" w:hAnsi="Arial Narrow"/>
              </w:rPr>
            </w:pPr>
            <w:r w:rsidRPr="00D928C5">
              <w:rPr>
                <w:rFonts w:ascii="Arial Narrow" w:hAnsi="Arial Narrow"/>
              </w:rPr>
              <w:t>$</w:t>
            </w:r>
            <w:r w:rsidR="00F53974">
              <w:rPr>
                <w:rFonts w:ascii="Arial Narrow" w:hAnsi="Arial Narrow"/>
                <w:noProof/>
                <w:color w:val="000000"/>
                <w:highlight w:val="black"/>
              </w:rPr>
              <w:t>'''''''''''''''''''''</w:t>
            </w:r>
          </w:p>
        </w:tc>
        <w:tc>
          <w:tcPr>
            <w:tcW w:w="3402" w:type="dxa"/>
            <w:gridSpan w:val="4"/>
            <w:tcBorders>
              <w:top w:val="dotted" w:sz="4" w:space="0" w:color="auto"/>
              <w:bottom w:val="single" w:sz="4" w:space="0" w:color="auto"/>
            </w:tcBorders>
            <w:shd w:val="clear" w:color="auto" w:fill="FFFFFF" w:themeFill="background1"/>
            <w:noWrap/>
          </w:tcPr>
          <w:p w:rsidR="00BC559F" w:rsidRPr="00D928C5" w:rsidRDefault="00BC559F" w:rsidP="003921E1">
            <w:pPr>
              <w:pStyle w:val="TableCentre"/>
              <w:rPr>
                <w:rFonts w:ascii="Arial Narrow" w:hAnsi="Arial Narrow"/>
              </w:rPr>
            </w:pPr>
            <w:r w:rsidRPr="00D928C5">
              <w:rPr>
                <w:rFonts w:ascii="Arial Narrow" w:hAnsi="Arial Narrow"/>
              </w:rPr>
              <w:t>$</w:t>
            </w:r>
            <w:r w:rsidR="00F53974">
              <w:rPr>
                <w:rFonts w:ascii="Arial Narrow" w:hAnsi="Arial Narrow"/>
                <w:noProof/>
                <w:color w:val="000000"/>
                <w:highlight w:val="black"/>
              </w:rPr>
              <w:t>'''''''''''''''''''''</w:t>
            </w:r>
          </w:p>
        </w:tc>
      </w:tr>
      <w:tr w:rsidR="00BC559F" w:rsidRPr="00D928C5" w:rsidTr="003921E1">
        <w:tc>
          <w:tcPr>
            <w:tcW w:w="1656" w:type="dxa"/>
            <w:tcBorders>
              <w:bottom w:val="dotted" w:sz="4" w:space="0" w:color="auto"/>
            </w:tcBorders>
            <w:shd w:val="clear" w:color="auto" w:fill="FFFFFF" w:themeFill="background1"/>
            <w:noWrap/>
          </w:tcPr>
          <w:p w:rsidR="00BC559F" w:rsidRPr="00D928C5" w:rsidRDefault="00BC559F" w:rsidP="003921E1">
            <w:pPr>
              <w:pStyle w:val="Table"/>
              <w:rPr>
                <w:rFonts w:ascii="Arial Narrow" w:hAnsi="Arial Narrow"/>
                <w:b/>
              </w:rPr>
            </w:pPr>
            <w:r w:rsidRPr="00D928C5">
              <w:rPr>
                <w:rFonts w:ascii="Arial Narrow" w:hAnsi="Arial Narrow"/>
                <w:b/>
              </w:rPr>
              <w:t>Pegasys RBV</w:t>
            </w:r>
            <w:r w:rsidRPr="00D928C5">
              <w:rPr>
                <w:rFonts w:ascii="Arial Narrow" w:hAnsi="Arial Narrow"/>
                <w:b/>
                <w:vertAlign w:val="superscript"/>
              </w:rPr>
              <w:t>®</w:t>
            </w:r>
          </w:p>
        </w:tc>
        <w:tc>
          <w:tcPr>
            <w:tcW w:w="6804" w:type="dxa"/>
            <w:gridSpan w:val="8"/>
            <w:tcBorders>
              <w:bottom w:val="dotted" w:sz="4" w:space="0" w:color="auto"/>
            </w:tcBorders>
            <w:shd w:val="clear" w:color="auto" w:fill="FFFFFF" w:themeFill="background1"/>
            <w:noWrap/>
          </w:tcPr>
          <w:p w:rsidR="00BC559F" w:rsidRPr="00D928C5" w:rsidRDefault="00BC559F" w:rsidP="003921E1">
            <w:pPr>
              <w:pStyle w:val="TableCentre"/>
              <w:rPr>
                <w:rFonts w:ascii="Arial Narrow" w:hAnsi="Arial Narrow"/>
                <w:b/>
              </w:rPr>
            </w:pPr>
          </w:p>
        </w:tc>
      </w:tr>
      <w:tr w:rsidR="00BC559F" w:rsidRPr="00D928C5" w:rsidTr="003921E1">
        <w:tc>
          <w:tcPr>
            <w:tcW w:w="1656" w:type="dxa"/>
            <w:tcBorders>
              <w:top w:val="dotted" w:sz="4" w:space="0" w:color="auto"/>
              <w:bottom w:val="dotted" w:sz="4" w:space="0" w:color="auto"/>
            </w:tcBorders>
            <w:shd w:val="clear" w:color="auto" w:fill="FFFFFF" w:themeFill="background1"/>
            <w:noWrap/>
            <w:hideMark/>
          </w:tcPr>
          <w:p w:rsidR="00BC559F" w:rsidRPr="00D928C5" w:rsidRDefault="00BC559F" w:rsidP="003921E1">
            <w:pPr>
              <w:pStyle w:val="Table"/>
              <w:ind w:left="273"/>
              <w:rPr>
                <w:rFonts w:ascii="Arial Narrow" w:hAnsi="Arial Narrow"/>
              </w:rPr>
            </w:pPr>
            <w:r w:rsidRPr="00D928C5">
              <w:rPr>
                <w:rFonts w:ascii="Arial Narrow" w:hAnsi="Arial Narrow"/>
              </w:rPr>
              <w:t>Pegasys dose</w:t>
            </w:r>
          </w:p>
        </w:tc>
        <w:tc>
          <w:tcPr>
            <w:tcW w:w="3402" w:type="dxa"/>
            <w:gridSpan w:val="4"/>
            <w:tcBorders>
              <w:top w:val="dotted" w:sz="4" w:space="0" w:color="auto"/>
              <w:bottom w:val="dotted" w:sz="4" w:space="0" w:color="auto"/>
            </w:tcBorders>
            <w:shd w:val="clear" w:color="auto" w:fill="FFFFFF" w:themeFill="background1"/>
            <w:noWrap/>
            <w:hideMark/>
          </w:tcPr>
          <w:p w:rsidR="00BC559F" w:rsidRPr="00D928C5" w:rsidRDefault="00BC559F" w:rsidP="003921E1">
            <w:pPr>
              <w:pStyle w:val="TableCentre"/>
              <w:rPr>
                <w:rFonts w:ascii="Arial Narrow" w:hAnsi="Arial Narrow"/>
              </w:rPr>
            </w:pPr>
            <w:r w:rsidRPr="00D928C5">
              <w:rPr>
                <w:rFonts w:ascii="Arial Narrow" w:hAnsi="Arial Narrow"/>
              </w:rPr>
              <w:t>135μg</w:t>
            </w:r>
          </w:p>
        </w:tc>
        <w:tc>
          <w:tcPr>
            <w:tcW w:w="3402" w:type="dxa"/>
            <w:gridSpan w:val="4"/>
            <w:tcBorders>
              <w:top w:val="dotted" w:sz="4" w:space="0" w:color="auto"/>
              <w:bottom w:val="dotted" w:sz="4" w:space="0" w:color="auto"/>
            </w:tcBorders>
            <w:shd w:val="clear" w:color="auto" w:fill="FFFFFF" w:themeFill="background1"/>
            <w:noWrap/>
            <w:hideMark/>
          </w:tcPr>
          <w:p w:rsidR="00BC559F" w:rsidRPr="00D928C5" w:rsidRDefault="00BC559F" w:rsidP="003921E1">
            <w:pPr>
              <w:pStyle w:val="TableCentre"/>
              <w:rPr>
                <w:rFonts w:ascii="Arial Narrow" w:hAnsi="Arial Narrow"/>
              </w:rPr>
            </w:pPr>
            <w:r w:rsidRPr="00D928C5">
              <w:rPr>
                <w:rFonts w:ascii="Arial Narrow" w:hAnsi="Arial Narrow"/>
              </w:rPr>
              <w:t>180μg</w:t>
            </w:r>
          </w:p>
        </w:tc>
      </w:tr>
      <w:tr w:rsidR="00BC559F" w:rsidRPr="00D928C5" w:rsidTr="003921E1">
        <w:tc>
          <w:tcPr>
            <w:tcW w:w="1656" w:type="dxa"/>
            <w:tcBorders>
              <w:top w:val="dotted" w:sz="4" w:space="0" w:color="auto"/>
              <w:bottom w:val="dotted" w:sz="4" w:space="0" w:color="auto"/>
            </w:tcBorders>
            <w:shd w:val="clear" w:color="auto" w:fill="FFFFFF" w:themeFill="background1"/>
            <w:noWrap/>
            <w:hideMark/>
          </w:tcPr>
          <w:p w:rsidR="00BC559F" w:rsidRPr="00D928C5" w:rsidRDefault="00BC559F" w:rsidP="003921E1">
            <w:pPr>
              <w:pStyle w:val="Table"/>
              <w:ind w:left="273"/>
              <w:rPr>
                <w:rStyle w:val="TableBold"/>
                <w:rFonts w:ascii="Arial Narrow" w:hAnsi="Arial Narrow"/>
                <w:b w:val="0"/>
              </w:rPr>
            </w:pPr>
            <w:r w:rsidRPr="00D928C5">
              <w:rPr>
                <w:rStyle w:val="TableBold"/>
                <w:rFonts w:ascii="Arial Narrow" w:hAnsi="Arial Narrow"/>
                <w:b w:val="0"/>
              </w:rPr>
              <w:t>No. of ribavirin 200mg tablets</w:t>
            </w:r>
          </w:p>
        </w:tc>
        <w:tc>
          <w:tcPr>
            <w:tcW w:w="851" w:type="dxa"/>
            <w:tcBorders>
              <w:top w:val="dotted" w:sz="4" w:space="0" w:color="auto"/>
              <w:bottom w:val="dotted" w:sz="4" w:space="0" w:color="auto"/>
            </w:tcBorders>
            <w:shd w:val="clear" w:color="auto" w:fill="FFFFFF" w:themeFill="background1"/>
            <w:noWrap/>
            <w:vAlign w:val="center"/>
            <w:hideMark/>
          </w:tcPr>
          <w:p w:rsidR="00BC559F" w:rsidRPr="00D928C5" w:rsidRDefault="00BC559F" w:rsidP="003921E1">
            <w:pPr>
              <w:pStyle w:val="TableCentre"/>
              <w:rPr>
                <w:rFonts w:ascii="Arial Narrow" w:hAnsi="Arial Narrow"/>
              </w:rPr>
            </w:pPr>
            <w:r w:rsidRPr="00D928C5">
              <w:rPr>
                <w:rFonts w:ascii="Arial Narrow" w:hAnsi="Arial Narrow"/>
              </w:rPr>
              <w:t>84</w:t>
            </w:r>
          </w:p>
        </w:tc>
        <w:tc>
          <w:tcPr>
            <w:tcW w:w="850" w:type="dxa"/>
            <w:tcBorders>
              <w:top w:val="dotted" w:sz="4" w:space="0" w:color="auto"/>
              <w:bottom w:val="dotted" w:sz="4" w:space="0" w:color="auto"/>
            </w:tcBorders>
            <w:shd w:val="clear" w:color="auto" w:fill="FFFFFF" w:themeFill="background1"/>
            <w:noWrap/>
            <w:vAlign w:val="center"/>
            <w:hideMark/>
          </w:tcPr>
          <w:p w:rsidR="00BC559F" w:rsidRPr="00D928C5" w:rsidRDefault="00BC559F" w:rsidP="003921E1">
            <w:pPr>
              <w:pStyle w:val="TableCentre"/>
              <w:rPr>
                <w:rFonts w:ascii="Arial Narrow" w:hAnsi="Arial Narrow"/>
              </w:rPr>
            </w:pPr>
            <w:r w:rsidRPr="00D928C5">
              <w:rPr>
                <w:rFonts w:ascii="Arial Narrow" w:hAnsi="Arial Narrow"/>
              </w:rPr>
              <w:t>112</w:t>
            </w:r>
          </w:p>
        </w:tc>
        <w:tc>
          <w:tcPr>
            <w:tcW w:w="851" w:type="dxa"/>
            <w:tcBorders>
              <w:top w:val="dotted" w:sz="4" w:space="0" w:color="auto"/>
              <w:bottom w:val="dotted" w:sz="4" w:space="0" w:color="auto"/>
            </w:tcBorders>
            <w:shd w:val="clear" w:color="auto" w:fill="FFFFFF" w:themeFill="background1"/>
            <w:noWrap/>
            <w:vAlign w:val="center"/>
            <w:hideMark/>
          </w:tcPr>
          <w:p w:rsidR="00BC559F" w:rsidRPr="00D928C5" w:rsidRDefault="00BC559F" w:rsidP="003921E1">
            <w:pPr>
              <w:pStyle w:val="TableCentre"/>
              <w:rPr>
                <w:rFonts w:ascii="Arial Narrow" w:hAnsi="Arial Narrow"/>
              </w:rPr>
            </w:pPr>
            <w:r w:rsidRPr="00D928C5">
              <w:rPr>
                <w:rFonts w:ascii="Arial Narrow" w:hAnsi="Arial Narrow"/>
              </w:rPr>
              <w:t>140</w:t>
            </w:r>
          </w:p>
        </w:tc>
        <w:tc>
          <w:tcPr>
            <w:tcW w:w="850" w:type="dxa"/>
            <w:tcBorders>
              <w:top w:val="dotted" w:sz="4" w:space="0" w:color="auto"/>
              <w:bottom w:val="dotted" w:sz="4" w:space="0" w:color="auto"/>
            </w:tcBorders>
            <w:shd w:val="clear" w:color="auto" w:fill="FFFFFF" w:themeFill="background1"/>
            <w:noWrap/>
            <w:vAlign w:val="center"/>
            <w:hideMark/>
          </w:tcPr>
          <w:p w:rsidR="00BC559F" w:rsidRPr="00D928C5" w:rsidRDefault="00BC559F" w:rsidP="003921E1">
            <w:pPr>
              <w:pStyle w:val="TableCentre"/>
              <w:rPr>
                <w:rFonts w:ascii="Arial Narrow" w:hAnsi="Arial Narrow"/>
              </w:rPr>
            </w:pPr>
            <w:r w:rsidRPr="00D928C5">
              <w:rPr>
                <w:rFonts w:ascii="Arial Narrow" w:hAnsi="Arial Narrow"/>
              </w:rPr>
              <w:t>168</w:t>
            </w:r>
          </w:p>
        </w:tc>
        <w:tc>
          <w:tcPr>
            <w:tcW w:w="851" w:type="dxa"/>
            <w:tcBorders>
              <w:top w:val="dotted" w:sz="4" w:space="0" w:color="auto"/>
              <w:bottom w:val="dotted" w:sz="4" w:space="0" w:color="auto"/>
            </w:tcBorders>
            <w:shd w:val="clear" w:color="auto" w:fill="FFFFFF" w:themeFill="background1"/>
            <w:noWrap/>
            <w:vAlign w:val="center"/>
            <w:hideMark/>
          </w:tcPr>
          <w:p w:rsidR="00BC559F" w:rsidRPr="00D928C5" w:rsidRDefault="00BC559F" w:rsidP="003921E1">
            <w:pPr>
              <w:pStyle w:val="TableCentre"/>
              <w:rPr>
                <w:rFonts w:ascii="Arial Narrow" w:hAnsi="Arial Narrow"/>
              </w:rPr>
            </w:pPr>
            <w:r w:rsidRPr="00D928C5">
              <w:rPr>
                <w:rFonts w:ascii="Arial Narrow" w:hAnsi="Arial Narrow"/>
              </w:rPr>
              <w:t>84</w:t>
            </w:r>
          </w:p>
        </w:tc>
        <w:tc>
          <w:tcPr>
            <w:tcW w:w="850" w:type="dxa"/>
            <w:tcBorders>
              <w:top w:val="dotted" w:sz="4" w:space="0" w:color="auto"/>
              <w:bottom w:val="dotted" w:sz="4" w:space="0" w:color="auto"/>
            </w:tcBorders>
            <w:shd w:val="clear" w:color="auto" w:fill="FFFFFF" w:themeFill="background1"/>
            <w:noWrap/>
            <w:vAlign w:val="center"/>
            <w:hideMark/>
          </w:tcPr>
          <w:p w:rsidR="00BC559F" w:rsidRPr="00D928C5" w:rsidRDefault="00BC559F" w:rsidP="003921E1">
            <w:pPr>
              <w:pStyle w:val="TableCentre"/>
              <w:rPr>
                <w:rFonts w:ascii="Arial Narrow" w:hAnsi="Arial Narrow"/>
              </w:rPr>
            </w:pPr>
            <w:r w:rsidRPr="00D928C5">
              <w:rPr>
                <w:rFonts w:ascii="Arial Narrow" w:hAnsi="Arial Narrow"/>
              </w:rPr>
              <w:t>112</w:t>
            </w:r>
          </w:p>
        </w:tc>
        <w:tc>
          <w:tcPr>
            <w:tcW w:w="832" w:type="dxa"/>
            <w:tcBorders>
              <w:top w:val="dotted" w:sz="4" w:space="0" w:color="auto"/>
              <w:bottom w:val="dotted" w:sz="4" w:space="0" w:color="auto"/>
            </w:tcBorders>
            <w:shd w:val="clear" w:color="auto" w:fill="FFFFFF" w:themeFill="background1"/>
            <w:noWrap/>
            <w:vAlign w:val="center"/>
            <w:hideMark/>
          </w:tcPr>
          <w:p w:rsidR="00BC559F" w:rsidRPr="00D928C5" w:rsidRDefault="00BC559F" w:rsidP="003921E1">
            <w:pPr>
              <w:pStyle w:val="TableCentre"/>
              <w:rPr>
                <w:rFonts w:ascii="Arial Narrow" w:hAnsi="Arial Narrow"/>
              </w:rPr>
            </w:pPr>
            <w:r w:rsidRPr="00D928C5">
              <w:rPr>
                <w:rFonts w:ascii="Arial Narrow" w:hAnsi="Arial Narrow"/>
              </w:rPr>
              <w:t>140</w:t>
            </w:r>
          </w:p>
        </w:tc>
        <w:tc>
          <w:tcPr>
            <w:tcW w:w="869" w:type="dxa"/>
            <w:tcBorders>
              <w:top w:val="dotted" w:sz="4" w:space="0" w:color="auto"/>
              <w:bottom w:val="dotted" w:sz="4" w:space="0" w:color="auto"/>
            </w:tcBorders>
            <w:shd w:val="clear" w:color="auto" w:fill="FFFFFF" w:themeFill="background1"/>
            <w:noWrap/>
            <w:vAlign w:val="center"/>
            <w:hideMark/>
          </w:tcPr>
          <w:p w:rsidR="00BC559F" w:rsidRPr="00D928C5" w:rsidRDefault="00BC559F" w:rsidP="003921E1">
            <w:pPr>
              <w:pStyle w:val="TableCentre"/>
              <w:rPr>
                <w:rFonts w:ascii="Arial Narrow" w:hAnsi="Arial Narrow"/>
              </w:rPr>
            </w:pPr>
            <w:r w:rsidRPr="00D928C5">
              <w:rPr>
                <w:rFonts w:ascii="Arial Narrow" w:hAnsi="Arial Narrow"/>
              </w:rPr>
              <w:t>168</w:t>
            </w:r>
          </w:p>
        </w:tc>
      </w:tr>
      <w:tr w:rsidR="00BC559F" w:rsidRPr="00D928C5" w:rsidTr="003921E1">
        <w:tc>
          <w:tcPr>
            <w:tcW w:w="1656" w:type="dxa"/>
            <w:tcBorders>
              <w:top w:val="dotted" w:sz="4" w:space="0" w:color="auto"/>
            </w:tcBorders>
            <w:shd w:val="clear" w:color="auto" w:fill="FFFFFF" w:themeFill="background1"/>
            <w:noWrap/>
          </w:tcPr>
          <w:p w:rsidR="00BC559F" w:rsidRPr="00D928C5" w:rsidRDefault="00BC559F" w:rsidP="003921E1">
            <w:pPr>
              <w:pStyle w:val="Table"/>
              <w:ind w:left="273"/>
              <w:rPr>
                <w:rFonts w:ascii="Arial Narrow" w:hAnsi="Arial Narrow"/>
              </w:rPr>
            </w:pPr>
            <w:r w:rsidRPr="00D928C5">
              <w:rPr>
                <w:rFonts w:ascii="Arial Narrow" w:hAnsi="Arial Narrow"/>
              </w:rPr>
              <w:t>Price</w:t>
            </w:r>
          </w:p>
        </w:tc>
        <w:tc>
          <w:tcPr>
            <w:tcW w:w="851" w:type="dxa"/>
            <w:tcBorders>
              <w:top w:val="dotted" w:sz="4" w:space="0" w:color="auto"/>
            </w:tcBorders>
            <w:shd w:val="clear" w:color="auto" w:fill="FFFFFF" w:themeFill="background1"/>
            <w:noWrap/>
          </w:tcPr>
          <w:p w:rsidR="00BC559F" w:rsidRPr="00D928C5" w:rsidRDefault="00BC559F" w:rsidP="003921E1">
            <w:pPr>
              <w:pStyle w:val="TableCentre"/>
              <w:ind w:left="-57" w:right="-57"/>
              <w:rPr>
                <w:rFonts w:ascii="Arial Narrow" w:hAnsi="Arial Narrow"/>
              </w:rPr>
            </w:pPr>
            <w:r w:rsidRPr="00D928C5">
              <w:rPr>
                <w:rFonts w:ascii="Arial Narrow" w:hAnsi="Arial Narrow"/>
              </w:rPr>
              <w:t>$</w:t>
            </w:r>
            <w:r w:rsidR="00F53974">
              <w:rPr>
                <w:rFonts w:ascii="Arial Narrow" w:hAnsi="Arial Narrow"/>
                <w:noProof/>
                <w:color w:val="000000"/>
                <w:highlight w:val="black"/>
              </w:rPr>
              <w:t>'''''''''''''''''''''</w:t>
            </w:r>
          </w:p>
        </w:tc>
        <w:tc>
          <w:tcPr>
            <w:tcW w:w="850" w:type="dxa"/>
            <w:tcBorders>
              <w:top w:val="dotted" w:sz="4" w:space="0" w:color="auto"/>
            </w:tcBorders>
            <w:shd w:val="clear" w:color="auto" w:fill="FFFFFF" w:themeFill="background1"/>
            <w:noWrap/>
          </w:tcPr>
          <w:p w:rsidR="00BC559F" w:rsidRPr="00D928C5" w:rsidRDefault="00BC559F" w:rsidP="003921E1">
            <w:pPr>
              <w:pStyle w:val="TableCentre"/>
              <w:ind w:left="-57" w:right="-57"/>
              <w:rPr>
                <w:rFonts w:ascii="Arial Narrow" w:hAnsi="Arial Narrow"/>
              </w:rPr>
            </w:pPr>
            <w:r w:rsidRPr="00D928C5">
              <w:rPr>
                <w:rFonts w:ascii="Arial Narrow" w:hAnsi="Arial Narrow"/>
              </w:rPr>
              <w:t>$</w:t>
            </w:r>
            <w:r w:rsidR="00F53974">
              <w:rPr>
                <w:rFonts w:ascii="Arial Narrow" w:hAnsi="Arial Narrow"/>
                <w:noProof/>
                <w:color w:val="000000"/>
                <w:highlight w:val="black"/>
              </w:rPr>
              <w:t>''''''''''''''''''''''</w:t>
            </w:r>
          </w:p>
        </w:tc>
        <w:tc>
          <w:tcPr>
            <w:tcW w:w="851" w:type="dxa"/>
            <w:tcBorders>
              <w:top w:val="dotted" w:sz="4" w:space="0" w:color="auto"/>
            </w:tcBorders>
            <w:shd w:val="clear" w:color="auto" w:fill="FFFFFF" w:themeFill="background1"/>
            <w:noWrap/>
          </w:tcPr>
          <w:p w:rsidR="00BC559F" w:rsidRPr="00D928C5" w:rsidRDefault="00BC559F" w:rsidP="003921E1">
            <w:pPr>
              <w:pStyle w:val="TableCentre"/>
              <w:ind w:left="-57" w:right="-57"/>
              <w:rPr>
                <w:rFonts w:ascii="Arial Narrow" w:hAnsi="Arial Narrow"/>
              </w:rPr>
            </w:pPr>
            <w:r w:rsidRPr="00D928C5">
              <w:rPr>
                <w:rFonts w:ascii="Arial Narrow" w:hAnsi="Arial Narrow"/>
              </w:rPr>
              <w:t>$</w:t>
            </w:r>
            <w:r w:rsidR="00F53974">
              <w:rPr>
                <w:rFonts w:ascii="Arial Narrow" w:hAnsi="Arial Narrow"/>
                <w:noProof/>
                <w:color w:val="000000"/>
                <w:highlight w:val="black"/>
              </w:rPr>
              <w:t>''''''''''''''''''''</w:t>
            </w:r>
          </w:p>
        </w:tc>
        <w:tc>
          <w:tcPr>
            <w:tcW w:w="850" w:type="dxa"/>
            <w:tcBorders>
              <w:top w:val="dotted" w:sz="4" w:space="0" w:color="auto"/>
            </w:tcBorders>
            <w:shd w:val="clear" w:color="auto" w:fill="FFFFFF" w:themeFill="background1"/>
            <w:noWrap/>
          </w:tcPr>
          <w:p w:rsidR="00BC559F" w:rsidRPr="00D928C5" w:rsidRDefault="00BC559F" w:rsidP="003921E1">
            <w:pPr>
              <w:pStyle w:val="TableCentre"/>
              <w:ind w:left="-57" w:right="-57"/>
              <w:rPr>
                <w:rFonts w:ascii="Arial Narrow" w:hAnsi="Arial Narrow"/>
              </w:rPr>
            </w:pPr>
            <w:r w:rsidRPr="00D928C5">
              <w:rPr>
                <w:rFonts w:ascii="Arial Narrow" w:hAnsi="Arial Narrow"/>
              </w:rPr>
              <w:t>$</w:t>
            </w:r>
            <w:r w:rsidR="00F53974">
              <w:rPr>
                <w:rFonts w:ascii="Arial Narrow" w:hAnsi="Arial Narrow"/>
                <w:noProof/>
                <w:color w:val="000000"/>
                <w:highlight w:val="black"/>
              </w:rPr>
              <w:t>'''''''''''''''''''''''</w:t>
            </w:r>
          </w:p>
        </w:tc>
        <w:tc>
          <w:tcPr>
            <w:tcW w:w="851" w:type="dxa"/>
            <w:tcBorders>
              <w:top w:val="dotted" w:sz="4" w:space="0" w:color="auto"/>
            </w:tcBorders>
            <w:shd w:val="clear" w:color="auto" w:fill="FFFFFF" w:themeFill="background1"/>
            <w:noWrap/>
          </w:tcPr>
          <w:p w:rsidR="00BC559F" w:rsidRPr="00D928C5" w:rsidRDefault="00BC559F" w:rsidP="003921E1">
            <w:pPr>
              <w:pStyle w:val="TableCentre"/>
              <w:ind w:left="-57" w:right="-57"/>
              <w:rPr>
                <w:rFonts w:ascii="Arial Narrow" w:hAnsi="Arial Narrow"/>
              </w:rPr>
            </w:pPr>
            <w:r w:rsidRPr="00D928C5">
              <w:rPr>
                <w:rFonts w:ascii="Arial Narrow" w:hAnsi="Arial Narrow"/>
              </w:rPr>
              <w:t>$</w:t>
            </w:r>
            <w:r w:rsidR="00F53974">
              <w:rPr>
                <w:rFonts w:ascii="Arial Narrow" w:hAnsi="Arial Narrow"/>
                <w:noProof/>
                <w:color w:val="000000"/>
                <w:highlight w:val="black"/>
              </w:rPr>
              <w:t>''''''''''''''''''''</w:t>
            </w:r>
          </w:p>
        </w:tc>
        <w:tc>
          <w:tcPr>
            <w:tcW w:w="850" w:type="dxa"/>
            <w:tcBorders>
              <w:top w:val="dotted" w:sz="4" w:space="0" w:color="auto"/>
            </w:tcBorders>
            <w:shd w:val="clear" w:color="auto" w:fill="FFFFFF" w:themeFill="background1"/>
            <w:noWrap/>
          </w:tcPr>
          <w:p w:rsidR="00BC559F" w:rsidRPr="00D928C5" w:rsidRDefault="00BC559F" w:rsidP="003921E1">
            <w:pPr>
              <w:pStyle w:val="TableCentre"/>
              <w:ind w:left="-57" w:right="-57"/>
              <w:rPr>
                <w:rFonts w:ascii="Arial Narrow" w:hAnsi="Arial Narrow"/>
              </w:rPr>
            </w:pPr>
            <w:r w:rsidRPr="00D928C5">
              <w:rPr>
                <w:rFonts w:ascii="Arial Narrow" w:hAnsi="Arial Narrow"/>
              </w:rPr>
              <w:t>$</w:t>
            </w:r>
            <w:r w:rsidR="00F53974">
              <w:rPr>
                <w:rFonts w:ascii="Arial Narrow" w:hAnsi="Arial Narrow"/>
                <w:noProof/>
                <w:color w:val="000000"/>
                <w:highlight w:val="black"/>
              </w:rPr>
              <w:t>''''''''''''''''''''''</w:t>
            </w:r>
          </w:p>
        </w:tc>
        <w:tc>
          <w:tcPr>
            <w:tcW w:w="832" w:type="dxa"/>
            <w:tcBorders>
              <w:top w:val="dotted" w:sz="4" w:space="0" w:color="auto"/>
            </w:tcBorders>
            <w:shd w:val="clear" w:color="auto" w:fill="FFFFFF" w:themeFill="background1"/>
            <w:noWrap/>
          </w:tcPr>
          <w:p w:rsidR="00BC559F" w:rsidRPr="00D928C5" w:rsidRDefault="00BC559F" w:rsidP="003921E1">
            <w:pPr>
              <w:pStyle w:val="TableCentre"/>
              <w:ind w:left="-57" w:right="-57"/>
              <w:rPr>
                <w:rFonts w:ascii="Arial Narrow" w:hAnsi="Arial Narrow"/>
              </w:rPr>
            </w:pPr>
            <w:r w:rsidRPr="00D928C5">
              <w:rPr>
                <w:rFonts w:ascii="Arial Narrow" w:hAnsi="Arial Narrow"/>
              </w:rPr>
              <w:t>$</w:t>
            </w:r>
            <w:r w:rsidR="00F53974">
              <w:rPr>
                <w:rFonts w:ascii="Arial Narrow" w:hAnsi="Arial Narrow"/>
                <w:noProof/>
                <w:color w:val="000000"/>
                <w:highlight w:val="black"/>
              </w:rPr>
              <w:t>''''''''''''''''''''</w:t>
            </w:r>
          </w:p>
        </w:tc>
        <w:tc>
          <w:tcPr>
            <w:tcW w:w="869" w:type="dxa"/>
            <w:tcBorders>
              <w:top w:val="dotted" w:sz="4" w:space="0" w:color="auto"/>
            </w:tcBorders>
            <w:shd w:val="clear" w:color="auto" w:fill="FFFFFF" w:themeFill="background1"/>
            <w:noWrap/>
          </w:tcPr>
          <w:p w:rsidR="00BC559F" w:rsidRPr="00D928C5" w:rsidRDefault="00BC559F" w:rsidP="003921E1">
            <w:pPr>
              <w:pStyle w:val="TableCentre"/>
              <w:ind w:left="-57" w:right="-57"/>
              <w:rPr>
                <w:rFonts w:ascii="Arial Narrow" w:hAnsi="Arial Narrow"/>
              </w:rPr>
            </w:pPr>
            <w:r w:rsidRPr="00D928C5">
              <w:rPr>
                <w:rFonts w:ascii="Arial Narrow" w:hAnsi="Arial Narrow"/>
              </w:rPr>
              <w:t>$</w:t>
            </w:r>
            <w:r w:rsidR="00F53974">
              <w:rPr>
                <w:rFonts w:ascii="Arial Narrow" w:hAnsi="Arial Narrow"/>
                <w:noProof/>
                <w:color w:val="000000"/>
                <w:highlight w:val="black"/>
              </w:rPr>
              <w:t>'''''''''''''''''''</w:t>
            </w:r>
          </w:p>
        </w:tc>
      </w:tr>
      <w:tr w:rsidR="00BC559F" w:rsidRPr="00D928C5" w:rsidTr="003921E1">
        <w:tc>
          <w:tcPr>
            <w:tcW w:w="1656" w:type="dxa"/>
            <w:shd w:val="clear" w:color="auto" w:fill="FFFFFF" w:themeFill="background1"/>
            <w:noWrap/>
            <w:hideMark/>
          </w:tcPr>
          <w:p w:rsidR="00BC559F" w:rsidRPr="00D928C5" w:rsidRDefault="00BC559F" w:rsidP="00352410">
            <w:pPr>
              <w:pStyle w:val="Table"/>
              <w:rPr>
                <w:rFonts w:ascii="Arial Narrow" w:hAnsi="Arial Narrow"/>
                <w:b/>
              </w:rPr>
            </w:pPr>
            <w:r w:rsidRPr="00D928C5">
              <w:rPr>
                <w:rFonts w:ascii="Arial Narrow" w:hAnsi="Arial Narrow"/>
                <w:b/>
              </w:rPr>
              <w:t>‘</w:t>
            </w:r>
            <w:r w:rsidR="00352410" w:rsidRPr="00D928C5">
              <w:rPr>
                <w:rFonts w:ascii="Arial Narrow" w:hAnsi="Arial Narrow"/>
                <w:b/>
              </w:rPr>
              <w:t>S</w:t>
            </w:r>
            <w:r w:rsidRPr="00D928C5">
              <w:rPr>
                <w:rFonts w:ascii="Arial Narrow" w:hAnsi="Arial Narrow"/>
                <w:b/>
              </w:rPr>
              <w:t>hadow price’ for ribavirin per 200mg tablet</w:t>
            </w:r>
          </w:p>
        </w:tc>
        <w:tc>
          <w:tcPr>
            <w:tcW w:w="851" w:type="dxa"/>
            <w:shd w:val="clear" w:color="auto" w:fill="FFFFFF" w:themeFill="background1"/>
            <w:noWrap/>
            <w:vAlign w:val="center"/>
            <w:hideMark/>
          </w:tcPr>
          <w:p w:rsidR="00BC559F" w:rsidRPr="00D928C5" w:rsidRDefault="00BC559F" w:rsidP="003921E1">
            <w:pPr>
              <w:pStyle w:val="TableCentre"/>
              <w:jc w:val="right"/>
              <w:rPr>
                <w:rFonts w:ascii="Arial Narrow" w:hAnsi="Arial Narrow"/>
                <w:b/>
              </w:rPr>
            </w:pPr>
            <w:r w:rsidRPr="00D928C5">
              <w:rPr>
                <w:rFonts w:ascii="Arial Narrow" w:hAnsi="Arial Narrow"/>
                <w:b/>
              </w:rPr>
              <w:t xml:space="preserve"> $</w:t>
            </w:r>
            <w:r w:rsidR="00F53974">
              <w:rPr>
                <w:rFonts w:ascii="Arial Narrow" w:hAnsi="Arial Narrow"/>
                <w:b/>
                <w:noProof/>
                <w:color w:val="000000"/>
                <w:highlight w:val="black"/>
              </w:rPr>
              <w:t>''''''''</w:t>
            </w:r>
            <w:r w:rsidRPr="00D928C5">
              <w:rPr>
                <w:rFonts w:ascii="Arial Narrow" w:hAnsi="Arial Narrow"/>
                <w:b/>
              </w:rPr>
              <w:t xml:space="preserve"> </w:t>
            </w:r>
          </w:p>
        </w:tc>
        <w:tc>
          <w:tcPr>
            <w:tcW w:w="850" w:type="dxa"/>
            <w:shd w:val="clear" w:color="auto" w:fill="FFFFFF" w:themeFill="background1"/>
            <w:noWrap/>
            <w:vAlign w:val="center"/>
            <w:hideMark/>
          </w:tcPr>
          <w:p w:rsidR="00BC559F" w:rsidRPr="00D928C5" w:rsidRDefault="00BC559F" w:rsidP="003921E1">
            <w:pPr>
              <w:pStyle w:val="TableCentre"/>
              <w:jc w:val="right"/>
              <w:rPr>
                <w:rFonts w:ascii="Arial Narrow" w:hAnsi="Arial Narrow"/>
                <w:b/>
              </w:rPr>
            </w:pPr>
            <w:r w:rsidRPr="00D928C5">
              <w:rPr>
                <w:rFonts w:ascii="Arial Narrow" w:hAnsi="Arial Narrow"/>
                <w:b/>
              </w:rPr>
              <w:t xml:space="preserve"> $</w:t>
            </w:r>
            <w:r w:rsidR="00F53974">
              <w:rPr>
                <w:rFonts w:ascii="Arial Narrow" w:hAnsi="Arial Narrow"/>
                <w:b/>
                <w:noProof/>
                <w:color w:val="000000"/>
                <w:highlight w:val="black"/>
              </w:rPr>
              <w:t>'''''''''</w:t>
            </w:r>
            <w:r w:rsidRPr="00D928C5">
              <w:rPr>
                <w:rFonts w:ascii="Arial Narrow" w:hAnsi="Arial Narrow"/>
                <w:b/>
              </w:rPr>
              <w:t xml:space="preserve"> </w:t>
            </w:r>
          </w:p>
        </w:tc>
        <w:tc>
          <w:tcPr>
            <w:tcW w:w="851" w:type="dxa"/>
            <w:shd w:val="clear" w:color="auto" w:fill="FFFFFF" w:themeFill="background1"/>
            <w:noWrap/>
            <w:vAlign w:val="center"/>
            <w:hideMark/>
          </w:tcPr>
          <w:p w:rsidR="00BC559F" w:rsidRPr="00D928C5" w:rsidRDefault="00BC559F" w:rsidP="003921E1">
            <w:pPr>
              <w:pStyle w:val="TableCentre"/>
              <w:jc w:val="right"/>
              <w:rPr>
                <w:rFonts w:ascii="Arial Narrow" w:hAnsi="Arial Narrow"/>
                <w:b/>
              </w:rPr>
            </w:pPr>
            <w:r w:rsidRPr="00D928C5">
              <w:rPr>
                <w:rFonts w:ascii="Arial Narrow" w:hAnsi="Arial Narrow"/>
                <w:b/>
              </w:rPr>
              <w:t xml:space="preserve"> $</w:t>
            </w:r>
            <w:r w:rsidR="00F53974">
              <w:rPr>
                <w:rFonts w:ascii="Arial Narrow" w:hAnsi="Arial Narrow"/>
                <w:b/>
                <w:noProof/>
                <w:color w:val="000000"/>
                <w:highlight w:val="black"/>
              </w:rPr>
              <w:t>''''''''</w:t>
            </w:r>
            <w:r w:rsidRPr="00D928C5">
              <w:rPr>
                <w:rFonts w:ascii="Arial Narrow" w:hAnsi="Arial Narrow"/>
                <w:b/>
              </w:rPr>
              <w:t xml:space="preserve"> </w:t>
            </w:r>
          </w:p>
        </w:tc>
        <w:tc>
          <w:tcPr>
            <w:tcW w:w="850" w:type="dxa"/>
            <w:shd w:val="clear" w:color="auto" w:fill="FFFFFF" w:themeFill="background1"/>
            <w:noWrap/>
            <w:vAlign w:val="center"/>
            <w:hideMark/>
          </w:tcPr>
          <w:p w:rsidR="00BC559F" w:rsidRPr="00D928C5" w:rsidRDefault="00BC559F" w:rsidP="003921E1">
            <w:pPr>
              <w:pStyle w:val="TableCentre"/>
              <w:jc w:val="right"/>
              <w:rPr>
                <w:rFonts w:ascii="Arial Narrow" w:hAnsi="Arial Narrow"/>
                <w:b/>
              </w:rPr>
            </w:pPr>
            <w:r w:rsidRPr="00D928C5">
              <w:rPr>
                <w:rFonts w:ascii="Arial Narrow" w:hAnsi="Arial Narrow"/>
                <w:b/>
              </w:rPr>
              <w:t xml:space="preserve"> $</w:t>
            </w:r>
            <w:r w:rsidR="00F53974">
              <w:rPr>
                <w:rFonts w:ascii="Arial Narrow" w:hAnsi="Arial Narrow"/>
                <w:b/>
                <w:noProof/>
                <w:color w:val="000000"/>
                <w:highlight w:val="black"/>
              </w:rPr>
              <w:t>''''''''''</w:t>
            </w:r>
            <w:r w:rsidRPr="00D928C5">
              <w:rPr>
                <w:rFonts w:ascii="Arial Narrow" w:hAnsi="Arial Narrow"/>
                <w:b/>
              </w:rPr>
              <w:t xml:space="preserve"> </w:t>
            </w:r>
          </w:p>
        </w:tc>
        <w:tc>
          <w:tcPr>
            <w:tcW w:w="851" w:type="dxa"/>
            <w:shd w:val="clear" w:color="auto" w:fill="FFFFFF" w:themeFill="background1"/>
            <w:noWrap/>
            <w:vAlign w:val="center"/>
            <w:hideMark/>
          </w:tcPr>
          <w:p w:rsidR="00BC559F" w:rsidRPr="00D928C5" w:rsidRDefault="00BC559F" w:rsidP="003921E1">
            <w:pPr>
              <w:pStyle w:val="TableCentre"/>
              <w:jc w:val="right"/>
              <w:rPr>
                <w:rFonts w:ascii="Arial Narrow" w:hAnsi="Arial Narrow"/>
                <w:b/>
              </w:rPr>
            </w:pPr>
            <w:r w:rsidRPr="00D928C5">
              <w:rPr>
                <w:rFonts w:ascii="Arial Narrow" w:hAnsi="Arial Narrow"/>
                <w:b/>
              </w:rPr>
              <w:t xml:space="preserve"> $</w:t>
            </w:r>
            <w:r w:rsidR="00F53974">
              <w:rPr>
                <w:rFonts w:ascii="Arial Narrow" w:hAnsi="Arial Narrow"/>
                <w:b/>
                <w:noProof/>
                <w:color w:val="000000"/>
                <w:highlight w:val="black"/>
              </w:rPr>
              <w:t>'''''''''</w:t>
            </w:r>
            <w:r w:rsidRPr="00D928C5">
              <w:rPr>
                <w:rFonts w:ascii="Arial Narrow" w:hAnsi="Arial Narrow"/>
                <w:b/>
              </w:rPr>
              <w:t xml:space="preserve"> </w:t>
            </w:r>
          </w:p>
        </w:tc>
        <w:tc>
          <w:tcPr>
            <w:tcW w:w="850" w:type="dxa"/>
            <w:shd w:val="clear" w:color="auto" w:fill="FFFFFF" w:themeFill="background1"/>
            <w:noWrap/>
            <w:vAlign w:val="center"/>
            <w:hideMark/>
          </w:tcPr>
          <w:p w:rsidR="00BC559F" w:rsidRPr="00D928C5" w:rsidRDefault="00BC559F" w:rsidP="003921E1">
            <w:pPr>
              <w:pStyle w:val="TableCentre"/>
              <w:jc w:val="right"/>
              <w:rPr>
                <w:rFonts w:ascii="Arial Narrow" w:hAnsi="Arial Narrow"/>
                <w:b/>
              </w:rPr>
            </w:pPr>
            <w:r w:rsidRPr="00D928C5">
              <w:rPr>
                <w:rFonts w:ascii="Arial Narrow" w:hAnsi="Arial Narrow"/>
                <w:b/>
              </w:rPr>
              <w:t xml:space="preserve"> $</w:t>
            </w:r>
            <w:r w:rsidR="00F53974">
              <w:rPr>
                <w:rFonts w:ascii="Arial Narrow" w:hAnsi="Arial Narrow"/>
                <w:b/>
                <w:noProof/>
                <w:color w:val="000000"/>
                <w:highlight w:val="black"/>
              </w:rPr>
              <w:t>'''''''''</w:t>
            </w:r>
            <w:r w:rsidRPr="00D928C5">
              <w:rPr>
                <w:rFonts w:ascii="Arial Narrow" w:hAnsi="Arial Narrow"/>
                <w:b/>
              </w:rPr>
              <w:t xml:space="preserve"> </w:t>
            </w:r>
          </w:p>
        </w:tc>
        <w:tc>
          <w:tcPr>
            <w:tcW w:w="832" w:type="dxa"/>
            <w:shd w:val="clear" w:color="auto" w:fill="FFFFFF" w:themeFill="background1"/>
            <w:noWrap/>
            <w:vAlign w:val="center"/>
            <w:hideMark/>
          </w:tcPr>
          <w:p w:rsidR="00BC559F" w:rsidRPr="00D928C5" w:rsidRDefault="00BC559F" w:rsidP="003921E1">
            <w:pPr>
              <w:pStyle w:val="TableCentre"/>
              <w:jc w:val="right"/>
              <w:rPr>
                <w:rFonts w:ascii="Arial Narrow" w:hAnsi="Arial Narrow"/>
                <w:b/>
              </w:rPr>
            </w:pPr>
            <w:r w:rsidRPr="00D928C5">
              <w:rPr>
                <w:rFonts w:ascii="Arial Narrow" w:hAnsi="Arial Narrow"/>
                <w:b/>
              </w:rPr>
              <w:t xml:space="preserve"> $</w:t>
            </w:r>
            <w:r w:rsidR="00F53974">
              <w:rPr>
                <w:rFonts w:ascii="Arial Narrow" w:hAnsi="Arial Narrow"/>
                <w:b/>
                <w:noProof/>
                <w:color w:val="000000"/>
                <w:highlight w:val="black"/>
              </w:rPr>
              <w:t>'''''''''</w:t>
            </w:r>
            <w:r w:rsidRPr="00D928C5">
              <w:rPr>
                <w:rFonts w:ascii="Arial Narrow" w:hAnsi="Arial Narrow"/>
                <w:b/>
              </w:rPr>
              <w:t xml:space="preserve"> </w:t>
            </w:r>
          </w:p>
        </w:tc>
        <w:tc>
          <w:tcPr>
            <w:tcW w:w="869" w:type="dxa"/>
            <w:shd w:val="clear" w:color="auto" w:fill="FFFFFF" w:themeFill="background1"/>
            <w:noWrap/>
            <w:vAlign w:val="center"/>
            <w:hideMark/>
          </w:tcPr>
          <w:p w:rsidR="00BC559F" w:rsidRPr="00D928C5" w:rsidRDefault="00BC559F" w:rsidP="003921E1">
            <w:pPr>
              <w:pStyle w:val="TableCentre"/>
              <w:jc w:val="right"/>
              <w:rPr>
                <w:rFonts w:ascii="Arial Narrow" w:hAnsi="Arial Narrow"/>
                <w:b/>
              </w:rPr>
            </w:pPr>
            <w:r w:rsidRPr="00D928C5">
              <w:rPr>
                <w:rFonts w:ascii="Arial Narrow" w:hAnsi="Arial Narrow"/>
                <w:b/>
              </w:rPr>
              <w:t xml:space="preserve"> $</w:t>
            </w:r>
            <w:r w:rsidR="00F53974">
              <w:rPr>
                <w:rFonts w:ascii="Arial Narrow" w:hAnsi="Arial Narrow"/>
                <w:b/>
                <w:noProof/>
                <w:color w:val="000000"/>
                <w:highlight w:val="black"/>
              </w:rPr>
              <w:t>''''''''</w:t>
            </w:r>
            <w:r w:rsidRPr="00D928C5">
              <w:rPr>
                <w:rFonts w:ascii="Arial Narrow" w:hAnsi="Arial Narrow"/>
                <w:b/>
              </w:rPr>
              <w:t xml:space="preserve"> </w:t>
            </w:r>
          </w:p>
        </w:tc>
      </w:tr>
    </w:tbl>
    <w:p w:rsidR="00BC559F" w:rsidRPr="00D928C5" w:rsidRDefault="00BC559F" w:rsidP="00BC559F">
      <w:pPr>
        <w:pStyle w:val="TableFooter"/>
        <w:ind w:left="663"/>
      </w:pPr>
      <w:r w:rsidRPr="00D928C5">
        <w:rPr>
          <w:vertAlign w:val="superscript"/>
        </w:rPr>
        <w:t>a</w:t>
      </w:r>
      <w:r w:rsidRPr="00D928C5">
        <w:t xml:space="preserve"> Although Pegasys RBV appeared on the PBS in February 2004, Pegasys alone did not appear until April 2005; hence the analysis has been based on April 2005 ex-manufacturer prices. </w:t>
      </w:r>
      <w:r w:rsidR="00352410" w:rsidRPr="00D928C5">
        <w:t xml:space="preserve">The price of Pegasys </w:t>
      </w:r>
      <w:r w:rsidRPr="00D928C5">
        <w:t>RBV did not change between February 2004 and April 2005.</w:t>
      </w:r>
    </w:p>
    <w:p w:rsidR="00BC559F" w:rsidRPr="00D928C5" w:rsidRDefault="00BC559F" w:rsidP="00EB46EF">
      <w:pPr>
        <w:pStyle w:val="TableFooter"/>
        <w:ind w:left="663"/>
      </w:pPr>
      <w:r w:rsidRPr="00D928C5">
        <w:t xml:space="preserve">Source: Table 7, p16 of the minor re-submission. </w:t>
      </w:r>
    </w:p>
    <w:p w:rsidR="00C2403E" w:rsidRPr="00D928C5" w:rsidRDefault="00C2403E" w:rsidP="00C2403E">
      <w:pPr>
        <w:jc w:val="both"/>
        <w:rPr>
          <w:rFonts w:ascii="Arial" w:hAnsi="Arial"/>
          <w:sz w:val="22"/>
          <w:szCs w:val="22"/>
        </w:rPr>
      </w:pPr>
    </w:p>
    <w:p w:rsidR="00824B6E" w:rsidRPr="00D928C5" w:rsidRDefault="001A05A9" w:rsidP="00863C00">
      <w:pPr>
        <w:pStyle w:val="ListParagraph"/>
        <w:numPr>
          <w:ilvl w:val="1"/>
          <w:numId w:val="2"/>
        </w:numPr>
        <w:jc w:val="both"/>
        <w:rPr>
          <w:rFonts w:ascii="Arial" w:hAnsi="Arial"/>
          <w:sz w:val="22"/>
          <w:szCs w:val="22"/>
        </w:rPr>
      </w:pPr>
      <w:r w:rsidRPr="00D928C5">
        <w:rPr>
          <w:rFonts w:ascii="Arial" w:hAnsi="Arial"/>
          <w:sz w:val="22"/>
          <w:szCs w:val="22"/>
        </w:rPr>
        <w:t xml:space="preserve">When considering the </w:t>
      </w:r>
      <w:r w:rsidR="00352410" w:rsidRPr="00D928C5">
        <w:rPr>
          <w:rFonts w:ascii="Arial" w:hAnsi="Arial"/>
          <w:sz w:val="22"/>
          <w:szCs w:val="22"/>
        </w:rPr>
        <w:t>original</w:t>
      </w:r>
      <w:r w:rsidRPr="00D928C5">
        <w:rPr>
          <w:rFonts w:ascii="Arial" w:hAnsi="Arial"/>
          <w:sz w:val="22"/>
          <w:szCs w:val="22"/>
        </w:rPr>
        <w:t xml:space="preserve"> ribavirin submission, the PBAC “were of a mind to approve listing if stand-alone ribavirin was cost-minimised to the ribavirin in the co-pack with peginterferon most likely to be replaced, based on current usage…” (</w:t>
      </w:r>
      <w:r w:rsidR="00B111C7" w:rsidRPr="00D928C5">
        <w:rPr>
          <w:rFonts w:ascii="Arial" w:hAnsi="Arial"/>
          <w:sz w:val="22"/>
          <w:szCs w:val="22"/>
        </w:rPr>
        <w:t>ribavirin PSD, March 2015</w:t>
      </w:r>
      <w:r w:rsidRPr="00D928C5">
        <w:rPr>
          <w:rFonts w:ascii="Arial" w:hAnsi="Arial"/>
          <w:sz w:val="22"/>
          <w:szCs w:val="22"/>
        </w:rPr>
        <w:t xml:space="preserve">). </w:t>
      </w:r>
      <w:r w:rsidR="001652CA" w:rsidRPr="00D928C5">
        <w:rPr>
          <w:rFonts w:ascii="Arial" w:hAnsi="Arial"/>
          <w:sz w:val="22"/>
          <w:szCs w:val="22"/>
        </w:rPr>
        <w:t xml:space="preserve">The PBAC </w:t>
      </w:r>
      <w:r w:rsidR="00D0450B" w:rsidRPr="00D928C5">
        <w:rPr>
          <w:rFonts w:ascii="Arial" w:hAnsi="Arial"/>
          <w:sz w:val="22"/>
          <w:szCs w:val="22"/>
        </w:rPr>
        <w:t xml:space="preserve">also </w:t>
      </w:r>
      <w:r w:rsidR="001652CA" w:rsidRPr="00D928C5">
        <w:rPr>
          <w:rFonts w:ascii="Arial" w:hAnsi="Arial"/>
          <w:sz w:val="22"/>
          <w:szCs w:val="22"/>
        </w:rPr>
        <w:t xml:space="preserve">noted the </w:t>
      </w:r>
      <w:r w:rsidR="00543E51" w:rsidRPr="00D928C5">
        <w:rPr>
          <w:rFonts w:ascii="Arial" w:hAnsi="Arial"/>
          <w:sz w:val="22"/>
          <w:szCs w:val="22"/>
        </w:rPr>
        <w:t>negative shadow price</w:t>
      </w:r>
      <w:r w:rsidR="001652CA" w:rsidRPr="00D928C5">
        <w:rPr>
          <w:rFonts w:ascii="Arial" w:hAnsi="Arial"/>
          <w:sz w:val="22"/>
          <w:szCs w:val="22"/>
        </w:rPr>
        <w:t xml:space="preserve"> for ribavirin and </w:t>
      </w:r>
      <w:r w:rsidR="00D0450B" w:rsidRPr="00D928C5">
        <w:rPr>
          <w:rFonts w:ascii="Arial" w:hAnsi="Arial"/>
          <w:sz w:val="22"/>
          <w:szCs w:val="22"/>
        </w:rPr>
        <w:t>“considered that, though mathematically correct to use negative unit costs for deriving a weighted price, it was more appropriate to exclude negative costs in this analysis” (</w:t>
      </w:r>
      <w:r w:rsidR="00B111C7" w:rsidRPr="00D928C5">
        <w:rPr>
          <w:rFonts w:ascii="Arial" w:hAnsi="Arial"/>
          <w:sz w:val="22"/>
          <w:szCs w:val="22"/>
        </w:rPr>
        <w:t>ribavirin PSD, March 2015</w:t>
      </w:r>
      <w:r w:rsidR="00D0450B" w:rsidRPr="00D928C5">
        <w:rPr>
          <w:rFonts w:ascii="Arial" w:hAnsi="Arial"/>
          <w:sz w:val="22"/>
          <w:szCs w:val="22"/>
        </w:rPr>
        <w:t>)</w:t>
      </w:r>
      <w:r w:rsidR="001652CA" w:rsidRPr="00D928C5">
        <w:rPr>
          <w:rFonts w:ascii="Arial" w:hAnsi="Arial"/>
          <w:sz w:val="22"/>
          <w:szCs w:val="22"/>
        </w:rPr>
        <w:t xml:space="preserve">. The </w:t>
      </w:r>
      <w:r w:rsidR="003B6FCC" w:rsidRPr="00D928C5">
        <w:rPr>
          <w:rFonts w:ascii="Arial" w:hAnsi="Arial"/>
          <w:sz w:val="22"/>
          <w:szCs w:val="22"/>
        </w:rPr>
        <w:t xml:space="preserve">current </w:t>
      </w:r>
      <w:r w:rsidR="001652CA" w:rsidRPr="00D928C5">
        <w:rPr>
          <w:rFonts w:ascii="Arial" w:hAnsi="Arial"/>
          <w:sz w:val="22"/>
          <w:szCs w:val="22"/>
        </w:rPr>
        <w:t xml:space="preserve">weighted </w:t>
      </w:r>
      <w:r w:rsidR="00AA751A" w:rsidRPr="00D928C5">
        <w:rPr>
          <w:rFonts w:ascii="Arial" w:hAnsi="Arial"/>
          <w:sz w:val="22"/>
          <w:szCs w:val="22"/>
        </w:rPr>
        <w:t xml:space="preserve">ex-manufacturer </w:t>
      </w:r>
      <w:r w:rsidR="009D4815" w:rsidRPr="00D928C5">
        <w:rPr>
          <w:rFonts w:ascii="Arial" w:hAnsi="Arial"/>
          <w:sz w:val="22"/>
          <w:szCs w:val="22"/>
        </w:rPr>
        <w:t>shadow price</w:t>
      </w:r>
      <w:r w:rsidR="001652CA" w:rsidRPr="00D928C5">
        <w:rPr>
          <w:rFonts w:ascii="Arial" w:hAnsi="Arial"/>
          <w:sz w:val="22"/>
          <w:szCs w:val="22"/>
        </w:rPr>
        <w:t xml:space="preserve"> for ribavirin, excluding the negative values</w:t>
      </w:r>
      <w:r w:rsidR="00ED760F" w:rsidRPr="00D928C5">
        <w:rPr>
          <w:rFonts w:ascii="Arial" w:hAnsi="Arial"/>
          <w:sz w:val="22"/>
          <w:szCs w:val="22"/>
        </w:rPr>
        <w:t>,</w:t>
      </w:r>
      <w:r w:rsidR="001652CA" w:rsidRPr="00D928C5">
        <w:rPr>
          <w:rFonts w:ascii="Arial" w:hAnsi="Arial"/>
          <w:sz w:val="22"/>
          <w:szCs w:val="22"/>
        </w:rPr>
        <w:t xml:space="preserve"> was estimated to </w:t>
      </w:r>
      <w:r w:rsidR="001652CA" w:rsidRPr="00606F12">
        <w:rPr>
          <w:rFonts w:ascii="Arial" w:hAnsi="Arial"/>
          <w:sz w:val="22"/>
          <w:szCs w:val="22"/>
        </w:rPr>
        <w:t xml:space="preserve">be </w:t>
      </w:r>
      <w:r w:rsidR="002917B9" w:rsidRPr="00606F12">
        <w:rPr>
          <w:rFonts w:ascii="Arial" w:hAnsi="Arial"/>
          <w:sz w:val="22"/>
          <w:szCs w:val="22"/>
        </w:rPr>
        <w:t>$</w:t>
      </w:r>
      <w:r w:rsidR="00F53974">
        <w:rPr>
          <w:rFonts w:ascii="Arial" w:hAnsi="Arial"/>
          <w:noProof/>
          <w:color w:val="000000"/>
          <w:sz w:val="22"/>
          <w:szCs w:val="22"/>
          <w:highlight w:val="black"/>
        </w:rPr>
        <w:t>''''''''''</w:t>
      </w:r>
      <w:r w:rsidR="002917B9" w:rsidRPr="00606F12">
        <w:rPr>
          <w:rFonts w:ascii="Arial" w:hAnsi="Arial"/>
          <w:sz w:val="22"/>
          <w:szCs w:val="22"/>
        </w:rPr>
        <w:t xml:space="preserve"> </w:t>
      </w:r>
      <w:r w:rsidR="002917B9" w:rsidRPr="00D928C5">
        <w:rPr>
          <w:rFonts w:ascii="Arial" w:hAnsi="Arial"/>
          <w:sz w:val="22"/>
          <w:szCs w:val="22"/>
        </w:rPr>
        <w:t xml:space="preserve">per 200mg tablet </w:t>
      </w:r>
      <w:r w:rsidR="008E22BA" w:rsidRPr="00D928C5">
        <w:rPr>
          <w:rFonts w:ascii="Arial" w:hAnsi="Arial"/>
          <w:sz w:val="22"/>
          <w:szCs w:val="22"/>
        </w:rPr>
        <w:t xml:space="preserve">(Table </w:t>
      </w:r>
      <w:r w:rsidR="00B10579" w:rsidRPr="00D928C5">
        <w:rPr>
          <w:rFonts w:ascii="Arial" w:hAnsi="Arial"/>
          <w:sz w:val="22"/>
          <w:szCs w:val="22"/>
        </w:rPr>
        <w:t>3</w:t>
      </w:r>
      <w:r w:rsidR="008E22BA" w:rsidRPr="00D928C5">
        <w:rPr>
          <w:rFonts w:ascii="Arial" w:hAnsi="Arial"/>
          <w:sz w:val="22"/>
          <w:szCs w:val="22"/>
        </w:rPr>
        <w:t>)</w:t>
      </w:r>
      <w:r w:rsidR="002917B9" w:rsidRPr="00D928C5">
        <w:rPr>
          <w:rFonts w:ascii="Arial" w:hAnsi="Arial"/>
          <w:sz w:val="22"/>
          <w:szCs w:val="22"/>
        </w:rPr>
        <w:t>.</w:t>
      </w:r>
      <w:r w:rsidR="001652CA" w:rsidRPr="00D928C5">
        <w:rPr>
          <w:rFonts w:ascii="Arial" w:hAnsi="Arial"/>
          <w:sz w:val="22"/>
          <w:szCs w:val="22"/>
        </w:rPr>
        <w:t xml:space="preserve"> </w:t>
      </w:r>
      <w:r w:rsidR="00575001" w:rsidRPr="00D928C5">
        <w:rPr>
          <w:rFonts w:ascii="Arial" w:hAnsi="Arial"/>
          <w:sz w:val="22"/>
          <w:szCs w:val="22"/>
        </w:rPr>
        <w:t>T</w:t>
      </w:r>
      <w:r w:rsidR="00381DB3" w:rsidRPr="00D928C5">
        <w:rPr>
          <w:rFonts w:ascii="Arial" w:hAnsi="Arial"/>
          <w:sz w:val="22"/>
          <w:szCs w:val="22"/>
        </w:rPr>
        <w:t xml:space="preserve">he </w:t>
      </w:r>
      <w:r w:rsidR="00A8162D" w:rsidRPr="00D928C5">
        <w:rPr>
          <w:rFonts w:ascii="Arial" w:hAnsi="Arial"/>
          <w:sz w:val="22"/>
          <w:szCs w:val="22"/>
        </w:rPr>
        <w:t>re-</w:t>
      </w:r>
      <w:r w:rsidR="00381DB3" w:rsidRPr="00D928C5">
        <w:rPr>
          <w:rFonts w:ascii="Arial" w:hAnsi="Arial"/>
          <w:sz w:val="22"/>
          <w:szCs w:val="22"/>
        </w:rPr>
        <w:t xml:space="preserve">submission strongly re-affirmed that the PBAC’s suggested approach to calculation of the shadow price for ribavirin was “not only mathematically invalid, but inconsistent with all other approaches taken to cost analysis for the purposes of PBS listing”. </w:t>
      </w:r>
    </w:p>
    <w:p w:rsidR="001652CA" w:rsidRPr="00D928C5" w:rsidRDefault="001652CA" w:rsidP="001652CA">
      <w:pPr>
        <w:jc w:val="both"/>
        <w:rPr>
          <w:rFonts w:ascii="Arial" w:hAnsi="Arial"/>
          <w:sz w:val="22"/>
          <w:szCs w:val="22"/>
        </w:rPr>
      </w:pPr>
    </w:p>
    <w:p w:rsidR="001652CA" w:rsidRPr="00D928C5" w:rsidRDefault="002917B9" w:rsidP="003E2A6B">
      <w:pPr>
        <w:pStyle w:val="Caption"/>
        <w:keepNext/>
        <w:ind w:left="720"/>
      </w:pPr>
      <w:bookmarkStart w:id="2" w:name="_Ref400559643"/>
      <w:bookmarkStart w:id="3" w:name="_Toc401657786"/>
      <w:r w:rsidRPr="00D928C5">
        <w:t xml:space="preserve">Table </w:t>
      </w:r>
      <w:r w:rsidR="00B10579" w:rsidRPr="00D928C5">
        <w:t>3</w:t>
      </w:r>
      <w:r w:rsidRPr="00D928C5">
        <w:t xml:space="preserve">: </w:t>
      </w:r>
      <w:r w:rsidR="001652CA" w:rsidRPr="00D928C5">
        <w:t>Weighted average 'shadow price' per 200 mg tablet of ribavirin</w:t>
      </w:r>
      <w:bookmarkEnd w:id="2"/>
      <w:bookmarkEnd w:id="3"/>
    </w:p>
    <w:tbl>
      <w:tblPr>
        <w:tblStyle w:val="TableGrid"/>
        <w:tblW w:w="8602" w:type="dxa"/>
        <w:tblInd w:w="720" w:type="dxa"/>
        <w:shd w:val="clear" w:color="auto" w:fill="FFFFFF" w:themeFill="background1"/>
        <w:tblLayout w:type="fixed"/>
        <w:tblLook w:val="04A0" w:firstRow="1" w:lastRow="0" w:firstColumn="1" w:lastColumn="0" w:noHBand="0" w:noVBand="1"/>
        <w:tblCaption w:val="Table 3: Weighted average 'shadow price' per 200 mg tablet of ribavirin"/>
        <w:tblDescription w:val="This table summarises the weighted average 'shadow price' per 200 mg tablet of ribavirin"/>
      </w:tblPr>
      <w:tblGrid>
        <w:gridCol w:w="1089"/>
        <w:gridCol w:w="1123"/>
        <w:gridCol w:w="1023"/>
        <w:gridCol w:w="1273"/>
        <w:gridCol w:w="1203"/>
        <w:gridCol w:w="1479"/>
        <w:gridCol w:w="1412"/>
      </w:tblGrid>
      <w:tr w:rsidR="002917B9" w:rsidRPr="00D928C5" w:rsidTr="005E3A94">
        <w:trPr>
          <w:tblHeader/>
        </w:trPr>
        <w:tc>
          <w:tcPr>
            <w:tcW w:w="1089" w:type="dxa"/>
            <w:shd w:val="clear" w:color="auto" w:fill="FFFFFF" w:themeFill="background1"/>
            <w:noWrap/>
            <w:hideMark/>
          </w:tcPr>
          <w:p w:rsidR="002917B9" w:rsidRPr="00D928C5" w:rsidRDefault="002917B9" w:rsidP="003E2A6B">
            <w:pPr>
              <w:keepNext/>
              <w:jc w:val="center"/>
              <w:rPr>
                <w:rFonts w:ascii="Arial Narrow" w:hAnsi="Arial Narrow"/>
                <w:b/>
                <w:sz w:val="20"/>
              </w:rPr>
            </w:pPr>
            <w:r w:rsidRPr="00D928C5">
              <w:rPr>
                <w:rFonts w:ascii="Arial Narrow" w:hAnsi="Arial Narrow"/>
                <w:b/>
                <w:sz w:val="20"/>
              </w:rPr>
              <w:t>PBS item (Public)</w:t>
            </w:r>
          </w:p>
        </w:tc>
        <w:tc>
          <w:tcPr>
            <w:tcW w:w="1123" w:type="dxa"/>
            <w:shd w:val="clear" w:color="auto" w:fill="FFFFFF" w:themeFill="background1"/>
            <w:noWrap/>
            <w:hideMark/>
          </w:tcPr>
          <w:p w:rsidR="002917B9" w:rsidRPr="00D928C5" w:rsidRDefault="002917B9" w:rsidP="003E2A6B">
            <w:pPr>
              <w:keepNext/>
              <w:jc w:val="center"/>
              <w:rPr>
                <w:rStyle w:val="TableBold"/>
                <w:rFonts w:ascii="Arial Narrow" w:hAnsi="Arial Narrow"/>
              </w:rPr>
            </w:pPr>
            <w:r w:rsidRPr="00D928C5">
              <w:rPr>
                <w:rFonts w:ascii="Arial Narrow" w:hAnsi="Arial Narrow"/>
                <w:b/>
                <w:sz w:val="20"/>
              </w:rPr>
              <w:t>PBS item (</w:t>
            </w:r>
            <w:r w:rsidRPr="00D928C5">
              <w:rPr>
                <w:rStyle w:val="TableBold"/>
                <w:rFonts w:ascii="Arial Narrow" w:hAnsi="Arial Narrow"/>
              </w:rPr>
              <w:t>Private)</w:t>
            </w:r>
          </w:p>
        </w:tc>
        <w:tc>
          <w:tcPr>
            <w:tcW w:w="1023" w:type="dxa"/>
            <w:shd w:val="clear" w:color="auto" w:fill="FFFFFF" w:themeFill="background1"/>
            <w:noWrap/>
            <w:hideMark/>
          </w:tcPr>
          <w:p w:rsidR="002917B9" w:rsidRPr="00D928C5" w:rsidRDefault="002917B9" w:rsidP="003E2A6B">
            <w:pPr>
              <w:keepNext/>
              <w:jc w:val="center"/>
              <w:rPr>
                <w:rStyle w:val="TableBold"/>
                <w:rFonts w:ascii="Arial Narrow" w:hAnsi="Arial Narrow"/>
              </w:rPr>
            </w:pPr>
            <w:r w:rsidRPr="00D928C5">
              <w:rPr>
                <w:rStyle w:val="TableBold"/>
                <w:rFonts w:ascii="Arial Narrow" w:hAnsi="Arial Narrow"/>
              </w:rPr>
              <w:t>Pack</w:t>
            </w:r>
          </w:p>
        </w:tc>
        <w:tc>
          <w:tcPr>
            <w:tcW w:w="1273" w:type="dxa"/>
            <w:shd w:val="clear" w:color="auto" w:fill="FFFFFF" w:themeFill="background1"/>
            <w:hideMark/>
          </w:tcPr>
          <w:p w:rsidR="002917B9" w:rsidRPr="00D928C5" w:rsidRDefault="002917B9" w:rsidP="003E2A6B">
            <w:pPr>
              <w:keepNext/>
              <w:ind w:left="-57" w:right="-57"/>
              <w:jc w:val="center"/>
              <w:rPr>
                <w:rStyle w:val="TableBold"/>
                <w:rFonts w:ascii="Arial Narrow" w:hAnsi="Arial Narrow"/>
              </w:rPr>
            </w:pPr>
            <w:r w:rsidRPr="00D928C5">
              <w:rPr>
                <w:rStyle w:val="TableBold"/>
                <w:rFonts w:ascii="Arial Narrow" w:hAnsi="Arial Narrow"/>
              </w:rPr>
              <w:t>‘Shadow price’ per 200mg tablet</w:t>
            </w:r>
            <w:r w:rsidR="00AA751A" w:rsidRPr="00D928C5">
              <w:rPr>
                <w:rStyle w:val="TableBold"/>
                <w:rFonts w:ascii="Arial Narrow" w:hAnsi="Arial Narrow"/>
                <w:vertAlign w:val="superscript"/>
              </w:rPr>
              <w:t>a</w:t>
            </w:r>
          </w:p>
        </w:tc>
        <w:tc>
          <w:tcPr>
            <w:tcW w:w="1203" w:type="dxa"/>
            <w:shd w:val="clear" w:color="auto" w:fill="FFFFFF" w:themeFill="background1"/>
            <w:hideMark/>
          </w:tcPr>
          <w:p w:rsidR="002917B9" w:rsidRPr="00D928C5" w:rsidRDefault="002917B9" w:rsidP="003E2A6B">
            <w:pPr>
              <w:keepNext/>
              <w:ind w:left="-57" w:right="-57"/>
              <w:jc w:val="center"/>
              <w:rPr>
                <w:rStyle w:val="TableBold"/>
                <w:rFonts w:ascii="Arial Narrow" w:hAnsi="Arial Narrow"/>
              </w:rPr>
            </w:pPr>
            <w:r w:rsidRPr="00D928C5">
              <w:rPr>
                <w:rStyle w:val="TableBold"/>
                <w:rFonts w:ascii="Arial Narrow" w:hAnsi="Arial Narrow"/>
              </w:rPr>
              <w:t>PBS Services (2013-2014)</w:t>
            </w:r>
          </w:p>
        </w:tc>
        <w:tc>
          <w:tcPr>
            <w:tcW w:w="1479" w:type="dxa"/>
            <w:shd w:val="clear" w:color="auto" w:fill="FFFFFF" w:themeFill="background1"/>
            <w:hideMark/>
          </w:tcPr>
          <w:p w:rsidR="002917B9" w:rsidRPr="00D928C5" w:rsidRDefault="002917B9" w:rsidP="003E2A6B">
            <w:pPr>
              <w:keepNext/>
              <w:ind w:left="-57" w:right="-57"/>
              <w:jc w:val="center"/>
              <w:rPr>
                <w:rStyle w:val="TableBold"/>
                <w:rFonts w:ascii="Arial Narrow" w:hAnsi="Arial Narrow"/>
              </w:rPr>
            </w:pPr>
            <w:r w:rsidRPr="00D928C5">
              <w:rPr>
                <w:rStyle w:val="TableBold"/>
                <w:rFonts w:ascii="Arial Narrow" w:hAnsi="Arial Narrow"/>
              </w:rPr>
              <w:t>Ribavirin units</w:t>
            </w:r>
          </w:p>
          <w:p w:rsidR="002917B9" w:rsidRPr="00D928C5" w:rsidRDefault="002917B9" w:rsidP="003E2A6B">
            <w:pPr>
              <w:keepNext/>
              <w:ind w:left="-57" w:right="-57"/>
              <w:jc w:val="center"/>
              <w:rPr>
                <w:rStyle w:val="TableBold"/>
                <w:rFonts w:ascii="Arial Narrow" w:hAnsi="Arial Narrow"/>
              </w:rPr>
            </w:pPr>
            <w:r w:rsidRPr="00D928C5">
              <w:rPr>
                <w:rStyle w:val="TableBold"/>
                <w:rFonts w:ascii="Arial Narrow" w:hAnsi="Arial Narrow"/>
              </w:rPr>
              <w:t>(200mg tablets)</w:t>
            </w:r>
          </w:p>
        </w:tc>
        <w:tc>
          <w:tcPr>
            <w:tcW w:w="1412" w:type="dxa"/>
            <w:shd w:val="clear" w:color="auto" w:fill="FFFFFF" w:themeFill="background1"/>
            <w:noWrap/>
            <w:hideMark/>
          </w:tcPr>
          <w:p w:rsidR="002917B9" w:rsidRPr="00D928C5" w:rsidRDefault="002917B9" w:rsidP="003E2A6B">
            <w:pPr>
              <w:keepNext/>
              <w:ind w:left="-57" w:right="-57"/>
              <w:jc w:val="center"/>
              <w:rPr>
                <w:rStyle w:val="TableBold"/>
                <w:rFonts w:ascii="Arial Narrow" w:hAnsi="Arial Narrow"/>
                <w:i/>
              </w:rPr>
            </w:pPr>
            <w:r w:rsidRPr="00D928C5">
              <w:rPr>
                <w:rStyle w:val="TableBold"/>
                <w:rFonts w:ascii="Arial Narrow" w:hAnsi="Arial Narrow"/>
                <w:i/>
              </w:rPr>
              <w:t>Weighted average per 200mg tablet</w:t>
            </w:r>
          </w:p>
        </w:tc>
      </w:tr>
      <w:tr w:rsidR="002917B9" w:rsidRPr="00D928C5" w:rsidTr="00DD1956">
        <w:tc>
          <w:tcPr>
            <w:tcW w:w="7190" w:type="dxa"/>
            <w:gridSpan w:val="6"/>
            <w:shd w:val="clear" w:color="auto" w:fill="FFFFFF" w:themeFill="background1"/>
            <w:noWrap/>
          </w:tcPr>
          <w:p w:rsidR="002917B9" w:rsidRPr="00D928C5" w:rsidRDefault="002917B9" w:rsidP="003E2A6B">
            <w:pPr>
              <w:keepNext/>
              <w:rPr>
                <w:rFonts w:ascii="Arial Narrow" w:hAnsi="Arial Narrow"/>
                <w:sz w:val="20"/>
              </w:rPr>
            </w:pPr>
            <w:r w:rsidRPr="00D928C5">
              <w:rPr>
                <w:rFonts w:ascii="Arial Narrow" w:hAnsi="Arial Narrow"/>
                <w:sz w:val="20"/>
              </w:rPr>
              <w:t>Pegasys RBV</w:t>
            </w:r>
            <w:r w:rsidRPr="00D928C5">
              <w:rPr>
                <w:rFonts w:ascii="Arial Narrow" w:hAnsi="Arial Narrow"/>
                <w:sz w:val="20"/>
                <w:vertAlign w:val="superscript"/>
              </w:rPr>
              <w:t>®</w:t>
            </w:r>
          </w:p>
        </w:tc>
        <w:tc>
          <w:tcPr>
            <w:tcW w:w="1412" w:type="dxa"/>
            <w:vMerge w:val="restart"/>
            <w:shd w:val="clear" w:color="auto" w:fill="FFFFFF" w:themeFill="background1"/>
            <w:vAlign w:val="bottom"/>
          </w:tcPr>
          <w:p w:rsidR="002917B9" w:rsidRPr="00D928C5" w:rsidRDefault="002917B9" w:rsidP="003E2A6B">
            <w:pPr>
              <w:keepNext/>
              <w:jc w:val="right"/>
              <w:rPr>
                <w:rFonts w:ascii="Arial Narrow" w:hAnsi="Arial Narrow"/>
                <w:i/>
                <w:sz w:val="20"/>
              </w:rPr>
            </w:pPr>
            <w:r w:rsidRPr="00D928C5">
              <w:rPr>
                <w:rFonts w:ascii="Arial Narrow" w:hAnsi="Arial Narrow"/>
                <w:b/>
                <w:i/>
                <w:sz w:val="20"/>
              </w:rPr>
              <w:t>$</w:t>
            </w:r>
            <w:r w:rsidR="00F53974">
              <w:rPr>
                <w:rFonts w:ascii="Arial Narrow" w:hAnsi="Arial Narrow"/>
                <w:b/>
                <w:i/>
                <w:noProof/>
                <w:color w:val="000000"/>
                <w:sz w:val="20"/>
                <w:highlight w:val="black"/>
              </w:rPr>
              <w:t>''''''''</w:t>
            </w:r>
            <w:r w:rsidRPr="00D928C5">
              <w:rPr>
                <w:rFonts w:ascii="Arial Narrow" w:hAnsi="Arial Narrow"/>
                <w:b/>
                <w:i/>
                <w:sz w:val="20"/>
              </w:rPr>
              <w:t xml:space="preserve"> </w:t>
            </w:r>
          </w:p>
        </w:tc>
      </w:tr>
      <w:tr w:rsidR="002917B9" w:rsidRPr="00D928C5" w:rsidTr="002917B9">
        <w:tc>
          <w:tcPr>
            <w:tcW w:w="1089" w:type="dxa"/>
            <w:shd w:val="clear" w:color="auto" w:fill="FFFFFF" w:themeFill="background1"/>
            <w:noWrap/>
            <w:hideMark/>
          </w:tcPr>
          <w:p w:rsidR="002917B9" w:rsidRPr="00D928C5" w:rsidRDefault="002917B9" w:rsidP="003E2A6B">
            <w:pPr>
              <w:keepNext/>
              <w:rPr>
                <w:rFonts w:ascii="Arial Narrow" w:hAnsi="Arial Narrow"/>
                <w:sz w:val="20"/>
              </w:rPr>
            </w:pPr>
            <w:r w:rsidRPr="00D928C5">
              <w:rPr>
                <w:rFonts w:ascii="Arial Narrow" w:hAnsi="Arial Narrow"/>
                <w:sz w:val="20"/>
              </w:rPr>
              <w:t>9524g</w:t>
            </w:r>
          </w:p>
        </w:tc>
        <w:tc>
          <w:tcPr>
            <w:tcW w:w="1123" w:type="dxa"/>
            <w:shd w:val="clear" w:color="auto" w:fill="FFFFFF" w:themeFill="background1"/>
            <w:noWrap/>
            <w:hideMark/>
          </w:tcPr>
          <w:p w:rsidR="002917B9" w:rsidRPr="00D928C5" w:rsidRDefault="002917B9" w:rsidP="003E2A6B">
            <w:pPr>
              <w:keepNext/>
              <w:rPr>
                <w:rFonts w:ascii="Arial Narrow" w:hAnsi="Arial Narrow"/>
                <w:sz w:val="20"/>
              </w:rPr>
            </w:pPr>
            <w:r w:rsidRPr="00D928C5">
              <w:rPr>
                <w:rFonts w:ascii="Arial Narrow" w:hAnsi="Arial Narrow"/>
                <w:sz w:val="20"/>
              </w:rPr>
              <w:t>6392k</w:t>
            </w:r>
          </w:p>
        </w:tc>
        <w:tc>
          <w:tcPr>
            <w:tcW w:w="1023"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135/168</w:t>
            </w:r>
          </w:p>
        </w:tc>
        <w:tc>
          <w:tcPr>
            <w:tcW w:w="1273" w:type="dxa"/>
            <w:shd w:val="clear" w:color="auto" w:fill="FFFFFF" w:themeFill="background1"/>
            <w:noWrap/>
            <w:hideMark/>
          </w:tcPr>
          <w:p w:rsidR="002917B9" w:rsidRPr="00D928C5" w:rsidRDefault="002917B9" w:rsidP="003E2A6B">
            <w:pPr>
              <w:keepNext/>
              <w:jc w:val="right"/>
              <w:rPr>
                <w:rFonts w:ascii="Arial Narrow" w:hAnsi="Arial Narrow"/>
                <w:sz w:val="20"/>
              </w:rPr>
            </w:pPr>
            <w:r w:rsidRPr="00D928C5">
              <w:rPr>
                <w:rFonts w:ascii="Arial Narrow" w:hAnsi="Arial Narrow"/>
                <w:sz w:val="20"/>
              </w:rPr>
              <w:t xml:space="preserve"> $</w:t>
            </w:r>
            <w:r w:rsidR="00F53974">
              <w:rPr>
                <w:rFonts w:ascii="Arial Narrow" w:hAnsi="Arial Narrow"/>
                <w:noProof/>
                <w:color w:val="000000"/>
                <w:sz w:val="20"/>
                <w:highlight w:val="black"/>
              </w:rPr>
              <w:t>''''''''''</w:t>
            </w:r>
            <w:r w:rsidRPr="00D928C5">
              <w:rPr>
                <w:rFonts w:ascii="Arial Narrow" w:hAnsi="Arial Narrow"/>
                <w:sz w:val="20"/>
              </w:rPr>
              <w:t xml:space="preserve"> </w:t>
            </w:r>
          </w:p>
        </w:tc>
        <w:tc>
          <w:tcPr>
            <w:tcW w:w="1203"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163</w:t>
            </w:r>
          </w:p>
        </w:tc>
        <w:tc>
          <w:tcPr>
            <w:tcW w:w="1479"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27,384</w:t>
            </w:r>
          </w:p>
        </w:tc>
        <w:tc>
          <w:tcPr>
            <w:tcW w:w="1412" w:type="dxa"/>
            <w:vMerge/>
            <w:shd w:val="clear" w:color="auto" w:fill="FFFFFF" w:themeFill="background1"/>
            <w:noWrap/>
          </w:tcPr>
          <w:p w:rsidR="002917B9" w:rsidRPr="00D928C5" w:rsidRDefault="002917B9" w:rsidP="003E2A6B">
            <w:pPr>
              <w:keepNext/>
              <w:jc w:val="right"/>
              <w:rPr>
                <w:rFonts w:ascii="Arial Narrow" w:hAnsi="Arial Narrow"/>
                <w:sz w:val="20"/>
              </w:rPr>
            </w:pPr>
          </w:p>
        </w:tc>
      </w:tr>
      <w:tr w:rsidR="002917B9" w:rsidRPr="00D928C5" w:rsidTr="002917B9">
        <w:tc>
          <w:tcPr>
            <w:tcW w:w="1089" w:type="dxa"/>
            <w:shd w:val="clear" w:color="auto" w:fill="FFFFFF" w:themeFill="background1"/>
            <w:noWrap/>
            <w:hideMark/>
          </w:tcPr>
          <w:p w:rsidR="002917B9" w:rsidRPr="00D928C5" w:rsidRDefault="002917B9" w:rsidP="003E2A6B">
            <w:pPr>
              <w:keepNext/>
              <w:rPr>
                <w:rFonts w:ascii="Arial Narrow" w:hAnsi="Arial Narrow"/>
                <w:sz w:val="20"/>
              </w:rPr>
            </w:pPr>
            <w:r w:rsidRPr="00D928C5">
              <w:rPr>
                <w:rFonts w:ascii="Arial Narrow" w:hAnsi="Arial Narrow"/>
                <w:sz w:val="20"/>
              </w:rPr>
              <w:t>9525h</w:t>
            </w:r>
          </w:p>
        </w:tc>
        <w:tc>
          <w:tcPr>
            <w:tcW w:w="1123" w:type="dxa"/>
            <w:shd w:val="clear" w:color="auto" w:fill="FFFFFF" w:themeFill="background1"/>
            <w:noWrap/>
            <w:hideMark/>
          </w:tcPr>
          <w:p w:rsidR="002917B9" w:rsidRPr="00D928C5" w:rsidRDefault="002917B9" w:rsidP="003E2A6B">
            <w:pPr>
              <w:keepNext/>
              <w:rPr>
                <w:rFonts w:ascii="Arial Narrow" w:hAnsi="Arial Narrow"/>
                <w:sz w:val="20"/>
              </w:rPr>
            </w:pPr>
            <w:r w:rsidRPr="00D928C5">
              <w:rPr>
                <w:rFonts w:ascii="Arial Narrow" w:hAnsi="Arial Narrow"/>
                <w:sz w:val="20"/>
              </w:rPr>
              <w:t>6394m</w:t>
            </w:r>
          </w:p>
        </w:tc>
        <w:tc>
          <w:tcPr>
            <w:tcW w:w="1023"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180/112</w:t>
            </w:r>
          </w:p>
        </w:tc>
        <w:tc>
          <w:tcPr>
            <w:tcW w:w="1273" w:type="dxa"/>
            <w:shd w:val="clear" w:color="auto" w:fill="FFFFFF" w:themeFill="background1"/>
            <w:noWrap/>
            <w:hideMark/>
          </w:tcPr>
          <w:p w:rsidR="002917B9" w:rsidRPr="00D928C5" w:rsidRDefault="002917B9" w:rsidP="003E2A6B">
            <w:pPr>
              <w:keepNext/>
              <w:jc w:val="right"/>
              <w:rPr>
                <w:rFonts w:ascii="Arial Narrow" w:hAnsi="Arial Narrow"/>
                <w:sz w:val="20"/>
              </w:rPr>
            </w:pPr>
            <w:r w:rsidRPr="00D928C5">
              <w:rPr>
                <w:rFonts w:ascii="Arial Narrow" w:hAnsi="Arial Narrow"/>
                <w:sz w:val="20"/>
              </w:rPr>
              <w:t xml:space="preserve"> $</w:t>
            </w:r>
            <w:r w:rsidR="00F53974">
              <w:rPr>
                <w:rFonts w:ascii="Arial Narrow" w:hAnsi="Arial Narrow"/>
                <w:noProof/>
                <w:color w:val="000000"/>
                <w:sz w:val="20"/>
                <w:highlight w:val="black"/>
              </w:rPr>
              <w:t>''''''''''''</w:t>
            </w:r>
            <w:r w:rsidRPr="00D928C5">
              <w:rPr>
                <w:rFonts w:ascii="Arial Narrow" w:hAnsi="Arial Narrow"/>
                <w:sz w:val="20"/>
              </w:rPr>
              <w:t xml:space="preserve"> </w:t>
            </w:r>
          </w:p>
        </w:tc>
        <w:tc>
          <w:tcPr>
            <w:tcW w:w="1203"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4039</w:t>
            </w:r>
          </w:p>
        </w:tc>
        <w:tc>
          <w:tcPr>
            <w:tcW w:w="1479"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452,368</w:t>
            </w:r>
          </w:p>
        </w:tc>
        <w:tc>
          <w:tcPr>
            <w:tcW w:w="1412" w:type="dxa"/>
            <w:vMerge/>
            <w:shd w:val="clear" w:color="auto" w:fill="FFFFFF" w:themeFill="background1"/>
            <w:noWrap/>
          </w:tcPr>
          <w:p w:rsidR="002917B9" w:rsidRPr="00D928C5" w:rsidRDefault="002917B9" w:rsidP="003E2A6B">
            <w:pPr>
              <w:keepNext/>
              <w:jc w:val="right"/>
              <w:rPr>
                <w:rFonts w:ascii="Arial Narrow" w:hAnsi="Arial Narrow"/>
                <w:sz w:val="20"/>
              </w:rPr>
            </w:pPr>
          </w:p>
        </w:tc>
      </w:tr>
      <w:tr w:rsidR="002917B9" w:rsidRPr="00D928C5" w:rsidTr="002917B9">
        <w:tc>
          <w:tcPr>
            <w:tcW w:w="1089" w:type="dxa"/>
            <w:shd w:val="clear" w:color="auto" w:fill="FFFFFF" w:themeFill="background1"/>
            <w:noWrap/>
            <w:hideMark/>
          </w:tcPr>
          <w:p w:rsidR="002917B9" w:rsidRPr="00D928C5" w:rsidRDefault="002917B9" w:rsidP="003E2A6B">
            <w:pPr>
              <w:keepNext/>
              <w:rPr>
                <w:rFonts w:ascii="Arial Narrow" w:hAnsi="Arial Narrow"/>
                <w:sz w:val="20"/>
              </w:rPr>
            </w:pPr>
            <w:r w:rsidRPr="00D928C5">
              <w:rPr>
                <w:rFonts w:ascii="Arial Narrow" w:hAnsi="Arial Narrow"/>
                <w:sz w:val="20"/>
              </w:rPr>
              <w:t>9526j</w:t>
            </w:r>
          </w:p>
        </w:tc>
        <w:tc>
          <w:tcPr>
            <w:tcW w:w="1123" w:type="dxa"/>
            <w:shd w:val="clear" w:color="auto" w:fill="FFFFFF" w:themeFill="background1"/>
            <w:noWrap/>
            <w:hideMark/>
          </w:tcPr>
          <w:p w:rsidR="002917B9" w:rsidRPr="00D928C5" w:rsidRDefault="002917B9" w:rsidP="003E2A6B">
            <w:pPr>
              <w:keepNext/>
              <w:rPr>
                <w:rFonts w:ascii="Arial Narrow" w:hAnsi="Arial Narrow"/>
                <w:sz w:val="20"/>
              </w:rPr>
            </w:pPr>
            <w:r w:rsidRPr="00D928C5">
              <w:rPr>
                <w:rFonts w:ascii="Arial Narrow" w:hAnsi="Arial Narrow"/>
                <w:sz w:val="20"/>
              </w:rPr>
              <w:t>6395n</w:t>
            </w:r>
          </w:p>
        </w:tc>
        <w:tc>
          <w:tcPr>
            <w:tcW w:w="1023"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180/140</w:t>
            </w:r>
          </w:p>
        </w:tc>
        <w:tc>
          <w:tcPr>
            <w:tcW w:w="1273" w:type="dxa"/>
            <w:shd w:val="clear" w:color="auto" w:fill="FFFFFF" w:themeFill="background1"/>
            <w:noWrap/>
            <w:hideMark/>
          </w:tcPr>
          <w:p w:rsidR="002917B9" w:rsidRPr="00D928C5" w:rsidRDefault="002917B9" w:rsidP="003E2A6B">
            <w:pPr>
              <w:keepNext/>
              <w:jc w:val="right"/>
              <w:rPr>
                <w:rFonts w:ascii="Arial Narrow" w:hAnsi="Arial Narrow"/>
                <w:sz w:val="20"/>
              </w:rPr>
            </w:pPr>
            <w:r w:rsidRPr="00D928C5">
              <w:rPr>
                <w:rFonts w:ascii="Arial Narrow" w:hAnsi="Arial Narrow"/>
                <w:sz w:val="20"/>
              </w:rPr>
              <w:t xml:space="preserve"> $</w:t>
            </w:r>
            <w:r w:rsidR="00F53974">
              <w:rPr>
                <w:rFonts w:ascii="Arial Narrow" w:hAnsi="Arial Narrow"/>
                <w:noProof/>
                <w:color w:val="000000"/>
                <w:sz w:val="20"/>
                <w:highlight w:val="black"/>
              </w:rPr>
              <w:t>''''''''''</w:t>
            </w:r>
            <w:r w:rsidRPr="00D928C5">
              <w:rPr>
                <w:rFonts w:ascii="Arial Narrow" w:hAnsi="Arial Narrow"/>
                <w:sz w:val="20"/>
              </w:rPr>
              <w:t xml:space="preserve"> </w:t>
            </w:r>
          </w:p>
        </w:tc>
        <w:tc>
          <w:tcPr>
            <w:tcW w:w="1203"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3438</w:t>
            </w:r>
          </w:p>
        </w:tc>
        <w:tc>
          <w:tcPr>
            <w:tcW w:w="1479"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481,320</w:t>
            </w:r>
          </w:p>
        </w:tc>
        <w:tc>
          <w:tcPr>
            <w:tcW w:w="1412" w:type="dxa"/>
            <w:vMerge/>
            <w:shd w:val="clear" w:color="auto" w:fill="FFFFFF" w:themeFill="background1"/>
            <w:noWrap/>
          </w:tcPr>
          <w:p w:rsidR="002917B9" w:rsidRPr="00D928C5" w:rsidRDefault="002917B9" w:rsidP="003E2A6B">
            <w:pPr>
              <w:keepNext/>
              <w:jc w:val="right"/>
              <w:rPr>
                <w:rFonts w:ascii="Arial Narrow" w:hAnsi="Arial Narrow"/>
                <w:sz w:val="20"/>
              </w:rPr>
            </w:pPr>
          </w:p>
        </w:tc>
      </w:tr>
      <w:tr w:rsidR="002917B9" w:rsidRPr="00D928C5" w:rsidTr="002917B9">
        <w:tc>
          <w:tcPr>
            <w:tcW w:w="1089" w:type="dxa"/>
            <w:shd w:val="clear" w:color="auto" w:fill="FFFFFF" w:themeFill="background1"/>
            <w:noWrap/>
            <w:hideMark/>
          </w:tcPr>
          <w:p w:rsidR="002917B9" w:rsidRPr="00D928C5" w:rsidRDefault="002917B9" w:rsidP="003E2A6B">
            <w:pPr>
              <w:keepNext/>
              <w:rPr>
                <w:rFonts w:ascii="Arial Narrow" w:hAnsi="Arial Narrow"/>
                <w:sz w:val="20"/>
              </w:rPr>
            </w:pPr>
            <w:r w:rsidRPr="00D928C5">
              <w:rPr>
                <w:rFonts w:ascii="Arial Narrow" w:hAnsi="Arial Narrow"/>
                <w:sz w:val="20"/>
              </w:rPr>
              <w:t>9527k</w:t>
            </w:r>
          </w:p>
        </w:tc>
        <w:tc>
          <w:tcPr>
            <w:tcW w:w="1123" w:type="dxa"/>
            <w:shd w:val="clear" w:color="auto" w:fill="FFFFFF" w:themeFill="background1"/>
            <w:noWrap/>
            <w:hideMark/>
          </w:tcPr>
          <w:p w:rsidR="002917B9" w:rsidRPr="00D928C5" w:rsidRDefault="002917B9" w:rsidP="003E2A6B">
            <w:pPr>
              <w:keepNext/>
              <w:rPr>
                <w:rFonts w:ascii="Arial Narrow" w:hAnsi="Arial Narrow"/>
                <w:sz w:val="20"/>
              </w:rPr>
            </w:pPr>
            <w:r w:rsidRPr="00D928C5">
              <w:rPr>
                <w:rFonts w:ascii="Arial Narrow" w:hAnsi="Arial Narrow"/>
                <w:sz w:val="20"/>
              </w:rPr>
              <w:t>6396p</w:t>
            </w:r>
          </w:p>
        </w:tc>
        <w:tc>
          <w:tcPr>
            <w:tcW w:w="1023"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180/168</w:t>
            </w:r>
          </w:p>
        </w:tc>
        <w:tc>
          <w:tcPr>
            <w:tcW w:w="1273" w:type="dxa"/>
            <w:shd w:val="clear" w:color="auto" w:fill="FFFFFF" w:themeFill="background1"/>
            <w:noWrap/>
            <w:hideMark/>
          </w:tcPr>
          <w:p w:rsidR="002917B9" w:rsidRPr="00D928C5" w:rsidRDefault="002917B9" w:rsidP="003E2A6B">
            <w:pPr>
              <w:keepNext/>
              <w:jc w:val="right"/>
              <w:rPr>
                <w:rFonts w:ascii="Arial Narrow" w:hAnsi="Arial Narrow"/>
                <w:sz w:val="20"/>
              </w:rPr>
            </w:pPr>
            <w:r w:rsidRPr="00D928C5">
              <w:rPr>
                <w:rFonts w:ascii="Arial Narrow" w:hAnsi="Arial Narrow"/>
                <w:sz w:val="20"/>
              </w:rPr>
              <w:t xml:space="preserve"> $</w:t>
            </w:r>
            <w:r w:rsidR="00F53974">
              <w:rPr>
                <w:rFonts w:ascii="Arial Narrow" w:hAnsi="Arial Narrow"/>
                <w:noProof/>
                <w:color w:val="000000"/>
                <w:sz w:val="20"/>
                <w:highlight w:val="black"/>
              </w:rPr>
              <w:t>''''''''''</w:t>
            </w:r>
            <w:r w:rsidRPr="00D928C5">
              <w:rPr>
                <w:rFonts w:ascii="Arial Narrow" w:hAnsi="Arial Narrow"/>
                <w:sz w:val="20"/>
              </w:rPr>
              <w:t xml:space="preserve"> </w:t>
            </w:r>
          </w:p>
        </w:tc>
        <w:tc>
          <w:tcPr>
            <w:tcW w:w="1203"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5041</w:t>
            </w:r>
          </w:p>
        </w:tc>
        <w:tc>
          <w:tcPr>
            <w:tcW w:w="1479"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846,888</w:t>
            </w:r>
          </w:p>
        </w:tc>
        <w:tc>
          <w:tcPr>
            <w:tcW w:w="1412" w:type="dxa"/>
            <w:vMerge/>
            <w:shd w:val="clear" w:color="auto" w:fill="FFFFFF" w:themeFill="background1"/>
            <w:noWrap/>
          </w:tcPr>
          <w:p w:rsidR="002917B9" w:rsidRPr="00D928C5" w:rsidRDefault="002917B9" w:rsidP="003E2A6B">
            <w:pPr>
              <w:keepNext/>
              <w:jc w:val="right"/>
              <w:rPr>
                <w:rFonts w:ascii="Arial Narrow" w:hAnsi="Arial Narrow"/>
                <w:sz w:val="20"/>
              </w:rPr>
            </w:pPr>
          </w:p>
        </w:tc>
      </w:tr>
      <w:tr w:rsidR="002917B9" w:rsidRPr="00D928C5" w:rsidTr="002917B9">
        <w:tc>
          <w:tcPr>
            <w:tcW w:w="7190" w:type="dxa"/>
            <w:gridSpan w:val="6"/>
            <w:shd w:val="clear" w:color="auto" w:fill="FFFFFF" w:themeFill="background1"/>
            <w:noWrap/>
          </w:tcPr>
          <w:p w:rsidR="002917B9" w:rsidRPr="00D928C5" w:rsidRDefault="002917B9" w:rsidP="003E2A6B">
            <w:pPr>
              <w:keepNext/>
              <w:rPr>
                <w:rFonts w:ascii="Arial Narrow" w:hAnsi="Arial Narrow"/>
                <w:sz w:val="20"/>
              </w:rPr>
            </w:pPr>
            <w:r w:rsidRPr="00D928C5">
              <w:rPr>
                <w:rFonts w:ascii="Arial Narrow" w:hAnsi="Arial Narrow"/>
                <w:sz w:val="20"/>
              </w:rPr>
              <w:t>Pegatron</w:t>
            </w:r>
            <w:r w:rsidRPr="00D928C5">
              <w:rPr>
                <w:rFonts w:ascii="Arial Narrow" w:hAnsi="Arial Narrow"/>
                <w:sz w:val="20"/>
                <w:vertAlign w:val="superscript"/>
              </w:rPr>
              <w:t>®</w:t>
            </w:r>
          </w:p>
        </w:tc>
        <w:tc>
          <w:tcPr>
            <w:tcW w:w="1412" w:type="dxa"/>
            <w:vMerge/>
            <w:shd w:val="clear" w:color="auto" w:fill="FFFFFF" w:themeFill="background1"/>
          </w:tcPr>
          <w:p w:rsidR="002917B9" w:rsidRPr="00D928C5" w:rsidRDefault="002917B9" w:rsidP="003E2A6B">
            <w:pPr>
              <w:keepNext/>
              <w:jc w:val="right"/>
              <w:rPr>
                <w:rFonts w:ascii="Arial Narrow" w:hAnsi="Arial Narrow"/>
                <w:sz w:val="20"/>
              </w:rPr>
            </w:pPr>
          </w:p>
        </w:tc>
      </w:tr>
      <w:tr w:rsidR="002917B9" w:rsidRPr="00D928C5" w:rsidTr="002917B9">
        <w:tc>
          <w:tcPr>
            <w:tcW w:w="1089" w:type="dxa"/>
            <w:shd w:val="clear" w:color="auto" w:fill="FFFFFF" w:themeFill="background1"/>
            <w:noWrap/>
            <w:hideMark/>
          </w:tcPr>
          <w:p w:rsidR="002917B9" w:rsidRPr="00D928C5" w:rsidRDefault="002917B9" w:rsidP="003E2A6B">
            <w:pPr>
              <w:keepNext/>
              <w:rPr>
                <w:rFonts w:ascii="Arial Narrow" w:hAnsi="Arial Narrow"/>
                <w:sz w:val="20"/>
              </w:rPr>
            </w:pPr>
            <w:r w:rsidRPr="00D928C5">
              <w:rPr>
                <w:rFonts w:ascii="Arial Narrow" w:hAnsi="Arial Narrow"/>
                <w:sz w:val="20"/>
              </w:rPr>
              <w:t>9529m</w:t>
            </w:r>
          </w:p>
        </w:tc>
        <w:tc>
          <w:tcPr>
            <w:tcW w:w="1123" w:type="dxa"/>
            <w:shd w:val="clear" w:color="auto" w:fill="FFFFFF" w:themeFill="background1"/>
            <w:noWrap/>
            <w:hideMark/>
          </w:tcPr>
          <w:p w:rsidR="002917B9" w:rsidRPr="00D928C5" w:rsidRDefault="002917B9" w:rsidP="003E2A6B">
            <w:pPr>
              <w:keepNext/>
              <w:rPr>
                <w:rFonts w:ascii="Arial Narrow" w:hAnsi="Arial Narrow"/>
                <w:sz w:val="20"/>
              </w:rPr>
            </w:pPr>
            <w:r w:rsidRPr="00D928C5">
              <w:rPr>
                <w:rFonts w:ascii="Arial Narrow" w:hAnsi="Arial Narrow"/>
                <w:sz w:val="20"/>
              </w:rPr>
              <w:t>6400w</w:t>
            </w:r>
          </w:p>
        </w:tc>
        <w:tc>
          <w:tcPr>
            <w:tcW w:w="1023"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50/112</w:t>
            </w:r>
          </w:p>
        </w:tc>
        <w:tc>
          <w:tcPr>
            <w:tcW w:w="1273" w:type="dxa"/>
            <w:shd w:val="clear" w:color="auto" w:fill="FFFFFF" w:themeFill="background1"/>
            <w:noWrap/>
            <w:hideMark/>
          </w:tcPr>
          <w:p w:rsidR="002917B9" w:rsidRPr="00D928C5" w:rsidRDefault="002917B9" w:rsidP="003E2A6B">
            <w:pPr>
              <w:keepNext/>
              <w:jc w:val="right"/>
              <w:rPr>
                <w:rFonts w:ascii="Arial Narrow" w:hAnsi="Arial Narrow"/>
                <w:sz w:val="20"/>
              </w:rPr>
            </w:pPr>
            <w:r w:rsidRPr="00D928C5">
              <w:rPr>
                <w:rFonts w:ascii="Arial Narrow" w:hAnsi="Arial Narrow"/>
                <w:sz w:val="20"/>
              </w:rPr>
              <w:t xml:space="preserve"> $</w:t>
            </w:r>
            <w:r w:rsidR="00F53974">
              <w:rPr>
                <w:rFonts w:ascii="Arial Narrow" w:hAnsi="Arial Narrow"/>
                <w:noProof/>
                <w:color w:val="000000"/>
                <w:sz w:val="20"/>
                <w:highlight w:val="black"/>
              </w:rPr>
              <w:t>''''''''''''</w:t>
            </w:r>
            <w:r w:rsidRPr="00D928C5">
              <w:rPr>
                <w:rFonts w:ascii="Arial Narrow" w:hAnsi="Arial Narrow"/>
                <w:sz w:val="20"/>
              </w:rPr>
              <w:t xml:space="preserve"> </w:t>
            </w:r>
          </w:p>
        </w:tc>
        <w:tc>
          <w:tcPr>
            <w:tcW w:w="1203"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30</w:t>
            </w:r>
          </w:p>
        </w:tc>
        <w:tc>
          <w:tcPr>
            <w:tcW w:w="1479" w:type="dxa"/>
            <w:shd w:val="clear" w:color="auto" w:fill="FFFFFF" w:themeFill="background1"/>
            <w:noWrap/>
            <w:hideMark/>
          </w:tcPr>
          <w:p w:rsidR="002917B9" w:rsidRPr="00D928C5" w:rsidRDefault="002917B9" w:rsidP="003E2A6B">
            <w:pPr>
              <w:keepNext/>
              <w:jc w:val="center"/>
              <w:rPr>
                <w:rFonts w:ascii="Arial Narrow" w:hAnsi="Arial Narrow"/>
                <w:sz w:val="20"/>
              </w:rPr>
            </w:pPr>
            <w:r w:rsidRPr="00D928C5">
              <w:rPr>
                <w:rFonts w:ascii="Arial Narrow" w:hAnsi="Arial Narrow"/>
                <w:sz w:val="20"/>
              </w:rPr>
              <w:t>3,360</w:t>
            </w:r>
          </w:p>
        </w:tc>
        <w:tc>
          <w:tcPr>
            <w:tcW w:w="1412" w:type="dxa"/>
            <w:vMerge/>
            <w:shd w:val="clear" w:color="auto" w:fill="FFFFFF" w:themeFill="background1"/>
            <w:noWrap/>
            <w:hideMark/>
          </w:tcPr>
          <w:p w:rsidR="002917B9" w:rsidRPr="00D928C5" w:rsidRDefault="002917B9" w:rsidP="003E2A6B">
            <w:pPr>
              <w:keepNext/>
              <w:jc w:val="right"/>
              <w:rPr>
                <w:rFonts w:ascii="Arial Narrow" w:hAnsi="Arial Narrow"/>
                <w:sz w:val="20"/>
              </w:rPr>
            </w:pPr>
          </w:p>
        </w:tc>
      </w:tr>
      <w:tr w:rsidR="002917B9" w:rsidRPr="00D928C5" w:rsidTr="002917B9">
        <w:tc>
          <w:tcPr>
            <w:tcW w:w="5711" w:type="dxa"/>
            <w:gridSpan w:val="5"/>
            <w:shd w:val="clear" w:color="auto" w:fill="FFFFFF" w:themeFill="background1"/>
            <w:noWrap/>
            <w:hideMark/>
          </w:tcPr>
          <w:p w:rsidR="002917B9" w:rsidRPr="00D928C5" w:rsidRDefault="002917B9" w:rsidP="00B7699D">
            <w:pPr>
              <w:ind w:right="-57"/>
              <w:rPr>
                <w:rFonts w:ascii="Arial Narrow" w:hAnsi="Arial Narrow"/>
                <w:b/>
                <w:sz w:val="20"/>
              </w:rPr>
            </w:pPr>
            <w:r w:rsidRPr="00D928C5">
              <w:rPr>
                <w:rFonts w:ascii="Arial Narrow" w:hAnsi="Arial Narrow"/>
                <w:b/>
                <w:sz w:val="20"/>
              </w:rPr>
              <w:t>TOTAL</w:t>
            </w:r>
          </w:p>
        </w:tc>
        <w:tc>
          <w:tcPr>
            <w:tcW w:w="1479" w:type="dxa"/>
            <w:shd w:val="clear" w:color="auto" w:fill="FFFFFF" w:themeFill="background1"/>
            <w:noWrap/>
            <w:hideMark/>
          </w:tcPr>
          <w:p w:rsidR="002917B9" w:rsidRPr="00D928C5" w:rsidRDefault="002917B9" w:rsidP="00B7699D">
            <w:pPr>
              <w:jc w:val="center"/>
              <w:rPr>
                <w:rFonts w:ascii="Arial Narrow" w:hAnsi="Arial Narrow"/>
                <w:sz w:val="20"/>
              </w:rPr>
            </w:pPr>
            <w:r w:rsidRPr="00D928C5">
              <w:rPr>
                <w:rFonts w:ascii="Arial Narrow" w:hAnsi="Arial Narrow"/>
                <w:sz w:val="20"/>
              </w:rPr>
              <w:t>1,811,320</w:t>
            </w:r>
          </w:p>
        </w:tc>
        <w:tc>
          <w:tcPr>
            <w:tcW w:w="1412" w:type="dxa"/>
            <w:vMerge/>
            <w:shd w:val="clear" w:color="auto" w:fill="FFFFFF" w:themeFill="background1"/>
            <w:noWrap/>
            <w:hideMark/>
          </w:tcPr>
          <w:p w:rsidR="002917B9" w:rsidRPr="00D928C5" w:rsidRDefault="002917B9" w:rsidP="00B7699D">
            <w:pPr>
              <w:jc w:val="right"/>
              <w:rPr>
                <w:rFonts w:ascii="Arial Narrow" w:hAnsi="Arial Narrow"/>
                <w:b/>
                <w:sz w:val="20"/>
              </w:rPr>
            </w:pPr>
          </w:p>
        </w:tc>
      </w:tr>
    </w:tbl>
    <w:p w:rsidR="001652CA" w:rsidRPr="00D928C5" w:rsidRDefault="00AA751A" w:rsidP="001652CA">
      <w:pPr>
        <w:pStyle w:val="TableFooter"/>
        <w:ind w:left="720"/>
      </w:pPr>
      <w:r w:rsidRPr="00D928C5">
        <w:rPr>
          <w:vertAlign w:val="superscript"/>
        </w:rPr>
        <w:t>a</w:t>
      </w:r>
      <w:r w:rsidRPr="00D928C5">
        <w:t xml:space="preserve"> Calculated using the </w:t>
      </w:r>
      <w:r w:rsidR="002917B9" w:rsidRPr="00D928C5">
        <w:t>ex-manufacturer prices</w:t>
      </w:r>
      <w:r w:rsidRPr="00D928C5">
        <w:t xml:space="preserve"> listed on the PBS as in May 2015</w:t>
      </w:r>
    </w:p>
    <w:p w:rsidR="00BE29F3" w:rsidRPr="00D928C5" w:rsidRDefault="00BE29F3" w:rsidP="001652CA">
      <w:pPr>
        <w:pStyle w:val="TableFooter"/>
        <w:ind w:left="720"/>
      </w:pPr>
      <w:r w:rsidRPr="00D928C5">
        <w:rPr>
          <w:vertAlign w:val="superscript"/>
        </w:rPr>
        <w:t>b</w:t>
      </w:r>
      <w:r w:rsidRPr="00D928C5">
        <w:t xml:space="preserve"> The peginterferon component in the Pegatron</w:t>
      </w:r>
      <w:r w:rsidRPr="00D928C5">
        <w:rPr>
          <w:vertAlign w:val="superscript"/>
        </w:rPr>
        <w:t>®</w:t>
      </w:r>
      <w:r w:rsidRPr="00D928C5">
        <w:t xml:space="preserve"> co-pack (Peg-Intron</w:t>
      </w:r>
      <w:r w:rsidRPr="00D928C5">
        <w:rPr>
          <w:vertAlign w:val="superscript"/>
        </w:rPr>
        <w:t>®</w:t>
      </w:r>
      <w:r w:rsidRPr="00D928C5">
        <w:t>) was delisted in 2012. As the price for Peg-Intron</w:t>
      </w:r>
      <w:r w:rsidRPr="00D928C5">
        <w:rPr>
          <w:vertAlign w:val="superscript"/>
        </w:rPr>
        <w:t xml:space="preserve">® </w:t>
      </w:r>
      <w:r w:rsidRPr="00D928C5">
        <w:t>had not changed since its listing, the price for Peg-Intron</w:t>
      </w:r>
      <w:r w:rsidRPr="00D928C5">
        <w:rPr>
          <w:vertAlign w:val="superscript"/>
        </w:rPr>
        <w:t xml:space="preserve">® </w:t>
      </w:r>
      <w:r w:rsidRPr="00D928C5">
        <w:t>in 2011 was used fo</w:t>
      </w:r>
      <w:r w:rsidR="00F86FC8" w:rsidRPr="00D928C5">
        <w:t xml:space="preserve">r </w:t>
      </w:r>
      <w:r w:rsidR="00E16447" w:rsidRPr="00D928C5">
        <w:t>determination</w:t>
      </w:r>
      <w:r w:rsidR="00F86FC8" w:rsidRPr="00D928C5">
        <w:t xml:space="preserve"> of the ribavirin shadow</w:t>
      </w:r>
      <w:r w:rsidRPr="00D928C5">
        <w:t xml:space="preserve"> price.</w:t>
      </w:r>
    </w:p>
    <w:p w:rsidR="001652CA" w:rsidRPr="00D928C5" w:rsidRDefault="002917B9" w:rsidP="00E27339">
      <w:pPr>
        <w:pStyle w:val="TableFooter"/>
        <w:ind w:left="720"/>
      </w:pPr>
      <w:r w:rsidRPr="00D928C5">
        <w:t xml:space="preserve">Source: </w:t>
      </w:r>
      <w:r w:rsidR="00AE64B1" w:rsidRPr="00D928C5">
        <w:t xml:space="preserve">Weighted shadow price calculated according to </w:t>
      </w:r>
      <w:r w:rsidR="00DA1A5F" w:rsidRPr="00D928C5">
        <w:t xml:space="preserve">previous </w:t>
      </w:r>
      <w:r w:rsidR="00AE64B1" w:rsidRPr="00D928C5">
        <w:t>PBAC advice (</w:t>
      </w:r>
      <w:r w:rsidR="00B111C7" w:rsidRPr="00D928C5">
        <w:t>ribavirin PSD, March 2015</w:t>
      </w:r>
      <w:r w:rsidR="00AE64B1" w:rsidRPr="00D928C5">
        <w:t>)</w:t>
      </w:r>
      <w:r w:rsidR="008C2676" w:rsidRPr="00D928C5">
        <w:t xml:space="preserve">. </w:t>
      </w:r>
    </w:p>
    <w:p w:rsidR="00381DB3" w:rsidRPr="00D928C5" w:rsidRDefault="00381DB3" w:rsidP="00381DB3">
      <w:pPr>
        <w:pStyle w:val="ListParagraph"/>
        <w:jc w:val="both"/>
        <w:rPr>
          <w:rFonts w:ascii="Arial" w:hAnsi="Arial"/>
          <w:sz w:val="22"/>
          <w:szCs w:val="22"/>
        </w:rPr>
      </w:pPr>
    </w:p>
    <w:p w:rsidR="004F611E" w:rsidRPr="00D928C5" w:rsidRDefault="000A4B9A" w:rsidP="00B1320F">
      <w:pPr>
        <w:pStyle w:val="ListParagraph"/>
        <w:numPr>
          <w:ilvl w:val="1"/>
          <w:numId w:val="2"/>
        </w:numPr>
        <w:jc w:val="both"/>
        <w:rPr>
          <w:rFonts w:ascii="Arial" w:hAnsi="Arial"/>
          <w:sz w:val="22"/>
          <w:szCs w:val="22"/>
        </w:rPr>
      </w:pPr>
      <w:r w:rsidRPr="00D928C5">
        <w:rPr>
          <w:rFonts w:ascii="Arial" w:hAnsi="Arial"/>
          <w:sz w:val="22"/>
          <w:szCs w:val="22"/>
        </w:rPr>
        <w:t>Stand-alone r</w:t>
      </w:r>
      <w:r w:rsidR="003D4F0B" w:rsidRPr="00D928C5">
        <w:rPr>
          <w:rFonts w:ascii="Arial" w:hAnsi="Arial"/>
          <w:sz w:val="22"/>
          <w:szCs w:val="22"/>
        </w:rPr>
        <w:t xml:space="preserve">ibavirin, at its </w:t>
      </w:r>
      <w:r w:rsidR="004F611E" w:rsidRPr="00D928C5">
        <w:rPr>
          <w:rFonts w:ascii="Arial" w:hAnsi="Arial"/>
          <w:sz w:val="22"/>
          <w:szCs w:val="22"/>
        </w:rPr>
        <w:t>requested price</w:t>
      </w:r>
      <w:r w:rsidR="00221C31" w:rsidRPr="00D928C5">
        <w:rPr>
          <w:rFonts w:ascii="Arial" w:hAnsi="Arial"/>
          <w:sz w:val="22"/>
          <w:szCs w:val="22"/>
        </w:rPr>
        <w:t>,</w:t>
      </w:r>
      <w:r w:rsidR="00654D11" w:rsidRPr="00D928C5">
        <w:rPr>
          <w:rFonts w:ascii="Arial" w:hAnsi="Arial"/>
          <w:sz w:val="22"/>
          <w:szCs w:val="22"/>
        </w:rPr>
        <w:t xml:space="preserve"> </w:t>
      </w:r>
      <w:r w:rsidR="00221C31" w:rsidRPr="00D928C5">
        <w:rPr>
          <w:rFonts w:ascii="Arial" w:hAnsi="Arial"/>
          <w:sz w:val="22"/>
          <w:szCs w:val="22"/>
        </w:rPr>
        <w:t xml:space="preserve">was </w:t>
      </w:r>
      <w:r w:rsidR="00654D11" w:rsidRPr="00D928C5">
        <w:rPr>
          <w:rFonts w:ascii="Arial" w:hAnsi="Arial"/>
          <w:sz w:val="22"/>
          <w:szCs w:val="22"/>
        </w:rPr>
        <w:t xml:space="preserve">not considered </w:t>
      </w:r>
      <w:r w:rsidR="00221C31" w:rsidRPr="00D928C5">
        <w:rPr>
          <w:rFonts w:ascii="Arial" w:hAnsi="Arial"/>
          <w:sz w:val="22"/>
          <w:szCs w:val="22"/>
        </w:rPr>
        <w:t xml:space="preserve">to be </w:t>
      </w:r>
      <w:r w:rsidR="004F611E" w:rsidRPr="00D928C5">
        <w:rPr>
          <w:rFonts w:ascii="Arial" w:hAnsi="Arial"/>
          <w:sz w:val="22"/>
          <w:szCs w:val="22"/>
        </w:rPr>
        <w:t>cost-minimis</w:t>
      </w:r>
      <w:r w:rsidR="00654D11" w:rsidRPr="00D928C5">
        <w:rPr>
          <w:rFonts w:ascii="Arial" w:hAnsi="Arial"/>
          <w:sz w:val="22"/>
          <w:szCs w:val="22"/>
        </w:rPr>
        <w:t>ed</w:t>
      </w:r>
      <w:r w:rsidR="004F611E" w:rsidRPr="00D928C5">
        <w:rPr>
          <w:rFonts w:ascii="Arial" w:hAnsi="Arial"/>
          <w:sz w:val="22"/>
          <w:szCs w:val="22"/>
        </w:rPr>
        <w:t xml:space="preserve"> to the product most likely to be substituted, ie th</w:t>
      </w:r>
      <w:r w:rsidR="003E2A6B">
        <w:rPr>
          <w:rFonts w:ascii="Arial" w:hAnsi="Arial"/>
          <w:sz w:val="22"/>
          <w:szCs w:val="22"/>
        </w:rPr>
        <w:t>e ribavirin component in the co</w:t>
      </w:r>
      <w:r w:rsidR="003E2A6B">
        <w:rPr>
          <w:rFonts w:ascii="Arial" w:hAnsi="Arial"/>
          <w:sz w:val="22"/>
          <w:szCs w:val="22"/>
        </w:rPr>
        <w:noBreakHyphen/>
      </w:r>
      <w:r w:rsidR="004F611E" w:rsidRPr="00D928C5">
        <w:rPr>
          <w:rFonts w:ascii="Arial" w:hAnsi="Arial"/>
          <w:sz w:val="22"/>
          <w:szCs w:val="22"/>
        </w:rPr>
        <w:t>packaged Pegasys RBV</w:t>
      </w:r>
      <w:r w:rsidR="004F611E" w:rsidRPr="00D928C5">
        <w:rPr>
          <w:rFonts w:ascii="Arial" w:hAnsi="Arial"/>
          <w:sz w:val="22"/>
          <w:szCs w:val="22"/>
          <w:vertAlign w:val="superscript"/>
        </w:rPr>
        <w:t>®</w:t>
      </w:r>
      <w:r w:rsidR="004F611E" w:rsidRPr="00D928C5">
        <w:rPr>
          <w:rFonts w:ascii="Arial" w:hAnsi="Arial"/>
          <w:sz w:val="22"/>
          <w:szCs w:val="22"/>
        </w:rPr>
        <w:t xml:space="preserve"> and Pegatron</w:t>
      </w:r>
      <w:r w:rsidR="004F611E" w:rsidRPr="00D928C5">
        <w:rPr>
          <w:rFonts w:ascii="Arial" w:hAnsi="Arial"/>
          <w:sz w:val="22"/>
          <w:szCs w:val="22"/>
          <w:vertAlign w:val="superscript"/>
        </w:rPr>
        <w:t>®</w:t>
      </w:r>
      <w:r w:rsidR="004F611E" w:rsidRPr="00D928C5">
        <w:rPr>
          <w:rFonts w:ascii="Arial" w:hAnsi="Arial"/>
          <w:sz w:val="22"/>
          <w:szCs w:val="22"/>
        </w:rPr>
        <w:t>, at their current prices ($</w:t>
      </w:r>
      <w:r w:rsidR="00F53974">
        <w:rPr>
          <w:rFonts w:ascii="Arial" w:hAnsi="Arial"/>
          <w:noProof/>
          <w:color w:val="000000"/>
          <w:sz w:val="22"/>
          <w:szCs w:val="22"/>
          <w:highlight w:val="black"/>
        </w:rPr>
        <w:t>''''''''''</w:t>
      </w:r>
      <w:r w:rsidR="004F611E" w:rsidRPr="00D928C5">
        <w:rPr>
          <w:rFonts w:ascii="Arial" w:hAnsi="Arial"/>
          <w:sz w:val="22"/>
          <w:szCs w:val="22"/>
        </w:rPr>
        <w:t xml:space="preserve"> vs $</w:t>
      </w:r>
      <w:r w:rsidR="00F53974">
        <w:rPr>
          <w:rFonts w:ascii="Arial" w:hAnsi="Arial"/>
          <w:noProof/>
          <w:color w:val="000000"/>
          <w:sz w:val="22"/>
          <w:szCs w:val="22"/>
          <w:highlight w:val="black"/>
        </w:rPr>
        <w:t>''''''''''''</w:t>
      </w:r>
      <w:r w:rsidR="004F611E" w:rsidRPr="00D928C5">
        <w:rPr>
          <w:rFonts w:ascii="Arial" w:hAnsi="Arial"/>
          <w:sz w:val="22"/>
          <w:szCs w:val="22"/>
        </w:rPr>
        <w:t xml:space="preserve"> per 200mg ribavirin).</w:t>
      </w:r>
    </w:p>
    <w:p w:rsidR="004F611E" w:rsidRPr="00D928C5" w:rsidRDefault="004F611E" w:rsidP="004F611E">
      <w:pPr>
        <w:pStyle w:val="ListParagraph"/>
        <w:jc w:val="both"/>
        <w:rPr>
          <w:rFonts w:ascii="Arial" w:hAnsi="Arial"/>
          <w:sz w:val="22"/>
          <w:szCs w:val="22"/>
        </w:rPr>
      </w:pPr>
    </w:p>
    <w:p w:rsidR="00787F06" w:rsidRPr="00D928C5" w:rsidRDefault="00980E19" w:rsidP="00787F06">
      <w:pPr>
        <w:pStyle w:val="ListParagraph"/>
        <w:numPr>
          <w:ilvl w:val="1"/>
          <w:numId w:val="2"/>
        </w:numPr>
        <w:jc w:val="both"/>
        <w:rPr>
          <w:rFonts w:ascii="Arial" w:hAnsi="Arial"/>
          <w:sz w:val="22"/>
          <w:szCs w:val="22"/>
        </w:rPr>
      </w:pPr>
      <w:r w:rsidRPr="00D928C5">
        <w:rPr>
          <w:rFonts w:ascii="Arial" w:hAnsi="Arial"/>
          <w:sz w:val="22"/>
          <w:szCs w:val="22"/>
        </w:rPr>
        <w:t xml:space="preserve">The pricing of ribavirin </w:t>
      </w:r>
      <w:r w:rsidR="00221C31" w:rsidRPr="00D928C5">
        <w:rPr>
          <w:rFonts w:ascii="Arial" w:hAnsi="Arial"/>
          <w:sz w:val="22"/>
          <w:szCs w:val="22"/>
        </w:rPr>
        <w:t xml:space="preserve">was </w:t>
      </w:r>
      <w:r w:rsidRPr="00D928C5">
        <w:rPr>
          <w:rFonts w:ascii="Arial" w:hAnsi="Arial"/>
          <w:sz w:val="22"/>
          <w:szCs w:val="22"/>
        </w:rPr>
        <w:t>also considered in r</w:t>
      </w:r>
      <w:r w:rsidR="003E2A6B">
        <w:rPr>
          <w:rFonts w:ascii="Arial" w:hAnsi="Arial"/>
          <w:sz w:val="22"/>
          <w:szCs w:val="22"/>
        </w:rPr>
        <w:t>elation to the price for the co</w:t>
      </w:r>
      <w:r w:rsidR="003E2A6B">
        <w:rPr>
          <w:rFonts w:ascii="Arial" w:hAnsi="Arial"/>
          <w:sz w:val="22"/>
          <w:szCs w:val="22"/>
        </w:rPr>
        <w:noBreakHyphen/>
      </w:r>
      <w:r w:rsidRPr="00D928C5">
        <w:rPr>
          <w:rFonts w:ascii="Arial" w:hAnsi="Arial"/>
          <w:sz w:val="22"/>
          <w:szCs w:val="22"/>
        </w:rPr>
        <w:t>administered sofosbuvir. At the March 2015 meeting, the PBAC noted that, to be listed on the PBAC, not only should ribavirin be cost-minimising to the ribavirin component in the co-packaged PR, but the cost of</w:t>
      </w:r>
      <w:r w:rsidR="003E2A6B">
        <w:rPr>
          <w:rFonts w:ascii="Arial" w:hAnsi="Arial"/>
          <w:sz w:val="22"/>
          <w:szCs w:val="22"/>
        </w:rPr>
        <w:t xml:space="preserve"> the total treatment course (12</w:t>
      </w:r>
      <w:r w:rsidR="003E2A6B">
        <w:rPr>
          <w:rFonts w:ascii="Arial" w:hAnsi="Arial"/>
          <w:sz w:val="22"/>
          <w:szCs w:val="22"/>
        </w:rPr>
        <w:noBreakHyphen/>
      </w:r>
      <w:r w:rsidRPr="00D928C5">
        <w:rPr>
          <w:rFonts w:ascii="Arial" w:hAnsi="Arial"/>
          <w:sz w:val="22"/>
          <w:szCs w:val="22"/>
        </w:rPr>
        <w:t>week and 24-week SOF+R) should also remain “in the acceptable willingness-to-pay threshold for a CHC patient weighting less than 75kg” (</w:t>
      </w:r>
      <w:r w:rsidR="00B111C7" w:rsidRPr="00D928C5">
        <w:rPr>
          <w:rFonts w:ascii="Arial" w:hAnsi="Arial"/>
          <w:sz w:val="22"/>
          <w:szCs w:val="22"/>
        </w:rPr>
        <w:t>ribavirin PSD, March 2015</w:t>
      </w:r>
      <w:r w:rsidRPr="00D928C5">
        <w:rPr>
          <w:rFonts w:ascii="Arial" w:hAnsi="Arial"/>
          <w:sz w:val="22"/>
          <w:szCs w:val="22"/>
        </w:rPr>
        <w:t>).</w:t>
      </w:r>
      <w:r w:rsidR="00F42BDF" w:rsidRPr="00D928C5">
        <w:rPr>
          <w:rFonts w:ascii="Arial" w:hAnsi="Arial"/>
          <w:i/>
          <w:sz w:val="22"/>
          <w:szCs w:val="22"/>
        </w:rPr>
        <w:t xml:space="preserve"> </w:t>
      </w:r>
    </w:p>
    <w:p w:rsidR="005F613A" w:rsidRPr="00D928C5" w:rsidRDefault="005F613A" w:rsidP="005F613A">
      <w:pPr>
        <w:jc w:val="both"/>
        <w:rPr>
          <w:rFonts w:ascii="Arial" w:hAnsi="Arial"/>
          <w:sz w:val="22"/>
          <w:szCs w:val="22"/>
        </w:rPr>
      </w:pPr>
    </w:p>
    <w:p w:rsidR="00E27339" w:rsidRPr="00D928C5" w:rsidRDefault="00E27339" w:rsidP="00B1320F">
      <w:pPr>
        <w:pStyle w:val="ListParagraph"/>
        <w:numPr>
          <w:ilvl w:val="1"/>
          <w:numId w:val="2"/>
        </w:numPr>
        <w:jc w:val="both"/>
        <w:rPr>
          <w:rFonts w:ascii="Arial" w:hAnsi="Arial"/>
          <w:sz w:val="22"/>
          <w:szCs w:val="22"/>
        </w:rPr>
      </w:pPr>
      <w:r w:rsidRPr="00D928C5">
        <w:rPr>
          <w:rFonts w:ascii="Arial" w:hAnsi="Arial"/>
          <w:sz w:val="22"/>
          <w:szCs w:val="22"/>
        </w:rPr>
        <w:t xml:space="preserve">The minor </w:t>
      </w:r>
      <w:r w:rsidR="008C64B4" w:rsidRPr="00D928C5">
        <w:rPr>
          <w:rFonts w:ascii="Arial" w:hAnsi="Arial"/>
          <w:sz w:val="22"/>
          <w:szCs w:val="22"/>
        </w:rPr>
        <w:t>re-</w:t>
      </w:r>
      <w:r w:rsidRPr="00D928C5">
        <w:rPr>
          <w:rFonts w:ascii="Arial" w:hAnsi="Arial"/>
          <w:sz w:val="22"/>
          <w:szCs w:val="22"/>
        </w:rPr>
        <w:t xml:space="preserve">submission reiterated that the estimation of the portion of efficacy attributable to ribavirin was not feasible within the available medical and pharmacological knowledge or from the clinical data on ribavirin in various combination regimens. Therefore, it was claimed to </w:t>
      </w:r>
      <w:r w:rsidR="003E2A6B">
        <w:rPr>
          <w:rFonts w:ascii="Arial" w:hAnsi="Arial"/>
          <w:sz w:val="22"/>
          <w:szCs w:val="22"/>
        </w:rPr>
        <w:t>be impossible to model the cost</w:t>
      </w:r>
      <w:r w:rsidR="003E2A6B">
        <w:rPr>
          <w:rFonts w:ascii="Arial" w:hAnsi="Arial"/>
          <w:sz w:val="22"/>
          <w:szCs w:val="22"/>
        </w:rPr>
        <w:noBreakHyphen/>
      </w:r>
      <w:r w:rsidRPr="00D928C5">
        <w:rPr>
          <w:rFonts w:ascii="Arial" w:hAnsi="Arial"/>
          <w:sz w:val="22"/>
          <w:szCs w:val="22"/>
        </w:rPr>
        <w:t>effectiveness of the ribavirin component of the SOF+R combination, which would have required an evaluation of both the incremental costs of adding ribavirin to sofosbuvir and the incremental health gain (clinical evidence not available).</w:t>
      </w:r>
    </w:p>
    <w:p w:rsidR="002E4E55" w:rsidRPr="00D928C5" w:rsidRDefault="002E4E55" w:rsidP="002E4E55">
      <w:pPr>
        <w:pStyle w:val="ListParagraph"/>
        <w:rPr>
          <w:rFonts w:ascii="Arial" w:hAnsi="Arial"/>
          <w:sz w:val="22"/>
          <w:szCs w:val="22"/>
        </w:rPr>
      </w:pPr>
    </w:p>
    <w:p w:rsidR="002E4E55" w:rsidRPr="00D928C5" w:rsidRDefault="002E4E55" w:rsidP="002E4E55">
      <w:pPr>
        <w:pStyle w:val="ListParagraph"/>
        <w:numPr>
          <w:ilvl w:val="1"/>
          <w:numId w:val="2"/>
        </w:numPr>
        <w:jc w:val="both"/>
        <w:rPr>
          <w:rFonts w:ascii="Arial" w:hAnsi="Arial"/>
          <w:sz w:val="22"/>
          <w:szCs w:val="22"/>
        </w:rPr>
      </w:pPr>
      <w:r w:rsidRPr="00D928C5">
        <w:rPr>
          <w:rFonts w:ascii="Arial" w:hAnsi="Arial"/>
          <w:sz w:val="22"/>
          <w:szCs w:val="22"/>
        </w:rPr>
        <w:t xml:space="preserve">The PBAC recalled </w:t>
      </w:r>
      <w:r w:rsidR="00221C31" w:rsidRPr="00D928C5">
        <w:rPr>
          <w:rFonts w:ascii="Arial" w:hAnsi="Arial"/>
          <w:sz w:val="22"/>
          <w:szCs w:val="22"/>
        </w:rPr>
        <w:t xml:space="preserve">that </w:t>
      </w:r>
      <w:r w:rsidRPr="00D928C5">
        <w:rPr>
          <w:rFonts w:ascii="Arial" w:hAnsi="Arial"/>
          <w:sz w:val="22"/>
          <w:szCs w:val="22"/>
        </w:rPr>
        <w:t>daclatasivr in combination with sofosbuvir and sofosbuvir (when in combination with ribavirin) w</w:t>
      </w:r>
      <w:r w:rsidR="00CD1BF1" w:rsidRPr="00D928C5">
        <w:rPr>
          <w:rFonts w:ascii="Arial" w:hAnsi="Arial"/>
          <w:sz w:val="22"/>
          <w:szCs w:val="22"/>
        </w:rPr>
        <w:t>ere</w:t>
      </w:r>
      <w:r w:rsidRPr="00D928C5">
        <w:rPr>
          <w:rFonts w:ascii="Arial" w:hAnsi="Arial"/>
          <w:sz w:val="22"/>
          <w:szCs w:val="22"/>
        </w:rPr>
        <w:t xml:space="preserve"> </w:t>
      </w:r>
      <w:r w:rsidR="005F613A" w:rsidRPr="00D928C5">
        <w:rPr>
          <w:rFonts w:ascii="Arial" w:hAnsi="Arial"/>
          <w:sz w:val="22"/>
          <w:szCs w:val="22"/>
        </w:rPr>
        <w:t>recommended</w:t>
      </w:r>
      <w:r w:rsidRPr="00D928C5">
        <w:rPr>
          <w:rFonts w:ascii="Arial" w:hAnsi="Arial"/>
          <w:sz w:val="22"/>
          <w:szCs w:val="22"/>
        </w:rPr>
        <w:t xml:space="preserve"> for the treatment of CHC at the March 2015 meeting. During th</w:t>
      </w:r>
      <w:r w:rsidR="005F613A" w:rsidRPr="00D928C5">
        <w:rPr>
          <w:rFonts w:ascii="Arial" w:hAnsi="Arial"/>
          <w:sz w:val="22"/>
          <w:szCs w:val="22"/>
        </w:rPr>
        <w:t>e</w:t>
      </w:r>
      <w:r w:rsidRPr="00D928C5">
        <w:rPr>
          <w:rFonts w:ascii="Arial" w:hAnsi="Arial"/>
          <w:sz w:val="22"/>
          <w:szCs w:val="22"/>
        </w:rPr>
        <w:t xml:space="preserve"> consideration of daclatasivr in combination with sofosbuvir for the treatment of Genotype 3 patients, the listing was recommended on the basis of acceptable cost effectiveness over no treatment, however the PBAC recommended that the price of a course of treatment should be the same as the price of a course of treatment with sofosbuvir in combination with ribavirin (24 weeks)</w:t>
      </w:r>
      <w:r w:rsidR="00CD1BF1" w:rsidRPr="00D928C5">
        <w:rPr>
          <w:rFonts w:ascii="Arial" w:hAnsi="Arial"/>
          <w:sz w:val="22"/>
          <w:szCs w:val="22"/>
        </w:rPr>
        <w:t>, as presented in the sofosbuvir resubmission</w:t>
      </w:r>
      <w:r w:rsidRPr="00D928C5">
        <w:rPr>
          <w:rFonts w:ascii="Arial" w:hAnsi="Arial"/>
          <w:sz w:val="22"/>
          <w:szCs w:val="22"/>
        </w:rPr>
        <w:t>.</w:t>
      </w:r>
    </w:p>
    <w:p w:rsidR="009C6E7C" w:rsidRPr="00D928C5" w:rsidRDefault="009C6E7C" w:rsidP="009C6E7C">
      <w:pPr>
        <w:pStyle w:val="ListParagraph"/>
        <w:rPr>
          <w:rFonts w:ascii="Arial" w:hAnsi="Arial"/>
          <w:sz w:val="22"/>
          <w:szCs w:val="22"/>
        </w:rPr>
      </w:pPr>
    </w:p>
    <w:p w:rsidR="005F613A" w:rsidRPr="00D928C5" w:rsidRDefault="009C6E7C" w:rsidP="009C6E7C">
      <w:pPr>
        <w:pStyle w:val="ListParagraph"/>
        <w:numPr>
          <w:ilvl w:val="1"/>
          <w:numId w:val="2"/>
        </w:numPr>
        <w:jc w:val="both"/>
        <w:rPr>
          <w:rFonts w:ascii="Arial" w:hAnsi="Arial"/>
          <w:sz w:val="22"/>
          <w:szCs w:val="22"/>
        </w:rPr>
      </w:pPr>
      <w:r w:rsidRPr="00D928C5">
        <w:rPr>
          <w:rFonts w:ascii="Arial" w:hAnsi="Arial"/>
          <w:sz w:val="22"/>
          <w:szCs w:val="22"/>
        </w:rPr>
        <w:t>The PBAC noted that the proposed DPMQ in the submission included general schedule mark ups and fees</w:t>
      </w:r>
      <w:r w:rsidR="00506A0D" w:rsidRPr="00D928C5">
        <w:rPr>
          <w:rFonts w:ascii="Arial" w:hAnsi="Arial"/>
          <w:sz w:val="22"/>
          <w:szCs w:val="22"/>
        </w:rPr>
        <w:t xml:space="preserve"> in line with the </w:t>
      </w:r>
      <w:r w:rsidR="005F613A" w:rsidRPr="00D928C5">
        <w:rPr>
          <w:rFonts w:ascii="Arial" w:hAnsi="Arial"/>
          <w:sz w:val="22"/>
          <w:szCs w:val="22"/>
        </w:rPr>
        <w:t xml:space="preserve">previous </w:t>
      </w:r>
      <w:r w:rsidR="00506A0D" w:rsidRPr="00D928C5">
        <w:rPr>
          <w:rFonts w:ascii="Arial" w:hAnsi="Arial"/>
          <w:sz w:val="22"/>
          <w:szCs w:val="22"/>
        </w:rPr>
        <w:t xml:space="preserve">view of the PBAC for listing of all oral CHC </w:t>
      </w:r>
      <w:r w:rsidR="005F613A" w:rsidRPr="00D928C5">
        <w:rPr>
          <w:rFonts w:ascii="Arial" w:hAnsi="Arial"/>
          <w:sz w:val="22"/>
          <w:szCs w:val="22"/>
        </w:rPr>
        <w:t>treatments</w:t>
      </w:r>
      <w:r w:rsidR="00506A0D" w:rsidRPr="00D928C5">
        <w:rPr>
          <w:rFonts w:ascii="Arial" w:hAnsi="Arial"/>
          <w:sz w:val="22"/>
          <w:szCs w:val="22"/>
        </w:rPr>
        <w:t>.</w:t>
      </w:r>
      <w:r w:rsidRPr="00D928C5">
        <w:rPr>
          <w:rFonts w:ascii="Arial" w:hAnsi="Arial"/>
          <w:sz w:val="22"/>
          <w:szCs w:val="22"/>
        </w:rPr>
        <w:t xml:space="preserve"> </w:t>
      </w:r>
    </w:p>
    <w:p w:rsidR="005F613A" w:rsidRPr="00D928C5" w:rsidRDefault="005F613A" w:rsidP="005F613A">
      <w:pPr>
        <w:pStyle w:val="ListParagraph"/>
        <w:rPr>
          <w:rFonts w:ascii="Arial" w:hAnsi="Arial"/>
          <w:sz w:val="22"/>
          <w:szCs w:val="22"/>
        </w:rPr>
      </w:pPr>
    </w:p>
    <w:p w:rsidR="009C6E7C" w:rsidRPr="00D928C5" w:rsidRDefault="009C6E7C" w:rsidP="009C6E7C">
      <w:pPr>
        <w:pStyle w:val="ListParagraph"/>
        <w:numPr>
          <w:ilvl w:val="1"/>
          <w:numId w:val="2"/>
        </w:numPr>
        <w:jc w:val="both"/>
        <w:rPr>
          <w:rFonts w:ascii="Arial" w:hAnsi="Arial"/>
          <w:sz w:val="22"/>
          <w:szCs w:val="22"/>
        </w:rPr>
      </w:pPr>
      <w:r w:rsidRPr="00D928C5">
        <w:rPr>
          <w:rFonts w:ascii="Arial" w:hAnsi="Arial"/>
          <w:sz w:val="22"/>
          <w:szCs w:val="22"/>
        </w:rPr>
        <w:t xml:space="preserve">The PBAC recalled from the March 2015 meeting, </w:t>
      </w:r>
      <w:r w:rsidR="005F613A" w:rsidRPr="00D928C5">
        <w:rPr>
          <w:rFonts w:ascii="Arial" w:hAnsi="Arial"/>
          <w:sz w:val="22"/>
          <w:szCs w:val="22"/>
        </w:rPr>
        <w:t xml:space="preserve">in consideration of CHC treatments, that: </w:t>
      </w:r>
    </w:p>
    <w:p w:rsidR="009C6E7C" w:rsidRPr="00D928C5" w:rsidRDefault="009C6E7C" w:rsidP="009C6E7C">
      <w:pPr>
        <w:pStyle w:val="ListParagraph"/>
        <w:rPr>
          <w:rFonts w:ascii="Arial" w:hAnsi="Arial"/>
          <w:sz w:val="22"/>
          <w:szCs w:val="22"/>
        </w:rPr>
      </w:pPr>
    </w:p>
    <w:p w:rsidR="005F613A" w:rsidRPr="00D928C5" w:rsidRDefault="005F613A" w:rsidP="005F613A">
      <w:pPr>
        <w:pStyle w:val="ListParagraph"/>
        <w:numPr>
          <w:ilvl w:val="1"/>
          <w:numId w:val="20"/>
        </w:numPr>
        <w:jc w:val="both"/>
        <w:rPr>
          <w:rFonts w:ascii="Arial" w:hAnsi="Arial"/>
          <w:sz w:val="22"/>
          <w:szCs w:val="22"/>
        </w:rPr>
      </w:pPr>
      <w:r w:rsidRPr="00D928C5">
        <w:rPr>
          <w:rFonts w:ascii="Arial" w:hAnsi="Arial"/>
          <w:sz w:val="22"/>
          <w:szCs w:val="22"/>
        </w:rPr>
        <w:t xml:space="preserve">the </w:t>
      </w:r>
      <w:r w:rsidR="00506A0D" w:rsidRPr="00D928C5">
        <w:rPr>
          <w:rFonts w:ascii="Arial" w:hAnsi="Arial"/>
          <w:sz w:val="22"/>
          <w:szCs w:val="22"/>
        </w:rPr>
        <w:t xml:space="preserve">cost of the entire treatment course would be required to give an ICER no greater than $15,000/QALY based on the model presented in the </w:t>
      </w:r>
      <w:r w:rsidRPr="00D928C5">
        <w:rPr>
          <w:rFonts w:ascii="Arial" w:hAnsi="Arial"/>
          <w:sz w:val="22"/>
          <w:szCs w:val="22"/>
        </w:rPr>
        <w:t>sofsobuvir</w:t>
      </w:r>
      <w:r w:rsidR="00506A0D" w:rsidRPr="00D928C5">
        <w:rPr>
          <w:rFonts w:ascii="Arial" w:hAnsi="Arial"/>
          <w:sz w:val="22"/>
          <w:szCs w:val="22"/>
        </w:rPr>
        <w:t xml:space="preserve"> </w:t>
      </w:r>
      <w:r w:rsidRPr="00D928C5">
        <w:rPr>
          <w:rFonts w:ascii="Arial" w:hAnsi="Arial"/>
          <w:sz w:val="22"/>
          <w:szCs w:val="22"/>
        </w:rPr>
        <w:t>re</w:t>
      </w:r>
      <w:r w:rsidR="00506A0D" w:rsidRPr="00D928C5">
        <w:rPr>
          <w:rFonts w:ascii="Arial" w:hAnsi="Arial"/>
          <w:sz w:val="22"/>
          <w:szCs w:val="22"/>
        </w:rPr>
        <w:t>submission</w:t>
      </w:r>
      <w:r w:rsidRPr="00D928C5">
        <w:rPr>
          <w:rFonts w:ascii="Arial" w:hAnsi="Arial"/>
          <w:sz w:val="22"/>
          <w:szCs w:val="22"/>
        </w:rPr>
        <w:t xml:space="preserve">, </w:t>
      </w:r>
    </w:p>
    <w:p w:rsidR="009C6E7C" w:rsidRPr="00D928C5" w:rsidRDefault="009C6E7C" w:rsidP="005F613A">
      <w:pPr>
        <w:pStyle w:val="ListParagraph"/>
        <w:numPr>
          <w:ilvl w:val="1"/>
          <w:numId w:val="20"/>
        </w:numPr>
        <w:jc w:val="both"/>
        <w:rPr>
          <w:rFonts w:ascii="Arial" w:hAnsi="Arial"/>
          <w:sz w:val="22"/>
          <w:szCs w:val="22"/>
        </w:rPr>
      </w:pPr>
      <w:r w:rsidRPr="00D928C5">
        <w:rPr>
          <w:rFonts w:ascii="Arial" w:hAnsi="Arial"/>
          <w:sz w:val="22"/>
          <w:szCs w:val="22"/>
        </w:rPr>
        <w:t>the most appropriate scenario to determine the cost of a treatment would be based on the largest groups of the total prevalent population, namely treatment naïve non-cirrhotic Genotype 3 patients (weighing less than 75kg) treated with SOF+ RBV 24 weeks as a proxy fo</w:t>
      </w:r>
      <w:r w:rsidR="003E2A6B">
        <w:rPr>
          <w:rFonts w:ascii="Arial" w:hAnsi="Arial"/>
          <w:sz w:val="22"/>
          <w:szCs w:val="22"/>
        </w:rPr>
        <w:t>r all Genotype 3, 2, 4, 5 and 6 </w:t>
      </w:r>
      <w:r w:rsidRPr="00D928C5">
        <w:rPr>
          <w:rFonts w:ascii="Arial" w:hAnsi="Arial"/>
          <w:sz w:val="22"/>
          <w:szCs w:val="22"/>
        </w:rPr>
        <w:t xml:space="preserve">patients. </w:t>
      </w:r>
    </w:p>
    <w:p w:rsidR="009C6E7C" w:rsidRPr="00D928C5" w:rsidRDefault="009C6E7C" w:rsidP="009C6E7C">
      <w:pPr>
        <w:pStyle w:val="ListParagraph"/>
        <w:rPr>
          <w:rFonts w:ascii="Arial" w:hAnsi="Arial"/>
          <w:sz w:val="22"/>
          <w:szCs w:val="22"/>
        </w:rPr>
      </w:pPr>
    </w:p>
    <w:p w:rsidR="009C6E7C" w:rsidRPr="00D928C5" w:rsidRDefault="009C6E7C" w:rsidP="005F613A">
      <w:pPr>
        <w:pStyle w:val="ListParagraph"/>
        <w:numPr>
          <w:ilvl w:val="1"/>
          <w:numId w:val="20"/>
        </w:numPr>
        <w:jc w:val="both"/>
        <w:rPr>
          <w:rFonts w:ascii="Arial" w:hAnsi="Arial"/>
          <w:sz w:val="22"/>
          <w:szCs w:val="22"/>
        </w:rPr>
      </w:pPr>
      <w:r w:rsidRPr="00D928C5">
        <w:rPr>
          <w:rFonts w:ascii="Arial" w:hAnsi="Arial"/>
          <w:sz w:val="22"/>
          <w:szCs w:val="22"/>
        </w:rPr>
        <w:t xml:space="preserve">the cost of the entire treatment course should include the wholesale and pharmacy mark ups and dispensing fees associated with a General Schedule listing. </w:t>
      </w:r>
    </w:p>
    <w:p w:rsidR="009C6E7C" w:rsidRPr="00D928C5" w:rsidRDefault="005F613A" w:rsidP="005F613A">
      <w:pPr>
        <w:pStyle w:val="ListParagraph"/>
        <w:numPr>
          <w:ilvl w:val="1"/>
          <w:numId w:val="20"/>
        </w:numPr>
        <w:jc w:val="both"/>
        <w:rPr>
          <w:rFonts w:ascii="Arial" w:hAnsi="Arial"/>
          <w:sz w:val="22"/>
          <w:szCs w:val="22"/>
        </w:rPr>
      </w:pPr>
      <w:r w:rsidRPr="00D928C5">
        <w:rPr>
          <w:rFonts w:ascii="Arial" w:hAnsi="Arial"/>
          <w:sz w:val="22"/>
          <w:szCs w:val="22"/>
        </w:rPr>
        <w:t xml:space="preserve">the </w:t>
      </w:r>
      <w:r w:rsidR="009C6E7C" w:rsidRPr="00D928C5">
        <w:rPr>
          <w:rFonts w:ascii="Arial" w:hAnsi="Arial"/>
          <w:sz w:val="22"/>
          <w:szCs w:val="22"/>
        </w:rPr>
        <w:t>cost to achieve a SVR12 should be independent of the treatment duration and treatment dose considered to be appropriate to achieve a SVR in patients.</w:t>
      </w:r>
    </w:p>
    <w:p w:rsidR="005F613A" w:rsidRPr="00D928C5" w:rsidRDefault="005F613A" w:rsidP="005F613A">
      <w:pPr>
        <w:jc w:val="both"/>
        <w:rPr>
          <w:rFonts w:ascii="Arial" w:hAnsi="Arial"/>
          <w:sz w:val="22"/>
          <w:szCs w:val="22"/>
        </w:rPr>
      </w:pPr>
    </w:p>
    <w:p w:rsidR="005F613A" w:rsidRPr="00D928C5" w:rsidRDefault="009C6E7C" w:rsidP="005F613A">
      <w:pPr>
        <w:pStyle w:val="ListParagraph"/>
        <w:numPr>
          <w:ilvl w:val="1"/>
          <w:numId w:val="2"/>
        </w:numPr>
        <w:jc w:val="both"/>
        <w:rPr>
          <w:rFonts w:ascii="Arial" w:hAnsi="Arial"/>
          <w:sz w:val="22"/>
          <w:szCs w:val="22"/>
        </w:rPr>
      </w:pPr>
      <w:r w:rsidRPr="00D928C5">
        <w:rPr>
          <w:rFonts w:ascii="Arial" w:hAnsi="Arial"/>
          <w:sz w:val="22"/>
          <w:szCs w:val="22"/>
        </w:rPr>
        <w:t xml:space="preserve">Overall, </w:t>
      </w:r>
      <w:r w:rsidR="005F613A" w:rsidRPr="00D928C5">
        <w:rPr>
          <w:rFonts w:ascii="Arial" w:hAnsi="Arial"/>
          <w:sz w:val="22"/>
          <w:szCs w:val="22"/>
        </w:rPr>
        <w:t>the PBAC considered with t</w:t>
      </w:r>
      <w:r w:rsidR="00CD1BF1" w:rsidRPr="00D928C5">
        <w:rPr>
          <w:rFonts w:ascii="Arial" w:hAnsi="Arial"/>
          <w:sz w:val="22"/>
          <w:szCs w:val="22"/>
        </w:rPr>
        <w:t>he clinical evidence available in the public domain</w:t>
      </w:r>
      <w:r w:rsidR="005F613A" w:rsidRPr="00D928C5">
        <w:rPr>
          <w:rFonts w:ascii="Arial" w:hAnsi="Arial"/>
          <w:sz w:val="22"/>
          <w:szCs w:val="22"/>
        </w:rPr>
        <w:t xml:space="preserve"> that there was no basis on which to recommend that any one treatment (including those that are in combination with ribavirin) </w:t>
      </w:r>
      <w:r w:rsidR="00CD1BF1" w:rsidRPr="00D928C5">
        <w:rPr>
          <w:rFonts w:ascii="Arial" w:hAnsi="Arial"/>
          <w:sz w:val="22"/>
          <w:szCs w:val="22"/>
        </w:rPr>
        <w:t xml:space="preserve">was more effective and thus </w:t>
      </w:r>
      <w:r w:rsidR="005F613A" w:rsidRPr="00D928C5">
        <w:rPr>
          <w:rFonts w:ascii="Arial" w:hAnsi="Arial"/>
          <w:sz w:val="22"/>
          <w:szCs w:val="22"/>
        </w:rPr>
        <w:t>be more expensive than another.</w:t>
      </w:r>
    </w:p>
    <w:p w:rsidR="009C6E7C" w:rsidRPr="00D928C5" w:rsidRDefault="009C6E7C" w:rsidP="005F613A">
      <w:pPr>
        <w:pStyle w:val="ListParagraph"/>
        <w:jc w:val="both"/>
        <w:rPr>
          <w:rFonts w:ascii="Arial" w:hAnsi="Arial"/>
          <w:sz w:val="22"/>
          <w:szCs w:val="22"/>
        </w:rPr>
      </w:pPr>
    </w:p>
    <w:p w:rsidR="005963BB" w:rsidRPr="00D928C5" w:rsidRDefault="005963BB" w:rsidP="00C00DA7">
      <w:pPr>
        <w:jc w:val="both"/>
        <w:rPr>
          <w:rFonts w:ascii="Arial" w:hAnsi="Arial"/>
          <w:sz w:val="22"/>
          <w:szCs w:val="22"/>
        </w:rPr>
      </w:pPr>
    </w:p>
    <w:p w:rsidR="00A55FEE" w:rsidRPr="00D928C5" w:rsidRDefault="003B2B50" w:rsidP="00A55FEE">
      <w:pPr>
        <w:ind w:left="720" w:hanging="720"/>
        <w:jc w:val="both"/>
        <w:rPr>
          <w:rFonts w:ascii="Arial" w:hAnsi="Arial"/>
          <w:b/>
          <w:i/>
          <w:sz w:val="22"/>
          <w:szCs w:val="22"/>
        </w:rPr>
      </w:pPr>
      <w:r w:rsidRPr="00D928C5">
        <w:rPr>
          <w:rFonts w:ascii="Arial" w:hAnsi="Arial"/>
          <w:b/>
          <w:i/>
          <w:sz w:val="22"/>
          <w:szCs w:val="22"/>
        </w:rPr>
        <w:t>Drug cost/patient/course</w:t>
      </w:r>
    </w:p>
    <w:p w:rsidR="00A55FEE" w:rsidRPr="00D928C5" w:rsidRDefault="00A55FEE" w:rsidP="00A55FEE">
      <w:pPr>
        <w:ind w:left="720" w:hanging="720"/>
        <w:jc w:val="both"/>
        <w:rPr>
          <w:rFonts w:ascii="Arial" w:hAnsi="Arial"/>
          <w:b/>
          <w:i/>
          <w:sz w:val="22"/>
          <w:szCs w:val="22"/>
        </w:rPr>
      </w:pPr>
    </w:p>
    <w:p w:rsidR="003B2B50" w:rsidRPr="00D928C5" w:rsidRDefault="003B2B50" w:rsidP="00B1320F">
      <w:pPr>
        <w:pStyle w:val="ListParagraph"/>
        <w:numPr>
          <w:ilvl w:val="1"/>
          <w:numId w:val="2"/>
        </w:numPr>
        <w:jc w:val="both"/>
        <w:rPr>
          <w:rFonts w:ascii="Arial" w:hAnsi="Arial"/>
          <w:sz w:val="22"/>
          <w:szCs w:val="22"/>
        </w:rPr>
      </w:pPr>
      <w:r w:rsidRPr="00D928C5">
        <w:rPr>
          <w:rFonts w:ascii="Arial" w:hAnsi="Arial"/>
          <w:sz w:val="22"/>
          <w:szCs w:val="22"/>
        </w:rPr>
        <w:t xml:space="preserve">The costs for ribavirin using the </w:t>
      </w:r>
      <w:r w:rsidR="002518A0" w:rsidRPr="00D928C5">
        <w:rPr>
          <w:rFonts w:ascii="Arial" w:hAnsi="Arial"/>
          <w:sz w:val="22"/>
          <w:szCs w:val="22"/>
        </w:rPr>
        <w:t xml:space="preserve">requested </w:t>
      </w:r>
      <w:r w:rsidRPr="00D928C5">
        <w:rPr>
          <w:rFonts w:ascii="Arial" w:hAnsi="Arial"/>
          <w:sz w:val="22"/>
          <w:szCs w:val="22"/>
        </w:rPr>
        <w:t xml:space="preserve">DPMQs </w:t>
      </w:r>
      <w:r w:rsidR="002518A0" w:rsidRPr="00D928C5">
        <w:rPr>
          <w:rFonts w:ascii="Arial" w:hAnsi="Arial"/>
          <w:sz w:val="22"/>
          <w:szCs w:val="22"/>
        </w:rPr>
        <w:t>were</w:t>
      </w:r>
      <w:r w:rsidRPr="00D928C5">
        <w:rPr>
          <w:rFonts w:ascii="Arial" w:hAnsi="Arial"/>
          <w:sz w:val="22"/>
          <w:szCs w:val="22"/>
        </w:rPr>
        <w:t xml:space="preserve"> estimated </w:t>
      </w:r>
      <w:r w:rsidR="00CD1BF1" w:rsidRPr="00D928C5">
        <w:rPr>
          <w:rFonts w:ascii="Arial" w:hAnsi="Arial"/>
          <w:sz w:val="22"/>
          <w:szCs w:val="22"/>
        </w:rPr>
        <w:t xml:space="preserve">in the submission </w:t>
      </w:r>
      <w:r w:rsidRPr="00D928C5">
        <w:rPr>
          <w:rFonts w:ascii="Arial" w:hAnsi="Arial"/>
          <w:sz w:val="22"/>
          <w:szCs w:val="22"/>
        </w:rPr>
        <w:t>to be:</w:t>
      </w:r>
    </w:p>
    <w:p w:rsidR="003B2B50" w:rsidRPr="00681699" w:rsidRDefault="003B2B50" w:rsidP="00B1320F">
      <w:pPr>
        <w:pStyle w:val="ListParagraph"/>
        <w:numPr>
          <w:ilvl w:val="0"/>
          <w:numId w:val="6"/>
        </w:numPr>
        <w:ind w:left="1276"/>
        <w:jc w:val="both"/>
        <w:rPr>
          <w:rFonts w:ascii="Arial" w:hAnsi="Arial"/>
          <w:sz w:val="22"/>
          <w:szCs w:val="22"/>
        </w:rPr>
      </w:pPr>
      <w:r w:rsidRPr="00681699">
        <w:rPr>
          <w:rFonts w:ascii="Arial" w:hAnsi="Arial"/>
          <w:sz w:val="22"/>
          <w:szCs w:val="22"/>
        </w:rPr>
        <w:t>$</w:t>
      </w:r>
      <w:r w:rsidR="00F53974">
        <w:rPr>
          <w:rFonts w:ascii="Arial" w:hAnsi="Arial"/>
          <w:noProof/>
          <w:color w:val="000000"/>
          <w:sz w:val="22"/>
          <w:szCs w:val="22"/>
          <w:highlight w:val="black"/>
        </w:rPr>
        <w:t>''''''''''''</w:t>
      </w:r>
      <w:r w:rsidRPr="00681699">
        <w:rPr>
          <w:rFonts w:ascii="Arial" w:hAnsi="Arial"/>
          <w:sz w:val="22"/>
          <w:szCs w:val="22"/>
        </w:rPr>
        <w:t xml:space="preserve"> for the 12-week regimen for patients weighing &lt;75kg;</w:t>
      </w:r>
    </w:p>
    <w:p w:rsidR="003B2B50" w:rsidRPr="00681699" w:rsidRDefault="003B2B50" w:rsidP="00B1320F">
      <w:pPr>
        <w:pStyle w:val="ListParagraph"/>
        <w:numPr>
          <w:ilvl w:val="0"/>
          <w:numId w:val="6"/>
        </w:numPr>
        <w:ind w:left="1276"/>
        <w:jc w:val="both"/>
        <w:rPr>
          <w:rFonts w:ascii="Arial" w:hAnsi="Arial"/>
          <w:sz w:val="22"/>
          <w:szCs w:val="22"/>
        </w:rPr>
      </w:pPr>
      <w:r w:rsidRPr="00681699">
        <w:rPr>
          <w:rFonts w:ascii="Arial" w:hAnsi="Arial"/>
          <w:sz w:val="22"/>
          <w:szCs w:val="22"/>
        </w:rPr>
        <w:t>$</w:t>
      </w:r>
      <w:r w:rsidR="00F53974">
        <w:rPr>
          <w:rFonts w:ascii="Arial" w:hAnsi="Arial"/>
          <w:noProof/>
          <w:color w:val="000000"/>
          <w:sz w:val="22"/>
          <w:szCs w:val="22"/>
          <w:highlight w:val="black"/>
        </w:rPr>
        <w:t>'''''''''''''''</w:t>
      </w:r>
      <w:r w:rsidRPr="00681699">
        <w:rPr>
          <w:rFonts w:ascii="Arial" w:hAnsi="Arial"/>
          <w:sz w:val="22"/>
          <w:szCs w:val="22"/>
        </w:rPr>
        <w:t xml:space="preserve"> for the 12-week regimen for patients weighing ≥75kg;</w:t>
      </w:r>
    </w:p>
    <w:p w:rsidR="003B2B50" w:rsidRPr="00681699" w:rsidRDefault="003B2B50" w:rsidP="00B1320F">
      <w:pPr>
        <w:pStyle w:val="ListParagraph"/>
        <w:numPr>
          <w:ilvl w:val="0"/>
          <w:numId w:val="6"/>
        </w:numPr>
        <w:ind w:left="1276"/>
        <w:jc w:val="both"/>
        <w:rPr>
          <w:rFonts w:ascii="Arial" w:hAnsi="Arial"/>
          <w:sz w:val="22"/>
          <w:szCs w:val="22"/>
        </w:rPr>
      </w:pPr>
      <w:r w:rsidRPr="00681699">
        <w:rPr>
          <w:rFonts w:ascii="Arial" w:hAnsi="Arial"/>
          <w:sz w:val="22"/>
          <w:szCs w:val="22"/>
        </w:rPr>
        <w:t>$</w:t>
      </w:r>
      <w:r w:rsidR="00F53974">
        <w:rPr>
          <w:rFonts w:ascii="Arial" w:hAnsi="Arial"/>
          <w:noProof/>
          <w:color w:val="000000"/>
          <w:sz w:val="22"/>
          <w:szCs w:val="22"/>
          <w:highlight w:val="black"/>
        </w:rPr>
        <w:t>'''''''''''''</w:t>
      </w:r>
      <w:r w:rsidRPr="00681699">
        <w:rPr>
          <w:rFonts w:ascii="Arial" w:hAnsi="Arial"/>
          <w:sz w:val="22"/>
          <w:szCs w:val="22"/>
        </w:rPr>
        <w:t xml:space="preserve"> for the 24-week regimen for patients weighing &lt;75kg; and </w:t>
      </w:r>
    </w:p>
    <w:p w:rsidR="00A55FEE" w:rsidRPr="00681699" w:rsidRDefault="003B2B50" w:rsidP="00B1320F">
      <w:pPr>
        <w:pStyle w:val="ListParagraph"/>
        <w:numPr>
          <w:ilvl w:val="0"/>
          <w:numId w:val="6"/>
        </w:numPr>
        <w:ind w:left="1276"/>
        <w:jc w:val="both"/>
        <w:rPr>
          <w:rFonts w:ascii="Arial" w:hAnsi="Arial"/>
          <w:sz w:val="22"/>
          <w:szCs w:val="22"/>
        </w:rPr>
      </w:pPr>
      <w:r w:rsidRPr="00681699">
        <w:rPr>
          <w:rFonts w:ascii="Arial" w:hAnsi="Arial"/>
          <w:sz w:val="22"/>
          <w:szCs w:val="22"/>
        </w:rPr>
        <w:t>$</w:t>
      </w:r>
      <w:r w:rsidR="00F53974">
        <w:rPr>
          <w:rFonts w:ascii="Arial" w:hAnsi="Arial"/>
          <w:noProof/>
          <w:color w:val="000000"/>
          <w:sz w:val="22"/>
          <w:szCs w:val="22"/>
          <w:highlight w:val="black"/>
        </w:rPr>
        <w:t>'''''''''''''</w:t>
      </w:r>
      <w:r w:rsidRPr="00681699">
        <w:rPr>
          <w:rFonts w:ascii="Arial" w:hAnsi="Arial"/>
          <w:sz w:val="22"/>
          <w:szCs w:val="22"/>
        </w:rPr>
        <w:t xml:space="preserve"> for the 24-week regimen for patients weighing ≥75kg. </w:t>
      </w:r>
    </w:p>
    <w:p w:rsidR="002518A0" w:rsidRPr="00D928C5" w:rsidRDefault="002518A0" w:rsidP="005F30EF">
      <w:pPr>
        <w:jc w:val="both"/>
        <w:rPr>
          <w:rFonts w:ascii="Arial" w:hAnsi="Arial"/>
          <w:b/>
          <w:i/>
          <w:sz w:val="22"/>
          <w:szCs w:val="22"/>
        </w:rPr>
      </w:pPr>
    </w:p>
    <w:p w:rsidR="005A3173" w:rsidRPr="00D928C5" w:rsidRDefault="005A3173" w:rsidP="00882085">
      <w:pPr>
        <w:ind w:left="720" w:hanging="720"/>
        <w:jc w:val="both"/>
        <w:rPr>
          <w:rFonts w:ascii="Arial" w:hAnsi="Arial"/>
          <w:b/>
          <w:i/>
          <w:sz w:val="22"/>
          <w:szCs w:val="22"/>
        </w:rPr>
      </w:pPr>
      <w:r w:rsidRPr="00D928C5">
        <w:rPr>
          <w:rFonts w:ascii="Arial" w:hAnsi="Arial"/>
          <w:b/>
          <w:i/>
          <w:sz w:val="22"/>
          <w:szCs w:val="22"/>
        </w:rPr>
        <w:t>Estimated PBS usage &amp; financial implications</w:t>
      </w:r>
    </w:p>
    <w:p w:rsidR="005A3173" w:rsidRPr="00D928C5" w:rsidRDefault="005A3173" w:rsidP="00882085">
      <w:pPr>
        <w:ind w:left="720" w:hanging="720"/>
        <w:jc w:val="both"/>
        <w:rPr>
          <w:rFonts w:ascii="Arial" w:hAnsi="Arial"/>
          <w:b/>
          <w:i/>
          <w:sz w:val="22"/>
          <w:szCs w:val="22"/>
        </w:rPr>
      </w:pPr>
    </w:p>
    <w:p w:rsidR="00C838FE" w:rsidRPr="00D928C5" w:rsidRDefault="00223378" w:rsidP="00B1320F">
      <w:pPr>
        <w:pStyle w:val="ListParagraph"/>
        <w:numPr>
          <w:ilvl w:val="1"/>
          <w:numId w:val="2"/>
        </w:numPr>
        <w:jc w:val="both"/>
        <w:rPr>
          <w:rFonts w:ascii="Arial" w:hAnsi="Arial"/>
          <w:sz w:val="22"/>
          <w:szCs w:val="22"/>
        </w:rPr>
      </w:pPr>
      <w:r w:rsidRPr="00D928C5">
        <w:rPr>
          <w:rFonts w:ascii="Arial" w:hAnsi="Arial"/>
          <w:sz w:val="22"/>
          <w:szCs w:val="22"/>
        </w:rPr>
        <w:t>The re-submission provided an update of the f</w:t>
      </w:r>
      <w:r w:rsidR="00C838FE" w:rsidRPr="00D928C5">
        <w:rPr>
          <w:rFonts w:ascii="Arial" w:hAnsi="Arial"/>
          <w:sz w:val="22"/>
          <w:szCs w:val="22"/>
        </w:rPr>
        <w:t>inancial implications associated with the proposed listing</w:t>
      </w:r>
      <w:r w:rsidR="00FF48E2" w:rsidRPr="00D928C5">
        <w:rPr>
          <w:rFonts w:ascii="Arial" w:hAnsi="Arial"/>
          <w:sz w:val="22"/>
          <w:szCs w:val="22"/>
        </w:rPr>
        <w:t xml:space="preserve"> of</w:t>
      </w:r>
      <w:r w:rsidR="00C838FE" w:rsidRPr="00D928C5">
        <w:rPr>
          <w:rFonts w:ascii="Arial" w:hAnsi="Arial"/>
          <w:sz w:val="22"/>
          <w:szCs w:val="22"/>
        </w:rPr>
        <w:t xml:space="preserve"> ribavirin</w:t>
      </w:r>
      <w:r w:rsidR="00982738" w:rsidRPr="00D928C5">
        <w:rPr>
          <w:rFonts w:ascii="Arial" w:hAnsi="Arial"/>
          <w:sz w:val="22"/>
          <w:szCs w:val="22"/>
        </w:rPr>
        <w:t>.</w:t>
      </w:r>
    </w:p>
    <w:p w:rsidR="00223378" w:rsidRPr="00D928C5" w:rsidRDefault="00223378" w:rsidP="00223378">
      <w:pPr>
        <w:pStyle w:val="ListParagraph"/>
        <w:jc w:val="both"/>
        <w:rPr>
          <w:rFonts w:ascii="Arial" w:hAnsi="Arial"/>
          <w:sz w:val="22"/>
          <w:szCs w:val="22"/>
        </w:rPr>
      </w:pPr>
    </w:p>
    <w:p w:rsidR="00842119" w:rsidRPr="00D928C5" w:rsidRDefault="00842119" w:rsidP="00B1320F">
      <w:pPr>
        <w:pStyle w:val="ListParagraph"/>
        <w:numPr>
          <w:ilvl w:val="1"/>
          <w:numId w:val="2"/>
        </w:numPr>
        <w:jc w:val="both"/>
        <w:rPr>
          <w:rFonts w:ascii="Arial" w:hAnsi="Arial"/>
          <w:sz w:val="22"/>
          <w:szCs w:val="22"/>
        </w:rPr>
      </w:pPr>
      <w:r w:rsidRPr="00D928C5">
        <w:rPr>
          <w:rFonts w:ascii="Arial" w:hAnsi="Arial"/>
          <w:sz w:val="22"/>
          <w:szCs w:val="22"/>
        </w:rPr>
        <w:t xml:space="preserve">The re-submission’s approach </w:t>
      </w:r>
      <w:r w:rsidR="00D6274B" w:rsidRPr="00D928C5">
        <w:rPr>
          <w:rFonts w:ascii="Arial" w:hAnsi="Arial"/>
          <w:sz w:val="22"/>
          <w:szCs w:val="22"/>
        </w:rPr>
        <w:t>to</w:t>
      </w:r>
      <w:r w:rsidRPr="00D928C5">
        <w:rPr>
          <w:rFonts w:ascii="Arial" w:hAnsi="Arial"/>
          <w:sz w:val="22"/>
          <w:szCs w:val="22"/>
        </w:rPr>
        <w:t xml:space="preserve"> </w:t>
      </w:r>
      <w:r w:rsidR="00D6274B" w:rsidRPr="00D928C5">
        <w:rPr>
          <w:rFonts w:ascii="Arial" w:hAnsi="Arial"/>
          <w:sz w:val="22"/>
          <w:szCs w:val="22"/>
        </w:rPr>
        <w:t>estimating</w:t>
      </w:r>
      <w:r w:rsidRPr="00D928C5">
        <w:rPr>
          <w:rFonts w:ascii="Arial" w:hAnsi="Arial"/>
          <w:sz w:val="22"/>
          <w:szCs w:val="22"/>
        </w:rPr>
        <w:t xml:space="preserve"> the extent of use of ribavirin was largely consistent with that in the March 2015 submission, with some assumptions revised:</w:t>
      </w:r>
    </w:p>
    <w:p w:rsidR="00842119" w:rsidRPr="00D928C5" w:rsidRDefault="00842119" w:rsidP="00842119">
      <w:pPr>
        <w:pStyle w:val="ListParagraph"/>
        <w:rPr>
          <w:rFonts w:ascii="Arial" w:hAnsi="Arial"/>
          <w:sz w:val="22"/>
          <w:szCs w:val="22"/>
        </w:rPr>
      </w:pPr>
    </w:p>
    <w:p w:rsidR="00842119" w:rsidRPr="00D928C5" w:rsidRDefault="00842119" w:rsidP="00B1320F">
      <w:pPr>
        <w:pStyle w:val="ListParagraph"/>
        <w:numPr>
          <w:ilvl w:val="1"/>
          <w:numId w:val="7"/>
        </w:numPr>
        <w:ind w:left="1276" w:hanging="567"/>
        <w:jc w:val="both"/>
        <w:rPr>
          <w:rFonts w:ascii="Arial" w:hAnsi="Arial"/>
          <w:sz w:val="22"/>
          <w:szCs w:val="22"/>
        </w:rPr>
      </w:pPr>
      <w:r w:rsidRPr="00D928C5">
        <w:rPr>
          <w:rFonts w:ascii="Arial" w:hAnsi="Arial"/>
          <w:sz w:val="22"/>
          <w:szCs w:val="22"/>
        </w:rPr>
        <w:t xml:space="preserve">The re-submission </w:t>
      </w:r>
      <w:r w:rsidR="00097616" w:rsidRPr="00D928C5">
        <w:rPr>
          <w:rFonts w:ascii="Arial" w:hAnsi="Arial"/>
          <w:sz w:val="22"/>
          <w:szCs w:val="22"/>
        </w:rPr>
        <w:t xml:space="preserve">used the DUSC’s estimate of </w:t>
      </w:r>
      <w:r w:rsidRPr="00D928C5">
        <w:rPr>
          <w:rFonts w:ascii="Arial" w:hAnsi="Arial"/>
          <w:sz w:val="22"/>
          <w:szCs w:val="22"/>
        </w:rPr>
        <w:t xml:space="preserve">the number of CHC patients (all genotypes) likely to receive </w:t>
      </w:r>
      <w:r w:rsidR="00097616" w:rsidRPr="00D928C5">
        <w:rPr>
          <w:rFonts w:ascii="Arial" w:hAnsi="Arial"/>
          <w:sz w:val="22"/>
          <w:szCs w:val="22"/>
        </w:rPr>
        <w:t xml:space="preserve">interferon-free therapies: </w:t>
      </w:r>
      <w:r w:rsidRPr="00D928C5">
        <w:rPr>
          <w:rFonts w:ascii="Arial" w:hAnsi="Arial"/>
          <w:sz w:val="22"/>
          <w:szCs w:val="22"/>
        </w:rPr>
        <w:t>6,600 in Year 1</w:t>
      </w:r>
      <w:r w:rsidR="00097616" w:rsidRPr="00D928C5">
        <w:rPr>
          <w:rFonts w:ascii="Arial" w:hAnsi="Arial"/>
          <w:sz w:val="22"/>
          <w:szCs w:val="22"/>
        </w:rPr>
        <w:t xml:space="preserve"> of listing</w:t>
      </w:r>
      <w:r w:rsidRPr="00D928C5">
        <w:rPr>
          <w:rFonts w:ascii="Arial" w:hAnsi="Arial"/>
          <w:sz w:val="22"/>
          <w:szCs w:val="22"/>
        </w:rPr>
        <w:t xml:space="preserve">, </w:t>
      </w:r>
      <w:r w:rsidR="00097616" w:rsidRPr="00D928C5">
        <w:rPr>
          <w:rFonts w:ascii="Arial" w:hAnsi="Arial"/>
          <w:sz w:val="22"/>
          <w:szCs w:val="22"/>
        </w:rPr>
        <w:t xml:space="preserve">increasing to and remaining </w:t>
      </w:r>
      <w:r w:rsidR="00AB60F1" w:rsidRPr="00D928C5">
        <w:rPr>
          <w:rFonts w:ascii="Arial" w:hAnsi="Arial"/>
          <w:sz w:val="22"/>
          <w:szCs w:val="22"/>
        </w:rPr>
        <w:t xml:space="preserve">15,000 </w:t>
      </w:r>
      <w:r w:rsidR="00A23AC0" w:rsidRPr="00D928C5">
        <w:rPr>
          <w:rFonts w:ascii="Arial" w:hAnsi="Arial"/>
          <w:sz w:val="22"/>
          <w:szCs w:val="22"/>
        </w:rPr>
        <w:t xml:space="preserve">per year </w:t>
      </w:r>
      <w:r w:rsidR="00097616" w:rsidRPr="00D928C5">
        <w:rPr>
          <w:rFonts w:ascii="Arial" w:hAnsi="Arial"/>
          <w:sz w:val="22"/>
          <w:szCs w:val="22"/>
        </w:rPr>
        <w:t xml:space="preserve">from Year 3 </w:t>
      </w:r>
      <w:r w:rsidRPr="00D928C5">
        <w:rPr>
          <w:rFonts w:ascii="Arial" w:hAnsi="Arial"/>
          <w:sz w:val="22"/>
          <w:szCs w:val="22"/>
        </w:rPr>
        <w:t>(Paragraph 6.14,</w:t>
      </w:r>
      <w:r w:rsidRPr="00D928C5">
        <w:t xml:space="preserve"> </w:t>
      </w:r>
      <w:r w:rsidRPr="00D928C5">
        <w:rPr>
          <w:rFonts w:ascii="Arial" w:hAnsi="Arial"/>
          <w:sz w:val="22"/>
          <w:szCs w:val="22"/>
        </w:rPr>
        <w:t xml:space="preserve">Item 5.21 Ribavirin, </w:t>
      </w:r>
      <w:r w:rsidR="00681699">
        <w:rPr>
          <w:rFonts w:ascii="Arial" w:hAnsi="Arial"/>
          <w:sz w:val="22"/>
          <w:szCs w:val="22"/>
        </w:rPr>
        <w:t>Public Summary Document</w:t>
      </w:r>
      <w:r w:rsidRPr="00D928C5">
        <w:rPr>
          <w:rFonts w:ascii="Arial" w:hAnsi="Arial"/>
          <w:sz w:val="22"/>
          <w:szCs w:val="22"/>
        </w:rPr>
        <w:t>, March 2015 PBAC meeting);</w:t>
      </w:r>
    </w:p>
    <w:p w:rsidR="00842119" w:rsidRPr="00D928C5" w:rsidRDefault="00AB60F1" w:rsidP="00B1320F">
      <w:pPr>
        <w:pStyle w:val="ListParagraph"/>
        <w:numPr>
          <w:ilvl w:val="1"/>
          <w:numId w:val="7"/>
        </w:numPr>
        <w:ind w:left="1276" w:hanging="567"/>
        <w:jc w:val="both"/>
        <w:rPr>
          <w:rFonts w:ascii="Arial" w:hAnsi="Arial"/>
          <w:sz w:val="22"/>
          <w:szCs w:val="22"/>
        </w:rPr>
      </w:pPr>
      <w:r w:rsidRPr="00D928C5">
        <w:rPr>
          <w:rFonts w:ascii="Arial" w:hAnsi="Arial"/>
          <w:sz w:val="22"/>
          <w:szCs w:val="22"/>
        </w:rPr>
        <w:t xml:space="preserve">The genotype distribution in the treated </w:t>
      </w:r>
      <w:r w:rsidR="007B2E5F" w:rsidRPr="00D928C5">
        <w:rPr>
          <w:rFonts w:ascii="Arial" w:hAnsi="Arial"/>
          <w:sz w:val="22"/>
          <w:szCs w:val="22"/>
        </w:rPr>
        <w:t xml:space="preserve">Australian </w:t>
      </w:r>
      <w:r w:rsidRPr="00D928C5">
        <w:rPr>
          <w:rFonts w:ascii="Arial" w:hAnsi="Arial"/>
          <w:sz w:val="22"/>
          <w:szCs w:val="22"/>
        </w:rPr>
        <w:t xml:space="preserve">CHC population was sourced from Bruggmann </w:t>
      </w:r>
      <w:r w:rsidRPr="00D928C5">
        <w:rPr>
          <w:rFonts w:ascii="Arial" w:hAnsi="Arial"/>
          <w:i/>
          <w:sz w:val="22"/>
          <w:szCs w:val="22"/>
        </w:rPr>
        <w:t xml:space="preserve">et al </w:t>
      </w:r>
      <w:r w:rsidRPr="00D928C5">
        <w:rPr>
          <w:rFonts w:ascii="Arial" w:hAnsi="Arial"/>
          <w:sz w:val="22"/>
          <w:szCs w:val="22"/>
        </w:rPr>
        <w:t>2014</w:t>
      </w:r>
      <w:r w:rsidR="006529E0" w:rsidRPr="00D928C5">
        <w:rPr>
          <w:rFonts w:ascii="Arial" w:hAnsi="Arial"/>
          <w:noProof/>
          <w:sz w:val="22"/>
          <w:szCs w:val="22"/>
          <w:vertAlign w:val="superscript"/>
        </w:rPr>
        <w:t>3</w:t>
      </w:r>
      <w:r w:rsidRPr="00D928C5">
        <w:rPr>
          <w:rFonts w:ascii="Arial" w:hAnsi="Arial"/>
          <w:sz w:val="22"/>
          <w:szCs w:val="22"/>
        </w:rPr>
        <w:t xml:space="preserve"> as per PBAC advice</w:t>
      </w:r>
      <w:r w:rsidR="00200161" w:rsidRPr="00D928C5">
        <w:rPr>
          <w:rFonts w:ascii="Arial" w:hAnsi="Arial"/>
          <w:sz w:val="22"/>
          <w:szCs w:val="22"/>
        </w:rPr>
        <w:t xml:space="preserve"> (Paragraph 6.1</w:t>
      </w:r>
      <w:r w:rsidR="007B2E5F" w:rsidRPr="00D928C5">
        <w:rPr>
          <w:rFonts w:ascii="Arial" w:hAnsi="Arial"/>
          <w:sz w:val="22"/>
          <w:szCs w:val="22"/>
        </w:rPr>
        <w:t>2</w:t>
      </w:r>
      <w:r w:rsidR="00200161" w:rsidRPr="00D928C5">
        <w:rPr>
          <w:rFonts w:ascii="Arial" w:hAnsi="Arial"/>
          <w:sz w:val="22"/>
          <w:szCs w:val="22"/>
        </w:rPr>
        <w:t>,</w:t>
      </w:r>
      <w:r w:rsidR="00200161" w:rsidRPr="00D928C5">
        <w:t xml:space="preserve"> </w:t>
      </w:r>
      <w:r w:rsidR="003E2A6B">
        <w:rPr>
          <w:rFonts w:ascii="Arial" w:hAnsi="Arial"/>
          <w:sz w:val="22"/>
          <w:szCs w:val="22"/>
        </w:rPr>
        <w:t>Item 5.21 Ribavirin,</w:t>
      </w:r>
      <w:r w:rsidR="00F81686">
        <w:rPr>
          <w:rFonts w:ascii="Arial" w:hAnsi="Arial"/>
          <w:sz w:val="22"/>
          <w:szCs w:val="22"/>
        </w:rPr>
        <w:t xml:space="preserve"> Public Summary Document</w:t>
      </w:r>
      <w:r w:rsidR="00200161" w:rsidRPr="00D928C5">
        <w:rPr>
          <w:rFonts w:ascii="Arial" w:hAnsi="Arial"/>
          <w:sz w:val="22"/>
          <w:szCs w:val="22"/>
        </w:rPr>
        <w:t>, March 2015 PBAC meeting)</w:t>
      </w:r>
      <w:r w:rsidRPr="00D928C5">
        <w:rPr>
          <w:rFonts w:ascii="Arial" w:hAnsi="Arial"/>
          <w:sz w:val="22"/>
          <w:szCs w:val="22"/>
        </w:rPr>
        <w:t>;</w:t>
      </w:r>
    </w:p>
    <w:p w:rsidR="00842119" w:rsidRPr="00D928C5" w:rsidRDefault="00AB60F1" w:rsidP="00B1320F">
      <w:pPr>
        <w:pStyle w:val="ListParagraph"/>
        <w:numPr>
          <w:ilvl w:val="1"/>
          <w:numId w:val="7"/>
        </w:numPr>
        <w:ind w:left="1276" w:hanging="567"/>
        <w:jc w:val="both"/>
        <w:rPr>
          <w:rFonts w:ascii="Arial" w:hAnsi="Arial"/>
          <w:sz w:val="22"/>
          <w:szCs w:val="22"/>
        </w:rPr>
      </w:pPr>
      <w:r w:rsidRPr="00D928C5">
        <w:rPr>
          <w:rFonts w:ascii="Arial" w:hAnsi="Arial"/>
          <w:sz w:val="22"/>
          <w:szCs w:val="22"/>
        </w:rPr>
        <w:t>The proportion of patients with genotype 3 HCV seeking an interferon-free treatment of SOF+R was estimated to be 66.</w:t>
      </w:r>
      <w:r w:rsidR="008A7B99" w:rsidRPr="00D928C5">
        <w:rPr>
          <w:rFonts w:ascii="Arial" w:hAnsi="Arial"/>
          <w:sz w:val="22"/>
          <w:szCs w:val="22"/>
        </w:rPr>
        <w:t>7</w:t>
      </w:r>
      <w:r w:rsidRPr="00D928C5">
        <w:rPr>
          <w:rFonts w:ascii="Arial" w:hAnsi="Arial"/>
          <w:sz w:val="22"/>
          <w:szCs w:val="22"/>
        </w:rPr>
        <w:t xml:space="preserve">% </w:t>
      </w:r>
      <w:r w:rsidR="00200161" w:rsidRPr="00D928C5">
        <w:rPr>
          <w:rFonts w:ascii="Arial" w:hAnsi="Arial"/>
          <w:sz w:val="22"/>
          <w:szCs w:val="22"/>
        </w:rPr>
        <w:t>(the remaining 33.</w:t>
      </w:r>
      <w:r w:rsidR="008A7B99" w:rsidRPr="00D928C5">
        <w:rPr>
          <w:rFonts w:ascii="Arial" w:hAnsi="Arial"/>
          <w:sz w:val="22"/>
          <w:szCs w:val="22"/>
        </w:rPr>
        <w:t>3</w:t>
      </w:r>
      <w:r w:rsidR="00200161" w:rsidRPr="00D928C5">
        <w:rPr>
          <w:rFonts w:ascii="Arial" w:hAnsi="Arial"/>
          <w:sz w:val="22"/>
          <w:szCs w:val="22"/>
        </w:rPr>
        <w:t xml:space="preserve">% receiving interferon-containing regimen of </w:t>
      </w:r>
      <w:r w:rsidR="00C25927" w:rsidRPr="00D928C5">
        <w:rPr>
          <w:rFonts w:ascii="Arial" w:hAnsi="Arial"/>
          <w:sz w:val="22"/>
          <w:szCs w:val="22"/>
        </w:rPr>
        <w:t>SOF</w:t>
      </w:r>
      <w:r w:rsidR="00200161" w:rsidRPr="00D928C5">
        <w:rPr>
          <w:rFonts w:ascii="Arial" w:hAnsi="Arial"/>
          <w:sz w:val="22"/>
          <w:szCs w:val="22"/>
        </w:rPr>
        <w:t>+</w:t>
      </w:r>
      <w:r w:rsidR="005D7EE7" w:rsidRPr="00D928C5">
        <w:rPr>
          <w:rFonts w:ascii="Arial" w:hAnsi="Arial"/>
          <w:sz w:val="22"/>
          <w:szCs w:val="22"/>
        </w:rPr>
        <w:t>PR</w:t>
      </w:r>
      <w:r w:rsidR="00200161" w:rsidRPr="00D928C5">
        <w:rPr>
          <w:rFonts w:ascii="Arial" w:hAnsi="Arial"/>
          <w:sz w:val="22"/>
          <w:szCs w:val="22"/>
        </w:rPr>
        <w:t xml:space="preserve">) </w:t>
      </w:r>
      <w:r w:rsidRPr="00D928C5">
        <w:rPr>
          <w:rFonts w:ascii="Arial" w:hAnsi="Arial"/>
          <w:sz w:val="22"/>
          <w:szCs w:val="22"/>
        </w:rPr>
        <w:t xml:space="preserve">in the </w:t>
      </w:r>
      <w:r w:rsidR="00200161" w:rsidRPr="00D928C5">
        <w:rPr>
          <w:rFonts w:ascii="Arial" w:hAnsi="Arial"/>
          <w:sz w:val="22"/>
          <w:szCs w:val="22"/>
        </w:rPr>
        <w:t xml:space="preserve">previous March 2015 </w:t>
      </w:r>
      <w:r w:rsidRPr="00D928C5">
        <w:rPr>
          <w:rFonts w:ascii="Arial" w:hAnsi="Arial"/>
          <w:sz w:val="22"/>
          <w:szCs w:val="22"/>
        </w:rPr>
        <w:t>submission. Th</w:t>
      </w:r>
      <w:r w:rsidR="00200161" w:rsidRPr="00D928C5">
        <w:rPr>
          <w:rFonts w:ascii="Arial" w:hAnsi="Arial"/>
          <w:sz w:val="22"/>
          <w:szCs w:val="22"/>
        </w:rPr>
        <w:t xml:space="preserve">e PBAC considered this an </w:t>
      </w:r>
      <w:r w:rsidRPr="00D928C5">
        <w:rPr>
          <w:rFonts w:ascii="Arial" w:hAnsi="Arial"/>
          <w:sz w:val="22"/>
          <w:szCs w:val="22"/>
        </w:rPr>
        <w:t>underestimate in the context of known patient preferences for an interferon</w:t>
      </w:r>
      <w:r w:rsidR="007B2E5F" w:rsidRPr="00D928C5">
        <w:rPr>
          <w:rFonts w:ascii="Arial" w:hAnsi="Arial"/>
          <w:sz w:val="22"/>
          <w:szCs w:val="22"/>
        </w:rPr>
        <w:t>-</w:t>
      </w:r>
      <w:r w:rsidRPr="00D928C5">
        <w:rPr>
          <w:rFonts w:ascii="Arial" w:hAnsi="Arial"/>
          <w:sz w:val="22"/>
          <w:szCs w:val="22"/>
        </w:rPr>
        <w:t>free regimen</w:t>
      </w:r>
      <w:r w:rsidR="00200161" w:rsidRPr="00D928C5">
        <w:rPr>
          <w:rFonts w:ascii="Arial" w:hAnsi="Arial"/>
          <w:sz w:val="22"/>
          <w:szCs w:val="22"/>
        </w:rPr>
        <w:t xml:space="preserve"> (Paragraph 6.11,</w:t>
      </w:r>
      <w:r w:rsidR="00200161" w:rsidRPr="00D928C5">
        <w:t xml:space="preserve"> </w:t>
      </w:r>
      <w:r w:rsidR="00200161" w:rsidRPr="00D928C5">
        <w:rPr>
          <w:rFonts w:ascii="Arial" w:hAnsi="Arial"/>
          <w:sz w:val="22"/>
          <w:szCs w:val="22"/>
        </w:rPr>
        <w:t xml:space="preserve">Item 5.21 Ribavirin, </w:t>
      </w:r>
      <w:r w:rsidR="00F81686">
        <w:rPr>
          <w:rFonts w:ascii="Arial" w:hAnsi="Arial"/>
          <w:sz w:val="22"/>
          <w:szCs w:val="22"/>
        </w:rPr>
        <w:t>Public Summary Document</w:t>
      </w:r>
      <w:r w:rsidR="00200161" w:rsidRPr="00D928C5">
        <w:rPr>
          <w:rFonts w:ascii="Arial" w:hAnsi="Arial"/>
          <w:sz w:val="22"/>
          <w:szCs w:val="22"/>
        </w:rPr>
        <w:t>, March 2015 PBAC meeting)</w:t>
      </w:r>
      <w:r w:rsidRPr="00D928C5">
        <w:rPr>
          <w:rFonts w:ascii="Arial" w:hAnsi="Arial"/>
          <w:sz w:val="22"/>
          <w:szCs w:val="22"/>
        </w:rPr>
        <w:t xml:space="preserve">. </w:t>
      </w:r>
      <w:r w:rsidR="00200161" w:rsidRPr="00D928C5">
        <w:rPr>
          <w:rFonts w:ascii="Arial" w:hAnsi="Arial"/>
          <w:sz w:val="22"/>
          <w:szCs w:val="22"/>
        </w:rPr>
        <w:t>Th</w:t>
      </w:r>
      <w:r w:rsidR="007B2E5F" w:rsidRPr="00D928C5">
        <w:rPr>
          <w:rFonts w:ascii="Arial" w:hAnsi="Arial"/>
          <w:sz w:val="22"/>
          <w:szCs w:val="22"/>
        </w:rPr>
        <w:t>e</w:t>
      </w:r>
      <w:r w:rsidR="00200161" w:rsidRPr="00D928C5">
        <w:rPr>
          <w:rFonts w:ascii="Arial" w:hAnsi="Arial"/>
          <w:sz w:val="22"/>
          <w:szCs w:val="22"/>
        </w:rPr>
        <w:t xml:space="preserve"> minor re-submission assumed a 100% </w:t>
      </w:r>
      <w:r w:rsidRPr="00D928C5">
        <w:rPr>
          <w:rFonts w:ascii="Arial" w:hAnsi="Arial"/>
          <w:sz w:val="22"/>
          <w:szCs w:val="22"/>
        </w:rPr>
        <w:t>of genotype 3 HCV patients will seek the interferon-free regimen o</w:t>
      </w:r>
      <w:r w:rsidR="00200161" w:rsidRPr="00D928C5">
        <w:rPr>
          <w:rFonts w:ascii="Arial" w:hAnsi="Arial"/>
          <w:sz w:val="22"/>
          <w:szCs w:val="22"/>
        </w:rPr>
        <w:t>f SOF+R</w:t>
      </w:r>
      <w:r w:rsidR="00B458CC" w:rsidRPr="00D928C5">
        <w:rPr>
          <w:rFonts w:ascii="Arial" w:hAnsi="Arial"/>
          <w:sz w:val="22"/>
          <w:szCs w:val="22"/>
        </w:rPr>
        <w:t>;</w:t>
      </w:r>
      <w:r w:rsidR="008A7B99" w:rsidRPr="00D928C5">
        <w:rPr>
          <w:rFonts w:ascii="Arial" w:hAnsi="Arial"/>
          <w:sz w:val="22"/>
          <w:szCs w:val="22"/>
        </w:rPr>
        <w:t xml:space="preserve"> and</w:t>
      </w:r>
    </w:p>
    <w:p w:rsidR="00B458CC" w:rsidRPr="00D928C5" w:rsidRDefault="008A7B99" w:rsidP="00B1320F">
      <w:pPr>
        <w:pStyle w:val="ListParagraph"/>
        <w:numPr>
          <w:ilvl w:val="1"/>
          <w:numId w:val="7"/>
        </w:numPr>
        <w:ind w:left="1276" w:hanging="567"/>
        <w:jc w:val="both"/>
        <w:rPr>
          <w:rFonts w:ascii="Arial" w:hAnsi="Arial"/>
          <w:sz w:val="22"/>
          <w:szCs w:val="22"/>
        </w:rPr>
      </w:pPr>
      <w:r w:rsidRPr="00D928C5">
        <w:rPr>
          <w:rFonts w:ascii="Arial" w:hAnsi="Arial"/>
          <w:sz w:val="22"/>
          <w:szCs w:val="22"/>
        </w:rPr>
        <w:t xml:space="preserve">The re-submission assumed a higher percentage of patients weighing </w:t>
      </w:r>
      <w:r w:rsidRPr="00D928C5">
        <w:rPr>
          <w:rFonts w:ascii="Arial" w:hAnsi="Arial" w:cs="Arial"/>
          <w:sz w:val="22"/>
          <w:szCs w:val="22"/>
        </w:rPr>
        <w:t>≥</w:t>
      </w:r>
      <w:r w:rsidRPr="00D928C5">
        <w:rPr>
          <w:rFonts w:ascii="Arial" w:hAnsi="Arial"/>
          <w:sz w:val="22"/>
          <w:szCs w:val="22"/>
        </w:rPr>
        <w:t xml:space="preserve">75kg than that estimated in the previous submission (50% </w:t>
      </w:r>
      <w:r w:rsidRPr="00D928C5">
        <w:rPr>
          <w:rFonts w:ascii="Arial" w:hAnsi="Arial"/>
          <w:i/>
          <w:sz w:val="22"/>
          <w:szCs w:val="22"/>
        </w:rPr>
        <w:t xml:space="preserve">vs </w:t>
      </w:r>
      <w:r w:rsidRPr="00D928C5">
        <w:rPr>
          <w:rFonts w:ascii="Arial" w:hAnsi="Arial"/>
          <w:sz w:val="22"/>
          <w:szCs w:val="22"/>
        </w:rPr>
        <w:t xml:space="preserve">33%). This is consistent with the </w:t>
      </w:r>
      <w:r w:rsidR="00AE1CC3" w:rsidRPr="00D928C5">
        <w:rPr>
          <w:rFonts w:ascii="Arial" w:hAnsi="Arial"/>
          <w:sz w:val="22"/>
          <w:szCs w:val="22"/>
        </w:rPr>
        <w:t xml:space="preserve">Commentary </w:t>
      </w:r>
      <w:r w:rsidRPr="00D928C5">
        <w:rPr>
          <w:rFonts w:ascii="Arial" w:hAnsi="Arial"/>
          <w:sz w:val="22"/>
          <w:szCs w:val="22"/>
        </w:rPr>
        <w:t xml:space="preserve">on the previous submission </w:t>
      </w:r>
      <w:r w:rsidR="00DB4A00" w:rsidRPr="00D928C5">
        <w:rPr>
          <w:rFonts w:ascii="Arial" w:hAnsi="Arial"/>
          <w:sz w:val="22"/>
          <w:szCs w:val="22"/>
        </w:rPr>
        <w:t>(5.21.COM.26)</w:t>
      </w:r>
      <w:r w:rsidRPr="00D928C5">
        <w:rPr>
          <w:rFonts w:ascii="Arial" w:hAnsi="Arial"/>
          <w:sz w:val="22"/>
          <w:szCs w:val="22"/>
        </w:rPr>
        <w:t xml:space="preserve">. </w:t>
      </w:r>
    </w:p>
    <w:p w:rsidR="008A7B99" w:rsidRPr="00D928C5" w:rsidRDefault="008A7B99" w:rsidP="008A7B99">
      <w:pPr>
        <w:pStyle w:val="ListParagraph"/>
        <w:ind w:left="1276"/>
        <w:jc w:val="both"/>
        <w:rPr>
          <w:rFonts w:ascii="Arial" w:hAnsi="Arial"/>
          <w:sz w:val="22"/>
          <w:szCs w:val="22"/>
        </w:rPr>
      </w:pPr>
    </w:p>
    <w:p w:rsidR="00A6054C" w:rsidRPr="00D928C5" w:rsidRDefault="0017049F" w:rsidP="00A6054C">
      <w:pPr>
        <w:pStyle w:val="ListParagraph"/>
        <w:numPr>
          <w:ilvl w:val="1"/>
          <w:numId w:val="2"/>
        </w:numPr>
        <w:jc w:val="both"/>
        <w:rPr>
          <w:rFonts w:ascii="Arial" w:hAnsi="Arial"/>
          <w:sz w:val="22"/>
          <w:szCs w:val="22"/>
        </w:rPr>
      </w:pPr>
      <w:r>
        <w:rPr>
          <w:rFonts w:ascii="Arial" w:hAnsi="Arial"/>
          <w:sz w:val="22"/>
          <w:szCs w:val="22"/>
        </w:rPr>
        <w:t>The redacted table below shows that t</w:t>
      </w:r>
      <w:r w:rsidR="00A6054C" w:rsidRPr="00D928C5">
        <w:rPr>
          <w:rFonts w:ascii="Arial" w:hAnsi="Arial"/>
          <w:sz w:val="22"/>
          <w:szCs w:val="22"/>
        </w:rPr>
        <w:t xml:space="preserve">he number of patients likely to receive ribavirin was estimated to be </w:t>
      </w:r>
      <w:r w:rsidR="00A6054C">
        <w:rPr>
          <w:rFonts w:ascii="Arial" w:hAnsi="Arial"/>
          <w:sz w:val="22"/>
          <w:szCs w:val="22"/>
        </w:rPr>
        <w:t xml:space="preserve">10,000 – 50,000 </w:t>
      </w:r>
      <w:r w:rsidR="00A6054C" w:rsidRPr="00D928C5">
        <w:rPr>
          <w:rFonts w:ascii="Arial" w:hAnsi="Arial"/>
          <w:sz w:val="22"/>
          <w:szCs w:val="22"/>
        </w:rPr>
        <w:t xml:space="preserve">over the first 5 years of listing. The minor re-submission estimated a net cost to the PBS/RPBS of </w:t>
      </w:r>
      <w:r w:rsidR="00A6054C">
        <w:rPr>
          <w:rFonts w:ascii="Arial" w:hAnsi="Arial"/>
          <w:sz w:val="22"/>
          <w:szCs w:val="22"/>
        </w:rPr>
        <w:t>$10 – 20 million</w:t>
      </w:r>
      <w:r w:rsidR="00A6054C" w:rsidRPr="00D928C5">
        <w:rPr>
          <w:rFonts w:ascii="Arial" w:hAnsi="Arial"/>
          <w:sz w:val="22"/>
          <w:szCs w:val="22"/>
        </w:rPr>
        <w:t xml:space="preserve"> in Year 5 of listing, with a total net cost to the PBS of $</w:t>
      </w:r>
      <w:r w:rsidR="00A6054C">
        <w:rPr>
          <w:rFonts w:ascii="Arial" w:hAnsi="Arial"/>
          <w:sz w:val="22"/>
          <w:szCs w:val="22"/>
        </w:rPr>
        <w:t>60-$100 million</w:t>
      </w:r>
      <w:r w:rsidR="00A6054C" w:rsidRPr="00D928C5">
        <w:rPr>
          <w:rFonts w:ascii="Arial" w:hAnsi="Arial"/>
          <w:sz w:val="22"/>
          <w:szCs w:val="22"/>
        </w:rPr>
        <w:t xml:space="preserve"> over the first 5 years of listing. Of note: these estimates did not include the cost of co-administered sofosbuvir and the cost offset arising from the substitution of current active treatments (only in a small proportion of the target population).</w:t>
      </w:r>
    </w:p>
    <w:p w:rsidR="00AE09C8" w:rsidRPr="00D928C5" w:rsidRDefault="00AE09C8" w:rsidP="00AE09C8">
      <w:pPr>
        <w:pStyle w:val="ListParagraph"/>
        <w:rPr>
          <w:rFonts w:ascii="Arial" w:hAnsi="Arial"/>
          <w:sz w:val="22"/>
          <w:szCs w:val="22"/>
        </w:rPr>
      </w:pPr>
    </w:p>
    <w:p w:rsidR="00782135" w:rsidRPr="00D928C5" w:rsidRDefault="001F2359" w:rsidP="00AE09C8">
      <w:pPr>
        <w:pStyle w:val="ListParagraph"/>
        <w:rPr>
          <w:rFonts w:ascii="Arial Narrow" w:hAnsi="Arial Narrow"/>
          <w:b/>
          <w:sz w:val="20"/>
          <w:szCs w:val="20"/>
        </w:rPr>
      </w:pPr>
      <w:r w:rsidRPr="00D928C5">
        <w:rPr>
          <w:rFonts w:ascii="Arial Narrow" w:hAnsi="Arial Narrow"/>
          <w:b/>
          <w:sz w:val="20"/>
          <w:szCs w:val="20"/>
        </w:rPr>
        <w:t xml:space="preserve">Table </w:t>
      </w:r>
      <w:r w:rsidR="00B10579" w:rsidRPr="00D928C5">
        <w:rPr>
          <w:rFonts w:ascii="Arial Narrow" w:hAnsi="Arial Narrow"/>
          <w:b/>
          <w:sz w:val="20"/>
          <w:szCs w:val="20"/>
        </w:rPr>
        <w:t>4</w:t>
      </w:r>
      <w:r w:rsidRPr="00D928C5">
        <w:rPr>
          <w:rFonts w:ascii="Arial Narrow" w:hAnsi="Arial Narrow"/>
          <w:b/>
          <w:sz w:val="20"/>
          <w:szCs w:val="20"/>
        </w:rPr>
        <w:t xml:space="preserve">: </w:t>
      </w:r>
      <w:r w:rsidR="00782135" w:rsidRPr="00D928C5">
        <w:rPr>
          <w:rFonts w:ascii="Arial Narrow" w:hAnsi="Arial Narrow"/>
          <w:b/>
          <w:sz w:val="20"/>
          <w:szCs w:val="20"/>
        </w:rPr>
        <w:t>Estimated use and financial implications</w:t>
      </w:r>
    </w:p>
    <w:tbl>
      <w:tblPr>
        <w:tblStyle w:val="TableGrid"/>
        <w:tblW w:w="8505" w:type="dxa"/>
        <w:tblInd w:w="817" w:type="dxa"/>
        <w:shd w:val="clear" w:color="auto" w:fill="FFFFFF" w:themeFill="background1"/>
        <w:tblLayout w:type="fixed"/>
        <w:tblLook w:val="04A0" w:firstRow="1" w:lastRow="0" w:firstColumn="1" w:lastColumn="0" w:noHBand="0" w:noVBand="1"/>
        <w:tblCaption w:val="Table 4: Estimated use and financial implications"/>
        <w:tblDescription w:val="This redacted table summarises the estimated use and financial implications. "/>
      </w:tblPr>
      <w:tblGrid>
        <w:gridCol w:w="1843"/>
        <w:gridCol w:w="992"/>
        <w:gridCol w:w="1134"/>
        <w:gridCol w:w="1134"/>
        <w:gridCol w:w="1134"/>
        <w:gridCol w:w="1134"/>
        <w:gridCol w:w="1134"/>
      </w:tblGrid>
      <w:tr w:rsidR="00832389" w:rsidRPr="00D928C5" w:rsidTr="005E3A94">
        <w:trPr>
          <w:tblHeader/>
        </w:trPr>
        <w:tc>
          <w:tcPr>
            <w:tcW w:w="1843" w:type="dxa"/>
            <w:shd w:val="clear" w:color="auto" w:fill="FFFFFF" w:themeFill="background1"/>
            <w:noWrap/>
            <w:hideMark/>
          </w:tcPr>
          <w:p w:rsidR="00D40C9A" w:rsidRPr="00D928C5" w:rsidRDefault="00D40C9A" w:rsidP="00C265DB">
            <w:pPr>
              <w:pStyle w:val="Table"/>
              <w:rPr>
                <w:rFonts w:ascii="Arial Narrow" w:hAnsi="Arial Narrow"/>
                <w:b/>
                <w:szCs w:val="20"/>
              </w:rPr>
            </w:pPr>
          </w:p>
        </w:tc>
        <w:tc>
          <w:tcPr>
            <w:tcW w:w="992" w:type="dxa"/>
            <w:shd w:val="clear" w:color="auto" w:fill="FFFFFF" w:themeFill="background1"/>
            <w:noWrap/>
            <w:hideMark/>
          </w:tcPr>
          <w:p w:rsidR="00D40C9A" w:rsidRPr="00D928C5" w:rsidRDefault="00D40C9A" w:rsidP="00C265DB">
            <w:pPr>
              <w:pStyle w:val="TableCentre"/>
              <w:rPr>
                <w:rFonts w:ascii="Arial Narrow" w:hAnsi="Arial Narrow"/>
                <w:b/>
                <w:szCs w:val="20"/>
              </w:rPr>
            </w:pPr>
            <w:r w:rsidRPr="00D928C5">
              <w:rPr>
                <w:rFonts w:ascii="Arial Narrow" w:hAnsi="Arial Narrow"/>
                <w:b/>
                <w:szCs w:val="20"/>
              </w:rPr>
              <w:t>Year 1</w:t>
            </w:r>
          </w:p>
        </w:tc>
        <w:tc>
          <w:tcPr>
            <w:tcW w:w="1134" w:type="dxa"/>
            <w:shd w:val="clear" w:color="auto" w:fill="FFFFFF" w:themeFill="background1"/>
            <w:noWrap/>
            <w:hideMark/>
          </w:tcPr>
          <w:p w:rsidR="00D40C9A" w:rsidRPr="00D928C5" w:rsidRDefault="00D40C9A" w:rsidP="00C265DB">
            <w:pPr>
              <w:pStyle w:val="TableCentre"/>
              <w:rPr>
                <w:rFonts w:ascii="Arial Narrow" w:hAnsi="Arial Narrow"/>
                <w:b/>
                <w:szCs w:val="20"/>
              </w:rPr>
            </w:pPr>
            <w:r w:rsidRPr="00D928C5">
              <w:rPr>
                <w:rFonts w:ascii="Arial Narrow" w:hAnsi="Arial Narrow"/>
                <w:b/>
                <w:szCs w:val="20"/>
              </w:rPr>
              <w:t>Year 2</w:t>
            </w:r>
          </w:p>
        </w:tc>
        <w:tc>
          <w:tcPr>
            <w:tcW w:w="1134" w:type="dxa"/>
            <w:shd w:val="clear" w:color="auto" w:fill="FFFFFF" w:themeFill="background1"/>
            <w:noWrap/>
            <w:hideMark/>
          </w:tcPr>
          <w:p w:rsidR="00D40C9A" w:rsidRPr="00D928C5" w:rsidRDefault="00D40C9A" w:rsidP="00C265DB">
            <w:pPr>
              <w:pStyle w:val="TableCentre"/>
              <w:rPr>
                <w:rFonts w:ascii="Arial Narrow" w:hAnsi="Arial Narrow"/>
                <w:b/>
                <w:szCs w:val="20"/>
              </w:rPr>
            </w:pPr>
            <w:r w:rsidRPr="00D928C5">
              <w:rPr>
                <w:rFonts w:ascii="Arial Narrow" w:hAnsi="Arial Narrow"/>
                <w:b/>
                <w:szCs w:val="20"/>
              </w:rPr>
              <w:t>Year 3</w:t>
            </w:r>
          </w:p>
        </w:tc>
        <w:tc>
          <w:tcPr>
            <w:tcW w:w="1134" w:type="dxa"/>
            <w:shd w:val="clear" w:color="auto" w:fill="FFFFFF" w:themeFill="background1"/>
            <w:noWrap/>
            <w:hideMark/>
          </w:tcPr>
          <w:p w:rsidR="00D40C9A" w:rsidRPr="00D928C5" w:rsidRDefault="00D40C9A" w:rsidP="00C265DB">
            <w:pPr>
              <w:pStyle w:val="TableCentre"/>
              <w:rPr>
                <w:rFonts w:ascii="Arial Narrow" w:hAnsi="Arial Narrow"/>
                <w:b/>
                <w:szCs w:val="20"/>
              </w:rPr>
            </w:pPr>
            <w:r w:rsidRPr="00D928C5">
              <w:rPr>
                <w:rFonts w:ascii="Arial Narrow" w:hAnsi="Arial Narrow"/>
                <w:b/>
                <w:szCs w:val="20"/>
              </w:rPr>
              <w:t>Year 4</w:t>
            </w:r>
          </w:p>
        </w:tc>
        <w:tc>
          <w:tcPr>
            <w:tcW w:w="1134" w:type="dxa"/>
            <w:shd w:val="clear" w:color="auto" w:fill="FFFFFF" w:themeFill="background1"/>
            <w:noWrap/>
            <w:hideMark/>
          </w:tcPr>
          <w:p w:rsidR="00D40C9A" w:rsidRPr="00D928C5" w:rsidRDefault="00D40C9A" w:rsidP="00C265DB">
            <w:pPr>
              <w:pStyle w:val="TableCentre"/>
              <w:rPr>
                <w:rFonts w:ascii="Arial Narrow" w:hAnsi="Arial Narrow"/>
                <w:b/>
                <w:szCs w:val="20"/>
              </w:rPr>
            </w:pPr>
            <w:r w:rsidRPr="00D928C5">
              <w:rPr>
                <w:rFonts w:ascii="Arial Narrow" w:hAnsi="Arial Narrow"/>
                <w:b/>
                <w:szCs w:val="20"/>
              </w:rPr>
              <w:t>Year 5</w:t>
            </w:r>
          </w:p>
        </w:tc>
        <w:tc>
          <w:tcPr>
            <w:tcW w:w="1134" w:type="dxa"/>
            <w:shd w:val="clear" w:color="auto" w:fill="FFFFFF" w:themeFill="background1"/>
          </w:tcPr>
          <w:p w:rsidR="00D40C9A" w:rsidRPr="00D928C5" w:rsidRDefault="00D40C9A" w:rsidP="00642794">
            <w:pPr>
              <w:pStyle w:val="TableCentre"/>
              <w:ind w:left="-57" w:right="-57"/>
              <w:rPr>
                <w:rFonts w:ascii="Arial Narrow" w:hAnsi="Arial Narrow"/>
                <w:b/>
                <w:szCs w:val="20"/>
              </w:rPr>
            </w:pPr>
            <w:r w:rsidRPr="00D928C5">
              <w:rPr>
                <w:rFonts w:ascii="Arial Narrow" w:hAnsi="Arial Narrow"/>
                <w:b/>
                <w:szCs w:val="20"/>
              </w:rPr>
              <w:t>Over 5 years</w:t>
            </w:r>
          </w:p>
        </w:tc>
      </w:tr>
      <w:tr w:rsidR="00DF6257" w:rsidRPr="00D928C5" w:rsidTr="00787F06">
        <w:tc>
          <w:tcPr>
            <w:tcW w:w="8505" w:type="dxa"/>
            <w:gridSpan w:val="7"/>
            <w:shd w:val="clear" w:color="auto" w:fill="FFFFFF" w:themeFill="background1"/>
            <w:noWrap/>
          </w:tcPr>
          <w:p w:rsidR="00DF6257" w:rsidRPr="00D928C5" w:rsidRDefault="00DF6257" w:rsidP="00D40C9A">
            <w:pPr>
              <w:pStyle w:val="TableRight"/>
              <w:jc w:val="left"/>
              <w:rPr>
                <w:rFonts w:ascii="Arial Narrow" w:hAnsi="Arial Narrow"/>
                <w:b/>
                <w:szCs w:val="20"/>
              </w:rPr>
            </w:pPr>
            <w:r w:rsidRPr="00D928C5">
              <w:rPr>
                <w:rFonts w:ascii="Arial Narrow" w:hAnsi="Arial Narrow"/>
                <w:b/>
                <w:szCs w:val="20"/>
              </w:rPr>
              <w:t>Extent of use</w:t>
            </w:r>
          </w:p>
        </w:tc>
      </w:tr>
      <w:tr w:rsidR="00832389" w:rsidRPr="00D928C5" w:rsidTr="00642794">
        <w:tc>
          <w:tcPr>
            <w:tcW w:w="1843" w:type="dxa"/>
            <w:shd w:val="clear" w:color="auto" w:fill="FFFFFF" w:themeFill="background1"/>
            <w:noWrap/>
            <w:hideMark/>
          </w:tcPr>
          <w:p w:rsidR="00D40C9A" w:rsidRPr="00D928C5" w:rsidRDefault="00D40C9A" w:rsidP="00C265DB">
            <w:pPr>
              <w:pStyle w:val="Table"/>
              <w:rPr>
                <w:rFonts w:ascii="Arial Narrow" w:hAnsi="Arial Narrow"/>
                <w:szCs w:val="20"/>
              </w:rPr>
            </w:pPr>
            <w:r w:rsidRPr="00D928C5">
              <w:rPr>
                <w:rFonts w:ascii="Arial Narrow" w:hAnsi="Arial Narrow"/>
                <w:szCs w:val="20"/>
              </w:rPr>
              <w:t>Number treated</w:t>
            </w:r>
          </w:p>
        </w:tc>
        <w:tc>
          <w:tcPr>
            <w:tcW w:w="992" w:type="dxa"/>
            <w:shd w:val="clear" w:color="auto" w:fill="FFFFFF" w:themeFill="background1"/>
            <w:noWrap/>
          </w:tcPr>
          <w:p w:rsidR="00D40C9A" w:rsidRPr="00F53974" w:rsidRDefault="00F53974" w:rsidP="00832389">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34" w:type="dxa"/>
            <w:shd w:val="clear" w:color="auto" w:fill="FFFFFF" w:themeFill="background1"/>
            <w:noWrap/>
          </w:tcPr>
          <w:p w:rsidR="00D40C9A" w:rsidRPr="00F53974" w:rsidRDefault="00F53974" w:rsidP="00832389">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34" w:type="dxa"/>
            <w:shd w:val="clear" w:color="auto" w:fill="FFFFFF" w:themeFill="background1"/>
            <w:noWrap/>
          </w:tcPr>
          <w:p w:rsidR="00D40C9A" w:rsidRPr="00F53974" w:rsidRDefault="00F53974" w:rsidP="00832389">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34" w:type="dxa"/>
            <w:shd w:val="clear" w:color="auto" w:fill="FFFFFF" w:themeFill="background1"/>
            <w:noWrap/>
          </w:tcPr>
          <w:p w:rsidR="00D40C9A" w:rsidRPr="00F53974" w:rsidRDefault="00F53974" w:rsidP="00832389">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34" w:type="dxa"/>
            <w:shd w:val="clear" w:color="auto" w:fill="FFFFFF" w:themeFill="background1"/>
            <w:noWrap/>
          </w:tcPr>
          <w:p w:rsidR="00D40C9A" w:rsidRPr="00F53974" w:rsidRDefault="00F53974" w:rsidP="00832389">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34" w:type="dxa"/>
            <w:shd w:val="clear" w:color="auto" w:fill="FFFFFF" w:themeFill="background1"/>
          </w:tcPr>
          <w:p w:rsidR="00D40C9A" w:rsidRPr="00F53974" w:rsidRDefault="00F53974" w:rsidP="00832389">
            <w:pPr>
              <w:pStyle w:val="TableRight"/>
              <w:jc w:val="center"/>
              <w:rPr>
                <w:rFonts w:ascii="Arial Narrow" w:hAnsi="Arial Narrow"/>
                <w:szCs w:val="20"/>
                <w:highlight w:val="black"/>
              </w:rPr>
            </w:pPr>
            <w:r>
              <w:rPr>
                <w:rFonts w:ascii="Arial Narrow" w:hAnsi="Arial Narrow"/>
                <w:noProof/>
                <w:color w:val="000000"/>
                <w:szCs w:val="20"/>
                <w:highlight w:val="black"/>
              </w:rPr>
              <w:t>''''''''''''''''</w:t>
            </w:r>
          </w:p>
        </w:tc>
      </w:tr>
      <w:tr w:rsidR="00DB4A00" w:rsidRPr="00D928C5" w:rsidTr="00642794">
        <w:tc>
          <w:tcPr>
            <w:tcW w:w="1843" w:type="dxa"/>
            <w:shd w:val="clear" w:color="auto" w:fill="FFFFFF" w:themeFill="background1"/>
            <w:noWrap/>
            <w:hideMark/>
          </w:tcPr>
          <w:p w:rsidR="00DB4A00" w:rsidRPr="00D928C5" w:rsidRDefault="00DB4A00" w:rsidP="00C265DB">
            <w:pPr>
              <w:pStyle w:val="Table"/>
              <w:rPr>
                <w:rFonts w:ascii="Arial Narrow" w:hAnsi="Arial Narrow"/>
                <w:szCs w:val="20"/>
              </w:rPr>
            </w:pPr>
            <w:r w:rsidRPr="00D928C5">
              <w:rPr>
                <w:rFonts w:ascii="Arial Narrow" w:hAnsi="Arial Narrow"/>
                <w:szCs w:val="20"/>
              </w:rPr>
              <w:t>Number of prescripts</w:t>
            </w:r>
          </w:p>
        </w:tc>
        <w:tc>
          <w:tcPr>
            <w:tcW w:w="992" w:type="dxa"/>
            <w:shd w:val="clear" w:color="auto" w:fill="FFFFFF" w:themeFill="background1"/>
            <w:noWrap/>
            <w:vAlign w:val="bottom"/>
          </w:tcPr>
          <w:p w:rsidR="00DB4A00" w:rsidRPr="00F53974" w:rsidRDefault="00F53974" w:rsidP="00DB4A00">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34" w:type="dxa"/>
            <w:shd w:val="clear" w:color="auto" w:fill="FFFFFF" w:themeFill="background1"/>
            <w:noWrap/>
            <w:vAlign w:val="bottom"/>
          </w:tcPr>
          <w:p w:rsidR="00DB4A00" w:rsidRPr="00F53974" w:rsidRDefault="00F53974" w:rsidP="00DB4A00">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34" w:type="dxa"/>
            <w:shd w:val="clear" w:color="auto" w:fill="FFFFFF" w:themeFill="background1"/>
            <w:noWrap/>
            <w:vAlign w:val="bottom"/>
          </w:tcPr>
          <w:p w:rsidR="00DB4A00" w:rsidRPr="00F53974" w:rsidRDefault="00F53974" w:rsidP="00DB4A00">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34" w:type="dxa"/>
            <w:shd w:val="clear" w:color="auto" w:fill="FFFFFF" w:themeFill="background1"/>
            <w:noWrap/>
            <w:vAlign w:val="bottom"/>
          </w:tcPr>
          <w:p w:rsidR="00DB4A00" w:rsidRPr="00F53974" w:rsidRDefault="00F53974" w:rsidP="00DB4A00">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34" w:type="dxa"/>
            <w:shd w:val="clear" w:color="auto" w:fill="FFFFFF" w:themeFill="background1"/>
            <w:noWrap/>
            <w:vAlign w:val="bottom"/>
          </w:tcPr>
          <w:p w:rsidR="00DB4A00" w:rsidRPr="00F53974" w:rsidRDefault="00F53974" w:rsidP="00DB4A00">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34" w:type="dxa"/>
            <w:shd w:val="clear" w:color="auto" w:fill="FFFFFF" w:themeFill="background1"/>
            <w:vAlign w:val="bottom"/>
          </w:tcPr>
          <w:p w:rsidR="00DB4A00" w:rsidRPr="00F53974" w:rsidRDefault="00F53974" w:rsidP="00DB4A00">
            <w:pPr>
              <w:pStyle w:val="TableRight"/>
              <w:jc w:val="center"/>
              <w:rPr>
                <w:rFonts w:ascii="Arial Narrow" w:hAnsi="Arial Narrow"/>
                <w:szCs w:val="20"/>
                <w:highlight w:val="black"/>
              </w:rPr>
            </w:pPr>
            <w:r>
              <w:rPr>
                <w:rFonts w:ascii="Arial Narrow" w:hAnsi="Arial Narrow"/>
                <w:noProof/>
                <w:color w:val="000000"/>
                <w:szCs w:val="20"/>
                <w:highlight w:val="black"/>
              </w:rPr>
              <w:t>'''''''''''''''''''</w:t>
            </w:r>
          </w:p>
        </w:tc>
      </w:tr>
      <w:tr w:rsidR="00D40C9A" w:rsidRPr="00D928C5" w:rsidTr="00642794">
        <w:tc>
          <w:tcPr>
            <w:tcW w:w="8505" w:type="dxa"/>
            <w:gridSpan w:val="7"/>
            <w:shd w:val="clear" w:color="auto" w:fill="FFFFFF" w:themeFill="background1"/>
            <w:noWrap/>
            <w:hideMark/>
          </w:tcPr>
          <w:p w:rsidR="00D40C9A" w:rsidRPr="00F81686" w:rsidRDefault="00D40C9A" w:rsidP="00D40C9A">
            <w:pPr>
              <w:pStyle w:val="TableCentre"/>
              <w:jc w:val="left"/>
              <w:rPr>
                <w:rFonts w:ascii="Arial Narrow" w:hAnsi="Arial Narrow"/>
                <w:b/>
                <w:szCs w:val="20"/>
              </w:rPr>
            </w:pPr>
            <w:r w:rsidRPr="00F81686">
              <w:rPr>
                <w:rFonts w:ascii="Arial Narrow" w:hAnsi="Arial Narrow"/>
                <w:b/>
                <w:szCs w:val="20"/>
              </w:rPr>
              <w:t xml:space="preserve">Financial implications </w:t>
            </w:r>
          </w:p>
        </w:tc>
      </w:tr>
      <w:tr w:rsidR="00832389" w:rsidRPr="00D928C5" w:rsidTr="00642794">
        <w:tc>
          <w:tcPr>
            <w:tcW w:w="1843" w:type="dxa"/>
            <w:shd w:val="clear" w:color="auto" w:fill="FFFFFF" w:themeFill="background1"/>
            <w:noWrap/>
            <w:hideMark/>
          </w:tcPr>
          <w:p w:rsidR="00D40C9A" w:rsidRPr="00D928C5" w:rsidRDefault="00D40C9A" w:rsidP="00D40C9A">
            <w:pPr>
              <w:pStyle w:val="Table"/>
              <w:ind w:right="-57"/>
              <w:rPr>
                <w:rFonts w:ascii="Arial Narrow" w:hAnsi="Arial Narrow"/>
                <w:szCs w:val="20"/>
              </w:rPr>
            </w:pPr>
            <w:r w:rsidRPr="00D928C5">
              <w:rPr>
                <w:rFonts w:ascii="Arial Narrow" w:hAnsi="Arial Narrow"/>
                <w:szCs w:val="20"/>
              </w:rPr>
              <w:t>Net costs to the PBS/RPBS</w:t>
            </w:r>
            <w:r w:rsidR="00C265DB" w:rsidRPr="00D928C5">
              <w:rPr>
                <w:rFonts w:ascii="Arial Narrow" w:hAnsi="Arial Narrow"/>
                <w:szCs w:val="20"/>
              </w:rPr>
              <w:t xml:space="preserve"> (less co-payments)</w:t>
            </w:r>
            <w:r w:rsidR="00E20A73" w:rsidRPr="00D928C5">
              <w:rPr>
                <w:rFonts w:ascii="Arial Narrow" w:hAnsi="Arial Narrow"/>
                <w:szCs w:val="20"/>
                <w:vertAlign w:val="superscript"/>
              </w:rPr>
              <w:t>a</w:t>
            </w:r>
          </w:p>
        </w:tc>
        <w:tc>
          <w:tcPr>
            <w:tcW w:w="992" w:type="dxa"/>
            <w:shd w:val="clear" w:color="auto" w:fill="FFFFFF" w:themeFill="background1"/>
            <w:noWrap/>
            <w:vAlign w:val="center"/>
          </w:tcPr>
          <w:p w:rsidR="00D40C9A" w:rsidRPr="00F81686" w:rsidRDefault="00D40C9A" w:rsidP="00C265DB">
            <w:pPr>
              <w:pStyle w:val="TableRight"/>
              <w:ind w:right="-57"/>
              <w:rPr>
                <w:rFonts w:ascii="Arial Narrow" w:hAnsi="Arial Narrow"/>
              </w:rPr>
            </w:pPr>
            <w:r w:rsidRPr="00F81686">
              <w:rPr>
                <w:rFonts w:ascii="Arial Narrow" w:hAnsi="Arial Narrow"/>
              </w:rPr>
              <w:t>$</w:t>
            </w:r>
            <w:r w:rsidR="00F53974">
              <w:rPr>
                <w:rFonts w:ascii="Arial Narrow" w:hAnsi="Arial Narrow"/>
                <w:noProof/>
                <w:color w:val="000000"/>
                <w:highlight w:val="black"/>
              </w:rPr>
              <w:t>''''''''''''''''''''''''''</w:t>
            </w:r>
          </w:p>
        </w:tc>
        <w:tc>
          <w:tcPr>
            <w:tcW w:w="1134" w:type="dxa"/>
            <w:shd w:val="clear" w:color="auto" w:fill="FFFFFF" w:themeFill="background1"/>
            <w:noWrap/>
            <w:vAlign w:val="center"/>
          </w:tcPr>
          <w:p w:rsidR="00D40C9A" w:rsidRPr="00F81686" w:rsidRDefault="00D40C9A" w:rsidP="00C265DB">
            <w:pPr>
              <w:pStyle w:val="TableRight"/>
              <w:ind w:right="-57"/>
              <w:rPr>
                <w:rFonts w:ascii="Arial Narrow" w:hAnsi="Arial Narrow"/>
              </w:rPr>
            </w:pPr>
            <w:r w:rsidRPr="00F81686">
              <w:rPr>
                <w:rFonts w:ascii="Arial Narrow" w:hAnsi="Arial Narrow"/>
              </w:rPr>
              <w:t>$</w:t>
            </w:r>
            <w:r w:rsidR="00F53974">
              <w:rPr>
                <w:rFonts w:ascii="Arial Narrow" w:hAnsi="Arial Narrow"/>
                <w:noProof/>
                <w:color w:val="000000"/>
                <w:highlight w:val="black"/>
              </w:rPr>
              <w:t>''''''''''''''''''''''''''''</w:t>
            </w:r>
          </w:p>
        </w:tc>
        <w:tc>
          <w:tcPr>
            <w:tcW w:w="1134" w:type="dxa"/>
            <w:shd w:val="clear" w:color="auto" w:fill="FFFFFF" w:themeFill="background1"/>
            <w:noWrap/>
            <w:vAlign w:val="center"/>
          </w:tcPr>
          <w:p w:rsidR="00D40C9A" w:rsidRPr="00F81686" w:rsidRDefault="00D40C9A" w:rsidP="00C265DB">
            <w:pPr>
              <w:pStyle w:val="TableRight"/>
              <w:ind w:right="-57"/>
              <w:rPr>
                <w:rFonts w:ascii="Arial Narrow" w:hAnsi="Arial Narrow"/>
              </w:rPr>
            </w:pPr>
            <w:r w:rsidRPr="00F81686">
              <w:rPr>
                <w:rFonts w:ascii="Arial Narrow" w:hAnsi="Arial Narrow"/>
              </w:rPr>
              <w:t>$</w:t>
            </w:r>
            <w:r w:rsidR="00F53974">
              <w:rPr>
                <w:rFonts w:ascii="Arial Narrow" w:hAnsi="Arial Narrow"/>
                <w:noProof/>
                <w:color w:val="000000"/>
                <w:highlight w:val="black"/>
              </w:rPr>
              <w:t>'''''''''''''''''''''''''</w:t>
            </w:r>
          </w:p>
        </w:tc>
        <w:tc>
          <w:tcPr>
            <w:tcW w:w="1134" w:type="dxa"/>
            <w:shd w:val="clear" w:color="auto" w:fill="FFFFFF" w:themeFill="background1"/>
            <w:noWrap/>
            <w:vAlign w:val="center"/>
          </w:tcPr>
          <w:p w:rsidR="00D40C9A" w:rsidRPr="00F81686" w:rsidRDefault="00D40C9A" w:rsidP="00C265DB">
            <w:pPr>
              <w:pStyle w:val="TableRight"/>
              <w:ind w:right="-57"/>
              <w:rPr>
                <w:rFonts w:ascii="Arial Narrow" w:hAnsi="Arial Narrow"/>
              </w:rPr>
            </w:pPr>
            <w:r w:rsidRPr="00F81686">
              <w:rPr>
                <w:rFonts w:ascii="Arial Narrow" w:hAnsi="Arial Narrow"/>
              </w:rPr>
              <w:t>$</w:t>
            </w:r>
            <w:r w:rsidR="00F53974">
              <w:rPr>
                <w:rFonts w:ascii="Arial Narrow" w:hAnsi="Arial Narrow"/>
                <w:noProof/>
                <w:color w:val="000000"/>
                <w:highlight w:val="black"/>
              </w:rPr>
              <w:t>'''''''''''''''''''''''''''''</w:t>
            </w:r>
          </w:p>
        </w:tc>
        <w:tc>
          <w:tcPr>
            <w:tcW w:w="1134" w:type="dxa"/>
            <w:shd w:val="clear" w:color="auto" w:fill="FFFFFF" w:themeFill="background1"/>
            <w:noWrap/>
            <w:vAlign w:val="center"/>
          </w:tcPr>
          <w:p w:rsidR="00D40C9A" w:rsidRPr="00F81686" w:rsidRDefault="00D40C9A" w:rsidP="00C265DB">
            <w:pPr>
              <w:pStyle w:val="TableRight"/>
              <w:ind w:right="-57"/>
              <w:rPr>
                <w:rFonts w:ascii="Arial Narrow" w:hAnsi="Arial Narrow"/>
              </w:rPr>
            </w:pPr>
            <w:r w:rsidRPr="00F81686">
              <w:rPr>
                <w:rFonts w:ascii="Arial Narrow" w:hAnsi="Arial Narrow"/>
              </w:rPr>
              <w:t>$</w:t>
            </w:r>
            <w:r w:rsidR="00F53974">
              <w:rPr>
                <w:rFonts w:ascii="Arial Narrow" w:hAnsi="Arial Narrow"/>
                <w:noProof/>
                <w:color w:val="000000"/>
                <w:highlight w:val="black"/>
              </w:rPr>
              <w:t>'''''''''''''''''''''''''''</w:t>
            </w:r>
          </w:p>
        </w:tc>
        <w:tc>
          <w:tcPr>
            <w:tcW w:w="1134" w:type="dxa"/>
            <w:shd w:val="clear" w:color="auto" w:fill="FFFFFF" w:themeFill="background1"/>
            <w:vAlign w:val="center"/>
          </w:tcPr>
          <w:p w:rsidR="00D40C9A" w:rsidRPr="00F81686" w:rsidRDefault="00C265DB" w:rsidP="00C265DB">
            <w:pPr>
              <w:pStyle w:val="TableRight"/>
              <w:ind w:right="-57"/>
              <w:rPr>
                <w:rFonts w:ascii="Arial Narrow" w:hAnsi="Arial Narrow"/>
                <w:szCs w:val="20"/>
              </w:rPr>
            </w:pPr>
            <w:r w:rsidRPr="00F81686">
              <w:rPr>
                <w:rFonts w:ascii="Arial Narrow" w:hAnsi="Arial Narrow"/>
                <w:szCs w:val="20"/>
              </w:rPr>
              <w:t>$</w:t>
            </w:r>
            <w:r w:rsidR="00F53974">
              <w:rPr>
                <w:rFonts w:ascii="Arial Narrow" w:hAnsi="Arial Narrow"/>
                <w:noProof/>
                <w:color w:val="000000"/>
                <w:szCs w:val="20"/>
                <w:highlight w:val="black"/>
              </w:rPr>
              <w:t>''''''''''''''''''''''''''</w:t>
            </w:r>
          </w:p>
        </w:tc>
      </w:tr>
      <w:tr w:rsidR="00832389" w:rsidRPr="00D928C5" w:rsidTr="00642794">
        <w:tc>
          <w:tcPr>
            <w:tcW w:w="1843" w:type="dxa"/>
            <w:shd w:val="clear" w:color="auto" w:fill="FFFFFF" w:themeFill="background1"/>
            <w:noWrap/>
            <w:hideMark/>
          </w:tcPr>
          <w:p w:rsidR="00D40C9A" w:rsidRPr="00D928C5" w:rsidRDefault="00D40C9A" w:rsidP="00642794">
            <w:pPr>
              <w:pStyle w:val="Table"/>
              <w:ind w:right="-57"/>
              <w:rPr>
                <w:rFonts w:ascii="Arial Narrow" w:hAnsi="Arial Narrow"/>
                <w:szCs w:val="20"/>
              </w:rPr>
            </w:pPr>
            <w:r w:rsidRPr="00D928C5">
              <w:rPr>
                <w:rFonts w:ascii="Arial Narrow" w:hAnsi="Arial Narrow"/>
                <w:szCs w:val="20"/>
              </w:rPr>
              <w:t>Net costs to government health budgets</w:t>
            </w:r>
            <w:r w:rsidR="00E20A73" w:rsidRPr="00D928C5">
              <w:rPr>
                <w:rFonts w:ascii="Arial Narrow" w:hAnsi="Arial Narrow"/>
                <w:szCs w:val="20"/>
                <w:vertAlign w:val="superscript"/>
              </w:rPr>
              <w:t>b</w:t>
            </w:r>
          </w:p>
        </w:tc>
        <w:tc>
          <w:tcPr>
            <w:tcW w:w="992" w:type="dxa"/>
            <w:shd w:val="clear" w:color="auto" w:fill="FFFFFF" w:themeFill="background1"/>
            <w:noWrap/>
            <w:vAlign w:val="center"/>
          </w:tcPr>
          <w:p w:rsidR="00D40C9A" w:rsidRPr="00F81686" w:rsidRDefault="00D40C9A" w:rsidP="00C265DB">
            <w:pPr>
              <w:pStyle w:val="TableRight"/>
              <w:ind w:right="-57"/>
              <w:rPr>
                <w:rFonts w:ascii="Arial Narrow" w:hAnsi="Arial Narrow"/>
              </w:rPr>
            </w:pPr>
            <w:r w:rsidRPr="00F81686">
              <w:rPr>
                <w:rFonts w:ascii="Arial Narrow" w:hAnsi="Arial Narrow"/>
              </w:rPr>
              <w:t>$</w:t>
            </w:r>
            <w:r w:rsidR="00F53974">
              <w:rPr>
                <w:rFonts w:ascii="Arial Narrow" w:hAnsi="Arial Narrow"/>
                <w:noProof/>
                <w:color w:val="000000"/>
                <w:highlight w:val="black"/>
              </w:rPr>
              <w:t>''''''''''''''''''''''''''</w:t>
            </w:r>
            <w:r w:rsidRPr="00F81686">
              <w:rPr>
                <w:rFonts w:ascii="Arial Narrow" w:hAnsi="Arial Narrow"/>
              </w:rPr>
              <w:t xml:space="preserve"> </w:t>
            </w:r>
          </w:p>
        </w:tc>
        <w:tc>
          <w:tcPr>
            <w:tcW w:w="1134" w:type="dxa"/>
            <w:shd w:val="clear" w:color="auto" w:fill="FFFFFF" w:themeFill="background1"/>
            <w:noWrap/>
            <w:vAlign w:val="center"/>
          </w:tcPr>
          <w:p w:rsidR="00D40C9A" w:rsidRPr="00F81686" w:rsidRDefault="00D40C9A" w:rsidP="00C265DB">
            <w:pPr>
              <w:pStyle w:val="TableRight"/>
              <w:ind w:right="-57"/>
              <w:rPr>
                <w:rFonts w:ascii="Arial Narrow" w:hAnsi="Arial Narrow"/>
              </w:rPr>
            </w:pPr>
            <w:r w:rsidRPr="00F81686">
              <w:rPr>
                <w:rFonts w:ascii="Arial Narrow" w:hAnsi="Arial Narrow"/>
              </w:rPr>
              <w:t>$</w:t>
            </w:r>
            <w:r w:rsidR="00F53974">
              <w:rPr>
                <w:rFonts w:ascii="Arial Narrow" w:hAnsi="Arial Narrow"/>
                <w:noProof/>
                <w:color w:val="000000"/>
                <w:highlight w:val="black"/>
              </w:rPr>
              <w:t>''''''''''''''''''''''''''</w:t>
            </w:r>
            <w:r w:rsidRPr="00F81686">
              <w:rPr>
                <w:rFonts w:ascii="Arial Narrow" w:hAnsi="Arial Narrow"/>
              </w:rPr>
              <w:t xml:space="preserve"> </w:t>
            </w:r>
          </w:p>
        </w:tc>
        <w:tc>
          <w:tcPr>
            <w:tcW w:w="1134" w:type="dxa"/>
            <w:shd w:val="clear" w:color="auto" w:fill="FFFFFF" w:themeFill="background1"/>
            <w:noWrap/>
            <w:vAlign w:val="center"/>
          </w:tcPr>
          <w:p w:rsidR="00D40C9A" w:rsidRPr="00F81686" w:rsidRDefault="00D40C9A" w:rsidP="00C265DB">
            <w:pPr>
              <w:pStyle w:val="TableRight"/>
              <w:ind w:right="-57"/>
              <w:rPr>
                <w:rFonts w:ascii="Arial Narrow" w:hAnsi="Arial Narrow"/>
              </w:rPr>
            </w:pPr>
            <w:r w:rsidRPr="00F81686">
              <w:rPr>
                <w:rFonts w:ascii="Arial Narrow" w:hAnsi="Arial Narrow"/>
              </w:rPr>
              <w:t>$</w:t>
            </w:r>
            <w:r w:rsidR="00F53974">
              <w:rPr>
                <w:rFonts w:ascii="Arial Narrow" w:hAnsi="Arial Narrow"/>
                <w:noProof/>
                <w:color w:val="000000"/>
                <w:highlight w:val="black"/>
              </w:rPr>
              <w:t>'''''''''''''''''''''''''''''</w:t>
            </w:r>
          </w:p>
        </w:tc>
        <w:tc>
          <w:tcPr>
            <w:tcW w:w="1134" w:type="dxa"/>
            <w:shd w:val="clear" w:color="auto" w:fill="FFFFFF" w:themeFill="background1"/>
            <w:noWrap/>
            <w:vAlign w:val="center"/>
          </w:tcPr>
          <w:p w:rsidR="00D40C9A" w:rsidRPr="00F81686" w:rsidRDefault="00D40C9A" w:rsidP="00C265DB">
            <w:pPr>
              <w:pStyle w:val="TableRight"/>
              <w:ind w:right="-57"/>
              <w:rPr>
                <w:rFonts w:ascii="Arial Narrow" w:hAnsi="Arial Narrow"/>
              </w:rPr>
            </w:pPr>
            <w:r w:rsidRPr="00F81686">
              <w:rPr>
                <w:rFonts w:ascii="Arial Narrow" w:hAnsi="Arial Narrow"/>
              </w:rPr>
              <w:t>$</w:t>
            </w:r>
            <w:r w:rsidR="00F53974">
              <w:rPr>
                <w:rFonts w:ascii="Arial Narrow" w:hAnsi="Arial Narrow"/>
                <w:noProof/>
                <w:color w:val="000000"/>
                <w:highlight w:val="black"/>
              </w:rPr>
              <w:t>'''''''''''''''''''''''''</w:t>
            </w:r>
          </w:p>
        </w:tc>
        <w:tc>
          <w:tcPr>
            <w:tcW w:w="1134" w:type="dxa"/>
            <w:shd w:val="clear" w:color="auto" w:fill="FFFFFF" w:themeFill="background1"/>
            <w:noWrap/>
            <w:vAlign w:val="center"/>
          </w:tcPr>
          <w:p w:rsidR="00D40C9A" w:rsidRPr="00F81686" w:rsidRDefault="00D40C9A" w:rsidP="00C265DB">
            <w:pPr>
              <w:pStyle w:val="TableRight"/>
              <w:ind w:right="-57"/>
              <w:rPr>
                <w:rFonts w:ascii="Arial Narrow" w:hAnsi="Arial Narrow"/>
              </w:rPr>
            </w:pPr>
            <w:r w:rsidRPr="00F81686">
              <w:rPr>
                <w:rFonts w:ascii="Arial Narrow" w:hAnsi="Arial Narrow"/>
              </w:rPr>
              <w:t>$</w:t>
            </w:r>
            <w:r w:rsidR="00F53974">
              <w:rPr>
                <w:rFonts w:ascii="Arial Narrow" w:hAnsi="Arial Narrow"/>
                <w:noProof/>
                <w:color w:val="000000"/>
                <w:highlight w:val="black"/>
              </w:rPr>
              <w:t xml:space="preserve">'''''''''''''''''''''''''' </w:t>
            </w:r>
          </w:p>
        </w:tc>
        <w:tc>
          <w:tcPr>
            <w:tcW w:w="1134" w:type="dxa"/>
            <w:shd w:val="clear" w:color="auto" w:fill="FFFFFF" w:themeFill="background1"/>
            <w:vAlign w:val="center"/>
          </w:tcPr>
          <w:p w:rsidR="00D40C9A" w:rsidRPr="00F81686" w:rsidRDefault="00C265DB" w:rsidP="00C265DB">
            <w:pPr>
              <w:pStyle w:val="TableRight"/>
              <w:ind w:right="-57"/>
              <w:rPr>
                <w:rFonts w:ascii="Arial Narrow" w:hAnsi="Arial Narrow"/>
                <w:szCs w:val="20"/>
              </w:rPr>
            </w:pPr>
            <w:r w:rsidRPr="00F81686">
              <w:rPr>
                <w:rFonts w:ascii="Arial Narrow" w:hAnsi="Arial Narrow"/>
                <w:szCs w:val="20"/>
              </w:rPr>
              <w:t>$</w:t>
            </w:r>
            <w:r w:rsidR="00F53974">
              <w:rPr>
                <w:rFonts w:ascii="Arial Narrow" w:hAnsi="Arial Narrow"/>
                <w:noProof/>
                <w:color w:val="000000"/>
                <w:szCs w:val="20"/>
                <w:highlight w:val="black"/>
              </w:rPr>
              <w:t>''''''''''''''''''''''''''</w:t>
            </w:r>
          </w:p>
        </w:tc>
      </w:tr>
    </w:tbl>
    <w:p w:rsidR="00D40C9A" w:rsidRPr="00D928C5" w:rsidRDefault="00685FC6" w:rsidP="00D40C9A">
      <w:pPr>
        <w:pStyle w:val="TableFooter"/>
        <w:ind w:left="709"/>
        <w:rPr>
          <w:rStyle w:val="TableText0"/>
          <w:rFonts w:ascii="Arial Narrow" w:hAnsi="Arial Narrow"/>
          <w:sz w:val="18"/>
        </w:rPr>
      </w:pPr>
      <w:r w:rsidRPr="00D928C5">
        <w:rPr>
          <w:rStyle w:val="TableText0"/>
          <w:rFonts w:ascii="Arial Narrow" w:hAnsi="Arial Narrow"/>
          <w:sz w:val="18"/>
          <w:vertAlign w:val="superscript"/>
        </w:rPr>
        <w:t>a</w:t>
      </w:r>
      <w:r w:rsidR="00DB4A00" w:rsidRPr="00D928C5">
        <w:rPr>
          <w:rStyle w:val="TableText0"/>
          <w:rFonts w:ascii="Arial Narrow" w:hAnsi="Arial Narrow"/>
          <w:sz w:val="18"/>
        </w:rPr>
        <w:t xml:space="preserve"> </w:t>
      </w:r>
      <w:r w:rsidR="00C265DB" w:rsidRPr="00D928C5">
        <w:rPr>
          <w:rStyle w:val="TableText0"/>
          <w:rFonts w:ascii="Arial Narrow" w:hAnsi="Arial Narrow"/>
          <w:sz w:val="18"/>
        </w:rPr>
        <w:t>The re-submission did not estimate</w:t>
      </w:r>
      <w:r w:rsidR="00D40C9A" w:rsidRPr="00D928C5">
        <w:rPr>
          <w:rStyle w:val="TableText0"/>
          <w:rFonts w:ascii="Arial Narrow" w:hAnsi="Arial Narrow"/>
          <w:sz w:val="18"/>
        </w:rPr>
        <w:t xml:space="preserve"> changes in costs of other drugs, </w:t>
      </w:r>
      <w:r w:rsidR="00D40C9A" w:rsidRPr="00D928C5">
        <w:rPr>
          <w:rStyle w:val="TableText0"/>
          <w:rFonts w:ascii="Arial Narrow" w:hAnsi="Arial Narrow"/>
          <w:i/>
          <w:sz w:val="18"/>
        </w:rPr>
        <w:t>eg</w:t>
      </w:r>
      <w:r w:rsidR="00D40C9A" w:rsidRPr="00D928C5">
        <w:rPr>
          <w:rStyle w:val="TableText0"/>
          <w:rFonts w:ascii="Arial Narrow" w:hAnsi="Arial Narrow"/>
          <w:sz w:val="18"/>
        </w:rPr>
        <w:t xml:space="preserve"> sofosbuvir and current active treatments </w:t>
      </w:r>
    </w:p>
    <w:p w:rsidR="00AE09C8" w:rsidRPr="00D928C5" w:rsidRDefault="00685FC6" w:rsidP="00AE09C8">
      <w:pPr>
        <w:pStyle w:val="ListParagraph"/>
        <w:jc w:val="both"/>
        <w:rPr>
          <w:rStyle w:val="TableText0"/>
          <w:rFonts w:ascii="Arial Narrow" w:hAnsi="Arial Narrow" w:cs="Arial"/>
          <w:snapToGrid w:val="0"/>
          <w:sz w:val="18"/>
          <w:szCs w:val="20"/>
          <w:lang w:eastAsia="en-US"/>
        </w:rPr>
      </w:pPr>
      <w:r w:rsidRPr="00D928C5">
        <w:rPr>
          <w:rStyle w:val="TableText0"/>
          <w:rFonts w:ascii="Arial Narrow" w:hAnsi="Arial Narrow" w:cs="Arial"/>
          <w:snapToGrid w:val="0"/>
          <w:sz w:val="18"/>
          <w:szCs w:val="20"/>
          <w:vertAlign w:val="superscript"/>
          <w:lang w:eastAsia="en-US"/>
        </w:rPr>
        <w:t>b</w:t>
      </w:r>
      <w:r w:rsidR="00C265DB" w:rsidRPr="00D928C5">
        <w:rPr>
          <w:rStyle w:val="TableText0"/>
          <w:rFonts w:ascii="Arial Narrow" w:hAnsi="Arial Narrow" w:cs="Arial"/>
          <w:snapToGrid w:val="0"/>
          <w:sz w:val="18"/>
          <w:szCs w:val="20"/>
          <w:lang w:eastAsia="en-US"/>
        </w:rPr>
        <w:t xml:space="preserve"> The </w:t>
      </w:r>
      <w:r w:rsidR="0030348D" w:rsidRPr="00D928C5">
        <w:rPr>
          <w:rStyle w:val="TableText0"/>
          <w:rFonts w:ascii="Arial Narrow" w:hAnsi="Arial Narrow" w:cs="Arial"/>
          <w:snapToGrid w:val="0"/>
          <w:sz w:val="18"/>
          <w:szCs w:val="20"/>
          <w:lang w:eastAsia="en-US"/>
        </w:rPr>
        <w:t>re-</w:t>
      </w:r>
      <w:r w:rsidR="00C265DB" w:rsidRPr="00D928C5">
        <w:rPr>
          <w:rStyle w:val="TableText0"/>
          <w:rFonts w:ascii="Arial Narrow" w:hAnsi="Arial Narrow" w:cs="Arial"/>
          <w:snapToGrid w:val="0"/>
          <w:sz w:val="18"/>
          <w:szCs w:val="20"/>
          <w:lang w:eastAsia="en-US"/>
        </w:rPr>
        <w:t>submission did not estimate the potential incremental costs or savings to other government health budgets associated with the proposed listing of ribavirin.</w:t>
      </w:r>
    </w:p>
    <w:p w:rsidR="00C265DB" w:rsidRPr="00D928C5" w:rsidRDefault="00C265DB" w:rsidP="00AE09C8">
      <w:pPr>
        <w:pStyle w:val="ListParagraph"/>
        <w:jc w:val="both"/>
        <w:rPr>
          <w:rStyle w:val="TableText0"/>
          <w:rFonts w:ascii="Arial Narrow" w:hAnsi="Arial Narrow" w:cs="Arial"/>
          <w:snapToGrid w:val="0"/>
          <w:sz w:val="18"/>
          <w:szCs w:val="20"/>
          <w:lang w:eastAsia="en-US"/>
        </w:rPr>
      </w:pPr>
      <w:r w:rsidRPr="00D928C5">
        <w:rPr>
          <w:rStyle w:val="TableText0"/>
          <w:rFonts w:ascii="Arial Narrow" w:hAnsi="Arial Narrow" w:cs="Arial"/>
          <w:snapToGrid w:val="0"/>
          <w:sz w:val="18"/>
          <w:szCs w:val="20"/>
          <w:lang w:eastAsia="en-US"/>
        </w:rPr>
        <w:t xml:space="preserve">Source: Table 10, p22 and Table 11, p23 of the minor </w:t>
      </w:r>
      <w:r w:rsidR="00567527" w:rsidRPr="00D928C5">
        <w:rPr>
          <w:rStyle w:val="TableText0"/>
          <w:rFonts w:ascii="Arial Narrow" w:hAnsi="Arial Narrow" w:cs="Arial"/>
          <w:snapToGrid w:val="0"/>
          <w:sz w:val="18"/>
          <w:szCs w:val="20"/>
          <w:lang w:eastAsia="en-US"/>
        </w:rPr>
        <w:t>re-</w:t>
      </w:r>
      <w:r w:rsidRPr="00D928C5">
        <w:rPr>
          <w:rStyle w:val="TableText0"/>
          <w:rFonts w:ascii="Arial Narrow" w:hAnsi="Arial Narrow" w:cs="Arial"/>
          <w:snapToGrid w:val="0"/>
          <w:sz w:val="18"/>
          <w:szCs w:val="20"/>
          <w:lang w:eastAsia="en-US"/>
        </w:rPr>
        <w:t>submission</w:t>
      </w:r>
      <w:r w:rsidR="00E20A73" w:rsidRPr="00D928C5">
        <w:rPr>
          <w:rStyle w:val="TableText0"/>
          <w:rFonts w:ascii="Arial Narrow" w:hAnsi="Arial Narrow" w:cs="Arial"/>
          <w:snapToGrid w:val="0"/>
          <w:sz w:val="18"/>
          <w:szCs w:val="20"/>
          <w:lang w:eastAsia="en-US"/>
        </w:rPr>
        <w:t xml:space="preserve"> </w:t>
      </w:r>
    </w:p>
    <w:p w:rsidR="004B68C0" w:rsidRPr="00D928C5" w:rsidRDefault="004B68C0" w:rsidP="004B68C0">
      <w:pPr>
        <w:pStyle w:val="ListParagraph"/>
        <w:rPr>
          <w:rFonts w:ascii="Arial" w:hAnsi="Arial"/>
          <w:sz w:val="22"/>
          <w:szCs w:val="22"/>
        </w:rPr>
      </w:pPr>
    </w:p>
    <w:p w:rsidR="0064016A" w:rsidRPr="00D928C5" w:rsidRDefault="0017070E" w:rsidP="002A1436">
      <w:pPr>
        <w:pStyle w:val="ListParagraph"/>
        <w:numPr>
          <w:ilvl w:val="1"/>
          <w:numId w:val="2"/>
        </w:numPr>
        <w:jc w:val="both"/>
        <w:rPr>
          <w:rFonts w:ascii="Arial" w:hAnsi="Arial"/>
          <w:sz w:val="22"/>
          <w:szCs w:val="22"/>
        </w:rPr>
      </w:pPr>
      <w:r w:rsidRPr="00D928C5">
        <w:rPr>
          <w:rFonts w:ascii="Arial" w:hAnsi="Arial"/>
          <w:sz w:val="22"/>
          <w:szCs w:val="22"/>
        </w:rPr>
        <w:t xml:space="preserve">The </w:t>
      </w:r>
      <w:r w:rsidR="00C25927" w:rsidRPr="00D928C5">
        <w:rPr>
          <w:rFonts w:ascii="Arial" w:hAnsi="Arial"/>
          <w:sz w:val="22"/>
          <w:szCs w:val="22"/>
        </w:rPr>
        <w:t>minor re-</w:t>
      </w:r>
      <w:r w:rsidRPr="00D928C5">
        <w:rPr>
          <w:rFonts w:ascii="Arial" w:hAnsi="Arial"/>
          <w:sz w:val="22"/>
          <w:szCs w:val="22"/>
        </w:rPr>
        <w:t xml:space="preserve">submission also presented a financial analysis in a scenario where sofosbuvir was listed on the PBS, in the absence of a listing of single agent ribavirin, and patients receiving SOF+R were prescribed the PBS-listed co-packaged PR to access ribavirin. For simplicity, this analysis </w:t>
      </w:r>
      <w:r w:rsidR="00C25927" w:rsidRPr="00D928C5">
        <w:rPr>
          <w:rFonts w:ascii="Arial" w:hAnsi="Arial"/>
          <w:sz w:val="22"/>
          <w:szCs w:val="22"/>
        </w:rPr>
        <w:t>was based on</w:t>
      </w:r>
      <w:r w:rsidRPr="00D928C5">
        <w:rPr>
          <w:rFonts w:ascii="Arial" w:hAnsi="Arial"/>
          <w:sz w:val="22"/>
          <w:szCs w:val="22"/>
        </w:rPr>
        <w:t xml:space="preserve"> DPMQ prices</w:t>
      </w:r>
      <w:r w:rsidR="00C25927" w:rsidRPr="00D928C5">
        <w:rPr>
          <w:rFonts w:ascii="Arial" w:hAnsi="Arial"/>
          <w:sz w:val="22"/>
          <w:szCs w:val="22"/>
        </w:rPr>
        <w:t xml:space="preserve"> (including patient co-payments)</w:t>
      </w:r>
      <w:r w:rsidRPr="00D928C5">
        <w:rPr>
          <w:rFonts w:ascii="Arial" w:hAnsi="Arial"/>
          <w:sz w:val="22"/>
          <w:szCs w:val="22"/>
        </w:rPr>
        <w:t xml:space="preserve">. </w:t>
      </w:r>
      <w:r w:rsidR="00B84E6E" w:rsidRPr="00D928C5">
        <w:rPr>
          <w:rFonts w:ascii="Arial" w:hAnsi="Arial"/>
          <w:sz w:val="22"/>
          <w:szCs w:val="22"/>
        </w:rPr>
        <w:t>Assuming that all patients treated with SOF+R would be prescribed co-packaged PR and discard the peginterferon component if stand-alone ribavirin is not available, t</w:t>
      </w:r>
      <w:r w:rsidR="00E9750E" w:rsidRPr="00D928C5">
        <w:rPr>
          <w:rFonts w:ascii="Arial" w:hAnsi="Arial"/>
          <w:sz w:val="22"/>
          <w:szCs w:val="22"/>
        </w:rPr>
        <w:t xml:space="preserve">he </w:t>
      </w:r>
      <w:r w:rsidR="00B84E6E" w:rsidRPr="00D928C5">
        <w:rPr>
          <w:rFonts w:ascii="Arial" w:hAnsi="Arial"/>
          <w:sz w:val="22"/>
          <w:szCs w:val="22"/>
        </w:rPr>
        <w:t>proposed listing of ribavirin would result in</w:t>
      </w:r>
      <w:r w:rsidR="00E9750E" w:rsidRPr="00D928C5">
        <w:rPr>
          <w:rFonts w:ascii="Arial" w:hAnsi="Arial"/>
          <w:sz w:val="22"/>
          <w:szCs w:val="22"/>
        </w:rPr>
        <w:t xml:space="preserve"> a cost saving of up to </w:t>
      </w:r>
      <w:r w:rsidR="00D87A4E" w:rsidRPr="00D928C5">
        <w:rPr>
          <w:rFonts w:ascii="Arial" w:hAnsi="Arial"/>
          <w:sz w:val="22"/>
          <w:szCs w:val="22"/>
        </w:rPr>
        <w:t xml:space="preserve">around </w:t>
      </w:r>
      <w:r w:rsidR="00F81686">
        <w:rPr>
          <w:rFonts w:ascii="Arial" w:hAnsi="Arial"/>
          <w:sz w:val="22"/>
          <w:szCs w:val="22"/>
        </w:rPr>
        <w:t xml:space="preserve"> $30 - $60 million </w:t>
      </w:r>
      <w:r w:rsidRPr="00D928C5">
        <w:rPr>
          <w:rFonts w:ascii="Arial" w:hAnsi="Arial"/>
          <w:sz w:val="22"/>
          <w:szCs w:val="22"/>
        </w:rPr>
        <w:t>in Year 5 of listing</w:t>
      </w:r>
      <w:r w:rsidR="00D87A4E" w:rsidRPr="00D928C5">
        <w:rPr>
          <w:rFonts w:ascii="Arial" w:hAnsi="Arial"/>
          <w:sz w:val="22"/>
          <w:szCs w:val="22"/>
        </w:rPr>
        <w:t>.</w:t>
      </w:r>
    </w:p>
    <w:p w:rsidR="0071666F" w:rsidRPr="00D928C5" w:rsidRDefault="0071666F" w:rsidP="002A1436">
      <w:pPr>
        <w:jc w:val="both"/>
        <w:rPr>
          <w:rFonts w:ascii="Arial" w:hAnsi="Arial"/>
          <w:sz w:val="22"/>
          <w:szCs w:val="22"/>
        </w:rPr>
      </w:pPr>
    </w:p>
    <w:p w:rsidR="002B0E18" w:rsidRPr="00D928C5" w:rsidRDefault="002B0E18" w:rsidP="00B111C7">
      <w:pPr>
        <w:ind w:firstLine="709"/>
        <w:jc w:val="both"/>
        <w:rPr>
          <w:rFonts w:ascii="Arial" w:hAnsi="Arial"/>
          <w:iCs/>
          <w:sz w:val="22"/>
          <w:szCs w:val="22"/>
        </w:rPr>
      </w:pPr>
      <w:r w:rsidRPr="00D928C5">
        <w:rPr>
          <w:rFonts w:ascii="Arial" w:hAnsi="Arial"/>
          <w:bCs/>
          <w:i/>
          <w:iCs/>
          <w:sz w:val="22"/>
          <w:szCs w:val="22"/>
        </w:rPr>
        <w:t>For more detail on PBAC’s view, see section 7 “PBAC outcome”</w:t>
      </w:r>
    </w:p>
    <w:p w:rsidR="002B0E18" w:rsidRPr="00D928C5" w:rsidRDefault="002B0E18" w:rsidP="002B0E18">
      <w:pPr>
        <w:jc w:val="both"/>
        <w:rPr>
          <w:rFonts w:ascii="Arial" w:hAnsi="Arial"/>
          <w:sz w:val="22"/>
          <w:szCs w:val="22"/>
        </w:rPr>
      </w:pPr>
    </w:p>
    <w:p w:rsidR="002B0E18" w:rsidRPr="00D928C5" w:rsidRDefault="002B0E18" w:rsidP="002B0E18">
      <w:pPr>
        <w:numPr>
          <w:ilvl w:val="0"/>
          <w:numId w:val="2"/>
        </w:numPr>
        <w:jc w:val="both"/>
        <w:rPr>
          <w:rFonts w:ascii="Arial" w:hAnsi="Arial"/>
          <w:b/>
          <w:bCs/>
          <w:sz w:val="22"/>
          <w:szCs w:val="22"/>
        </w:rPr>
      </w:pPr>
      <w:r w:rsidRPr="00D928C5">
        <w:rPr>
          <w:rFonts w:ascii="Arial" w:hAnsi="Arial"/>
          <w:b/>
          <w:bCs/>
          <w:sz w:val="22"/>
          <w:szCs w:val="22"/>
        </w:rPr>
        <w:t>PBAC Outcome</w:t>
      </w:r>
    </w:p>
    <w:p w:rsidR="002B0E18" w:rsidRPr="00D928C5" w:rsidRDefault="002B0E18" w:rsidP="002B0E18">
      <w:pPr>
        <w:jc w:val="both"/>
        <w:rPr>
          <w:rFonts w:ascii="Arial" w:hAnsi="Arial"/>
          <w:b/>
          <w:bCs/>
          <w:sz w:val="22"/>
          <w:szCs w:val="22"/>
          <w:lang w:val="en-GB"/>
        </w:rPr>
      </w:pPr>
    </w:p>
    <w:p w:rsidR="00790281" w:rsidRPr="00D928C5" w:rsidRDefault="003E2EB0" w:rsidP="00790281">
      <w:pPr>
        <w:pStyle w:val="ListParagraph"/>
        <w:numPr>
          <w:ilvl w:val="1"/>
          <w:numId w:val="2"/>
        </w:numPr>
        <w:jc w:val="both"/>
        <w:rPr>
          <w:rFonts w:ascii="Arial" w:hAnsi="Arial"/>
          <w:sz w:val="22"/>
          <w:szCs w:val="22"/>
        </w:rPr>
      </w:pPr>
      <w:r w:rsidRPr="00D928C5">
        <w:rPr>
          <w:rFonts w:ascii="Arial" w:hAnsi="Arial" w:cs="Arial"/>
          <w:bCs/>
          <w:snapToGrid w:val="0"/>
          <w:sz w:val="22"/>
          <w:szCs w:val="22"/>
          <w:lang w:val="en-GB" w:eastAsia="en-US"/>
        </w:rPr>
        <w:t xml:space="preserve">The PBAC </w:t>
      </w:r>
      <w:r w:rsidR="00D258D5" w:rsidRPr="00D928C5">
        <w:rPr>
          <w:rFonts w:ascii="Arial" w:hAnsi="Arial" w:cs="Arial"/>
          <w:bCs/>
          <w:snapToGrid w:val="0"/>
          <w:sz w:val="22"/>
          <w:szCs w:val="22"/>
          <w:lang w:val="en-GB" w:eastAsia="en-US"/>
        </w:rPr>
        <w:t xml:space="preserve">deferred </w:t>
      </w:r>
      <w:r w:rsidR="00790281" w:rsidRPr="00D928C5">
        <w:rPr>
          <w:rFonts w:ascii="Arial" w:hAnsi="Arial" w:cs="Arial"/>
          <w:bCs/>
          <w:snapToGrid w:val="0"/>
          <w:sz w:val="22"/>
          <w:szCs w:val="22"/>
          <w:lang w:val="en-GB" w:eastAsia="en-US"/>
        </w:rPr>
        <w:t xml:space="preserve">its </w:t>
      </w:r>
      <w:r w:rsidR="008A277D" w:rsidRPr="00D928C5">
        <w:rPr>
          <w:rFonts w:ascii="Arial" w:hAnsi="Arial" w:cs="Arial"/>
          <w:bCs/>
          <w:snapToGrid w:val="0"/>
          <w:sz w:val="22"/>
          <w:szCs w:val="22"/>
          <w:lang w:val="en-GB" w:eastAsia="en-US"/>
        </w:rPr>
        <w:t>decision</w:t>
      </w:r>
      <w:r w:rsidR="00790281" w:rsidRPr="00D928C5">
        <w:rPr>
          <w:rFonts w:ascii="Arial" w:hAnsi="Arial" w:cs="Arial"/>
          <w:bCs/>
          <w:snapToGrid w:val="0"/>
          <w:sz w:val="22"/>
          <w:szCs w:val="22"/>
          <w:lang w:val="en-GB" w:eastAsia="en-US"/>
        </w:rPr>
        <w:t xml:space="preserve"> </w:t>
      </w:r>
      <w:r w:rsidR="002E4E55" w:rsidRPr="00D928C5">
        <w:rPr>
          <w:rFonts w:ascii="Arial" w:hAnsi="Arial" w:cs="Arial"/>
          <w:bCs/>
          <w:snapToGrid w:val="0"/>
          <w:sz w:val="22"/>
          <w:szCs w:val="22"/>
          <w:lang w:val="en-GB" w:eastAsia="en-US"/>
        </w:rPr>
        <w:t xml:space="preserve">for </w:t>
      </w:r>
      <w:r w:rsidR="00D258D5" w:rsidRPr="00D928C5">
        <w:rPr>
          <w:rFonts w:ascii="Arial" w:hAnsi="Arial" w:cs="Arial"/>
          <w:bCs/>
          <w:snapToGrid w:val="0"/>
          <w:sz w:val="22"/>
          <w:szCs w:val="22"/>
          <w:lang w:val="en-GB" w:eastAsia="en-US"/>
        </w:rPr>
        <w:t xml:space="preserve">the </w:t>
      </w:r>
      <w:r w:rsidRPr="00D928C5">
        <w:rPr>
          <w:rFonts w:ascii="Arial" w:hAnsi="Arial" w:cs="Arial"/>
          <w:bCs/>
          <w:snapToGrid w:val="0"/>
          <w:sz w:val="22"/>
          <w:szCs w:val="22"/>
          <w:lang w:val="en-GB" w:eastAsia="en-US"/>
        </w:rPr>
        <w:t xml:space="preserve">Authority Required listing of </w:t>
      </w:r>
      <w:r w:rsidR="00790281" w:rsidRPr="00D928C5">
        <w:rPr>
          <w:rFonts w:ascii="Arial" w:hAnsi="Arial"/>
          <w:sz w:val="22"/>
          <w:szCs w:val="22"/>
        </w:rPr>
        <w:t>ribavirin</w:t>
      </w:r>
      <w:r w:rsidR="008A277D" w:rsidRPr="00D928C5">
        <w:rPr>
          <w:rFonts w:ascii="Arial" w:hAnsi="Arial"/>
          <w:sz w:val="22"/>
          <w:szCs w:val="22"/>
        </w:rPr>
        <w:t xml:space="preserve"> </w:t>
      </w:r>
      <w:r w:rsidR="00790281" w:rsidRPr="00D928C5">
        <w:rPr>
          <w:rFonts w:ascii="Arial" w:hAnsi="Arial"/>
          <w:sz w:val="22"/>
          <w:szCs w:val="22"/>
        </w:rPr>
        <w:t>for the treatment of chronic hepatitis C (CHC)</w:t>
      </w:r>
      <w:r w:rsidR="008A277D" w:rsidRPr="00D928C5">
        <w:rPr>
          <w:rFonts w:ascii="Arial" w:hAnsi="Arial"/>
          <w:sz w:val="22"/>
          <w:szCs w:val="22"/>
        </w:rPr>
        <w:t xml:space="preserve">. </w:t>
      </w:r>
    </w:p>
    <w:p w:rsidR="00571846" w:rsidRPr="00D928C5" w:rsidRDefault="00571846" w:rsidP="00571846">
      <w:pPr>
        <w:pStyle w:val="ListParagraph"/>
        <w:jc w:val="both"/>
        <w:rPr>
          <w:rFonts w:ascii="Arial" w:hAnsi="Arial"/>
          <w:sz w:val="22"/>
          <w:szCs w:val="22"/>
        </w:rPr>
      </w:pPr>
    </w:p>
    <w:p w:rsidR="00B53614" w:rsidRPr="00D928C5" w:rsidRDefault="00B53614" w:rsidP="00CD1BF1">
      <w:pPr>
        <w:pStyle w:val="ListParagraph"/>
        <w:numPr>
          <w:ilvl w:val="1"/>
          <w:numId w:val="2"/>
        </w:numPr>
        <w:jc w:val="both"/>
        <w:rPr>
          <w:rFonts w:ascii="Arial" w:hAnsi="Arial" w:cs="Arial"/>
          <w:bCs/>
          <w:snapToGrid w:val="0"/>
          <w:sz w:val="22"/>
          <w:szCs w:val="22"/>
          <w:lang w:val="en-GB" w:eastAsia="en-US"/>
        </w:rPr>
      </w:pPr>
      <w:r w:rsidRPr="00D928C5">
        <w:rPr>
          <w:rFonts w:ascii="Arial" w:hAnsi="Arial" w:cs="Arial"/>
          <w:bCs/>
          <w:snapToGrid w:val="0"/>
          <w:sz w:val="22"/>
          <w:szCs w:val="22"/>
          <w:lang w:val="en-GB" w:eastAsia="en-US"/>
        </w:rPr>
        <w:t xml:space="preserve">The PBAC reiterated the clinical need for stand-alone ribavirin (RBV) for the treatment of genotype 2 and 3 patients, noting the large number of comments and presentations from patients, health care professionals and organisations highlighted the benefits of the availability of new treatments, particularly IFN-free regimens. </w:t>
      </w:r>
    </w:p>
    <w:p w:rsidR="00CD1BF1" w:rsidRPr="00D928C5" w:rsidRDefault="00CD1BF1" w:rsidP="00CD1BF1">
      <w:pPr>
        <w:pStyle w:val="ListParagraph"/>
        <w:jc w:val="both"/>
        <w:rPr>
          <w:rFonts w:ascii="Arial" w:hAnsi="Arial" w:cs="Arial"/>
          <w:bCs/>
          <w:snapToGrid w:val="0"/>
          <w:sz w:val="22"/>
          <w:szCs w:val="22"/>
          <w:lang w:val="en-GB" w:eastAsia="en-US"/>
        </w:rPr>
      </w:pPr>
    </w:p>
    <w:p w:rsidR="00CD1BF1" w:rsidRPr="00D928C5" w:rsidRDefault="00CD1BF1" w:rsidP="00CD1BF1">
      <w:pPr>
        <w:pStyle w:val="ListParagraph"/>
        <w:numPr>
          <w:ilvl w:val="1"/>
          <w:numId w:val="2"/>
        </w:numPr>
        <w:jc w:val="both"/>
        <w:rPr>
          <w:rFonts w:ascii="Arial" w:hAnsi="Arial" w:cs="Arial"/>
          <w:bCs/>
          <w:snapToGrid w:val="0"/>
          <w:sz w:val="22"/>
          <w:szCs w:val="22"/>
          <w:lang w:val="en-GB" w:eastAsia="en-US"/>
        </w:rPr>
      </w:pPr>
      <w:r w:rsidRPr="00D928C5">
        <w:rPr>
          <w:rFonts w:ascii="Arial" w:hAnsi="Arial" w:cs="Arial"/>
          <w:bCs/>
          <w:snapToGrid w:val="0"/>
          <w:sz w:val="22"/>
          <w:szCs w:val="22"/>
          <w:lang w:val="en-GB" w:eastAsia="en-US"/>
        </w:rPr>
        <w:t>The PBAC recalled daclatasivr in combination with sofosbuvir and sofosbuvir (when in combination with ribavirin</w:t>
      </w:r>
      <w:r w:rsidR="009B0E6F" w:rsidRPr="00D928C5">
        <w:rPr>
          <w:rFonts w:ascii="Arial" w:hAnsi="Arial" w:cs="Arial"/>
          <w:bCs/>
          <w:snapToGrid w:val="0"/>
          <w:sz w:val="22"/>
          <w:szCs w:val="22"/>
          <w:lang w:val="en-GB" w:eastAsia="en-US"/>
        </w:rPr>
        <w:t xml:space="preserve">, </w:t>
      </w:r>
      <w:r w:rsidR="009B0E6F" w:rsidRPr="00D928C5">
        <w:rPr>
          <w:rFonts w:ascii="Arial" w:hAnsi="Arial"/>
          <w:sz w:val="22"/>
          <w:szCs w:val="22"/>
        </w:rPr>
        <w:t>SOF + R</w:t>
      </w:r>
      <w:r w:rsidRPr="00D928C5">
        <w:rPr>
          <w:rFonts w:ascii="Arial" w:hAnsi="Arial" w:cs="Arial"/>
          <w:bCs/>
          <w:snapToGrid w:val="0"/>
          <w:sz w:val="22"/>
          <w:szCs w:val="22"/>
          <w:lang w:val="en-GB" w:eastAsia="en-US"/>
        </w:rPr>
        <w:t>) w</w:t>
      </w:r>
      <w:r w:rsidR="00BD68FC" w:rsidRPr="00D928C5">
        <w:rPr>
          <w:rFonts w:ascii="Arial" w:hAnsi="Arial" w:cs="Arial"/>
          <w:bCs/>
          <w:snapToGrid w:val="0"/>
          <w:sz w:val="22"/>
          <w:szCs w:val="22"/>
          <w:lang w:val="en-GB" w:eastAsia="en-US"/>
        </w:rPr>
        <w:t>ere</w:t>
      </w:r>
      <w:r w:rsidRPr="00D928C5">
        <w:rPr>
          <w:rFonts w:ascii="Arial" w:hAnsi="Arial" w:cs="Arial"/>
          <w:bCs/>
          <w:snapToGrid w:val="0"/>
          <w:sz w:val="22"/>
          <w:szCs w:val="22"/>
          <w:lang w:val="en-GB" w:eastAsia="en-US"/>
        </w:rPr>
        <w:t xml:space="preserve"> recommended for the treatment of CHC at the March 2015 meeting.</w:t>
      </w:r>
    </w:p>
    <w:p w:rsidR="00B53614" w:rsidRPr="00D928C5" w:rsidRDefault="00B53614" w:rsidP="00CD1BF1">
      <w:pPr>
        <w:pStyle w:val="ListParagraph"/>
        <w:jc w:val="both"/>
        <w:rPr>
          <w:rFonts w:ascii="Arial" w:hAnsi="Arial" w:cs="Arial"/>
          <w:bCs/>
          <w:snapToGrid w:val="0"/>
          <w:sz w:val="22"/>
          <w:szCs w:val="22"/>
          <w:lang w:val="en-GB" w:eastAsia="en-US"/>
        </w:rPr>
      </w:pPr>
    </w:p>
    <w:p w:rsidR="00B53614" w:rsidRPr="00D928C5" w:rsidRDefault="00B53614" w:rsidP="00CD1BF1">
      <w:pPr>
        <w:pStyle w:val="ListParagraph"/>
        <w:numPr>
          <w:ilvl w:val="1"/>
          <w:numId w:val="2"/>
        </w:numPr>
        <w:jc w:val="both"/>
        <w:rPr>
          <w:rFonts w:ascii="Arial" w:hAnsi="Arial" w:cs="Arial"/>
          <w:bCs/>
          <w:snapToGrid w:val="0"/>
          <w:sz w:val="22"/>
          <w:szCs w:val="22"/>
          <w:lang w:val="en-GB" w:eastAsia="en-US"/>
        </w:rPr>
      </w:pPr>
      <w:r w:rsidRPr="00D928C5">
        <w:rPr>
          <w:rFonts w:ascii="Arial" w:hAnsi="Arial" w:cs="Arial"/>
          <w:bCs/>
          <w:snapToGrid w:val="0"/>
          <w:sz w:val="22"/>
          <w:szCs w:val="22"/>
          <w:lang w:val="en-GB" w:eastAsia="en-US"/>
        </w:rPr>
        <w:t>The PBAC reiterated that it was appropriate that the new all oral treatment regimens be listed in the General Schedule, to facilitate the longer term objectives for access to treatment, increase treatment rates and outcomes with a view to treat all patients with CHC over time.</w:t>
      </w:r>
      <w:r w:rsidR="00CD1BF1" w:rsidRPr="00D928C5">
        <w:rPr>
          <w:rFonts w:ascii="Arial" w:hAnsi="Arial" w:cs="Arial"/>
          <w:bCs/>
          <w:snapToGrid w:val="0"/>
          <w:sz w:val="22"/>
          <w:szCs w:val="22"/>
          <w:lang w:val="en-GB" w:eastAsia="en-US"/>
        </w:rPr>
        <w:t xml:space="preserve"> The PBAC noted that the resubmission requested a General Schedule listing. </w:t>
      </w:r>
    </w:p>
    <w:p w:rsidR="00766384" w:rsidRPr="00D928C5" w:rsidRDefault="00766384" w:rsidP="00766384">
      <w:pPr>
        <w:pStyle w:val="ListParagraph"/>
        <w:rPr>
          <w:rFonts w:ascii="Arial" w:hAnsi="Arial" w:cs="Arial"/>
          <w:bCs/>
          <w:snapToGrid w:val="0"/>
          <w:sz w:val="22"/>
          <w:szCs w:val="22"/>
          <w:lang w:val="en-GB" w:eastAsia="en-US"/>
        </w:rPr>
      </w:pPr>
    </w:p>
    <w:p w:rsidR="00766384" w:rsidRPr="00D928C5" w:rsidRDefault="00766384" w:rsidP="00766384">
      <w:pPr>
        <w:widowControl w:val="0"/>
        <w:numPr>
          <w:ilvl w:val="1"/>
          <w:numId w:val="2"/>
        </w:numPr>
        <w:jc w:val="both"/>
        <w:rPr>
          <w:rFonts w:ascii="Arial" w:hAnsi="Arial" w:cs="Arial"/>
          <w:bCs/>
          <w:snapToGrid w:val="0"/>
          <w:sz w:val="22"/>
          <w:szCs w:val="22"/>
          <w:lang w:val="en-GB" w:eastAsia="en-US"/>
        </w:rPr>
      </w:pPr>
      <w:r w:rsidRPr="00D928C5">
        <w:rPr>
          <w:rFonts w:ascii="Arial" w:hAnsi="Arial"/>
          <w:sz w:val="22"/>
          <w:szCs w:val="22"/>
        </w:rPr>
        <w:t xml:space="preserve">The PBAC noted the submission’s proposal that ‘no treatment’ was the most appropriate comparator in accordance with the previous PBAC consideration that </w:t>
      </w:r>
      <w:r w:rsidRPr="00D928C5">
        <w:rPr>
          <w:rFonts w:ascii="Arial" w:hAnsi="Arial" w:cs="Arial"/>
          <w:bCs/>
          <w:snapToGrid w:val="0"/>
          <w:sz w:val="22"/>
          <w:szCs w:val="22"/>
          <w:lang w:eastAsia="en-US"/>
        </w:rPr>
        <w:t>in the broader context of HCV treatments, the appropriate comparator for the newer IFN-free regimens is no treatment (ribavirin PSD, March 2015)</w:t>
      </w:r>
      <w:r w:rsidRPr="00D928C5">
        <w:rPr>
          <w:rFonts w:ascii="Arial" w:hAnsi="Arial" w:cs="Arial"/>
          <w:bCs/>
          <w:snapToGrid w:val="0"/>
          <w:sz w:val="22"/>
          <w:szCs w:val="22"/>
          <w:lang w:val="en-GB" w:eastAsia="en-US"/>
        </w:rPr>
        <w:t>.</w:t>
      </w:r>
      <w:r w:rsidRPr="00D928C5">
        <w:rPr>
          <w:rFonts w:ascii="Arial" w:hAnsi="Arial" w:cs="Arial"/>
          <w:bCs/>
          <w:snapToGrid w:val="0"/>
          <w:sz w:val="22"/>
          <w:szCs w:val="22"/>
          <w:lang w:eastAsia="en-US"/>
        </w:rPr>
        <w:t xml:space="preserve"> Following the recommendation to list sofosbuvir-containing regimens, the PBAC considered that these sofosbuvir-containing regimens were the most appropriate comparators for the consideration of all other oral HCV treatments, given that LDV/SOF and SOF are likely to become the standard of care for almost all patients treated for CHC.</w:t>
      </w:r>
    </w:p>
    <w:p w:rsidR="00766384" w:rsidRPr="00D928C5" w:rsidRDefault="00766384" w:rsidP="00766384">
      <w:pPr>
        <w:pStyle w:val="ListParagraph"/>
        <w:rPr>
          <w:rFonts w:ascii="Arial" w:hAnsi="Arial" w:cs="Arial"/>
          <w:bCs/>
          <w:snapToGrid w:val="0"/>
          <w:sz w:val="22"/>
          <w:szCs w:val="22"/>
          <w:lang w:val="en-GB" w:eastAsia="en-US"/>
        </w:rPr>
      </w:pPr>
    </w:p>
    <w:p w:rsidR="00766384" w:rsidRPr="00D928C5" w:rsidRDefault="00766384" w:rsidP="00766384">
      <w:pPr>
        <w:widowControl w:val="0"/>
        <w:numPr>
          <w:ilvl w:val="1"/>
          <w:numId w:val="2"/>
        </w:numPr>
        <w:jc w:val="both"/>
        <w:rPr>
          <w:rFonts w:ascii="Arial" w:hAnsi="Arial" w:cs="Arial"/>
          <w:bCs/>
          <w:snapToGrid w:val="0"/>
          <w:sz w:val="22"/>
          <w:szCs w:val="22"/>
          <w:lang w:val="en-GB" w:eastAsia="en-US"/>
        </w:rPr>
      </w:pPr>
      <w:r w:rsidRPr="00D928C5">
        <w:rPr>
          <w:rFonts w:ascii="Arial" w:hAnsi="Arial" w:cs="Arial"/>
          <w:bCs/>
          <w:snapToGrid w:val="0"/>
          <w:sz w:val="22"/>
          <w:szCs w:val="22"/>
          <w:lang w:val="en-GB" w:eastAsia="en-US"/>
        </w:rPr>
        <w:t>The PBAC noted that no new clinical data were presented in the re-submission</w:t>
      </w:r>
      <w:r w:rsidRPr="00D928C5">
        <w:rPr>
          <w:rFonts w:ascii="Arial" w:hAnsi="Arial" w:cs="Arial"/>
          <w:bCs/>
          <w:snapToGrid w:val="0"/>
          <w:sz w:val="22"/>
          <w:szCs w:val="22"/>
          <w:lang w:eastAsia="en-US"/>
        </w:rPr>
        <w:t xml:space="preserve"> and recalled that the submission lodged for the March 2015 consideration did not provide any clinical evidence in support of the combination treatment of SOF+R for treatment of genotypes 2 and 3 HCV infection, but referred to the sofosbuvir submission considered at the July 2014 PBAC meeting for relevant data on the effectiveness and safety of SOF+R in the proposed PBS population.</w:t>
      </w:r>
      <w:r w:rsidR="00436A3F" w:rsidRPr="00D928C5">
        <w:rPr>
          <w:rFonts w:ascii="Arial" w:hAnsi="Arial" w:cs="Arial"/>
          <w:bCs/>
          <w:snapToGrid w:val="0"/>
          <w:sz w:val="22"/>
          <w:szCs w:val="22"/>
          <w:lang w:val="en-GB" w:eastAsia="en-US"/>
        </w:rPr>
        <w:t xml:space="preserve"> The PBAC has accepted the clinical benefit of this treatment regimen for treating </w:t>
      </w:r>
      <w:r w:rsidR="00436A3F" w:rsidRPr="00D928C5">
        <w:rPr>
          <w:rFonts w:ascii="Arial" w:hAnsi="Arial" w:cs="Arial"/>
          <w:bCs/>
          <w:snapToGrid w:val="0"/>
          <w:sz w:val="22"/>
          <w:szCs w:val="22"/>
          <w:lang w:eastAsia="en-US"/>
        </w:rPr>
        <w:t>genotypes 2 and 3 HCV infection</w:t>
      </w:r>
      <w:r w:rsidR="00436A3F" w:rsidRPr="00D928C5">
        <w:rPr>
          <w:rFonts w:ascii="Arial" w:hAnsi="Arial" w:cs="Arial"/>
          <w:bCs/>
          <w:snapToGrid w:val="0"/>
          <w:sz w:val="22"/>
          <w:szCs w:val="22"/>
          <w:lang w:val="en-GB" w:eastAsia="en-US"/>
        </w:rPr>
        <w:t xml:space="preserve">. </w:t>
      </w:r>
    </w:p>
    <w:p w:rsidR="00B53614" w:rsidRPr="00D928C5" w:rsidRDefault="00B53614" w:rsidP="00766384">
      <w:pPr>
        <w:jc w:val="both"/>
        <w:rPr>
          <w:rFonts w:ascii="Arial" w:hAnsi="Arial" w:cs="Arial"/>
          <w:bCs/>
          <w:snapToGrid w:val="0"/>
          <w:sz w:val="22"/>
          <w:szCs w:val="22"/>
          <w:lang w:val="en-GB" w:eastAsia="en-US"/>
        </w:rPr>
      </w:pPr>
    </w:p>
    <w:p w:rsidR="00CD1BF1" w:rsidRPr="00D928C5" w:rsidRDefault="00BD68FC" w:rsidP="00CD1BF1">
      <w:pPr>
        <w:pStyle w:val="ListParagraph"/>
        <w:numPr>
          <w:ilvl w:val="1"/>
          <w:numId w:val="2"/>
        </w:numPr>
        <w:jc w:val="both"/>
        <w:rPr>
          <w:rFonts w:ascii="Arial" w:hAnsi="Arial" w:cs="Arial"/>
          <w:bCs/>
          <w:snapToGrid w:val="0"/>
          <w:sz w:val="22"/>
          <w:szCs w:val="22"/>
          <w:lang w:val="en-GB" w:eastAsia="en-US"/>
        </w:rPr>
      </w:pPr>
      <w:r w:rsidRPr="00D928C5">
        <w:rPr>
          <w:rFonts w:ascii="Arial" w:hAnsi="Arial" w:cs="Arial"/>
          <w:bCs/>
          <w:snapToGrid w:val="0"/>
          <w:sz w:val="22"/>
          <w:szCs w:val="22"/>
          <w:lang w:val="en-GB" w:eastAsia="en-US"/>
        </w:rPr>
        <w:t>T</w:t>
      </w:r>
      <w:r w:rsidR="00CD1BF1" w:rsidRPr="00D928C5">
        <w:rPr>
          <w:rFonts w:ascii="Arial" w:hAnsi="Arial" w:cs="Arial"/>
          <w:bCs/>
          <w:snapToGrid w:val="0"/>
          <w:sz w:val="22"/>
          <w:szCs w:val="22"/>
          <w:lang w:val="en-GB" w:eastAsia="en-US"/>
        </w:rPr>
        <w:t>he PBAC considered with the clinical evidence available</w:t>
      </w:r>
      <w:r w:rsidRPr="00D928C5">
        <w:rPr>
          <w:rFonts w:ascii="Arial" w:hAnsi="Arial" w:cs="Arial"/>
          <w:bCs/>
          <w:snapToGrid w:val="0"/>
          <w:sz w:val="22"/>
          <w:szCs w:val="22"/>
          <w:lang w:val="en-GB" w:eastAsia="en-US"/>
        </w:rPr>
        <w:t xml:space="preserve"> </w:t>
      </w:r>
      <w:r w:rsidR="00CD1BF1" w:rsidRPr="00D928C5">
        <w:rPr>
          <w:rFonts w:ascii="Arial" w:hAnsi="Arial" w:cs="Arial"/>
          <w:bCs/>
          <w:snapToGrid w:val="0"/>
          <w:sz w:val="22"/>
          <w:szCs w:val="22"/>
          <w:lang w:val="en-GB" w:eastAsia="en-US"/>
        </w:rPr>
        <w:t>that there was no basis on which to recommend that any one treatment (including those that are in combination with ribavirin) be more expensive than another.</w:t>
      </w:r>
    </w:p>
    <w:p w:rsidR="00B25D42" w:rsidRPr="00D928C5" w:rsidRDefault="00B25D42" w:rsidP="00CD1BF1">
      <w:pPr>
        <w:pStyle w:val="ListParagraph"/>
        <w:jc w:val="both"/>
        <w:rPr>
          <w:rFonts w:ascii="Arial" w:hAnsi="Arial" w:cs="Arial"/>
          <w:bCs/>
          <w:snapToGrid w:val="0"/>
          <w:sz w:val="22"/>
          <w:szCs w:val="22"/>
          <w:lang w:val="en-GB" w:eastAsia="en-US"/>
        </w:rPr>
      </w:pPr>
    </w:p>
    <w:p w:rsidR="00B25D42" w:rsidRPr="00D928C5" w:rsidRDefault="00B25D42" w:rsidP="00CD1BF1">
      <w:pPr>
        <w:pStyle w:val="ListParagraph"/>
        <w:numPr>
          <w:ilvl w:val="1"/>
          <w:numId w:val="2"/>
        </w:numPr>
        <w:jc w:val="both"/>
        <w:rPr>
          <w:rFonts w:ascii="Arial" w:hAnsi="Arial" w:cs="Arial"/>
          <w:bCs/>
          <w:snapToGrid w:val="0"/>
          <w:sz w:val="22"/>
          <w:szCs w:val="22"/>
          <w:lang w:val="en-GB" w:eastAsia="en-US"/>
        </w:rPr>
      </w:pPr>
      <w:r w:rsidRPr="00D928C5">
        <w:rPr>
          <w:rFonts w:ascii="Arial" w:hAnsi="Arial" w:cs="Arial"/>
          <w:bCs/>
          <w:snapToGrid w:val="0"/>
          <w:sz w:val="22"/>
          <w:szCs w:val="22"/>
          <w:lang w:val="en-GB" w:eastAsia="en-US"/>
        </w:rPr>
        <w:t xml:space="preserve">In the context of the number of IFN-free treatments for CHC that have been recently assessed by the TGA and considered by the PBAC for the listing on the PBS, </w:t>
      </w:r>
      <w:r w:rsidR="002E4E55" w:rsidRPr="00D928C5">
        <w:rPr>
          <w:rFonts w:ascii="Arial" w:hAnsi="Arial" w:cs="Arial"/>
          <w:bCs/>
          <w:snapToGrid w:val="0"/>
          <w:sz w:val="22"/>
          <w:szCs w:val="22"/>
          <w:lang w:val="en-GB" w:eastAsia="en-US"/>
        </w:rPr>
        <w:t>the PBAC considered that the most appropriate way in which to make subsidised</w:t>
      </w:r>
      <w:r w:rsidRPr="00D928C5">
        <w:rPr>
          <w:rFonts w:ascii="Arial" w:hAnsi="Arial" w:cs="Arial"/>
          <w:bCs/>
          <w:snapToGrid w:val="0"/>
          <w:sz w:val="22"/>
          <w:szCs w:val="22"/>
          <w:lang w:val="en-GB" w:eastAsia="en-US"/>
        </w:rPr>
        <w:t xml:space="preserve"> ribavirin </w:t>
      </w:r>
      <w:r w:rsidR="002E4E55" w:rsidRPr="00D928C5">
        <w:rPr>
          <w:rFonts w:ascii="Arial" w:hAnsi="Arial" w:cs="Arial"/>
          <w:bCs/>
          <w:snapToGrid w:val="0"/>
          <w:sz w:val="22"/>
          <w:szCs w:val="22"/>
          <w:lang w:val="en-GB" w:eastAsia="en-US"/>
        </w:rPr>
        <w:t>available in</w:t>
      </w:r>
      <w:r w:rsidRPr="00D928C5">
        <w:rPr>
          <w:rFonts w:ascii="Arial" w:hAnsi="Arial" w:cs="Arial"/>
          <w:bCs/>
          <w:snapToGrid w:val="0"/>
          <w:sz w:val="22"/>
          <w:szCs w:val="22"/>
          <w:lang w:val="en-GB" w:eastAsia="en-US"/>
        </w:rPr>
        <w:t xml:space="preserve"> Australia</w:t>
      </w:r>
      <w:r w:rsidR="002E4E55" w:rsidRPr="00D928C5">
        <w:rPr>
          <w:rFonts w:ascii="Arial" w:hAnsi="Arial" w:cs="Arial"/>
          <w:bCs/>
          <w:snapToGrid w:val="0"/>
          <w:sz w:val="22"/>
          <w:szCs w:val="22"/>
          <w:lang w:val="en-GB" w:eastAsia="en-US"/>
        </w:rPr>
        <w:t xml:space="preserve"> is uncertain</w:t>
      </w:r>
      <w:r w:rsidRPr="00D928C5">
        <w:rPr>
          <w:rFonts w:ascii="Arial" w:hAnsi="Arial" w:cs="Arial"/>
          <w:bCs/>
          <w:snapToGrid w:val="0"/>
          <w:sz w:val="22"/>
          <w:szCs w:val="22"/>
          <w:lang w:val="en-GB" w:eastAsia="en-US"/>
        </w:rPr>
        <w:t xml:space="preserve">, </w:t>
      </w:r>
      <w:r w:rsidR="002E4E55" w:rsidRPr="00D928C5">
        <w:rPr>
          <w:rFonts w:ascii="Arial" w:hAnsi="Arial" w:cs="Arial"/>
          <w:bCs/>
          <w:snapToGrid w:val="0"/>
          <w:sz w:val="22"/>
          <w:szCs w:val="22"/>
          <w:lang w:val="en-GB" w:eastAsia="en-US"/>
        </w:rPr>
        <w:t xml:space="preserve">noting </w:t>
      </w:r>
      <w:r w:rsidRPr="00D928C5">
        <w:rPr>
          <w:rFonts w:ascii="Arial" w:hAnsi="Arial" w:cs="Arial"/>
          <w:bCs/>
          <w:snapToGrid w:val="0"/>
          <w:sz w:val="22"/>
          <w:szCs w:val="22"/>
          <w:lang w:val="en-GB" w:eastAsia="en-US"/>
        </w:rPr>
        <w:t>that</w:t>
      </w:r>
      <w:r w:rsidR="008658D9" w:rsidRPr="00D928C5">
        <w:rPr>
          <w:rFonts w:ascii="Arial" w:hAnsi="Arial" w:cs="Arial"/>
          <w:bCs/>
          <w:snapToGrid w:val="0"/>
          <w:sz w:val="22"/>
          <w:szCs w:val="22"/>
          <w:lang w:val="en-GB" w:eastAsia="en-US"/>
        </w:rPr>
        <w:t xml:space="preserve">: </w:t>
      </w:r>
    </w:p>
    <w:p w:rsidR="00B25D42" w:rsidRPr="00D928C5" w:rsidRDefault="00B25D42" w:rsidP="002E4E55">
      <w:pPr>
        <w:pStyle w:val="ListParagraph"/>
        <w:numPr>
          <w:ilvl w:val="0"/>
          <w:numId w:val="19"/>
        </w:numPr>
        <w:jc w:val="both"/>
        <w:rPr>
          <w:rFonts w:ascii="Arial" w:hAnsi="Arial"/>
          <w:sz w:val="22"/>
          <w:szCs w:val="22"/>
        </w:rPr>
      </w:pPr>
      <w:r w:rsidRPr="00D928C5">
        <w:rPr>
          <w:rFonts w:ascii="Arial" w:hAnsi="Arial"/>
          <w:sz w:val="22"/>
          <w:szCs w:val="22"/>
        </w:rPr>
        <w:t xml:space="preserve">this submission requested </w:t>
      </w:r>
      <w:r w:rsidR="00F20368" w:rsidRPr="00D928C5">
        <w:rPr>
          <w:rFonts w:ascii="Arial" w:hAnsi="Arial"/>
          <w:sz w:val="22"/>
          <w:szCs w:val="22"/>
        </w:rPr>
        <w:t>the</w:t>
      </w:r>
      <w:r w:rsidRPr="00D928C5">
        <w:rPr>
          <w:rFonts w:ascii="Arial" w:hAnsi="Arial"/>
          <w:sz w:val="22"/>
          <w:szCs w:val="22"/>
        </w:rPr>
        <w:t xml:space="preserve"> General Schedule listing for ribavirin, in combination with sofosbuvir, for the treatment of adults with chronic hepatitis C (CHC) genotype 2 or 3.</w:t>
      </w:r>
    </w:p>
    <w:p w:rsidR="00F20368" w:rsidRPr="00D928C5" w:rsidRDefault="00F20368" w:rsidP="002E4E55">
      <w:pPr>
        <w:pStyle w:val="ListParagraph"/>
        <w:numPr>
          <w:ilvl w:val="0"/>
          <w:numId w:val="19"/>
        </w:numPr>
        <w:jc w:val="both"/>
        <w:rPr>
          <w:rFonts w:ascii="Arial" w:hAnsi="Arial"/>
          <w:sz w:val="22"/>
          <w:szCs w:val="22"/>
        </w:rPr>
      </w:pPr>
      <w:r w:rsidRPr="00D928C5">
        <w:rPr>
          <w:rFonts w:ascii="Arial" w:hAnsi="Arial"/>
          <w:sz w:val="22"/>
          <w:szCs w:val="22"/>
        </w:rPr>
        <w:t xml:space="preserve">the dosage and administration section of the </w:t>
      </w:r>
      <w:r w:rsidR="002E4E55" w:rsidRPr="00D928C5">
        <w:rPr>
          <w:rFonts w:ascii="Arial" w:hAnsi="Arial"/>
          <w:sz w:val="22"/>
          <w:szCs w:val="22"/>
        </w:rPr>
        <w:t>product</w:t>
      </w:r>
      <w:r w:rsidRPr="00D928C5">
        <w:rPr>
          <w:rFonts w:ascii="Arial" w:hAnsi="Arial"/>
          <w:sz w:val="22"/>
          <w:szCs w:val="22"/>
        </w:rPr>
        <w:t xml:space="preserve"> information for daclatatasvir (DATE OF INCLUSION IN THE ARTG 25 June 2015) states</w:t>
      </w:r>
      <w:r w:rsidR="002E4E55" w:rsidRPr="00D928C5">
        <w:rPr>
          <w:rFonts w:ascii="Arial" w:hAnsi="Arial"/>
          <w:sz w:val="22"/>
          <w:szCs w:val="22"/>
        </w:rPr>
        <w:t xml:space="preserve"> </w:t>
      </w:r>
      <w:r w:rsidRPr="00D928C5">
        <w:rPr>
          <w:rFonts w:ascii="Arial" w:hAnsi="Arial"/>
          <w:sz w:val="22"/>
          <w:szCs w:val="22"/>
        </w:rPr>
        <w:t xml:space="preserve"> </w:t>
      </w:r>
      <w:r w:rsidR="002E4E55" w:rsidRPr="00D928C5">
        <w:rPr>
          <w:rFonts w:ascii="Arial" w:hAnsi="Arial"/>
          <w:sz w:val="22"/>
          <w:szCs w:val="22"/>
        </w:rPr>
        <w:t>‘</w:t>
      </w:r>
      <w:r w:rsidRPr="00D928C5">
        <w:rPr>
          <w:rFonts w:ascii="Arial" w:hAnsi="Arial"/>
          <w:sz w:val="22"/>
          <w:szCs w:val="22"/>
        </w:rPr>
        <w:t>Consider adding ribavirin to the DAKLINZA/sofosbuvir 12-week regimen or prolonging treatment duration to 24 weeks for patients with cirrhosis</w:t>
      </w:r>
      <w:r w:rsidR="002E4E55" w:rsidRPr="00D928C5">
        <w:rPr>
          <w:rFonts w:ascii="Arial" w:hAnsi="Arial"/>
          <w:sz w:val="22"/>
          <w:szCs w:val="22"/>
        </w:rPr>
        <w:t>’</w:t>
      </w:r>
      <w:r w:rsidRPr="00D928C5">
        <w:rPr>
          <w:rFonts w:ascii="Arial" w:hAnsi="Arial"/>
          <w:sz w:val="22"/>
          <w:szCs w:val="22"/>
        </w:rPr>
        <w:t xml:space="preserve"> in Genotype 1 patients. </w:t>
      </w:r>
    </w:p>
    <w:p w:rsidR="00F20368" w:rsidRPr="00D928C5" w:rsidRDefault="00F20368" w:rsidP="002E4E55">
      <w:pPr>
        <w:pStyle w:val="ListParagraph"/>
        <w:numPr>
          <w:ilvl w:val="0"/>
          <w:numId w:val="19"/>
        </w:numPr>
        <w:jc w:val="both"/>
        <w:rPr>
          <w:rFonts w:ascii="Arial" w:hAnsi="Arial"/>
          <w:sz w:val="22"/>
          <w:szCs w:val="22"/>
        </w:rPr>
      </w:pPr>
      <w:r w:rsidRPr="00D928C5">
        <w:rPr>
          <w:rFonts w:ascii="Arial" w:hAnsi="Arial"/>
          <w:sz w:val="22"/>
          <w:szCs w:val="22"/>
        </w:rPr>
        <w:t>international guidelines, such as from American Association for the Study of Liver Diseases (AASLD)/Infectious Diseases Society of America (IDSA) recommend ribavirin to be used in combination with other direct-acting antivirals (DAAs</w:t>
      </w:r>
      <w:r w:rsidR="002E4E55" w:rsidRPr="00D928C5">
        <w:rPr>
          <w:rFonts w:ascii="Arial" w:hAnsi="Arial"/>
          <w:sz w:val="22"/>
          <w:szCs w:val="22"/>
        </w:rPr>
        <w:t>)</w:t>
      </w:r>
      <w:r w:rsidR="00436A3F" w:rsidRPr="00D928C5">
        <w:rPr>
          <w:rFonts w:ascii="Arial" w:hAnsi="Arial"/>
          <w:sz w:val="22"/>
          <w:szCs w:val="22"/>
        </w:rPr>
        <w:t>, including sofosbuvir used in combination with simeprevir</w:t>
      </w:r>
    </w:p>
    <w:p w:rsidR="00A00A08" w:rsidRPr="00D928C5" w:rsidRDefault="00A00A08" w:rsidP="007B4669">
      <w:pPr>
        <w:widowControl w:val="0"/>
        <w:jc w:val="both"/>
        <w:rPr>
          <w:rFonts w:ascii="Arial" w:hAnsi="Arial" w:cs="Arial"/>
          <w:bCs/>
          <w:snapToGrid w:val="0"/>
          <w:sz w:val="22"/>
          <w:szCs w:val="22"/>
          <w:lang w:eastAsia="en-US"/>
        </w:rPr>
      </w:pPr>
    </w:p>
    <w:p w:rsidR="009F42D3" w:rsidRPr="00D928C5" w:rsidRDefault="009F42D3" w:rsidP="009178ED">
      <w:pPr>
        <w:widowControl w:val="0"/>
        <w:numPr>
          <w:ilvl w:val="1"/>
          <w:numId w:val="2"/>
        </w:numPr>
        <w:jc w:val="both"/>
        <w:rPr>
          <w:rFonts w:ascii="Arial" w:hAnsi="Arial" w:cs="Arial"/>
          <w:bCs/>
          <w:snapToGrid w:val="0"/>
          <w:sz w:val="22"/>
          <w:szCs w:val="22"/>
          <w:lang w:eastAsia="en-US"/>
        </w:rPr>
      </w:pPr>
      <w:r w:rsidRPr="00D928C5">
        <w:rPr>
          <w:rFonts w:ascii="Arial" w:hAnsi="Arial" w:cs="Arial"/>
          <w:bCs/>
          <w:snapToGrid w:val="0"/>
          <w:sz w:val="22"/>
          <w:szCs w:val="22"/>
          <w:lang w:val="en-GB" w:eastAsia="en-US"/>
        </w:rPr>
        <w:t xml:space="preserve">The PBAC was concerned that how ribavirin would be used in association with other all oral interferon-free regimens in Australia, compared to other international guidelines, has not been established and that the proposed listing may inappropriately restrict availability of ribavirin to patients infected with other CHC genotypes. </w:t>
      </w:r>
    </w:p>
    <w:p w:rsidR="009F42D3" w:rsidRPr="00D928C5" w:rsidRDefault="009F42D3" w:rsidP="009F42D3">
      <w:pPr>
        <w:widowControl w:val="0"/>
        <w:jc w:val="both"/>
        <w:rPr>
          <w:rFonts w:ascii="Arial" w:hAnsi="Arial" w:cs="Arial"/>
          <w:bCs/>
          <w:snapToGrid w:val="0"/>
          <w:sz w:val="22"/>
          <w:szCs w:val="22"/>
          <w:lang w:eastAsia="en-US"/>
        </w:rPr>
      </w:pPr>
    </w:p>
    <w:p w:rsidR="005E4DBB" w:rsidRPr="00D928C5" w:rsidRDefault="00D928C5" w:rsidP="00D928C5">
      <w:pPr>
        <w:widowControl w:val="0"/>
        <w:numPr>
          <w:ilvl w:val="1"/>
          <w:numId w:val="2"/>
        </w:numPr>
        <w:jc w:val="both"/>
        <w:rPr>
          <w:rFonts w:ascii="Arial" w:hAnsi="Arial" w:cs="Arial"/>
          <w:bCs/>
          <w:snapToGrid w:val="0"/>
          <w:sz w:val="22"/>
          <w:szCs w:val="22"/>
          <w:lang w:eastAsia="en-US"/>
        </w:rPr>
      </w:pPr>
      <w:r w:rsidRPr="00D928C5">
        <w:rPr>
          <w:rFonts w:ascii="Arial" w:hAnsi="Arial" w:cs="Arial"/>
          <w:bCs/>
          <w:snapToGrid w:val="0"/>
          <w:sz w:val="22"/>
          <w:szCs w:val="22"/>
          <w:lang w:eastAsia="en-US"/>
        </w:rPr>
        <w:t xml:space="preserve">The PBAC noted the submission’s approach to estimate the extent of use of ribavirin based on the PBAC’s March recommendations regarding the number of CHC patients (all genotypes) likely to receive interferon-free therapies.  </w:t>
      </w:r>
      <w:r w:rsidR="005E4DBB" w:rsidRPr="00D928C5">
        <w:rPr>
          <w:rFonts w:ascii="Arial" w:hAnsi="Arial" w:cs="Arial"/>
          <w:bCs/>
          <w:snapToGrid w:val="0"/>
          <w:sz w:val="22"/>
          <w:szCs w:val="22"/>
          <w:lang w:eastAsia="en-US"/>
        </w:rPr>
        <w:t xml:space="preserve">The PBAC noted the submission’s </w:t>
      </w:r>
      <w:r w:rsidR="00D055A7" w:rsidRPr="00D928C5">
        <w:rPr>
          <w:rFonts w:ascii="Arial" w:hAnsi="Arial" w:cs="Arial"/>
          <w:bCs/>
          <w:snapToGrid w:val="0"/>
          <w:sz w:val="22"/>
          <w:szCs w:val="22"/>
          <w:lang w:eastAsia="en-US"/>
        </w:rPr>
        <w:t>estimate</w:t>
      </w:r>
      <w:r w:rsidR="009178ED" w:rsidRPr="00D928C5">
        <w:rPr>
          <w:rFonts w:ascii="Arial" w:hAnsi="Arial" w:cs="Arial"/>
          <w:bCs/>
          <w:snapToGrid w:val="0"/>
          <w:sz w:val="22"/>
          <w:szCs w:val="22"/>
          <w:lang w:eastAsia="en-US"/>
        </w:rPr>
        <w:t>s</w:t>
      </w:r>
      <w:r w:rsidR="00D055A7" w:rsidRPr="00D928C5">
        <w:rPr>
          <w:rFonts w:ascii="Arial" w:hAnsi="Arial" w:cs="Arial"/>
          <w:bCs/>
          <w:snapToGrid w:val="0"/>
          <w:sz w:val="22"/>
          <w:szCs w:val="22"/>
          <w:lang w:eastAsia="en-US"/>
        </w:rPr>
        <w:t xml:space="preserve"> of the likely number of patients</w:t>
      </w:r>
      <w:r w:rsidR="005E4DBB" w:rsidRPr="00D928C5">
        <w:rPr>
          <w:rFonts w:ascii="Arial" w:hAnsi="Arial" w:cs="Arial"/>
          <w:bCs/>
          <w:snapToGrid w:val="0"/>
          <w:sz w:val="22"/>
          <w:szCs w:val="22"/>
          <w:lang w:eastAsia="en-US"/>
        </w:rPr>
        <w:t xml:space="preserve"> </w:t>
      </w:r>
      <w:r w:rsidR="009178ED" w:rsidRPr="00D928C5">
        <w:rPr>
          <w:rFonts w:ascii="Arial" w:hAnsi="Arial" w:cs="Arial"/>
          <w:bCs/>
          <w:snapToGrid w:val="0"/>
          <w:sz w:val="22"/>
          <w:szCs w:val="22"/>
          <w:lang w:eastAsia="en-US"/>
        </w:rPr>
        <w:t>using</w:t>
      </w:r>
      <w:r w:rsidR="00D055A7" w:rsidRPr="00D928C5">
        <w:rPr>
          <w:rFonts w:ascii="Arial" w:hAnsi="Arial" w:cs="Arial"/>
          <w:bCs/>
          <w:snapToGrid w:val="0"/>
          <w:sz w:val="22"/>
          <w:szCs w:val="22"/>
          <w:lang w:eastAsia="en-US"/>
        </w:rPr>
        <w:t xml:space="preserve"> ribavirin to be</w:t>
      </w:r>
      <w:r w:rsidR="00F81686">
        <w:rPr>
          <w:rFonts w:ascii="Arial" w:hAnsi="Arial" w:cs="Arial"/>
          <w:bCs/>
          <w:snapToGrid w:val="0"/>
          <w:sz w:val="22"/>
          <w:szCs w:val="22"/>
          <w:lang w:eastAsia="en-US"/>
        </w:rPr>
        <w:t>10,000-50,000</w:t>
      </w:r>
      <w:r w:rsidR="009178ED" w:rsidRPr="00D928C5">
        <w:rPr>
          <w:rFonts w:ascii="Arial" w:hAnsi="Arial" w:cs="Arial"/>
          <w:bCs/>
          <w:snapToGrid w:val="0"/>
          <w:sz w:val="22"/>
          <w:szCs w:val="22"/>
          <w:lang w:eastAsia="en-US"/>
        </w:rPr>
        <w:t xml:space="preserve">, resulting in </w:t>
      </w:r>
      <w:r w:rsidR="00D055A7" w:rsidRPr="00D928C5">
        <w:rPr>
          <w:rFonts w:ascii="Arial" w:hAnsi="Arial" w:cs="Arial"/>
          <w:bCs/>
          <w:snapToGrid w:val="0"/>
          <w:sz w:val="22"/>
          <w:szCs w:val="22"/>
          <w:lang w:eastAsia="en-US"/>
        </w:rPr>
        <w:t xml:space="preserve">a net cost </w:t>
      </w:r>
      <w:r w:rsidR="00423EA7" w:rsidRPr="00D928C5">
        <w:rPr>
          <w:rFonts w:ascii="Arial" w:hAnsi="Arial" w:cs="Arial"/>
          <w:bCs/>
          <w:snapToGrid w:val="0"/>
          <w:sz w:val="22"/>
          <w:szCs w:val="22"/>
          <w:lang w:eastAsia="en-US"/>
        </w:rPr>
        <w:t>of up to</w:t>
      </w:r>
      <w:r w:rsidR="00F81686">
        <w:rPr>
          <w:rFonts w:ascii="Arial" w:hAnsi="Arial" w:cs="Arial"/>
          <w:bCs/>
          <w:snapToGrid w:val="0"/>
          <w:sz w:val="22"/>
          <w:szCs w:val="22"/>
          <w:lang w:eastAsia="en-US"/>
        </w:rPr>
        <w:t xml:space="preserve"> $60 - $100 million</w:t>
      </w:r>
      <w:r w:rsidR="009178ED" w:rsidRPr="00D928C5">
        <w:rPr>
          <w:rFonts w:ascii="Arial" w:hAnsi="Arial" w:cs="Arial"/>
          <w:bCs/>
          <w:snapToGrid w:val="0"/>
          <w:sz w:val="22"/>
          <w:szCs w:val="22"/>
          <w:lang w:eastAsia="en-US"/>
        </w:rPr>
        <w:t>, based on the proposed price over 5 years.</w:t>
      </w:r>
      <w:r w:rsidR="00D055A7" w:rsidRPr="00D928C5">
        <w:rPr>
          <w:rFonts w:ascii="Arial" w:hAnsi="Arial" w:cs="Arial"/>
          <w:bCs/>
          <w:snapToGrid w:val="0"/>
          <w:sz w:val="22"/>
          <w:szCs w:val="22"/>
          <w:lang w:eastAsia="en-US"/>
        </w:rPr>
        <w:t xml:space="preserve"> The PBAC noted that these estimates </w:t>
      </w:r>
      <w:r w:rsidR="009178ED" w:rsidRPr="00D928C5">
        <w:rPr>
          <w:rFonts w:ascii="Arial" w:hAnsi="Arial" w:cs="Arial"/>
          <w:bCs/>
          <w:snapToGrid w:val="0"/>
          <w:sz w:val="22"/>
          <w:szCs w:val="22"/>
          <w:lang w:eastAsia="en-US"/>
        </w:rPr>
        <w:t xml:space="preserve">would be part of the larger financial implication of the listing </w:t>
      </w:r>
      <w:r w:rsidR="005E3A94">
        <w:rPr>
          <w:rFonts w:ascii="Arial" w:hAnsi="Arial" w:cs="Arial"/>
          <w:bCs/>
          <w:snapToGrid w:val="0"/>
          <w:sz w:val="22"/>
          <w:szCs w:val="22"/>
          <w:lang w:eastAsia="en-US"/>
        </w:rPr>
        <w:t>of IFN-free treatments for CHC.</w:t>
      </w:r>
    </w:p>
    <w:p w:rsidR="009F3572" w:rsidRPr="00D928C5" w:rsidRDefault="009F3572" w:rsidP="00436A3F">
      <w:pPr>
        <w:pStyle w:val="ListParagraph"/>
        <w:rPr>
          <w:rFonts w:ascii="Arial" w:hAnsi="Arial" w:cs="Arial"/>
          <w:bCs/>
          <w:snapToGrid w:val="0"/>
          <w:sz w:val="22"/>
          <w:szCs w:val="22"/>
          <w:lang w:eastAsia="en-US"/>
        </w:rPr>
      </w:pPr>
    </w:p>
    <w:p w:rsidR="009F3572" w:rsidRPr="00D928C5" w:rsidRDefault="009F3572" w:rsidP="009F3572">
      <w:pPr>
        <w:pStyle w:val="ListParagraph"/>
        <w:numPr>
          <w:ilvl w:val="1"/>
          <w:numId w:val="2"/>
        </w:numPr>
        <w:rPr>
          <w:rFonts w:ascii="Arial" w:hAnsi="Arial" w:cs="Arial"/>
          <w:bCs/>
          <w:snapToGrid w:val="0"/>
          <w:sz w:val="22"/>
          <w:szCs w:val="22"/>
          <w:lang w:eastAsia="en-US"/>
        </w:rPr>
      </w:pPr>
      <w:r w:rsidRPr="00D928C5">
        <w:rPr>
          <w:rFonts w:ascii="Arial" w:hAnsi="Arial" w:cs="Arial"/>
          <w:bCs/>
          <w:snapToGrid w:val="0"/>
          <w:sz w:val="22"/>
          <w:szCs w:val="22"/>
          <w:lang w:eastAsia="en-US"/>
        </w:rPr>
        <w:t>The submission is not eligible for an Independent Review, because the decision</w:t>
      </w:r>
      <w:r w:rsidR="00261CB8" w:rsidRPr="00D928C5">
        <w:rPr>
          <w:rFonts w:ascii="Arial" w:hAnsi="Arial" w:cs="Arial"/>
          <w:bCs/>
          <w:snapToGrid w:val="0"/>
          <w:sz w:val="22"/>
          <w:szCs w:val="22"/>
          <w:lang w:eastAsia="en-US"/>
        </w:rPr>
        <w:t xml:space="preserve"> by the PBAC</w:t>
      </w:r>
      <w:r w:rsidRPr="00D928C5">
        <w:rPr>
          <w:rFonts w:ascii="Arial" w:hAnsi="Arial" w:cs="Arial"/>
          <w:bCs/>
          <w:snapToGrid w:val="0"/>
          <w:sz w:val="22"/>
          <w:szCs w:val="22"/>
          <w:lang w:eastAsia="en-US"/>
        </w:rPr>
        <w:t xml:space="preserve"> has been deferred.</w:t>
      </w:r>
    </w:p>
    <w:p w:rsidR="009F3572" w:rsidRPr="00D928C5" w:rsidRDefault="009F3572" w:rsidP="00436A3F">
      <w:pPr>
        <w:widowControl w:val="0"/>
        <w:jc w:val="both"/>
        <w:rPr>
          <w:rFonts w:ascii="Arial" w:hAnsi="Arial" w:cs="Arial"/>
          <w:bCs/>
          <w:snapToGrid w:val="0"/>
          <w:sz w:val="22"/>
          <w:szCs w:val="22"/>
          <w:lang w:eastAsia="en-US"/>
        </w:rPr>
      </w:pPr>
    </w:p>
    <w:p w:rsidR="003E2EB0" w:rsidRPr="00D928C5" w:rsidRDefault="003E2EB0" w:rsidP="003E2EB0">
      <w:pPr>
        <w:jc w:val="both"/>
        <w:rPr>
          <w:rFonts w:ascii="Arial" w:hAnsi="Arial" w:cs="Arial"/>
          <w:b/>
          <w:bCs/>
          <w:snapToGrid w:val="0"/>
          <w:sz w:val="22"/>
          <w:szCs w:val="22"/>
          <w:lang w:val="en-GB" w:eastAsia="en-US"/>
        </w:rPr>
      </w:pPr>
    </w:p>
    <w:p w:rsidR="003E2EB0" w:rsidRPr="00D928C5" w:rsidRDefault="003E2EB0" w:rsidP="003E2EB0">
      <w:pPr>
        <w:jc w:val="both"/>
        <w:rPr>
          <w:rFonts w:ascii="Arial" w:hAnsi="Arial" w:cs="Arial"/>
          <w:b/>
          <w:bCs/>
          <w:snapToGrid w:val="0"/>
          <w:sz w:val="22"/>
          <w:szCs w:val="22"/>
          <w:lang w:val="en-GB" w:eastAsia="en-US"/>
        </w:rPr>
      </w:pPr>
      <w:r w:rsidRPr="00D928C5">
        <w:rPr>
          <w:rFonts w:ascii="Arial" w:hAnsi="Arial" w:cs="Arial"/>
          <w:b/>
          <w:bCs/>
          <w:snapToGrid w:val="0"/>
          <w:sz w:val="22"/>
          <w:szCs w:val="22"/>
          <w:lang w:val="en-GB" w:eastAsia="en-US"/>
        </w:rPr>
        <w:t>Outcome:</w:t>
      </w:r>
    </w:p>
    <w:p w:rsidR="003E2EB0" w:rsidRDefault="00A00A08" w:rsidP="003E2EB0">
      <w:pPr>
        <w:jc w:val="both"/>
        <w:rPr>
          <w:rFonts w:ascii="Arial" w:hAnsi="Arial" w:cs="Arial"/>
          <w:bCs/>
          <w:snapToGrid w:val="0"/>
          <w:sz w:val="22"/>
          <w:szCs w:val="22"/>
          <w:lang w:val="en-GB" w:eastAsia="en-US"/>
        </w:rPr>
      </w:pPr>
      <w:r w:rsidRPr="00D928C5">
        <w:rPr>
          <w:rFonts w:ascii="Arial" w:hAnsi="Arial" w:cs="Arial"/>
          <w:bCs/>
          <w:snapToGrid w:val="0"/>
          <w:sz w:val="22"/>
          <w:szCs w:val="22"/>
          <w:lang w:val="en-GB" w:eastAsia="en-US"/>
        </w:rPr>
        <w:t>Deferred</w:t>
      </w:r>
      <w:r w:rsidR="003E2EB0" w:rsidRPr="00D928C5">
        <w:rPr>
          <w:rFonts w:ascii="Arial" w:hAnsi="Arial" w:cs="Arial"/>
          <w:bCs/>
          <w:snapToGrid w:val="0"/>
          <w:sz w:val="22"/>
          <w:szCs w:val="22"/>
          <w:lang w:val="en-GB" w:eastAsia="en-US"/>
        </w:rPr>
        <w:t>.</w:t>
      </w:r>
    </w:p>
    <w:p w:rsidR="00AB46EF" w:rsidRDefault="00AB46EF" w:rsidP="003E2EB0">
      <w:pPr>
        <w:jc w:val="both"/>
        <w:rPr>
          <w:rFonts w:ascii="Arial" w:hAnsi="Arial" w:cs="Arial"/>
          <w:bCs/>
          <w:snapToGrid w:val="0"/>
          <w:sz w:val="22"/>
          <w:szCs w:val="22"/>
          <w:lang w:val="en-GB" w:eastAsia="en-US"/>
        </w:rPr>
      </w:pPr>
    </w:p>
    <w:p w:rsidR="0017049F" w:rsidRDefault="0017049F" w:rsidP="003E2EB0">
      <w:pPr>
        <w:jc w:val="both"/>
        <w:rPr>
          <w:rFonts w:ascii="Arial" w:hAnsi="Arial" w:cs="Arial"/>
          <w:bCs/>
          <w:snapToGrid w:val="0"/>
          <w:sz w:val="22"/>
          <w:szCs w:val="22"/>
          <w:lang w:val="en-GB" w:eastAsia="en-US"/>
        </w:rPr>
      </w:pPr>
    </w:p>
    <w:p w:rsidR="00AB46EF" w:rsidRPr="00AB46EF" w:rsidRDefault="00AB46EF" w:rsidP="00AB46EF">
      <w:pPr>
        <w:pStyle w:val="ListParagraph"/>
        <w:numPr>
          <w:ilvl w:val="0"/>
          <w:numId w:val="2"/>
        </w:numPr>
        <w:jc w:val="both"/>
        <w:rPr>
          <w:rFonts w:ascii="Arial" w:hAnsi="Arial" w:cs="Arial"/>
          <w:b/>
          <w:bCs/>
          <w:snapToGrid w:val="0"/>
          <w:sz w:val="22"/>
          <w:szCs w:val="22"/>
          <w:lang w:val="en-GB" w:eastAsia="en-US"/>
        </w:rPr>
      </w:pPr>
      <w:r w:rsidRPr="00AB46EF">
        <w:rPr>
          <w:rFonts w:ascii="Arial" w:hAnsi="Arial" w:cs="Arial"/>
          <w:b/>
          <w:bCs/>
          <w:snapToGrid w:val="0"/>
          <w:sz w:val="22"/>
          <w:szCs w:val="22"/>
          <w:lang w:val="en-GB" w:eastAsia="en-US"/>
        </w:rPr>
        <w:t>Context for decision</w:t>
      </w:r>
    </w:p>
    <w:p w:rsidR="00AB46EF" w:rsidRPr="00AB46EF" w:rsidRDefault="00AB46EF" w:rsidP="00AB46EF">
      <w:pPr>
        <w:pStyle w:val="ListParagraph"/>
        <w:jc w:val="both"/>
        <w:rPr>
          <w:rFonts w:ascii="Arial" w:hAnsi="Arial" w:cs="Arial"/>
          <w:bCs/>
          <w:snapToGrid w:val="0"/>
          <w:sz w:val="22"/>
          <w:szCs w:val="22"/>
          <w:lang w:val="en-GB" w:eastAsia="en-US"/>
        </w:rPr>
      </w:pPr>
      <w:r w:rsidRPr="00AB46EF">
        <w:rPr>
          <w:rFonts w:ascii="Arial" w:hAnsi="Arial" w:cs="Arial"/>
          <w:bCs/>
          <w:snapToGrid w:val="0"/>
          <w:sz w:val="22"/>
          <w:szCs w:val="22"/>
          <w:lang w:val="en-GB" w:eastAsia="en-US"/>
        </w:rPr>
        <w:t xml:space="preserve"> </w:t>
      </w:r>
    </w:p>
    <w:p w:rsidR="00AB46EF" w:rsidRDefault="00AB46EF" w:rsidP="00AB46EF">
      <w:pPr>
        <w:pStyle w:val="ListParagraph"/>
        <w:jc w:val="both"/>
        <w:rPr>
          <w:rFonts w:ascii="Arial" w:hAnsi="Arial" w:cs="Arial"/>
          <w:bCs/>
          <w:snapToGrid w:val="0"/>
          <w:sz w:val="22"/>
          <w:szCs w:val="22"/>
          <w:lang w:val="en-GB" w:eastAsia="en-US"/>
        </w:rPr>
      </w:pPr>
      <w:r>
        <w:rPr>
          <w:rFonts w:ascii="Arial" w:hAnsi="Arial" w:cs="Arial"/>
          <w:bCs/>
          <w:snapToGrid w:val="0"/>
          <w:sz w:val="22"/>
          <w:szCs w:val="22"/>
          <w:lang w:val="en-GB" w:eastAsia="en-US"/>
        </w:rPr>
        <w:t>The PBAC helps decide whether an,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B46EF" w:rsidRDefault="00AB46EF" w:rsidP="00AB46EF">
      <w:pPr>
        <w:pStyle w:val="ListParagraph"/>
        <w:jc w:val="both"/>
        <w:rPr>
          <w:rFonts w:ascii="Arial" w:hAnsi="Arial" w:cs="Arial"/>
          <w:bCs/>
          <w:snapToGrid w:val="0"/>
          <w:sz w:val="22"/>
          <w:szCs w:val="22"/>
          <w:lang w:val="en-GB" w:eastAsia="en-US"/>
        </w:rPr>
      </w:pPr>
    </w:p>
    <w:p w:rsidR="0017049F" w:rsidRDefault="0017049F" w:rsidP="00AB46EF">
      <w:pPr>
        <w:pStyle w:val="ListParagraph"/>
        <w:jc w:val="both"/>
        <w:rPr>
          <w:rFonts w:ascii="Arial" w:hAnsi="Arial" w:cs="Arial"/>
          <w:bCs/>
          <w:snapToGrid w:val="0"/>
          <w:sz w:val="22"/>
          <w:szCs w:val="22"/>
          <w:lang w:val="en-GB" w:eastAsia="en-US"/>
        </w:rPr>
      </w:pPr>
    </w:p>
    <w:p w:rsidR="003E2EB0" w:rsidRDefault="00AB46EF" w:rsidP="003E2EB0">
      <w:pPr>
        <w:pStyle w:val="ListParagraph"/>
        <w:numPr>
          <w:ilvl w:val="0"/>
          <w:numId w:val="2"/>
        </w:numPr>
        <w:jc w:val="both"/>
        <w:rPr>
          <w:rFonts w:ascii="Arial" w:hAnsi="Arial" w:cs="Arial"/>
          <w:b/>
          <w:bCs/>
          <w:snapToGrid w:val="0"/>
          <w:sz w:val="22"/>
          <w:szCs w:val="22"/>
          <w:lang w:val="en-GB" w:eastAsia="en-US"/>
        </w:rPr>
      </w:pPr>
      <w:r w:rsidRPr="00AB46EF">
        <w:rPr>
          <w:rFonts w:ascii="Arial" w:hAnsi="Arial" w:cs="Arial"/>
          <w:b/>
          <w:bCs/>
          <w:snapToGrid w:val="0"/>
          <w:sz w:val="22"/>
          <w:szCs w:val="22"/>
          <w:lang w:val="en-GB" w:eastAsia="en-US"/>
        </w:rPr>
        <w:t>Sponsor’s Comment</w:t>
      </w:r>
    </w:p>
    <w:p w:rsidR="003A7EAB" w:rsidRDefault="003A7EAB" w:rsidP="003A7EAB">
      <w:pPr>
        <w:pStyle w:val="ListParagraph"/>
        <w:jc w:val="both"/>
        <w:rPr>
          <w:rFonts w:ascii="Arial" w:hAnsi="Arial" w:cs="Arial"/>
          <w:b/>
          <w:bCs/>
          <w:snapToGrid w:val="0"/>
          <w:sz w:val="22"/>
          <w:szCs w:val="22"/>
          <w:lang w:val="en-GB" w:eastAsia="en-US"/>
        </w:rPr>
      </w:pPr>
    </w:p>
    <w:p w:rsidR="00C97548" w:rsidRPr="00C97548" w:rsidRDefault="00C97548" w:rsidP="00C97548">
      <w:pPr>
        <w:pStyle w:val="ListParagraph"/>
        <w:jc w:val="both"/>
        <w:rPr>
          <w:rFonts w:ascii="Arial" w:hAnsi="Arial" w:cs="Arial"/>
          <w:bCs/>
          <w:snapToGrid w:val="0"/>
          <w:sz w:val="22"/>
          <w:szCs w:val="22"/>
          <w:lang w:val="en-GB" w:eastAsia="en-US"/>
        </w:rPr>
      </w:pPr>
      <w:r w:rsidRPr="00C97548">
        <w:rPr>
          <w:rFonts w:ascii="Arial" w:hAnsi="Arial" w:cs="Arial"/>
          <w:bCs/>
          <w:snapToGrid w:val="0"/>
          <w:sz w:val="22"/>
          <w:szCs w:val="22"/>
          <w:lang w:val="en-GB" w:eastAsia="en-US"/>
        </w:rPr>
        <w:t>The sponsor was disappointed that the significantly revised pricing proposed in its resubmission, which was demonstrably based on a previously accepted cost minimisation outcome, was again not accepted by the PBAC.</w:t>
      </w:r>
    </w:p>
    <w:p w:rsidR="00C97548" w:rsidRPr="00C97548" w:rsidRDefault="00C97548" w:rsidP="00C97548">
      <w:pPr>
        <w:pStyle w:val="ListParagraph"/>
        <w:jc w:val="both"/>
        <w:rPr>
          <w:rFonts w:ascii="Arial" w:hAnsi="Arial" w:cs="Arial"/>
          <w:bCs/>
          <w:snapToGrid w:val="0"/>
          <w:sz w:val="22"/>
          <w:szCs w:val="22"/>
          <w:lang w:val="en-GB" w:eastAsia="en-US"/>
        </w:rPr>
      </w:pPr>
      <w:r w:rsidRPr="00C97548">
        <w:rPr>
          <w:rFonts w:ascii="Arial" w:hAnsi="Arial" w:cs="Arial"/>
          <w:bCs/>
          <w:snapToGrid w:val="0"/>
          <w:sz w:val="22"/>
          <w:szCs w:val="22"/>
          <w:lang w:val="en-GB" w:eastAsia="en-US"/>
        </w:rPr>
        <w:t xml:space="preserve"> </w:t>
      </w:r>
    </w:p>
    <w:p w:rsidR="00C97548" w:rsidRPr="00C97548" w:rsidRDefault="00C97548" w:rsidP="00C97548">
      <w:pPr>
        <w:pStyle w:val="ListParagraph"/>
        <w:jc w:val="both"/>
        <w:rPr>
          <w:rFonts w:ascii="Arial" w:hAnsi="Arial" w:cs="Arial"/>
          <w:bCs/>
          <w:snapToGrid w:val="0"/>
          <w:sz w:val="22"/>
          <w:szCs w:val="22"/>
          <w:lang w:val="en-GB" w:eastAsia="en-US"/>
        </w:rPr>
      </w:pPr>
      <w:r w:rsidRPr="00C97548">
        <w:rPr>
          <w:rFonts w:ascii="Arial" w:hAnsi="Arial" w:cs="Arial"/>
          <w:bCs/>
          <w:snapToGrid w:val="0"/>
          <w:sz w:val="22"/>
          <w:szCs w:val="22"/>
          <w:lang w:val="en-GB" w:eastAsia="en-US"/>
        </w:rPr>
        <w:t>The PBAC states ‘uncertainty’ about how to make ribavirin availab</w:t>
      </w:r>
      <w:r>
        <w:rPr>
          <w:rFonts w:ascii="Arial" w:hAnsi="Arial" w:cs="Arial"/>
          <w:bCs/>
          <w:snapToGrid w:val="0"/>
          <w:sz w:val="22"/>
          <w:szCs w:val="22"/>
          <w:lang w:val="en-GB" w:eastAsia="en-US"/>
        </w:rPr>
        <w:t xml:space="preserve">le for future CHC treatments.  </w:t>
      </w:r>
      <w:r w:rsidRPr="00C97548">
        <w:rPr>
          <w:rFonts w:ascii="Arial" w:hAnsi="Arial" w:cs="Arial"/>
          <w:bCs/>
          <w:snapToGrid w:val="0"/>
          <w:sz w:val="22"/>
          <w:szCs w:val="22"/>
          <w:lang w:val="en-GB" w:eastAsia="en-US"/>
        </w:rPr>
        <w:t>However the proposed listing of ribavirin is reflective of the current approved treatment regimens presented for consideration at this cycle.  If the ‘stepwise’ approach to listings, as discussed at prior CHC Stakeholder meetings is adopted to meet the evolution of CHC therapy, the stand alone ribavirin listing could be extended accordingly by the PBAC and sponsor.  The TGA approved indication of IBAVYR® is for ‘the treatment of CHC in adults, in combination with other oral agents’ and should present no obstacle in such a process.</w:t>
      </w:r>
    </w:p>
    <w:p w:rsidR="00C97548" w:rsidRPr="00C97548" w:rsidRDefault="00C97548" w:rsidP="00C97548">
      <w:pPr>
        <w:pStyle w:val="ListParagraph"/>
        <w:jc w:val="both"/>
        <w:rPr>
          <w:rFonts w:ascii="Arial" w:hAnsi="Arial" w:cs="Arial"/>
          <w:bCs/>
          <w:snapToGrid w:val="0"/>
          <w:sz w:val="22"/>
          <w:szCs w:val="22"/>
          <w:lang w:val="en-GB" w:eastAsia="en-US"/>
        </w:rPr>
      </w:pPr>
    </w:p>
    <w:p w:rsidR="00C97548" w:rsidRPr="003A7EAB" w:rsidRDefault="00C97548" w:rsidP="00C97548">
      <w:pPr>
        <w:pStyle w:val="ListParagraph"/>
        <w:jc w:val="both"/>
        <w:rPr>
          <w:rFonts w:ascii="Arial" w:hAnsi="Arial" w:cs="Arial"/>
          <w:bCs/>
          <w:snapToGrid w:val="0"/>
          <w:sz w:val="22"/>
          <w:szCs w:val="22"/>
          <w:lang w:val="en-GB" w:eastAsia="en-US"/>
        </w:rPr>
      </w:pPr>
      <w:r w:rsidRPr="00C97548">
        <w:rPr>
          <w:rFonts w:ascii="Arial" w:hAnsi="Arial" w:cs="Arial"/>
          <w:bCs/>
          <w:snapToGrid w:val="0"/>
          <w:sz w:val="22"/>
          <w:szCs w:val="22"/>
          <w:lang w:val="en-GB" w:eastAsia="en-US"/>
        </w:rPr>
        <w:t>The sponsor remains committed to working with the PBAC to secure reimbursement of IBAVYR® to assist Australians suffering with Chronic Hepatitis C.</w:t>
      </w:r>
    </w:p>
    <w:p w:rsidR="00C97548" w:rsidRDefault="00C97548" w:rsidP="003A7EAB">
      <w:pPr>
        <w:pStyle w:val="ListParagraph"/>
        <w:jc w:val="both"/>
        <w:rPr>
          <w:rFonts w:ascii="Arial" w:hAnsi="Arial" w:cs="Arial"/>
          <w:b/>
          <w:bCs/>
          <w:snapToGrid w:val="0"/>
          <w:sz w:val="22"/>
          <w:szCs w:val="22"/>
          <w:lang w:val="en-GB" w:eastAsia="en-US"/>
        </w:rPr>
      </w:pPr>
    </w:p>
    <w:sectPr w:rsidR="00C97548" w:rsidSect="00C27B58">
      <w:headerReference w:type="even" r:id="rId9"/>
      <w:headerReference w:type="default" r:id="rId10"/>
      <w:footerReference w:type="even" r:id="rId11"/>
      <w:footerReference w:type="default" r:id="rId12"/>
      <w:footerReference w:type="first" r:id="rId13"/>
      <w:footnotePr>
        <w:numFmt w:val="lowerLetter"/>
      </w:footnotePr>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74" w:rsidRDefault="00F53974">
      <w:r>
        <w:separator/>
      </w:r>
    </w:p>
    <w:p w:rsidR="00F53974" w:rsidRDefault="00F53974"/>
  </w:endnote>
  <w:endnote w:type="continuationSeparator" w:id="0">
    <w:p w:rsidR="00F53974" w:rsidRDefault="00F53974">
      <w:r>
        <w:continuationSeparator/>
      </w:r>
    </w:p>
    <w:p w:rsidR="00F53974" w:rsidRDefault="00F53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9428A" w:rsidTr="005A3173">
      <w:trPr>
        <w:trHeight w:val="151"/>
      </w:trPr>
      <w:tc>
        <w:tcPr>
          <w:tcW w:w="2250" w:type="pct"/>
          <w:tcBorders>
            <w:top w:val="nil"/>
            <w:left w:val="nil"/>
            <w:bottom w:val="single" w:sz="4" w:space="0" w:color="4F81BD"/>
            <w:right w:val="nil"/>
          </w:tcBorders>
        </w:tcPr>
        <w:p w:rsidR="00F9428A" w:rsidRPr="005A3173" w:rsidRDefault="00F9428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9428A" w:rsidRPr="005A3173" w:rsidRDefault="00F9428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9428A" w:rsidRPr="005A3173" w:rsidRDefault="00F9428A" w:rsidP="005A3173">
          <w:pPr>
            <w:pStyle w:val="Header"/>
            <w:spacing w:line="276" w:lineRule="auto"/>
            <w:rPr>
              <w:rFonts w:ascii="Calibri" w:eastAsia="MS Gothic" w:hAnsi="Calibri"/>
              <w:b/>
              <w:bCs/>
              <w:color w:val="4F81BD"/>
            </w:rPr>
          </w:pPr>
        </w:p>
      </w:tc>
    </w:tr>
    <w:tr w:rsidR="00F9428A" w:rsidTr="005A3173">
      <w:trPr>
        <w:trHeight w:val="150"/>
      </w:trPr>
      <w:tc>
        <w:tcPr>
          <w:tcW w:w="2250" w:type="pct"/>
          <w:tcBorders>
            <w:top w:val="single" w:sz="4" w:space="0" w:color="4F81BD"/>
            <w:left w:val="nil"/>
            <w:bottom w:val="nil"/>
            <w:right w:val="nil"/>
          </w:tcBorders>
        </w:tcPr>
        <w:p w:rsidR="00F9428A" w:rsidRPr="005A3173" w:rsidRDefault="00F9428A" w:rsidP="005A3173">
          <w:pPr>
            <w:pStyle w:val="Header"/>
            <w:spacing w:line="276" w:lineRule="auto"/>
            <w:rPr>
              <w:rFonts w:ascii="Calibri" w:eastAsia="MS Gothic" w:hAnsi="Calibri"/>
              <w:b/>
              <w:bCs/>
              <w:color w:val="4F81BD"/>
            </w:rPr>
          </w:pPr>
        </w:p>
      </w:tc>
      <w:tc>
        <w:tcPr>
          <w:tcW w:w="0" w:type="auto"/>
          <w:vMerge/>
          <w:vAlign w:val="center"/>
          <w:hideMark/>
        </w:tcPr>
        <w:p w:rsidR="00F9428A" w:rsidRPr="005A3173" w:rsidRDefault="00F9428A" w:rsidP="005A3173">
          <w:pPr>
            <w:rPr>
              <w:rFonts w:ascii="Calibri" w:hAnsi="Calibri"/>
              <w:color w:val="365F91"/>
              <w:sz w:val="22"/>
              <w:szCs w:val="22"/>
            </w:rPr>
          </w:pPr>
        </w:p>
      </w:tc>
      <w:tc>
        <w:tcPr>
          <w:tcW w:w="2250" w:type="pct"/>
          <w:tcBorders>
            <w:top w:val="single" w:sz="4" w:space="0" w:color="4F81BD"/>
            <w:left w:val="nil"/>
            <w:bottom w:val="nil"/>
            <w:right w:val="nil"/>
          </w:tcBorders>
        </w:tcPr>
        <w:p w:rsidR="00F9428A" w:rsidRPr="005A3173" w:rsidRDefault="00F9428A" w:rsidP="005A3173">
          <w:pPr>
            <w:pStyle w:val="Header"/>
            <w:spacing w:line="276" w:lineRule="auto"/>
            <w:rPr>
              <w:rFonts w:ascii="Calibri" w:eastAsia="MS Gothic" w:hAnsi="Calibri"/>
              <w:b/>
              <w:bCs/>
              <w:color w:val="4F81BD"/>
            </w:rPr>
          </w:pPr>
        </w:p>
      </w:tc>
    </w:tr>
  </w:tbl>
  <w:p w:rsidR="00F9428A" w:rsidRDefault="00F9428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428A" w:rsidRDefault="00F9428A">
    <w:pPr>
      <w:pStyle w:val="Footer"/>
    </w:pPr>
  </w:p>
  <w:p w:rsidR="00F9428A" w:rsidRDefault="00F942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28A" w:rsidRPr="003A3DEF" w:rsidRDefault="00F9428A" w:rsidP="00E102FC">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7B2C99">
      <w:rPr>
        <w:rFonts w:ascii="Arial" w:hAnsi="Arial" w:cs="Arial"/>
        <w:noProof/>
        <w:sz w:val="20"/>
        <w:szCs w:val="20"/>
      </w:rPr>
      <w:t>2</w:t>
    </w:r>
    <w:r w:rsidRPr="00651169">
      <w:rPr>
        <w:rFonts w:ascii="Arial" w:hAnsi="Arial" w:cs="Arial"/>
        <w:noProof/>
        <w:sz w:val="20"/>
        <w:szCs w:val="20"/>
      </w:rPr>
      <w:fldChar w:fldCharType="end"/>
    </w:r>
  </w:p>
  <w:p w:rsidR="00F9428A" w:rsidRDefault="00F9428A"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9428A" w:rsidTr="005A3173">
      <w:trPr>
        <w:trHeight w:val="151"/>
      </w:trPr>
      <w:tc>
        <w:tcPr>
          <w:tcW w:w="2250" w:type="pct"/>
          <w:tcBorders>
            <w:top w:val="nil"/>
            <w:left w:val="nil"/>
            <w:bottom w:val="single" w:sz="4" w:space="0" w:color="4F81BD"/>
            <w:right w:val="nil"/>
          </w:tcBorders>
        </w:tcPr>
        <w:p w:rsidR="00F9428A" w:rsidRPr="005A3173" w:rsidRDefault="00F9428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9428A" w:rsidRPr="005A3173" w:rsidRDefault="00F9428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9428A" w:rsidRPr="005A3173" w:rsidRDefault="00F9428A" w:rsidP="005A3173">
          <w:pPr>
            <w:pStyle w:val="Header"/>
            <w:spacing w:line="276" w:lineRule="auto"/>
            <w:rPr>
              <w:rFonts w:ascii="Calibri" w:eastAsia="MS Gothic" w:hAnsi="Calibri"/>
              <w:b/>
              <w:bCs/>
              <w:color w:val="4F81BD"/>
            </w:rPr>
          </w:pPr>
        </w:p>
      </w:tc>
    </w:tr>
    <w:tr w:rsidR="00F9428A" w:rsidTr="005A3173">
      <w:trPr>
        <w:trHeight w:val="150"/>
      </w:trPr>
      <w:tc>
        <w:tcPr>
          <w:tcW w:w="2250" w:type="pct"/>
          <w:tcBorders>
            <w:top w:val="single" w:sz="4" w:space="0" w:color="4F81BD"/>
            <w:left w:val="nil"/>
            <w:bottom w:val="nil"/>
            <w:right w:val="nil"/>
          </w:tcBorders>
        </w:tcPr>
        <w:p w:rsidR="00F9428A" w:rsidRPr="005A3173" w:rsidRDefault="00F9428A" w:rsidP="005A3173">
          <w:pPr>
            <w:pStyle w:val="Header"/>
            <w:spacing w:line="276" w:lineRule="auto"/>
            <w:rPr>
              <w:rFonts w:ascii="Calibri" w:eastAsia="MS Gothic" w:hAnsi="Calibri"/>
              <w:b/>
              <w:bCs/>
              <w:color w:val="4F81BD"/>
            </w:rPr>
          </w:pPr>
        </w:p>
      </w:tc>
      <w:tc>
        <w:tcPr>
          <w:tcW w:w="0" w:type="auto"/>
          <w:vMerge/>
          <w:vAlign w:val="center"/>
          <w:hideMark/>
        </w:tcPr>
        <w:p w:rsidR="00F9428A" w:rsidRPr="005A3173" w:rsidRDefault="00F9428A" w:rsidP="005A3173">
          <w:pPr>
            <w:rPr>
              <w:rFonts w:ascii="Calibri" w:hAnsi="Calibri"/>
              <w:color w:val="365F91"/>
              <w:sz w:val="22"/>
              <w:szCs w:val="22"/>
            </w:rPr>
          </w:pPr>
        </w:p>
      </w:tc>
      <w:tc>
        <w:tcPr>
          <w:tcW w:w="2250" w:type="pct"/>
          <w:tcBorders>
            <w:top w:val="single" w:sz="4" w:space="0" w:color="4F81BD"/>
            <w:left w:val="nil"/>
            <w:bottom w:val="nil"/>
            <w:right w:val="nil"/>
          </w:tcBorders>
        </w:tcPr>
        <w:p w:rsidR="00F9428A" w:rsidRPr="005A3173" w:rsidRDefault="00F9428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9428A" w:rsidTr="005A3173">
      <w:trPr>
        <w:trHeight w:val="151"/>
      </w:trPr>
      <w:tc>
        <w:tcPr>
          <w:tcW w:w="2250" w:type="pct"/>
          <w:tcBorders>
            <w:top w:val="nil"/>
            <w:left w:val="nil"/>
            <w:bottom w:val="single" w:sz="4" w:space="0" w:color="4F81BD"/>
            <w:right w:val="nil"/>
          </w:tcBorders>
        </w:tcPr>
        <w:p w:rsidR="00F9428A" w:rsidRPr="005A3173" w:rsidRDefault="00F9428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9428A" w:rsidRPr="005A3173" w:rsidRDefault="00F9428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9428A" w:rsidRPr="005A3173" w:rsidRDefault="00F9428A" w:rsidP="005A3173">
          <w:pPr>
            <w:pStyle w:val="Header"/>
            <w:spacing w:line="276" w:lineRule="auto"/>
            <w:rPr>
              <w:rFonts w:ascii="Calibri" w:eastAsia="MS Gothic" w:hAnsi="Calibri"/>
              <w:b/>
              <w:bCs/>
              <w:color w:val="4F81BD"/>
            </w:rPr>
          </w:pPr>
        </w:p>
      </w:tc>
    </w:tr>
    <w:tr w:rsidR="00F9428A" w:rsidTr="005A3173">
      <w:trPr>
        <w:trHeight w:val="150"/>
      </w:trPr>
      <w:tc>
        <w:tcPr>
          <w:tcW w:w="2250" w:type="pct"/>
          <w:tcBorders>
            <w:top w:val="single" w:sz="4" w:space="0" w:color="4F81BD"/>
            <w:left w:val="nil"/>
            <w:bottom w:val="nil"/>
            <w:right w:val="nil"/>
          </w:tcBorders>
        </w:tcPr>
        <w:p w:rsidR="00F9428A" w:rsidRPr="005A3173" w:rsidRDefault="00F9428A" w:rsidP="005A3173">
          <w:pPr>
            <w:pStyle w:val="Header"/>
            <w:spacing w:line="276" w:lineRule="auto"/>
            <w:rPr>
              <w:rFonts w:ascii="Calibri" w:eastAsia="MS Gothic" w:hAnsi="Calibri"/>
              <w:b/>
              <w:bCs/>
              <w:color w:val="4F81BD"/>
            </w:rPr>
          </w:pPr>
        </w:p>
      </w:tc>
      <w:tc>
        <w:tcPr>
          <w:tcW w:w="0" w:type="auto"/>
          <w:vMerge/>
          <w:vAlign w:val="center"/>
          <w:hideMark/>
        </w:tcPr>
        <w:p w:rsidR="00F9428A" w:rsidRPr="005A3173" w:rsidRDefault="00F9428A" w:rsidP="005A3173">
          <w:pPr>
            <w:rPr>
              <w:rFonts w:ascii="Calibri" w:hAnsi="Calibri"/>
              <w:color w:val="365F91"/>
              <w:sz w:val="22"/>
              <w:szCs w:val="22"/>
            </w:rPr>
          </w:pPr>
        </w:p>
      </w:tc>
      <w:tc>
        <w:tcPr>
          <w:tcW w:w="2250" w:type="pct"/>
          <w:tcBorders>
            <w:top w:val="single" w:sz="4" w:space="0" w:color="4F81BD"/>
            <w:left w:val="nil"/>
            <w:bottom w:val="nil"/>
            <w:right w:val="nil"/>
          </w:tcBorders>
        </w:tcPr>
        <w:p w:rsidR="00F9428A" w:rsidRPr="005A3173" w:rsidRDefault="00F9428A" w:rsidP="005A3173">
          <w:pPr>
            <w:pStyle w:val="Header"/>
            <w:spacing w:line="276" w:lineRule="auto"/>
            <w:rPr>
              <w:rFonts w:ascii="Calibri" w:eastAsia="MS Gothic" w:hAnsi="Calibri"/>
              <w:b/>
              <w:bCs/>
              <w:color w:val="4F81BD"/>
            </w:rPr>
          </w:pPr>
        </w:p>
      </w:tc>
    </w:tr>
  </w:tbl>
  <w:p w:rsidR="00F9428A" w:rsidRPr="007C0F57" w:rsidRDefault="00F9428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9428A" w:rsidRPr="007C0F57" w:rsidRDefault="00F9428A" w:rsidP="007C0F57">
    <w:pPr>
      <w:pStyle w:val="Footer"/>
      <w:jc w:val="center"/>
      <w:rPr>
        <w:b/>
        <w:i/>
        <w:sz w:val="20"/>
        <w:szCs w:val="20"/>
      </w:rPr>
    </w:pPr>
    <w:r w:rsidRPr="007C0F57">
      <w:rPr>
        <w:b/>
        <w:i/>
        <w:sz w:val="20"/>
        <w:szCs w:val="20"/>
      </w:rPr>
      <w:t>Commercial-in-Confidence</w:t>
    </w:r>
  </w:p>
  <w:p w:rsidR="00F9428A" w:rsidRDefault="00F942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74" w:rsidRDefault="00F53974">
      <w:r>
        <w:separator/>
      </w:r>
    </w:p>
    <w:p w:rsidR="00F53974" w:rsidRDefault="00F53974"/>
  </w:footnote>
  <w:footnote w:type="continuationSeparator" w:id="0">
    <w:p w:rsidR="00F53974" w:rsidRDefault="00F53974">
      <w:r>
        <w:continuationSeparator/>
      </w:r>
    </w:p>
    <w:p w:rsidR="00F53974" w:rsidRDefault="00F539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9428A" w:rsidRPr="008E0D90" w:rsidTr="00A06225">
      <w:trPr>
        <w:trHeight w:val="151"/>
      </w:trPr>
      <w:tc>
        <w:tcPr>
          <w:tcW w:w="2389" w:type="pct"/>
          <w:tcBorders>
            <w:top w:val="nil"/>
            <w:left w:val="nil"/>
            <w:bottom w:val="single" w:sz="4" w:space="0" w:color="4F81BD"/>
            <w:right w:val="nil"/>
          </w:tcBorders>
        </w:tcPr>
        <w:p w:rsidR="00F9428A" w:rsidRPr="00A06225" w:rsidRDefault="00F9428A">
          <w:pPr>
            <w:pStyle w:val="Header"/>
            <w:spacing w:line="276" w:lineRule="auto"/>
            <w:rPr>
              <w:rFonts w:ascii="Cambria" w:eastAsia="MS Gothic" w:hAnsi="Cambria"/>
              <w:b/>
              <w:bCs/>
              <w:color w:val="4F81BD"/>
            </w:rPr>
          </w:pPr>
        </w:p>
      </w:tc>
      <w:tc>
        <w:tcPr>
          <w:tcW w:w="333" w:type="pct"/>
          <w:vMerge w:val="restart"/>
          <w:noWrap/>
          <w:vAlign w:val="center"/>
          <w:hideMark/>
        </w:tcPr>
        <w:p w:rsidR="00F9428A" w:rsidRPr="00A06225" w:rsidRDefault="00F9428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9428A" w:rsidRPr="00A06225" w:rsidRDefault="00F9428A">
          <w:pPr>
            <w:pStyle w:val="Header"/>
            <w:spacing w:line="276" w:lineRule="auto"/>
            <w:rPr>
              <w:rFonts w:ascii="Cambria" w:eastAsia="MS Gothic" w:hAnsi="Cambria"/>
              <w:b/>
              <w:bCs/>
              <w:color w:val="4F81BD"/>
            </w:rPr>
          </w:pPr>
        </w:p>
      </w:tc>
    </w:tr>
    <w:tr w:rsidR="00F9428A" w:rsidRPr="008E0D90" w:rsidTr="00A06225">
      <w:trPr>
        <w:trHeight w:val="150"/>
      </w:trPr>
      <w:tc>
        <w:tcPr>
          <w:tcW w:w="2389" w:type="pct"/>
          <w:tcBorders>
            <w:top w:val="single" w:sz="4" w:space="0" w:color="4F81BD"/>
            <w:left w:val="nil"/>
            <w:bottom w:val="nil"/>
            <w:right w:val="nil"/>
          </w:tcBorders>
        </w:tcPr>
        <w:p w:rsidR="00F9428A" w:rsidRPr="00A06225" w:rsidRDefault="00F9428A">
          <w:pPr>
            <w:pStyle w:val="Header"/>
            <w:spacing w:line="276" w:lineRule="auto"/>
            <w:rPr>
              <w:rFonts w:ascii="Cambria" w:eastAsia="MS Gothic" w:hAnsi="Cambria"/>
              <w:b/>
              <w:bCs/>
              <w:color w:val="4F81BD"/>
            </w:rPr>
          </w:pPr>
        </w:p>
      </w:tc>
      <w:tc>
        <w:tcPr>
          <w:tcW w:w="0" w:type="auto"/>
          <w:vMerge/>
          <w:vAlign w:val="center"/>
          <w:hideMark/>
        </w:tcPr>
        <w:p w:rsidR="00F9428A" w:rsidRPr="00A06225" w:rsidRDefault="00F9428A">
          <w:pPr>
            <w:rPr>
              <w:rFonts w:ascii="Cambria" w:hAnsi="Cambria"/>
              <w:color w:val="4F81BD"/>
              <w:sz w:val="22"/>
              <w:szCs w:val="22"/>
            </w:rPr>
          </w:pPr>
        </w:p>
      </w:tc>
      <w:tc>
        <w:tcPr>
          <w:tcW w:w="2278" w:type="pct"/>
          <w:tcBorders>
            <w:top w:val="single" w:sz="4" w:space="0" w:color="4F81BD"/>
            <w:left w:val="nil"/>
            <w:bottom w:val="nil"/>
            <w:right w:val="nil"/>
          </w:tcBorders>
        </w:tcPr>
        <w:p w:rsidR="00F9428A" w:rsidRPr="00A06225" w:rsidRDefault="00F9428A">
          <w:pPr>
            <w:pStyle w:val="Header"/>
            <w:spacing w:line="276" w:lineRule="auto"/>
            <w:rPr>
              <w:rFonts w:ascii="Cambria" w:eastAsia="MS Gothic" w:hAnsi="Cambria"/>
              <w:b/>
              <w:bCs/>
              <w:color w:val="4F81BD"/>
            </w:rPr>
          </w:pPr>
        </w:p>
      </w:tc>
    </w:tr>
  </w:tbl>
  <w:p w:rsidR="00F9428A" w:rsidRDefault="00F9428A">
    <w:pPr>
      <w:pStyle w:val="Header"/>
    </w:pPr>
  </w:p>
  <w:p w:rsidR="00F9428A" w:rsidRDefault="00F942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28A" w:rsidRPr="005E518C" w:rsidRDefault="00F9428A" w:rsidP="005E518C">
    <w:pPr>
      <w:pStyle w:val="Header"/>
      <w:jc w:val="center"/>
      <w:rPr>
        <w:rFonts w:ascii="Arial" w:hAnsi="Arial" w:cs="Arial"/>
        <w:i/>
        <w:sz w:val="22"/>
        <w:szCs w:val="22"/>
      </w:rPr>
    </w:pPr>
    <w:r>
      <w:rPr>
        <w:rFonts w:ascii="Arial" w:hAnsi="Arial" w:cs="Arial"/>
        <w:i/>
        <w:sz w:val="22"/>
        <w:szCs w:val="22"/>
      </w:rPr>
      <w:t>Public Summary Document</w:t>
    </w:r>
    <w:r w:rsidRPr="005E518C">
      <w:rPr>
        <w:rFonts w:ascii="Arial" w:hAnsi="Arial" w:cs="Arial"/>
        <w:i/>
        <w:sz w:val="22"/>
        <w:szCs w:val="22"/>
      </w:rPr>
      <w:t>– July 2015 PBAC Meeting</w:t>
    </w:r>
  </w:p>
  <w:p w:rsidR="00F9428A" w:rsidRDefault="00F9428A"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DBF0344"/>
    <w:multiLevelType w:val="hybridMultilevel"/>
    <w:tmpl w:val="D7322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E821623"/>
    <w:multiLevelType w:val="hybridMultilevel"/>
    <w:tmpl w:val="F2985A0E"/>
    <w:lvl w:ilvl="0" w:tplc="0C09000F">
      <w:start w:val="1"/>
      <w:numFmt w:val="decimal"/>
      <w:lvlText w:val="%1."/>
      <w:lvlJc w:val="left"/>
      <w:pPr>
        <w:tabs>
          <w:tab w:val="num" w:pos="720"/>
        </w:tabs>
        <w:ind w:left="720" w:hanging="360"/>
      </w:pPr>
      <w:rPr>
        <w:rFonts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3">
    <w:nsid w:val="1F040860"/>
    <w:multiLevelType w:val="hybridMultilevel"/>
    <w:tmpl w:val="98BC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5">
    <w:nsid w:val="297D4882"/>
    <w:multiLevelType w:val="multilevel"/>
    <w:tmpl w:val="C9124B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C8077E2"/>
    <w:multiLevelType w:val="hybridMultilevel"/>
    <w:tmpl w:val="FBF45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3066EE"/>
    <w:multiLevelType w:val="hybridMultilevel"/>
    <w:tmpl w:val="250C8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C853AD"/>
    <w:multiLevelType w:val="hybridMultilevel"/>
    <w:tmpl w:val="963A9BE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9">
    <w:nsid w:val="3D86105C"/>
    <w:multiLevelType w:val="hybridMultilevel"/>
    <w:tmpl w:val="7492A0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E7F5BB0"/>
    <w:multiLevelType w:val="hybridMultilevel"/>
    <w:tmpl w:val="6DCEF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9C22CC"/>
    <w:multiLevelType w:val="hybridMultilevel"/>
    <w:tmpl w:val="6A92C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5D23A2B"/>
    <w:multiLevelType w:val="hybridMultilevel"/>
    <w:tmpl w:val="6B365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585284"/>
    <w:multiLevelType w:val="multilevel"/>
    <w:tmpl w:val="B3CAC83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AC74B02"/>
    <w:multiLevelType w:val="hybridMultilevel"/>
    <w:tmpl w:val="ADFAD406"/>
    <w:lvl w:ilvl="0" w:tplc="6CBE1A82">
      <w:start w:val="1"/>
      <w:numFmt w:val="bullet"/>
      <w:lvlText w:val="•"/>
      <w:lvlJc w:val="left"/>
      <w:pPr>
        <w:tabs>
          <w:tab w:val="num" w:pos="720"/>
        </w:tabs>
        <w:ind w:left="720" w:hanging="360"/>
      </w:pPr>
      <w:rPr>
        <w:rFonts w:ascii="Arial" w:hAnsi="Arial" w:hint="default"/>
      </w:rPr>
    </w:lvl>
    <w:lvl w:ilvl="1" w:tplc="3E9EBCE8" w:tentative="1">
      <w:start w:val="1"/>
      <w:numFmt w:val="bullet"/>
      <w:lvlText w:val="•"/>
      <w:lvlJc w:val="left"/>
      <w:pPr>
        <w:tabs>
          <w:tab w:val="num" w:pos="1440"/>
        </w:tabs>
        <w:ind w:left="1440" w:hanging="360"/>
      </w:pPr>
      <w:rPr>
        <w:rFonts w:ascii="Arial" w:hAnsi="Arial" w:hint="default"/>
      </w:rPr>
    </w:lvl>
    <w:lvl w:ilvl="2" w:tplc="C98ECA7E" w:tentative="1">
      <w:start w:val="1"/>
      <w:numFmt w:val="bullet"/>
      <w:lvlText w:val="•"/>
      <w:lvlJc w:val="left"/>
      <w:pPr>
        <w:tabs>
          <w:tab w:val="num" w:pos="2160"/>
        </w:tabs>
        <w:ind w:left="2160" w:hanging="360"/>
      </w:pPr>
      <w:rPr>
        <w:rFonts w:ascii="Arial" w:hAnsi="Arial" w:hint="default"/>
      </w:rPr>
    </w:lvl>
    <w:lvl w:ilvl="3" w:tplc="D2F24934" w:tentative="1">
      <w:start w:val="1"/>
      <w:numFmt w:val="bullet"/>
      <w:lvlText w:val="•"/>
      <w:lvlJc w:val="left"/>
      <w:pPr>
        <w:tabs>
          <w:tab w:val="num" w:pos="2880"/>
        </w:tabs>
        <w:ind w:left="2880" w:hanging="360"/>
      </w:pPr>
      <w:rPr>
        <w:rFonts w:ascii="Arial" w:hAnsi="Arial" w:hint="default"/>
      </w:rPr>
    </w:lvl>
    <w:lvl w:ilvl="4" w:tplc="CC7EBACA" w:tentative="1">
      <w:start w:val="1"/>
      <w:numFmt w:val="bullet"/>
      <w:lvlText w:val="•"/>
      <w:lvlJc w:val="left"/>
      <w:pPr>
        <w:tabs>
          <w:tab w:val="num" w:pos="3600"/>
        </w:tabs>
        <w:ind w:left="3600" w:hanging="360"/>
      </w:pPr>
      <w:rPr>
        <w:rFonts w:ascii="Arial" w:hAnsi="Arial" w:hint="default"/>
      </w:rPr>
    </w:lvl>
    <w:lvl w:ilvl="5" w:tplc="72D4CE34" w:tentative="1">
      <w:start w:val="1"/>
      <w:numFmt w:val="bullet"/>
      <w:lvlText w:val="•"/>
      <w:lvlJc w:val="left"/>
      <w:pPr>
        <w:tabs>
          <w:tab w:val="num" w:pos="4320"/>
        </w:tabs>
        <w:ind w:left="4320" w:hanging="360"/>
      </w:pPr>
      <w:rPr>
        <w:rFonts w:ascii="Arial" w:hAnsi="Arial" w:hint="default"/>
      </w:rPr>
    </w:lvl>
    <w:lvl w:ilvl="6" w:tplc="4B08D910" w:tentative="1">
      <w:start w:val="1"/>
      <w:numFmt w:val="bullet"/>
      <w:lvlText w:val="•"/>
      <w:lvlJc w:val="left"/>
      <w:pPr>
        <w:tabs>
          <w:tab w:val="num" w:pos="5040"/>
        </w:tabs>
        <w:ind w:left="5040" w:hanging="360"/>
      </w:pPr>
      <w:rPr>
        <w:rFonts w:ascii="Arial" w:hAnsi="Arial" w:hint="default"/>
      </w:rPr>
    </w:lvl>
    <w:lvl w:ilvl="7" w:tplc="B7F00774" w:tentative="1">
      <w:start w:val="1"/>
      <w:numFmt w:val="bullet"/>
      <w:lvlText w:val="•"/>
      <w:lvlJc w:val="left"/>
      <w:pPr>
        <w:tabs>
          <w:tab w:val="num" w:pos="5760"/>
        </w:tabs>
        <w:ind w:left="5760" w:hanging="360"/>
      </w:pPr>
      <w:rPr>
        <w:rFonts w:ascii="Arial" w:hAnsi="Arial" w:hint="default"/>
      </w:rPr>
    </w:lvl>
    <w:lvl w:ilvl="8" w:tplc="626C6654" w:tentative="1">
      <w:start w:val="1"/>
      <w:numFmt w:val="bullet"/>
      <w:lvlText w:val="•"/>
      <w:lvlJc w:val="left"/>
      <w:pPr>
        <w:tabs>
          <w:tab w:val="num" w:pos="6480"/>
        </w:tabs>
        <w:ind w:left="6480" w:hanging="360"/>
      </w:pPr>
      <w:rPr>
        <w:rFonts w:ascii="Arial" w:hAnsi="Arial" w:hint="default"/>
      </w:rPr>
    </w:lvl>
  </w:abstractNum>
  <w:abstractNum w:abstractNumId="15">
    <w:nsid w:val="65943CAC"/>
    <w:multiLevelType w:val="hybridMultilevel"/>
    <w:tmpl w:val="91CE1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F96037"/>
    <w:multiLevelType w:val="multilevel"/>
    <w:tmpl w:val="C9124B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6E881F9A"/>
    <w:multiLevelType w:val="hybridMultilevel"/>
    <w:tmpl w:val="39BC6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9"/>
  </w:num>
  <w:num w:numId="3">
    <w:abstractNumId w:val="0"/>
  </w:num>
  <w:num w:numId="4">
    <w:abstractNumId w:val="17"/>
  </w:num>
  <w:num w:numId="5">
    <w:abstractNumId w:val="16"/>
  </w:num>
  <w:num w:numId="6">
    <w:abstractNumId w:val="8"/>
  </w:num>
  <w:num w:numId="7">
    <w:abstractNumId w:val="13"/>
  </w:num>
  <w:num w:numId="8">
    <w:abstractNumId w:val="15"/>
  </w:num>
  <w:num w:numId="9">
    <w:abstractNumId w:val="3"/>
  </w:num>
  <w:num w:numId="10">
    <w:abstractNumId w:val="18"/>
  </w:num>
  <w:num w:numId="11">
    <w:abstractNumId w:val="7"/>
  </w:num>
  <w:num w:numId="12">
    <w:abstractNumId w:val="12"/>
  </w:num>
  <w:num w:numId="13">
    <w:abstractNumId w:val="1"/>
  </w:num>
  <w:num w:numId="14">
    <w:abstractNumId w:val="10"/>
  </w:num>
  <w:num w:numId="15">
    <w:abstractNumId w:val="9"/>
  </w:num>
  <w:num w:numId="16">
    <w:abstractNumId w:val="5"/>
  </w:num>
  <w:num w:numId="17">
    <w:abstractNumId w:val="14"/>
  </w:num>
  <w:num w:numId="18">
    <w:abstractNumId w:val="4"/>
  </w:num>
  <w:num w:numId="19">
    <w:abstractNumId w:val="11"/>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s0zrzes6xrzpned5wyppsd0stv5prfr0zx9&quot;&gt;Ribavirin_MIN&lt;record-ids&gt;&lt;item&gt;17&lt;/item&gt;&lt;item&gt;18&lt;/item&gt;&lt;item&gt;19&lt;/item&gt;&lt;/record-ids&gt;&lt;/item&gt;&lt;/Libraries&gt;"/>
  </w:docVars>
  <w:rsids>
    <w:rsidRoot w:val="0004240E"/>
    <w:rsid w:val="000025AD"/>
    <w:rsid w:val="0002324B"/>
    <w:rsid w:val="0002464A"/>
    <w:rsid w:val="0003106B"/>
    <w:rsid w:val="00032118"/>
    <w:rsid w:val="00032934"/>
    <w:rsid w:val="000330A1"/>
    <w:rsid w:val="00041A6C"/>
    <w:rsid w:val="000421A1"/>
    <w:rsid w:val="0004240E"/>
    <w:rsid w:val="000451CE"/>
    <w:rsid w:val="00045E26"/>
    <w:rsid w:val="000514B5"/>
    <w:rsid w:val="0005482B"/>
    <w:rsid w:val="00060E64"/>
    <w:rsid w:val="00064F89"/>
    <w:rsid w:val="00066755"/>
    <w:rsid w:val="000729B9"/>
    <w:rsid w:val="0007413C"/>
    <w:rsid w:val="000801A6"/>
    <w:rsid w:val="000805FA"/>
    <w:rsid w:val="00082D74"/>
    <w:rsid w:val="000969AD"/>
    <w:rsid w:val="00097616"/>
    <w:rsid w:val="000A0AE2"/>
    <w:rsid w:val="000A1A0F"/>
    <w:rsid w:val="000A4B9A"/>
    <w:rsid w:val="000A7199"/>
    <w:rsid w:val="000B558D"/>
    <w:rsid w:val="000C1F05"/>
    <w:rsid w:val="000C6996"/>
    <w:rsid w:val="000D23BA"/>
    <w:rsid w:val="000D7B89"/>
    <w:rsid w:val="000E681E"/>
    <w:rsid w:val="000F0D9C"/>
    <w:rsid w:val="000F25C2"/>
    <w:rsid w:val="000F4E6A"/>
    <w:rsid w:val="000F5877"/>
    <w:rsid w:val="001004D0"/>
    <w:rsid w:val="0010327F"/>
    <w:rsid w:val="001107BF"/>
    <w:rsid w:val="001222BA"/>
    <w:rsid w:val="0012417C"/>
    <w:rsid w:val="00133C8E"/>
    <w:rsid w:val="00133E60"/>
    <w:rsid w:val="00142395"/>
    <w:rsid w:val="001423F2"/>
    <w:rsid w:val="00142714"/>
    <w:rsid w:val="001452ED"/>
    <w:rsid w:val="00151000"/>
    <w:rsid w:val="001634F0"/>
    <w:rsid w:val="001652CA"/>
    <w:rsid w:val="0017049F"/>
    <w:rsid w:val="0017070E"/>
    <w:rsid w:val="001762D7"/>
    <w:rsid w:val="001773BE"/>
    <w:rsid w:val="001830CE"/>
    <w:rsid w:val="00190304"/>
    <w:rsid w:val="00192631"/>
    <w:rsid w:val="00192C25"/>
    <w:rsid w:val="00196307"/>
    <w:rsid w:val="001965ED"/>
    <w:rsid w:val="0019688D"/>
    <w:rsid w:val="001A05A9"/>
    <w:rsid w:val="001A5E8A"/>
    <w:rsid w:val="001B017F"/>
    <w:rsid w:val="001B09E7"/>
    <w:rsid w:val="001B5129"/>
    <w:rsid w:val="001C1195"/>
    <w:rsid w:val="001C3868"/>
    <w:rsid w:val="001D10CA"/>
    <w:rsid w:val="001E1E60"/>
    <w:rsid w:val="001E4122"/>
    <w:rsid w:val="001E545E"/>
    <w:rsid w:val="001E62E2"/>
    <w:rsid w:val="001F2359"/>
    <w:rsid w:val="00200161"/>
    <w:rsid w:val="00206AEC"/>
    <w:rsid w:val="00213CFB"/>
    <w:rsid w:val="00221C31"/>
    <w:rsid w:val="00223378"/>
    <w:rsid w:val="00225308"/>
    <w:rsid w:val="002518A0"/>
    <w:rsid w:val="00251F0C"/>
    <w:rsid w:val="0025512B"/>
    <w:rsid w:val="00261CB8"/>
    <w:rsid w:val="00271BA1"/>
    <w:rsid w:val="00271BE0"/>
    <w:rsid w:val="00277505"/>
    <w:rsid w:val="00283643"/>
    <w:rsid w:val="002917B9"/>
    <w:rsid w:val="0029458F"/>
    <w:rsid w:val="00296726"/>
    <w:rsid w:val="002A104C"/>
    <w:rsid w:val="002A1436"/>
    <w:rsid w:val="002A4960"/>
    <w:rsid w:val="002A7EA0"/>
    <w:rsid w:val="002B0E18"/>
    <w:rsid w:val="002B1AE6"/>
    <w:rsid w:val="002B30F8"/>
    <w:rsid w:val="002C212F"/>
    <w:rsid w:val="002C3954"/>
    <w:rsid w:val="002C45DA"/>
    <w:rsid w:val="002E3153"/>
    <w:rsid w:val="002E36BE"/>
    <w:rsid w:val="002E4E55"/>
    <w:rsid w:val="002E568B"/>
    <w:rsid w:val="002E72CA"/>
    <w:rsid w:val="002F7D24"/>
    <w:rsid w:val="0030348D"/>
    <w:rsid w:val="00305B8B"/>
    <w:rsid w:val="00305C1C"/>
    <w:rsid w:val="00306C09"/>
    <w:rsid w:val="00316C3A"/>
    <w:rsid w:val="00320E86"/>
    <w:rsid w:val="0032200F"/>
    <w:rsid w:val="00322BB9"/>
    <w:rsid w:val="00322D0B"/>
    <w:rsid w:val="00326E79"/>
    <w:rsid w:val="0032700D"/>
    <w:rsid w:val="0033006C"/>
    <w:rsid w:val="00332602"/>
    <w:rsid w:val="0033390C"/>
    <w:rsid w:val="003367EF"/>
    <w:rsid w:val="003416BE"/>
    <w:rsid w:val="00341AE4"/>
    <w:rsid w:val="003444E0"/>
    <w:rsid w:val="00352410"/>
    <w:rsid w:val="00357D01"/>
    <w:rsid w:val="00365909"/>
    <w:rsid w:val="0037221C"/>
    <w:rsid w:val="00381DB3"/>
    <w:rsid w:val="00383573"/>
    <w:rsid w:val="003872CF"/>
    <w:rsid w:val="003921E1"/>
    <w:rsid w:val="00392B17"/>
    <w:rsid w:val="0039782C"/>
    <w:rsid w:val="003A0A5B"/>
    <w:rsid w:val="003A21B2"/>
    <w:rsid w:val="003A5B4A"/>
    <w:rsid w:val="003A7EAB"/>
    <w:rsid w:val="003B1CE6"/>
    <w:rsid w:val="003B23C5"/>
    <w:rsid w:val="003B2A75"/>
    <w:rsid w:val="003B2B50"/>
    <w:rsid w:val="003B6FCC"/>
    <w:rsid w:val="003C2C78"/>
    <w:rsid w:val="003D1BDA"/>
    <w:rsid w:val="003D24B9"/>
    <w:rsid w:val="003D4AC4"/>
    <w:rsid w:val="003D4F0B"/>
    <w:rsid w:val="003D5AA1"/>
    <w:rsid w:val="003D63B7"/>
    <w:rsid w:val="003E2A6B"/>
    <w:rsid w:val="003E2EB0"/>
    <w:rsid w:val="003E468B"/>
    <w:rsid w:val="003F183C"/>
    <w:rsid w:val="003F5C8C"/>
    <w:rsid w:val="003F6921"/>
    <w:rsid w:val="003F752E"/>
    <w:rsid w:val="00404187"/>
    <w:rsid w:val="00423EA7"/>
    <w:rsid w:val="00436A3F"/>
    <w:rsid w:val="00436C02"/>
    <w:rsid w:val="004465BD"/>
    <w:rsid w:val="004476F4"/>
    <w:rsid w:val="00460063"/>
    <w:rsid w:val="00463CF8"/>
    <w:rsid w:val="00466ADA"/>
    <w:rsid w:val="00470A87"/>
    <w:rsid w:val="00475B53"/>
    <w:rsid w:val="00476245"/>
    <w:rsid w:val="00481702"/>
    <w:rsid w:val="004818C2"/>
    <w:rsid w:val="00485940"/>
    <w:rsid w:val="004A5A85"/>
    <w:rsid w:val="004B5640"/>
    <w:rsid w:val="004B611C"/>
    <w:rsid w:val="004B68C0"/>
    <w:rsid w:val="004C1BD7"/>
    <w:rsid w:val="004C691D"/>
    <w:rsid w:val="004E692D"/>
    <w:rsid w:val="004F611E"/>
    <w:rsid w:val="004F7906"/>
    <w:rsid w:val="0050028D"/>
    <w:rsid w:val="00501554"/>
    <w:rsid w:val="00506A0D"/>
    <w:rsid w:val="00513555"/>
    <w:rsid w:val="00513AB3"/>
    <w:rsid w:val="00514CD7"/>
    <w:rsid w:val="0051644B"/>
    <w:rsid w:val="0052407A"/>
    <w:rsid w:val="005319B2"/>
    <w:rsid w:val="00532C74"/>
    <w:rsid w:val="00534E2E"/>
    <w:rsid w:val="00541201"/>
    <w:rsid w:val="00543E51"/>
    <w:rsid w:val="00544552"/>
    <w:rsid w:val="00553060"/>
    <w:rsid w:val="00557978"/>
    <w:rsid w:val="00567527"/>
    <w:rsid w:val="00571846"/>
    <w:rsid w:val="00575001"/>
    <w:rsid w:val="00581932"/>
    <w:rsid w:val="00586EF9"/>
    <w:rsid w:val="005963BB"/>
    <w:rsid w:val="005A05B3"/>
    <w:rsid w:val="005A3173"/>
    <w:rsid w:val="005A3223"/>
    <w:rsid w:val="005A3DA3"/>
    <w:rsid w:val="005A52C4"/>
    <w:rsid w:val="005B42CB"/>
    <w:rsid w:val="005C06B5"/>
    <w:rsid w:val="005C5E11"/>
    <w:rsid w:val="005C7B55"/>
    <w:rsid w:val="005D03AB"/>
    <w:rsid w:val="005D1AD3"/>
    <w:rsid w:val="005D25A6"/>
    <w:rsid w:val="005D3168"/>
    <w:rsid w:val="005D5017"/>
    <w:rsid w:val="005D7EE7"/>
    <w:rsid w:val="005E3A94"/>
    <w:rsid w:val="005E4DBB"/>
    <w:rsid w:val="005E518C"/>
    <w:rsid w:val="005E601C"/>
    <w:rsid w:val="005F30EF"/>
    <w:rsid w:val="005F613A"/>
    <w:rsid w:val="00601A91"/>
    <w:rsid w:val="00602BA3"/>
    <w:rsid w:val="006035F6"/>
    <w:rsid w:val="00606415"/>
    <w:rsid w:val="00606F12"/>
    <w:rsid w:val="00614159"/>
    <w:rsid w:val="00615D4A"/>
    <w:rsid w:val="00617C00"/>
    <w:rsid w:val="00620D52"/>
    <w:rsid w:val="00621C70"/>
    <w:rsid w:val="006263BF"/>
    <w:rsid w:val="0062748A"/>
    <w:rsid w:val="00630A2C"/>
    <w:rsid w:val="00634F4D"/>
    <w:rsid w:val="00636212"/>
    <w:rsid w:val="0064016A"/>
    <w:rsid w:val="00642794"/>
    <w:rsid w:val="00644A9C"/>
    <w:rsid w:val="0065067C"/>
    <w:rsid w:val="00651169"/>
    <w:rsid w:val="006529E0"/>
    <w:rsid w:val="00653D69"/>
    <w:rsid w:val="00654D11"/>
    <w:rsid w:val="0066064B"/>
    <w:rsid w:val="00670A76"/>
    <w:rsid w:val="006711AA"/>
    <w:rsid w:val="00672007"/>
    <w:rsid w:val="00672B57"/>
    <w:rsid w:val="0067556A"/>
    <w:rsid w:val="00675622"/>
    <w:rsid w:val="00675D4A"/>
    <w:rsid w:val="00681219"/>
    <w:rsid w:val="00681699"/>
    <w:rsid w:val="00683F3C"/>
    <w:rsid w:val="00685CFD"/>
    <w:rsid w:val="00685FC6"/>
    <w:rsid w:val="006906DB"/>
    <w:rsid w:val="006A0D98"/>
    <w:rsid w:val="006A12A5"/>
    <w:rsid w:val="006A6298"/>
    <w:rsid w:val="006B0D94"/>
    <w:rsid w:val="006B485D"/>
    <w:rsid w:val="006C708E"/>
    <w:rsid w:val="006D30AF"/>
    <w:rsid w:val="006D4955"/>
    <w:rsid w:val="006D68DA"/>
    <w:rsid w:val="006D6EC7"/>
    <w:rsid w:val="006E2BE8"/>
    <w:rsid w:val="006F1CEB"/>
    <w:rsid w:val="006F5125"/>
    <w:rsid w:val="00713254"/>
    <w:rsid w:val="0071666F"/>
    <w:rsid w:val="007174BB"/>
    <w:rsid w:val="007179C2"/>
    <w:rsid w:val="007308CE"/>
    <w:rsid w:val="00737E38"/>
    <w:rsid w:val="00751277"/>
    <w:rsid w:val="007552D5"/>
    <w:rsid w:val="00755743"/>
    <w:rsid w:val="0076420C"/>
    <w:rsid w:val="0076612B"/>
    <w:rsid w:val="00766384"/>
    <w:rsid w:val="007753C2"/>
    <w:rsid w:val="00777CCD"/>
    <w:rsid w:val="007801DA"/>
    <w:rsid w:val="00782135"/>
    <w:rsid w:val="007838B8"/>
    <w:rsid w:val="00787F06"/>
    <w:rsid w:val="00790281"/>
    <w:rsid w:val="007942FD"/>
    <w:rsid w:val="007A075C"/>
    <w:rsid w:val="007A5C26"/>
    <w:rsid w:val="007B2C99"/>
    <w:rsid w:val="007B2E5F"/>
    <w:rsid w:val="007B4669"/>
    <w:rsid w:val="007C0F57"/>
    <w:rsid w:val="007C40B6"/>
    <w:rsid w:val="007C44D6"/>
    <w:rsid w:val="007C729F"/>
    <w:rsid w:val="007D0665"/>
    <w:rsid w:val="007E1D28"/>
    <w:rsid w:val="007E3809"/>
    <w:rsid w:val="007F16BC"/>
    <w:rsid w:val="007F2641"/>
    <w:rsid w:val="007F76A4"/>
    <w:rsid w:val="007F7C36"/>
    <w:rsid w:val="00802903"/>
    <w:rsid w:val="00806796"/>
    <w:rsid w:val="00824B6E"/>
    <w:rsid w:val="00826F6D"/>
    <w:rsid w:val="00832389"/>
    <w:rsid w:val="00840C6C"/>
    <w:rsid w:val="00842119"/>
    <w:rsid w:val="00844805"/>
    <w:rsid w:val="00852693"/>
    <w:rsid w:val="00856DDD"/>
    <w:rsid w:val="00861422"/>
    <w:rsid w:val="00863C00"/>
    <w:rsid w:val="00863CCC"/>
    <w:rsid w:val="00863CCD"/>
    <w:rsid w:val="00863E68"/>
    <w:rsid w:val="008658D9"/>
    <w:rsid w:val="00877735"/>
    <w:rsid w:val="00882085"/>
    <w:rsid w:val="008823F6"/>
    <w:rsid w:val="00883188"/>
    <w:rsid w:val="00897D58"/>
    <w:rsid w:val="008A1956"/>
    <w:rsid w:val="008A277D"/>
    <w:rsid w:val="008A4937"/>
    <w:rsid w:val="008A7B99"/>
    <w:rsid w:val="008B5DC7"/>
    <w:rsid w:val="008C2676"/>
    <w:rsid w:val="008C36BF"/>
    <w:rsid w:val="008C64B4"/>
    <w:rsid w:val="008D3C82"/>
    <w:rsid w:val="008D447E"/>
    <w:rsid w:val="008D7A41"/>
    <w:rsid w:val="008E1DB6"/>
    <w:rsid w:val="008E22BA"/>
    <w:rsid w:val="008E3680"/>
    <w:rsid w:val="008E5870"/>
    <w:rsid w:val="008F1434"/>
    <w:rsid w:val="008F3C28"/>
    <w:rsid w:val="008F7355"/>
    <w:rsid w:val="00901754"/>
    <w:rsid w:val="009067B7"/>
    <w:rsid w:val="0091369C"/>
    <w:rsid w:val="009178ED"/>
    <w:rsid w:val="009179B1"/>
    <w:rsid w:val="00923EA2"/>
    <w:rsid w:val="009242A8"/>
    <w:rsid w:val="009249A1"/>
    <w:rsid w:val="00925893"/>
    <w:rsid w:val="00930937"/>
    <w:rsid w:val="00933E6C"/>
    <w:rsid w:val="00940D1E"/>
    <w:rsid w:val="00942160"/>
    <w:rsid w:val="00944252"/>
    <w:rsid w:val="009465AD"/>
    <w:rsid w:val="009602C5"/>
    <w:rsid w:val="00960567"/>
    <w:rsid w:val="00964305"/>
    <w:rsid w:val="009743DB"/>
    <w:rsid w:val="00974C21"/>
    <w:rsid w:val="00980E19"/>
    <w:rsid w:val="009822D7"/>
    <w:rsid w:val="00982738"/>
    <w:rsid w:val="00984605"/>
    <w:rsid w:val="00984EE9"/>
    <w:rsid w:val="009A45CE"/>
    <w:rsid w:val="009A463C"/>
    <w:rsid w:val="009B0E6F"/>
    <w:rsid w:val="009B0F67"/>
    <w:rsid w:val="009C6E7C"/>
    <w:rsid w:val="009C703C"/>
    <w:rsid w:val="009D19AE"/>
    <w:rsid w:val="009D3CAA"/>
    <w:rsid w:val="009D4815"/>
    <w:rsid w:val="009D4CAB"/>
    <w:rsid w:val="009D64C0"/>
    <w:rsid w:val="009E1425"/>
    <w:rsid w:val="009E6CB8"/>
    <w:rsid w:val="009E7DA4"/>
    <w:rsid w:val="009F2FC3"/>
    <w:rsid w:val="009F3572"/>
    <w:rsid w:val="009F3668"/>
    <w:rsid w:val="009F42D3"/>
    <w:rsid w:val="009F4581"/>
    <w:rsid w:val="009F4E46"/>
    <w:rsid w:val="009F5B65"/>
    <w:rsid w:val="009F5F2E"/>
    <w:rsid w:val="00A00A08"/>
    <w:rsid w:val="00A06225"/>
    <w:rsid w:val="00A12790"/>
    <w:rsid w:val="00A128E6"/>
    <w:rsid w:val="00A1470A"/>
    <w:rsid w:val="00A23AC0"/>
    <w:rsid w:val="00A27BB9"/>
    <w:rsid w:val="00A35790"/>
    <w:rsid w:val="00A37C8D"/>
    <w:rsid w:val="00A51F33"/>
    <w:rsid w:val="00A5273B"/>
    <w:rsid w:val="00A53A9D"/>
    <w:rsid w:val="00A55FEE"/>
    <w:rsid w:val="00A6054C"/>
    <w:rsid w:val="00A6215D"/>
    <w:rsid w:val="00A62C1A"/>
    <w:rsid w:val="00A6426D"/>
    <w:rsid w:val="00A7026D"/>
    <w:rsid w:val="00A70622"/>
    <w:rsid w:val="00A70977"/>
    <w:rsid w:val="00A8162D"/>
    <w:rsid w:val="00A8390C"/>
    <w:rsid w:val="00A91E25"/>
    <w:rsid w:val="00A928BD"/>
    <w:rsid w:val="00AA4608"/>
    <w:rsid w:val="00AA4AF9"/>
    <w:rsid w:val="00AA4D1C"/>
    <w:rsid w:val="00AA751A"/>
    <w:rsid w:val="00AB15B4"/>
    <w:rsid w:val="00AB293D"/>
    <w:rsid w:val="00AB46EF"/>
    <w:rsid w:val="00AB60F1"/>
    <w:rsid w:val="00AB6F1E"/>
    <w:rsid w:val="00AB751B"/>
    <w:rsid w:val="00AC5206"/>
    <w:rsid w:val="00AC7C69"/>
    <w:rsid w:val="00AD1636"/>
    <w:rsid w:val="00AD48EA"/>
    <w:rsid w:val="00AE09C8"/>
    <w:rsid w:val="00AE11A5"/>
    <w:rsid w:val="00AE13E2"/>
    <w:rsid w:val="00AE1CC3"/>
    <w:rsid w:val="00AE64B1"/>
    <w:rsid w:val="00AF68CC"/>
    <w:rsid w:val="00B06F04"/>
    <w:rsid w:val="00B10579"/>
    <w:rsid w:val="00B111C7"/>
    <w:rsid w:val="00B122F7"/>
    <w:rsid w:val="00B1320F"/>
    <w:rsid w:val="00B205AA"/>
    <w:rsid w:val="00B22E84"/>
    <w:rsid w:val="00B25D42"/>
    <w:rsid w:val="00B25F75"/>
    <w:rsid w:val="00B329C9"/>
    <w:rsid w:val="00B43E90"/>
    <w:rsid w:val="00B44B98"/>
    <w:rsid w:val="00B458CC"/>
    <w:rsid w:val="00B47C23"/>
    <w:rsid w:val="00B53614"/>
    <w:rsid w:val="00B56118"/>
    <w:rsid w:val="00B6629A"/>
    <w:rsid w:val="00B6773F"/>
    <w:rsid w:val="00B74433"/>
    <w:rsid w:val="00B7699D"/>
    <w:rsid w:val="00B801BA"/>
    <w:rsid w:val="00B84B23"/>
    <w:rsid w:val="00B84E6E"/>
    <w:rsid w:val="00B9162D"/>
    <w:rsid w:val="00BA3924"/>
    <w:rsid w:val="00BA7BC3"/>
    <w:rsid w:val="00BB0AC4"/>
    <w:rsid w:val="00BB69F5"/>
    <w:rsid w:val="00BB7EC3"/>
    <w:rsid w:val="00BC4121"/>
    <w:rsid w:val="00BC4B9A"/>
    <w:rsid w:val="00BC559F"/>
    <w:rsid w:val="00BD2A6A"/>
    <w:rsid w:val="00BD68FC"/>
    <w:rsid w:val="00BD784C"/>
    <w:rsid w:val="00BE29F3"/>
    <w:rsid w:val="00BE4583"/>
    <w:rsid w:val="00BE7758"/>
    <w:rsid w:val="00BF2D30"/>
    <w:rsid w:val="00BF4CB6"/>
    <w:rsid w:val="00C00DA7"/>
    <w:rsid w:val="00C12768"/>
    <w:rsid w:val="00C2403E"/>
    <w:rsid w:val="00C25927"/>
    <w:rsid w:val="00C265DB"/>
    <w:rsid w:val="00C27B58"/>
    <w:rsid w:val="00C303E3"/>
    <w:rsid w:val="00C33CFA"/>
    <w:rsid w:val="00C3404D"/>
    <w:rsid w:val="00C3561D"/>
    <w:rsid w:val="00C35996"/>
    <w:rsid w:val="00C36311"/>
    <w:rsid w:val="00C36FF5"/>
    <w:rsid w:val="00C46A34"/>
    <w:rsid w:val="00C5342C"/>
    <w:rsid w:val="00C60404"/>
    <w:rsid w:val="00C6256A"/>
    <w:rsid w:val="00C75894"/>
    <w:rsid w:val="00C8090A"/>
    <w:rsid w:val="00C81B4C"/>
    <w:rsid w:val="00C8243B"/>
    <w:rsid w:val="00C82F8A"/>
    <w:rsid w:val="00C83519"/>
    <w:rsid w:val="00C8353B"/>
    <w:rsid w:val="00C838FE"/>
    <w:rsid w:val="00C83D16"/>
    <w:rsid w:val="00C91449"/>
    <w:rsid w:val="00C92D10"/>
    <w:rsid w:val="00C92E76"/>
    <w:rsid w:val="00C94ABC"/>
    <w:rsid w:val="00C97548"/>
    <w:rsid w:val="00CC047B"/>
    <w:rsid w:val="00CD1BF1"/>
    <w:rsid w:val="00CD2C60"/>
    <w:rsid w:val="00CE10C4"/>
    <w:rsid w:val="00CE27B5"/>
    <w:rsid w:val="00CF2F5D"/>
    <w:rsid w:val="00D011DB"/>
    <w:rsid w:val="00D0321E"/>
    <w:rsid w:val="00D0450B"/>
    <w:rsid w:val="00D055A7"/>
    <w:rsid w:val="00D06ADC"/>
    <w:rsid w:val="00D1377B"/>
    <w:rsid w:val="00D1455A"/>
    <w:rsid w:val="00D258D5"/>
    <w:rsid w:val="00D3280C"/>
    <w:rsid w:val="00D33B73"/>
    <w:rsid w:val="00D3406A"/>
    <w:rsid w:val="00D40C9A"/>
    <w:rsid w:val="00D43454"/>
    <w:rsid w:val="00D469B2"/>
    <w:rsid w:val="00D527C2"/>
    <w:rsid w:val="00D6274B"/>
    <w:rsid w:val="00D741EB"/>
    <w:rsid w:val="00D75532"/>
    <w:rsid w:val="00D84934"/>
    <w:rsid w:val="00D85BB7"/>
    <w:rsid w:val="00D87A4E"/>
    <w:rsid w:val="00D91271"/>
    <w:rsid w:val="00D928C5"/>
    <w:rsid w:val="00D94C5E"/>
    <w:rsid w:val="00DA0CAA"/>
    <w:rsid w:val="00DA1556"/>
    <w:rsid w:val="00DA1A5F"/>
    <w:rsid w:val="00DA2CB5"/>
    <w:rsid w:val="00DA4BAC"/>
    <w:rsid w:val="00DB33AD"/>
    <w:rsid w:val="00DB4A00"/>
    <w:rsid w:val="00DC1537"/>
    <w:rsid w:val="00DD1956"/>
    <w:rsid w:val="00DE338C"/>
    <w:rsid w:val="00DE634E"/>
    <w:rsid w:val="00DE6D27"/>
    <w:rsid w:val="00DE6F1E"/>
    <w:rsid w:val="00DF217D"/>
    <w:rsid w:val="00DF2667"/>
    <w:rsid w:val="00DF26A7"/>
    <w:rsid w:val="00DF31CE"/>
    <w:rsid w:val="00DF6257"/>
    <w:rsid w:val="00E07065"/>
    <w:rsid w:val="00E102FC"/>
    <w:rsid w:val="00E10D23"/>
    <w:rsid w:val="00E11120"/>
    <w:rsid w:val="00E16447"/>
    <w:rsid w:val="00E164B3"/>
    <w:rsid w:val="00E16910"/>
    <w:rsid w:val="00E20A73"/>
    <w:rsid w:val="00E21126"/>
    <w:rsid w:val="00E21901"/>
    <w:rsid w:val="00E27339"/>
    <w:rsid w:val="00E3385B"/>
    <w:rsid w:val="00E3728B"/>
    <w:rsid w:val="00E40827"/>
    <w:rsid w:val="00E46529"/>
    <w:rsid w:val="00E53A5D"/>
    <w:rsid w:val="00E65E54"/>
    <w:rsid w:val="00E80155"/>
    <w:rsid w:val="00E83E2F"/>
    <w:rsid w:val="00E848C0"/>
    <w:rsid w:val="00E91267"/>
    <w:rsid w:val="00E916ED"/>
    <w:rsid w:val="00E91B96"/>
    <w:rsid w:val="00E941A1"/>
    <w:rsid w:val="00E95CE3"/>
    <w:rsid w:val="00E9750E"/>
    <w:rsid w:val="00EA1966"/>
    <w:rsid w:val="00EA2825"/>
    <w:rsid w:val="00EB46EF"/>
    <w:rsid w:val="00EB5088"/>
    <w:rsid w:val="00EC6B70"/>
    <w:rsid w:val="00ED1644"/>
    <w:rsid w:val="00ED760F"/>
    <w:rsid w:val="00EE189B"/>
    <w:rsid w:val="00EE73B7"/>
    <w:rsid w:val="00EF44A0"/>
    <w:rsid w:val="00F02545"/>
    <w:rsid w:val="00F050BD"/>
    <w:rsid w:val="00F05657"/>
    <w:rsid w:val="00F07A3C"/>
    <w:rsid w:val="00F20368"/>
    <w:rsid w:val="00F23F67"/>
    <w:rsid w:val="00F25578"/>
    <w:rsid w:val="00F257AF"/>
    <w:rsid w:val="00F258E5"/>
    <w:rsid w:val="00F300BC"/>
    <w:rsid w:val="00F3334E"/>
    <w:rsid w:val="00F42BDF"/>
    <w:rsid w:val="00F43D87"/>
    <w:rsid w:val="00F44AA7"/>
    <w:rsid w:val="00F45B2B"/>
    <w:rsid w:val="00F46B7F"/>
    <w:rsid w:val="00F50EC4"/>
    <w:rsid w:val="00F53974"/>
    <w:rsid w:val="00F57A6D"/>
    <w:rsid w:val="00F60D83"/>
    <w:rsid w:val="00F638CC"/>
    <w:rsid w:val="00F7199D"/>
    <w:rsid w:val="00F7279B"/>
    <w:rsid w:val="00F81686"/>
    <w:rsid w:val="00F8247A"/>
    <w:rsid w:val="00F82635"/>
    <w:rsid w:val="00F86FC8"/>
    <w:rsid w:val="00F91258"/>
    <w:rsid w:val="00F9428A"/>
    <w:rsid w:val="00F9629A"/>
    <w:rsid w:val="00FA5883"/>
    <w:rsid w:val="00FA5E37"/>
    <w:rsid w:val="00FA6055"/>
    <w:rsid w:val="00FA7726"/>
    <w:rsid w:val="00FB322F"/>
    <w:rsid w:val="00FB442F"/>
    <w:rsid w:val="00FB59EC"/>
    <w:rsid w:val="00FC1929"/>
    <w:rsid w:val="00FC5B46"/>
    <w:rsid w:val="00FC7611"/>
    <w:rsid w:val="00FE4E7E"/>
    <w:rsid w:val="00FF00BD"/>
    <w:rsid w:val="00FF1252"/>
    <w:rsid w:val="00FF1ED4"/>
    <w:rsid w:val="00FF3140"/>
    <w:rsid w:val="00FF48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Table">
    <w:name w:val="Table"/>
    <w:basedOn w:val="Normal"/>
    <w:link w:val="TableChar"/>
    <w:qFormat/>
    <w:rsid w:val="00AE09C8"/>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AE09C8"/>
    <w:rPr>
      <w:rFonts w:ascii="Candara" w:eastAsiaTheme="majorEastAsia" w:hAnsi="Candara" w:cstheme="majorBidi"/>
      <w:szCs w:val="22"/>
      <w:lang w:eastAsia="en-US" w:bidi="en-US"/>
    </w:rPr>
  </w:style>
  <w:style w:type="paragraph" w:customStyle="1" w:styleId="TableCentre">
    <w:name w:val="Table Centre"/>
    <w:basedOn w:val="Table"/>
    <w:qFormat/>
    <w:rsid w:val="00AE09C8"/>
    <w:pPr>
      <w:jc w:val="center"/>
    </w:pPr>
  </w:style>
  <w:style w:type="paragraph" w:customStyle="1" w:styleId="TableRight">
    <w:name w:val="Table Right"/>
    <w:basedOn w:val="Table"/>
    <w:next w:val="Table"/>
    <w:qFormat/>
    <w:rsid w:val="00AE09C8"/>
    <w:pPr>
      <w:jc w:val="right"/>
    </w:pPr>
  </w:style>
  <w:style w:type="paragraph" w:customStyle="1" w:styleId="TableFooter">
    <w:name w:val="Table Footer"/>
    <w:basedOn w:val="Normal"/>
    <w:qFormat/>
    <w:rsid w:val="00D40C9A"/>
    <w:pPr>
      <w:widowControl w:val="0"/>
      <w:jc w:val="both"/>
    </w:pPr>
    <w:rPr>
      <w:rFonts w:ascii="Arial Narrow" w:hAnsi="Arial Narrow" w:cs="Arial"/>
      <w:snapToGrid w:val="0"/>
      <w:sz w:val="18"/>
      <w:szCs w:val="20"/>
      <w:lang w:eastAsia="en-US"/>
    </w:rPr>
  </w:style>
  <w:style w:type="character" w:customStyle="1" w:styleId="TableText0">
    <w:name w:val="Table Text"/>
    <w:uiPriority w:val="4"/>
    <w:qFormat/>
    <w:rsid w:val="00D40C9A"/>
    <w:rPr>
      <w:rFonts w:ascii="Calibri" w:hAnsi="Calibri"/>
      <w:sz w:val="20"/>
    </w:rPr>
  </w:style>
  <w:style w:type="paragraph" w:styleId="FootnoteText">
    <w:name w:val="footnote text"/>
    <w:basedOn w:val="Normal"/>
    <w:link w:val="FootnoteTextChar"/>
    <w:rsid w:val="00B84E6E"/>
    <w:rPr>
      <w:sz w:val="20"/>
      <w:szCs w:val="20"/>
    </w:rPr>
  </w:style>
  <w:style w:type="character" w:customStyle="1" w:styleId="FootnoteTextChar">
    <w:name w:val="Footnote Text Char"/>
    <w:basedOn w:val="DefaultParagraphFont"/>
    <w:link w:val="FootnoteText"/>
    <w:rsid w:val="00B84E6E"/>
  </w:style>
  <w:style w:type="character" w:styleId="FootnoteReference">
    <w:name w:val="footnote reference"/>
    <w:basedOn w:val="DefaultParagraphFont"/>
    <w:rsid w:val="00B84E6E"/>
    <w:rPr>
      <w:vertAlign w:val="superscript"/>
    </w:rPr>
  </w:style>
  <w:style w:type="paragraph" w:styleId="Caption">
    <w:name w:val="caption"/>
    <w:basedOn w:val="Normal"/>
    <w:next w:val="Normal"/>
    <w:link w:val="CaptionChar"/>
    <w:uiPriority w:val="99"/>
    <w:unhideWhenUsed/>
    <w:qFormat/>
    <w:rsid w:val="001652CA"/>
    <w:pPr>
      <w:widowControl w:val="0"/>
      <w:jc w:val="both"/>
    </w:pPr>
    <w:rPr>
      <w:rFonts w:ascii="Arial Narrow" w:hAnsi="Arial Narrow" w:cs="Arial"/>
      <w:b/>
      <w:bCs/>
      <w:snapToGrid w:val="0"/>
      <w:sz w:val="20"/>
      <w:szCs w:val="18"/>
      <w:lang w:eastAsia="en-US"/>
    </w:rPr>
  </w:style>
  <w:style w:type="character" w:customStyle="1" w:styleId="CaptionChar">
    <w:name w:val="Caption Char"/>
    <w:link w:val="Caption"/>
    <w:uiPriority w:val="10"/>
    <w:rsid w:val="001652CA"/>
    <w:rPr>
      <w:rFonts w:ascii="Arial Narrow" w:hAnsi="Arial Narrow" w:cs="Arial"/>
      <w:b/>
      <w:bCs/>
      <w:snapToGrid w:val="0"/>
      <w:szCs w:val="18"/>
      <w:lang w:eastAsia="en-US"/>
    </w:rPr>
  </w:style>
  <w:style w:type="character" w:customStyle="1" w:styleId="TableBold">
    <w:name w:val="Table Bold"/>
    <w:uiPriority w:val="4"/>
    <w:qFormat/>
    <w:rsid w:val="001652CA"/>
    <w:rPr>
      <w:rFonts w:ascii="Calibri" w:hAnsi="Calibri"/>
      <w:b/>
      <w:sz w:val="20"/>
      <w:lang w:val="en-AU"/>
    </w:rPr>
  </w:style>
  <w:style w:type="paragraph" w:customStyle="1" w:styleId="CaptionFootnote">
    <w:name w:val="Caption Footnote"/>
    <w:basedOn w:val="Caption"/>
    <w:qFormat/>
    <w:rsid w:val="00D06ADC"/>
    <w:pPr>
      <w:jc w:val="left"/>
    </w:pPr>
    <w:rPr>
      <w:rFonts w:ascii="Candara" w:eastAsiaTheme="majorEastAsia" w:hAnsi="Candara" w:cstheme="majorBidi"/>
      <w:b w:val="0"/>
      <w:snapToGrid/>
      <w:sz w:val="16"/>
      <w:lang w:bidi="en-US"/>
    </w:rPr>
  </w:style>
  <w:style w:type="paragraph" w:styleId="Revision">
    <w:name w:val="Revision"/>
    <w:hidden/>
    <w:uiPriority w:val="71"/>
    <w:rsid w:val="003B1CE6"/>
    <w:rPr>
      <w:sz w:val="24"/>
      <w:szCs w:val="24"/>
    </w:rPr>
  </w:style>
  <w:style w:type="paragraph" w:customStyle="1" w:styleId="EndNoteBibliographyTitle">
    <w:name w:val="EndNote Bibliography Title"/>
    <w:basedOn w:val="Normal"/>
    <w:link w:val="EndNoteBibliographyTitleChar"/>
    <w:rsid w:val="00AB6F1E"/>
    <w:pPr>
      <w:jc w:val="center"/>
    </w:pPr>
    <w:rPr>
      <w:noProof/>
    </w:rPr>
  </w:style>
  <w:style w:type="character" w:customStyle="1" w:styleId="EndNoteBibliographyTitleChar">
    <w:name w:val="EndNote Bibliography Title Char"/>
    <w:basedOn w:val="DefaultParagraphFont"/>
    <w:link w:val="EndNoteBibliographyTitle"/>
    <w:rsid w:val="00AB6F1E"/>
    <w:rPr>
      <w:noProof/>
      <w:sz w:val="24"/>
      <w:szCs w:val="24"/>
    </w:rPr>
  </w:style>
  <w:style w:type="paragraph" w:customStyle="1" w:styleId="EndNoteBibliography">
    <w:name w:val="EndNote Bibliography"/>
    <w:basedOn w:val="Normal"/>
    <w:link w:val="EndNoteBibliographyChar"/>
    <w:rsid w:val="00AB6F1E"/>
    <w:rPr>
      <w:noProof/>
    </w:rPr>
  </w:style>
  <w:style w:type="character" w:customStyle="1" w:styleId="EndNoteBibliographyChar">
    <w:name w:val="EndNote Bibliography Char"/>
    <w:basedOn w:val="DefaultParagraphFont"/>
    <w:link w:val="EndNoteBibliography"/>
    <w:rsid w:val="00AB6F1E"/>
    <w:rPr>
      <w:noProof/>
      <w:sz w:val="24"/>
      <w:szCs w:val="24"/>
    </w:rPr>
  </w:style>
  <w:style w:type="character" w:styleId="Hyperlink">
    <w:name w:val="Hyperlink"/>
    <w:basedOn w:val="DefaultParagraphFont"/>
    <w:rsid w:val="00AB6F1E"/>
    <w:rPr>
      <w:color w:val="0000FF" w:themeColor="hyperlink"/>
      <w:u w:val="single"/>
    </w:rPr>
  </w:style>
  <w:style w:type="paragraph" w:customStyle="1" w:styleId="Default">
    <w:name w:val="Default"/>
    <w:rsid w:val="000801A6"/>
    <w:pPr>
      <w:autoSpaceDE w:val="0"/>
      <w:autoSpaceDN w:val="0"/>
      <w:adjustRightInd w:val="0"/>
    </w:pPr>
    <w:rPr>
      <w:rFonts w:ascii="Arial" w:hAnsi="Arial" w:cs="Arial"/>
      <w:color w:val="000000"/>
      <w:sz w:val="24"/>
      <w:szCs w:val="24"/>
    </w:rPr>
  </w:style>
  <w:style w:type="paragraph" w:customStyle="1" w:styleId="PBACHeading1">
    <w:name w:val="PBAC Heading 1"/>
    <w:qFormat/>
    <w:rsid w:val="002B0E18"/>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3A7E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Table">
    <w:name w:val="Table"/>
    <w:basedOn w:val="Normal"/>
    <w:link w:val="TableChar"/>
    <w:qFormat/>
    <w:rsid w:val="00AE09C8"/>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AE09C8"/>
    <w:rPr>
      <w:rFonts w:ascii="Candara" w:eastAsiaTheme="majorEastAsia" w:hAnsi="Candara" w:cstheme="majorBidi"/>
      <w:szCs w:val="22"/>
      <w:lang w:eastAsia="en-US" w:bidi="en-US"/>
    </w:rPr>
  </w:style>
  <w:style w:type="paragraph" w:customStyle="1" w:styleId="TableCentre">
    <w:name w:val="Table Centre"/>
    <w:basedOn w:val="Table"/>
    <w:qFormat/>
    <w:rsid w:val="00AE09C8"/>
    <w:pPr>
      <w:jc w:val="center"/>
    </w:pPr>
  </w:style>
  <w:style w:type="paragraph" w:customStyle="1" w:styleId="TableRight">
    <w:name w:val="Table Right"/>
    <w:basedOn w:val="Table"/>
    <w:next w:val="Table"/>
    <w:qFormat/>
    <w:rsid w:val="00AE09C8"/>
    <w:pPr>
      <w:jc w:val="right"/>
    </w:pPr>
  </w:style>
  <w:style w:type="paragraph" w:customStyle="1" w:styleId="TableFooter">
    <w:name w:val="Table Footer"/>
    <w:basedOn w:val="Normal"/>
    <w:qFormat/>
    <w:rsid w:val="00D40C9A"/>
    <w:pPr>
      <w:widowControl w:val="0"/>
      <w:jc w:val="both"/>
    </w:pPr>
    <w:rPr>
      <w:rFonts w:ascii="Arial Narrow" w:hAnsi="Arial Narrow" w:cs="Arial"/>
      <w:snapToGrid w:val="0"/>
      <w:sz w:val="18"/>
      <w:szCs w:val="20"/>
      <w:lang w:eastAsia="en-US"/>
    </w:rPr>
  </w:style>
  <w:style w:type="character" w:customStyle="1" w:styleId="TableText0">
    <w:name w:val="Table Text"/>
    <w:uiPriority w:val="4"/>
    <w:qFormat/>
    <w:rsid w:val="00D40C9A"/>
    <w:rPr>
      <w:rFonts w:ascii="Calibri" w:hAnsi="Calibri"/>
      <w:sz w:val="20"/>
    </w:rPr>
  </w:style>
  <w:style w:type="paragraph" w:styleId="FootnoteText">
    <w:name w:val="footnote text"/>
    <w:basedOn w:val="Normal"/>
    <w:link w:val="FootnoteTextChar"/>
    <w:rsid w:val="00B84E6E"/>
    <w:rPr>
      <w:sz w:val="20"/>
      <w:szCs w:val="20"/>
    </w:rPr>
  </w:style>
  <w:style w:type="character" w:customStyle="1" w:styleId="FootnoteTextChar">
    <w:name w:val="Footnote Text Char"/>
    <w:basedOn w:val="DefaultParagraphFont"/>
    <w:link w:val="FootnoteText"/>
    <w:rsid w:val="00B84E6E"/>
  </w:style>
  <w:style w:type="character" w:styleId="FootnoteReference">
    <w:name w:val="footnote reference"/>
    <w:basedOn w:val="DefaultParagraphFont"/>
    <w:rsid w:val="00B84E6E"/>
    <w:rPr>
      <w:vertAlign w:val="superscript"/>
    </w:rPr>
  </w:style>
  <w:style w:type="paragraph" w:styleId="Caption">
    <w:name w:val="caption"/>
    <w:basedOn w:val="Normal"/>
    <w:next w:val="Normal"/>
    <w:link w:val="CaptionChar"/>
    <w:uiPriority w:val="99"/>
    <w:unhideWhenUsed/>
    <w:qFormat/>
    <w:rsid w:val="001652CA"/>
    <w:pPr>
      <w:widowControl w:val="0"/>
      <w:jc w:val="both"/>
    </w:pPr>
    <w:rPr>
      <w:rFonts w:ascii="Arial Narrow" w:hAnsi="Arial Narrow" w:cs="Arial"/>
      <w:b/>
      <w:bCs/>
      <w:snapToGrid w:val="0"/>
      <w:sz w:val="20"/>
      <w:szCs w:val="18"/>
      <w:lang w:eastAsia="en-US"/>
    </w:rPr>
  </w:style>
  <w:style w:type="character" w:customStyle="1" w:styleId="CaptionChar">
    <w:name w:val="Caption Char"/>
    <w:link w:val="Caption"/>
    <w:uiPriority w:val="10"/>
    <w:rsid w:val="001652CA"/>
    <w:rPr>
      <w:rFonts w:ascii="Arial Narrow" w:hAnsi="Arial Narrow" w:cs="Arial"/>
      <w:b/>
      <w:bCs/>
      <w:snapToGrid w:val="0"/>
      <w:szCs w:val="18"/>
      <w:lang w:eastAsia="en-US"/>
    </w:rPr>
  </w:style>
  <w:style w:type="character" w:customStyle="1" w:styleId="TableBold">
    <w:name w:val="Table Bold"/>
    <w:uiPriority w:val="4"/>
    <w:qFormat/>
    <w:rsid w:val="001652CA"/>
    <w:rPr>
      <w:rFonts w:ascii="Calibri" w:hAnsi="Calibri"/>
      <w:b/>
      <w:sz w:val="20"/>
      <w:lang w:val="en-AU"/>
    </w:rPr>
  </w:style>
  <w:style w:type="paragraph" w:customStyle="1" w:styleId="CaptionFootnote">
    <w:name w:val="Caption Footnote"/>
    <w:basedOn w:val="Caption"/>
    <w:qFormat/>
    <w:rsid w:val="00D06ADC"/>
    <w:pPr>
      <w:jc w:val="left"/>
    </w:pPr>
    <w:rPr>
      <w:rFonts w:ascii="Candara" w:eastAsiaTheme="majorEastAsia" w:hAnsi="Candara" w:cstheme="majorBidi"/>
      <w:b w:val="0"/>
      <w:snapToGrid/>
      <w:sz w:val="16"/>
      <w:lang w:bidi="en-US"/>
    </w:rPr>
  </w:style>
  <w:style w:type="paragraph" w:styleId="Revision">
    <w:name w:val="Revision"/>
    <w:hidden/>
    <w:uiPriority w:val="71"/>
    <w:rsid w:val="003B1CE6"/>
    <w:rPr>
      <w:sz w:val="24"/>
      <w:szCs w:val="24"/>
    </w:rPr>
  </w:style>
  <w:style w:type="paragraph" w:customStyle="1" w:styleId="EndNoteBibliographyTitle">
    <w:name w:val="EndNote Bibliography Title"/>
    <w:basedOn w:val="Normal"/>
    <w:link w:val="EndNoteBibliographyTitleChar"/>
    <w:rsid w:val="00AB6F1E"/>
    <w:pPr>
      <w:jc w:val="center"/>
    </w:pPr>
    <w:rPr>
      <w:noProof/>
    </w:rPr>
  </w:style>
  <w:style w:type="character" w:customStyle="1" w:styleId="EndNoteBibliographyTitleChar">
    <w:name w:val="EndNote Bibliography Title Char"/>
    <w:basedOn w:val="DefaultParagraphFont"/>
    <w:link w:val="EndNoteBibliographyTitle"/>
    <w:rsid w:val="00AB6F1E"/>
    <w:rPr>
      <w:noProof/>
      <w:sz w:val="24"/>
      <w:szCs w:val="24"/>
    </w:rPr>
  </w:style>
  <w:style w:type="paragraph" w:customStyle="1" w:styleId="EndNoteBibliography">
    <w:name w:val="EndNote Bibliography"/>
    <w:basedOn w:val="Normal"/>
    <w:link w:val="EndNoteBibliographyChar"/>
    <w:rsid w:val="00AB6F1E"/>
    <w:rPr>
      <w:noProof/>
    </w:rPr>
  </w:style>
  <w:style w:type="character" w:customStyle="1" w:styleId="EndNoteBibliographyChar">
    <w:name w:val="EndNote Bibliography Char"/>
    <w:basedOn w:val="DefaultParagraphFont"/>
    <w:link w:val="EndNoteBibliography"/>
    <w:rsid w:val="00AB6F1E"/>
    <w:rPr>
      <w:noProof/>
      <w:sz w:val="24"/>
      <w:szCs w:val="24"/>
    </w:rPr>
  </w:style>
  <w:style w:type="character" w:styleId="Hyperlink">
    <w:name w:val="Hyperlink"/>
    <w:basedOn w:val="DefaultParagraphFont"/>
    <w:rsid w:val="00AB6F1E"/>
    <w:rPr>
      <w:color w:val="0000FF" w:themeColor="hyperlink"/>
      <w:u w:val="single"/>
    </w:rPr>
  </w:style>
  <w:style w:type="paragraph" w:customStyle="1" w:styleId="Default">
    <w:name w:val="Default"/>
    <w:rsid w:val="000801A6"/>
    <w:pPr>
      <w:autoSpaceDE w:val="0"/>
      <w:autoSpaceDN w:val="0"/>
      <w:adjustRightInd w:val="0"/>
    </w:pPr>
    <w:rPr>
      <w:rFonts w:ascii="Arial" w:hAnsi="Arial" w:cs="Arial"/>
      <w:color w:val="000000"/>
      <w:sz w:val="24"/>
      <w:szCs w:val="24"/>
    </w:rPr>
  </w:style>
  <w:style w:type="paragraph" w:customStyle="1" w:styleId="PBACHeading1">
    <w:name w:val="PBAC Heading 1"/>
    <w:qFormat/>
    <w:rsid w:val="002B0E18"/>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3A7E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08472443">
      <w:bodyDiv w:val="1"/>
      <w:marLeft w:val="0"/>
      <w:marRight w:val="0"/>
      <w:marTop w:val="0"/>
      <w:marBottom w:val="0"/>
      <w:divBdr>
        <w:top w:val="none" w:sz="0" w:space="0" w:color="auto"/>
        <w:left w:val="none" w:sz="0" w:space="0" w:color="auto"/>
        <w:bottom w:val="none" w:sz="0" w:space="0" w:color="auto"/>
        <w:right w:val="none" w:sz="0" w:space="0" w:color="auto"/>
      </w:divBdr>
      <w:divsChild>
        <w:div w:id="1725442577">
          <w:marLeft w:val="547"/>
          <w:marRight w:val="0"/>
          <w:marTop w:val="154"/>
          <w:marBottom w:val="0"/>
          <w:divBdr>
            <w:top w:val="none" w:sz="0" w:space="0" w:color="auto"/>
            <w:left w:val="none" w:sz="0" w:space="0" w:color="auto"/>
            <w:bottom w:val="none" w:sz="0" w:space="0" w:color="auto"/>
            <w:right w:val="none" w:sz="0" w:space="0" w:color="auto"/>
          </w:divBdr>
        </w:div>
      </w:divsChild>
    </w:div>
    <w:div w:id="1628311449">
      <w:bodyDiv w:val="1"/>
      <w:marLeft w:val="0"/>
      <w:marRight w:val="0"/>
      <w:marTop w:val="0"/>
      <w:marBottom w:val="0"/>
      <w:divBdr>
        <w:top w:val="none" w:sz="0" w:space="0" w:color="auto"/>
        <w:left w:val="none" w:sz="0" w:space="0" w:color="auto"/>
        <w:bottom w:val="none" w:sz="0" w:space="0" w:color="auto"/>
        <w:right w:val="none" w:sz="0" w:space="0" w:color="auto"/>
      </w:divBdr>
      <w:divsChild>
        <w:div w:id="1922592541">
          <w:marLeft w:val="547"/>
          <w:marRight w:val="0"/>
          <w:marTop w:val="154"/>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E36A-985F-40D5-862B-763382D8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5178</Words>
  <Characters>31838</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2015-10-26T06:08:00Z</dcterms:created>
  <dcterms:modified xsi:type="dcterms:W3CDTF">2015-10-26T06:09:00Z</dcterms:modified>
</cp:coreProperties>
</file>