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710" w:rsidRDefault="00E44356" w:rsidP="000A0288">
      <w:pPr>
        <w:pStyle w:val="Heading1"/>
        <w:widowControl/>
        <w:rPr>
          <w:sz w:val="28"/>
          <w:szCs w:val="28"/>
        </w:rPr>
      </w:pPr>
      <w:bookmarkStart w:id="0" w:name="_Toc419206862"/>
      <w:r>
        <w:rPr>
          <w:sz w:val="28"/>
        </w:rPr>
        <w:t>7</w:t>
      </w:r>
      <w:r w:rsidR="00433044">
        <w:rPr>
          <w:sz w:val="28"/>
        </w:rPr>
        <w:t>.</w:t>
      </w:r>
      <w:r w:rsidR="002704DF">
        <w:rPr>
          <w:sz w:val="28"/>
        </w:rPr>
        <w:t>05</w:t>
      </w:r>
      <w:r w:rsidR="00B60939" w:rsidRPr="00207D00">
        <w:rPr>
          <w:sz w:val="28"/>
        </w:rPr>
        <w:tab/>
      </w:r>
      <w:r w:rsidR="008016CE" w:rsidRPr="00E44356">
        <w:rPr>
          <w:sz w:val="28"/>
          <w:szCs w:val="28"/>
        </w:rPr>
        <w:t>Riociguat</w:t>
      </w:r>
    </w:p>
    <w:p w:rsidR="00301710" w:rsidRPr="00CC6A74" w:rsidRDefault="008016CE" w:rsidP="00CC6A74">
      <w:pPr>
        <w:ind w:firstLine="709"/>
        <w:rPr>
          <w:rFonts w:ascii="Arial Bold" w:hAnsi="Arial Bold"/>
          <w:sz w:val="28"/>
          <w:szCs w:val="28"/>
        </w:rPr>
      </w:pPr>
      <w:r w:rsidRPr="00CC6A74">
        <w:rPr>
          <w:rFonts w:ascii="Arial Bold" w:hAnsi="Arial Bold"/>
          <w:sz w:val="28"/>
          <w:szCs w:val="28"/>
        </w:rPr>
        <w:t>500 microgram tablet, 42 and 84</w:t>
      </w:r>
    </w:p>
    <w:p w:rsidR="00301710" w:rsidRPr="00CC6A74" w:rsidRDefault="008016CE" w:rsidP="00CC6A74">
      <w:pPr>
        <w:ind w:firstLine="709"/>
        <w:rPr>
          <w:rFonts w:ascii="Arial Bold" w:hAnsi="Arial Bold"/>
          <w:sz w:val="28"/>
          <w:szCs w:val="28"/>
        </w:rPr>
      </w:pPr>
      <w:r w:rsidRPr="00CC6A74">
        <w:rPr>
          <w:rFonts w:ascii="Arial Bold" w:hAnsi="Arial Bold"/>
          <w:sz w:val="28"/>
          <w:szCs w:val="28"/>
        </w:rPr>
        <w:t>1 mg tablet, 42 and 84</w:t>
      </w:r>
    </w:p>
    <w:p w:rsidR="00301710" w:rsidRPr="00CC6A74" w:rsidRDefault="00301710" w:rsidP="00CC6A74">
      <w:pPr>
        <w:ind w:firstLine="709"/>
        <w:rPr>
          <w:rFonts w:ascii="Arial Bold" w:hAnsi="Arial Bold"/>
          <w:sz w:val="28"/>
          <w:szCs w:val="28"/>
        </w:rPr>
      </w:pPr>
      <w:r w:rsidRPr="00CC6A74">
        <w:rPr>
          <w:rFonts w:ascii="Arial Bold" w:hAnsi="Arial Bold"/>
          <w:sz w:val="28"/>
          <w:szCs w:val="28"/>
        </w:rPr>
        <w:t>1.5 </w:t>
      </w:r>
      <w:r w:rsidR="008016CE" w:rsidRPr="00CC6A74">
        <w:rPr>
          <w:rFonts w:ascii="Arial Bold" w:hAnsi="Arial Bold"/>
          <w:sz w:val="28"/>
          <w:szCs w:val="28"/>
        </w:rPr>
        <w:t>mg tablet, 42 and 84</w:t>
      </w:r>
      <w:r w:rsidR="00094ABA" w:rsidRPr="00CC6A74">
        <w:rPr>
          <w:rFonts w:ascii="Arial Bold" w:hAnsi="Arial Bold"/>
          <w:sz w:val="28"/>
          <w:szCs w:val="28"/>
        </w:rPr>
        <w:t xml:space="preserve"> </w:t>
      </w:r>
    </w:p>
    <w:p w:rsidR="00301710" w:rsidRPr="00CC6A74" w:rsidRDefault="008016CE" w:rsidP="00CC6A74">
      <w:pPr>
        <w:ind w:firstLine="709"/>
        <w:rPr>
          <w:rFonts w:ascii="Arial Bold" w:hAnsi="Arial Bold"/>
          <w:sz w:val="28"/>
          <w:szCs w:val="28"/>
        </w:rPr>
      </w:pPr>
      <w:r w:rsidRPr="00CC6A74">
        <w:rPr>
          <w:rFonts w:ascii="Arial Bold" w:hAnsi="Arial Bold"/>
          <w:sz w:val="28"/>
          <w:szCs w:val="28"/>
        </w:rPr>
        <w:t>2 mg tablet, 42 and 84</w:t>
      </w:r>
      <w:r w:rsidR="00301710" w:rsidRPr="00CC6A74">
        <w:rPr>
          <w:rFonts w:ascii="Arial Bold" w:hAnsi="Arial Bold"/>
          <w:sz w:val="28"/>
          <w:szCs w:val="28"/>
        </w:rPr>
        <w:t xml:space="preserve"> </w:t>
      </w:r>
    </w:p>
    <w:p w:rsidR="00301710" w:rsidRPr="00CC6A74" w:rsidRDefault="00301710" w:rsidP="00CC6A74">
      <w:pPr>
        <w:ind w:firstLine="709"/>
        <w:rPr>
          <w:rFonts w:ascii="Arial Bold" w:hAnsi="Arial Bold"/>
          <w:sz w:val="28"/>
          <w:szCs w:val="28"/>
        </w:rPr>
      </w:pPr>
      <w:r w:rsidRPr="00CC6A74">
        <w:rPr>
          <w:rFonts w:ascii="Arial Bold" w:hAnsi="Arial Bold"/>
          <w:sz w:val="28"/>
          <w:szCs w:val="28"/>
        </w:rPr>
        <w:t>2.5 mg tablet, 42 and 84</w:t>
      </w:r>
    </w:p>
    <w:p w:rsidR="00C360E0" w:rsidRPr="00CC6A74" w:rsidRDefault="008016CE" w:rsidP="00CC6A74">
      <w:pPr>
        <w:ind w:firstLine="709"/>
        <w:rPr>
          <w:rFonts w:ascii="Arial Bold" w:hAnsi="Arial Bold"/>
          <w:sz w:val="28"/>
          <w:szCs w:val="28"/>
        </w:rPr>
      </w:pPr>
      <w:proofErr w:type="spellStart"/>
      <w:r w:rsidRPr="00CC6A74">
        <w:rPr>
          <w:rFonts w:ascii="Arial Bold" w:hAnsi="Arial Bold"/>
          <w:sz w:val="28"/>
          <w:szCs w:val="28"/>
        </w:rPr>
        <w:t>Adempas</w:t>
      </w:r>
      <w:proofErr w:type="spellEnd"/>
      <w:r w:rsidRPr="00CC6A74">
        <w:rPr>
          <w:rFonts w:ascii="Arial Bold" w:hAnsi="Arial Bold"/>
          <w:sz w:val="28"/>
          <w:szCs w:val="28"/>
          <w:vertAlign w:val="superscript"/>
        </w:rPr>
        <w:t>®</w:t>
      </w:r>
    </w:p>
    <w:p w:rsidR="008016CE" w:rsidRPr="00CC6A74" w:rsidRDefault="008016CE" w:rsidP="00CC6A74">
      <w:pPr>
        <w:ind w:firstLine="709"/>
        <w:rPr>
          <w:rFonts w:ascii="Arial Bold" w:hAnsi="Arial Bold"/>
          <w:sz w:val="28"/>
          <w:szCs w:val="28"/>
        </w:rPr>
      </w:pPr>
      <w:r w:rsidRPr="00CC6A74">
        <w:rPr>
          <w:rFonts w:ascii="Arial Bold" w:hAnsi="Arial Bold"/>
          <w:sz w:val="28"/>
          <w:szCs w:val="28"/>
        </w:rPr>
        <w:t>Bayer Australia Ltd</w:t>
      </w:r>
      <w:bookmarkEnd w:id="0"/>
    </w:p>
    <w:p w:rsidR="009F50AF" w:rsidRDefault="009F50AF" w:rsidP="000A0288">
      <w:pPr>
        <w:widowControl/>
      </w:pPr>
    </w:p>
    <w:p w:rsidR="002F36A9" w:rsidRPr="00407F2D" w:rsidRDefault="002F36A9" w:rsidP="000A0288">
      <w:pPr>
        <w:pStyle w:val="PBACHeading1"/>
        <w:keepNext/>
      </w:pPr>
      <w:bookmarkStart w:id="1" w:name="_Toc416959981"/>
      <w:bookmarkStart w:id="2" w:name="_Toc419206864"/>
      <w:r w:rsidRPr="00407F2D">
        <w:t>Purpose of Application</w:t>
      </w:r>
      <w:bookmarkEnd w:id="1"/>
      <w:bookmarkEnd w:id="2"/>
    </w:p>
    <w:p w:rsidR="002F36A9" w:rsidRPr="00882085" w:rsidRDefault="002F36A9" w:rsidP="000A0288">
      <w:pPr>
        <w:keepNext/>
        <w:widowControl/>
        <w:rPr>
          <w:szCs w:val="22"/>
        </w:rPr>
      </w:pPr>
    </w:p>
    <w:p w:rsidR="002F36A9" w:rsidRPr="00B50DB8" w:rsidRDefault="00144E85" w:rsidP="000A0288">
      <w:pPr>
        <w:pStyle w:val="ListParagraph"/>
        <w:widowControl/>
        <w:numPr>
          <w:ilvl w:val="1"/>
          <w:numId w:val="2"/>
        </w:numPr>
        <w:rPr>
          <w:szCs w:val="22"/>
        </w:rPr>
      </w:pPr>
      <w:r>
        <w:t xml:space="preserve">The submission requested </w:t>
      </w:r>
      <w:r w:rsidR="002F36A9" w:rsidRPr="004B3DDB">
        <w:t xml:space="preserve">Section 100, Authority </w:t>
      </w:r>
      <w:proofErr w:type="gramStart"/>
      <w:r w:rsidR="00071FCA">
        <w:t>R</w:t>
      </w:r>
      <w:r w:rsidR="002F36A9" w:rsidRPr="004B3DDB">
        <w:t>equired</w:t>
      </w:r>
      <w:proofErr w:type="gramEnd"/>
      <w:r w:rsidR="002F36A9" w:rsidRPr="004B3DDB">
        <w:t xml:space="preserve"> listing for </w:t>
      </w:r>
      <w:r w:rsidR="002F36A9">
        <w:t>riociguat</w:t>
      </w:r>
      <w:r w:rsidR="002F36A9" w:rsidRPr="004B3DDB">
        <w:t xml:space="preserve"> for </w:t>
      </w:r>
      <w:r w:rsidR="00071FCA">
        <w:t xml:space="preserve">the </w:t>
      </w:r>
      <w:r w:rsidR="002F36A9" w:rsidRPr="004B3DDB">
        <w:t xml:space="preserve">treatment of </w:t>
      </w:r>
      <w:r w:rsidR="002F36A9">
        <w:t xml:space="preserve">inoperable chronic thromboembolic pulmonary hypertension (CTEPH) or persistent </w:t>
      </w:r>
      <w:r w:rsidR="005D08A7">
        <w:t>CTEPH</w:t>
      </w:r>
      <w:r w:rsidR="002F36A9">
        <w:t xml:space="preserve"> subsequent to pulmonary endarterectomy (PEA)</w:t>
      </w:r>
      <w:r w:rsidR="002F36A9" w:rsidRPr="004B3DDB">
        <w:t>.</w:t>
      </w:r>
    </w:p>
    <w:p w:rsidR="002F36A9" w:rsidRDefault="002F36A9" w:rsidP="000A0288">
      <w:pPr>
        <w:widowControl/>
      </w:pPr>
    </w:p>
    <w:p w:rsidR="002F36A9" w:rsidRPr="00882085" w:rsidRDefault="002F36A9" w:rsidP="000A0288">
      <w:pPr>
        <w:widowControl/>
      </w:pPr>
    </w:p>
    <w:p w:rsidR="002F36A9" w:rsidRPr="00407F2D" w:rsidRDefault="002F36A9" w:rsidP="000A0288">
      <w:pPr>
        <w:pStyle w:val="PBACHeading1"/>
        <w:keepNext/>
      </w:pPr>
      <w:bookmarkStart w:id="3" w:name="_Toc416959982"/>
      <w:bookmarkStart w:id="4" w:name="_Toc419206865"/>
      <w:r w:rsidRPr="00407F2D">
        <w:t>Requested listing</w:t>
      </w:r>
      <w:bookmarkEnd w:id="3"/>
      <w:bookmarkEnd w:id="4"/>
    </w:p>
    <w:p w:rsidR="00071FCA" w:rsidRDefault="00071FCA" w:rsidP="000A0288">
      <w:pPr>
        <w:pStyle w:val="ListParagraph"/>
        <w:keepNext/>
        <w:widowControl/>
        <w:rPr>
          <w:i/>
        </w:rPr>
      </w:pPr>
    </w:p>
    <w:tbl>
      <w:tblPr>
        <w:tblW w:w="4595" w:type="pct"/>
        <w:tblInd w:w="737" w:type="dxa"/>
        <w:tblLayout w:type="fixed"/>
        <w:tblCellMar>
          <w:left w:w="28" w:type="dxa"/>
          <w:right w:w="28" w:type="dxa"/>
        </w:tblCellMar>
        <w:tblLook w:val="0000" w:firstRow="0" w:lastRow="0" w:firstColumn="0" w:lastColumn="0" w:noHBand="0" w:noVBand="0"/>
      </w:tblPr>
      <w:tblGrid>
        <w:gridCol w:w="2727"/>
        <w:gridCol w:w="602"/>
        <w:gridCol w:w="781"/>
        <w:gridCol w:w="124"/>
        <w:gridCol w:w="2142"/>
        <w:gridCol w:w="144"/>
        <w:gridCol w:w="840"/>
        <w:gridCol w:w="987"/>
      </w:tblGrid>
      <w:tr w:rsidR="002F36A9" w:rsidRPr="003959A5" w:rsidTr="00F66719">
        <w:trPr>
          <w:cantSplit/>
          <w:trHeight w:val="471"/>
        </w:trPr>
        <w:tc>
          <w:tcPr>
            <w:tcW w:w="1634" w:type="pct"/>
          </w:tcPr>
          <w:p w:rsidR="00DC0179" w:rsidRPr="00AE28FE" w:rsidRDefault="00DC0179" w:rsidP="000A0288">
            <w:pPr>
              <w:keepNext/>
              <w:widowControl/>
              <w:rPr>
                <w:rFonts w:ascii="Arial Narrow" w:hAnsi="Arial Narrow"/>
                <w:sz w:val="20"/>
              </w:rPr>
            </w:pPr>
            <w:r w:rsidRPr="00AE28FE">
              <w:rPr>
                <w:rFonts w:ascii="Arial Narrow" w:hAnsi="Arial Narrow"/>
                <w:sz w:val="20"/>
              </w:rPr>
              <w:t>Name, Restriction,</w:t>
            </w:r>
          </w:p>
          <w:p w:rsidR="002F36A9" w:rsidRPr="003959A5" w:rsidRDefault="00DC0179" w:rsidP="000A0288">
            <w:pPr>
              <w:keepNext/>
              <w:widowControl/>
              <w:rPr>
                <w:rFonts w:ascii="Arial Narrow" w:hAnsi="Arial Narrow"/>
                <w:sz w:val="20"/>
              </w:rPr>
            </w:pPr>
            <w:r w:rsidRPr="00AE28FE">
              <w:rPr>
                <w:rFonts w:ascii="Arial Narrow" w:hAnsi="Arial Narrow"/>
                <w:sz w:val="20"/>
              </w:rPr>
              <w:t>Manner of administration and form</w:t>
            </w:r>
          </w:p>
        </w:tc>
        <w:tc>
          <w:tcPr>
            <w:tcW w:w="361" w:type="pct"/>
          </w:tcPr>
          <w:p w:rsidR="002F36A9" w:rsidRPr="003959A5" w:rsidRDefault="002F36A9" w:rsidP="000A0288">
            <w:pPr>
              <w:keepNext/>
              <w:widowControl/>
              <w:jc w:val="center"/>
              <w:rPr>
                <w:rFonts w:ascii="Arial Narrow" w:hAnsi="Arial Narrow"/>
                <w:sz w:val="20"/>
              </w:rPr>
            </w:pPr>
            <w:r w:rsidRPr="003959A5">
              <w:rPr>
                <w:rFonts w:ascii="Arial Narrow" w:hAnsi="Arial Narrow"/>
                <w:sz w:val="20"/>
              </w:rPr>
              <w:t>Max.</w:t>
            </w:r>
          </w:p>
          <w:p w:rsidR="002F36A9" w:rsidRPr="003959A5" w:rsidRDefault="002F36A9" w:rsidP="000A0288">
            <w:pPr>
              <w:keepNext/>
              <w:widowControl/>
              <w:jc w:val="center"/>
              <w:rPr>
                <w:rFonts w:ascii="Arial Narrow" w:hAnsi="Arial Narrow"/>
                <w:sz w:val="20"/>
              </w:rPr>
            </w:pPr>
            <w:proofErr w:type="spellStart"/>
            <w:r w:rsidRPr="003959A5">
              <w:rPr>
                <w:rFonts w:ascii="Arial Narrow" w:hAnsi="Arial Narrow"/>
                <w:sz w:val="20"/>
              </w:rPr>
              <w:t>Qty</w:t>
            </w:r>
            <w:proofErr w:type="spellEnd"/>
          </w:p>
        </w:tc>
        <w:tc>
          <w:tcPr>
            <w:tcW w:w="542" w:type="pct"/>
            <w:gridSpan w:val="2"/>
          </w:tcPr>
          <w:p w:rsidR="002F36A9" w:rsidRPr="003959A5" w:rsidRDefault="002F36A9" w:rsidP="000A0288">
            <w:pPr>
              <w:keepNext/>
              <w:widowControl/>
              <w:jc w:val="center"/>
              <w:rPr>
                <w:rFonts w:ascii="Arial Narrow" w:hAnsi="Arial Narrow"/>
                <w:sz w:val="20"/>
              </w:rPr>
            </w:pPr>
            <w:r w:rsidRPr="003959A5">
              <w:rPr>
                <w:rFonts w:ascii="Arial Narrow" w:hAnsi="Arial Narrow"/>
                <w:sz w:val="20"/>
              </w:rPr>
              <w:t>№.of</w:t>
            </w:r>
          </w:p>
          <w:p w:rsidR="002F36A9" w:rsidRPr="003959A5" w:rsidRDefault="002F36A9" w:rsidP="000A0288">
            <w:pPr>
              <w:keepNext/>
              <w:widowControl/>
              <w:jc w:val="center"/>
              <w:rPr>
                <w:rFonts w:ascii="Arial Narrow" w:hAnsi="Arial Narrow"/>
                <w:sz w:val="20"/>
              </w:rPr>
            </w:pPr>
            <w:proofErr w:type="spellStart"/>
            <w:r w:rsidRPr="003959A5">
              <w:rPr>
                <w:rFonts w:ascii="Arial Narrow" w:hAnsi="Arial Narrow"/>
                <w:sz w:val="20"/>
              </w:rPr>
              <w:t>Rpts</w:t>
            </w:r>
            <w:proofErr w:type="spellEnd"/>
          </w:p>
        </w:tc>
        <w:tc>
          <w:tcPr>
            <w:tcW w:w="1283" w:type="pct"/>
          </w:tcPr>
          <w:p w:rsidR="002F36A9" w:rsidRPr="003959A5" w:rsidRDefault="002F36A9" w:rsidP="000A0288">
            <w:pPr>
              <w:keepNext/>
              <w:widowControl/>
              <w:jc w:val="center"/>
              <w:rPr>
                <w:rFonts w:ascii="Arial Narrow" w:hAnsi="Arial Narrow"/>
                <w:sz w:val="20"/>
              </w:rPr>
            </w:pPr>
            <w:r w:rsidRPr="003959A5">
              <w:rPr>
                <w:rFonts w:ascii="Arial Narrow" w:hAnsi="Arial Narrow"/>
                <w:sz w:val="20"/>
              </w:rPr>
              <w:t xml:space="preserve">Dispensed Price for Max. </w:t>
            </w:r>
            <w:proofErr w:type="spellStart"/>
            <w:r w:rsidRPr="003959A5">
              <w:rPr>
                <w:rFonts w:ascii="Arial Narrow" w:hAnsi="Arial Narrow"/>
                <w:sz w:val="20"/>
              </w:rPr>
              <w:t>Qty</w:t>
            </w:r>
            <w:proofErr w:type="spellEnd"/>
          </w:p>
        </w:tc>
        <w:tc>
          <w:tcPr>
            <w:tcW w:w="1181" w:type="pct"/>
            <w:gridSpan w:val="3"/>
          </w:tcPr>
          <w:p w:rsidR="002F36A9" w:rsidRPr="003959A5" w:rsidRDefault="002F36A9" w:rsidP="000A0288">
            <w:pPr>
              <w:keepNext/>
              <w:widowControl/>
              <w:jc w:val="center"/>
              <w:rPr>
                <w:rFonts w:ascii="Arial Narrow" w:hAnsi="Arial Narrow"/>
                <w:sz w:val="20"/>
                <w:lang w:val="fr-FR"/>
              </w:rPr>
            </w:pPr>
            <w:r w:rsidRPr="003959A5">
              <w:rPr>
                <w:rFonts w:ascii="Arial Narrow" w:hAnsi="Arial Narrow"/>
                <w:sz w:val="20"/>
              </w:rPr>
              <w:t>Proprietary Name and Manufacturer</w:t>
            </w:r>
          </w:p>
        </w:tc>
      </w:tr>
      <w:tr w:rsidR="00CC6A74" w:rsidRPr="003959A5" w:rsidTr="00F66719">
        <w:trPr>
          <w:cantSplit/>
          <w:trHeight w:val="70"/>
        </w:trPr>
        <w:tc>
          <w:tcPr>
            <w:tcW w:w="5000" w:type="pct"/>
            <w:gridSpan w:val="8"/>
            <w:vAlign w:val="center"/>
          </w:tcPr>
          <w:p w:rsidR="00CC6A74" w:rsidRDefault="00CC6A74" w:rsidP="00CC6A74">
            <w:pPr>
              <w:keepNext/>
              <w:widowControl/>
              <w:jc w:val="left"/>
              <w:rPr>
                <w:rFonts w:ascii="Arial Narrow" w:hAnsi="Arial Narrow"/>
                <w:sz w:val="20"/>
              </w:rPr>
            </w:pPr>
            <w:r w:rsidRPr="003959A5">
              <w:rPr>
                <w:rFonts w:ascii="Arial Narrow" w:hAnsi="Arial Narrow"/>
                <w:b/>
                <w:sz w:val="20"/>
              </w:rPr>
              <w:t xml:space="preserve">Initial </w:t>
            </w:r>
            <w:r>
              <w:rPr>
                <w:rFonts w:ascii="Arial Narrow" w:hAnsi="Arial Narrow"/>
                <w:b/>
                <w:sz w:val="20"/>
              </w:rPr>
              <w:t>t</w:t>
            </w:r>
            <w:r w:rsidRPr="003959A5">
              <w:rPr>
                <w:rFonts w:ascii="Arial Narrow" w:hAnsi="Arial Narrow"/>
                <w:b/>
                <w:sz w:val="20"/>
              </w:rPr>
              <w:t>reatment</w:t>
            </w:r>
          </w:p>
        </w:tc>
      </w:tr>
      <w:tr w:rsidR="002F36A9" w:rsidRPr="003959A5" w:rsidTr="00F66719">
        <w:trPr>
          <w:cantSplit/>
          <w:trHeight w:val="577"/>
        </w:trPr>
        <w:tc>
          <w:tcPr>
            <w:tcW w:w="1634" w:type="pct"/>
          </w:tcPr>
          <w:p w:rsidR="002F36A9" w:rsidRPr="003959A5" w:rsidRDefault="002F36A9" w:rsidP="000A0288">
            <w:pPr>
              <w:keepNext/>
              <w:widowControl/>
              <w:rPr>
                <w:rFonts w:ascii="Arial Narrow" w:hAnsi="Arial Narrow"/>
                <w:sz w:val="20"/>
              </w:rPr>
            </w:pPr>
            <w:r w:rsidRPr="003959A5">
              <w:rPr>
                <w:rFonts w:ascii="Arial Narrow" w:hAnsi="Arial Narrow"/>
                <w:smallCaps/>
                <w:sz w:val="20"/>
              </w:rPr>
              <w:t>Riociguat</w:t>
            </w:r>
          </w:p>
          <w:p w:rsidR="002F36A9" w:rsidRPr="003959A5" w:rsidRDefault="002F36A9" w:rsidP="000A0288">
            <w:pPr>
              <w:keepNext/>
              <w:widowControl/>
              <w:rPr>
                <w:rFonts w:ascii="Arial Narrow" w:hAnsi="Arial Narrow"/>
                <w:sz w:val="20"/>
              </w:rPr>
            </w:pPr>
            <w:r w:rsidRPr="003959A5">
              <w:rPr>
                <w:rFonts w:ascii="Arial Narrow" w:hAnsi="Arial Narrow"/>
                <w:sz w:val="20"/>
              </w:rPr>
              <w:t>0.5mg, 1.0mg, 1.5mg, 2.0mg, 2.5mg tablets</w:t>
            </w:r>
          </w:p>
        </w:tc>
        <w:tc>
          <w:tcPr>
            <w:tcW w:w="361" w:type="pct"/>
            <w:vAlign w:val="center"/>
          </w:tcPr>
          <w:p w:rsidR="002F36A9" w:rsidRPr="00CC66CD" w:rsidRDefault="002F36A9" w:rsidP="000A0288">
            <w:pPr>
              <w:widowControl/>
              <w:jc w:val="center"/>
              <w:rPr>
                <w:rFonts w:ascii="Arial Narrow" w:hAnsi="Arial Narrow"/>
                <w:sz w:val="20"/>
              </w:rPr>
            </w:pPr>
            <w:r>
              <w:rPr>
                <w:rFonts w:ascii="Arial Narrow" w:hAnsi="Arial Narrow"/>
                <w:sz w:val="20"/>
              </w:rPr>
              <w:t>42</w:t>
            </w:r>
          </w:p>
        </w:tc>
        <w:tc>
          <w:tcPr>
            <w:tcW w:w="468" w:type="pct"/>
            <w:vAlign w:val="center"/>
          </w:tcPr>
          <w:p w:rsidR="002F36A9" w:rsidRPr="003959A5" w:rsidRDefault="002F36A9" w:rsidP="000A0288">
            <w:pPr>
              <w:keepNext/>
              <w:widowControl/>
              <w:jc w:val="center"/>
              <w:rPr>
                <w:rFonts w:ascii="Arial Narrow" w:hAnsi="Arial Narrow"/>
                <w:sz w:val="20"/>
              </w:rPr>
            </w:pPr>
            <w:r>
              <w:rPr>
                <w:rFonts w:ascii="Arial Narrow" w:hAnsi="Arial Narrow"/>
                <w:sz w:val="20"/>
              </w:rPr>
              <w:t>0</w:t>
            </w:r>
          </w:p>
        </w:tc>
        <w:tc>
          <w:tcPr>
            <w:tcW w:w="1357" w:type="pct"/>
            <w:gridSpan w:val="2"/>
            <w:vAlign w:val="center"/>
          </w:tcPr>
          <w:p w:rsidR="002F36A9" w:rsidRDefault="002F36A9" w:rsidP="00F66719">
            <w:pPr>
              <w:keepNext/>
              <w:widowControl/>
              <w:jc w:val="left"/>
              <w:rPr>
                <w:rFonts w:ascii="Arial Narrow" w:hAnsi="Arial Narrow"/>
                <w:sz w:val="20"/>
              </w:rPr>
            </w:pPr>
            <w:r>
              <w:rPr>
                <w:rFonts w:ascii="Arial Narrow" w:hAnsi="Arial Narrow"/>
                <w:sz w:val="20"/>
              </w:rPr>
              <w:t>$</w:t>
            </w:r>
            <w:r w:rsidR="0011087E">
              <w:rPr>
                <w:rFonts w:ascii="Arial Narrow" w:hAnsi="Arial Narrow"/>
                <w:noProof/>
                <w:color w:val="000000"/>
                <w:sz w:val="20"/>
                <w:highlight w:val="black"/>
              </w:rPr>
              <w:t>'''''''''''''''''''''''</w:t>
            </w:r>
            <w:r>
              <w:rPr>
                <w:rFonts w:ascii="Arial Narrow" w:hAnsi="Arial Narrow"/>
                <w:sz w:val="20"/>
              </w:rPr>
              <w:t xml:space="preserve"> (Public hospital)</w:t>
            </w:r>
          </w:p>
          <w:p w:rsidR="002F36A9" w:rsidRDefault="002F36A9" w:rsidP="00F66719">
            <w:pPr>
              <w:keepNext/>
              <w:widowControl/>
              <w:jc w:val="left"/>
              <w:rPr>
                <w:rFonts w:ascii="Arial Narrow" w:hAnsi="Arial Narrow"/>
                <w:sz w:val="20"/>
              </w:rPr>
            </w:pPr>
            <w:r>
              <w:rPr>
                <w:rFonts w:ascii="Arial Narrow" w:hAnsi="Arial Narrow"/>
                <w:sz w:val="20"/>
              </w:rPr>
              <w:t>$</w:t>
            </w:r>
            <w:r w:rsidR="0011087E">
              <w:rPr>
                <w:rFonts w:ascii="Arial Narrow" w:hAnsi="Arial Narrow"/>
                <w:noProof/>
                <w:color w:val="000000"/>
                <w:sz w:val="20"/>
                <w:highlight w:val="black"/>
              </w:rPr>
              <w:t>''''''''''''''''''''''</w:t>
            </w:r>
            <w:r>
              <w:rPr>
                <w:rFonts w:ascii="Arial Narrow" w:hAnsi="Arial Narrow"/>
                <w:sz w:val="20"/>
              </w:rPr>
              <w:t xml:space="preserve"> (Private hospital)</w:t>
            </w:r>
          </w:p>
          <w:p w:rsidR="002F36A9" w:rsidRPr="003959A5" w:rsidRDefault="002F36A9" w:rsidP="00F66719">
            <w:pPr>
              <w:keepNext/>
              <w:widowControl/>
              <w:jc w:val="left"/>
              <w:rPr>
                <w:rFonts w:ascii="Arial Narrow" w:hAnsi="Arial Narrow"/>
                <w:sz w:val="20"/>
              </w:rPr>
            </w:pPr>
            <w:r>
              <w:rPr>
                <w:rFonts w:ascii="Arial Narrow" w:hAnsi="Arial Narrow"/>
                <w:sz w:val="20"/>
              </w:rPr>
              <w:t>$</w:t>
            </w:r>
            <w:r w:rsidR="0011087E">
              <w:rPr>
                <w:rFonts w:ascii="Arial Narrow" w:hAnsi="Arial Narrow"/>
                <w:noProof/>
                <w:color w:val="000000"/>
                <w:sz w:val="20"/>
                <w:highlight w:val="black"/>
              </w:rPr>
              <w:t>'''''''''''''''''''''</w:t>
            </w:r>
            <w:r>
              <w:rPr>
                <w:rFonts w:ascii="Arial Narrow" w:hAnsi="Arial Narrow"/>
                <w:sz w:val="20"/>
              </w:rPr>
              <w:t xml:space="preserve"> (Effective price)</w:t>
            </w:r>
          </w:p>
        </w:tc>
        <w:tc>
          <w:tcPr>
            <w:tcW w:w="589" w:type="pct"/>
            <w:gridSpan w:val="2"/>
            <w:vAlign w:val="center"/>
          </w:tcPr>
          <w:p w:rsidR="002F36A9" w:rsidRPr="003959A5" w:rsidRDefault="002F36A9" w:rsidP="000A0288">
            <w:pPr>
              <w:keepNext/>
              <w:widowControl/>
              <w:jc w:val="center"/>
              <w:rPr>
                <w:rFonts w:ascii="Arial Narrow" w:hAnsi="Arial Narrow"/>
                <w:sz w:val="20"/>
              </w:rPr>
            </w:pPr>
            <w:proofErr w:type="spellStart"/>
            <w:r>
              <w:rPr>
                <w:rFonts w:ascii="Arial Narrow" w:hAnsi="Arial Narrow"/>
                <w:sz w:val="20"/>
              </w:rPr>
              <w:t>Adempas</w:t>
            </w:r>
            <w:proofErr w:type="spellEnd"/>
            <w:r w:rsidRPr="00CC66CD">
              <w:rPr>
                <w:rFonts w:ascii="Arial Narrow" w:hAnsi="Arial Narrow"/>
                <w:sz w:val="20"/>
                <w:vertAlign w:val="superscript"/>
              </w:rPr>
              <w:t>®</w:t>
            </w:r>
          </w:p>
        </w:tc>
        <w:tc>
          <w:tcPr>
            <w:tcW w:w="591" w:type="pct"/>
            <w:vAlign w:val="center"/>
          </w:tcPr>
          <w:p w:rsidR="002F36A9" w:rsidRPr="003959A5" w:rsidRDefault="00790459" w:rsidP="000A0288">
            <w:pPr>
              <w:keepNext/>
              <w:widowControl/>
              <w:jc w:val="center"/>
              <w:rPr>
                <w:rFonts w:ascii="Arial Narrow" w:hAnsi="Arial Narrow"/>
                <w:sz w:val="20"/>
              </w:rPr>
            </w:pPr>
            <w:r>
              <w:rPr>
                <w:rFonts w:ascii="Arial Narrow" w:hAnsi="Arial Narrow"/>
                <w:sz w:val="20"/>
              </w:rPr>
              <w:t>BN</w:t>
            </w:r>
          </w:p>
        </w:tc>
      </w:tr>
      <w:tr w:rsidR="002F36A9" w:rsidRPr="003959A5" w:rsidTr="00F66719">
        <w:trPr>
          <w:cantSplit/>
          <w:trHeight w:val="80"/>
        </w:trPr>
        <w:tc>
          <w:tcPr>
            <w:tcW w:w="5000" w:type="pct"/>
            <w:gridSpan w:val="8"/>
            <w:vAlign w:val="center"/>
          </w:tcPr>
          <w:p w:rsidR="002F36A9" w:rsidRPr="003959A5" w:rsidRDefault="002F36A9" w:rsidP="00F66719">
            <w:pPr>
              <w:keepNext/>
              <w:widowControl/>
              <w:jc w:val="left"/>
              <w:rPr>
                <w:rFonts w:ascii="Arial Narrow" w:hAnsi="Arial Narrow"/>
                <w:sz w:val="20"/>
              </w:rPr>
            </w:pPr>
            <w:r w:rsidRPr="003959A5">
              <w:rPr>
                <w:rFonts w:ascii="Arial Narrow" w:hAnsi="Arial Narrow"/>
                <w:b/>
                <w:sz w:val="20"/>
              </w:rPr>
              <w:t xml:space="preserve">Continuing </w:t>
            </w:r>
            <w:r>
              <w:rPr>
                <w:rFonts w:ascii="Arial Narrow" w:hAnsi="Arial Narrow"/>
                <w:b/>
                <w:sz w:val="20"/>
              </w:rPr>
              <w:t>t</w:t>
            </w:r>
            <w:r w:rsidRPr="003959A5">
              <w:rPr>
                <w:rFonts w:ascii="Arial Narrow" w:hAnsi="Arial Narrow"/>
                <w:b/>
                <w:sz w:val="20"/>
              </w:rPr>
              <w:t>reatment</w:t>
            </w:r>
          </w:p>
        </w:tc>
      </w:tr>
      <w:tr w:rsidR="002F36A9" w:rsidRPr="003959A5" w:rsidTr="00F66719">
        <w:trPr>
          <w:cantSplit/>
          <w:trHeight w:val="80"/>
        </w:trPr>
        <w:tc>
          <w:tcPr>
            <w:tcW w:w="1634" w:type="pct"/>
          </w:tcPr>
          <w:p w:rsidR="002F36A9" w:rsidRPr="003959A5" w:rsidRDefault="002F36A9" w:rsidP="000A0288">
            <w:pPr>
              <w:keepNext/>
              <w:widowControl/>
              <w:rPr>
                <w:rFonts w:ascii="Arial Narrow" w:hAnsi="Arial Narrow"/>
                <w:sz w:val="20"/>
              </w:rPr>
            </w:pPr>
            <w:r w:rsidRPr="003959A5">
              <w:rPr>
                <w:rFonts w:ascii="Arial Narrow" w:hAnsi="Arial Narrow"/>
                <w:smallCaps/>
                <w:sz w:val="20"/>
              </w:rPr>
              <w:t>Riociguat</w:t>
            </w:r>
          </w:p>
          <w:p w:rsidR="002F36A9" w:rsidRPr="003959A5" w:rsidRDefault="002F36A9" w:rsidP="000A0288">
            <w:pPr>
              <w:keepNext/>
              <w:widowControl/>
              <w:rPr>
                <w:rFonts w:ascii="Arial Narrow" w:hAnsi="Arial Narrow"/>
                <w:b/>
                <w:smallCaps/>
                <w:sz w:val="20"/>
              </w:rPr>
            </w:pPr>
            <w:r w:rsidRPr="003959A5">
              <w:rPr>
                <w:rFonts w:ascii="Arial Narrow" w:hAnsi="Arial Narrow"/>
                <w:sz w:val="20"/>
              </w:rPr>
              <w:t>0.5mg, 1.0mg, 1.5mg, 2.0mg, 2.5mg tablets</w:t>
            </w:r>
          </w:p>
        </w:tc>
        <w:tc>
          <w:tcPr>
            <w:tcW w:w="361" w:type="pct"/>
            <w:vAlign w:val="center"/>
          </w:tcPr>
          <w:p w:rsidR="002F36A9" w:rsidRPr="003959A5" w:rsidRDefault="002F36A9" w:rsidP="000A0288">
            <w:pPr>
              <w:keepNext/>
              <w:widowControl/>
              <w:jc w:val="center"/>
              <w:rPr>
                <w:rFonts w:ascii="Arial Narrow" w:hAnsi="Arial Narrow"/>
                <w:sz w:val="20"/>
              </w:rPr>
            </w:pPr>
            <w:r>
              <w:rPr>
                <w:rFonts w:ascii="Arial Narrow" w:hAnsi="Arial Narrow"/>
                <w:sz w:val="20"/>
              </w:rPr>
              <w:t>84</w:t>
            </w:r>
          </w:p>
        </w:tc>
        <w:tc>
          <w:tcPr>
            <w:tcW w:w="468" w:type="pct"/>
            <w:vAlign w:val="center"/>
          </w:tcPr>
          <w:p w:rsidR="002F36A9" w:rsidRPr="003959A5" w:rsidRDefault="002F36A9" w:rsidP="00F66719">
            <w:pPr>
              <w:keepNext/>
              <w:widowControl/>
              <w:jc w:val="left"/>
              <w:rPr>
                <w:rFonts w:ascii="Arial Narrow" w:hAnsi="Arial Narrow"/>
                <w:sz w:val="20"/>
              </w:rPr>
            </w:pPr>
            <w:r>
              <w:rPr>
                <w:rFonts w:ascii="Arial Narrow" w:hAnsi="Arial Narrow"/>
                <w:sz w:val="20"/>
              </w:rPr>
              <w:t>5</w:t>
            </w:r>
          </w:p>
        </w:tc>
        <w:tc>
          <w:tcPr>
            <w:tcW w:w="1443" w:type="pct"/>
            <w:gridSpan w:val="3"/>
            <w:vAlign w:val="center"/>
          </w:tcPr>
          <w:p w:rsidR="002F36A9" w:rsidRDefault="002F36A9" w:rsidP="00F66719">
            <w:pPr>
              <w:keepNext/>
              <w:widowControl/>
              <w:jc w:val="left"/>
              <w:rPr>
                <w:rFonts w:ascii="Arial Narrow" w:hAnsi="Arial Narrow"/>
                <w:sz w:val="20"/>
              </w:rPr>
            </w:pPr>
            <w:r>
              <w:rPr>
                <w:rFonts w:ascii="Arial Narrow" w:hAnsi="Arial Narrow"/>
                <w:sz w:val="20"/>
              </w:rPr>
              <w:t>$</w:t>
            </w:r>
            <w:r w:rsidR="0011087E">
              <w:rPr>
                <w:rFonts w:ascii="Arial Narrow" w:hAnsi="Arial Narrow"/>
                <w:noProof/>
                <w:color w:val="000000"/>
                <w:sz w:val="20"/>
                <w:highlight w:val="black"/>
              </w:rPr>
              <w:t>''''''''''''''''''''''</w:t>
            </w:r>
            <w:r>
              <w:rPr>
                <w:rFonts w:ascii="Arial Narrow" w:hAnsi="Arial Narrow"/>
                <w:sz w:val="20"/>
              </w:rPr>
              <w:t xml:space="preserve"> (Public hospital)</w:t>
            </w:r>
          </w:p>
          <w:p w:rsidR="002F36A9" w:rsidRDefault="002F36A9" w:rsidP="00F66719">
            <w:pPr>
              <w:keepNext/>
              <w:widowControl/>
              <w:jc w:val="left"/>
              <w:rPr>
                <w:rFonts w:ascii="Arial Narrow" w:hAnsi="Arial Narrow"/>
                <w:sz w:val="20"/>
              </w:rPr>
            </w:pPr>
            <w:r>
              <w:rPr>
                <w:rFonts w:ascii="Arial Narrow" w:hAnsi="Arial Narrow"/>
                <w:sz w:val="20"/>
              </w:rPr>
              <w:t>$</w:t>
            </w:r>
            <w:r w:rsidR="0011087E">
              <w:rPr>
                <w:rFonts w:ascii="Arial Narrow" w:hAnsi="Arial Narrow"/>
                <w:noProof/>
                <w:color w:val="000000"/>
                <w:sz w:val="20"/>
                <w:highlight w:val="black"/>
              </w:rPr>
              <w:t>'''''''''''''''''''''''</w:t>
            </w:r>
            <w:r>
              <w:rPr>
                <w:rFonts w:ascii="Arial Narrow" w:hAnsi="Arial Narrow"/>
                <w:sz w:val="20"/>
              </w:rPr>
              <w:t>(Private hospital)</w:t>
            </w:r>
          </w:p>
          <w:p w:rsidR="002F36A9" w:rsidRPr="003959A5" w:rsidRDefault="002F36A9" w:rsidP="00F66719">
            <w:pPr>
              <w:keepNext/>
              <w:widowControl/>
              <w:jc w:val="left"/>
              <w:rPr>
                <w:rFonts w:ascii="Arial Narrow" w:hAnsi="Arial Narrow"/>
                <w:sz w:val="20"/>
              </w:rPr>
            </w:pPr>
            <w:r>
              <w:rPr>
                <w:rFonts w:ascii="Arial Narrow" w:hAnsi="Arial Narrow"/>
                <w:sz w:val="20"/>
              </w:rPr>
              <w:t>$</w:t>
            </w:r>
            <w:r w:rsidR="0011087E">
              <w:rPr>
                <w:rFonts w:ascii="Arial Narrow" w:hAnsi="Arial Narrow"/>
                <w:noProof/>
                <w:color w:val="000000"/>
                <w:sz w:val="20"/>
                <w:highlight w:val="black"/>
              </w:rPr>
              <w:t>''''''''''''''''''''''</w:t>
            </w:r>
            <w:r w:rsidR="00E24AFE" w:rsidRPr="00E24AFE">
              <w:rPr>
                <w:rFonts w:ascii="Arial Narrow" w:hAnsi="Arial Narrow"/>
                <w:sz w:val="20"/>
              </w:rPr>
              <w:t xml:space="preserve"> </w:t>
            </w:r>
            <w:r>
              <w:rPr>
                <w:rFonts w:ascii="Arial Narrow" w:hAnsi="Arial Narrow"/>
                <w:sz w:val="20"/>
              </w:rPr>
              <w:t>(Effective price)</w:t>
            </w:r>
            <w:bookmarkStart w:id="5" w:name="_GoBack"/>
            <w:bookmarkEnd w:id="5"/>
          </w:p>
        </w:tc>
        <w:tc>
          <w:tcPr>
            <w:tcW w:w="503" w:type="pct"/>
            <w:vAlign w:val="center"/>
          </w:tcPr>
          <w:p w:rsidR="002F36A9" w:rsidRPr="003959A5" w:rsidRDefault="002F36A9" w:rsidP="000A0288">
            <w:pPr>
              <w:keepNext/>
              <w:widowControl/>
              <w:jc w:val="center"/>
              <w:rPr>
                <w:rFonts w:ascii="Arial Narrow" w:hAnsi="Arial Narrow"/>
                <w:sz w:val="20"/>
              </w:rPr>
            </w:pPr>
            <w:proofErr w:type="spellStart"/>
            <w:r>
              <w:rPr>
                <w:rFonts w:ascii="Arial Narrow" w:hAnsi="Arial Narrow"/>
                <w:sz w:val="20"/>
              </w:rPr>
              <w:t>Adempas</w:t>
            </w:r>
            <w:proofErr w:type="spellEnd"/>
            <w:r w:rsidRPr="00CC66CD">
              <w:rPr>
                <w:rFonts w:ascii="Arial Narrow" w:hAnsi="Arial Narrow"/>
                <w:sz w:val="20"/>
                <w:vertAlign w:val="superscript"/>
              </w:rPr>
              <w:t>®</w:t>
            </w:r>
          </w:p>
        </w:tc>
        <w:tc>
          <w:tcPr>
            <w:tcW w:w="591" w:type="pct"/>
            <w:vAlign w:val="center"/>
          </w:tcPr>
          <w:p w:rsidR="002F36A9" w:rsidRPr="003959A5" w:rsidRDefault="00790459" w:rsidP="000A0288">
            <w:pPr>
              <w:keepNext/>
              <w:widowControl/>
              <w:jc w:val="center"/>
              <w:rPr>
                <w:rFonts w:ascii="Arial Narrow" w:hAnsi="Arial Narrow"/>
                <w:sz w:val="20"/>
              </w:rPr>
            </w:pPr>
            <w:r>
              <w:rPr>
                <w:rFonts w:ascii="Arial Narrow" w:hAnsi="Arial Narrow"/>
                <w:sz w:val="20"/>
              </w:rPr>
              <w:t>BN</w:t>
            </w:r>
          </w:p>
        </w:tc>
      </w:tr>
    </w:tbl>
    <w:p w:rsidR="00AD0A5B" w:rsidRDefault="00AD0A5B">
      <w:r>
        <w:br w:type="page"/>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2"/>
        <w:gridCol w:w="7355"/>
      </w:tblGrid>
      <w:tr w:rsidR="00974E0D" w:rsidRPr="006A0F5B" w:rsidTr="00974E0D">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974E0D" w:rsidRPr="006A0F5B" w:rsidRDefault="00974E0D" w:rsidP="000A0288">
            <w:pPr>
              <w:widowControl/>
              <w:snapToGrid w:val="0"/>
              <w:spacing w:line="20" w:lineRule="atLeast"/>
              <w:jc w:val="left"/>
              <w:rPr>
                <w:rFonts w:ascii="Arial Narrow" w:hAnsi="Arial Narrow"/>
                <w:sz w:val="20"/>
                <w:lang w:eastAsia="en-AU"/>
              </w:rPr>
            </w:pPr>
            <w:r w:rsidRPr="006A0F5B">
              <w:rPr>
                <w:rFonts w:ascii="Arial Narrow" w:hAnsi="Arial Narrow"/>
                <w:b/>
                <w:bCs/>
                <w:sz w:val="20"/>
                <w:lang w:eastAsia="en-AU"/>
              </w:rPr>
              <w:lastRenderedPageBreak/>
              <w:t>Treatment phase:</w:t>
            </w:r>
            <w:r>
              <w:rPr>
                <w:rFonts w:ascii="Arial Narrow" w:hAnsi="Arial Narrow"/>
                <w:b/>
                <w:bCs/>
                <w:sz w:val="20"/>
                <w:lang w:eastAsia="en-AU"/>
              </w:rPr>
              <w:t xml:space="preserve"> i</w:t>
            </w:r>
            <w:r w:rsidRPr="006A0F5B">
              <w:rPr>
                <w:rFonts w:ascii="Arial Narrow" w:hAnsi="Arial Narrow"/>
                <w:b/>
                <w:bCs/>
                <w:sz w:val="20"/>
                <w:lang w:eastAsia="en-AU"/>
              </w:rPr>
              <w:t>nitial (new patients)</w:t>
            </w:r>
          </w:p>
        </w:tc>
      </w:tr>
      <w:tr w:rsidR="00974E0D" w:rsidRPr="006A0F5B" w:rsidTr="00974E0D">
        <w:trPr>
          <w:trHeight w:val="20"/>
        </w:trPr>
        <w:tc>
          <w:tcPr>
            <w:tcW w:w="594" w:type="pct"/>
            <w:tcBorders>
              <w:top w:val="single" w:sz="4" w:space="0" w:color="auto"/>
              <w:left w:val="single" w:sz="4" w:space="0" w:color="auto"/>
              <w:bottom w:val="single" w:sz="4" w:space="0" w:color="auto"/>
              <w:right w:val="single" w:sz="4" w:space="0" w:color="auto"/>
            </w:tcBorders>
            <w:hideMark/>
          </w:tcPr>
          <w:p w:rsidR="00974E0D" w:rsidRPr="006A0F5B" w:rsidRDefault="00974E0D" w:rsidP="000A0288">
            <w:pPr>
              <w:widowControl/>
              <w:snapToGrid w:val="0"/>
              <w:spacing w:line="20" w:lineRule="atLeast"/>
              <w:jc w:val="left"/>
              <w:rPr>
                <w:rFonts w:ascii="Arial Narrow" w:hAnsi="Arial Narrow"/>
                <w:sz w:val="20"/>
                <w:lang w:eastAsia="en-AU"/>
              </w:rPr>
            </w:pPr>
            <w:r w:rsidRPr="006A0F5B">
              <w:rPr>
                <w:rFonts w:ascii="Arial Narrow" w:hAnsi="Arial Narrow"/>
                <w:sz w:val="20"/>
                <w:lang w:eastAsia="en-AU"/>
              </w:rPr>
              <w:t>Severity</w:t>
            </w:r>
          </w:p>
        </w:tc>
        <w:tc>
          <w:tcPr>
            <w:tcW w:w="4406" w:type="pct"/>
            <w:tcBorders>
              <w:top w:val="single" w:sz="4" w:space="0" w:color="auto"/>
              <w:left w:val="single" w:sz="4" w:space="0" w:color="auto"/>
              <w:bottom w:val="single" w:sz="4" w:space="0" w:color="auto"/>
              <w:right w:val="single" w:sz="4" w:space="0" w:color="auto"/>
            </w:tcBorders>
            <w:vAlign w:val="center"/>
          </w:tcPr>
          <w:p w:rsidR="00974E0D" w:rsidRPr="006A0F5B" w:rsidRDefault="00974E0D" w:rsidP="000A0288">
            <w:pPr>
              <w:widowControl/>
              <w:snapToGrid w:val="0"/>
              <w:spacing w:line="20" w:lineRule="atLeast"/>
              <w:jc w:val="left"/>
              <w:rPr>
                <w:rFonts w:ascii="Arial Narrow" w:hAnsi="Arial Narrow"/>
                <w:sz w:val="20"/>
                <w:lang w:eastAsia="en-AU"/>
              </w:rPr>
            </w:pPr>
            <w:r w:rsidRPr="006A0F5B">
              <w:rPr>
                <w:rFonts w:ascii="Arial Narrow" w:hAnsi="Arial Narrow"/>
                <w:sz w:val="20"/>
              </w:rPr>
              <w:t>WHO Functional Class II-IV</w:t>
            </w:r>
          </w:p>
        </w:tc>
      </w:tr>
      <w:tr w:rsidR="00974E0D" w:rsidRPr="006A0F5B" w:rsidTr="00974E0D">
        <w:trPr>
          <w:trHeight w:val="20"/>
        </w:trPr>
        <w:tc>
          <w:tcPr>
            <w:tcW w:w="594" w:type="pct"/>
            <w:tcBorders>
              <w:top w:val="single" w:sz="4" w:space="0" w:color="auto"/>
              <w:left w:val="single" w:sz="4" w:space="0" w:color="auto"/>
              <w:bottom w:val="single" w:sz="4" w:space="0" w:color="auto"/>
              <w:right w:val="single" w:sz="4" w:space="0" w:color="auto"/>
            </w:tcBorders>
            <w:hideMark/>
          </w:tcPr>
          <w:p w:rsidR="00974E0D" w:rsidRPr="006A0F5B" w:rsidRDefault="00974E0D" w:rsidP="000A0288">
            <w:pPr>
              <w:widowControl/>
              <w:snapToGrid w:val="0"/>
              <w:spacing w:line="20" w:lineRule="atLeast"/>
              <w:jc w:val="left"/>
              <w:rPr>
                <w:rFonts w:ascii="Arial Narrow" w:hAnsi="Arial Narrow"/>
                <w:sz w:val="20"/>
                <w:lang w:eastAsia="en-AU"/>
              </w:rPr>
            </w:pPr>
            <w:r w:rsidRPr="006A0F5B">
              <w:rPr>
                <w:rFonts w:ascii="Arial Narrow" w:hAnsi="Arial Narrow"/>
                <w:sz w:val="20"/>
                <w:lang w:eastAsia="en-AU"/>
              </w:rPr>
              <w:t>Condition</w:t>
            </w:r>
          </w:p>
        </w:tc>
        <w:tc>
          <w:tcPr>
            <w:tcW w:w="4406" w:type="pct"/>
            <w:tcBorders>
              <w:top w:val="single" w:sz="4" w:space="0" w:color="auto"/>
              <w:left w:val="single" w:sz="4" w:space="0" w:color="auto"/>
              <w:bottom w:val="single" w:sz="4" w:space="0" w:color="auto"/>
              <w:right w:val="single" w:sz="4" w:space="0" w:color="auto"/>
            </w:tcBorders>
            <w:vAlign w:val="center"/>
          </w:tcPr>
          <w:p w:rsidR="00974E0D" w:rsidRPr="006A0F5B" w:rsidRDefault="00974E0D" w:rsidP="000A0288">
            <w:pPr>
              <w:widowControl/>
              <w:rPr>
                <w:rFonts w:ascii="Arial Narrow" w:hAnsi="Arial Narrow"/>
                <w:sz w:val="20"/>
              </w:rPr>
            </w:pPr>
            <w:r w:rsidRPr="006A0F5B">
              <w:rPr>
                <w:rFonts w:ascii="Arial Narrow" w:hAnsi="Arial Narrow"/>
                <w:sz w:val="20"/>
              </w:rPr>
              <w:t>Inoperable CTEPH</w:t>
            </w:r>
            <w:r>
              <w:rPr>
                <w:rFonts w:ascii="Arial Narrow" w:hAnsi="Arial Narrow"/>
                <w:sz w:val="20"/>
              </w:rPr>
              <w:t xml:space="preserve"> or P</w:t>
            </w:r>
            <w:r w:rsidRPr="006A0F5B">
              <w:rPr>
                <w:rFonts w:ascii="Arial Narrow" w:hAnsi="Arial Narrow"/>
                <w:sz w:val="20"/>
              </w:rPr>
              <w:t>ersistent CTEPH subsequent to PEA.</w:t>
            </w:r>
          </w:p>
        </w:tc>
      </w:tr>
      <w:tr w:rsidR="00974E0D" w:rsidRPr="006A0F5B" w:rsidTr="00974E0D">
        <w:trPr>
          <w:trHeight w:val="20"/>
        </w:trPr>
        <w:tc>
          <w:tcPr>
            <w:tcW w:w="594" w:type="pct"/>
            <w:tcBorders>
              <w:top w:val="single" w:sz="4" w:space="0" w:color="auto"/>
              <w:left w:val="single" w:sz="4" w:space="0" w:color="auto"/>
              <w:bottom w:val="single" w:sz="4" w:space="0" w:color="auto"/>
              <w:right w:val="single" w:sz="4" w:space="0" w:color="auto"/>
            </w:tcBorders>
            <w:hideMark/>
          </w:tcPr>
          <w:p w:rsidR="00974E0D" w:rsidRPr="006A0F5B" w:rsidRDefault="00974E0D" w:rsidP="000A0288">
            <w:pPr>
              <w:widowControl/>
              <w:snapToGrid w:val="0"/>
              <w:spacing w:line="20" w:lineRule="atLeast"/>
              <w:jc w:val="left"/>
              <w:rPr>
                <w:rFonts w:ascii="Arial Narrow" w:hAnsi="Arial Narrow"/>
                <w:sz w:val="20"/>
                <w:lang w:eastAsia="en-AU"/>
              </w:rPr>
            </w:pPr>
            <w:r w:rsidRPr="006A0F5B">
              <w:rPr>
                <w:rFonts w:ascii="Arial Narrow" w:hAnsi="Arial Narrow"/>
                <w:sz w:val="20"/>
                <w:lang w:eastAsia="en-AU"/>
              </w:rPr>
              <w:t>Restriction</w:t>
            </w:r>
          </w:p>
        </w:tc>
        <w:tc>
          <w:tcPr>
            <w:tcW w:w="4406" w:type="pct"/>
            <w:tcBorders>
              <w:top w:val="single" w:sz="4" w:space="0" w:color="auto"/>
              <w:left w:val="single" w:sz="4" w:space="0" w:color="auto"/>
              <w:bottom w:val="single" w:sz="4" w:space="0" w:color="auto"/>
              <w:right w:val="single" w:sz="4" w:space="0" w:color="auto"/>
            </w:tcBorders>
            <w:vAlign w:val="center"/>
          </w:tcPr>
          <w:p w:rsidR="00974E0D" w:rsidRPr="006A0F5B" w:rsidRDefault="00974E0D" w:rsidP="000A0288">
            <w:pPr>
              <w:widowControl/>
              <w:snapToGrid w:val="0"/>
              <w:spacing w:line="20" w:lineRule="atLeast"/>
              <w:jc w:val="left"/>
              <w:rPr>
                <w:rFonts w:ascii="Arial Narrow" w:hAnsi="Arial Narrow"/>
                <w:sz w:val="20"/>
                <w:lang w:eastAsia="en-AU"/>
              </w:rPr>
            </w:pPr>
            <w:r>
              <w:rPr>
                <w:rFonts w:ascii="Arial Narrow" w:hAnsi="Arial Narrow"/>
                <w:sz w:val="20"/>
                <w:lang w:eastAsia="en-AU"/>
              </w:rPr>
              <w:t>Authority required</w:t>
            </w:r>
          </w:p>
        </w:tc>
      </w:tr>
      <w:tr w:rsidR="00974E0D" w:rsidRPr="006A0F5B" w:rsidTr="00974E0D">
        <w:trPr>
          <w:trHeight w:val="20"/>
        </w:trPr>
        <w:tc>
          <w:tcPr>
            <w:tcW w:w="594" w:type="pct"/>
            <w:tcBorders>
              <w:top w:val="single" w:sz="4" w:space="0" w:color="auto"/>
              <w:left w:val="single" w:sz="4" w:space="0" w:color="auto"/>
              <w:bottom w:val="single" w:sz="4" w:space="0" w:color="auto"/>
              <w:right w:val="single" w:sz="4" w:space="0" w:color="auto"/>
            </w:tcBorders>
            <w:hideMark/>
          </w:tcPr>
          <w:p w:rsidR="00974E0D" w:rsidRPr="006A0F5B" w:rsidRDefault="00974E0D" w:rsidP="000A0288">
            <w:pPr>
              <w:widowControl/>
              <w:snapToGrid w:val="0"/>
              <w:spacing w:line="20" w:lineRule="atLeast"/>
              <w:jc w:val="left"/>
              <w:rPr>
                <w:rFonts w:ascii="Arial Narrow" w:hAnsi="Arial Narrow"/>
                <w:sz w:val="20"/>
                <w:lang w:eastAsia="en-AU"/>
              </w:rPr>
            </w:pPr>
            <w:r w:rsidRPr="006A0F5B">
              <w:rPr>
                <w:rFonts w:ascii="Arial Narrow" w:hAnsi="Arial Narrow"/>
                <w:sz w:val="20"/>
                <w:lang w:eastAsia="en-AU"/>
              </w:rPr>
              <w:t>Treatment criteria</w:t>
            </w:r>
          </w:p>
        </w:tc>
        <w:tc>
          <w:tcPr>
            <w:tcW w:w="4406" w:type="pct"/>
            <w:tcBorders>
              <w:top w:val="single" w:sz="4" w:space="0" w:color="auto"/>
              <w:left w:val="single" w:sz="4" w:space="0" w:color="auto"/>
              <w:bottom w:val="single" w:sz="4" w:space="0" w:color="auto"/>
              <w:right w:val="single" w:sz="4" w:space="0" w:color="auto"/>
            </w:tcBorders>
            <w:vAlign w:val="center"/>
          </w:tcPr>
          <w:p w:rsidR="00974E0D" w:rsidRPr="006A0F5B" w:rsidRDefault="00974E0D" w:rsidP="000A0288">
            <w:pPr>
              <w:widowControl/>
              <w:rPr>
                <w:rFonts w:ascii="Arial Narrow" w:hAnsi="Arial Narrow"/>
                <w:sz w:val="20"/>
              </w:rPr>
            </w:pPr>
            <w:r w:rsidRPr="006C64C8">
              <w:rPr>
                <w:rFonts w:ascii="Arial Narrow" w:hAnsi="Arial Narrow"/>
                <w:sz w:val="20"/>
              </w:rPr>
              <w:t>Patients must have failed to respond to 6 or more weeks of appropriate vasodilator treatment unless intolerance or a contraindication to such treatment exists.</w:t>
            </w:r>
          </w:p>
        </w:tc>
      </w:tr>
      <w:tr w:rsidR="00974E0D" w:rsidRPr="006A0F5B" w:rsidTr="00974E0D">
        <w:trPr>
          <w:trHeight w:val="20"/>
        </w:trPr>
        <w:tc>
          <w:tcPr>
            <w:tcW w:w="594" w:type="pct"/>
            <w:tcBorders>
              <w:top w:val="single" w:sz="4" w:space="0" w:color="auto"/>
              <w:left w:val="single" w:sz="4" w:space="0" w:color="auto"/>
              <w:bottom w:val="single" w:sz="4" w:space="0" w:color="auto"/>
              <w:right w:val="single" w:sz="4" w:space="0" w:color="auto"/>
            </w:tcBorders>
            <w:hideMark/>
          </w:tcPr>
          <w:p w:rsidR="00974E0D" w:rsidRPr="006A0F5B" w:rsidRDefault="00974E0D" w:rsidP="000A0288">
            <w:pPr>
              <w:widowControl/>
              <w:snapToGrid w:val="0"/>
              <w:spacing w:line="20" w:lineRule="atLeast"/>
              <w:jc w:val="left"/>
              <w:rPr>
                <w:rFonts w:ascii="Arial Narrow" w:hAnsi="Arial Narrow"/>
                <w:sz w:val="20"/>
                <w:lang w:eastAsia="en-AU"/>
              </w:rPr>
            </w:pPr>
            <w:r w:rsidRPr="006A0F5B">
              <w:rPr>
                <w:rFonts w:ascii="Arial Narrow" w:hAnsi="Arial Narrow"/>
                <w:sz w:val="20"/>
                <w:lang w:eastAsia="en-AU"/>
              </w:rPr>
              <w:t>Clinical criteria</w:t>
            </w:r>
          </w:p>
        </w:tc>
        <w:tc>
          <w:tcPr>
            <w:tcW w:w="4406" w:type="pct"/>
            <w:tcBorders>
              <w:top w:val="single" w:sz="4" w:space="0" w:color="auto"/>
              <w:left w:val="single" w:sz="4" w:space="0" w:color="auto"/>
              <w:bottom w:val="single" w:sz="4" w:space="0" w:color="auto"/>
              <w:right w:val="single" w:sz="4" w:space="0" w:color="auto"/>
            </w:tcBorders>
            <w:vAlign w:val="center"/>
          </w:tcPr>
          <w:p w:rsidR="00974E0D" w:rsidRPr="006C64C8" w:rsidRDefault="00974E0D" w:rsidP="000A0288">
            <w:pPr>
              <w:widowControl/>
              <w:rPr>
                <w:rFonts w:ascii="Arial Narrow" w:hAnsi="Arial Narrow"/>
                <w:sz w:val="20"/>
              </w:rPr>
            </w:pPr>
            <w:r>
              <w:rPr>
                <w:rFonts w:ascii="Arial Narrow" w:hAnsi="Arial Narrow"/>
                <w:sz w:val="20"/>
              </w:rPr>
              <w:t>I</w:t>
            </w:r>
            <w:r w:rsidRPr="006C64C8">
              <w:rPr>
                <w:rFonts w:ascii="Arial Narrow" w:hAnsi="Arial Narrow"/>
                <w:sz w:val="20"/>
              </w:rPr>
              <w:t>nitial PBS-subsidised treatment with riociguat of patients who have been assessed by a physician from a designated hospital to have:</w:t>
            </w:r>
          </w:p>
          <w:p w:rsidR="00974E0D" w:rsidRPr="006C64C8" w:rsidRDefault="00974E0D" w:rsidP="000A0288">
            <w:pPr>
              <w:pStyle w:val="ListParagraph"/>
              <w:widowControl/>
              <w:numPr>
                <w:ilvl w:val="0"/>
                <w:numId w:val="3"/>
              </w:numPr>
              <w:rPr>
                <w:rFonts w:ascii="Arial Narrow" w:hAnsi="Arial Narrow"/>
                <w:sz w:val="20"/>
              </w:rPr>
            </w:pPr>
            <w:r w:rsidRPr="006C64C8">
              <w:rPr>
                <w:rFonts w:ascii="Arial Narrow" w:hAnsi="Arial Narrow"/>
                <w:sz w:val="20"/>
              </w:rPr>
              <w:t xml:space="preserve">WHO Functional Class II-IV inoperable CTEPH, as measured by RHC, or, where a RHC cannot be performed on clinical grounds, right ventricular function as assessed by ECHO; </w:t>
            </w:r>
            <w:r>
              <w:rPr>
                <w:rFonts w:ascii="Arial Narrow" w:hAnsi="Arial Narrow"/>
                <w:sz w:val="20"/>
              </w:rPr>
              <w:t>or</w:t>
            </w:r>
          </w:p>
          <w:p w:rsidR="00974E0D" w:rsidRPr="006C64C8" w:rsidRDefault="00974E0D" w:rsidP="000A0288">
            <w:pPr>
              <w:pStyle w:val="ListParagraph"/>
              <w:widowControl/>
              <w:numPr>
                <w:ilvl w:val="0"/>
                <w:numId w:val="3"/>
              </w:numPr>
              <w:rPr>
                <w:rFonts w:ascii="Arial Narrow" w:hAnsi="Arial Narrow"/>
                <w:sz w:val="20"/>
              </w:rPr>
            </w:pPr>
            <w:r w:rsidRPr="006C64C8">
              <w:rPr>
                <w:rFonts w:ascii="Arial Narrow" w:hAnsi="Arial Narrow"/>
                <w:sz w:val="20"/>
              </w:rPr>
              <w:t>WHO Functional Class II-IV persistent CTEPH subsequent to PEA, as measured by RHC, or, where a RHC cannot be performed on clinical grounds, right ventricular function as assessed by ECHO.</w:t>
            </w:r>
          </w:p>
          <w:p w:rsidR="00974E0D" w:rsidRDefault="00974E0D" w:rsidP="000A0288">
            <w:pPr>
              <w:widowControl/>
              <w:rPr>
                <w:rFonts w:ascii="Arial Narrow" w:hAnsi="Arial Narrow"/>
                <w:sz w:val="20"/>
              </w:rPr>
            </w:pPr>
          </w:p>
          <w:p w:rsidR="00974E0D" w:rsidRPr="006C64C8" w:rsidRDefault="00974E0D" w:rsidP="000A0288">
            <w:pPr>
              <w:widowControl/>
              <w:rPr>
                <w:rFonts w:ascii="Arial Narrow" w:hAnsi="Arial Narrow"/>
                <w:sz w:val="20"/>
              </w:rPr>
            </w:pPr>
            <w:r w:rsidRPr="006C64C8">
              <w:rPr>
                <w:rFonts w:ascii="Arial Narrow" w:hAnsi="Arial Narrow"/>
                <w:sz w:val="20"/>
              </w:rPr>
              <w:t>Applications for authorisation must be in writing and must include:</w:t>
            </w:r>
          </w:p>
          <w:p w:rsidR="00974E0D" w:rsidRPr="006C64C8" w:rsidRDefault="00974E0D" w:rsidP="000A0288">
            <w:pPr>
              <w:pStyle w:val="ListParagraph"/>
              <w:widowControl/>
              <w:numPr>
                <w:ilvl w:val="0"/>
                <w:numId w:val="4"/>
              </w:numPr>
              <w:rPr>
                <w:rFonts w:ascii="Arial Narrow" w:hAnsi="Arial Narrow"/>
                <w:sz w:val="20"/>
              </w:rPr>
            </w:pPr>
            <w:r w:rsidRPr="006C64C8">
              <w:rPr>
                <w:rFonts w:ascii="Arial Narrow" w:hAnsi="Arial Narrow"/>
                <w:sz w:val="20"/>
              </w:rPr>
              <w:t>two completed authority prescription forms; and</w:t>
            </w:r>
          </w:p>
          <w:p w:rsidR="00974E0D" w:rsidRPr="006C64C8" w:rsidRDefault="00974E0D" w:rsidP="000A0288">
            <w:pPr>
              <w:pStyle w:val="ListParagraph"/>
              <w:widowControl/>
              <w:numPr>
                <w:ilvl w:val="0"/>
                <w:numId w:val="4"/>
              </w:numPr>
              <w:rPr>
                <w:rFonts w:ascii="Arial Narrow" w:hAnsi="Arial Narrow"/>
                <w:sz w:val="20"/>
              </w:rPr>
            </w:pPr>
            <w:r w:rsidRPr="006C64C8">
              <w:rPr>
                <w:rFonts w:ascii="Arial Narrow" w:hAnsi="Arial Narrow"/>
                <w:sz w:val="20"/>
              </w:rPr>
              <w:t>a completed Pulmonary Hypertension PBS Authority Application - Supporting Information form [www.medicareaustralia.gov.au] which includes results from the 3 tests below, where available:</w:t>
            </w:r>
          </w:p>
          <w:p w:rsidR="00974E0D" w:rsidRPr="006C64C8" w:rsidRDefault="00974E0D" w:rsidP="000A0288">
            <w:pPr>
              <w:pStyle w:val="ListParagraph"/>
              <w:widowControl/>
              <w:numPr>
                <w:ilvl w:val="0"/>
                <w:numId w:val="5"/>
              </w:numPr>
              <w:rPr>
                <w:rFonts w:ascii="Arial Narrow" w:hAnsi="Arial Narrow"/>
                <w:sz w:val="20"/>
              </w:rPr>
            </w:pPr>
            <w:r w:rsidRPr="006C64C8">
              <w:rPr>
                <w:rFonts w:ascii="Arial Narrow" w:hAnsi="Arial Narrow"/>
                <w:sz w:val="20"/>
              </w:rPr>
              <w:t>RHC composite assessment; and</w:t>
            </w:r>
          </w:p>
          <w:p w:rsidR="00974E0D" w:rsidRPr="006C64C8" w:rsidRDefault="00974E0D" w:rsidP="000A0288">
            <w:pPr>
              <w:pStyle w:val="ListParagraph"/>
              <w:widowControl/>
              <w:numPr>
                <w:ilvl w:val="0"/>
                <w:numId w:val="5"/>
              </w:numPr>
              <w:rPr>
                <w:rFonts w:ascii="Arial Narrow" w:hAnsi="Arial Narrow"/>
                <w:sz w:val="20"/>
              </w:rPr>
            </w:pPr>
            <w:r w:rsidRPr="006C64C8">
              <w:rPr>
                <w:rFonts w:ascii="Arial Narrow" w:hAnsi="Arial Narrow"/>
                <w:sz w:val="20"/>
              </w:rPr>
              <w:t>ECHO composite assessment; and</w:t>
            </w:r>
          </w:p>
          <w:p w:rsidR="00974E0D" w:rsidRPr="006C64C8" w:rsidRDefault="00974E0D" w:rsidP="000A0288">
            <w:pPr>
              <w:pStyle w:val="ListParagraph"/>
              <w:widowControl/>
              <w:numPr>
                <w:ilvl w:val="0"/>
                <w:numId w:val="5"/>
              </w:numPr>
              <w:rPr>
                <w:rFonts w:ascii="Arial Narrow" w:hAnsi="Arial Narrow"/>
                <w:sz w:val="20"/>
              </w:rPr>
            </w:pPr>
            <w:r w:rsidRPr="006C64C8">
              <w:rPr>
                <w:rFonts w:ascii="Arial Narrow" w:hAnsi="Arial Narrow"/>
                <w:sz w:val="20"/>
              </w:rPr>
              <w:t>6MWT; and</w:t>
            </w:r>
          </w:p>
          <w:p w:rsidR="00974E0D" w:rsidRPr="006C64C8" w:rsidRDefault="00974E0D" w:rsidP="000A0288">
            <w:pPr>
              <w:pStyle w:val="ListParagraph"/>
              <w:widowControl/>
              <w:numPr>
                <w:ilvl w:val="0"/>
                <w:numId w:val="4"/>
              </w:numPr>
              <w:rPr>
                <w:rFonts w:ascii="Arial Narrow" w:hAnsi="Arial Narrow"/>
                <w:sz w:val="20"/>
              </w:rPr>
            </w:pPr>
            <w:proofErr w:type="gramStart"/>
            <w:r w:rsidRPr="006C64C8">
              <w:rPr>
                <w:rFonts w:ascii="Arial Narrow" w:hAnsi="Arial Narrow"/>
                <w:sz w:val="20"/>
              </w:rPr>
              <w:t>a</w:t>
            </w:r>
            <w:proofErr w:type="gramEnd"/>
            <w:r w:rsidRPr="006C64C8">
              <w:rPr>
                <w:rFonts w:ascii="Arial Narrow" w:hAnsi="Arial Narrow"/>
                <w:sz w:val="20"/>
              </w:rPr>
              <w:t xml:space="preserve"> signed patient acknowledgment form.</w:t>
            </w:r>
          </w:p>
          <w:p w:rsidR="00974E0D" w:rsidRPr="006C64C8" w:rsidRDefault="00974E0D" w:rsidP="000A0288">
            <w:pPr>
              <w:widowControl/>
              <w:rPr>
                <w:rFonts w:ascii="Arial Narrow" w:hAnsi="Arial Narrow"/>
                <w:sz w:val="20"/>
              </w:rPr>
            </w:pPr>
            <w:r w:rsidRPr="006C64C8">
              <w:rPr>
                <w:rFonts w:ascii="Arial Narrow" w:hAnsi="Arial Narrow"/>
                <w:sz w:val="20"/>
              </w:rPr>
              <w:t>Details of prior vasodilator treatment, including the dose and duration of treatment, must be provided at the time of application. Where the patient has an adverse event to a vasodilator or where vasodilator treatment is contraindicated, details on the nature of the adverse event or contraindication according to the TGA-approved Product Information must also be provided with the application.</w:t>
            </w:r>
          </w:p>
          <w:p w:rsidR="00974E0D" w:rsidRPr="006C64C8" w:rsidRDefault="00974E0D" w:rsidP="000A0288">
            <w:pPr>
              <w:widowControl/>
              <w:rPr>
                <w:rFonts w:ascii="Arial Narrow" w:hAnsi="Arial Narrow"/>
                <w:sz w:val="20"/>
              </w:rPr>
            </w:pPr>
          </w:p>
          <w:p w:rsidR="00974E0D" w:rsidRPr="006C64C8" w:rsidRDefault="00974E0D" w:rsidP="000A0288">
            <w:pPr>
              <w:widowControl/>
              <w:rPr>
                <w:rFonts w:ascii="Arial Narrow" w:hAnsi="Arial Narrow"/>
                <w:sz w:val="20"/>
              </w:rPr>
            </w:pPr>
            <w:r w:rsidRPr="006C64C8">
              <w:rPr>
                <w:rFonts w:ascii="Arial Narrow" w:hAnsi="Arial Narrow"/>
                <w:sz w:val="20"/>
              </w:rPr>
              <w:t>Where fewer than 3 tests (see requirement 2 above) are able to be performed on clinical grounds, a patient specific reason outlining why the particular test/s could not be conducted must be provided with the authority application [see Note for test requirements].</w:t>
            </w:r>
          </w:p>
          <w:p w:rsidR="00974E0D" w:rsidRPr="006C64C8" w:rsidRDefault="00974E0D" w:rsidP="000A0288">
            <w:pPr>
              <w:widowControl/>
              <w:rPr>
                <w:rFonts w:ascii="Arial Narrow" w:hAnsi="Arial Narrow"/>
                <w:sz w:val="20"/>
              </w:rPr>
            </w:pPr>
          </w:p>
          <w:p w:rsidR="00974E0D" w:rsidRPr="006A0F5B" w:rsidRDefault="00974E0D" w:rsidP="000A0288">
            <w:pPr>
              <w:widowControl/>
              <w:snapToGrid w:val="0"/>
              <w:spacing w:line="20" w:lineRule="atLeast"/>
              <w:jc w:val="left"/>
              <w:rPr>
                <w:rFonts w:ascii="Arial Narrow" w:hAnsi="Arial Narrow"/>
                <w:sz w:val="20"/>
                <w:lang w:eastAsia="en-AU"/>
              </w:rPr>
            </w:pPr>
            <w:r w:rsidRPr="006C64C8">
              <w:rPr>
                <w:rFonts w:ascii="Arial Narrow" w:hAnsi="Arial Narrow"/>
                <w:sz w:val="20"/>
              </w:rPr>
              <w:t>The maximum quantity authorised will be limited to provide sufficient supply for 2 weeks treatment, based on the dosage recommendations in the TGA-approved Product Information. A maximum of 3 subsequent authority prescriptions may be issued under this criterion. No repeats will be authorised for any of the authority prescription issued under this criterion.</w:t>
            </w:r>
          </w:p>
        </w:tc>
      </w:tr>
      <w:tr w:rsidR="00974E0D" w:rsidRPr="006A0F5B" w:rsidTr="00974E0D">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tcPr>
          <w:p w:rsidR="00974E0D" w:rsidRDefault="00974E0D" w:rsidP="000A0288">
            <w:pPr>
              <w:widowControl/>
              <w:jc w:val="left"/>
              <w:rPr>
                <w:rFonts w:ascii="Arial Narrow" w:hAnsi="Arial Narrow"/>
                <w:sz w:val="20"/>
              </w:rPr>
            </w:pPr>
            <w:r w:rsidRPr="006A0F5B">
              <w:rPr>
                <w:rFonts w:ascii="Arial Narrow" w:hAnsi="Arial Narrow"/>
                <w:b/>
                <w:bCs/>
                <w:sz w:val="20"/>
                <w:lang w:eastAsia="en-AU"/>
              </w:rPr>
              <w:t>Treatment phase:</w:t>
            </w:r>
            <w:r>
              <w:rPr>
                <w:rFonts w:ascii="Arial Narrow" w:hAnsi="Arial Narrow"/>
                <w:b/>
                <w:bCs/>
                <w:sz w:val="20"/>
                <w:lang w:eastAsia="en-AU"/>
              </w:rPr>
              <w:t xml:space="preserve"> continuing treatment (all patients)</w:t>
            </w:r>
          </w:p>
        </w:tc>
      </w:tr>
      <w:tr w:rsidR="00974E0D" w:rsidRPr="006A0F5B" w:rsidTr="00974E0D">
        <w:trPr>
          <w:trHeight w:val="20"/>
        </w:trPr>
        <w:tc>
          <w:tcPr>
            <w:tcW w:w="594" w:type="pct"/>
            <w:tcBorders>
              <w:top w:val="single" w:sz="4" w:space="0" w:color="auto"/>
              <w:left w:val="single" w:sz="4" w:space="0" w:color="auto"/>
              <w:bottom w:val="single" w:sz="4" w:space="0" w:color="auto"/>
              <w:right w:val="single" w:sz="4" w:space="0" w:color="auto"/>
            </w:tcBorders>
          </w:tcPr>
          <w:p w:rsidR="00974E0D" w:rsidRPr="006A0F5B" w:rsidRDefault="00974E0D" w:rsidP="000A0288">
            <w:pPr>
              <w:widowControl/>
              <w:snapToGrid w:val="0"/>
              <w:spacing w:line="20" w:lineRule="atLeast"/>
              <w:jc w:val="left"/>
              <w:rPr>
                <w:rFonts w:ascii="Arial Narrow" w:hAnsi="Arial Narrow"/>
                <w:sz w:val="20"/>
                <w:lang w:eastAsia="en-AU"/>
              </w:rPr>
            </w:pPr>
            <w:r w:rsidRPr="006A0F5B">
              <w:rPr>
                <w:rFonts w:ascii="Arial Narrow" w:hAnsi="Arial Narrow"/>
                <w:sz w:val="20"/>
                <w:lang w:eastAsia="en-AU"/>
              </w:rPr>
              <w:t>Severity</w:t>
            </w:r>
          </w:p>
        </w:tc>
        <w:tc>
          <w:tcPr>
            <w:tcW w:w="4406" w:type="pct"/>
            <w:tcBorders>
              <w:top w:val="single" w:sz="4" w:space="0" w:color="auto"/>
              <w:left w:val="single" w:sz="4" w:space="0" w:color="auto"/>
              <w:bottom w:val="single" w:sz="4" w:space="0" w:color="auto"/>
              <w:right w:val="single" w:sz="4" w:space="0" w:color="auto"/>
            </w:tcBorders>
            <w:vAlign w:val="center"/>
          </w:tcPr>
          <w:p w:rsidR="00974E0D" w:rsidRDefault="00974E0D" w:rsidP="000A0288">
            <w:pPr>
              <w:widowControl/>
              <w:rPr>
                <w:rFonts w:ascii="Arial Narrow" w:hAnsi="Arial Narrow"/>
                <w:sz w:val="20"/>
              </w:rPr>
            </w:pPr>
            <w:r w:rsidRPr="006A0F5B">
              <w:rPr>
                <w:rFonts w:ascii="Arial Narrow" w:hAnsi="Arial Narrow"/>
                <w:sz w:val="20"/>
              </w:rPr>
              <w:t>WHO Functional Class II-IV</w:t>
            </w:r>
          </w:p>
        </w:tc>
      </w:tr>
      <w:tr w:rsidR="00974E0D" w:rsidRPr="006A0F5B" w:rsidTr="00974E0D">
        <w:trPr>
          <w:trHeight w:val="20"/>
        </w:trPr>
        <w:tc>
          <w:tcPr>
            <w:tcW w:w="594" w:type="pct"/>
            <w:tcBorders>
              <w:top w:val="single" w:sz="4" w:space="0" w:color="auto"/>
              <w:left w:val="single" w:sz="4" w:space="0" w:color="auto"/>
              <w:bottom w:val="single" w:sz="4" w:space="0" w:color="auto"/>
              <w:right w:val="single" w:sz="4" w:space="0" w:color="auto"/>
            </w:tcBorders>
          </w:tcPr>
          <w:p w:rsidR="00974E0D" w:rsidRPr="006A0F5B" w:rsidRDefault="00974E0D" w:rsidP="000A0288">
            <w:pPr>
              <w:widowControl/>
              <w:snapToGrid w:val="0"/>
              <w:spacing w:line="20" w:lineRule="atLeast"/>
              <w:jc w:val="left"/>
              <w:rPr>
                <w:rFonts w:ascii="Arial Narrow" w:hAnsi="Arial Narrow"/>
                <w:sz w:val="20"/>
                <w:lang w:eastAsia="en-AU"/>
              </w:rPr>
            </w:pPr>
            <w:r w:rsidRPr="006A0F5B">
              <w:rPr>
                <w:rFonts w:ascii="Arial Narrow" w:hAnsi="Arial Narrow"/>
                <w:sz w:val="20"/>
                <w:lang w:eastAsia="en-AU"/>
              </w:rPr>
              <w:t>Condition</w:t>
            </w:r>
          </w:p>
        </w:tc>
        <w:tc>
          <w:tcPr>
            <w:tcW w:w="4406" w:type="pct"/>
            <w:tcBorders>
              <w:top w:val="single" w:sz="4" w:space="0" w:color="auto"/>
              <w:left w:val="single" w:sz="4" w:space="0" w:color="auto"/>
              <w:bottom w:val="single" w:sz="4" w:space="0" w:color="auto"/>
              <w:right w:val="single" w:sz="4" w:space="0" w:color="auto"/>
            </w:tcBorders>
            <w:vAlign w:val="center"/>
          </w:tcPr>
          <w:p w:rsidR="00974E0D" w:rsidRDefault="00974E0D" w:rsidP="000A0288">
            <w:pPr>
              <w:widowControl/>
              <w:rPr>
                <w:rFonts w:ascii="Arial Narrow" w:hAnsi="Arial Narrow"/>
                <w:sz w:val="20"/>
              </w:rPr>
            </w:pPr>
            <w:r w:rsidRPr="006A0F5B">
              <w:rPr>
                <w:rFonts w:ascii="Arial Narrow" w:hAnsi="Arial Narrow"/>
                <w:sz w:val="20"/>
              </w:rPr>
              <w:t>Inoperable CTEPH</w:t>
            </w:r>
            <w:r>
              <w:rPr>
                <w:rFonts w:ascii="Arial Narrow" w:hAnsi="Arial Narrow"/>
                <w:sz w:val="20"/>
              </w:rPr>
              <w:t xml:space="preserve"> or P</w:t>
            </w:r>
            <w:r w:rsidRPr="006A0F5B">
              <w:rPr>
                <w:rFonts w:ascii="Arial Narrow" w:hAnsi="Arial Narrow"/>
                <w:sz w:val="20"/>
              </w:rPr>
              <w:t>ersistent CTEPH subsequent to PEA.</w:t>
            </w:r>
          </w:p>
        </w:tc>
      </w:tr>
      <w:tr w:rsidR="00974E0D" w:rsidRPr="006A0F5B" w:rsidTr="00974E0D">
        <w:trPr>
          <w:trHeight w:val="20"/>
        </w:trPr>
        <w:tc>
          <w:tcPr>
            <w:tcW w:w="594" w:type="pct"/>
            <w:tcBorders>
              <w:top w:val="single" w:sz="4" w:space="0" w:color="auto"/>
              <w:left w:val="single" w:sz="4" w:space="0" w:color="auto"/>
              <w:bottom w:val="single" w:sz="4" w:space="0" w:color="auto"/>
              <w:right w:val="single" w:sz="4" w:space="0" w:color="auto"/>
            </w:tcBorders>
          </w:tcPr>
          <w:p w:rsidR="00974E0D" w:rsidRPr="006A0F5B" w:rsidRDefault="00974E0D" w:rsidP="000A0288">
            <w:pPr>
              <w:widowControl/>
              <w:snapToGrid w:val="0"/>
              <w:spacing w:line="20" w:lineRule="atLeast"/>
              <w:jc w:val="left"/>
              <w:rPr>
                <w:rFonts w:ascii="Arial Narrow" w:hAnsi="Arial Narrow"/>
                <w:sz w:val="20"/>
                <w:lang w:eastAsia="en-AU"/>
              </w:rPr>
            </w:pPr>
            <w:r w:rsidRPr="006A0F5B">
              <w:rPr>
                <w:rFonts w:ascii="Arial Narrow" w:hAnsi="Arial Narrow"/>
                <w:sz w:val="20"/>
                <w:lang w:eastAsia="en-AU"/>
              </w:rPr>
              <w:t>Restriction</w:t>
            </w:r>
          </w:p>
        </w:tc>
        <w:tc>
          <w:tcPr>
            <w:tcW w:w="4406" w:type="pct"/>
            <w:tcBorders>
              <w:top w:val="single" w:sz="4" w:space="0" w:color="auto"/>
              <w:left w:val="single" w:sz="4" w:space="0" w:color="auto"/>
              <w:bottom w:val="single" w:sz="4" w:space="0" w:color="auto"/>
              <w:right w:val="single" w:sz="4" w:space="0" w:color="auto"/>
            </w:tcBorders>
            <w:vAlign w:val="center"/>
          </w:tcPr>
          <w:p w:rsidR="00974E0D" w:rsidRDefault="00974E0D" w:rsidP="000A0288">
            <w:pPr>
              <w:widowControl/>
              <w:rPr>
                <w:rFonts w:ascii="Arial Narrow" w:hAnsi="Arial Narrow"/>
                <w:sz w:val="20"/>
              </w:rPr>
            </w:pPr>
            <w:r>
              <w:rPr>
                <w:rFonts w:ascii="Arial Narrow" w:hAnsi="Arial Narrow"/>
                <w:sz w:val="20"/>
                <w:lang w:eastAsia="en-AU"/>
              </w:rPr>
              <w:t>Authority required</w:t>
            </w:r>
          </w:p>
        </w:tc>
      </w:tr>
      <w:tr w:rsidR="00974E0D" w:rsidRPr="006A0F5B" w:rsidTr="00974E0D">
        <w:trPr>
          <w:trHeight w:val="20"/>
        </w:trPr>
        <w:tc>
          <w:tcPr>
            <w:tcW w:w="594" w:type="pct"/>
            <w:tcBorders>
              <w:top w:val="single" w:sz="4" w:space="0" w:color="auto"/>
              <w:left w:val="single" w:sz="4" w:space="0" w:color="auto"/>
              <w:bottom w:val="single" w:sz="4" w:space="0" w:color="auto"/>
              <w:right w:val="single" w:sz="4" w:space="0" w:color="auto"/>
            </w:tcBorders>
          </w:tcPr>
          <w:p w:rsidR="00974E0D" w:rsidRPr="006A0F5B" w:rsidRDefault="00974E0D" w:rsidP="000A0288">
            <w:pPr>
              <w:widowControl/>
              <w:snapToGrid w:val="0"/>
              <w:spacing w:line="20" w:lineRule="atLeast"/>
              <w:jc w:val="left"/>
              <w:rPr>
                <w:rFonts w:ascii="Arial Narrow" w:hAnsi="Arial Narrow"/>
                <w:sz w:val="20"/>
                <w:lang w:eastAsia="en-AU"/>
              </w:rPr>
            </w:pPr>
            <w:r w:rsidRPr="006A0F5B">
              <w:rPr>
                <w:rFonts w:ascii="Arial Narrow" w:hAnsi="Arial Narrow"/>
                <w:sz w:val="20"/>
                <w:lang w:eastAsia="en-AU"/>
              </w:rPr>
              <w:t>Clinical criteria</w:t>
            </w:r>
          </w:p>
        </w:tc>
        <w:tc>
          <w:tcPr>
            <w:tcW w:w="4406" w:type="pct"/>
            <w:tcBorders>
              <w:top w:val="single" w:sz="4" w:space="0" w:color="auto"/>
              <w:left w:val="single" w:sz="4" w:space="0" w:color="auto"/>
              <w:bottom w:val="single" w:sz="4" w:space="0" w:color="auto"/>
              <w:right w:val="single" w:sz="4" w:space="0" w:color="auto"/>
            </w:tcBorders>
            <w:vAlign w:val="center"/>
          </w:tcPr>
          <w:p w:rsidR="00974E0D" w:rsidRPr="006C64C8" w:rsidRDefault="00974E0D" w:rsidP="000A0288">
            <w:pPr>
              <w:widowControl/>
              <w:rPr>
                <w:rFonts w:ascii="Arial Narrow" w:hAnsi="Arial Narrow"/>
                <w:sz w:val="20"/>
              </w:rPr>
            </w:pPr>
            <w:r w:rsidRPr="006C64C8">
              <w:rPr>
                <w:rFonts w:ascii="Arial Narrow" w:hAnsi="Arial Narrow"/>
                <w:sz w:val="20"/>
              </w:rPr>
              <w:t>Continuing PBS-subsidised treatment with riociguat of patients who have received approval for initial PBS-subsidised treatment with riociguat and who have been assessed by a physician from a designated hospital to have achieved a response to their most recent course of riociguat treatment [see Note for definition of response].</w:t>
            </w:r>
          </w:p>
          <w:p w:rsidR="00974E0D" w:rsidRPr="006C64C8" w:rsidRDefault="00974E0D" w:rsidP="000A0288">
            <w:pPr>
              <w:widowControl/>
              <w:rPr>
                <w:rFonts w:ascii="Arial Narrow" w:hAnsi="Arial Narrow"/>
                <w:sz w:val="20"/>
              </w:rPr>
            </w:pPr>
          </w:p>
          <w:p w:rsidR="00974E0D" w:rsidRPr="006C64C8" w:rsidRDefault="00974E0D" w:rsidP="000A0288">
            <w:pPr>
              <w:widowControl/>
              <w:rPr>
                <w:rFonts w:ascii="Arial Narrow" w:hAnsi="Arial Narrow"/>
                <w:sz w:val="20"/>
              </w:rPr>
            </w:pPr>
            <w:r w:rsidRPr="006C64C8">
              <w:rPr>
                <w:rFonts w:ascii="Arial Narrow" w:hAnsi="Arial Narrow"/>
                <w:sz w:val="20"/>
              </w:rPr>
              <w:t>Applications for authorisation must be in writing and must include:</w:t>
            </w:r>
          </w:p>
          <w:p w:rsidR="00974E0D" w:rsidRPr="006C64C8" w:rsidRDefault="00974E0D" w:rsidP="000A0288">
            <w:pPr>
              <w:pStyle w:val="ListParagraph"/>
              <w:widowControl/>
              <w:numPr>
                <w:ilvl w:val="0"/>
                <w:numId w:val="6"/>
              </w:numPr>
              <w:rPr>
                <w:rFonts w:ascii="Arial Narrow" w:hAnsi="Arial Narrow"/>
                <w:sz w:val="20"/>
              </w:rPr>
            </w:pPr>
            <w:r w:rsidRPr="006C64C8">
              <w:rPr>
                <w:rFonts w:ascii="Arial Narrow" w:hAnsi="Arial Narrow"/>
                <w:sz w:val="20"/>
              </w:rPr>
              <w:t>a completed authority prescription form; and</w:t>
            </w:r>
          </w:p>
          <w:p w:rsidR="00974E0D" w:rsidRPr="006C64C8" w:rsidRDefault="00974E0D" w:rsidP="000A0288">
            <w:pPr>
              <w:pStyle w:val="ListParagraph"/>
              <w:widowControl/>
              <w:numPr>
                <w:ilvl w:val="0"/>
                <w:numId w:val="6"/>
              </w:numPr>
              <w:rPr>
                <w:rFonts w:ascii="Arial Narrow" w:hAnsi="Arial Narrow"/>
                <w:sz w:val="20"/>
              </w:rPr>
            </w:pPr>
            <w:r w:rsidRPr="006C64C8">
              <w:rPr>
                <w:rFonts w:ascii="Arial Narrow" w:hAnsi="Arial Narrow"/>
                <w:sz w:val="20"/>
              </w:rPr>
              <w:t>a completed Pulmonary Hypertension PBS Authority Application - Supporting Information form [www.medicareaustralia.gov.au] which includes results from the 3 tests below, where available:</w:t>
            </w:r>
          </w:p>
          <w:p w:rsidR="00974E0D" w:rsidRPr="006C64C8" w:rsidRDefault="00974E0D" w:rsidP="000A0288">
            <w:pPr>
              <w:pStyle w:val="ListParagraph"/>
              <w:keepLines/>
              <w:widowControl/>
              <w:numPr>
                <w:ilvl w:val="0"/>
                <w:numId w:val="7"/>
              </w:numPr>
              <w:ind w:left="1434" w:hanging="357"/>
              <w:rPr>
                <w:rFonts w:ascii="Arial Narrow" w:hAnsi="Arial Narrow"/>
                <w:sz w:val="20"/>
              </w:rPr>
            </w:pPr>
            <w:r w:rsidRPr="006C64C8">
              <w:rPr>
                <w:rFonts w:ascii="Arial Narrow" w:hAnsi="Arial Narrow"/>
                <w:sz w:val="20"/>
              </w:rPr>
              <w:t>RHC composite assessment; and</w:t>
            </w:r>
          </w:p>
          <w:p w:rsidR="00974E0D" w:rsidRPr="006C64C8" w:rsidRDefault="00974E0D" w:rsidP="000A0288">
            <w:pPr>
              <w:pStyle w:val="ListParagraph"/>
              <w:keepLines/>
              <w:widowControl/>
              <w:numPr>
                <w:ilvl w:val="0"/>
                <w:numId w:val="7"/>
              </w:numPr>
              <w:ind w:left="1434" w:hanging="357"/>
              <w:rPr>
                <w:rFonts w:ascii="Arial Narrow" w:hAnsi="Arial Narrow"/>
                <w:sz w:val="20"/>
              </w:rPr>
            </w:pPr>
            <w:r w:rsidRPr="006C64C8">
              <w:rPr>
                <w:rFonts w:ascii="Arial Narrow" w:hAnsi="Arial Narrow"/>
                <w:sz w:val="20"/>
              </w:rPr>
              <w:t>ECHO composite assessment; and</w:t>
            </w:r>
          </w:p>
          <w:p w:rsidR="00974E0D" w:rsidRPr="006C64C8" w:rsidRDefault="00974E0D" w:rsidP="000A0288">
            <w:pPr>
              <w:pStyle w:val="ListParagraph"/>
              <w:keepLines/>
              <w:widowControl/>
              <w:numPr>
                <w:ilvl w:val="0"/>
                <w:numId w:val="7"/>
              </w:numPr>
              <w:ind w:left="1434" w:hanging="357"/>
              <w:rPr>
                <w:rFonts w:ascii="Arial Narrow" w:hAnsi="Arial Narrow"/>
                <w:sz w:val="20"/>
              </w:rPr>
            </w:pPr>
            <w:r w:rsidRPr="006C64C8">
              <w:rPr>
                <w:rFonts w:ascii="Arial Narrow" w:hAnsi="Arial Narrow"/>
                <w:sz w:val="20"/>
              </w:rPr>
              <w:t>6MWT.</w:t>
            </w:r>
          </w:p>
          <w:p w:rsidR="00974E0D" w:rsidRPr="006C64C8" w:rsidRDefault="00974E0D" w:rsidP="000A0288">
            <w:pPr>
              <w:widowControl/>
              <w:rPr>
                <w:rFonts w:ascii="Arial Narrow" w:hAnsi="Arial Narrow"/>
                <w:sz w:val="20"/>
              </w:rPr>
            </w:pPr>
            <w:r w:rsidRPr="006C64C8">
              <w:rPr>
                <w:rFonts w:ascii="Arial Narrow" w:hAnsi="Arial Narrow"/>
                <w:sz w:val="20"/>
              </w:rPr>
              <w:t xml:space="preserve">The results of the same tests as conducted at baseline should be provided with each written continuing treatment application (i.e. every 6 months), except for patients who were able to undergo </w:t>
            </w:r>
            <w:r w:rsidRPr="006C64C8">
              <w:rPr>
                <w:rFonts w:ascii="Arial Narrow" w:hAnsi="Arial Narrow"/>
                <w:sz w:val="20"/>
              </w:rPr>
              <w:lastRenderedPageBreak/>
              <w:t>all 3 tests at baseline, and whose subsequent ECHO and 6MWT results demonstrate disease stability or improvement, in which case RHC can be omitted. In all other patients, where the same test(s) conducted at baseline cannot be performed for assessment of response on clinical grounds, a patient specific reason why the test(s) could not be conducted must be provided with the application.</w:t>
            </w:r>
          </w:p>
          <w:p w:rsidR="00974E0D" w:rsidRPr="006C64C8" w:rsidRDefault="00974E0D" w:rsidP="000A0288">
            <w:pPr>
              <w:widowControl/>
              <w:rPr>
                <w:rFonts w:ascii="Arial Narrow" w:hAnsi="Arial Narrow"/>
                <w:sz w:val="20"/>
              </w:rPr>
            </w:pPr>
          </w:p>
          <w:p w:rsidR="00974E0D" w:rsidRPr="006C64C8" w:rsidRDefault="00974E0D" w:rsidP="000A0288">
            <w:pPr>
              <w:widowControl/>
              <w:rPr>
                <w:rFonts w:ascii="Arial Narrow" w:hAnsi="Arial Narrow"/>
                <w:sz w:val="20"/>
              </w:rPr>
            </w:pPr>
            <w:r w:rsidRPr="006C64C8">
              <w:rPr>
                <w:rFonts w:ascii="Arial Narrow" w:hAnsi="Arial Narrow"/>
                <w:sz w:val="20"/>
              </w:rPr>
              <w:t>The maximum quantity authorised will be limited to provide sufficient supply for 1 month of treatment, based on the dosage recommendations in the TGA-approved Product Information. A maximum of 5 repeats will be authorised.</w:t>
            </w:r>
          </w:p>
          <w:p w:rsidR="00974E0D" w:rsidRPr="006C64C8" w:rsidRDefault="00974E0D" w:rsidP="000A0288">
            <w:pPr>
              <w:widowControl/>
              <w:rPr>
                <w:rFonts w:ascii="Arial Narrow" w:hAnsi="Arial Narrow"/>
                <w:sz w:val="20"/>
              </w:rPr>
            </w:pPr>
          </w:p>
          <w:p w:rsidR="00974E0D" w:rsidRDefault="00974E0D" w:rsidP="000A0288">
            <w:pPr>
              <w:widowControl/>
              <w:rPr>
                <w:rFonts w:ascii="Arial Narrow" w:hAnsi="Arial Narrow"/>
                <w:sz w:val="20"/>
              </w:rPr>
            </w:pPr>
            <w:r w:rsidRPr="006C64C8">
              <w:rPr>
                <w:rFonts w:ascii="Arial Narrow" w:hAnsi="Arial Narrow"/>
                <w:sz w:val="20"/>
              </w:rPr>
              <w:t>Where fewer than 5 repeats are initially requested under this criterion, authority approvals for sufficient repeats to complete a maximum of 6 months of treatment may be requested by telephone by contacting Medicare Australia on 1800 700 270 (hours of operation 8 a.m. to 5 p.m. EST Monday to Friday)</w:t>
            </w:r>
          </w:p>
        </w:tc>
      </w:tr>
    </w:tbl>
    <w:p w:rsidR="00974E0D" w:rsidRPr="00BA576E" w:rsidRDefault="00974E0D" w:rsidP="000A0288">
      <w:pPr>
        <w:pStyle w:val="TableFooter"/>
        <w:widowControl/>
        <w:ind w:left="709"/>
      </w:pPr>
      <w:r>
        <w:lastRenderedPageBreak/>
        <w:t>Note:</w:t>
      </w:r>
      <w:r w:rsidRPr="00BA576E">
        <w:t xml:space="preserve"> The re-submission did not provide the requested restriction in the standard table format; the information provided in the re-submission was placed into this format during the evaluation.</w:t>
      </w:r>
    </w:p>
    <w:p w:rsidR="00974E0D" w:rsidRDefault="00974E0D" w:rsidP="000A0288">
      <w:pPr>
        <w:widowControl/>
      </w:pPr>
    </w:p>
    <w:p w:rsidR="002F36A9" w:rsidRPr="00571F99" w:rsidRDefault="00EF42E2" w:rsidP="000A0288">
      <w:pPr>
        <w:pStyle w:val="ListParagraph"/>
        <w:widowControl/>
        <w:numPr>
          <w:ilvl w:val="1"/>
          <w:numId w:val="2"/>
        </w:numPr>
        <w:rPr>
          <w:szCs w:val="22"/>
        </w:rPr>
      </w:pPr>
      <w:r>
        <w:rPr>
          <w:szCs w:val="22"/>
        </w:rPr>
        <w:t>T</w:t>
      </w:r>
      <w:r w:rsidR="002F36A9">
        <w:rPr>
          <w:szCs w:val="22"/>
        </w:rPr>
        <w:t xml:space="preserve">he re-submission has sought listing for riociguat on the basis of a cost utility analysis comparing riociguat </w:t>
      </w:r>
      <w:r w:rsidR="00DC0179">
        <w:rPr>
          <w:szCs w:val="22"/>
        </w:rPr>
        <w:t xml:space="preserve">and </w:t>
      </w:r>
      <w:r w:rsidR="002F36A9">
        <w:rPr>
          <w:szCs w:val="22"/>
        </w:rPr>
        <w:t>placebo.</w:t>
      </w:r>
    </w:p>
    <w:p w:rsidR="002F36A9" w:rsidRPr="009F0A56" w:rsidRDefault="002F36A9" w:rsidP="000A0288">
      <w:pPr>
        <w:widowControl/>
        <w:rPr>
          <w:szCs w:val="22"/>
        </w:rPr>
      </w:pPr>
    </w:p>
    <w:p w:rsidR="002F36A9" w:rsidRPr="00301710" w:rsidRDefault="00EF42E2" w:rsidP="000A0288">
      <w:pPr>
        <w:pStyle w:val="ListParagraph"/>
        <w:widowControl/>
        <w:numPr>
          <w:ilvl w:val="1"/>
          <w:numId w:val="2"/>
        </w:numPr>
        <w:rPr>
          <w:szCs w:val="22"/>
        </w:rPr>
      </w:pPr>
      <w:r>
        <w:rPr>
          <w:szCs w:val="22"/>
        </w:rPr>
        <w:t>T</w:t>
      </w:r>
      <w:r w:rsidR="002F36A9" w:rsidRPr="00F3678B">
        <w:rPr>
          <w:szCs w:val="22"/>
        </w:rPr>
        <w:t>he re-submission amended the requested restriction, removing the eligibility criterion requiring a right arterial pressure (RAP) of ≤8 mmHg.</w:t>
      </w:r>
      <w:r w:rsidR="006B5090">
        <w:rPr>
          <w:szCs w:val="22"/>
        </w:rPr>
        <w:t xml:space="preserve"> </w:t>
      </w:r>
      <w:r w:rsidR="002F36A9" w:rsidRPr="00301710">
        <w:rPr>
          <w:szCs w:val="22"/>
        </w:rPr>
        <w:t xml:space="preserve">This amendment was appropriate, given that the approved </w:t>
      </w:r>
      <w:r w:rsidR="007E72B9" w:rsidRPr="00301710">
        <w:rPr>
          <w:szCs w:val="22"/>
        </w:rPr>
        <w:t xml:space="preserve">product information </w:t>
      </w:r>
      <w:r w:rsidR="002F36A9" w:rsidRPr="00301710">
        <w:rPr>
          <w:szCs w:val="22"/>
        </w:rPr>
        <w:t>and eligibility criteria from the pivotal trial (CHEST-1) did not specify treatment on the basis of observed RAP.</w:t>
      </w:r>
      <w:r w:rsidR="006B5090">
        <w:rPr>
          <w:szCs w:val="22"/>
        </w:rPr>
        <w:t xml:space="preserve"> </w:t>
      </w:r>
      <w:r w:rsidRPr="00301710">
        <w:rPr>
          <w:szCs w:val="22"/>
        </w:rPr>
        <w:t>The effective price of $</w:t>
      </w:r>
      <w:r w:rsidR="0011087E">
        <w:rPr>
          <w:noProof/>
          <w:color w:val="000000"/>
          <w:szCs w:val="22"/>
          <w:highlight w:val="black"/>
        </w:rPr>
        <w:t>''''''''''''''''''''</w:t>
      </w:r>
      <w:r w:rsidRPr="00301710">
        <w:rPr>
          <w:szCs w:val="22"/>
        </w:rPr>
        <w:t xml:space="preserve"> for initial treatment and $</w:t>
      </w:r>
      <w:r w:rsidR="0011087E">
        <w:rPr>
          <w:noProof/>
          <w:color w:val="000000"/>
          <w:szCs w:val="22"/>
          <w:highlight w:val="black"/>
        </w:rPr>
        <w:t>'''''''''''''''''''</w:t>
      </w:r>
      <w:r w:rsidRPr="00301710">
        <w:rPr>
          <w:szCs w:val="22"/>
        </w:rPr>
        <w:t xml:space="preserve"> for continuing treatment </w:t>
      </w:r>
      <w:r w:rsidR="007E72B9" w:rsidRPr="00301710">
        <w:rPr>
          <w:szCs w:val="22"/>
        </w:rPr>
        <w:t xml:space="preserve">was </w:t>
      </w:r>
      <w:r w:rsidRPr="00301710">
        <w:rPr>
          <w:szCs w:val="22"/>
        </w:rPr>
        <w:t>unchanged in the re-submission.</w:t>
      </w:r>
    </w:p>
    <w:p w:rsidR="002F36A9" w:rsidRPr="00301710" w:rsidRDefault="002F36A9" w:rsidP="000A0288">
      <w:pPr>
        <w:widowControl/>
        <w:rPr>
          <w:szCs w:val="22"/>
        </w:rPr>
      </w:pPr>
    </w:p>
    <w:p w:rsidR="002F36A9" w:rsidRPr="00301710" w:rsidRDefault="002F36A9" w:rsidP="000A0288">
      <w:pPr>
        <w:pStyle w:val="ListParagraph"/>
        <w:widowControl/>
        <w:numPr>
          <w:ilvl w:val="1"/>
          <w:numId w:val="2"/>
        </w:numPr>
        <w:rPr>
          <w:szCs w:val="22"/>
        </w:rPr>
      </w:pPr>
      <w:r w:rsidRPr="00301710">
        <w:rPr>
          <w:szCs w:val="22"/>
        </w:rPr>
        <w:t xml:space="preserve">The re-submission indicated that the requested restriction was largely modelled on </w:t>
      </w:r>
      <w:r w:rsidR="007E72B9" w:rsidRPr="00301710">
        <w:rPr>
          <w:szCs w:val="22"/>
        </w:rPr>
        <w:t xml:space="preserve">the restrictions </w:t>
      </w:r>
      <w:r w:rsidRPr="00301710">
        <w:rPr>
          <w:szCs w:val="22"/>
        </w:rPr>
        <w:t>currently used for pulmonary hypertension specific therapies.</w:t>
      </w:r>
      <w:r w:rsidR="006B5090">
        <w:rPr>
          <w:szCs w:val="22"/>
        </w:rPr>
        <w:t xml:space="preserve"> </w:t>
      </w:r>
      <w:r w:rsidRPr="00301710">
        <w:rPr>
          <w:szCs w:val="22"/>
        </w:rPr>
        <w:t>Although the PBAC previously indicated this may be appropriate (</w:t>
      </w:r>
      <w:r w:rsidRPr="0011087E">
        <w:rPr>
          <w:szCs w:val="22"/>
        </w:rPr>
        <w:t xml:space="preserve">November 2014 </w:t>
      </w:r>
      <w:r w:rsidR="00A16DC6" w:rsidRPr="0011087E">
        <w:rPr>
          <w:szCs w:val="22"/>
        </w:rPr>
        <w:t>riociguat public summary document</w:t>
      </w:r>
      <w:r w:rsidR="00A16DC6" w:rsidRPr="00301710">
        <w:rPr>
          <w:szCs w:val="22"/>
        </w:rPr>
        <w:t xml:space="preserve"> (PSD)</w:t>
      </w:r>
      <w:r w:rsidR="009A1339" w:rsidRPr="00301710">
        <w:rPr>
          <w:szCs w:val="22"/>
        </w:rPr>
        <w:t>,</w:t>
      </w:r>
      <w:r w:rsidR="00A16DC6" w:rsidRPr="00301710">
        <w:rPr>
          <w:szCs w:val="22"/>
        </w:rPr>
        <w:t xml:space="preserve"> </w:t>
      </w:r>
      <w:r w:rsidRPr="00301710">
        <w:rPr>
          <w:szCs w:val="22"/>
        </w:rPr>
        <w:t>paragraph 2.2), there are a number of aspects in the authority criteria that would require further clarification due to differences associated with CTEPH</w:t>
      </w:r>
      <w:r w:rsidR="007E72B9" w:rsidRPr="00301710">
        <w:rPr>
          <w:szCs w:val="22"/>
        </w:rPr>
        <w:t xml:space="preserve"> (compared with </w:t>
      </w:r>
      <w:r w:rsidR="0067287F" w:rsidRPr="00301710">
        <w:rPr>
          <w:szCs w:val="22"/>
        </w:rPr>
        <w:t>pulmonary hypertension</w:t>
      </w:r>
      <w:r w:rsidR="007E72B9" w:rsidRPr="00301710">
        <w:rPr>
          <w:szCs w:val="22"/>
        </w:rPr>
        <w:t>)</w:t>
      </w:r>
      <w:r w:rsidRPr="00301710">
        <w:rPr>
          <w:szCs w:val="22"/>
        </w:rPr>
        <w:t xml:space="preserve">: </w:t>
      </w:r>
    </w:p>
    <w:p w:rsidR="002F36A9" w:rsidRPr="00301710" w:rsidRDefault="002F36A9" w:rsidP="000A0288">
      <w:pPr>
        <w:pStyle w:val="ListParagraph"/>
        <w:widowControl/>
        <w:numPr>
          <w:ilvl w:val="1"/>
          <w:numId w:val="11"/>
        </w:numPr>
        <w:rPr>
          <w:szCs w:val="22"/>
        </w:rPr>
      </w:pPr>
      <w:r w:rsidRPr="00301710">
        <w:rPr>
          <w:szCs w:val="22"/>
        </w:rPr>
        <w:t xml:space="preserve">Initial and continuing treatment parameters: the re-submission </w:t>
      </w:r>
      <w:r w:rsidR="007E72B9" w:rsidRPr="00301710">
        <w:rPr>
          <w:szCs w:val="22"/>
        </w:rPr>
        <w:t xml:space="preserve">did </w:t>
      </w:r>
      <w:r w:rsidRPr="00301710">
        <w:rPr>
          <w:szCs w:val="22"/>
        </w:rPr>
        <w:t>not specify initial or continuing response measurements for right heart catheterisation (RHC), echocardiogram (ECHO) or the 6 minute walking distance test (6MWD) that are relevant for inoperable CTEPH or persistent CTEPH patients.</w:t>
      </w:r>
      <w:r w:rsidR="006B5090">
        <w:rPr>
          <w:szCs w:val="22"/>
        </w:rPr>
        <w:t xml:space="preserve"> </w:t>
      </w:r>
    </w:p>
    <w:p w:rsidR="002F36A9" w:rsidRPr="00AB13B3" w:rsidRDefault="002F36A9" w:rsidP="000A0288">
      <w:pPr>
        <w:pStyle w:val="ListParagraph"/>
        <w:widowControl/>
        <w:numPr>
          <w:ilvl w:val="1"/>
          <w:numId w:val="11"/>
        </w:numPr>
        <w:rPr>
          <w:szCs w:val="22"/>
        </w:rPr>
      </w:pPr>
      <w:r w:rsidRPr="00AB13B3">
        <w:rPr>
          <w:szCs w:val="22"/>
        </w:rPr>
        <w:t xml:space="preserve">Failed response to vasodilator treatment: this appears to necessitate prior treatment with vasodilators, which may include </w:t>
      </w:r>
      <w:proofErr w:type="spellStart"/>
      <w:r w:rsidRPr="00AB13B3">
        <w:rPr>
          <w:szCs w:val="22"/>
        </w:rPr>
        <w:t>bosentan</w:t>
      </w:r>
      <w:proofErr w:type="spellEnd"/>
      <w:r w:rsidRPr="00AB13B3">
        <w:rPr>
          <w:szCs w:val="22"/>
        </w:rPr>
        <w:t xml:space="preserve"> or sildenafil.</w:t>
      </w:r>
      <w:r w:rsidR="006B5090" w:rsidRPr="00AB13B3">
        <w:rPr>
          <w:szCs w:val="22"/>
        </w:rPr>
        <w:t xml:space="preserve"> </w:t>
      </w:r>
      <w:r w:rsidRPr="00AB13B3">
        <w:rPr>
          <w:szCs w:val="22"/>
        </w:rPr>
        <w:t xml:space="preserve">Based on the re-submission’s claimed superiority for exercise capacity when compared </w:t>
      </w:r>
      <w:r w:rsidR="007E72B9" w:rsidRPr="00AB13B3">
        <w:rPr>
          <w:szCs w:val="22"/>
        </w:rPr>
        <w:t xml:space="preserve">with </w:t>
      </w:r>
      <w:proofErr w:type="spellStart"/>
      <w:r w:rsidRPr="00AB13B3">
        <w:rPr>
          <w:szCs w:val="22"/>
        </w:rPr>
        <w:t>bosentan</w:t>
      </w:r>
      <w:proofErr w:type="spellEnd"/>
      <w:r w:rsidRPr="00AB13B3">
        <w:rPr>
          <w:szCs w:val="22"/>
        </w:rPr>
        <w:t xml:space="preserve"> and </w:t>
      </w:r>
      <w:r w:rsidR="00EF42E2" w:rsidRPr="00AB13B3">
        <w:rPr>
          <w:szCs w:val="22"/>
        </w:rPr>
        <w:t xml:space="preserve">inconclusive </w:t>
      </w:r>
      <w:r w:rsidRPr="00AB13B3">
        <w:rPr>
          <w:szCs w:val="22"/>
        </w:rPr>
        <w:t>evidence for the use of sildenafil, the requested restriction would appear to inappropriately require the use of inferior or unsubstantiated treatments prior to riociguat.</w:t>
      </w:r>
      <w:r w:rsidR="006B5090" w:rsidRPr="00AB13B3">
        <w:rPr>
          <w:szCs w:val="22"/>
        </w:rPr>
        <w:t xml:space="preserve"> </w:t>
      </w:r>
      <w:r w:rsidR="00CC5ABE" w:rsidRPr="00AB13B3">
        <w:rPr>
          <w:szCs w:val="22"/>
        </w:rPr>
        <w:t>The PSCR proposed that the requirement for prior vasodilator therapy</w:t>
      </w:r>
      <w:r w:rsidR="00AB13B3">
        <w:rPr>
          <w:szCs w:val="22"/>
        </w:rPr>
        <w:t xml:space="preserve"> </w:t>
      </w:r>
      <w:r w:rsidR="00CC5ABE" w:rsidRPr="00AB13B3">
        <w:rPr>
          <w:szCs w:val="22"/>
        </w:rPr>
        <w:t>be removed from the requested restriction, given that there was no evidence to suggest differences in treatment response in this subset of the CTEPH population.</w:t>
      </w:r>
      <w:r w:rsidR="006B5090" w:rsidRPr="00AB13B3">
        <w:rPr>
          <w:szCs w:val="22"/>
        </w:rPr>
        <w:t xml:space="preserve"> </w:t>
      </w:r>
    </w:p>
    <w:p w:rsidR="002F36A9" w:rsidRPr="00E66A98" w:rsidRDefault="002F36A9" w:rsidP="000A0288">
      <w:pPr>
        <w:pStyle w:val="ListParagraph"/>
        <w:widowControl/>
        <w:numPr>
          <w:ilvl w:val="1"/>
          <w:numId w:val="11"/>
        </w:numPr>
        <w:rPr>
          <w:szCs w:val="22"/>
        </w:rPr>
      </w:pPr>
      <w:r w:rsidRPr="00E66A98">
        <w:rPr>
          <w:szCs w:val="22"/>
        </w:rPr>
        <w:t>Guidance for the interpretation of inoperable CTEPH: it cannot be determined whether inoperable CTEPH should be interpreted within the context of strictly surgically inaccessible CTEPH.</w:t>
      </w:r>
      <w:r w:rsidR="006B5090" w:rsidRPr="00E66A98">
        <w:rPr>
          <w:szCs w:val="22"/>
        </w:rPr>
        <w:t xml:space="preserve"> </w:t>
      </w:r>
      <w:r w:rsidR="00EE593F" w:rsidRPr="00E66A98">
        <w:rPr>
          <w:szCs w:val="22"/>
        </w:rPr>
        <w:t>Given the subjectivity associated with the assessment of operability, a</w:t>
      </w:r>
      <w:r w:rsidRPr="00E66A98">
        <w:rPr>
          <w:szCs w:val="22"/>
        </w:rPr>
        <w:t xml:space="preserve"> broader interpretation may be applied in clinical practice</w:t>
      </w:r>
      <w:r w:rsidR="00EE593F" w:rsidRPr="00E66A98">
        <w:rPr>
          <w:szCs w:val="22"/>
        </w:rPr>
        <w:t>.</w:t>
      </w:r>
      <w:r w:rsidR="006B5090" w:rsidRPr="00E66A98">
        <w:rPr>
          <w:szCs w:val="22"/>
        </w:rPr>
        <w:t xml:space="preserve"> </w:t>
      </w:r>
      <w:r w:rsidR="00EE593F" w:rsidRPr="00E66A98">
        <w:rPr>
          <w:szCs w:val="22"/>
        </w:rPr>
        <w:t>In</w:t>
      </w:r>
      <w:r w:rsidRPr="00E66A98">
        <w:rPr>
          <w:szCs w:val="22"/>
        </w:rPr>
        <w:t xml:space="preserve">operability could result from imbalances within pulmonary vascular resistance (PVR) and accessible occlusions, </w:t>
      </w:r>
      <w:r w:rsidRPr="00E66A98">
        <w:t xml:space="preserve">PVR &gt;1500 </w:t>
      </w:r>
      <w:proofErr w:type="spellStart"/>
      <w:r w:rsidRPr="00E66A98">
        <w:t>dyn</w:t>
      </w:r>
      <w:proofErr w:type="spellEnd"/>
      <w:r w:rsidRPr="00E66A98">
        <w:t xml:space="preserve"> s cm</w:t>
      </w:r>
      <w:r w:rsidRPr="00E66A98">
        <w:rPr>
          <w:vertAlign w:val="superscript"/>
        </w:rPr>
        <w:t>-5</w:t>
      </w:r>
      <w:r w:rsidRPr="00E66A98">
        <w:t xml:space="preserve">, </w:t>
      </w:r>
      <w:r w:rsidRPr="00E66A98">
        <w:rPr>
          <w:szCs w:val="22"/>
        </w:rPr>
        <w:t xml:space="preserve">age, </w:t>
      </w:r>
      <w:r w:rsidRPr="00E66A98">
        <w:rPr>
          <w:szCs w:val="22"/>
        </w:rPr>
        <w:lastRenderedPageBreak/>
        <w:t>co</w:t>
      </w:r>
      <w:r w:rsidR="001D3574" w:rsidRPr="00E66A98">
        <w:rPr>
          <w:szCs w:val="22"/>
        </w:rPr>
        <w:noBreakHyphen/>
      </w:r>
      <w:r w:rsidRPr="00E66A98">
        <w:rPr>
          <w:szCs w:val="22"/>
        </w:rPr>
        <w:t>morbidities, presence of mild disease or personal choice.</w:t>
      </w:r>
      <w:r w:rsidR="006B5090" w:rsidRPr="00E66A98">
        <w:rPr>
          <w:szCs w:val="22"/>
        </w:rPr>
        <w:t xml:space="preserve"> </w:t>
      </w:r>
      <w:r w:rsidR="00CC5ABE" w:rsidRPr="00E66A98">
        <w:rPr>
          <w:szCs w:val="22"/>
        </w:rPr>
        <w:t>Acknowledging the complexity involved in the assessment of operability in CTEPH, the PSCR</w:t>
      </w:r>
      <w:r w:rsidR="00DC0179" w:rsidRPr="00E66A98">
        <w:rPr>
          <w:szCs w:val="22"/>
        </w:rPr>
        <w:t xml:space="preserve"> </w:t>
      </w:r>
      <w:r w:rsidR="00CC5ABE" w:rsidRPr="00E66A98">
        <w:rPr>
          <w:szCs w:val="22"/>
        </w:rPr>
        <w:t>proposed that adjudication by a local expert PEA centre be considered as a potential criterion within the restriction.</w:t>
      </w:r>
    </w:p>
    <w:p w:rsidR="002F36A9" w:rsidRDefault="002F36A9" w:rsidP="000A0288">
      <w:pPr>
        <w:widowControl/>
      </w:pPr>
    </w:p>
    <w:p w:rsidR="00EF42E2" w:rsidRPr="00882085" w:rsidRDefault="00EF42E2" w:rsidP="000A0288">
      <w:pPr>
        <w:widowControl/>
      </w:pPr>
    </w:p>
    <w:p w:rsidR="002F36A9" w:rsidRPr="00407F2D" w:rsidRDefault="002F36A9" w:rsidP="000A0288">
      <w:pPr>
        <w:pStyle w:val="PBACHeading1"/>
      </w:pPr>
      <w:bookmarkStart w:id="6" w:name="_Toc416959983"/>
      <w:bookmarkStart w:id="7" w:name="_Toc419206866"/>
      <w:r w:rsidRPr="00407F2D">
        <w:t>Background</w:t>
      </w:r>
      <w:bookmarkEnd w:id="6"/>
      <w:bookmarkEnd w:id="7"/>
    </w:p>
    <w:p w:rsidR="002F36A9" w:rsidRPr="00882085" w:rsidRDefault="002F36A9" w:rsidP="000A0288">
      <w:pPr>
        <w:widowControl/>
        <w:rPr>
          <w:szCs w:val="22"/>
        </w:rPr>
      </w:pPr>
    </w:p>
    <w:p w:rsidR="002F36A9" w:rsidRDefault="00DC0179" w:rsidP="000A0288">
      <w:pPr>
        <w:pStyle w:val="ListParagraph"/>
        <w:widowControl/>
        <w:numPr>
          <w:ilvl w:val="1"/>
          <w:numId w:val="2"/>
        </w:numPr>
        <w:rPr>
          <w:szCs w:val="22"/>
        </w:rPr>
      </w:pPr>
      <w:r>
        <w:rPr>
          <w:szCs w:val="22"/>
        </w:rPr>
        <w:t>Riociguat was</w:t>
      </w:r>
      <w:r w:rsidR="003239CA">
        <w:rPr>
          <w:szCs w:val="22"/>
        </w:rPr>
        <w:t xml:space="preserve"> approved for</w:t>
      </w:r>
      <w:r>
        <w:rPr>
          <w:szCs w:val="22"/>
        </w:rPr>
        <w:t xml:space="preserve"> </w:t>
      </w:r>
      <w:r w:rsidR="003239CA">
        <w:rPr>
          <w:szCs w:val="22"/>
        </w:rPr>
        <w:t xml:space="preserve">TGA registration </w:t>
      </w:r>
      <w:r>
        <w:rPr>
          <w:szCs w:val="22"/>
        </w:rPr>
        <w:t xml:space="preserve">for </w:t>
      </w:r>
      <w:r w:rsidR="00714783">
        <w:rPr>
          <w:szCs w:val="22"/>
        </w:rPr>
        <w:t>pulmonary arterial hypertension (</w:t>
      </w:r>
      <w:r w:rsidR="00EE593F">
        <w:rPr>
          <w:szCs w:val="22"/>
        </w:rPr>
        <w:t>PAH</w:t>
      </w:r>
      <w:r w:rsidR="00714783">
        <w:rPr>
          <w:szCs w:val="22"/>
        </w:rPr>
        <w:t>)</w:t>
      </w:r>
      <w:r w:rsidR="00EE593F">
        <w:rPr>
          <w:szCs w:val="22"/>
        </w:rPr>
        <w:t xml:space="preserve"> and CTEPH in April 2014.</w:t>
      </w:r>
    </w:p>
    <w:p w:rsidR="00301710" w:rsidRDefault="00301710" w:rsidP="000A0288">
      <w:pPr>
        <w:pStyle w:val="ListParagraph"/>
        <w:widowControl/>
        <w:rPr>
          <w:szCs w:val="22"/>
        </w:rPr>
      </w:pPr>
    </w:p>
    <w:p w:rsidR="002F36A9" w:rsidRPr="00301710" w:rsidRDefault="00171B3F" w:rsidP="000A0288">
      <w:pPr>
        <w:pStyle w:val="ListParagraph"/>
        <w:widowControl/>
        <w:numPr>
          <w:ilvl w:val="1"/>
          <w:numId w:val="2"/>
        </w:numPr>
        <w:rPr>
          <w:szCs w:val="22"/>
        </w:rPr>
      </w:pPr>
      <w:r>
        <w:rPr>
          <w:szCs w:val="22"/>
        </w:rPr>
        <w:t>The PBAC previously considered r</w:t>
      </w:r>
      <w:r w:rsidR="00301710">
        <w:rPr>
          <w:szCs w:val="22"/>
        </w:rPr>
        <w:t>iociguat for the treatment of inoperable CTEPH or persistent CTEPH following PEA in November 2014. T</w:t>
      </w:r>
      <w:r w:rsidR="002F36A9" w:rsidRPr="00301710">
        <w:rPr>
          <w:szCs w:val="22"/>
        </w:rPr>
        <w:t>he PBAC rejected the submission on the basis that the cost</w:t>
      </w:r>
      <w:r w:rsidR="006B5090">
        <w:rPr>
          <w:szCs w:val="22"/>
        </w:rPr>
        <w:noBreakHyphen/>
      </w:r>
      <w:r w:rsidR="002F36A9" w:rsidRPr="00301710">
        <w:rPr>
          <w:szCs w:val="22"/>
        </w:rPr>
        <w:t>effectiveness of riociguat for CTEPH had not been established against the appropriate comparator.</w:t>
      </w:r>
      <w:r w:rsidR="006B5090">
        <w:rPr>
          <w:szCs w:val="22"/>
        </w:rPr>
        <w:t xml:space="preserve"> </w:t>
      </w:r>
      <w:r w:rsidR="002F36A9" w:rsidRPr="00301710">
        <w:rPr>
          <w:szCs w:val="22"/>
        </w:rPr>
        <w:t>The PBAC did not accept the claim that the comparative effectiveness and safety for riociguat in the previously recommended PAH population was equivalent to the effectiveness and safety for riociguat in the proposed CTEPH population.</w:t>
      </w:r>
      <w:r w:rsidR="006B5090">
        <w:rPr>
          <w:szCs w:val="22"/>
        </w:rPr>
        <w:t xml:space="preserve"> </w:t>
      </w:r>
      <w:r w:rsidR="002F36A9" w:rsidRPr="00301710">
        <w:rPr>
          <w:szCs w:val="22"/>
        </w:rPr>
        <w:t>The PBAC considered that the same functional improvemen</w:t>
      </w:r>
      <w:r w:rsidR="00DD3FE1" w:rsidRPr="00301710">
        <w:rPr>
          <w:szCs w:val="22"/>
        </w:rPr>
        <w:t xml:space="preserve">t in the </w:t>
      </w:r>
      <w:r w:rsidR="002F36A9" w:rsidRPr="00301710">
        <w:rPr>
          <w:szCs w:val="22"/>
        </w:rPr>
        <w:t xml:space="preserve">6MWD from baseline in the PAH and CTEPH populations could not be assumed to have the same clinical implications in terms of </w:t>
      </w:r>
      <w:r w:rsidR="00EC3A3B">
        <w:rPr>
          <w:szCs w:val="22"/>
        </w:rPr>
        <w:t xml:space="preserve">WHO </w:t>
      </w:r>
      <w:r w:rsidR="002F36A9" w:rsidRPr="00301710">
        <w:rPr>
          <w:szCs w:val="22"/>
        </w:rPr>
        <w:t>functional class changes and overall survival because of differences in the diseases and trial population characteristics (</w:t>
      </w:r>
      <w:r w:rsidR="007E7C5B" w:rsidRPr="0011087E">
        <w:rPr>
          <w:szCs w:val="22"/>
        </w:rPr>
        <w:t>November 2014</w:t>
      </w:r>
      <w:r w:rsidR="005B3879" w:rsidRPr="0011087E">
        <w:rPr>
          <w:szCs w:val="22"/>
        </w:rPr>
        <w:t xml:space="preserve"> riociguat PSD</w:t>
      </w:r>
      <w:r w:rsidR="007E7C5B" w:rsidRPr="00301710">
        <w:rPr>
          <w:szCs w:val="22"/>
        </w:rPr>
        <w:t>,</w:t>
      </w:r>
      <w:r w:rsidR="002F36A9" w:rsidRPr="00301710">
        <w:rPr>
          <w:szCs w:val="22"/>
        </w:rPr>
        <w:t xml:space="preserve"> paragraph 7.4).</w:t>
      </w:r>
    </w:p>
    <w:p w:rsidR="002F36A9" w:rsidRPr="004A1EE3" w:rsidRDefault="002F36A9" w:rsidP="000A0288">
      <w:pPr>
        <w:widowControl/>
        <w:rPr>
          <w:szCs w:val="22"/>
        </w:rPr>
      </w:pPr>
    </w:p>
    <w:p w:rsidR="002F36A9" w:rsidRPr="009F219E" w:rsidRDefault="002F36A9" w:rsidP="000A0288">
      <w:pPr>
        <w:pStyle w:val="ListParagraph"/>
        <w:widowControl/>
        <w:numPr>
          <w:ilvl w:val="1"/>
          <w:numId w:val="2"/>
        </w:numPr>
        <w:rPr>
          <w:szCs w:val="22"/>
        </w:rPr>
      </w:pPr>
      <w:r>
        <w:rPr>
          <w:szCs w:val="22"/>
        </w:rPr>
        <w:t xml:space="preserve">The PBAC concluded that an economic evaluation was the most appropriate option for determining cost effectiveness and the value for money of riociguat treatment </w:t>
      </w:r>
      <w:r w:rsidR="005D08A7">
        <w:rPr>
          <w:szCs w:val="22"/>
        </w:rPr>
        <w:t>for</w:t>
      </w:r>
      <w:r>
        <w:rPr>
          <w:szCs w:val="22"/>
        </w:rPr>
        <w:t xml:space="preserve"> patients with CTEPH, relative to placebo, was unknown (</w:t>
      </w:r>
      <w:r w:rsidRPr="0011087E">
        <w:rPr>
          <w:szCs w:val="22"/>
        </w:rPr>
        <w:t>November 2014</w:t>
      </w:r>
      <w:r w:rsidR="005B3879" w:rsidRPr="0011087E">
        <w:rPr>
          <w:szCs w:val="22"/>
        </w:rPr>
        <w:t xml:space="preserve"> riociguat PSD</w:t>
      </w:r>
      <w:r>
        <w:rPr>
          <w:szCs w:val="22"/>
        </w:rPr>
        <w:t>, paragraph 7.</w:t>
      </w:r>
      <w:r w:rsidR="005D08A7">
        <w:rPr>
          <w:szCs w:val="22"/>
        </w:rPr>
        <w:t>5</w:t>
      </w:r>
      <w:r>
        <w:rPr>
          <w:szCs w:val="22"/>
        </w:rPr>
        <w:t>).</w:t>
      </w:r>
      <w:r w:rsidR="006B5090">
        <w:rPr>
          <w:szCs w:val="22"/>
        </w:rPr>
        <w:t xml:space="preserve"> </w:t>
      </w:r>
      <w:r>
        <w:rPr>
          <w:szCs w:val="22"/>
        </w:rPr>
        <w:t>This issue has been addressed in the re-submission with the presentation of a cost utility analysis for the comparison of riociguat and placebo (refer to economic analyses for further details and comments).</w:t>
      </w:r>
      <w:r w:rsidR="006B5090">
        <w:rPr>
          <w:szCs w:val="22"/>
        </w:rPr>
        <w:t xml:space="preserve"> </w:t>
      </w:r>
      <w:r>
        <w:rPr>
          <w:szCs w:val="22"/>
        </w:rPr>
        <w:t>Other relevant PBAC comments and changes i</w:t>
      </w:r>
      <w:r w:rsidRPr="00342FA4">
        <w:rPr>
          <w:szCs w:val="22"/>
        </w:rPr>
        <w:t xml:space="preserve">n the re-submission are summarised in Attachment </w:t>
      </w:r>
      <w:r w:rsidR="00775E7B" w:rsidRPr="00342FA4">
        <w:rPr>
          <w:szCs w:val="22"/>
        </w:rPr>
        <w:t>B</w:t>
      </w:r>
      <w:r w:rsidRPr="00342FA4">
        <w:rPr>
          <w:szCs w:val="22"/>
        </w:rPr>
        <w:t>.</w:t>
      </w:r>
    </w:p>
    <w:p w:rsidR="006B5090" w:rsidRDefault="006B5090" w:rsidP="000A0288">
      <w:pPr>
        <w:widowControl/>
      </w:pPr>
    </w:p>
    <w:p w:rsidR="002F36A9" w:rsidRDefault="00E66A98" w:rsidP="000A0288">
      <w:pPr>
        <w:widowControl/>
        <w:ind w:firstLine="720"/>
        <w:rPr>
          <w:i/>
          <w:szCs w:val="22"/>
        </w:rPr>
      </w:pPr>
      <w:r w:rsidRPr="007905A9">
        <w:rPr>
          <w:i/>
          <w:szCs w:val="22"/>
        </w:rPr>
        <w:t>For more detail on PBAC’s view, see section 7 “PBAC outcome”</w:t>
      </w:r>
    </w:p>
    <w:p w:rsidR="00C572EF" w:rsidRDefault="00C572EF" w:rsidP="000A0288">
      <w:pPr>
        <w:widowControl/>
        <w:ind w:firstLine="720"/>
      </w:pPr>
    </w:p>
    <w:p w:rsidR="006A795E" w:rsidRPr="00882085" w:rsidRDefault="006A795E" w:rsidP="000A0288">
      <w:pPr>
        <w:widowControl/>
        <w:ind w:firstLine="720"/>
      </w:pPr>
    </w:p>
    <w:p w:rsidR="002F36A9" w:rsidRPr="00407F2D" w:rsidRDefault="002F36A9" w:rsidP="000A0288">
      <w:pPr>
        <w:pStyle w:val="PBACHeading1"/>
        <w:keepNext/>
      </w:pPr>
      <w:bookmarkStart w:id="8" w:name="_Toc416959984"/>
      <w:bookmarkStart w:id="9" w:name="_Toc419206867"/>
      <w:r w:rsidRPr="00407F2D">
        <w:t>Clinical place for the proposed therapy</w:t>
      </w:r>
      <w:bookmarkEnd w:id="8"/>
      <w:bookmarkEnd w:id="9"/>
    </w:p>
    <w:p w:rsidR="002F36A9" w:rsidRPr="00882085" w:rsidRDefault="002F36A9" w:rsidP="000A0288">
      <w:pPr>
        <w:keepNext/>
        <w:widowControl/>
        <w:rPr>
          <w:szCs w:val="22"/>
        </w:rPr>
      </w:pPr>
    </w:p>
    <w:p w:rsidR="002F36A9" w:rsidRPr="00B50DB8" w:rsidRDefault="005D08A7" w:rsidP="000A0288">
      <w:pPr>
        <w:pStyle w:val="ListParagraph"/>
        <w:widowControl/>
        <w:numPr>
          <w:ilvl w:val="1"/>
          <w:numId w:val="2"/>
        </w:numPr>
        <w:rPr>
          <w:szCs w:val="22"/>
        </w:rPr>
      </w:pPr>
      <w:r>
        <w:rPr>
          <w:szCs w:val="22"/>
        </w:rPr>
        <w:t>CTEPH</w:t>
      </w:r>
      <w:r w:rsidR="002F36A9">
        <w:rPr>
          <w:szCs w:val="22"/>
        </w:rPr>
        <w:t xml:space="preserve"> is a progressive disease where </w:t>
      </w:r>
      <w:r w:rsidR="001D3574">
        <w:rPr>
          <w:szCs w:val="22"/>
        </w:rPr>
        <w:t>PVR</w:t>
      </w:r>
      <w:r w:rsidR="002F36A9">
        <w:rPr>
          <w:szCs w:val="22"/>
        </w:rPr>
        <w:t xml:space="preserve"> increases progressively</w:t>
      </w:r>
      <w:r w:rsidR="00C83057">
        <w:rPr>
          <w:szCs w:val="22"/>
        </w:rPr>
        <w:t>,</w:t>
      </w:r>
      <w:r w:rsidR="002F36A9">
        <w:rPr>
          <w:szCs w:val="22"/>
        </w:rPr>
        <w:t xml:space="preserve"> ultimately resulting in right heart failure and death</w:t>
      </w:r>
      <w:r w:rsidR="00C83057">
        <w:rPr>
          <w:szCs w:val="22"/>
        </w:rPr>
        <w:t>.</w:t>
      </w:r>
    </w:p>
    <w:p w:rsidR="002F36A9" w:rsidRPr="002C2775" w:rsidRDefault="002F36A9" w:rsidP="000A0288">
      <w:pPr>
        <w:widowControl/>
        <w:rPr>
          <w:szCs w:val="22"/>
        </w:rPr>
      </w:pPr>
    </w:p>
    <w:p w:rsidR="002F36A9" w:rsidRPr="00B50DB8" w:rsidRDefault="002F36A9" w:rsidP="000A0288">
      <w:pPr>
        <w:pStyle w:val="ListParagraph"/>
        <w:widowControl/>
        <w:numPr>
          <w:ilvl w:val="1"/>
          <w:numId w:val="2"/>
        </w:numPr>
        <w:rPr>
          <w:szCs w:val="22"/>
        </w:rPr>
      </w:pPr>
      <w:r w:rsidRPr="00BF0C1F">
        <w:rPr>
          <w:szCs w:val="22"/>
        </w:rPr>
        <w:t>PEA</w:t>
      </w:r>
      <w:r>
        <w:rPr>
          <w:szCs w:val="22"/>
        </w:rPr>
        <w:t xml:space="preserve"> is a potentially curative surgical intervention for CTEPH</w:t>
      </w:r>
      <w:r w:rsidRPr="00DD3FE1">
        <w:rPr>
          <w:szCs w:val="22"/>
        </w:rPr>
        <w:t>.</w:t>
      </w:r>
      <w:r w:rsidR="006B5090">
        <w:rPr>
          <w:color w:val="3366FF"/>
          <w:szCs w:val="22"/>
        </w:rPr>
        <w:t xml:space="preserve"> </w:t>
      </w:r>
      <w:r>
        <w:rPr>
          <w:szCs w:val="22"/>
        </w:rPr>
        <w:t xml:space="preserve">The re-submission proposes that riociguat be used </w:t>
      </w:r>
      <w:r w:rsidR="005D08A7">
        <w:rPr>
          <w:szCs w:val="22"/>
        </w:rPr>
        <w:t>for patients</w:t>
      </w:r>
      <w:r>
        <w:rPr>
          <w:szCs w:val="22"/>
        </w:rPr>
        <w:t xml:space="preserve"> who cannot receive PEA (inoperable) or those who have persistent CTEPH </w:t>
      </w:r>
      <w:r w:rsidR="00D21D27">
        <w:rPr>
          <w:szCs w:val="22"/>
        </w:rPr>
        <w:t xml:space="preserve">following </w:t>
      </w:r>
      <w:r>
        <w:rPr>
          <w:szCs w:val="22"/>
        </w:rPr>
        <w:t>surgery, replacing either no treatment (placebo) or medical therapies.</w:t>
      </w:r>
      <w:r w:rsidR="006B5090">
        <w:rPr>
          <w:szCs w:val="22"/>
        </w:rPr>
        <w:t xml:space="preserve"> </w:t>
      </w:r>
      <w:r w:rsidRPr="00BF0C1F">
        <w:rPr>
          <w:szCs w:val="22"/>
        </w:rPr>
        <w:t xml:space="preserve">Currently, medical therapy may include the use of PAH drugs such as </w:t>
      </w:r>
      <w:proofErr w:type="spellStart"/>
      <w:r w:rsidRPr="00BF0C1F">
        <w:rPr>
          <w:szCs w:val="22"/>
        </w:rPr>
        <w:t>bosentan</w:t>
      </w:r>
      <w:proofErr w:type="spellEnd"/>
      <w:r w:rsidRPr="00BF0C1F">
        <w:rPr>
          <w:szCs w:val="22"/>
        </w:rPr>
        <w:t xml:space="preserve"> and sildenafil</w:t>
      </w:r>
      <w:r>
        <w:rPr>
          <w:szCs w:val="22"/>
        </w:rPr>
        <w:t>.</w:t>
      </w:r>
    </w:p>
    <w:p w:rsidR="002F36A9" w:rsidRPr="002C2775" w:rsidRDefault="002F36A9" w:rsidP="000A0288">
      <w:pPr>
        <w:widowControl/>
        <w:rPr>
          <w:szCs w:val="22"/>
        </w:rPr>
      </w:pPr>
    </w:p>
    <w:p w:rsidR="002F36A9" w:rsidRPr="007905A9" w:rsidRDefault="00E66A98" w:rsidP="000A0288">
      <w:pPr>
        <w:widowControl/>
        <w:ind w:firstLine="720"/>
        <w:rPr>
          <w:i/>
          <w:szCs w:val="22"/>
        </w:rPr>
      </w:pPr>
      <w:r w:rsidRPr="007905A9">
        <w:rPr>
          <w:i/>
          <w:szCs w:val="22"/>
        </w:rPr>
        <w:t>For more detail on PBAC’s view, see section 7 “PBAC outcome”</w:t>
      </w:r>
    </w:p>
    <w:p w:rsidR="00E66A98" w:rsidRDefault="00E66A98" w:rsidP="000A0288">
      <w:pPr>
        <w:pStyle w:val="Header"/>
        <w:widowControl/>
        <w:rPr>
          <w:szCs w:val="22"/>
        </w:rPr>
      </w:pPr>
    </w:p>
    <w:p w:rsidR="004126D3" w:rsidRPr="00882085" w:rsidRDefault="004126D3" w:rsidP="000A0288">
      <w:pPr>
        <w:pStyle w:val="Header"/>
        <w:widowControl/>
        <w:rPr>
          <w:szCs w:val="22"/>
        </w:rPr>
      </w:pPr>
    </w:p>
    <w:p w:rsidR="002F36A9" w:rsidRPr="00406613" w:rsidRDefault="002F36A9" w:rsidP="004126D3">
      <w:pPr>
        <w:pStyle w:val="PBACHeading1"/>
        <w:keepNext/>
      </w:pPr>
      <w:bookmarkStart w:id="10" w:name="_Toc419206868"/>
      <w:r w:rsidRPr="00407F2D">
        <w:lastRenderedPageBreak/>
        <w:t>Comparator</w:t>
      </w:r>
      <w:bookmarkEnd w:id="10"/>
    </w:p>
    <w:p w:rsidR="002F36A9" w:rsidRPr="00882085" w:rsidRDefault="002F36A9" w:rsidP="004126D3">
      <w:pPr>
        <w:keepNext/>
        <w:widowControl/>
      </w:pPr>
    </w:p>
    <w:p w:rsidR="002F36A9" w:rsidRPr="00BF0C1F" w:rsidRDefault="002F36A9" w:rsidP="000A0288">
      <w:pPr>
        <w:pStyle w:val="ListParagraph"/>
        <w:widowControl/>
        <w:numPr>
          <w:ilvl w:val="1"/>
          <w:numId w:val="2"/>
        </w:numPr>
        <w:rPr>
          <w:szCs w:val="22"/>
        </w:rPr>
      </w:pPr>
      <w:r>
        <w:t>As in the November 2014 submission, the re-submission nominate</w:t>
      </w:r>
      <w:r w:rsidR="004111F1">
        <w:t>d</w:t>
      </w:r>
      <w:r>
        <w:t xml:space="preserve"> placebo as the main comparator</w:t>
      </w:r>
      <w:r w:rsidRPr="00BF0C1F">
        <w:rPr>
          <w:color w:val="3366FF"/>
        </w:rPr>
        <w:t>.</w:t>
      </w:r>
      <w:r w:rsidR="006B5090">
        <w:rPr>
          <w:color w:val="3366FF"/>
        </w:rPr>
        <w:t xml:space="preserve"> </w:t>
      </w:r>
      <w:r w:rsidRPr="00026C03">
        <w:t xml:space="preserve">The PBAC previously accepted placebo as the main comparator, although noted that in clinical practice, other PAH treatments such as </w:t>
      </w:r>
      <w:proofErr w:type="spellStart"/>
      <w:r w:rsidRPr="00026C03">
        <w:t>bosentan</w:t>
      </w:r>
      <w:proofErr w:type="spellEnd"/>
      <w:r w:rsidRPr="00026C03">
        <w:t xml:space="preserve"> and sildenafil may be used off-label (</w:t>
      </w:r>
      <w:r w:rsidRPr="0011087E">
        <w:t>November 2014</w:t>
      </w:r>
      <w:r w:rsidR="005B3879" w:rsidRPr="0011087E">
        <w:t xml:space="preserve"> </w:t>
      </w:r>
      <w:r w:rsidR="005B3879" w:rsidRPr="0011087E">
        <w:rPr>
          <w:szCs w:val="22"/>
        </w:rPr>
        <w:t>riociguat PSD</w:t>
      </w:r>
      <w:r w:rsidRPr="00026C03">
        <w:t>, paragraph 7.2).</w:t>
      </w:r>
      <w:r w:rsidR="00D21D27">
        <w:t xml:space="preserve"> </w:t>
      </w:r>
      <w:r w:rsidR="00D21D27" w:rsidRPr="0010318E">
        <w:t xml:space="preserve">The ESC </w:t>
      </w:r>
      <w:r w:rsidR="00B16B17" w:rsidRPr="0010318E">
        <w:t>considered</w:t>
      </w:r>
      <w:r w:rsidR="00D21D27" w:rsidRPr="0010318E">
        <w:t xml:space="preserve"> that placebo </w:t>
      </w:r>
      <w:r w:rsidR="00B16B17" w:rsidRPr="0010318E">
        <w:t>was</w:t>
      </w:r>
      <w:r w:rsidR="00D21D27" w:rsidRPr="0010318E">
        <w:t xml:space="preserve"> the appropriate comparator.</w:t>
      </w:r>
    </w:p>
    <w:p w:rsidR="002F36A9" w:rsidRDefault="002F36A9" w:rsidP="000A0288">
      <w:pPr>
        <w:widowControl/>
        <w:rPr>
          <w:szCs w:val="22"/>
        </w:rPr>
      </w:pPr>
    </w:p>
    <w:p w:rsidR="00F90F64" w:rsidRDefault="00E66A98" w:rsidP="000A0288">
      <w:pPr>
        <w:widowControl/>
        <w:ind w:firstLine="720"/>
        <w:rPr>
          <w:i/>
          <w:szCs w:val="22"/>
        </w:rPr>
      </w:pPr>
      <w:r w:rsidRPr="007905A9">
        <w:rPr>
          <w:i/>
          <w:szCs w:val="22"/>
        </w:rPr>
        <w:t>For more detail on PBAC’s view, see section 7 “PBAC outcome”</w:t>
      </w:r>
    </w:p>
    <w:p w:rsidR="00E66A98" w:rsidRDefault="00E66A98" w:rsidP="000A0288">
      <w:pPr>
        <w:widowControl/>
        <w:ind w:firstLine="720"/>
        <w:rPr>
          <w:szCs w:val="22"/>
        </w:rPr>
      </w:pPr>
    </w:p>
    <w:p w:rsidR="006A795E" w:rsidRPr="00BF0C1F" w:rsidRDefault="006A795E" w:rsidP="000A0288">
      <w:pPr>
        <w:widowControl/>
        <w:ind w:firstLine="720"/>
        <w:rPr>
          <w:szCs w:val="22"/>
        </w:rPr>
      </w:pPr>
    </w:p>
    <w:p w:rsidR="002F36A9" w:rsidRDefault="002F36A9" w:rsidP="000A0288">
      <w:pPr>
        <w:pStyle w:val="PBACHeading1"/>
      </w:pPr>
      <w:bookmarkStart w:id="11" w:name="_Toc416959985"/>
      <w:bookmarkStart w:id="12" w:name="_Toc419206869"/>
      <w:r>
        <w:t>C</w:t>
      </w:r>
      <w:r w:rsidRPr="00407F2D">
        <w:t>onsideration of the evidence</w:t>
      </w:r>
      <w:bookmarkEnd w:id="11"/>
      <w:bookmarkEnd w:id="12"/>
    </w:p>
    <w:p w:rsidR="002B102C" w:rsidRPr="00407F2D" w:rsidRDefault="002B102C" w:rsidP="000A0288">
      <w:pPr>
        <w:pStyle w:val="PBACHeading1"/>
        <w:numPr>
          <w:ilvl w:val="0"/>
          <w:numId w:val="0"/>
        </w:numPr>
      </w:pPr>
    </w:p>
    <w:p w:rsidR="00E66A98" w:rsidRPr="00B24622" w:rsidRDefault="00E66A98" w:rsidP="00B24622">
      <w:pPr>
        <w:pStyle w:val="Heading2"/>
        <w:rPr>
          <w:highlight w:val="yellow"/>
        </w:rPr>
      </w:pPr>
      <w:r w:rsidRPr="00B24622">
        <w:t>Sponsor hearing</w:t>
      </w:r>
    </w:p>
    <w:p w:rsidR="00E66A98" w:rsidRPr="002B102C" w:rsidRDefault="00E66A98" w:rsidP="000A0288">
      <w:pPr>
        <w:widowControl/>
        <w:numPr>
          <w:ilvl w:val="1"/>
          <w:numId w:val="2"/>
        </w:numPr>
        <w:contextualSpacing/>
        <w:rPr>
          <w:bCs/>
          <w:szCs w:val="22"/>
        </w:rPr>
      </w:pPr>
      <w:r w:rsidRPr="002B102C">
        <w:rPr>
          <w:bCs/>
          <w:szCs w:val="22"/>
        </w:rPr>
        <w:t>There was no hear</w:t>
      </w:r>
      <w:r w:rsidR="002B102C" w:rsidRPr="002B102C">
        <w:rPr>
          <w:bCs/>
          <w:szCs w:val="22"/>
        </w:rPr>
        <w:t>ing for this item</w:t>
      </w:r>
      <w:r w:rsidRPr="002B102C">
        <w:rPr>
          <w:bCs/>
          <w:szCs w:val="22"/>
        </w:rPr>
        <w:t>.</w:t>
      </w:r>
    </w:p>
    <w:p w:rsidR="00E66A98" w:rsidRPr="002B102C" w:rsidRDefault="00E66A98" w:rsidP="000A0288">
      <w:pPr>
        <w:widowControl/>
        <w:rPr>
          <w:bCs/>
          <w:szCs w:val="22"/>
        </w:rPr>
      </w:pPr>
    </w:p>
    <w:p w:rsidR="00E66A98" w:rsidRPr="00B24622" w:rsidRDefault="00E66A98" w:rsidP="00B24622">
      <w:pPr>
        <w:pStyle w:val="Heading2"/>
      </w:pPr>
      <w:r w:rsidRPr="00B24622">
        <w:t>Consumer comments</w:t>
      </w:r>
    </w:p>
    <w:p w:rsidR="00E66A98" w:rsidRDefault="002B102C" w:rsidP="000A0288">
      <w:pPr>
        <w:widowControl/>
        <w:numPr>
          <w:ilvl w:val="1"/>
          <w:numId w:val="2"/>
        </w:numPr>
        <w:contextualSpacing/>
        <w:rPr>
          <w:bCs/>
          <w:szCs w:val="22"/>
        </w:rPr>
      </w:pPr>
      <w:r w:rsidRPr="00AD0A5B">
        <w:rPr>
          <w:bCs/>
          <w:szCs w:val="22"/>
        </w:rPr>
        <w:t>The PBAC noted and welcomed the input from individuals (12)</w:t>
      </w:r>
      <w:r w:rsidR="00F25362" w:rsidRPr="00AD0A5B">
        <w:rPr>
          <w:bCs/>
          <w:szCs w:val="22"/>
        </w:rPr>
        <w:t xml:space="preserve"> and</w:t>
      </w:r>
      <w:r w:rsidRPr="00AD0A5B">
        <w:rPr>
          <w:bCs/>
          <w:szCs w:val="22"/>
        </w:rPr>
        <w:t xml:space="preserve"> health care professionals (5) via the Consumer Comments facility on the PBS website.  The comments described a range of benefits of treatment with riociguat, including improved quality of life and functional capacity and improved life expectancy. It was noted that</w:t>
      </w:r>
      <w:r w:rsidR="00CD1775" w:rsidRPr="00AD0A5B">
        <w:rPr>
          <w:bCs/>
          <w:szCs w:val="22"/>
        </w:rPr>
        <w:t xml:space="preserve"> </w:t>
      </w:r>
      <w:r w:rsidRPr="00AD0A5B">
        <w:rPr>
          <w:bCs/>
          <w:szCs w:val="22"/>
        </w:rPr>
        <w:t xml:space="preserve">the cost of non-reimbursed riociguat </w:t>
      </w:r>
      <w:r w:rsidR="00CD1775" w:rsidRPr="00AD0A5B">
        <w:rPr>
          <w:bCs/>
          <w:szCs w:val="22"/>
        </w:rPr>
        <w:t xml:space="preserve">currently </w:t>
      </w:r>
      <w:r w:rsidRPr="00AD0A5B">
        <w:rPr>
          <w:bCs/>
          <w:szCs w:val="22"/>
        </w:rPr>
        <w:t>limits patient access</w:t>
      </w:r>
      <w:r w:rsidR="00CD1775" w:rsidRPr="00AD0A5B">
        <w:rPr>
          <w:bCs/>
          <w:szCs w:val="22"/>
        </w:rPr>
        <w:t xml:space="preserve"> to the drug</w:t>
      </w:r>
      <w:r w:rsidRPr="00AD0A5B">
        <w:rPr>
          <w:bCs/>
          <w:szCs w:val="22"/>
        </w:rPr>
        <w:t>.</w:t>
      </w:r>
    </w:p>
    <w:p w:rsidR="00B24622" w:rsidRPr="00AD0A5B" w:rsidRDefault="00B24622" w:rsidP="00B24622">
      <w:pPr>
        <w:widowControl/>
        <w:contextualSpacing/>
        <w:rPr>
          <w:bCs/>
          <w:szCs w:val="22"/>
        </w:rPr>
      </w:pPr>
    </w:p>
    <w:p w:rsidR="002F36A9" w:rsidRPr="002C2775" w:rsidRDefault="002F36A9" w:rsidP="00B24622">
      <w:pPr>
        <w:pStyle w:val="Heading2"/>
      </w:pPr>
      <w:bookmarkStart w:id="13" w:name="_Toc416959986"/>
      <w:bookmarkStart w:id="14" w:name="_Toc419206870"/>
      <w:r w:rsidRPr="002C2775">
        <w:t>Clinical trials</w:t>
      </w:r>
      <w:bookmarkEnd w:id="13"/>
      <w:bookmarkEnd w:id="14"/>
    </w:p>
    <w:p w:rsidR="00D21D27" w:rsidRPr="00D21D27" w:rsidRDefault="002F36A9" w:rsidP="000A0288">
      <w:pPr>
        <w:pStyle w:val="ListParagraph"/>
        <w:widowControl/>
        <w:numPr>
          <w:ilvl w:val="1"/>
          <w:numId w:val="2"/>
        </w:numPr>
        <w:rPr>
          <w:szCs w:val="22"/>
        </w:rPr>
      </w:pPr>
      <w:r>
        <w:t>As with the November 2014 submission, t</w:t>
      </w:r>
      <w:r w:rsidRPr="00862502">
        <w:t xml:space="preserve">he </w:t>
      </w:r>
      <w:r>
        <w:t>re-</w:t>
      </w:r>
      <w:r w:rsidRPr="00862502">
        <w:t xml:space="preserve">submission </w:t>
      </w:r>
      <w:r w:rsidR="00310243">
        <w:t>was</w:t>
      </w:r>
      <w:r w:rsidR="00310243" w:rsidRPr="00862502">
        <w:t xml:space="preserve"> </w:t>
      </w:r>
      <w:r w:rsidRPr="00862502">
        <w:t>based on one head</w:t>
      </w:r>
      <w:r w:rsidR="00D21D27">
        <w:noBreakHyphen/>
      </w:r>
      <w:r w:rsidRPr="00862502">
        <w:t xml:space="preserve">to-head trial </w:t>
      </w:r>
      <w:r>
        <w:t xml:space="preserve">(CHEST-1, n=261) </w:t>
      </w:r>
      <w:r w:rsidRPr="00862502">
        <w:t xml:space="preserve">comparing </w:t>
      </w:r>
      <w:r>
        <w:t>riociguat</w:t>
      </w:r>
      <w:r w:rsidRPr="00862502">
        <w:t xml:space="preserve"> to </w:t>
      </w:r>
      <w:r>
        <w:t>placebo</w:t>
      </w:r>
      <w:r w:rsidRPr="00862502">
        <w:t xml:space="preserve"> </w:t>
      </w:r>
      <w:r>
        <w:t>and one supplementary extension study (CHEST-2, n=182)</w:t>
      </w:r>
      <w:r w:rsidRPr="00862502">
        <w:t>.</w:t>
      </w:r>
      <w:r w:rsidR="006B5090">
        <w:rPr>
          <w:color w:val="3366FF"/>
        </w:rPr>
        <w:t xml:space="preserve"> </w:t>
      </w:r>
      <w:r w:rsidR="00F90F64">
        <w:t>C</w:t>
      </w:r>
      <w:r>
        <w:t xml:space="preserve">hanges to the evidence were presented in the re-submission, which included: </w:t>
      </w:r>
    </w:p>
    <w:p w:rsidR="00D21D27" w:rsidRDefault="00310243" w:rsidP="000A0288">
      <w:pPr>
        <w:pStyle w:val="ListParagraph"/>
        <w:widowControl/>
        <w:numPr>
          <w:ilvl w:val="0"/>
          <w:numId w:val="15"/>
        </w:numPr>
        <w:ind w:left="993" w:hanging="284"/>
      </w:pPr>
      <w:r>
        <w:t>a</w:t>
      </w:r>
      <w:r w:rsidR="002F36A9">
        <w:t xml:space="preserve"> l</w:t>
      </w:r>
      <w:r w:rsidR="002F36A9" w:rsidRPr="00801BAB">
        <w:t xml:space="preserve">iterature review investigating the relationship between the 6MWD, WHO functional class and overall survival; </w:t>
      </w:r>
    </w:p>
    <w:p w:rsidR="00D21D27" w:rsidRDefault="002F36A9" w:rsidP="000A0288">
      <w:pPr>
        <w:pStyle w:val="ListParagraph"/>
        <w:widowControl/>
        <w:numPr>
          <w:ilvl w:val="0"/>
          <w:numId w:val="15"/>
        </w:numPr>
        <w:ind w:left="993" w:hanging="284"/>
      </w:pPr>
      <w:r>
        <w:t>a</w:t>
      </w:r>
      <w:r w:rsidRPr="00801BAB">
        <w:t>dditional post-hoc analyses exploring the predictive nature of WHO functional class and overall survival</w:t>
      </w:r>
      <w:r>
        <w:t xml:space="preserve">; </w:t>
      </w:r>
    </w:p>
    <w:p w:rsidR="00D21D27" w:rsidRDefault="002F36A9" w:rsidP="000A0288">
      <w:pPr>
        <w:pStyle w:val="ListParagraph"/>
        <w:widowControl/>
        <w:numPr>
          <w:ilvl w:val="0"/>
          <w:numId w:val="15"/>
        </w:numPr>
        <w:ind w:left="993" w:hanging="284"/>
      </w:pPr>
      <w:r>
        <w:t>i</w:t>
      </w:r>
      <w:r w:rsidRPr="00801BAB">
        <w:t xml:space="preserve">ndirect comparisons of riociguat vs </w:t>
      </w:r>
      <w:proofErr w:type="spellStart"/>
      <w:r w:rsidRPr="00801BAB">
        <w:t>bosentan</w:t>
      </w:r>
      <w:proofErr w:type="spellEnd"/>
      <w:r w:rsidRPr="00801BAB">
        <w:t xml:space="preserve"> and riociguat vs sildenafil</w:t>
      </w:r>
      <w:r>
        <w:t xml:space="preserve">; </w:t>
      </w:r>
    </w:p>
    <w:p w:rsidR="00D21D27" w:rsidRDefault="006D15B0" w:rsidP="000A0288">
      <w:pPr>
        <w:pStyle w:val="ListParagraph"/>
        <w:widowControl/>
        <w:numPr>
          <w:ilvl w:val="0"/>
          <w:numId w:val="15"/>
        </w:numPr>
        <w:ind w:left="993" w:hanging="284"/>
      </w:pPr>
      <w:r>
        <w:t xml:space="preserve">an updated </w:t>
      </w:r>
      <w:r w:rsidR="002F36A9">
        <w:t xml:space="preserve">periodic safety update report; and </w:t>
      </w:r>
    </w:p>
    <w:p w:rsidR="002F36A9" w:rsidRPr="007D720A" w:rsidRDefault="006D15B0" w:rsidP="000A0288">
      <w:pPr>
        <w:pStyle w:val="ListParagraph"/>
        <w:widowControl/>
        <w:numPr>
          <w:ilvl w:val="0"/>
          <w:numId w:val="15"/>
        </w:numPr>
        <w:ind w:left="993" w:hanging="284"/>
        <w:rPr>
          <w:szCs w:val="22"/>
        </w:rPr>
      </w:pPr>
      <w:proofErr w:type="gramStart"/>
      <w:r>
        <w:t>a</w:t>
      </w:r>
      <w:proofErr w:type="gramEnd"/>
      <w:r>
        <w:t xml:space="preserve"> </w:t>
      </w:r>
      <w:r w:rsidR="002F36A9">
        <w:t>revised clinical claim.</w:t>
      </w:r>
      <w:r w:rsidR="006B5090">
        <w:t xml:space="preserve"> </w:t>
      </w:r>
    </w:p>
    <w:p w:rsidR="002F36A9" w:rsidRPr="00862502" w:rsidRDefault="002F36A9" w:rsidP="000A0288">
      <w:pPr>
        <w:widowControl/>
        <w:rPr>
          <w:szCs w:val="22"/>
        </w:rPr>
      </w:pPr>
    </w:p>
    <w:p w:rsidR="002F36A9" w:rsidRDefault="002F36A9" w:rsidP="000A0288">
      <w:pPr>
        <w:pStyle w:val="ListParagraph"/>
        <w:widowControl/>
        <w:numPr>
          <w:ilvl w:val="1"/>
          <w:numId w:val="2"/>
        </w:numPr>
        <w:rPr>
          <w:szCs w:val="22"/>
        </w:rPr>
      </w:pPr>
      <w:r w:rsidRPr="009A7914">
        <w:rPr>
          <w:szCs w:val="22"/>
        </w:rPr>
        <w:t xml:space="preserve">Details of the trials presented in the </w:t>
      </w:r>
      <w:r w:rsidR="00B66FC4">
        <w:rPr>
          <w:szCs w:val="22"/>
        </w:rPr>
        <w:t>re-</w:t>
      </w:r>
      <w:r w:rsidRPr="009A7914">
        <w:rPr>
          <w:szCs w:val="22"/>
        </w:rPr>
        <w:t xml:space="preserve">submission are provided in the </w:t>
      </w:r>
      <w:r w:rsidR="006D15B0">
        <w:rPr>
          <w:szCs w:val="22"/>
        </w:rPr>
        <w:t xml:space="preserve">following </w:t>
      </w:r>
      <w:r w:rsidRPr="009A7914">
        <w:rPr>
          <w:szCs w:val="22"/>
        </w:rPr>
        <w:t>table.</w:t>
      </w:r>
      <w:r w:rsidR="006B5090">
        <w:rPr>
          <w:szCs w:val="22"/>
        </w:rPr>
        <w:t xml:space="preserve"> </w:t>
      </w:r>
    </w:p>
    <w:p w:rsidR="002F36A9" w:rsidRPr="009A7914" w:rsidRDefault="002F36A9" w:rsidP="000A0288">
      <w:pPr>
        <w:widowControl/>
        <w:rPr>
          <w:szCs w:val="22"/>
        </w:rPr>
      </w:pPr>
    </w:p>
    <w:p w:rsidR="002F36A9" w:rsidRDefault="002F36A9" w:rsidP="000A0288">
      <w:pPr>
        <w:keepNext/>
        <w:widowControl/>
        <w:ind w:firstLine="720"/>
        <w:rPr>
          <w:rStyle w:val="CommentReference"/>
        </w:rPr>
      </w:pPr>
      <w:r w:rsidRPr="000812CA">
        <w:rPr>
          <w:rStyle w:val="CommentReference"/>
        </w:rPr>
        <w:lastRenderedPageBreak/>
        <w:t xml:space="preserve">Table </w:t>
      </w:r>
      <w:r>
        <w:rPr>
          <w:rStyle w:val="CommentReference"/>
        </w:rPr>
        <w:t>1</w:t>
      </w:r>
      <w:r w:rsidRPr="000812CA">
        <w:rPr>
          <w:rStyle w:val="CommentReference"/>
        </w:rPr>
        <w:t xml:space="preserve">: Trials and associated reports presented in the </w:t>
      </w:r>
      <w:r>
        <w:rPr>
          <w:rStyle w:val="CommentReference"/>
        </w:rPr>
        <w:t>re-</w:t>
      </w:r>
      <w:r w:rsidRPr="000812CA">
        <w:rPr>
          <w:rStyle w:val="CommentReference"/>
        </w:rPr>
        <w:t>submission</w:t>
      </w:r>
    </w:p>
    <w:tbl>
      <w:tblPr>
        <w:tblW w:w="842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79"/>
        <w:gridCol w:w="6125"/>
        <w:gridCol w:w="1617"/>
      </w:tblGrid>
      <w:tr w:rsidR="002F36A9" w:rsidRPr="004E2ADC" w:rsidTr="002F36A9">
        <w:tc>
          <w:tcPr>
            <w:tcW w:w="679" w:type="dxa"/>
          </w:tcPr>
          <w:p w:rsidR="002F36A9" w:rsidRPr="004E2ADC" w:rsidRDefault="002F36A9" w:rsidP="000A0288">
            <w:pPr>
              <w:keepNext/>
              <w:widowControl/>
              <w:jc w:val="left"/>
              <w:rPr>
                <w:rFonts w:ascii="Arial Narrow" w:hAnsi="Arial Narrow"/>
                <w:b/>
                <w:sz w:val="20"/>
              </w:rPr>
            </w:pPr>
            <w:r w:rsidRPr="004E2ADC">
              <w:rPr>
                <w:rFonts w:ascii="Arial Narrow" w:hAnsi="Arial Narrow"/>
                <w:b/>
                <w:sz w:val="20"/>
              </w:rPr>
              <w:t>Trial ID</w:t>
            </w:r>
          </w:p>
        </w:tc>
        <w:tc>
          <w:tcPr>
            <w:tcW w:w="6125" w:type="dxa"/>
          </w:tcPr>
          <w:p w:rsidR="002F36A9" w:rsidRPr="004E2ADC" w:rsidRDefault="002F36A9" w:rsidP="000A0288">
            <w:pPr>
              <w:keepNext/>
              <w:widowControl/>
              <w:jc w:val="center"/>
              <w:rPr>
                <w:rFonts w:ascii="Arial Narrow" w:hAnsi="Arial Narrow"/>
                <w:b/>
                <w:sz w:val="20"/>
              </w:rPr>
            </w:pPr>
            <w:r w:rsidRPr="004E2ADC">
              <w:rPr>
                <w:rFonts w:ascii="Arial Narrow" w:hAnsi="Arial Narrow"/>
                <w:b/>
                <w:sz w:val="20"/>
              </w:rPr>
              <w:t>Protocol title/ Publication title</w:t>
            </w:r>
          </w:p>
        </w:tc>
        <w:tc>
          <w:tcPr>
            <w:tcW w:w="1617" w:type="dxa"/>
          </w:tcPr>
          <w:p w:rsidR="002F36A9" w:rsidRPr="004E2ADC" w:rsidRDefault="002F36A9" w:rsidP="000A0288">
            <w:pPr>
              <w:keepNext/>
              <w:widowControl/>
              <w:jc w:val="center"/>
              <w:rPr>
                <w:rFonts w:ascii="Arial Narrow" w:hAnsi="Arial Narrow"/>
                <w:b/>
                <w:sz w:val="20"/>
              </w:rPr>
            </w:pPr>
            <w:r w:rsidRPr="004E2ADC">
              <w:rPr>
                <w:rFonts w:ascii="Arial Narrow" w:hAnsi="Arial Narrow"/>
                <w:b/>
                <w:sz w:val="20"/>
              </w:rPr>
              <w:t>Publication citation</w:t>
            </w:r>
          </w:p>
        </w:tc>
      </w:tr>
      <w:tr w:rsidR="002F36A9" w:rsidRPr="004E2ADC" w:rsidTr="002F36A9">
        <w:tc>
          <w:tcPr>
            <w:tcW w:w="8421" w:type="dxa"/>
            <w:gridSpan w:val="3"/>
            <w:tcBorders>
              <w:bottom w:val="single" w:sz="4" w:space="0" w:color="auto"/>
            </w:tcBorders>
          </w:tcPr>
          <w:p w:rsidR="002F36A9" w:rsidRPr="004E2ADC" w:rsidRDefault="002F36A9" w:rsidP="000A0288">
            <w:pPr>
              <w:keepNext/>
              <w:widowControl/>
              <w:jc w:val="left"/>
              <w:rPr>
                <w:rFonts w:ascii="Arial Narrow" w:hAnsi="Arial Narrow"/>
                <w:b/>
                <w:sz w:val="20"/>
              </w:rPr>
            </w:pPr>
            <w:r w:rsidRPr="004E2ADC">
              <w:rPr>
                <w:rFonts w:ascii="Arial Narrow" w:hAnsi="Arial Narrow"/>
                <w:b/>
                <w:sz w:val="20"/>
              </w:rPr>
              <w:t>Direct randomised trial</w:t>
            </w:r>
          </w:p>
        </w:tc>
      </w:tr>
      <w:tr w:rsidR="002F36A9" w:rsidRPr="004E2ADC" w:rsidTr="002F36A9">
        <w:tc>
          <w:tcPr>
            <w:tcW w:w="679" w:type="dxa"/>
            <w:tcBorders>
              <w:bottom w:val="nil"/>
            </w:tcBorders>
          </w:tcPr>
          <w:p w:rsidR="002F36A9" w:rsidRPr="004E2ADC" w:rsidRDefault="002F36A9" w:rsidP="000A0288">
            <w:pPr>
              <w:keepNext/>
              <w:widowControl/>
              <w:jc w:val="left"/>
              <w:rPr>
                <w:rFonts w:ascii="Arial Narrow" w:hAnsi="Arial Narrow"/>
                <w:sz w:val="20"/>
              </w:rPr>
            </w:pPr>
            <w:r>
              <w:rPr>
                <w:rFonts w:ascii="Arial Narrow" w:hAnsi="Arial Narrow"/>
                <w:sz w:val="20"/>
              </w:rPr>
              <w:t>CHEST-1</w:t>
            </w:r>
          </w:p>
        </w:tc>
        <w:tc>
          <w:tcPr>
            <w:tcW w:w="6125" w:type="dxa"/>
            <w:tcBorders>
              <w:bottom w:val="nil"/>
            </w:tcBorders>
          </w:tcPr>
          <w:p w:rsidR="002F36A9" w:rsidRDefault="002F36A9" w:rsidP="000A0288">
            <w:pPr>
              <w:keepNext/>
              <w:widowControl/>
              <w:jc w:val="left"/>
              <w:rPr>
                <w:rFonts w:ascii="Arial Narrow" w:hAnsi="Arial Narrow"/>
                <w:sz w:val="20"/>
              </w:rPr>
            </w:pPr>
            <w:r w:rsidRPr="00567FC1">
              <w:rPr>
                <w:rFonts w:ascii="Arial Narrow" w:hAnsi="Arial Narrow"/>
                <w:sz w:val="20"/>
              </w:rPr>
              <w:t xml:space="preserve">Randomised, double-blind, placebo-controlled, multicentre, multi-national study to evaluate the efficacy and safety of oral BAY 63-2521 (1 mg, 1.5 mg, 2 mg or 2.5 mg </w:t>
            </w:r>
            <w:proofErr w:type="spellStart"/>
            <w:r w:rsidRPr="00567FC1">
              <w:rPr>
                <w:rFonts w:ascii="Arial Narrow" w:hAnsi="Arial Narrow"/>
                <w:sz w:val="20"/>
              </w:rPr>
              <w:t>tid</w:t>
            </w:r>
            <w:proofErr w:type="spellEnd"/>
            <w:r w:rsidRPr="00567FC1">
              <w:rPr>
                <w:rFonts w:ascii="Arial Narrow" w:hAnsi="Arial Narrow"/>
                <w:sz w:val="20"/>
              </w:rPr>
              <w:t>) in patients with chronic thromboembolic pulmonary hypertension (CTEPH).</w:t>
            </w:r>
          </w:p>
          <w:p w:rsidR="002F36A9" w:rsidRPr="004E2ADC" w:rsidRDefault="002F36A9" w:rsidP="000A0288">
            <w:pPr>
              <w:keepNext/>
              <w:widowControl/>
              <w:jc w:val="left"/>
              <w:rPr>
                <w:rFonts w:ascii="Arial Narrow" w:hAnsi="Arial Narrow"/>
                <w:b/>
                <w:sz w:val="20"/>
              </w:rPr>
            </w:pPr>
          </w:p>
        </w:tc>
        <w:tc>
          <w:tcPr>
            <w:tcW w:w="1617" w:type="dxa"/>
            <w:tcBorders>
              <w:bottom w:val="nil"/>
            </w:tcBorders>
          </w:tcPr>
          <w:p w:rsidR="002F36A9" w:rsidRDefault="002F36A9" w:rsidP="000A0288">
            <w:pPr>
              <w:keepNext/>
              <w:widowControl/>
              <w:jc w:val="left"/>
              <w:rPr>
                <w:rFonts w:ascii="Arial Narrow" w:hAnsi="Arial Narrow"/>
                <w:sz w:val="20"/>
              </w:rPr>
            </w:pPr>
            <w:r w:rsidRPr="00567FC1">
              <w:rPr>
                <w:rFonts w:ascii="Arial Narrow" w:hAnsi="Arial Narrow"/>
                <w:sz w:val="20"/>
              </w:rPr>
              <w:t>30</w:t>
            </w:r>
            <w:r w:rsidRPr="00567FC1">
              <w:rPr>
                <w:rFonts w:ascii="Arial Narrow" w:hAnsi="Arial Narrow"/>
                <w:sz w:val="20"/>
                <w:vertAlign w:val="superscript"/>
              </w:rPr>
              <w:t>th</w:t>
            </w:r>
            <w:r w:rsidRPr="00567FC1">
              <w:rPr>
                <w:rFonts w:ascii="Arial Narrow" w:hAnsi="Arial Narrow"/>
                <w:sz w:val="20"/>
              </w:rPr>
              <w:t xml:space="preserve"> Oct 2012</w:t>
            </w:r>
          </w:p>
          <w:p w:rsidR="002F36A9" w:rsidRPr="004E2ADC" w:rsidRDefault="002F36A9" w:rsidP="000A0288">
            <w:pPr>
              <w:keepNext/>
              <w:widowControl/>
              <w:jc w:val="left"/>
              <w:rPr>
                <w:rFonts w:ascii="Arial Narrow" w:hAnsi="Arial Narrow"/>
                <w:b/>
                <w:sz w:val="20"/>
              </w:rPr>
            </w:pPr>
          </w:p>
        </w:tc>
      </w:tr>
      <w:tr w:rsidR="002F36A9" w:rsidRPr="004E2ADC" w:rsidTr="002F36A9">
        <w:tc>
          <w:tcPr>
            <w:tcW w:w="679" w:type="dxa"/>
            <w:tcBorders>
              <w:top w:val="nil"/>
              <w:bottom w:val="nil"/>
            </w:tcBorders>
          </w:tcPr>
          <w:p w:rsidR="002F36A9" w:rsidRPr="004E2ADC" w:rsidRDefault="002F36A9" w:rsidP="000A0288">
            <w:pPr>
              <w:keepNext/>
              <w:widowControl/>
              <w:jc w:val="left"/>
              <w:rPr>
                <w:rFonts w:ascii="Arial Narrow" w:hAnsi="Arial Narrow"/>
                <w:sz w:val="20"/>
              </w:rPr>
            </w:pPr>
          </w:p>
        </w:tc>
        <w:tc>
          <w:tcPr>
            <w:tcW w:w="6125" w:type="dxa"/>
            <w:tcBorders>
              <w:top w:val="nil"/>
              <w:bottom w:val="nil"/>
            </w:tcBorders>
          </w:tcPr>
          <w:p w:rsidR="002F36A9" w:rsidRDefault="002F36A9" w:rsidP="000A0288">
            <w:pPr>
              <w:keepNext/>
              <w:widowControl/>
              <w:jc w:val="left"/>
              <w:rPr>
                <w:rFonts w:ascii="Arial Narrow" w:hAnsi="Arial Narrow"/>
                <w:sz w:val="20"/>
              </w:rPr>
            </w:pPr>
            <w:proofErr w:type="spellStart"/>
            <w:r w:rsidRPr="006A7B0D">
              <w:rPr>
                <w:rFonts w:ascii="Arial Narrow" w:hAnsi="Arial Narrow"/>
                <w:sz w:val="20"/>
              </w:rPr>
              <w:t>Ghofrani</w:t>
            </w:r>
            <w:proofErr w:type="spellEnd"/>
            <w:r w:rsidRPr="006A7B0D">
              <w:rPr>
                <w:rFonts w:ascii="Arial Narrow" w:hAnsi="Arial Narrow"/>
                <w:sz w:val="20"/>
              </w:rPr>
              <w:t xml:space="preserve"> HA, </w:t>
            </w:r>
            <w:proofErr w:type="spellStart"/>
            <w:r w:rsidRPr="006A7B0D">
              <w:rPr>
                <w:rFonts w:ascii="Arial Narrow" w:hAnsi="Arial Narrow"/>
                <w:sz w:val="20"/>
              </w:rPr>
              <w:t>D'Armini</w:t>
            </w:r>
            <w:proofErr w:type="spellEnd"/>
            <w:r w:rsidRPr="006A7B0D">
              <w:rPr>
                <w:rFonts w:ascii="Arial Narrow" w:hAnsi="Arial Narrow"/>
                <w:sz w:val="20"/>
              </w:rPr>
              <w:t xml:space="preserve"> AM, </w:t>
            </w:r>
            <w:proofErr w:type="spellStart"/>
            <w:r w:rsidRPr="006A7B0D">
              <w:rPr>
                <w:rFonts w:ascii="Arial Narrow" w:hAnsi="Arial Narrow"/>
                <w:sz w:val="20"/>
              </w:rPr>
              <w:t>Grimminger</w:t>
            </w:r>
            <w:proofErr w:type="spellEnd"/>
            <w:r w:rsidRPr="006A7B0D">
              <w:rPr>
                <w:rFonts w:ascii="Arial Narrow" w:hAnsi="Arial Narrow"/>
                <w:sz w:val="20"/>
              </w:rPr>
              <w:t xml:space="preserve"> F, </w:t>
            </w:r>
            <w:proofErr w:type="spellStart"/>
            <w:r w:rsidRPr="006A7B0D">
              <w:rPr>
                <w:rFonts w:ascii="Arial Narrow" w:hAnsi="Arial Narrow"/>
                <w:sz w:val="20"/>
              </w:rPr>
              <w:t>Hoeper</w:t>
            </w:r>
            <w:proofErr w:type="spellEnd"/>
            <w:r w:rsidRPr="006A7B0D">
              <w:rPr>
                <w:rFonts w:ascii="Arial Narrow" w:hAnsi="Arial Narrow"/>
                <w:sz w:val="20"/>
              </w:rPr>
              <w:t xml:space="preserve"> MM, </w:t>
            </w:r>
            <w:proofErr w:type="spellStart"/>
            <w:r w:rsidRPr="006A7B0D">
              <w:rPr>
                <w:rFonts w:ascii="Arial Narrow" w:hAnsi="Arial Narrow"/>
                <w:sz w:val="20"/>
              </w:rPr>
              <w:t>Jansa</w:t>
            </w:r>
            <w:proofErr w:type="spellEnd"/>
            <w:r w:rsidRPr="006A7B0D">
              <w:rPr>
                <w:rFonts w:ascii="Arial Narrow" w:hAnsi="Arial Narrow"/>
                <w:sz w:val="20"/>
              </w:rPr>
              <w:t xml:space="preserve"> P, Kim NH, Mayer</w:t>
            </w:r>
            <w:r>
              <w:rPr>
                <w:rFonts w:ascii="Arial Narrow" w:hAnsi="Arial Narrow"/>
                <w:sz w:val="20"/>
              </w:rPr>
              <w:t xml:space="preserve"> E</w:t>
            </w:r>
            <w:r w:rsidRPr="006A7B0D">
              <w:rPr>
                <w:rFonts w:ascii="Arial Narrow" w:hAnsi="Arial Narrow"/>
                <w:sz w:val="20"/>
              </w:rPr>
              <w:t xml:space="preserve">, </w:t>
            </w:r>
            <w:proofErr w:type="spellStart"/>
            <w:r w:rsidRPr="006A7B0D">
              <w:rPr>
                <w:rFonts w:ascii="Arial Narrow" w:hAnsi="Arial Narrow"/>
                <w:sz w:val="20"/>
              </w:rPr>
              <w:t>Simonneau</w:t>
            </w:r>
            <w:proofErr w:type="spellEnd"/>
            <w:r>
              <w:rPr>
                <w:rFonts w:ascii="Arial Narrow" w:hAnsi="Arial Narrow"/>
                <w:sz w:val="20"/>
              </w:rPr>
              <w:t xml:space="preserve"> G</w:t>
            </w:r>
            <w:r w:rsidRPr="006A7B0D">
              <w:rPr>
                <w:rFonts w:ascii="Arial Narrow" w:hAnsi="Arial Narrow"/>
                <w:sz w:val="20"/>
              </w:rPr>
              <w:t>, Wilkins</w:t>
            </w:r>
            <w:r>
              <w:rPr>
                <w:rFonts w:ascii="Arial Narrow" w:hAnsi="Arial Narrow"/>
                <w:sz w:val="20"/>
              </w:rPr>
              <w:t xml:space="preserve"> MR, </w:t>
            </w:r>
            <w:r w:rsidRPr="006A7B0D">
              <w:rPr>
                <w:rFonts w:ascii="Arial Narrow" w:hAnsi="Arial Narrow"/>
                <w:sz w:val="20"/>
              </w:rPr>
              <w:t>Fritsch</w:t>
            </w:r>
            <w:r>
              <w:rPr>
                <w:rFonts w:ascii="Arial Narrow" w:hAnsi="Arial Narrow"/>
                <w:sz w:val="20"/>
              </w:rPr>
              <w:t xml:space="preserve"> A</w:t>
            </w:r>
            <w:r w:rsidRPr="006A7B0D">
              <w:rPr>
                <w:rFonts w:ascii="Arial Narrow" w:hAnsi="Arial Narrow"/>
                <w:sz w:val="20"/>
              </w:rPr>
              <w:t xml:space="preserve">, </w:t>
            </w:r>
            <w:proofErr w:type="spellStart"/>
            <w:r w:rsidRPr="006A7B0D">
              <w:rPr>
                <w:rFonts w:ascii="Arial Narrow" w:hAnsi="Arial Narrow"/>
                <w:sz w:val="20"/>
              </w:rPr>
              <w:t>Neuser</w:t>
            </w:r>
            <w:proofErr w:type="spellEnd"/>
            <w:r>
              <w:rPr>
                <w:rFonts w:ascii="Arial Narrow" w:hAnsi="Arial Narrow"/>
                <w:sz w:val="20"/>
              </w:rPr>
              <w:t xml:space="preserve"> D, </w:t>
            </w:r>
            <w:proofErr w:type="spellStart"/>
            <w:r w:rsidRPr="006A7B0D">
              <w:rPr>
                <w:rFonts w:ascii="Arial Narrow" w:hAnsi="Arial Narrow"/>
                <w:sz w:val="20"/>
              </w:rPr>
              <w:t>Weimann</w:t>
            </w:r>
            <w:proofErr w:type="spellEnd"/>
            <w:r>
              <w:rPr>
                <w:rFonts w:ascii="Arial Narrow" w:hAnsi="Arial Narrow"/>
                <w:sz w:val="20"/>
              </w:rPr>
              <w:t xml:space="preserve"> G</w:t>
            </w:r>
            <w:r w:rsidRPr="006A7B0D">
              <w:rPr>
                <w:rFonts w:ascii="Arial Narrow" w:hAnsi="Arial Narrow"/>
                <w:sz w:val="20"/>
              </w:rPr>
              <w:t xml:space="preserve"> and Wang</w:t>
            </w:r>
            <w:r>
              <w:rPr>
                <w:rFonts w:ascii="Arial Narrow" w:hAnsi="Arial Narrow"/>
                <w:sz w:val="20"/>
              </w:rPr>
              <w:t xml:space="preserve"> C</w:t>
            </w:r>
            <w:r w:rsidRPr="006A7B0D">
              <w:rPr>
                <w:rFonts w:ascii="Arial Narrow" w:hAnsi="Arial Narrow"/>
                <w:sz w:val="20"/>
              </w:rPr>
              <w:t>. Riociguat for the treatment of chronic thromboembolic pulmonary hypertension.</w:t>
            </w:r>
          </w:p>
          <w:p w:rsidR="002F36A9" w:rsidRPr="004E2ADC" w:rsidRDefault="002F36A9" w:rsidP="000A0288">
            <w:pPr>
              <w:keepNext/>
              <w:widowControl/>
              <w:jc w:val="left"/>
              <w:rPr>
                <w:rFonts w:ascii="Arial Narrow" w:hAnsi="Arial Narrow"/>
                <w:b/>
                <w:sz w:val="20"/>
              </w:rPr>
            </w:pPr>
          </w:p>
        </w:tc>
        <w:tc>
          <w:tcPr>
            <w:tcW w:w="1617" w:type="dxa"/>
            <w:tcBorders>
              <w:top w:val="nil"/>
              <w:bottom w:val="nil"/>
            </w:tcBorders>
          </w:tcPr>
          <w:p w:rsidR="002F36A9" w:rsidRDefault="002F36A9" w:rsidP="000A0288">
            <w:pPr>
              <w:keepNext/>
              <w:widowControl/>
              <w:jc w:val="left"/>
              <w:rPr>
                <w:rFonts w:ascii="Arial Narrow" w:hAnsi="Arial Narrow"/>
                <w:sz w:val="20"/>
              </w:rPr>
            </w:pPr>
            <w:r w:rsidRPr="006A7B0D">
              <w:rPr>
                <w:rFonts w:ascii="Arial Narrow" w:hAnsi="Arial Narrow"/>
                <w:i/>
                <w:sz w:val="20"/>
              </w:rPr>
              <w:t>New England Journal of Medicine</w:t>
            </w:r>
            <w:r>
              <w:rPr>
                <w:rFonts w:ascii="Arial Narrow" w:hAnsi="Arial Narrow"/>
                <w:i/>
                <w:sz w:val="20"/>
              </w:rPr>
              <w:t>.</w:t>
            </w:r>
            <w:r>
              <w:rPr>
                <w:rFonts w:ascii="Arial Narrow" w:hAnsi="Arial Narrow"/>
                <w:sz w:val="20"/>
              </w:rPr>
              <w:t xml:space="preserve"> 2</w:t>
            </w:r>
            <w:r w:rsidRPr="006A7B0D">
              <w:rPr>
                <w:rFonts w:ascii="Arial Narrow" w:hAnsi="Arial Narrow"/>
                <w:sz w:val="20"/>
              </w:rPr>
              <w:t>013;</w:t>
            </w:r>
            <w:r>
              <w:rPr>
                <w:rFonts w:ascii="Arial Narrow" w:hAnsi="Arial Narrow"/>
                <w:sz w:val="20"/>
              </w:rPr>
              <w:t xml:space="preserve"> </w:t>
            </w:r>
            <w:r w:rsidRPr="006A7B0D">
              <w:rPr>
                <w:rFonts w:ascii="Arial Narrow" w:hAnsi="Arial Narrow"/>
                <w:sz w:val="20"/>
              </w:rPr>
              <w:t>369(4):319-29</w:t>
            </w:r>
          </w:p>
          <w:p w:rsidR="002F36A9" w:rsidRPr="004E2ADC" w:rsidRDefault="002F36A9" w:rsidP="000A0288">
            <w:pPr>
              <w:keepNext/>
              <w:widowControl/>
              <w:jc w:val="left"/>
              <w:rPr>
                <w:rFonts w:ascii="Arial Narrow" w:hAnsi="Arial Narrow"/>
                <w:b/>
                <w:sz w:val="20"/>
              </w:rPr>
            </w:pPr>
          </w:p>
        </w:tc>
      </w:tr>
      <w:tr w:rsidR="002F36A9" w:rsidRPr="004E2ADC" w:rsidTr="002F36A9">
        <w:tc>
          <w:tcPr>
            <w:tcW w:w="679" w:type="dxa"/>
            <w:tcBorders>
              <w:top w:val="nil"/>
              <w:bottom w:val="nil"/>
            </w:tcBorders>
          </w:tcPr>
          <w:p w:rsidR="002F36A9" w:rsidRPr="004E2ADC" w:rsidRDefault="002F36A9" w:rsidP="000A0288">
            <w:pPr>
              <w:keepNext/>
              <w:widowControl/>
              <w:jc w:val="left"/>
              <w:rPr>
                <w:rFonts w:ascii="Arial Narrow" w:hAnsi="Arial Narrow"/>
                <w:sz w:val="20"/>
              </w:rPr>
            </w:pPr>
          </w:p>
        </w:tc>
        <w:tc>
          <w:tcPr>
            <w:tcW w:w="6125" w:type="dxa"/>
            <w:tcBorders>
              <w:top w:val="nil"/>
              <w:bottom w:val="nil"/>
            </w:tcBorders>
          </w:tcPr>
          <w:p w:rsidR="002F36A9" w:rsidRPr="004E2ADC" w:rsidRDefault="002F36A9" w:rsidP="000A0288">
            <w:pPr>
              <w:keepNext/>
              <w:widowControl/>
              <w:jc w:val="left"/>
              <w:rPr>
                <w:rFonts w:ascii="Arial Narrow" w:hAnsi="Arial Narrow"/>
                <w:b/>
                <w:sz w:val="20"/>
              </w:rPr>
            </w:pPr>
            <w:proofErr w:type="spellStart"/>
            <w:r w:rsidRPr="009F4876">
              <w:rPr>
                <w:rFonts w:ascii="Arial Narrow" w:hAnsi="Arial Narrow"/>
                <w:sz w:val="20"/>
              </w:rPr>
              <w:t>Ghofrani</w:t>
            </w:r>
            <w:proofErr w:type="spellEnd"/>
            <w:r w:rsidRPr="009F4876">
              <w:rPr>
                <w:rFonts w:ascii="Arial Narrow" w:hAnsi="Arial Narrow"/>
                <w:sz w:val="20"/>
              </w:rPr>
              <w:t xml:space="preserve"> HA, </w:t>
            </w:r>
            <w:proofErr w:type="spellStart"/>
            <w:r w:rsidRPr="009F4876">
              <w:rPr>
                <w:rFonts w:ascii="Arial Narrow" w:hAnsi="Arial Narrow"/>
                <w:sz w:val="20"/>
              </w:rPr>
              <w:t>Hoeper</w:t>
            </w:r>
            <w:proofErr w:type="spellEnd"/>
            <w:r w:rsidRPr="009F4876">
              <w:rPr>
                <w:rFonts w:ascii="Arial Narrow" w:hAnsi="Arial Narrow"/>
                <w:sz w:val="20"/>
              </w:rPr>
              <w:t xml:space="preserve"> MM, </w:t>
            </w:r>
            <w:proofErr w:type="spellStart"/>
            <w:r w:rsidRPr="009F4876">
              <w:rPr>
                <w:rFonts w:ascii="Arial Narrow" w:hAnsi="Arial Narrow"/>
                <w:sz w:val="20"/>
              </w:rPr>
              <w:t>Halank</w:t>
            </w:r>
            <w:proofErr w:type="spellEnd"/>
            <w:r w:rsidRPr="009F4876">
              <w:rPr>
                <w:rFonts w:ascii="Arial Narrow" w:hAnsi="Arial Narrow"/>
                <w:sz w:val="20"/>
              </w:rPr>
              <w:t xml:space="preserve"> M, Meyer FJ, </w:t>
            </w:r>
            <w:proofErr w:type="spellStart"/>
            <w:r w:rsidRPr="009F4876">
              <w:rPr>
                <w:rFonts w:ascii="Arial Narrow" w:hAnsi="Arial Narrow"/>
                <w:sz w:val="20"/>
              </w:rPr>
              <w:t>Stahler</w:t>
            </w:r>
            <w:proofErr w:type="spellEnd"/>
            <w:r w:rsidRPr="009F4876">
              <w:rPr>
                <w:rFonts w:ascii="Arial Narrow" w:hAnsi="Arial Narrow"/>
                <w:sz w:val="20"/>
              </w:rPr>
              <w:t xml:space="preserve"> G, Behr J,, </w:t>
            </w:r>
            <w:proofErr w:type="spellStart"/>
            <w:r w:rsidRPr="009F4876">
              <w:rPr>
                <w:rFonts w:ascii="Arial Narrow" w:hAnsi="Arial Narrow"/>
                <w:sz w:val="20"/>
              </w:rPr>
              <w:t>Ewert</w:t>
            </w:r>
            <w:proofErr w:type="spellEnd"/>
            <w:r w:rsidRPr="009F4876">
              <w:rPr>
                <w:rFonts w:ascii="Arial Narrow" w:hAnsi="Arial Narrow"/>
                <w:sz w:val="20"/>
              </w:rPr>
              <w:t xml:space="preserve"> R, </w:t>
            </w:r>
            <w:proofErr w:type="spellStart"/>
            <w:r w:rsidRPr="009F4876">
              <w:rPr>
                <w:rFonts w:ascii="Arial Narrow" w:hAnsi="Arial Narrow"/>
                <w:sz w:val="20"/>
              </w:rPr>
              <w:t>Weinmann</w:t>
            </w:r>
            <w:proofErr w:type="spellEnd"/>
            <w:r w:rsidRPr="009F4876">
              <w:rPr>
                <w:rFonts w:ascii="Arial Narrow" w:hAnsi="Arial Narrow"/>
                <w:sz w:val="20"/>
              </w:rPr>
              <w:t xml:space="preserve"> G, </w:t>
            </w:r>
            <w:proofErr w:type="spellStart"/>
            <w:r w:rsidRPr="009F4876">
              <w:rPr>
                <w:rFonts w:ascii="Arial Narrow" w:hAnsi="Arial Narrow"/>
                <w:sz w:val="20"/>
              </w:rPr>
              <w:t>Neuser</w:t>
            </w:r>
            <w:proofErr w:type="spellEnd"/>
            <w:r w:rsidRPr="009F4876">
              <w:rPr>
                <w:rFonts w:ascii="Arial Narrow" w:hAnsi="Arial Narrow"/>
                <w:sz w:val="20"/>
              </w:rPr>
              <w:t xml:space="preserve"> D, and </w:t>
            </w:r>
            <w:proofErr w:type="spellStart"/>
            <w:r w:rsidRPr="009F4876">
              <w:rPr>
                <w:rFonts w:ascii="Arial Narrow" w:hAnsi="Arial Narrow"/>
                <w:sz w:val="20"/>
              </w:rPr>
              <w:t>Grimminger</w:t>
            </w:r>
            <w:proofErr w:type="spellEnd"/>
            <w:r w:rsidRPr="009F4876">
              <w:rPr>
                <w:rFonts w:ascii="Arial Narrow" w:hAnsi="Arial Narrow"/>
                <w:sz w:val="20"/>
              </w:rPr>
              <w:t xml:space="preserve"> F. Riociguat For Chronic Thromboembolic Pulmonary Hypertension And Pulmonary Arterial Hypertension: Long-Term Saf</w:t>
            </w:r>
            <w:r>
              <w:rPr>
                <w:rFonts w:ascii="Arial Narrow" w:hAnsi="Arial Narrow"/>
                <w:sz w:val="20"/>
              </w:rPr>
              <w:t xml:space="preserve">ety, Tolerability, And Efficacy. </w:t>
            </w:r>
          </w:p>
        </w:tc>
        <w:tc>
          <w:tcPr>
            <w:tcW w:w="1617" w:type="dxa"/>
            <w:tcBorders>
              <w:top w:val="nil"/>
              <w:bottom w:val="nil"/>
            </w:tcBorders>
          </w:tcPr>
          <w:p w:rsidR="002F36A9" w:rsidRPr="009F4876" w:rsidRDefault="002F36A9" w:rsidP="000A0288">
            <w:pPr>
              <w:keepNext/>
              <w:widowControl/>
              <w:jc w:val="left"/>
              <w:rPr>
                <w:rFonts w:ascii="Arial Narrow" w:hAnsi="Arial Narrow"/>
                <w:sz w:val="20"/>
              </w:rPr>
            </w:pPr>
            <w:r w:rsidRPr="009F4876">
              <w:rPr>
                <w:rFonts w:ascii="Arial Narrow" w:hAnsi="Arial Narrow"/>
                <w:i/>
                <w:sz w:val="20"/>
              </w:rPr>
              <w:t xml:space="preserve">American Journal of Respiratory </w:t>
            </w:r>
            <w:r w:rsidR="00A614D2">
              <w:rPr>
                <w:rFonts w:ascii="Arial Narrow" w:hAnsi="Arial Narrow"/>
                <w:i/>
                <w:sz w:val="20"/>
              </w:rPr>
              <w:t>&amp;</w:t>
            </w:r>
            <w:r w:rsidRPr="009F4876">
              <w:rPr>
                <w:rFonts w:ascii="Arial Narrow" w:hAnsi="Arial Narrow"/>
                <w:i/>
                <w:sz w:val="20"/>
              </w:rPr>
              <w:t xml:space="preserve"> Critical Care Medicine</w:t>
            </w:r>
            <w:r>
              <w:rPr>
                <w:rFonts w:ascii="Arial Narrow" w:hAnsi="Arial Narrow"/>
                <w:i/>
                <w:sz w:val="20"/>
              </w:rPr>
              <w:t>.</w:t>
            </w:r>
            <w:r w:rsidRPr="009F4876">
              <w:rPr>
                <w:rFonts w:ascii="Arial Narrow" w:hAnsi="Arial Narrow"/>
                <w:sz w:val="20"/>
              </w:rPr>
              <w:t xml:space="preserve"> 2012; 185: A2370</w:t>
            </w:r>
          </w:p>
          <w:p w:rsidR="002F36A9" w:rsidRPr="004E2ADC" w:rsidRDefault="002F36A9" w:rsidP="000A0288">
            <w:pPr>
              <w:keepNext/>
              <w:widowControl/>
              <w:jc w:val="left"/>
              <w:rPr>
                <w:rFonts w:ascii="Arial Narrow" w:hAnsi="Arial Narrow"/>
                <w:b/>
                <w:sz w:val="20"/>
              </w:rPr>
            </w:pPr>
          </w:p>
        </w:tc>
      </w:tr>
      <w:tr w:rsidR="002F36A9" w:rsidRPr="004E2ADC" w:rsidTr="002F36A9">
        <w:tc>
          <w:tcPr>
            <w:tcW w:w="679" w:type="dxa"/>
            <w:tcBorders>
              <w:top w:val="nil"/>
              <w:bottom w:val="nil"/>
            </w:tcBorders>
          </w:tcPr>
          <w:p w:rsidR="002F36A9" w:rsidRPr="004E2ADC" w:rsidRDefault="002F36A9" w:rsidP="000A0288">
            <w:pPr>
              <w:keepNext/>
              <w:widowControl/>
              <w:jc w:val="left"/>
              <w:rPr>
                <w:rFonts w:ascii="Arial Narrow" w:hAnsi="Arial Narrow"/>
                <w:sz w:val="20"/>
              </w:rPr>
            </w:pPr>
          </w:p>
        </w:tc>
        <w:tc>
          <w:tcPr>
            <w:tcW w:w="6125" w:type="dxa"/>
            <w:tcBorders>
              <w:top w:val="nil"/>
              <w:bottom w:val="nil"/>
            </w:tcBorders>
          </w:tcPr>
          <w:p w:rsidR="002F36A9" w:rsidRDefault="002F36A9" w:rsidP="000A0288">
            <w:pPr>
              <w:keepNext/>
              <w:widowControl/>
              <w:jc w:val="left"/>
              <w:rPr>
                <w:rFonts w:ascii="Arial Narrow" w:hAnsi="Arial Narrow"/>
                <w:sz w:val="20"/>
              </w:rPr>
            </w:pPr>
            <w:proofErr w:type="spellStart"/>
            <w:r>
              <w:rPr>
                <w:rFonts w:ascii="Arial Narrow" w:hAnsi="Arial Narrow"/>
                <w:sz w:val="20"/>
              </w:rPr>
              <w:t>D’Armini</w:t>
            </w:r>
            <w:proofErr w:type="spellEnd"/>
            <w:r>
              <w:rPr>
                <w:rFonts w:ascii="Arial Narrow" w:hAnsi="Arial Narrow"/>
                <w:sz w:val="20"/>
              </w:rPr>
              <w:t xml:space="preserve"> A, </w:t>
            </w:r>
            <w:proofErr w:type="spellStart"/>
            <w:r>
              <w:rPr>
                <w:rFonts w:ascii="Arial Narrow" w:hAnsi="Arial Narrow"/>
                <w:sz w:val="20"/>
              </w:rPr>
              <w:t>Ghofrani</w:t>
            </w:r>
            <w:proofErr w:type="spellEnd"/>
            <w:r>
              <w:rPr>
                <w:rFonts w:ascii="Arial Narrow" w:hAnsi="Arial Narrow"/>
                <w:sz w:val="20"/>
              </w:rPr>
              <w:t xml:space="preserve"> HA, Kim NH, Mayer E, </w:t>
            </w:r>
            <w:proofErr w:type="spellStart"/>
            <w:r>
              <w:rPr>
                <w:rFonts w:ascii="Arial Narrow" w:hAnsi="Arial Narrow"/>
                <w:sz w:val="20"/>
              </w:rPr>
              <w:t>Simonneau</w:t>
            </w:r>
            <w:proofErr w:type="spellEnd"/>
            <w:r>
              <w:rPr>
                <w:rFonts w:ascii="Arial Narrow" w:hAnsi="Arial Narrow"/>
                <w:sz w:val="20"/>
              </w:rPr>
              <w:t xml:space="preserve"> G, Wilkins MR, Pulido T, Fritsch A, Davie N, </w:t>
            </w:r>
            <w:proofErr w:type="spellStart"/>
            <w:r>
              <w:rPr>
                <w:rFonts w:ascii="Arial Narrow" w:hAnsi="Arial Narrow"/>
                <w:sz w:val="20"/>
              </w:rPr>
              <w:t>Hoeper</w:t>
            </w:r>
            <w:proofErr w:type="spellEnd"/>
            <w:r>
              <w:rPr>
                <w:rFonts w:ascii="Arial Narrow" w:hAnsi="Arial Narrow"/>
                <w:sz w:val="20"/>
              </w:rPr>
              <w:t xml:space="preserve"> MM. </w:t>
            </w:r>
            <w:r w:rsidRPr="00792ACB">
              <w:rPr>
                <w:rFonts w:ascii="Arial Narrow" w:hAnsi="Arial Narrow"/>
                <w:sz w:val="20"/>
              </w:rPr>
              <w:t>Riociguat for the treatment of inoperable CTEPH or persistent/recurrent PH after pulmonary endarterectomy (PEA): A responder analysis from the phase III CHEST-1 study</w:t>
            </w:r>
            <w:r>
              <w:rPr>
                <w:rFonts w:ascii="Arial Narrow" w:hAnsi="Arial Narrow"/>
                <w:sz w:val="20"/>
              </w:rPr>
              <w:t xml:space="preserve">. </w:t>
            </w:r>
          </w:p>
          <w:p w:rsidR="002F36A9" w:rsidRPr="004E2ADC" w:rsidRDefault="002F36A9" w:rsidP="000A0288">
            <w:pPr>
              <w:keepNext/>
              <w:widowControl/>
              <w:jc w:val="left"/>
              <w:rPr>
                <w:rFonts w:ascii="Arial Narrow" w:hAnsi="Arial Narrow"/>
                <w:b/>
                <w:sz w:val="20"/>
              </w:rPr>
            </w:pPr>
          </w:p>
        </w:tc>
        <w:tc>
          <w:tcPr>
            <w:tcW w:w="1617" w:type="dxa"/>
            <w:tcBorders>
              <w:top w:val="nil"/>
              <w:bottom w:val="nil"/>
            </w:tcBorders>
          </w:tcPr>
          <w:p w:rsidR="002F36A9" w:rsidRPr="004E2ADC" w:rsidRDefault="002F36A9" w:rsidP="000A0288">
            <w:pPr>
              <w:keepNext/>
              <w:widowControl/>
              <w:jc w:val="left"/>
              <w:rPr>
                <w:rFonts w:ascii="Arial Narrow" w:hAnsi="Arial Narrow"/>
                <w:b/>
                <w:sz w:val="20"/>
              </w:rPr>
            </w:pPr>
            <w:r>
              <w:rPr>
                <w:rFonts w:ascii="Arial Narrow" w:hAnsi="Arial Narrow"/>
                <w:i/>
                <w:sz w:val="20"/>
              </w:rPr>
              <w:t xml:space="preserve">European Respiratory Journal. </w:t>
            </w:r>
            <w:r>
              <w:rPr>
                <w:rFonts w:ascii="Arial Narrow" w:hAnsi="Arial Narrow"/>
                <w:sz w:val="20"/>
              </w:rPr>
              <w:t xml:space="preserve">2013; 42. </w:t>
            </w:r>
            <w:proofErr w:type="spellStart"/>
            <w:r>
              <w:rPr>
                <w:rFonts w:ascii="Arial Narrow" w:hAnsi="Arial Narrow"/>
                <w:sz w:val="20"/>
              </w:rPr>
              <w:t>Suppl</w:t>
            </w:r>
            <w:proofErr w:type="spellEnd"/>
            <w:r>
              <w:rPr>
                <w:rFonts w:ascii="Arial Narrow" w:hAnsi="Arial Narrow"/>
                <w:sz w:val="20"/>
              </w:rPr>
              <w:t xml:space="preserve"> 57, P2598</w:t>
            </w:r>
          </w:p>
        </w:tc>
      </w:tr>
      <w:tr w:rsidR="002F36A9" w:rsidRPr="004E2ADC" w:rsidTr="002F36A9">
        <w:tc>
          <w:tcPr>
            <w:tcW w:w="679" w:type="dxa"/>
            <w:tcBorders>
              <w:top w:val="nil"/>
              <w:bottom w:val="nil"/>
            </w:tcBorders>
          </w:tcPr>
          <w:p w:rsidR="002F36A9" w:rsidRPr="004E2ADC" w:rsidRDefault="002F36A9" w:rsidP="000A0288">
            <w:pPr>
              <w:keepNext/>
              <w:widowControl/>
              <w:jc w:val="left"/>
              <w:rPr>
                <w:rFonts w:ascii="Arial Narrow" w:hAnsi="Arial Narrow"/>
                <w:sz w:val="20"/>
              </w:rPr>
            </w:pPr>
          </w:p>
        </w:tc>
        <w:tc>
          <w:tcPr>
            <w:tcW w:w="6125" w:type="dxa"/>
            <w:tcBorders>
              <w:top w:val="nil"/>
              <w:bottom w:val="nil"/>
            </w:tcBorders>
          </w:tcPr>
          <w:p w:rsidR="002F36A9" w:rsidRDefault="002F36A9" w:rsidP="000A0288">
            <w:pPr>
              <w:keepNext/>
              <w:widowControl/>
              <w:jc w:val="left"/>
              <w:rPr>
                <w:rFonts w:ascii="Arial Narrow" w:hAnsi="Arial Narrow"/>
                <w:sz w:val="20"/>
              </w:rPr>
            </w:pPr>
            <w:proofErr w:type="spellStart"/>
            <w:r w:rsidRPr="0079209F">
              <w:rPr>
                <w:rFonts w:ascii="Arial Narrow" w:hAnsi="Arial Narrow"/>
                <w:sz w:val="20"/>
              </w:rPr>
              <w:t>Ghofrani</w:t>
            </w:r>
            <w:proofErr w:type="spellEnd"/>
            <w:r w:rsidRPr="0079209F">
              <w:rPr>
                <w:rFonts w:ascii="Arial Narrow" w:hAnsi="Arial Narrow"/>
                <w:sz w:val="20"/>
              </w:rPr>
              <w:t xml:space="preserve"> HA, </w:t>
            </w:r>
            <w:proofErr w:type="spellStart"/>
            <w:r w:rsidRPr="0079209F">
              <w:rPr>
                <w:rFonts w:ascii="Arial Narrow" w:hAnsi="Arial Narrow"/>
                <w:sz w:val="20"/>
              </w:rPr>
              <w:t>Grimminger</w:t>
            </w:r>
            <w:proofErr w:type="spellEnd"/>
            <w:r>
              <w:rPr>
                <w:rFonts w:ascii="Arial Narrow" w:hAnsi="Arial Narrow"/>
                <w:sz w:val="20"/>
              </w:rPr>
              <w:t xml:space="preserve"> F,</w:t>
            </w:r>
            <w:r w:rsidRPr="0079209F">
              <w:rPr>
                <w:rFonts w:ascii="Arial Narrow" w:hAnsi="Arial Narrow"/>
                <w:sz w:val="20"/>
              </w:rPr>
              <w:t xml:space="preserve"> </w:t>
            </w:r>
            <w:proofErr w:type="spellStart"/>
            <w:r w:rsidRPr="0079209F">
              <w:rPr>
                <w:rFonts w:ascii="Arial Narrow" w:hAnsi="Arial Narrow"/>
                <w:sz w:val="20"/>
              </w:rPr>
              <w:t>Hoeper</w:t>
            </w:r>
            <w:proofErr w:type="spellEnd"/>
            <w:r w:rsidRPr="0079209F">
              <w:rPr>
                <w:rFonts w:ascii="Arial Narrow" w:hAnsi="Arial Narrow"/>
                <w:sz w:val="20"/>
              </w:rPr>
              <w:t xml:space="preserve"> MM,</w:t>
            </w:r>
            <w:r>
              <w:rPr>
                <w:rFonts w:ascii="Arial Narrow" w:hAnsi="Arial Narrow"/>
                <w:sz w:val="20"/>
              </w:rPr>
              <w:t xml:space="preserve"> Nick K, Meyer E, </w:t>
            </w:r>
            <w:proofErr w:type="spellStart"/>
            <w:r w:rsidRPr="0079209F">
              <w:rPr>
                <w:rFonts w:ascii="Arial Narrow" w:hAnsi="Arial Narrow"/>
                <w:sz w:val="20"/>
              </w:rPr>
              <w:t>Neuser</w:t>
            </w:r>
            <w:proofErr w:type="spellEnd"/>
            <w:r>
              <w:rPr>
                <w:rFonts w:ascii="Arial Narrow" w:hAnsi="Arial Narrow"/>
                <w:sz w:val="20"/>
              </w:rPr>
              <w:t xml:space="preserve"> D</w:t>
            </w:r>
            <w:r w:rsidRPr="0079209F">
              <w:rPr>
                <w:rFonts w:ascii="Arial Narrow" w:hAnsi="Arial Narrow"/>
                <w:sz w:val="20"/>
              </w:rPr>
              <w:t xml:space="preserve">, </w:t>
            </w:r>
            <w:r>
              <w:rPr>
                <w:rFonts w:ascii="Arial Narrow" w:hAnsi="Arial Narrow"/>
                <w:sz w:val="20"/>
              </w:rPr>
              <w:t xml:space="preserve">Pena J, </w:t>
            </w:r>
            <w:proofErr w:type="spellStart"/>
            <w:r>
              <w:rPr>
                <w:rFonts w:ascii="Arial Narrow" w:hAnsi="Arial Narrow"/>
                <w:sz w:val="20"/>
              </w:rPr>
              <w:t>Simonneau</w:t>
            </w:r>
            <w:proofErr w:type="spellEnd"/>
            <w:r>
              <w:rPr>
                <w:rFonts w:ascii="Arial Narrow" w:hAnsi="Arial Narrow"/>
                <w:sz w:val="20"/>
              </w:rPr>
              <w:t xml:space="preserve"> G</w:t>
            </w:r>
            <w:r w:rsidRPr="0079209F">
              <w:rPr>
                <w:rFonts w:ascii="Arial Narrow" w:hAnsi="Arial Narrow"/>
                <w:sz w:val="20"/>
              </w:rPr>
              <w:t xml:space="preserve"> and</w:t>
            </w:r>
            <w:r>
              <w:rPr>
                <w:rFonts w:ascii="Arial Narrow" w:hAnsi="Arial Narrow"/>
                <w:sz w:val="20"/>
              </w:rPr>
              <w:t xml:space="preserve"> Wilkins M. </w:t>
            </w:r>
            <w:r w:rsidRPr="00633170">
              <w:rPr>
                <w:rFonts w:ascii="Arial Narrow" w:hAnsi="Arial Narrow"/>
                <w:sz w:val="20"/>
              </w:rPr>
              <w:t>Riociguat for the treatment of inoperable chronic thromboembolic pulmonary hypertension: A randomized, double-blind, pla</w:t>
            </w:r>
            <w:r>
              <w:rPr>
                <w:rFonts w:ascii="Arial Narrow" w:hAnsi="Arial Narrow"/>
                <w:sz w:val="20"/>
              </w:rPr>
              <w:t>cebo-controlled study (CHEST-1).</w:t>
            </w:r>
          </w:p>
          <w:p w:rsidR="002F36A9" w:rsidRPr="004E2ADC" w:rsidRDefault="002F36A9" w:rsidP="000A0288">
            <w:pPr>
              <w:keepNext/>
              <w:widowControl/>
              <w:jc w:val="left"/>
              <w:rPr>
                <w:rFonts w:ascii="Arial Narrow" w:hAnsi="Arial Narrow"/>
                <w:b/>
                <w:sz w:val="20"/>
              </w:rPr>
            </w:pPr>
          </w:p>
        </w:tc>
        <w:tc>
          <w:tcPr>
            <w:tcW w:w="1617" w:type="dxa"/>
            <w:tcBorders>
              <w:top w:val="nil"/>
              <w:bottom w:val="nil"/>
            </w:tcBorders>
          </w:tcPr>
          <w:p w:rsidR="002F36A9" w:rsidRPr="004E2ADC" w:rsidRDefault="002F36A9" w:rsidP="000A0288">
            <w:pPr>
              <w:keepNext/>
              <w:widowControl/>
              <w:jc w:val="left"/>
              <w:rPr>
                <w:rFonts w:ascii="Arial Narrow" w:hAnsi="Arial Narrow"/>
                <w:b/>
                <w:sz w:val="20"/>
              </w:rPr>
            </w:pPr>
            <w:r w:rsidRPr="001D18FF">
              <w:rPr>
                <w:rFonts w:ascii="Arial Narrow" w:hAnsi="Arial Narrow"/>
                <w:i/>
                <w:sz w:val="20"/>
              </w:rPr>
              <w:t>Chest</w:t>
            </w:r>
            <w:r w:rsidR="006B5090">
              <w:rPr>
                <w:rFonts w:ascii="Arial Narrow" w:hAnsi="Arial Narrow"/>
                <w:i/>
                <w:sz w:val="20"/>
              </w:rPr>
              <w:t xml:space="preserve"> </w:t>
            </w:r>
            <w:r w:rsidRPr="00633170">
              <w:rPr>
                <w:rFonts w:ascii="Arial Narrow" w:hAnsi="Arial Narrow"/>
                <w:sz w:val="20"/>
              </w:rPr>
              <w:t>2012; 142 (4</w:t>
            </w:r>
            <w:r>
              <w:rPr>
                <w:rFonts w:ascii="Arial Narrow" w:hAnsi="Arial Narrow"/>
                <w:sz w:val="20"/>
              </w:rPr>
              <w:t>_</w:t>
            </w:r>
            <w:r w:rsidRPr="00477944">
              <w:rPr>
                <w:rFonts w:ascii="Arial Narrow" w:hAnsi="Arial Narrow"/>
                <w:sz w:val="20"/>
              </w:rPr>
              <w:t>MeetingAbstracts):1023A</w:t>
            </w:r>
          </w:p>
        </w:tc>
      </w:tr>
      <w:tr w:rsidR="002F36A9" w:rsidRPr="004E2ADC" w:rsidTr="002F36A9">
        <w:tc>
          <w:tcPr>
            <w:tcW w:w="679" w:type="dxa"/>
            <w:tcBorders>
              <w:top w:val="nil"/>
              <w:bottom w:val="nil"/>
            </w:tcBorders>
          </w:tcPr>
          <w:p w:rsidR="002F36A9" w:rsidRPr="004E2ADC" w:rsidRDefault="002F36A9" w:rsidP="000A0288">
            <w:pPr>
              <w:keepNext/>
              <w:widowControl/>
              <w:jc w:val="left"/>
              <w:rPr>
                <w:rFonts w:ascii="Arial Narrow" w:hAnsi="Arial Narrow"/>
                <w:sz w:val="20"/>
              </w:rPr>
            </w:pPr>
          </w:p>
        </w:tc>
        <w:tc>
          <w:tcPr>
            <w:tcW w:w="6125" w:type="dxa"/>
            <w:tcBorders>
              <w:top w:val="nil"/>
              <w:bottom w:val="nil"/>
            </w:tcBorders>
          </w:tcPr>
          <w:p w:rsidR="002F36A9" w:rsidRDefault="002F36A9" w:rsidP="000A0288">
            <w:pPr>
              <w:keepNext/>
              <w:widowControl/>
              <w:jc w:val="left"/>
              <w:rPr>
                <w:rFonts w:ascii="Arial Narrow" w:hAnsi="Arial Narrow"/>
                <w:sz w:val="20"/>
              </w:rPr>
            </w:pPr>
            <w:proofErr w:type="spellStart"/>
            <w:r w:rsidRPr="0079209F">
              <w:rPr>
                <w:rFonts w:ascii="Arial Narrow" w:hAnsi="Arial Narrow"/>
                <w:sz w:val="20"/>
              </w:rPr>
              <w:t>Ghofrani</w:t>
            </w:r>
            <w:proofErr w:type="spellEnd"/>
            <w:r w:rsidRPr="0079209F">
              <w:rPr>
                <w:rFonts w:ascii="Arial Narrow" w:hAnsi="Arial Narrow"/>
                <w:sz w:val="20"/>
              </w:rPr>
              <w:t xml:space="preserve"> HA, </w:t>
            </w:r>
            <w:proofErr w:type="spellStart"/>
            <w:r w:rsidRPr="0079209F">
              <w:rPr>
                <w:rFonts w:ascii="Arial Narrow" w:hAnsi="Arial Narrow"/>
                <w:sz w:val="20"/>
              </w:rPr>
              <w:t>Grimminger</w:t>
            </w:r>
            <w:proofErr w:type="spellEnd"/>
            <w:r>
              <w:rPr>
                <w:rFonts w:ascii="Arial Narrow" w:hAnsi="Arial Narrow"/>
                <w:sz w:val="20"/>
              </w:rPr>
              <w:t xml:space="preserve"> F,</w:t>
            </w:r>
            <w:r w:rsidRPr="0079209F">
              <w:rPr>
                <w:rFonts w:ascii="Arial Narrow" w:hAnsi="Arial Narrow"/>
                <w:sz w:val="20"/>
              </w:rPr>
              <w:t xml:space="preserve"> </w:t>
            </w:r>
            <w:proofErr w:type="spellStart"/>
            <w:r w:rsidRPr="0079209F">
              <w:rPr>
                <w:rFonts w:ascii="Arial Narrow" w:hAnsi="Arial Narrow"/>
                <w:sz w:val="20"/>
              </w:rPr>
              <w:t>Hoeper</w:t>
            </w:r>
            <w:proofErr w:type="spellEnd"/>
            <w:r w:rsidRPr="0079209F">
              <w:rPr>
                <w:rFonts w:ascii="Arial Narrow" w:hAnsi="Arial Narrow"/>
                <w:sz w:val="20"/>
              </w:rPr>
              <w:t xml:space="preserve"> MM</w:t>
            </w:r>
            <w:r>
              <w:rPr>
                <w:rFonts w:ascii="Arial Narrow" w:hAnsi="Arial Narrow"/>
                <w:sz w:val="20"/>
              </w:rPr>
              <w:t xml:space="preserve">, Kim NH, Mayer E, </w:t>
            </w:r>
            <w:proofErr w:type="spellStart"/>
            <w:r>
              <w:rPr>
                <w:rFonts w:ascii="Arial Narrow" w:hAnsi="Arial Narrow"/>
                <w:sz w:val="20"/>
              </w:rPr>
              <w:t>Simonneau</w:t>
            </w:r>
            <w:proofErr w:type="spellEnd"/>
            <w:r>
              <w:rPr>
                <w:rFonts w:ascii="Arial Narrow" w:hAnsi="Arial Narrow"/>
                <w:sz w:val="20"/>
              </w:rPr>
              <w:t xml:space="preserve"> G, </w:t>
            </w:r>
            <w:proofErr w:type="spellStart"/>
            <w:r>
              <w:rPr>
                <w:rFonts w:ascii="Arial Narrow" w:hAnsi="Arial Narrow"/>
                <w:sz w:val="20"/>
              </w:rPr>
              <w:t>Sikirica</w:t>
            </w:r>
            <w:proofErr w:type="spellEnd"/>
            <w:r>
              <w:rPr>
                <w:rFonts w:ascii="Arial Narrow" w:hAnsi="Arial Narrow"/>
                <w:sz w:val="20"/>
              </w:rPr>
              <w:t xml:space="preserve"> M, Fritsch A, Davie N, Luong B, Wilkins MR. </w:t>
            </w:r>
            <w:r w:rsidRPr="00792ACB">
              <w:rPr>
                <w:rFonts w:ascii="Arial Narrow" w:hAnsi="Arial Narrow"/>
                <w:sz w:val="20"/>
              </w:rPr>
              <w:t>Impact of riociguat on health-related quality of life (</w:t>
            </w:r>
            <w:proofErr w:type="spellStart"/>
            <w:r w:rsidRPr="00792ACB">
              <w:rPr>
                <w:rFonts w:ascii="Arial Narrow" w:hAnsi="Arial Narrow"/>
                <w:sz w:val="20"/>
              </w:rPr>
              <w:t>HRQoL</w:t>
            </w:r>
            <w:proofErr w:type="spellEnd"/>
            <w:r w:rsidRPr="00792ACB">
              <w:rPr>
                <w:rFonts w:ascii="Arial Narrow" w:hAnsi="Arial Narrow"/>
                <w:sz w:val="20"/>
              </w:rPr>
              <w:t>) in patients with chronic thromboembolic pulmonary hypertension (CTEPH)</w:t>
            </w:r>
            <w:r>
              <w:rPr>
                <w:rFonts w:ascii="Arial Narrow" w:hAnsi="Arial Narrow"/>
                <w:sz w:val="20"/>
              </w:rPr>
              <w:t>.</w:t>
            </w:r>
          </w:p>
          <w:p w:rsidR="002F36A9" w:rsidRPr="004E2ADC" w:rsidRDefault="002F36A9" w:rsidP="000A0288">
            <w:pPr>
              <w:keepNext/>
              <w:widowControl/>
              <w:jc w:val="left"/>
              <w:rPr>
                <w:rFonts w:ascii="Arial Narrow" w:hAnsi="Arial Narrow"/>
                <w:b/>
                <w:sz w:val="20"/>
              </w:rPr>
            </w:pPr>
          </w:p>
        </w:tc>
        <w:tc>
          <w:tcPr>
            <w:tcW w:w="1617" w:type="dxa"/>
            <w:tcBorders>
              <w:top w:val="nil"/>
              <w:bottom w:val="nil"/>
            </w:tcBorders>
          </w:tcPr>
          <w:p w:rsidR="002F36A9" w:rsidRPr="004E2ADC" w:rsidRDefault="002F36A9" w:rsidP="000A0288">
            <w:pPr>
              <w:keepNext/>
              <w:widowControl/>
              <w:jc w:val="left"/>
              <w:rPr>
                <w:rFonts w:ascii="Arial Narrow" w:hAnsi="Arial Narrow"/>
                <w:b/>
                <w:sz w:val="20"/>
              </w:rPr>
            </w:pPr>
            <w:r>
              <w:rPr>
                <w:rFonts w:ascii="Arial Narrow" w:hAnsi="Arial Narrow"/>
                <w:i/>
                <w:sz w:val="20"/>
              </w:rPr>
              <w:t xml:space="preserve">European Respiratory Journal. </w:t>
            </w:r>
            <w:r>
              <w:rPr>
                <w:rFonts w:ascii="Arial Narrow" w:hAnsi="Arial Narrow"/>
                <w:sz w:val="20"/>
              </w:rPr>
              <w:t xml:space="preserve">2013; 42. </w:t>
            </w:r>
            <w:proofErr w:type="spellStart"/>
            <w:r>
              <w:rPr>
                <w:rFonts w:ascii="Arial Narrow" w:hAnsi="Arial Narrow"/>
                <w:sz w:val="20"/>
              </w:rPr>
              <w:t>Suppl</w:t>
            </w:r>
            <w:proofErr w:type="spellEnd"/>
            <w:r>
              <w:rPr>
                <w:rFonts w:ascii="Arial Narrow" w:hAnsi="Arial Narrow"/>
                <w:sz w:val="20"/>
              </w:rPr>
              <w:t xml:space="preserve"> 57, P3418</w:t>
            </w:r>
          </w:p>
        </w:tc>
      </w:tr>
      <w:tr w:rsidR="002F36A9" w:rsidRPr="004E2ADC" w:rsidTr="002F36A9">
        <w:tc>
          <w:tcPr>
            <w:tcW w:w="679" w:type="dxa"/>
            <w:tcBorders>
              <w:top w:val="nil"/>
            </w:tcBorders>
          </w:tcPr>
          <w:p w:rsidR="002F36A9" w:rsidRPr="004E2ADC" w:rsidRDefault="002F36A9" w:rsidP="000A0288">
            <w:pPr>
              <w:keepNext/>
              <w:widowControl/>
              <w:jc w:val="left"/>
              <w:rPr>
                <w:rFonts w:ascii="Arial Narrow" w:hAnsi="Arial Narrow"/>
                <w:sz w:val="20"/>
              </w:rPr>
            </w:pPr>
          </w:p>
        </w:tc>
        <w:tc>
          <w:tcPr>
            <w:tcW w:w="6125" w:type="dxa"/>
            <w:tcBorders>
              <w:top w:val="nil"/>
            </w:tcBorders>
          </w:tcPr>
          <w:p w:rsidR="002F36A9" w:rsidRPr="009A7914" w:rsidRDefault="002F36A9" w:rsidP="000A0288">
            <w:pPr>
              <w:keepNext/>
              <w:widowControl/>
              <w:jc w:val="left"/>
              <w:rPr>
                <w:rFonts w:ascii="Arial Narrow" w:hAnsi="Arial Narrow"/>
                <w:sz w:val="20"/>
              </w:rPr>
            </w:pPr>
            <w:r w:rsidRPr="00D62D00">
              <w:rPr>
                <w:rFonts w:ascii="Arial Narrow" w:hAnsi="Arial Narrow"/>
                <w:sz w:val="20"/>
                <w:lang w:val="de-DE"/>
              </w:rPr>
              <w:t xml:space="preserve">Jansa P, Ghofrani H-A, Hoeper MM, Kim NH, Mayer E, Neurohr C, et al. </w:t>
            </w:r>
            <w:r w:rsidRPr="00BD74BB">
              <w:rPr>
                <w:rFonts w:ascii="Arial Narrow" w:hAnsi="Arial Narrow"/>
                <w:sz w:val="20"/>
              </w:rPr>
              <w:t>Comparison of hemodynamic parameters in patients with inoperable and persistent/recurrent chronic thromboembolic pulmonary hypertension (CTEPH) in the Phase III CHEST-1 study.</w:t>
            </w:r>
          </w:p>
        </w:tc>
        <w:tc>
          <w:tcPr>
            <w:tcW w:w="1617" w:type="dxa"/>
            <w:tcBorders>
              <w:top w:val="nil"/>
            </w:tcBorders>
          </w:tcPr>
          <w:p w:rsidR="002F36A9" w:rsidRPr="004E2ADC" w:rsidRDefault="002F36A9" w:rsidP="000A0288">
            <w:pPr>
              <w:keepNext/>
              <w:widowControl/>
              <w:jc w:val="left"/>
              <w:rPr>
                <w:rFonts w:ascii="Arial Narrow" w:hAnsi="Arial Narrow"/>
                <w:b/>
                <w:sz w:val="20"/>
              </w:rPr>
            </w:pPr>
            <w:r w:rsidRPr="00BD74BB">
              <w:rPr>
                <w:rFonts w:ascii="Arial Narrow" w:hAnsi="Arial Narrow"/>
                <w:i/>
                <w:sz w:val="20"/>
              </w:rPr>
              <w:t>European Heart Journal</w:t>
            </w:r>
            <w:r>
              <w:rPr>
                <w:rFonts w:ascii="Arial Narrow" w:hAnsi="Arial Narrow"/>
                <w:i/>
                <w:sz w:val="20"/>
              </w:rPr>
              <w:t>.</w:t>
            </w:r>
            <w:r w:rsidRPr="00BD74BB">
              <w:rPr>
                <w:rFonts w:ascii="Arial Narrow" w:hAnsi="Arial Narrow"/>
                <w:sz w:val="20"/>
              </w:rPr>
              <w:t xml:space="preserve"> 2013; 34</w:t>
            </w:r>
            <w:r>
              <w:rPr>
                <w:rFonts w:ascii="Arial Narrow" w:hAnsi="Arial Narrow"/>
                <w:sz w:val="20"/>
              </w:rPr>
              <w:t xml:space="preserve"> </w:t>
            </w:r>
            <w:r w:rsidRPr="0079209F">
              <w:rPr>
                <w:rFonts w:ascii="Arial Narrow" w:hAnsi="Arial Narrow"/>
                <w:sz w:val="20"/>
              </w:rPr>
              <w:t>(</w:t>
            </w:r>
            <w:proofErr w:type="spellStart"/>
            <w:r w:rsidRPr="0079209F">
              <w:rPr>
                <w:rFonts w:ascii="Arial Narrow" w:hAnsi="Arial Narrow"/>
                <w:sz w:val="20"/>
              </w:rPr>
              <w:t>suppl</w:t>
            </w:r>
            <w:proofErr w:type="spellEnd"/>
            <w:r w:rsidRPr="0079209F">
              <w:rPr>
                <w:rFonts w:ascii="Arial Narrow" w:hAnsi="Arial Narrow"/>
                <w:sz w:val="20"/>
              </w:rPr>
              <w:t xml:space="preserve"> 1): </w:t>
            </w:r>
            <w:r w:rsidRPr="00BD74BB">
              <w:rPr>
                <w:rFonts w:ascii="Arial Narrow" w:hAnsi="Arial Narrow"/>
                <w:sz w:val="20"/>
              </w:rPr>
              <w:t>187</w:t>
            </w:r>
          </w:p>
        </w:tc>
      </w:tr>
      <w:tr w:rsidR="002F36A9" w:rsidRPr="004E2ADC" w:rsidTr="002F36A9">
        <w:tc>
          <w:tcPr>
            <w:tcW w:w="8421" w:type="dxa"/>
            <w:gridSpan w:val="3"/>
            <w:tcBorders>
              <w:bottom w:val="single" w:sz="4" w:space="0" w:color="auto"/>
            </w:tcBorders>
          </w:tcPr>
          <w:p w:rsidR="002F36A9" w:rsidRPr="004E2ADC" w:rsidRDefault="002F36A9" w:rsidP="000A0288">
            <w:pPr>
              <w:keepNext/>
              <w:widowControl/>
              <w:jc w:val="left"/>
              <w:rPr>
                <w:rFonts w:ascii="Arial Narrow" w:hAnsi="Arial Narrow"/>
                <w:b/>
                <w:sz w:val="20"/>
              </w:rPr>
            </w:pPr>
            <w:r>
              <w:rPr>
                <w:rFonts w:ascii="Arial Narrow" w:hAnsi="Arial Narrow"/>
                <w:b/>
                <w:sz w:val="20"/>
              </w:rPr>
              <w:t>Extension study</w:t>
            </w:r>
          </w:p>
        </w:tc>
      </w:tr>
      <w:tr w:rsidR="002F36A9" w:rsidRPr="004E2ADC" w:rsidTr="002F36A9">
        <w:tc>
          <w:tcPr>
            <w:tcW w:w="679" w:type="dxa"/>
            <w:tcBorders>
              <w:bottom w:val="nil"/>
            </w:tcBorders>
          </w:tcPr>
          <w:p w:rsidR="002F36A9" w:rsidRPr="004E2ADC" w:rsidRDefault="002F36A9" w:rsidP="000A0288">
            <w:pPr>
              <w:keepNext/>
              <w:widowControl/>
              <w:jc w:val="left"/>
              <w:rPr>
                <w:rFonts w:ascii="Arial Narrow" w:hAnsi="Arial Narrow"/>
                <w:sz w:val="20"/>
              </w:rPr>
            </w:pPr>
            <w:r>
              <w:rPr>
                <w:rFonts w:ascii="Arial Narrow" w:hAnsi="Arial Narrow"/>
                <w:sz w:val="20"/>
              </w:rPr>
              <w:t>CHEST-2</w:t>
            </w:r>
          </w:p>
        </w:tc>
        <w:tc>
          <w:tcPr>
            <w:tcW w:w="6125" w:type="dxa"/>
            <w:tcBorders>
              <w:bottom w:val="nil"/>
            </w:tcBorders>
          </w:tcPr>
          <w:p w:rsidR="002F36A9" w:rsidRDefault="002F36A9" w:rsidP="000A0288">
            <w:pPr>
              <w:keepNext/>
              <w:widowControl/>
              <w:jc w:val="left"/>
              <w:rPr>
                <w:rFonts w:ascii="Arial Narrow" w:hAnsi="Arial Narrow"/>
                <w:sz w:val="20"/>
              </w:rPr>
            </w:pPr>
            <w:r w:rsidRPr="00C4471D">
              <w:rPr>
                <w:rFonts w:ascii="Arial Narrow" w:hAnsi="Arial Narrow"/>
                <w:sz w:val="20"/>
              </w:rPr>
              <w:t xml:space="preserve">Long-term extension, multi-centre, multi-national study to evaluate the safety and tolerability of oral BAY 63 2521 (1 mg, 1.5 mg, 2 mg or 2.5 mg </w:t>
            </w:r>
            <w:proofErr w:type="spellStart"/>
            <w:r w:rsidRPr="00C4471D">
              <w:rPr>
                <w:rFonts w:ascii="Arial Narrow" w:hAnsi="Arial Narrow"/>
                <w:sz w:val="20"/>
              </w:rPr>
              <w:t>tid</w:t>
            </w:r>
            <w:proofErr w:type="spellEnd"/>
            <w:r w:rsidRPr="00C4471D">
              <w:rPr>
                <w:rFonts w:ascii="Arial Narrow" w:hAnsi="Arial Narrow"/>
                <w:sz w:val="20"/>
              </w:rPr>
              <w:t>) in patients with Chronic Thromboembolic Pulmonary Hypertension (CTEPH).</w:t>
            </w:r>
          </w:p>
          <w:p w:rsidR="002F36A9" w:rsidRPr="004E2ADC" w:rsidRDefault="002F36A9" w:rsidP="000A0288">
            <w:pPr>
              <w:keepNext/>
              <w:widowControl/>
              <w:jc w:val="left"/>
              <w:rPr>
                <w:rFonts w:ascii="Arial Narrow" w:hAnsi="Arial Narrow"/>
                <w:b/>
                <w:sz w:val="20"/>
              </w:rPr>
            </w:pPr>
          </w:p>
        </w:tc>
        <w:tc>
          <w:tcPr>
            <w:tcW w:w="1617" w:type="dxa"/>
            <w:tcBorders>
              <w:bottom w:val="nil"/>
            </w:tcBorders>
          </w:tcPr>
          <w:p w:rsidR="002F36A9" w:rsidRPr="004E2ADC" w:rsidRDefault="002F36A9" w:rsidP="000A0288">
            <w:pPr>
              <w:keepNext/>
              <w:widowControl/>
              <w:jc w:val="left"/>
              <w:rPr>
                <w:rFonts w:ascii="Arial Narrow" w:hAnsi="Arial Narrow"/>
                <w:b/>
                <w:sz w:val="20"/>
              </w:rPr>
            </w:pPr>
            <w:r w:rsidRPr="00C4471D">
              <w:rPr>
                <w:rFonts w:ascii="Arial Narrow" w:hAnsi="Arial Narrow"/>
                <w:sz w:val="20"/>
              </w:rPr>
              <w:t>3</w:t>
            </w:r>
            <w:r w:rsidRPr="00C4471D">
              <w:rPr>
                <w:rFonts w:ascii="Arial Narrow" w:hAnsi="Arial Narrow"/>
                <w:sz w:val="20"/>
                <w:vertAlign w:val="superscript"/>
              </w:rPr>
              <w:t>rd</w:t>
            </w:r>
            <w:r w:rsidRPr="00C4471D">
              <w:rPr>
                <w:rFonts w:ascii="Arial Narrow" w:hAnsi="Arial Narrow"/>
                <w:sz w:val="20"/>
              </w:rPr>
              <w:t xml:space="preserve"> May 2012</w:t>
            </w:r>
          </w:p>
        </w:tc>
      </w:tr>
      <w:tr w:rsidR="002F36A9" w:rsidRPr="004E2ADC" w:rsidTr="002F36A9">
        <w:tc>
          <w:tcPr>
            <w:tcW w:w="679" w:type="dxa"/>
            <w:tcBorders>
              <w:top w:val="nil"/>
              <w:bottom w:val="nil"/>
            </w:tcBorders>
          </w:tcPr>
          <w:p w:rsidR="002F36A9" w:rsidRPr="004E2ADC" w:rsidRDefault="002F36A9" w:rsidP="000A0288">
            <w:pPr>
              <w:keepNext/>
              <w:widowControl/>
              <w:jc w:val="left"/>
              <w:rPr>
                <w:rFonts w:ascii="Arial Narrow" w:hAnsi="Arial Narrow"/>
                <w:sz w:val="20"/>
              </w:rPr>
            </w:pPr>
          </w:p>
        </w:tc>
        <w:tc>
          <w:tcPr>
            <w:tcW w:w="6125" w:type="dxa"/>
            <w:tcBorders>
              <w:top w:val="nil"/>
              <w:bottom w:val="nil"/>
            </w:tcBorders>
          </w:tcPr>
          <w:p w:rsidR="002F36A9" w:rsidRPr="00E27C39" w:rsidRDefault="002F36A9" w:rsidP="000A0288">
            <w:pPr>
              <w:keepNext/>
              <w:widowControl/>
              <w:jc w:val="left"/>
              <w:rPr>
                <w:rFonts w:ascii="Arial Narrow" w:hAnsi="Arial Narrow"/>
                <w:sz w:val="20"/>
              </w:rPr>
            </w:pPr>
            <w:proofErr w:type="spellStart"/>
            <w:r>
              <w:rPr>
                <w:rFonts w:ascii="Arial Narrow" w:hAnsi="Arial Narrow"/>
                <w:sz w:val="20"/>
              </w:rPr>
              <w:t>Simonneau</w:t>
            </w:r>
            <w:proofErr w:type="spellEnd"/>
            <w:r>
              <w:rPr>
                <w:rFonts w:ascii="Arial Narrow" w:hAnsi="Arial Narrow"/>
                <w:sz w:val="20"/>
              </w:rPr>
              <w:t xml:space="preserve"> G, </w:t>
            </w:r>
            <w:proofErr w:type="spellStart"/>
            <w:r w:rsidRPr="006523D9">
              <w:rPr>
                <w:rFonts w:ascii="Arial Narrow" w:hAnsi="Arial Narrow"/>
                <w:sz w:val="20"/>
              </w:rPr>
              <w:t>D’Armini</w:t>
            </w:r>
            <w:proofErr w:type="spellEnd"/>
            <w:r w:rsidRPr="006523D9">
              <w:rPr>
                <w:rFonts w:ascii="Arial Narrow" w:hAnsi="Arial Narrow"/>
                <w:sz w:val="20"/>
              </w:rPr>
              <w:t xml:space="preserve"> AM</w:t>
            </w:r>
            <w:r>
              <w:rPr>
                <w:rFonts w:ascii="Arial Narrow" w:hAnsi="Arial Narrow"/>
                <w:sz w:val="20"/>
              </w:rPr>
              <w:t xml:space="preserve">, </w:t>
            </w:r>
            <w:proofErr w:type="spellStart"/>
            <w:r>
              <w:rPr>
                <w:rFonts w:ascii="Arial Narrow" w:hAnsi="Arial Narrow"/>
                <w:sz w:val="20"/>
              </w:rPr>
              <w:t>Ghofrani</w:t>
            </w:r>
            <w:proofErr w:type="spellEnd"/>
            <w:r>
              <w:rPr>
                <w:rFonts w:ascii="Arial Narrow" w:hAnsi="Arial Narrow"/>
                <w:sz w:val="20"/>
              </w:rPr>
              <w:t xml:space="preserve"> HA, </w:t>
            </w:r>
            <w:proofErr w:type="spellStart"/>
            <w:r w:rsidRPr="0079209F">
              <w:rPr>
                <w:rFonts w:ascii="Arial Narrow" w:hAnsi="Arial Narrow"/>
                <w:sz w:val="20"/>
              </w:rPr>
              <w:t>Grimminger</w:t>
            </w:r>
            <w:proofErr w:type="spellEnd"/>
            <w:r>
              <w:rPr>
                <w:rFonts w:ascii="Arial Narrow" w:hAnsi="Arial Narrow"/>
                <w:sz w:val="20"/>
              </w:rPr>
              <w:t xml:space="preserve"> F,</w:t>
            </w:r>
            <w:r w:rsidRPr="0079209F">
              <w:rPr>
                <w:rFonts w:ascii="Arial Narrow" w:hAnsi="Arial Narrow"/>
                <w:sz w:val="20"/>
              </w:rPr>
              <w:t xml:space="preserve"> </w:t>
            </w:r>
            <w:proofErr w:type="spellStart"/>
            <w:r w:rsidRPr="0079209F">
              <w:rPr>
                <w:rFonts w:ascii="Arial Narrow" w:hAnsi="Arial Narrow"/>
                <w:sz w:val="20"/>
              </w:rPr>
              <w:t>Hoeper</w:t>
            </w:r>
            <w:proofErr w:type="spellEnd"/>
            <w:r w:rsidRPr="0079209F">
              <w:rPr>
                <w:rFonts w:ascii="Arial Narrow" w:hAnsi="Arial Narrow"/>
                <w:sz w:val="20"/>
              </w:rPr>
              <w:t xml:space="preserve"> MM,</w:t>
            </w:r>
            <w:r>
              <w:rPr>
                <w:rFonts w:ascii="Arial Narrow" w:hAnsi="Arial Narrow"/>
                <w:sz w:val="20"/>
              </w:rPr>
              <w:t xml:space="preserve"> </w:t>
            </w:r>
            <w:proofErr w:type="spellStart"/>
            <w:r>
              <w:rPr>
                <w:rFonts w:ascii="Arial Narrow" w:hAnsi="Arial Narrow"/>
                <w:sz w:val="20"/>
              </w:rPr>
              <w:t>Jansa</w:t>
            </w:r>
            <w:proofErr w:type="spellEnd"/>
            <w:r>
              <w:rPr>
                <w:rFonts w:ascii="Arial Narrow" w:hAnsi="Arial Narrow"/>
                <w:sz w:val="20"/>
              </w:rPr>
              <w:t xml:space="preserve"> P, Nick K, Wang C, Wilkins M, Fritsch A, Davie </w:t>
            </w:r>
            <w:proofErr w:type="spellStart"/>
            <w:r>
              <w:rPr>
                <w:rFonts w:ascii="Arial Narrow" w:hAnsi="Arial Narrow"/>
                <w:sz w:val="20"/>
              </w:rPr>
              <w:t>N,Weimann</w:t>
            </w:r>
            <w:proofErr w:type="spellEnd"/>
            <w:r>
              <w:rPr>
                <w:rFonts w:ascii="Arial Narrow" w:hAnsi="Arial Narrow"/>
                <w:sz w:val="20"/>
              </w:rPr>
              <w:t xml:space="preserve"> G and Meyer E. </w:t>
            </w:r>
            <w:r w:rsidRPr="00E27C39">
              <w:rPr>
                <w:rFonts w:ascii="Arial Narrow" w:hAnsi="Arial Narrow"/>
                <w:sz w:val="20"/>
              </w:rPr>
              <w:t>Riociguat for the treatment of chronic thromboembolic pulmonary hypertension (CTEPH): 1-year results from the CHEST-2 long-term extension study</w:t>
            </w:r>
            <w:r>
              <w:rPr>
                <w:rFonts w:ascii="Arial Narrow" w:hAnsi="Arial Narrow"/>
                <w:sz w:val="20"/>
              </w:rPr>
              <w:t>.</w:t>
            </w:r>
            <w:r w:rsidRPr="00E27C39">
              <w:rPr>
                <w:rFonts w:ascii="Arial Narrow" w:hAnsi="Arial Narrow"/>
                <w:sz w:val="20"/>
              </w:rPr>
              <w:t xml:space="preserve"> </w:t>
            </w:r>
          </w:p>
          <w:p w:rsidR="002F36A9" w:rsidRPr="004E2ADC" w:rsidRDefault="002F36A9" w:rsidP="000A0288">
            <w:pPr>
              <w:keepNext/>
              <w:widowControl/>
              <w:jc w:val="left"/>
              <w:rPr>
                <w:rFonts w:ascii="Arial Narrow" w:hAnsi="Arial Narrow"/>
                <w:b/>
                <w:sz w:val="20"/>
              </w:rPr>
            </w:pPr>
          </w:p>
        </w:tc>
        <w:tc>
          <w:tcPr>
            <w:tcW w:w="1617" w:type="dxa"/>
            <w:tcBorders>
              <w:top w:val="nil"/>
              <w:bottom w:val="nil"/>
            </w:tcBorders>
          </w:tcPr>
          <w:p w:rsidR="002F36A9" w:rsidRPr="004E2ADC" w:rsidRDefault="002F36A9" w:rsidP="000A0288">
            <w:pPr>
              <w:keepNext/>
              <w:widowControl/>
              <w:jc w:val="left"/>
              <w:rPr>
                <w:rFonts w:ascii="Arial Narrow" w:hAnsi="Arial Narrow"/>
                <w:b/>
                <w:sz w:val="20"/>
              </w:rPr>
            </w:pPr>
            <w:r w:rsidRPr="00BC5694">
              <w:rPr>
                <w:rFonts w:ascii="Arial Narrow" w:hAnsi="Arial Narrow"/>
                <w:i/>
                <w:sz w:val="20"/>
              </w:rPr>
              <w:t>Chest</w:t>
            </w:r>
            <w:r>
              <w:rPr>
                <w:rFonts w:ascii="Arial Narrow" w:hAnsi="Arial Narrow"/>
                <w:i/>
                <w:sz w:val="20"/>
              </w:rPr>
              <w:t>.</w:t>
            </w:r>
            <w:r w:rsidRPr="00E27C39">
              <w:rPr>
                <w:rFonts w:ascii="Arial Narrow" w:hAnsi="Arial Narrow"/>
                <w:sz w:val="20"/>
              </w:rPr>
              <w:t xml:space="preserve"> 201</w:t>
            </w:r>
            <w:r>
              <w:rPr>
                <w:rFonts w:ascii="Arial Narrow" w:hAnsi="Arial Narrow"/>
                <w:sz w:val="20"/>
              </w:rPr>
              <w:t>3</w:t>
            </w:r>
            <w:r w:rsidRPr="00E27C39">
              <w:rPr>
                <w:rFonts w:ascii="Arial Narrow" w:hAnsi="Arial Narrow"/>
                <w:sz w:val="20"/>
              </w:rPr>
              <w:t>; 14</w:t>
            </w:r>
            <w:r>
              <w:rPr>
                <w:rFonts w:ascii="Arial Narrow" w:hAnsi="Arial Narrow"/>
                <w:sz w:val="20"/>
              </w:rPr>
              <w:t>4</w:t>
            </w:r>
            <w:r w:rsidRPr="00E27C39">
              <w:rPr>
                <w:rFonts w:ascii="Arial Narrow" w:hAnsi="Arial Narrow"/>
                <w:sz w:val="20"/>
              </w:rPr>
              <w:t xml:space="preserve"> (</w:t>
            </w:r>
            <w:r>
              <w:rPr>
                <w:rFonts w:ascii="Arial Narrow" w:hAnsi="Arial Narrow"/>
                <w:sz w:val="20"/>
              </w:rPr>
              <w:t>4_</w:t>
            </w:r>
            <w:r w:rsidRPr="008A6873">
              <w:rPr>
                <w:rFonts w:ascii="Arial Narrow" w:hAnsi="Arial Narrow"/>
                <w:sz w:val="20"/>
              </w:rPr>
              <w:t>MeetingAbstracts):1023A</w:t>
            </w:r>
          </w:p>
        </w:tc>
      </w:tr>
      <w:tr w:rsidR="002F36A9" w:rsidRPr="004E2ADC" w:rsidTr="002F36A9">
        <w:tc>
          <w:tcPr>
            <w:tcW w:w="679" w:type="dxa"/>
            <w:tcBorders>
              <w:top w:val="nil"/>
            </w:tcBorders>
          </w:tcPr>
          <w:p w:rsidR="002F36A9" w:rsidRPr="004E2ADC" w:rsidRDefault="002F36A9" w:rsidP="000A0288">
            <w:pPr>
              <w:keepNext/>
              <w:widowControl/>
              <w:jc w:val="left"/>
              <w:rPr>
                <w:rFonts w:ascii="Arial Narrow" w:hAnsi="Arial Narrow"/>
                <w:sz w:val="20"/>
              </w:rPr>
            </w:pPr>
          </w:p>
        </w:tc>
        <w:tc>
          <w:tcPr>
            <w:tcW w:w="6125" w:type="dxa"/>
            <w:tcBorders>
              <w:top w:val="nil"/>
            </w:tcBorders>
          </w:tcPr>
          <w:p w:rsidR="002F36A9" w:rsidRPr="004E2ADC" w:rsidRDefault="002F36A9" w:rsidP="000A0288">
            <w:pPr>
              <w:keepNext/>
              <w:widowControl/>
              <w:jc w:val="left"/>
              <w:rPr>
                <w:rFonts w:ascii="Arial Narrow" w:hAnsi="Arial Narrow"/>
                <w:sz w:val="20"/>
              </w:rPr>
            </w:pPr>
            <w:r>
              <w:rPr>
                <w:rFonts w:ascii="Arial Narrow" w:hAnsi="Arial Narrow"/>
                <w:sz w:val="20"/>
              </w:rPr>
              <w:t xml:space="preserve">Wang C, </w:t>
            </w:r>
            <w:proofErr w:type="spellStart"/>
            <w:r>
              <w:rPr>
                <w:rFonts w:ascii="Arial Narrow" w:hAnsi="Arial Narrow"/>
                <w:sz w:val="20"/>
              </w:rPr>
              <w:t>D’Armini</w:t>
            </w:r>
            <w:proofErr w:type="spellEnd"/>
            <w:r>
              <w:rPr>
                <w:rFonts w:ascii="Arial Narrow" w:hAnsi="Arial Narrow"/>
                <w:sz w:val="20"/>
              </w:rPr>
              <w:t xml:space="preserve"> A, </w:t>
            </w:r>
            <w:proofErr w:type="spellStart"/>
            <w:r>
              <w:rPr>
                <w:rFonts w:ascii="Arial Narrow" w:hAnsi="Arial Narrow"/>
                <w:sz w:val="20"/>
              </w:rPr>
              <w:t>Ghofrani</w:t>
            </w:r>
            <w:proofErr w:type="spellEnd"/>
            <w:r>
              <w:rPr>
                <w:rFonts w:ascii="Arial Narrow" w:hAnsi="Arial Narrow"/>
                <w:sz w:val="20"/>
              </w:rPr>
              <w:t xml:space="preserve"> HA, </w:t>
            </w:r>
            <w:proofErr w:type="spellStart"/>
            <w:r>
              <w:rPr>
                <w:rFonts w:ascii="Arial Narrow" w:hAnsi="Arial Narrow"/>
                <w:sz w:val="20"/>
              </w:rPr>
              <w:t>Grimminger</w:t>
            </w:r>
            <w:proofErr w:type="spellEnd"/>
            <w:r>
              <w:rPr>
                <w:rFonts w:ascii="Arial Narrow" w:hAnsi="Arial Narrow"/>
                <w:sz w:val="20"/>
              </w:rPr>
              <w:t xml:space="preserve"> F, </w:t>
            </w:r>
            <w:proofErr w:type="spellStart"/>
            <w:r>
              <w:rPr>
                <w:rFonts w:ascii="Arial Narrow" w:hAnsi="Arial Narrow"/>
                <w:sz w:val="20"/>
              </w:rPr>
              <w:t>Hoeper</w:t>
            </w:r>
            <w:proofErr w:type="spellEnd"/>
            <w:r>
              <w:rPr>
                <w:rFonts w:ascii="Arial Narrow" w:hAnsi="Arial Narrow"/>
                <w:sz w:val="20"/>
              </w:rPr>
              <w:t xml:space="preserve"> M, </w:t>
            </w:r>
            <w:proofErr w:type="spellStart"/>
            <w:r>
              <w:rPr>
                <w:rFonts w:ascii="Arial Narrow" w:hAnsi="Arial Narrow"/>
                <w:sz w:val="20"/>
              </w:rPr>
              <w:t>Jansa</w:t>
            </w:r>
            <w:proofErr w:type="spellEnd"/>
            <w:r>
              <w:rPr>
                <w:rFonts w:ascii="Arial Narrow" w:hAnsi="Arial Narrow"/>
                <w:sz w:val="20"/>
              </w:rPr>
              <w:t xml:space="preserve"> P, Kim N, </w:t>
            </w:r>
            <w:proofErr w:type="spellStart"/>
            <w:r>
              <w:rPr>
                <w:rFonts w:ascii="Arial Narrow" w:hAnsi="Arial Narrow"/>
                <w:sz w:val="20"/>
              </w:rPr>
              <w:t>Simonneau</w:t>
            </w:r>
            <w:proofErr w:type="spellEnd"/>
            <w:r>
              <w:rPr>
                <w:rFonts w:ascii="Arial Narrow" w:hAnsi="Arial Narrow"/>
                <w:sz w:val="20"/>
              </w:rPr>
              <w:t xml:space="preserve"> G, </w:t>
            </w:r>
            <w:proofErr w:type="spellStart"/>
            <w:r>
              <w:rPr>
                <w:rFonts w:ascii="Arial Narrow" w:hAnsi="Arial Narrow"/>
                <w:sz w:val="20"/>
              </w:rPr>
              <w:t>Torbicki</w:t>
            </w:r>
            <w:proofErr w:type="spellEnd"/>
            <w:r>
              <w:rPr>
                <w:rFonts w:ascii="Arial Narrow" w:hAnsi="Arial Narrow"/>
                <w:sz w:val="20"/>
              </w:rPr>
              <w:t xml:space="preserve">, Wilkins M, Fritsch A, Davie N and Mayer E. </w:t>
            </w:r>
            <w:r w:rsidRPr="005B54D4">
              <w:rPr>
                <w:rFonts w:ascii="Arial Narrow" w:hAnsi="Arial Narrow"/>
                <w:sz w:val="20"/>
              </w:rPr>
              <w:t>Long-term riociguat treatment in inoperable and persistent/recurrent CTEPH patients in who functional class (FC) I/II versus FC III/IV at baseline: Results from the 16-week phase III CHEST-1 study and CHEST-2 open-label extension.</w:t>
            </w:r>
          </w:p>
        </w:tc>
        <w:tc>
          <w:tcPr>
            <w:tcW w:w="1617" w:type="dxa"/>
            <w:tcBorders>
              <w:top w:val="nil"/>
            </w:tcBorders>
          </w:tcPr>
          <w:p w:rsidR="002F36A9" w:rsidRPr="005B54D4" w:rsidRDefault="002F36A9" w:rsidP="000A0288">
            <w:pPr>
              <w:keepNext/>
              <w:widowControl/>
              <w:jc w:val="left"/>
              <w:rPr>
                <w:rFonts w:ascii="Arial Narrow" w:hAnsi="Arial Narrow"/>
                <w:sz w:val="20"/>
              </w:rPr>
            </w:pPr>
            <w:r w:rsidRPr="005B54D4">
              <w:rPr>
                <w:rFonts w:ascii="Arial Narrow" w:hAnsi="Arial Narrow"/>
                <w:i/>
                <w:sz w:val="20"/>
              </w:rPr>
              <w:t>Chest</w:t>
            </w:r>
            <w:r>
              <w:rPr>
                <w:rFonts w:ascii="Arial Narrow" w:hAnsi="Arial Narrow"/>
                <w:i/>
                <w:sz w:val="20"/>
              </w:rPr>
              <w:t>.</w:t>
            </w:r>
            <w:r w:rsidRPr="005B54D4">
              <w:rPr>
                <w:rFonts w:ascii="Arial Narrow" w:hAnsi="Arial Narrow"/>
                <w:sz w:val="20"/>
              </w:rPr>
              <w:t xml:space="preserve"> 2014; 145 (3</w:t>
            </w:r>
            <w:r>
              <w:rPr>
                <w:rFonts w:ascii="Arial Narrow" w:hAnsi="Arial Narrow"/>
                <w:sz w:val="20"/>
              </w:rPr>
              <w:t>_MeetingAbstracts</w:t>
            </w:r>
            <w:r w:rsidRPr="0014303C">
              <w:rPr>
                <w:rFonts w:ascii="Arial Narrow" w:hAnsi="Arial Narrow"/>
                <w:sz w:val="20"/>
              </w:rPr>
              <w:t>):535B</w:t>
            </w:r>
          </w:p>
          <w:p w:rsidR="002F36A9" w:rsidRPr="004E2ADC" w:rsidRDefault="002F36A9" w:rsidP="000A0288">
            <w:pPr>
              <w:keepNext/>
              <w:widowControl/>
              <w:jc w:val="left"/>
              <w:rPr>
                <w:rFonts w:ascii="Arial Narrow" w:hAnsi="Arial Narrow"/>
                <w:sz w:val="20"/>
              </w:rPr>
            </w:pPr>
          </w:p>
        </w:tc>
      </w:tr>
    </w:tbl>
    <w:p w:rsidR="002F36A9" w:rsidRPr="00862502" w:rsidRDefault="002F36A9" w:rsidP="000A0288">
      <w:pPr>
        <w:pStyle w:val="TableFooter"/>
        <w:widowControl/>
        <w:ind w:firstLine="720"/>
        <w:rPr>
          <w:szCs w:val="22"/>
        </w:rPr>
      </w:pPr>
      <w:r w:rsidRPr="00D13A3E">
        <w:t xml:space="preserve">Source: </w:t>
      </w:r>
      <w:r>
        <w:t>Table B.2-2, p34 of the re-submission</w:t>
      </w:r>
      <w:r w:rsidR="006D15B0">
        <w:t>.</w:t>
      </w:r>
    </w:p>
    <w:p w:rsidR="002F36A9" w:rsidRPr="008F120A" w:rsidRDefault="002F36A9" w:rsidP="000A0288">
      <w:pPr>
        <w:widowControl/>
        <w:rPr>
          <w:szCs w:val="22"/>
        </w:rPr>
      </w:pPr>
    </w:p>
    <w:p w:rsidR="002F36A9" w:rsidRDefault="002F36A9" w:rsidP="000A0288">
      <w:pPr>
        <w:pStyle w:val="ListParagraph"/>
        <w:keepNext/>
        <w:widowControl/>
        <w:numPr>
          <w:ilvl w:val="1"/>
          <w:numId w:val="2"/>
        </w:numPr>
        <w:rPr>
          <w:szCs w:val="22"/>
        </w:rPr>
      </w:pPr>
      <w:r w:rsidRPr="00A3086E">
        <w:rPr>
          <w:szCs w:val="22"/>
        </w:rPr>
        <w:lastRenderedPageBreak/>
        <w:t xml:space="preserve">The key features of the </w:t>
      </w:r>
      <w:r w:rsidR="00B66FC4">
        <w:rPr>
          <w:szCs w:val="22"/>
        </w:rPr>
        <w:t>CHEST-1</w:t>
      </w:r>
      <w:r w:rsidRPr="00A3086E">
        <w:rPr>
          <w:szCs w:val="22"/>
        </w:rPr>
        <w:t xml:space="preserve"> trial are summarised in the </w:t>
      </w:r>
      <w:r w:rsidR="006D15B0">
        <w:rPr>
          <w:szCs w:val="22"/>
        </w:rPr>
        <w:t xml:space="preserve">following </w:t>
      </w:r>
      <w:r w:rsidRPr="00A3086E">
        <w:rPr>
          <w:szCs w:val="22"/>
        </w:rPr>
        <w:t>table.</w:t>
      </w:r>
      <w:r w:rsidR="006B5090">
        <w:rPr>
          <w:szCs w:val="22"/>
        </w:rPr>
        <w:t xml:space="preserve"> </w:t>
      </w:r>
    </w:p>
    <w:p w:rsidR="002F36A9" w:rsidRPr="00A3086E" w:rsidRDefault="002F36A9" w:rsidP="000A0288">
      <w:pPr>
        <w:keepNext/>
        <w:widowControl/>
        <w:rPr>
          <w:szCs w:val="22"/>
        </w:rPr>
      </w:pPr>
    </w:p>
    <w:p w:rsidR="002F36A9" w:rsidRPr="00E2771E" w:rsidRDefault="002F36A9" w:rsidP="000A0288">
      <w:pPr>
        <w:keepNext/>
        <w:widowControl/>
        <w:ind w:firstLine="720"/>
        <w:rPr>
          <w:rStyle w:val="CommentReference"/>
        </w:rPr>
      </w:pPr>
      <w:r w:rsidRPr="00E2771E">
        <w:rPr>
          <w:rStyle w:val="CommentReference"/>
        </w:rPr>
        <w:t xml:space="preserve">Table </w:t>
      </w:r>
      <w:r>
        <w:rPr>
          <w:rStyle w:val="CommentReference"/>
        </w:rPr>
        <w:t>2</w:t>
      </w:r>
      <w:r w:rsidRPr="00E2771E">
        <w:rPr>
          <w:rStyle w:val="CommentReference"/>
        </w:rPr>
        <w:t>: Key features of the included evidence</w:t>
      </w:r>
    </w:p>
    <w:tbl>
      <w:tblPr>
        <w:tblW w:w="463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03"/>
        <w:gridCol w:w="473"/>
        <w:gridCol w:w="851"/>
        <w:gridCol w:w="711"/>
        <w:gridCol w:w="1134"/>
        <w:gridCol w:w="990"/>
        <w:gridCol w:w="3460"/>
      </w:tblGrid>
      <w:tr w:rsidR="002F36A9" w:rsidRPr="00E2771E" w:rsidTr="002F36A9">
        <w:tc>
          <w:tcPr>
            <w:tcW w:w="477" w:type="pct"/>
            <w:shd w:val="clear" w:color="auto" w:fill="auto"/>
            <w:vAlign w:val="center"/>
          </w:tcPr>
          <w:p w:rsidR="002F36A9" w:rsidRPr="00E2771E" w:rsidRDefault="002F36A9" w:rsidP="000A0288">
            <w:pPr>
              <w:keepNext/>
              <w:widowControl/>
              <w:jc w:val="left"/>
              <w:rPr>
                <w:rFonts w:ascii="Arial Narrow" w:hAnsi="Arial Narrow"/>
                <w:b/>
                <w:sz w:val="20"/>
                <w:lang w:val="en-US"/>
              </w:rPr>
            </w:pPr>
            <w:r w:rsidRPr="00E2771E">
              <w:rPr>
                <w:rFonts w:ascii="Arial Narrow" w:hAnsi="Arial Narrow"/>
                <w:b/>
                <w:sz w:val="20"/>
                <w:lang w:val="en-US"/>
              </w:rPr>
              <w:t>Trial</w:t>
            </w:r>
          </w:p>
        </w:tc>
        <w:tc>
          <w:tcPr>
            <w:tcW w:w="281" w:type="pct"/>
            <w:shd w:val="clear" w:color="auto" w:fill="auto"/>
            <w:vAlign w:val="center"/>
          </w:tcPr>
          <w:p w:rsidR="002F36A9" w:rsidRPr="00E2771E" w:rsidRDefault="002F36A9" w:rsidP="000A0288">
            <w:pPr>
              <w:keepNext/>
              <w:widowControl/>
              <w:jc w:val="center"/>
              <w:rPr>
                <w:rFonts w:ascii="Arial Narrow" w:hAnsi="Arial Narrow"/>
                <w:b/>
                <w:sz w:val="20"/>
                <w:lang w:val="en-US"/>
              </w:rPr>
            </w:pPr>
            <w:r w:rsidRPr="00E2771E">
              <w:rPr>
                <w:rFonts w:ascii="Arial Narrow" w:hAnsi="Arial Narrow"/>
                <w:b/>
                <w:sz w:val="20"/>
                <w:lang w:val="en-US"/>
              </w:rPr>
              <w:t>N</w:t>
            </w:r>
          </w:p>
        </w:tc>
        <w:tc>
          <w:tcPr>
            <w:tcW w:w="505" w:type="pct"/>
            <w:shd w:val="clear" w:color="auto" w:fill="auto"/>
            <w:vAlign w:val="center"/>
          </w:tcPr>
          <w:p w:rsidR="002F36A9" w:rsidRPr="00E2771E" w:rsidRDefault="002F36A9" w:rsidP="000A0288">
            <w:pPr>
              <w:keepNext/>
              <w:widowControl/>
              <w:jc w:val="center"/>
              <w:rPr>
                <w:rFonts w:ascii="Arial Narrow" w:hAnsi="Arial Narrow"/>
                <w:b/>
                <w:sz w:val="20"/>
                <w:lang w:val="en-US"/>
              </w:rPr>
            </w:pPr>
            <w:r w:rsidRPr="00E2771E">
              <w:rPr>
                <w:rFonts w:ascii="Arial Narrow" w:hAnsi="Arial Narrow"/>
                <w:b/>
                <w:sz w:val="20"/>
                <w:lang w:val="en-US"/>
              </w:rPr>
              <w:t>Design/ duration</w:t>
            </w:r>
          </w:p>
        </w:tc>
        <w:tc>
          <w:tcPr>
            <w:tcW w:w="422" w:type="pct"/>
            <w:shd w:val="clear" w:color="auto" w:fill="auto"/>
            <w:vAlign w:val="center"/>
          </w:tcPr>
          <w:p w:rsidR="002F36A9" w:rsidRPr="00E2771E" w:rsidRDefault="002F36A9" w:rsidP="000A0288">
            <w:pPr>
              <w:keepNext/>
              <w:widowControl/>
              <w:jc w:val="center"/>
              <w:rPr>
                <w:rFonts w:ascii="Arial Narrow" w:hAnsi="Arial Narrow"/>
                <w:b/>
                <w:sz w:val="20"/>
                <w:lang w:val="en-US"/>
              </w:rPr>
            </w:pPr>
            <w:r w:rsidRPr="00E2771E">
              <w:rPr>
                <w:rFonts w:ascii="Arial Narrow" w:hAnsi="Arial Narrow"/>
                <w:b/>
                <w:sz w:val="20"/>
                <w:lang w:val="en-US"/>
              </w:rPr>
              <w:t>Risk of bias</w:t>
            </w:r>
          </w:p>
        </w:tc>
        <w:tc>
          <w:tcPr>
            <w:tcW w:w="673" w:type="pct"/>
            <w:shd w:val="clear" w:color="auto" w:fill="auto"/>
            <w:vAlign w:val="center"/>
          </w:tcPr>
          <w:p w:rsidR="002F36A9" w:rsidRPr="00E2771E" w:rsidRDefault="002F36A9" w:rsidP="000A0288">
            <w:pPr>
              <w:keepNext/>
              <w:widowControl/>
              <w:jc w:val="center"/>
              <w:rPr>
                <w:rFonts w:ascii="Arial Narrow" w:hAnsi="Arial Narrow"/>
                <w:b/>
                <w:sz w:val="20"/>
                <w:lang w:val="en-US"/>
              </w:rPr>
            </w:pPr>
            <w:r w:rsidRPr="00E2771E">
              <w:rPr>
                <w:rFonts w:ascii="Arial Narrow" w:hAnsi="Arial Narrow"/>
                <w:b/>
                <w:sz w:val="20"/>
                <w:lang w:val="en-US"/>
              </w:rPr>
              <w:t>Patient population</w:t>
            </w:r>
          </w:p>
        </w:tc>
        <w:tc>
          <w:tcPr>
            <w:tcW w:w="588" w:type="pct"/>
            <w:shd w:val="clear" w:color="auto" w:fill="auto"/>
            <w:vAlign w:val="center"/>
          </w:tcPr>
          <w:p w:rsidR="002F36A9" w:rsidRPr="00E2771E" w:rsidRDefault="002F36A9" w:rsidP="000A0288">
            <w:pPr>
              <w:keepNext/>
              <w:widowControl/>
              <w:jc w:val="center"/>
              <w:rPr>
                <w:rFonts w:ascii="Arial Narrow" w:hAnsi="Arial Narrow"/>
                <w:b/>
                <w:sz w:val="20"/>
                <w:lang w:val="en-US"/>
              </w:rPr>
            </w:pPr>
            <w:r w:rsidRPr="00E2771E">
              <w:rPr>
                <w:rFonts w:ascii="Arial Narrow" w:hAnsi="Arial Narrow"/>
                <w:b/>
                <w:sz w:val="20"/>
                <w:lang w:val="en-US"/>
              </w:rPr>
              <w:t>Outcome</w:t>
            </w:r>
          </w:p>
        </w:tc>
        <w:tc>
          <w:tcPr>
            <w:tcW w:w="2054" w:type="pct"/>
            <w:shd w:val="clear" w:color="auto" w:fill="auto"/>
            <w:vAlign w:val="center"/>
          </w:tcPr>
          <w:p w:rsidR="002F36A9" w:rsidRPr="00E2771E" w:rsidRDefault="002F36A9" w:rsidP="000A0288">
            <w:pPr>
              <w:keepNext/>
              <w:widowControl/>
              <w:jc w:val="center"/>
              <w:rPr>
                <w:rFonts w:ascii="Arial Narrow" w:hAnsi="Arial Narrow"/>
                <w:b/>
                <w:sz w:val="20"/>
                <w:lang w:val="en-US"/>
              </w:rPr>
            </w:pPr>
            <w:r w:rsidRPr="00E2771E">
              <w:rPr>
                <w:rFonts w:ascii="Arial Narrow" w:hAnsi="Arial Narrow"/>
                <w:b/>
                <w:sz w:val="20"/>
                <w:lang w:val="en-US"/>
              </w:rPr>
              <w:t>Use in modelled evaluation</w:t>
            </w:r>
          </w:p>
        </w:tc>
      </w:tr>
      <w:tr w:rsidR="002F36A9" w:rsidRPr="00E2771E" w:rsidTr="002F36A9">
        <w:tc>
          <w:tcPr>
            <w:tcW w:w="5000" w:type="pct"/>
            <w:gridSpan w:val="7"/>
            <w:shd w:val="clear" w:color="auto" w:fill="auto"/>
            <w:vAlign w:val="center"/>
          </w:tcPr>
          <w:p w:rsidR="002F36A9" w:rsidRPr="00E2771E" w:rsidRDefault="002F36A9" w:rsidP="000A0288">
            <w:pPr>
              <w:keepNext/>
              <w:widowControl/>
              <w:jc w:val="left"/>
              <w:rPr>
                <w:rFonts w:ascii="Arial Narrow" w:hAnsi="Arial Narrow"/>
                <w:b/>
                <w:sz w:val="20"/>
                <w:lang w:val="en-US"/>
              </w:rPr>
            </w:pPr>
            <w:r>
              <w:rPr>
                <w:rFonts w:ascii="Arial Narrow" w:hAnsi="Arial Narrow"/>
                <w:b/>
                <w:sz w:val="20"/>
                <w:lang w:val="en-US"/>
              </w:rPr>
              <w:t>Riociguat vs placebo</w:t>
            </w:r>
          </w:p>
        </w:tc>
      </w:tr>
      <w:tr w:rsidR="002F36A9" w:rsidRPr="00E2771E" w:rsidTr="002F36A9">
        <w:tc>
          <w:tcPr>
            <w:tcW w:w="477" w:type="pct"/>
            <w:shd w:val="clear" w:color="auto" w:fill="auto"/>
            <w:vAlign w:val="center"/>
          </w:tcPr>
          <w:p w:rsidR="002F36A9" w:rsidRPr="00E2771E" w:rsidRDefault="002F36A9" w:rsidP="000A0288">
            <w:pPr>
              <w:keepNext/>
              <w:widowControl/>
              <w:jc w:val="left"/>
              <w:rPr>
                <w:rFonts w:ascii="Arial Narrow" w:hAnsi="Arial Narrow"/>
                <w:sz w:val="20"/>
                <w:lang w:val="en-US"/>
              </w:rPr>
            </w:pPr>
            <w:r>
              <w:rPr>
                <w:rFonts w:ascii="Arial Narrow" w:hAnsi="Arial Narrow"/>
                <w:sz w:val="20"/>
                <w:lang w:val="en-US"/>
              </w:rPr>
              <w:t>CHEST-1</w:t>
            </w:r>
          </w:p>
        </w:tc>
        <w:tc>
          <w:tcPr>
            <w:tcW w:w="281" w:type="pct"/>
            <w:shd w:val="clear" w:color="auto" w:fill="auto"/>
            <w:vAlign w:val="center"/>
          </w:tcPr>
          <w:p w:rsidR="002F36A9" w:rsidRPr="00E2771E" w:rsidRDefault="002F36A9" w:rsidP="000A0288">
            <w:pPr>
              <w:keepNext/>
              <w:widowControl/>
              <w:jc w:val="center"/>
              <w:rPr>
                <w:rFonts w:ascii="Arial Narrow" w:hAnsi="Arial Narrow"/>
                <w:sz w:val="20"/>
                <w:lang w:val="en-US"/>
              </w:rPr>
            </w:pPr>
            <w:r>
              <w:rPr>
                <w:rFonts w:ascii="Arial Narrow" w:hAnsi="Arial Narrow"/>
                <w:sz w:val="20"/>
                <w:lang w:val="en-US"/>
              </w:rPr>
              <w:t>261</w:t>
            </w:r>
          </w:p>
        </w:tc>
        <w:tc>
          <w:tcPr>
            <w:tcW w:w="505" w:type="pct"/>
            <w:shd w:val="clear" w:color="auto" w:fill="auto"/>
            <w:vAlign w:val="center"/>
          </w:tcPr>
          <w:p w:rsidR="002F36A9" w:rsidRPr="00E2771E" w:rsidRDefault="002F36A9" w:rsidP="000A0288">
            <w:pPr>
              <w:keepNext/>
              <w:widowControl/>
              <w:jc w:val="center"/>
              <w:rPr>
                <w:rFonts w:ascii="Arial Narrow" w:hAnsi="Arial Narrow"/>
                <w:sz w:val="20"/>
                <w:lang w:val="en-US"/>
              </w:rPr>
            </w:pPr>
            <w:r>
              <w:rPr>
                <w:rFonts w:ascii="Arial Narrow" w:hAnsi="Arial Narrow"/>
                <w:sz w:val="20"/>
                <w:lang w:val="en-US"/>
              </w:rPr>
              <w:t>R, DB, 16 weeks</w:t>
            </w:r>
          </w:p>
        </w:tc>
        <w:tc>
          <w:tcPr>
            <w:tcW w:w="422" w:type="pct"/>
            <w:shd w:val="clear" w:color="auto" w:fill="auto"/>
            <w:vAlign w:val="center"/>
          </w:tcPr>
          <w:p w:rsidR="002F36A9" w:rsidRPr="00E2771E" w:rsidRDefault="002F36A9" w:rsidP="000A0288">
            <w:pPr>
              <w:keepNext/>
              <w:widowControl/>
              <w:jc w:val="center"/>
              <w:rPr>
                <w:rFonts w:ascii="Arial Narrow" w:hAnsi="Arial Narrow"/>
                <w:sz w:val="20"/>
                <w:lang w:val="en-US"/>
              </w:rPr>
            </w:pPr>
            <w:r w:rsidRPr="00E2771E">
              <w:rPr>
                <w:rFonts w:ascii="Arial Narrow" w:hAnsi="Arial Narrow"/>
                <w:sz w:val="20"/>
                <w:lang w:val="en-US"/>
              </w:rPr>
              <w:t>Low</w:t>
            </w:r>
          </w:p>
        </w:tc>
        <w:tc>
          <w:tcPr>
            <w:tcW w:w="673" w:type="pct"/>
            <w:shd w:val="clear" w:color="auto" w:fill="auto"/>
            <w:vAlign w:val="center"/>
          </w:tcPr>
          <w:p w:rsidR="002F36A9" w:rsidRPr="00E2771E" w:rsidRDefault="002F36A9" w:rsidP="000A0288">
            <w:pPr>
              <w:keepNext/>
              <w:widowControl/>
              <w:jc w:val="center"/>
              <w:rPr>
                <w:rFonts w:ascii="Arial Narrow" w:hAnsi="Arial Narrow"/>
                <w:sz w:val="20"/>
                <w:lang w:val="en-US"/>
              </w:rPr>
            </w:pPr>
            <w:r>
              <w:rPr>
                <w:rFonts w:ascii="Arial Narrow" w:hAnsi="Arial Narrow"/>
                <w:sz w:val="20"/>
                <w:lang w:val="en-US"/>
              </w:rPr>
              <w:t>Inoperable and persistent CTEPH</w:t>
            </w:r>
          </w:p>
        </w:tc>
        <w:tc>
          <w:tcPr>
            <w:tcW w:w="588" w:type="pct"/>
            <w:shd w:val="clear" w:color="auto" w:fill="auto"/>
            <w:vAlign w:val="center"/>
          </w:tcPr>
          <w:p w:rsidR="002F36A9" w:rsidRPr="00E2771E" w:rsidRDefault="002F36A9" w:rsidP="000A0288">
            <w:pPr>
              <w:keepNext/>
              <w:widowControl/>
              <w:jc w:val="center"/>
              <w:rPr>
                <w:rFonts w:ascii="Arial Narrow" w:hAnsi="Arial Narrow"/>
                <w:sz w:val="20"/>
                <w:lang w:val="en-US"/>
              </w:rPr>
            </w:pPr>
            <w:r>
              <w:rPr>
                <w:rFonts w:ascii="Arial Narrow" w:hAnsi="Arial Narrow"/>
                <w:sz w:val="20"/>
                <w:lang w:val="en-US"/>
              </w:rPr>
              <w:t>6MWD, WHO FC</w:t>
            </w:r>
          </w:p>
        </w:tc>
        <w:tc>
          <w:tcPr>
            <w:tcW w:w="2054" w:type="pct"/>
            <w:shd w:val="clear" w:color="auto" w:fill="auto"/>
            <w:vAlign w:val="center"/>
          </w:tcPr>
          <w:p w:rsidR="002F36A9" w:rsidRPr="00E2771E" w:rsidRDefault="002F36A9" w:rsidP="000A0288">
            <w:pPr>
              <w:keepNext/>
              <w:widowControl/>
              <w:jc w:val="center"/>
              <w:rPr>
                <w:rFonts w:ascii="Arial Narrow" w:hAnsi="Arial Narrow"/>
                <w:sz w:val="20"/>
                <w:lang w:val="en-US"/>
              </w:rPr>
            </w:pPr>
            <w:r>
              <w:rPr>
                <w:rFonts w:ascii="Arial Narrow" w:hAnsi="Arial Narrow"/>
                <w:sz w:val="20"/>
                <w:lang w:val="en-US"/>
              </w:rPr>
              <w:t>Parametric extrapolations for change in WHO FC (first cycle)</w:t>
            </w:r>
            <w:r w:rsidR="00B66FC4">
              <w:rPr>
                <w:rFonts w:ascii="Arial Narrow" w:hAnsi="Arial Narrow"/>
                <w:sz w:val="20"/>
                <w:lang w:val="en-US"/>
              </w:rPr>
              <w:t>;</w:t>
            </w:r>
            <w:r>
              <w:rPr>
                <w:rFonts w:ascii="Arial Narrow" w:hAnsi="Arial Narrow"/>
                <w:sz w:val="20"/>
                <w:lang w:val="en-US"/>
              </w:rPr>
              <w:t xml:space="preserve"> initial distribution of patients by WHO FC; EQ-5D</w:t>
            </w:r>
            <w:r w:rsidR="00B66FC4">
              <w:rPr>
                <w:rFonts w:ascii="Arial Narrow" w:hAnsi="Arial Narrow"/>
                <w:sz w:val="20"/>
                <w:lang w:val="en-US"/>
              </w:rPr>
              <w:t>;</w:t>
            </w:r>
            <w:r>
              <w:rPr>
                <w:rFonts w:ascii="Arial Narrow" w:hAnsi="Arial Narrow"/>
                <w:sz w:val="20"/>
                <w:lang w:val="en-US"/>
              </w:rPr>
              <w:t xml:space="preserve"> transition probabilities for discontinuation of treatment </w:t>
            </w:r>
          </w:p>
        </w:tc>
      </w:tr>
    </w:tbl>
    <w:p w:rsidR="002F36A9" w:rsidRPr="0072416F" w:rsidRDefault="002F36A9" w:rsidP="000A0288">
      <w:pPr>
        <w:pStyle w:val="TableFooter"/>
        <w:keepNext/>
        <w:widowControl/>
        <w:ind w:left="720"/>
      </w:pPr>
      <w:r>
        <w:t xml:space="preserve">Abbreviations: 6MWD = 6 minute walking distance test; CTEPH = chronic thromboembolic pulmonary hypertension; </w:t>
      </w:r>
      <w:r w:rsidRPr="0072416F">
        <w:t xml:space="preserve">DB=double blind; </w:t>
      </w:r>
      <w:r>
        <w:t xml:space="preserve">FC = functional class; </w:t>
      </w:r>
      <w:r w:rsidRPr="0072416F">
        <w:t>R=randomised.</w:t>
      </w:r>
      <w:r w:rsidR="006B5090">
        <w:t xml:space="preserve"> </w:t>
      </w:r>
      <w:r w:rsidRPr="0072416F">
        <w:t>Source: compiled during the evaluation</w:t>
      </w:r>
      <w:r w:rsidR="006D15B0">
        <w:t>.</w:t>
      </w:r>
    </w:p>
    <w:p w:rsidR="002F36A9" w:rsidRDefault="002F36A9" w:rsidP="000A0288">
      <w:pPr>
        <w:widowControl/>
      </w:pPr>
    </w:p>
    <w:p w:rsidR="002F36A9" w:rsidRPr="002C2775" w:rsidRDefault="002F36A9" w:rsidP="00B24622">
      <w:pPr>
        <w:pStyle w:val="Heading2"/>
      </w:pPr>
      <w:bookmarkStart w:id="15" w:name="_Toc416959987"/>
      <w:bookmarkStart w:id="16" w:name="_Toc419206871"/>
      <w:r w:rsidRPr="002C2775">
        <w:t>Comparative effectiveness</w:t>
      </w:r>
      <w:bookmarkEnd w:id="15"/>
      <w:bookmarkEnd w:id="16"/>
    </w:p>
    <w:p w:rsidR="002F36A9" w:rsidRPr="00B50DB8" w:rsidRDefault="002F36A9" w:rsidP="000A0288">
      <w:pPr>
        <w:pStyle w:val="ListParagraph"/>
        <w:widowControl/>
        <w:numPr>
          <w:ilvl w:val="1"/>
          <w:numId w:val="2"/>
        </w:numPr>
        <w:rPr>
          <w:szCs w:val="22"/>
        </w:rPr>
      </w:pPr>
      <w:r>
        <w:rPr>
          <w:szCs w:val="22"/>
        </w:rPr>
        <w:t xml:space="preserve">At the November 2014 meeting, the PBAC noted </w:t>
      </w:r>
      <w:r w:rsidR="005D08A7">
        <w:rPr>
          <w:szCs w:val="22"/>
        </w:rPr>
        <w:t>the</w:t>
      </w:r>
      <w:r>
        <w:rPr>
          <w:szCs w:val="22"/>
        </w:rPr>
        <w:t xml:space="preserve"> statistical significance of treatment effect in terms of the primary endpoint change in 6MWD favouring riociguat over placebo.</w:t>
      </w:r>
      <w:r w:rsidR="006B5090">
        <w:rPr>
          <w:szCs w:val="22"/>
        </w:rPr>
        <w:t xml:space="preserve"> </w:t>
      </w:r>
      <w:r>
        <w:rPr>
          <w:szCs w:val="22"/>
        </w:rPr>
        <w:t xml:space="preserve">The </w:t>
      </w:r>
      <w:r w:rsidR="00B66FC4">
        <w:rPr>
          <w:szCs w:val="22"/>
        </w:rPr>
        <w:t xml:space="preserve">Committee </w:t>
      </w:r>
      <w:r>
        <w:rPr>
          <w:szCs w:val="22"/>
        </w:rPr>
        <w:t>further noted that the mean difference (45.7 metres) was within the minimal clinically important difference (MCID) of 35 to 50 metres it had previously accepted (</w:t>
      </w:r>
      <w:r w:rsidRPr="0011087E">
        <w:rPr>
          <w:szCs w:val="22"/>
        </w:rPr>
        <w:t>November 2014</w:t>
      </w:r>
      <w:r w:rsidR="005B3879" w:rsidRPr="0011087E">
        <w:rPr>
          <w:szCs w:val="22"/>
        </w:rPr>
        <w:t xml:space="preserve"> riociguat PSD</w:t>
      </w:r>
      <w:r>
        <w:rPr>
          <w:szCs w:val="22"/>
        </w:rPr>
        <w:t>, paragraph 7.3).</w:t>
      </w:r>
      <w:r w:rsidR="006B5090">
        <w:rPr>
          <w:szCs w:val="22"/>
        </w:rPr>
        <w:t xml:space="preserve"> </w:t>
      </w:r>
      <w:r>
        <w:rPr>
          <w:szCs w:val="22"/>
        </w:rPr>
        <w:t>K</w:t>
      </w:r>
      <w:r w:rsidRPr="004B1318">
        <w:rPr>
          <w:szCs w:val="22"/>
        </w:rPr>
        <w:t xml:space="preserve">ey results from the pivotal trial (CHEST-1) </w:t>
      </w:r>
      <w:r>
        <w:rPr>
          <w:szCs w:val="22"/>
        </w:rPr>
        <w:t>are</w:t>
      </w:r>
      <w:r w:rsidRPr="004B1318">
        <w:rPr>
          <w:szCs w:val="22"/>
        </w:rPr>
        <w:t xml:space="preserve"> presented </w:t>
      </w:r>
      <w:r>
        <w:rPr>
          <w:szCs w:val="22"/>
        </w:rPr>
        <w:t>in the table below</w:t>
      </w:r>
      <w:r w:rsidRPr="004B1318">
        <w:rPr>
          <w:szCs w:val="22"/>
        </w:rPr>
        <w:t>.</w:t>
      </w:r>
      <w:r w:rsidR="006B5090">
        <w:rPr>
          <w:szCs w:val="22"/>
        </w:rPr>
        <w:t xml:space="preserve"> </w:t>
      </w:r>
    </w:p>
    <w:p w:rsidR="002F36A9" w:rsidRDefault="002F36A9" w:rsidP="000A0288">
      <w:pPr>
        <w:widowControl/>
        <w:ind w:left="720"/>
        <w:rPr>
          <w:szCs w:val="22"/>
        </w:rPr>
      </w:pPr>
    </w:p>
    <w:p w:rsidR="006B56DD" w:rsidRDefault="006B56DD" w:rsidP="000A0288">
      <w:pPr>
        <w:widowControl/>
        <w:ind w:left="720"/>
        <w:rPr>
          <w:rStyle w:val="CommentReference"/>
        </w:rPr>
      </w:pPr>
      <w:r>
        <w:rPr>
          <w:rStyle w:val="CommentReference"/>
        </w:rPr>
        <w:t>Table 3: Summary of key results from CHEST-1</w:t>
      </w:r>
    </w:p>
    <w:tbl>
      <w:tblPr>
        <w:tblStyle w:val="TableGrid"/>
        <w:tblW w:w="0" w:type="auto"/>
        <w:tblInd w:w="737" w:type="dxa"/>
        <w:tblCellMar>
          <w:left w:w="28" w:type="dxa"/>
          <w:right w:w="28" w:type="dxa"/>
        </w:tblCellMar>
        <w:tblLook w:val="04A0" w:firstRow="1" w:lastRow="0" w:firstColumn="1" w:lastColumn="0" w:noHBand="0" w:noVBand="1"/>
        <w:tblCaption w:val="&quot;&quot;"/>
      </w:tblPr>
      <w:tblGrid>
        <w:gridCol w:w="4502"/>
        <w:gridCol w:w="1888"/>
        <w:gridCol w:w="1889"/>
      </w:tblGrid>
      <w:tr w:rsidR="00857461" w:rsidTr="00857461">
        <w:trPr>
          <w:tblHeader/>
        </w:trPr>
        <w:tc>
          <w:tcPr>
            <w:tcW w:w="4502" w:type="dxa"/>
            <w:tcBorders>
              <w:top w:val="single" w:sz="4" w:space="0" w:color="auto"/>
              <w:left w:val="single" w:sz="4" w:space="0" w:color="auto"/>
              <w:bottom w:val="single" w:sz="4" w:space="0" w:color="auto"/>
              <w:right w:val="single" w:sz="4" w:space="0" w:color="auto"/>
            </w:tcBorders>
            <w:vAlign w:val="center"/>
            <w:hideMark/>
          </w:tcPr>
          <w:p w:rsidR="00857461" w:rsidRDefault="00857461" w:rsidP="00857461">
            <w:pPr>
              <w:widowControl/>
              <w:snapToGrid w:val="0"/>
              <w:jc w:val="left"/>
              <w:rPr>
                <w:rStyle w:val="CommentReference"/>
                <w:rFonts w:eastAsia="SimSun"/>
              </w:rPr>
            </w:pPr>
            <w:r>
              <w:rPr>
                <w:rStyle w:val="CommentReference"/>
                <w:rFonts w:eastAsia="SimSun"/>
                <w:lang w:eastAsia="en-AU"/>
              </w:rPr>
              <w:t>6MWD, metres</w:t>
            </w:r>
          </w:p>
        </w:tc>
        <w:tc>
          <w:tcPr>
            <w:tcW w:w="1888" w:type="dxa"/>
            <w:tcBorders>
              <w:top w:val="single" w:sz="4" w:space="0" w:color="auto"/>
              <w:left w:val="single" w:sz="4" w:space="0" w:color="auto"/>
              <w:bottom w:val="single" w:sz="4" w:space="0" w:color="auto"/>
              <w:right w:val="single" w:sz="4" w:space="0" w:color="auto"/>
            </w:tcBorders>
            <w:vAlign w:val="center"/>
            <w:hideMark/>
          </w:tcPr>
          <w:p w:rsidR="00857461" w:rsidRDefault="00857461" w:rsidP="00857461">
            <w:pPr>
              <w:widowControl/>
              <w:snapToGrid w:val="0"/>
              <w:jc w:val="center"/>
              <w:rPr>
                <w:rStyle w:val="CommentReference"/>
                <w:rFonts w:eastAsia="SimSun"/>
              </w:rPr>
            </w:pPr>
            <w:r>
              <w:rPr>
                <w:rStyle w:val="CommentReference"/>
                <w:rFonts w:eastAsia="SimSun"/>
                <w:lang w:eastAsia="en-AU"/>
              </w:rPr>
              <w:t>Riociguat (n=173)</w:t>
            </w:r>
          </w:p>
        </w:tc>
        <w:tc>
          <w:tcPr>
            <w:tcW w:w="1889" w:type="dxa"/>
            <w:tcBorders>
              <w:top w:val="single" w:sz="4" w:space="0" w:color="auto"/>
              <w:left w:val="single" w:sz="4" w:space="0" w:color="auto"/>
              <w:bottom w:val="single" w:sz="4" w:space="0" w:color="auto"/>
              <w:right w:val="single" w:sz="4" w:space="0" w:color="auto"/>
            </w:tcBorders>
            <w:vAlign w:val="center"/>
            <w:hideMark/>
          </w:tcPr>
          <w:p w:rsidR="00857461" w:rsidRDefault="00857461" w:rsidP="00857461">
            <w:pPr>
              <w:widowControl/>
              <w:snapToGrid w:val="0"/>
              <w:jc w:val="center"/>
              <w:rPr>
                <w:rStyle w:val="CommentReference"/>
                <w:rFonts w:eastAsia="SimSun"/>
              </w:rPr>
            </w:pPr>
            <w:r>
              <w:rPr>
                <w:rStyle w:val="CommentReference"/>
                <w:rFonts w:eastAsia="SimSun"/>
                <w:lang w:eastAsia="en-AU"/>
              </w:rPr>
              <w:t>Placebo (n=88)</w:t>
            </w:r>
          </w:p>
        </w:tc>
      </w:tr>
      <w:tr w:rsidR="00857461" w:rsidTr="00857461">
        <w:tc>
          <w:tcPr>
            <w:tcW w:w="4502" w:type="dxa"/>
            <w:tcBorders>
              <w:top w:val="single" w:sz="4" w:space="0" w:color="auto"/>
              <w:left w:val="single" w:sz="4" w:space="0" w:color="auto"/>
              <w:bottom w:val="single" w:sz="4" w:space="0" w:color="auto"/>
              <w:right w:val="single" w:sz="4" w:space="0" w:color="auto"/>
            </w:tcBorders>
            <w:vAlign w:val="center"/>
            <w:hideMark/>
          </w:tcPr>
          <w:p w:rsidR="00857461" w:rsidRDefault="00857461" w:rsidP="00857461">
            <w:pPr>
              <w:widowControl/>
              <w:snapToGrid w:val="0"/>
              <w:jc w:val="left"/>
              <w:rPr>
                <w:rStyle w:val="CommentReference"/>
                <w:rFonts w:eastAsia="SimSun"/>
                <w:b w:val="0"/>
              </w:rPr>
            </w:pPr>
            <w:r>
              <w:rPr>
                <w:rStyle w:val="CommentReference"/>
                <w:rFonts w:eastAsia="SimSun"/>
                <w:b w:val="0"/>
                <w:lang w:eastAsia="en-AU"/>
              </w:rPr>
              <w:t>Baseline, mean (SD)</w:t>
            </w:r>
          </w:p>
        </w:tc>
        <w:tc>
          <w:tcPr>
            <w:tcW w:w="1888" w:type="dxa"/>
            <w:tcBorders>
              <w:top w:val="single" w:sz="4" w:space="0" w:color="auto"/>
              <w:left w:val="single" w:sz="4" w:space="0" w:color="auto"/>
              <w:bottom w:val="single" w:sz="4" w:space="0" w:color="auto"/>
              <w:right w:val="single" w:sz="4" w:space="0" w:color="auto"/>
            </w:tcBorders>
            <w:vAlign w:val="center"/>
            <w:hideMark/>
          </w:tcPr>
          <w:p w:rsidR="00857461" w:rsidRDefault="00857461" w:rsidP="00857461">
            <w:pPr>
              <w:widowControl/>
              <w:snapToGrid w:val="0"/>
              <w:jc w:val="center"/>
              <w:rPr>
                <w:rStyle w:val="CommentReference"/>
                <w:rFonts w:eastAsia="SimSun"/>
                <w:b w:val="0"/>
              </w:rPr>
            </w:pPr>
            <w:r>
              <w:rPr>
                <w:rStyle w:val="CommentReference"/>
                <w:rFonts w:eastAsia="SimSun"/>
                <w:b w:val="0"/>
                <w:lang w:eastAsia="en-AU"/>
              </w:rPr>
              <w:t>342.3 (81.9)</w:t>
            </w:r>
          </w:p>
        </w:tc>
        <w:tc>
          <w:tcPr>
            <w:tcW w:w="1889" w:type="dxa"/>
            <w:tcBorders>
              <w:top w:val="single" w:sz="4" w:space="0" w:color="auto"/>
              <w:left w:val="single" w:sz="4" w:space="0" w:color="auto"/>
              <w:bottom w:val="single" w:sz="4" w:space="0" w:color="auto"/>
              <w:right w:val="single" w:sz="4" w:space="0" w:color="auto"/>
            </w:tcBorders>
            <w:vAlign w:val="center"/>
            <w:hideMark/>
          </w:tcPr>
          <w:p w:rsidR="00857461" w:rsidRDefault="00857461" w:rsidP="00857461">
            <w:pPr>
              <w:widowControl/>
              <w:snapToGrid w:val="0"/>
              <w:jc w:val="center"/>
              <w:rPr>
                <w:rStyle w:val="CommentReference"/>
                <w:rFonts w:eastAsia="SimSun"/>
                <w:b w:val="0"/>
              </w:rPr>
            </w:pPr>
            <w:r>
              <w:rPr>
                <w:rStyle w:val="CommentReference"/>
                <w:rFonts w:eastAsia="SimSun"/>
                <w:b w:val="0"/>
                <w:lang w:eastAsia="en-AU"/>
              </w:rPr>
              <w:t>356.0 (74.7)</w:t>
            </w:r>
          </w:p>
        </w:tc>
      </w:tr>
      <w:tr w:rsidR="00857461" w:rsidTr="00857461">
        <w:tc>
          <w:tcPr>
            <w:tcW w:w="4502" w:type="dxa"/>
            <w:tcBorders>
              <w:top w:val="single" w:sz="4" w:space="0" w:color="auto"/>
              <w:left w:val="single" w:sz="4" w:space="0" w:color="auto"/>
              <w:bottom w:val="single" w:sz="4" w:space="0" w:color="auto"/>
              <w:right w:val="single" w:sz="4" w:space="0" w:color="auto"/>
            </w:tcBorders>
            <w:vAlign w:val="center"/>
            <w:hideMark/>
          </w:tcPr>
          <w:p w:rsidR="00857461" w:rsidRDefault="00857461" w:rsidP="00857461">
            <w:pPr>
              <w:widowControl/>
              <w:snapToGrid w:val="0"/>
              <w:jc w:val="left"/>
              <w:rPr>
                <w:rStyle w:val="CommentReference"/>
                <w:rFonts w:eastAsia="SimSun"/>
                <w:b w:val="0"/>
              </w:rPr>
            </w:pPr>
            <w:r>
              <w:rPr>
                <w:rStyle w:val="CommentReference"/>
                <w:rFonts w:eastAsia="SimSun"/>
                <w:b w:val="0"/>
                <w:lang w:eastAsia="en-AU"/>
              </w:rPr>
              <w:t>Change from baseline at 16 weeks</w:t>
            </w:r>
          </w:p>
        </w:tc>
        <w:tc>
          <w:tcPr>
            <w:tcW w:w="1888" w:type="dxa"/>
            <w:tcBorders>
              <w:top w:val="single" w:sz="4" w:space="0" w:color="auto"/>
              <w:left w:val="single" w:sz="4" w:space="0" w:color="auto"/>
              <w:bottom w:val="single" w:sz="4" w:space="0" w:color="auto"/>
              <w:right w:val="single" w:sz="4" w:space="0" w:color="auto"/>
            </w:tcBorders>
            <w:vAlign w:val="center"/>
            <w:hideMark/>
          </w:tcPr>
          <w:p w:rsidR="00857461" w:rsidRDefault="00857461" w:rsidP="00857461">
            <w:pPr>
              <w:widowControl/>
              <w:snapToGrid w:val="0"/>
              <w:jc w:val="center"/>
              <w:rPr>
                <w:rStyle w:val="CommentReference"/>
                <w:rFonts w:eastAsia="SimSun"/>
                <w:b w:val="0"/>
              </w:rPr>
            </w:pPr>
            <w:r>
              <w:rPr>
                <w:rStyle w:val="CommentReference"/>
                <w:rFonts w:eastAsia="SimSun"/>
                <w:b w:val="0"/>
                <w:lang w:eastAsia="en-AU"/>
              </w:rPr>
              <w:t>38.9 (79.3)</w:t>
            </w:r>
          </w:p>
        </w:tc>
        <w:tc>
          <w:tcPr>
            <w:tcW w:w="1889" w:type="dxa"/>
            <w:tcBorders>
              <w:top w:val="single" w:sz="4" w:space="0" w:color="auto"/>
              <w:left w:val="single" w:sz="4" w:space="0" w:color="auto"/>
              <w:bottom w:val="single" w:sz="4" w:space="0" w:color="auto"/>
              <w:right w:val="single" w:sz="4" w:space="0" w:color="auto"/>
            </w:tcBorders>
            <w:vAlign w:val="center"/>
            <w:hideMark/>
          </w:tcPr>
          <w:p w:rsidR="00857461" w:rsidRDefault="00857461" w:rsidP="00857461">
            <w:pPr>
              <w:widowControl/>
              <w:snapToGrid w:val="0"/>
              <w:jc w:val="center"/>
              <w:rPr>
                <w:rStyle w:val="CommentReference"/>
                <w:rFonts w:eastAsia="SimSun"/>
                <w:b w:val="0"/>
              </w:rPr>
            </w:pPr>
            <w:r>
              <w:rPr>
                <w:rStyle w:val="CommentReference"/>
                <w:rFonts w:eastAsia="SimSun"/>
                <w:b w:val="0"/>
                <w:lang w:eastAsia="en-AU"/>
              </w:rPr>
              <w:t>-5.5 (84.3)</w:t>
            </w:r>
          </w:p>
        </w:tc>
      </w:tr>
      <w:tr w:rsidR="00857461" w:rsidTr="00857461">
        <w:tc>
          <w:tcPr>
            <w:tcW w:w="4502" w:type="dxa"/>
            <w:tcBorders>
              <w:top w:val="single" w:sz="4" w:space="0" w:color="auto"/>
              <w:left w:val="single" w:sz="4" w:space="0" w:color="auto"/>
              <w:bottom w:val="single" w:sz="4" w:space="0" w:color="auto"/>
              <w:right w:val="single" w:sz="4" w:space="0" w:color="auto"/>
            </w:tcBorders>
            <w:vAlign w:val="center"/>
            <w:hideMark/>
          </w:tcPr>
          <w:p w:rsidR="00857461" w:rsidRDefault="00857461" w:rsidP="00857461">
            <w:pPr>
              <w:widowControl/>
              <w:snapToGrid w:val="0"/>
              <w:jc w:val="left"/>
              <w:rPr>
                <w:rStyle w:val="CommentReference"/>
                <w:rFonts w:eastAsia="SimSun"/>
                <w:b w:val="0"/>
              </w:rPr>
            </w:pPr>
            <w:r>
              <w:rPr>
                <w:rStyle w:val="CommentReference"/>
                <w:rFonts w:eastAsia="SimSun"/>
                <w:b w:val="0"/>
                <w:lang w:eastAsia="en-AU"/>
              </w:rPr>
              <w:t xml:space="preserve">Least square mean difference (95% CI) </w:t>
            </w:r>
          </w:p>
        </w:tc>
        <w:tc>
          <w:tcPr>
            <w:tcW w:w="3777" w:type="dxa"/>
            <w:gridSpan w:val="2"/>
            <w:tcBorders>
              <w:top w:val="single" w:sz="4" w:space="0" w:color="auto"/>
              <w:left w:val="single" w:sz="4" w:space="0" w:color="auto"/>
              <w:bottom w:val="single" w:sz="4" w:space="0" w:color="auto"/>
              <w:right w:val="single" w:sz="4" w:space="0" w:color="auto"/>
            </w:tcBorders>
            <w:vAlign w:val="center"/>
            <w:hideMark/>
          </w:tcPr>
          <w:p w:rsidR="00857461" w:rsidRDefault="00857461" w:rsidP="00857461">
            <w:pPr>
              <w:widowControl/>
              <w:snapToGrid w:val="0"/>
              <w:jc w:val="center"/>
              <w:rPr>
                <w:rStyle w:val="CommentReference"/>
                <w:rFonts w:eastAsia="SimSun"/>
              </w:rPr>
            </w:pPr>
            <w:r>
              <w:rPr>
                <w:rStyle w:val="CommentReference"/>
                <w:rFonts w:eastAsia="SimSun"/>
                <w:lang w:eastAsia="en-AU"/>
              </w:rPr>
              <w:t>45.69 (24.74, 66.63)</w:t>
            </w:r>
          </w:p>
        </w:tc>
      </w:tr>
    </w:tbl>
    <w:p w:rsidR="00857461" w:rsidRDefault="00857461" w:rsidP="000A0288">
      <w:pPr>
        <w:widowControl/>
        <w:ind w:left="720"/>
        <w:rPr>
          <w:rStyle w:val="CommentReference"/>
        </w:rPr>
      </w:pPr>
    </w:p>
    <w:tbl>
      <w:tblPr>
        <w:tblStyle w:val="TableGrid"/>
        <w:tblW w:w="0" w:type="auto"/>
        <w:tblInd w:w="737" w:type="dxa"/>
        <w:tblCellMar>
          <w:left w:w="28" w:type="dxa"/>
          <w:right w:w="28" w:type="dxa"/>
        </w:tblCellMar>
        <w:tblLook w:val="04A0" w:firstRow="1" w:lastRow="0" w:firstColumn="1" w:lastColumn="0" w:noHBand="0" w:noVBand="1"/>
        <w:tblCaption w:val="&quot;&quot;"/>
      </w:tblPr>
      <w:tblGrid>
        <w:gridCol w:w="2235"/>
        <w:gridCol w:w="2267"/>
        <w:gridCol w:w="1888"/>
        <w:gridCol w:w="1889"/>
      </w:tblGrid>
      <w:tr w:rsidR="006B56DD" w:rsidTr="00857461">
        <w:trPr>
          <w:tblHeader/>
        </w:trPr>
        <w:tc>
          <w:tcPr>
            <w:tcW w:w="4502" w:type="dxa"/>
            <w:gridSpan w:val="2"/>
            <w:vAlign w:val="center"/>
            <w:hideMark/>
          </w:tcPr>
          <w:p w:rsidR="006B56DD" w:rsidRDefault="006B56DD" w:rsidP="000A0288">
            <w:pPr>
              <w:widowControl/>
              <w:snapToGrid w:val="0"/>
              <w:jc w:val="left"/>
              <w:rPr>
                <w:rStyle w:val="CommentReference"/>
                <w:rFonts w:eastAsia="SimSun"/>
              </w:rPr>
            </w:pPr>
            <w:r>
              <w:rPr>
                <w:rStyle w:val="CommentReference"/>
                <w:rFonts w:eastAsia="SimSun"/>
                <w:lang w:eastAsia="en-AU"/>
              </w:rPr>
              <w:t>Change in WHO functional class (baseline to 16 weeks)</w:t>
            </w:r>
          </w:p>
        </w:tc>
        <w:tc>
          <w:tcPr>
            <w:tcW w:w="1888" w:type="dxa"/>
            <w:vAlign w:val="center"/>
            <w:hideMark/>
          </w:tcPr>
          <w:p w:rsidR="006B56DD" w:rsidRPr="00F11E18" w:rsidRDefault="006B56DD" w:rsidP="000A0288">
            <w:pPr>
              <w:widowControl/>
              <w:snapToGrid w:val="0"/>
              <w:jc w:val="center"/>
              <w:rPr>
                <w:rStyle w:val="CommentReference"/>
                <w:rFonts w:eastAsia="SimSun"/>
                <w:i/>
              </w:rPr>
            </w:pPr>
            <w:r w:rsidRPr="00F11E18">
              <w:rPr>
                <w:rStyle w:val="CommentReference"/>
                <w:rFonts w:eastAsia="SimSun"/>
                <w:i/>
                <w:lang w:eastAsia="en-AU"/>
              </w:rPr>
              <w:t>Riociguat (n=173)</w:t>
            </w:r>
          </w:p>
        </w:tc>
        <w:tc>
          <w:tcPr>
            <w:tcW w:w="1889" w:type="dxa"/>
            <w:vAlign w:val="center"/>
            <w:hideMark/>
          </w:tcPr>
          <w:p w:rsidR="006B56DD" w:rsidRPr="00F11E18" w:rsidRDefault="006B56DD" w:rsidP="000A0288">
            <w:pPr>
              <w:widowControl/>
              <w:snapToGrid w:val="0"/>
              <w:jc w:val="center"/>
              <w:rPr>
                <w:rStyle w:val="CommentReference"/>
                <w:rFonts w:eastAsia="SimSun"/>
                <w:i/>
              </w:rPr>
            </w:pPr>
            <w:r w:rsidRPr="00F11E18">
              <w:rPr>
                <w:rStyle w:val="CommentReference"/>
                <w:rFonts w:eastAsia="SimSun"/>
                <w:i/>
                <w:lang w:eastAsia="en-AU"/>
              </w:rPr>
              <w:t>Placebo (n=87)</w:t>
            </w:r>
          </w:p>
        </w:tc>
      </w:tr>
      <w:tr w:rsidR="006B56DD" w:rsidTr="00857461">
        <w:tc>
          <w:tcPr>
            <w:tcW w:w="2235" w:type="dxa"/>
            <w:vMerge w:val="restart"/>
            <w:vAlign w:val="center"/>
            <w:hideMark/>
          </w:tcPr>
          <w:p w:rsidR="006B56DD" w:rsidRDefault="006B56DD" w:rsidP="000A0288">
            <w:pPr>
              <w:widowControl/>
              <w:snapToGrid w:val="0"/>
              <w:jc w:val="left"/>
              <w:rPr>
                <w:rStyle w:val="CommentReference"/>
                <w:rFonts w:eastAsia="SimSun"/>
                <w:b w:val="0"/>
              </w:rPr>
            </w:pPr>
            <w:r>
              <w:rPr>
                <w:rStyle w:val="CommentReference"/>
                <w:rFonts w:eastAsia="SimSun"/>
                <w:b w:val="0"/>
                <w:lang w:eastAsia="en-AU"/>
              </w:rPr>
              <w:t xml:space="preserve">Improvement of ≥1 class </w:t>
            </w:r>
          </w:p>
        </w:tc>
        <w:tc>
          <w:tcPr>
            <w:tcW w:w="2267" w:type="dxa"/>
            <w:vAlign w:val="center"/>
            <w:hideMark/>
          </w:tcPr>
          <w:p w:rsidR="006B56DD" w:rsidRDefault="006B56DD" w:rsidP="000A0288">
            <w:pPr>
              <w:widowControl/>
              <w:snapToGrid w:val="0"/>
              <w:jc w:val="left"/>
              <w:rPr>
                <w:rStyle w:val="CommentReference"/>
                <w:rFonts w:eastAsia="SimSun"/>
                <w:b w:val="0"/>
              </w:rPr>
            </w:pPr>
            <w:proofErr w:type="gramStart"/>
            <w:r>
              <w:rPr>
                <w:rStyle w:val="CommentReference"/>
                <w:rFonts w:eastAsia="SimSun"/>
                <w:b w:val="0"/>
                <w:lang w:eastAsia="en-AU"/>
              </w:rPr>
              <w:t>n</w:t>
            </w:r>
            <w:proofErr w:type="gramEnd"/>
            <w:r>
              <w:rPr>
                <w:rStyle w:val="CommentReference"/>
                <w:rFonts w:eastAsia="SimSun"/>
                <w:b w:val="0"/>
                <w:lang w:eastAsia="en-AU"/>
              </w:rPr>
              <w:t xml:space="preserve"> (%)</w:t>
            </w:r>
          </w:p>
        </w:tc>
        <w:tc>
          <w:tcPr>
            <w:tcW w:w="1888" w:type="dxa"/>
            <w:vAlign w:val="center"/>
            <w:hideMark/>
          </w:tcPr>
          <w:p w:rsidR="006B56DD" w:rsidRPr="00857461" w:rsidRDefault="006B56DD" w:rsidP="000A0288">
            <w:pPr>
              <w:widowControl/>
              <w:snapToGrid w:val="0"/>
              <w:jc w:val="center"/>
              <w:rPr>
                <w:rStyle w:val="CommentReference"/>
                <w:rFonts w:eastAsia="SimSun"/>
                <w:b w:val="0"/>
              </w:rPr>
            </w:pPr>
            <w:r w:rsidRPr="00857461">
              <w:rPr>
                <w:rStyle w:val="CommentReference"/>
                <w:rFonts w:eastAsia="SimSun"/>
                <w:b w:val="0"/>
                <w:lang w:eastAsia="en-AU"/>
              </w:rPr>
              <w:t>57 (32.9)</w:t>
            </w:r>
          </w:p>
        </w:tc>
        <w:tc>
          <w:tcPr>
            <w:tcW w:w="1889" w:type="dxa"/>
            <w:vAlign w:val="center"/>
            <w:hideMark/>
          </w:tcPr>
          <w:p w:rsidR="006B56DD" w:rsidRPr="00857461" w:rsidRDefault="006B56DD" w:rsidP="000A0288">
            <w:pPr>
              <w:widowControl/>
              <w:snapToGrid w:val="0"/>
              <w:jc w:val="center"/>
              <w:rPr>
                <w:rStyle w:val="CommentReference"/>
                <w:rFonts w:eastAsia="SimSun"/>
                <w:b w:val="0"/>
              </w:rPr>
            </w:pPr>
            <w:r w:rsidRPr="00857461">
              <w:rPr>
                <w:rStyle w:val="CommentReference"/>
                <w:rFonts w:eastAsia="SimSun"/>
                <w:b w:val="0"/>
                <w:lang w:eastAsia="en-AU"/>
              </w:rPr>
              <w:t>13 (14.9)</w:t>
            </w:r>
          </w:p>
        </w:tc>
      </w:tr>
      <w:tr w:rsidR="006B56DD" w:rsidTr="00857461">
        <w:trPr>
          <w:trHeight w:val="210"/>
        </w:trPr>
        <w:tc>
          <w:tcPr>
            <w:tcW w:w="0" w:type="auto"/>
            <w:vMerge/>
            <w:vAlign w:val="center"/>
            <w:hideMark/>
          </w:tcPr>
          <w:p w:rsidR="006B56DD" w:rsidRDefault="006B56DD" w:rsidP="000A0288">
            <w:pPr>
              <w:widowControl/>
              <w:jc w:val="left"/>
              <w:rPr>
                <w:rStyle w:val="CommentReference"/>
                <w:rFonts w:eastAsia="SimSun"/>
                <w:b w:val="0"/>
              </w:rPr>
            </w:pPr>
          </w:p>
        </w:tc>
        <w:tc>
          <w:tcPr>
            <w:tcW w:w="2267" w:type="dxa"/>
            <w:vAlign w:val="center"/>
            <w:hideMark/>
          </w:tcPr>
          <w:p w:rsidR="006B56DD" w:rsidRDefault="006B56DD" w:rsidP="000A0288">
            <w:pPr>
              <w:widowControl/>
              <w:snapToGrid w:val="0"/>
              <w:jc w:val="left"/>
              <w:rPr>
                <w:rStyle w:val="CommentReference"/>
                <w:rFonts w:eastAsia="SimSun"/>
                <w:b w:val="0"/>
              </w:rPr>
            </w:pPr>
            <w:r>
              <w:rPr>
                <w:rStyle w:val="CommentReference"/>
                <w:rFonts w:eastAsia="SimSun"/>
                <w:b w:val="0"/>
                <w:i/>
                <w:lang w:eastAsia="en-AU"/>
              </w:rPr>
              <w:t>RR (95% CI)*</w:t>
            </w:r>
          </w:p>
        </w:tc>
        <w:tc>
          <w:tcPr>
            <w:tcW w:w="3777" w:type="dxa"/>
            <w:gridSpan w:val="2"/>
            <w:vAlign w:val="center"/>
            <w:hideMark/>
          </w:tcPr>
          <w:p w:rsidR="006B56DD" w:rsidRPr="00857461" w:rsidRDefault="006B56DD" w:rsidP="000A0288">
            <w:pPr>
              <w:widowControl/>
              <w:snapToGrid w:val="0"/>
              <w:jc w:val="center"/>
              <w:rPr>
                <w:rStyle w:val="CommentReference"/>
                <w:rFonts w:eastAsia="SimSun"/>
                <w:b w:val="0"/>
              </w:rPr>
            </w:pPr>
            <w:r w:rsidRPr="00857461">
              <w:rPr>
                <w:rStyle w:val="CommentReference"/>
                <w:rFonts w:eastAsia="SimSun"/>
                <w:lang w:eastAsia="en-AU"/>
              </w:rPr>
              <w:t>2.20 (1.28, 3.80)</w:t>
            </w:r>
          </w:p>
        </w:tc>
      </w:tr>
      <w:tr w:rsidR="006B56DD" w:rsidTr="00857461">
        <w:trPr>
          <w:trHeight w:val="240"/>
        </w:trPr>
        <w:tc>
          <w:tcPr>
            <w:tcW w:w="0" w:type="auto"/>
            <w:vMerge/>
            <w:vAlign w:val="center"/>
            <w:hideMark/>
          </w:tcPr>
          <w:p w:rsidR="006B56DD" w:rsidRDefault="006B56DD" w:rsidP="000A0288">
            <w:pPr>
              <w:widowControl/>
              <w:jc w:val="left"/>
              <w:rPr>
                <w:rStyle w:val="CommentReference"/>
                <w:rFonts w:eastAsia="SimSun"/>
                <w:b w:val="0"/>
              </w:rPr>
            </w:pPr>
          </w:p>
        </w:tc>
        <w:tc>
          <w:tcPr>
            <w:tcW w:w="2267" w:type="dxa"/>
            <w:vAlign w:val="center"/>
            <w:hideMark/>
          </w:tcPr>
          <w:p w:rsidR="006B56DD" w:rsidRDefault="006B56DD" w:rsidP="000A0288">
            <w:pPr>
              <w:widowControl/>
              <w:snapToGrid w:val="0"/>
              <w:jc w:val="left"/>
              <w:rPr>
                <w:rStyle w:val="CommentReference"/>
                <w:rFonts w:eastAsia="SimSun"/>
                <w:b w:val="0"/>
              </w:rPr>
            </w:pPr>
            <w:r>
              <w:rPr>
                <w:rStyle w:val="CommentReference"/>
                <w:rFonts w:eastAsia="SimSun"/>
                <w:b w:val="0"/>
                <w:i/>
                <w:lang w:eastAsia="en-AU"/>
              </w:rPr>
              <w:t>NNT (95% CI)*</w:t>
            </w:r>
          </w:p>
        </w:tc>
        <w:tc>
          <w:tcPr>
            <w:tcW w:w="3777" w:type="dxa"/>
            <w:gridSpan w:val="2"/>
            <w:vAlign w:val="center"/>
            <w:hideMark/>
          </w:tcPr>
          <w:p w:rsidR="006B56DD" w:rsidRPr="00857461" w:rsidRDefault="006B56DD" w:rsidP="000A0288">
            <w:pPr>
              <w:widowControl/>
              <w:snapToGrid w:val="0"/>
              <w:jc w:val="center"/>
              <w:rPr>
                <w:rStyle w:val="CommentReference"/>
                <w:rFonts w:eastAsia="SimSun"/>
              </w:rPr>
            </w:pPr>
            <w:r w:rsidRPr="00857461">
              <w:rPr>
                <w:rStyle w:val="CommentReference"/>
                <w:rFonts w:eastAsia="SimSun"/>
                <w:lang w:eastAsia="en-AU"/>
              </w:rPr>
              <w:t>6 (4, 13)</w:t>
            </w:r>
          </w:p>
        </w:tc>
      </w:tr>
      <w:tr w:rsidR="006B56DD" w:rsidTr="00857461">
        <w:tc>
          <w:tcPr>
            <w:tcW w:w="2235" w:type="dxa"/>
            <w:vMerge w:val="restart"/>
            <w:vAlign w:val="center"/>
            <w:hideMark/>
          </w:tcPr>
          <w:p w:rsidR="006B56DD" w:rsidRDefault="006B56DD" w:rsidP="000A0288">
            <w:pPr>
              <w:widowControl/>
              <w:snapToGrid w:val="0"/>
              <w:jc w:val="left"/>
              <w:rPr>
                <w:rStyle w:val="CommentReference"/>
                <w:rFonts w:eastAsia="SimSun"/>
                <w:b w:val="0"/>
              </w:rPr>
            </w:pPr>
            <w:r>
              <w:rPr>
                <w:rStyle w:val="CommentReference"/>
                <w:rFonts w:eastAsia="SimSun"/>
                <w:b w:val="0"/>
                <w:lang w:eastAsia="en-AU"/>
              </w:rPr>
              <w:t xml:space="preserve">Stable or improvement of ≥ 1 class </w:t>
            </w:r>
          </w:p>
        </w:tc>
        <w:tc>
          <w:tcPr>
            <w:tcW w:w="2267" w:type="dxa"/>
            <w:vAlign w:val="center"/>
            <w:hideMark/>
          </w:tcPr>
          <w:p w:rsidR="006B56DD" w:rsidRDefault="006B56DD" w:rsidP="000A0288">
            <w:pPr>
              <w:widowControl/>
              <w:snapToGrid w:val="0"/>
              <w:jc w:val="left"/>
              <w:rPr>
                <w:rStyle w:val="CommentReference"/>
                <w:rFonts w:eastAsia="SimSun"/>
                <w:b w:val="0"/>
              </w:rPr>
            </w:pPr>
            <w:proofErr w:type="gramStart"/>
            <w:r>
              <w:rPr>
                <w:rStyle w:val="CommentReference"/>
                <w:rFonts w:eastAsia="SimSun"/>
                <w:b w:val="0"/>
                <w:lang w:eastAsia="en-AU"/>
              </w:rPr>
              <w:t>n</w:t>
            </w:r>
            <w:proofErr w:type="gramEnd"/>
            <w:r>
              <w:rPr>
                <w:rStyle w:val="CommentReference"/>
                <w:rFonts w:eastAsia="SimSun"/>
                <w:b w:val="0"/>
                <w:lang w:eastAsia="en-AU"/>
              </w:rPr>
              <w:t xml:space="preserve"> (%)</w:t>
            </w:r>
          </w:p>
        </w:tc>
        <w:tc>
          <w:tcPr>
            <w:tcW w:w="1888" w:type="dxa"/>
            <w:vAlign w:val="center"/>
            <w:hideMark/>
          </w:tcPr>
          <w:p w:rsidR="006B56DD" w:rsidRPr="00857461" w:rsidRDefault="006B56DD" w:rsidP="000A0288">
            <w:pPr>
              <w:widowControl/>
              <w:snapToGrid w:val="0"/>
              <w:jc w:val="center"/>
              <w:rPr>
                <w:rStyle w:val="CommentReference"/>
                <w:rFonts w:eastAsia="SimSun"/>
                <w:b w:val="0"/>
              </w:rPr>
            </w:pPr>
            <w:r w:rsidRPr="00857461">
              <w:rPr>
                <w:rStyle w:val="CommentReference"/>
                <w:rFonts w:eastAsia="SimSun"/>
                <w:b w:val="0"/>
                <w:lang w:eastAsia="en-AU"/>
              </w:rPr>
              <w:t>164 (94.8)</w:t>
            </w:r>
          </w:p>
        </w:tc>
        <w:tc>
          <w:tcPr>
            <w:tcW w:w="1889" w:type="dxa"/>
            <w:vAlign w:val="center"/>
            <w:hideMark/>
          </w:tcPr>
          <w:p w:rsidR="006B56DD" w:rsidRPr="00857461" w:rsidRDefault="006B56DD" w:rsidP="000A0288">
            <w:pPr>
              <w:widowControl/>
              <w:snapToGrid w:val="0"/>
              <w:jc w:val="center"/>
              <w:rPr>
                <w:rStyle w:val="CommentReference"/>
                <w:rFonts w:eastAsia="SimSun"/>
                <w:b w:val="0"/>
              </w:rPr>
            </w:pPr>
            <w:r w:rsidRPr="00857461">
              <w:rPr>
                <w:rStyle w:val="CommentReference"/>
                <w:rFonts w:eastAsia="SimSun"/>
                <w:b w:val="0"/>
                <w:lang w:eastAsia="en-AU"/>
              </w:rPr>
              <w:t>81 (93.1)</w:t>
            </w:r>
          </w:p>
        </w:tc>
      </w:tr>
      <w:tr w:rsidR="006B56DD" w:rsidTr="00857461">
        <w:trPr>
          <w:trHeight w:val="240"/>
        </w:trPr>
        <w:tc>
          <w:tcPr>
            <w:tcW w:w="0" w:type="auto"/>
            <w:vMerge/>
            <w:vAlign w:val="center"/>
            <w:hideMark/>
          </w:tcPr>
          <w:p w:rsidR="006B56DD" w:rsidRDefault="006B56DD" w:rsidP="000A0288">
            <w:pPr>
              <w:widowControl/>
              <w:jc w:val="left"/>
              <w:rPr>
                <w:rStyle w:val="CommentReference"/>
                <w:rFonts w:eastAsia="SimSun"/>
                <w:b w:val="0"/>
              </w:rPr>
            </w:pPr>
          </w:p>
        </w:tc>
        <w:tc>
          <w:tcPr>
            <w:tcW w:w="2267" w:type="dxa"/>
            <w:vAlign w:val="center"/>
            <w:hideMark/>
          </w:tcPr>
          <w:p w:rsidR="006B56DD" w:rsidRDefault="006B56DD" w:rsidP="000A0288">
            <w:pPr>
              <w:widowControl/>
              <w:snapToGrid w:val="0"/>
              <w:jc w:val="left"/>
              <w:rPr>
                <w:rStyle w:val="CommentReference"/>
                <w:rFonts w:eastAsia="SimSun"/>
                <w:b w:val="0"/>
              </w:rPr>
            </w:pPr>
            <w:r>
              <w:rPr>
                <w:rStyle w:val="CommentReference"/>
                <w:rFonts w:eastAsia="SimSun"/>
                <w:b w:val="0"/>
                <w:i/>
                <w:lang w:eastAsia="en-AU"/>
              </w:rPr>
              <w:t>RR (95% CI)*</w:t>
            </w:r>
          </w:p>
        </w:tc>
        <w:tc>
          <w:tcPr>
            <w:tcW w:w="3777" w:type="dxa"/>
            <w:gridSpan w:val="2"/>
            <w:vAlign w:val="center"/>
            <w:hideMark/>
          </w:tcPr>
          <w:p w:rsidR="006B56DD" w:rsidRPr="00857461" w:rsidRDefault="006B56DD" w:rsidP="000A0288">
            <w:pPr>
              <w:widowControl/>
              <w:snapToGrid w:val="0"/>
              <w:jc w:val="center"/>
              <w:rPr>
                <w:rStyle w:val="CommentReference"/>
                <w:rFonts w:eastAsia="SimSun"/>
                <w:b w:val="0"/>
              </w:rPr>
            </w:pPr>
            <w:r w:rsidRPr="00857461">
              <w:rPr>
                <w:rStyle w:val="CommentReference"/>
                <w:rFonts w:eastAsia="SimSun"/>
                <w:b w:val="0"/>
                <w:lang w:eastAsia="en-AU"/>
              </w:rPr>
              <w:t>1.02 (0.95, 1.09)</w:t>
            </w:r>
          </w:p>
        </w:tc>
      </w:tr>
      <w:tr w:rsidR="006B56DD" w:rsidTr="00857461">
        <w:trPr>
          <w:trHeight w:val="210"/>
        </w:trPr>
        <w:tc>
          <w:tcPr>
            <w:tcW w:w="0" w:type="auto"/>
            <w:vMerge/>
            <w:vAlign w:val="center"/>
            <w:hideMark/>
          </w:tcPr>
          <w:p w:rsidR="006B56DD" w:rsidRDefault="006B56DD" w:rsidP="000A0288">
            <w:pPr>
              <w:widowControl/>
              <w:jc w:val="left"/>
              <w:rPr>
                <w:rStyle w:val="CommentReference"/>
                <w:rFonts w:eastAsia="SimSun"/>
                <w:b w:val="0"/>
              </w:rPr>
            </w:pPr>
          </w:p>
        </w:tc>
        <w:tc>
          <w:tcPr>
            <w:tcW w:w="2267" w:type="dxa"/>
            <w:vAlign w:val="center"/>
            <w:hideMark/>
          </w:tcPr>
          <w:p w:rsidR="006B56DD" w:rsidRDefault="006B56DD" w:rsidP="000A0288">
            <w:pPr>
              <w:widowControl/>
              <w:snapToGrid w:val="0"/>
              <w:jc w:val="left"/>
              <w:rPr>
                <w:rStyle w:val="CommentReference"/>
                <w:rFonts w:eastAsia="SimSun"/>
                <w:b w:val="0"/>
              </w:rPr>
            </w:pPr>
            <w:r>
              <w:rPr>
                <w:rStyle w:val="CommentReference"/>
                <w:rFonts w:eastAsia="SimSun"/>
                <w:b w:val="0"/>
                <w:i/>
                <w:lang w:eastAsia="en-AU"/>
              </w:rPr>
              <w:t>NNT (95% CI)*</w:t>
            </w:r>
          </w:p>
        </w:tc>
        <w:tc>
          <w:tcPr>
            <w:tcW w:w="3777" w:type="dxa"/>
            <w:gridSpan w:val="2"/>
            <w:vAlign w:val="center"/>
            <w:hideMark/>
          </w:tcPr>
          <w:p w:rsidR="006B56DD" w:rsidRPr="00857461" w:rsidRDefault="007A676E" w:rsidP="000A0288">
            <w:pPr>
              <w:widowControl/>
              <w:snapToGrid w:val="0"/>
              <w:jc w:val="center"/>
              <w:rPr>
                <w:rStyle w:val="CommentReference"/>
                <w:rFonts w:eastAsia="SimSun"/>
                <w:b w:val="0"/>
              </w:rPr>
            </w:pPr>
            <w:r w:rsidRPr="00857461">
              <w:rPr>
                <w:rStyle w:val="CommentReference"/>
                <w:rFonts w:eastAsia="SimSun"/>
                <w:b w:val="0"/>
                <w:sz w:val="18"/>
                <w:lang w:eastAsia="en-AU"/>
              </w:rPr>
              <w:t>Not calculated</w:t>
            </w:r>
            <w:r w:rsidR="00D77229" w:rsidRPr="00857461">
              <w:rPr>
                <w:rStyle w:val="CommentReference"/>
                <w:rFonts w:eastAsia="SimSun"/>
                <w:b w:val="0"/>
                <w:sz w:val="18"/>
                <w:lang w:eastAsia="en-AU"/>
              </w:rPr>
              <w:t xml:space="preserve"> – </w:t>
            </w:r>
            <w:r w:rsidRPr="00857461">
              <w:rPr>
                <w:rStyle w:val="CommentReference"/>
                <w:rFonts w:eastAsia="SimSun"/>
                <w:b w:val="0"/>
                <w:sz w:val="18"/>
                <w:lang w:eastAsia="en-AU"/>
              </w:rPr>
              <w:t>no</w:t>
            </w:r>
            <w:r w:rsidR="00D77229" w:rsidRPr="00857461">
              <w:rPr>
                <w:rStyle w:val="CommentReference"/>
                <w:rFonts w:eastAsia="SimSun"/>
                <w:b w:val="0"/>
                <w:sz w:val="18"/>
                <w:lang w:eastAsia="en-AU"/>
              </w:rPr>
              <w:t xml:space="preserve"> </w:t>
            </w:r>
            <w:r w:rsidRPr="00857461">
              <w:rPr>
                <w:rStyle w:val="CommentReference"/>
                <w:rFonts w:eastAsia="SimSun"/>
                <w:b w:val="0"/>
                <w:sz w:val="18"/>
                <w:lang w:eastAsia="en-AU"/>
              </w:rPr>
              <w:t>statistically significant difference</w:t>
            </w:r>
          </w:p>
        </w:tc>
      </w:tr>
    </w:tbl>
    <w:p w:rsidR="006B56DD" w:rsidRPr="00F11E18" w:rsidRDefault="006B56DD" w:rsidP="000A0288">
      <w:pPr>
        <w:pStyle w:val="TableFooter"/>
        <w:widowControl/>
        <w:ind w:left="720"/>
        <w:rPr>
          <w:rStyle w:val="CommentReference"/>
          <w:b w:val="0"/>
          <w:sz w:val="18"/>
        </w:rPr>
      </w:pPr>
      <w:r w:rsidRPr="00F11E18">
        <w:rPr>
          <w:rStyle w:val="CommentReference"/>
          <w:b w:val="0"/>
          <w:sz w:val="18"/>
        </w:rPr>
        <w:t xml:space="preserve">* Relative risk </w:t>
      </w:r>
      <w:r w:rsidRPr="00857461">
        <w:rPr>
          <w:rStyle w:val="CommentReference"/>
          <w:b w:val="0"/>
          <w:sz w:val="18"/>
        </w:rPr>
        <w:t xml:space="preserve">and number needed to treat calculated during the evaluation using </w:t>
      </w:r>
      <w:proofErr w:type="spellStart"/>
      <w:r w:rsidRPr="00857461">
        <w:rPr>
          <w:rStyle w:val="CommentReference"/>
          <w:b w:val="0"/>
          <w:sz w:val="18"/>
        </w:rPr>
        <w:t>StatsDirect</w:t>
      </w:r>
      <w:proofErr w:type="spellEnd"/>
      <w:r w:rsidRPr="00857461">
        <w:rPr>
          <w:rStyle w:val="CommentReference"/>
          <w:b w:val="0"/>
          <w:sz w:val="18"/>
        </w:rPr>
        <w:t xml:space="preserve"> Version 2.7.9.  </w:t>
      </w:r>
      <w:r w:rsidRPr="00857461">
        <w:rPr>
          <w:rStyle w:val="CommentReference"/>
          <w:sz w:val="18"/>
        </w:rPr>
        <w:t xml:space="preserve">Values in bold represent statistically significant differences observed between treatment groups.  </w:t>
      </w:r>
      <w:r w:rsidRPr="00857461">
        <w:rPr>
          <w:rStyle w:val="CommentReference"/>
          <w:b w:val="0"/>
          <w:sz w:val="18"/>
        </w:rPr>
        <w:t>Abbreviations: 6MWD = 6 minute walking distance test; NNT = number needed to treat; RR = relative risk; SD = standard deviation.  Source: Table B.6-1, p 71; Table B.6-6, p78-79 of the re-submission.</w:t>
      </w:r>
    </w:p>
    <w:p w:rsidR="002F36A9" w:rsidRDefault="002F36A9" w:rsidP="000A0288">
      <w:pPr>
        <w:widowControl/>
        <w:rPr>
          <w:szCs w:val="22"/>
        </w:rPr>
      </w:pPr>
    </w:p>
    <w:p w:rsidR="00E410F8" w:rsidRDefault="005F353F" w:rsidP="000A0288">
      <w:pPr>
        <w:pStyle w:val="ListParagraph"/>
        <w:widowControl/>
        <w:numPr>
          <w:ilvl w:val="1"/>
          <w:numId w:val="2"/>
        </w:numPr>
        <w:rPr>
          <w:szCs w:val="22"/>
        </w:rPr>
      </w:pPr>
      <w:r w:rsidRPr="00AE6D8C">
        <w:rPr>
          <w:szCs w:val="22"/>
        </w:rPr>
        <w:t xml:space="preserve">For the indirect comparison of riociguat (CHEST-1, n=261) vs </w:t>
      </w:r>
      <w:proofErr w:type="spellStart"/>
      <w:r w:rsidRPr="00AE6D8C">
        <w:rPr>
          <w:szCs w:val="22"/>
        </w:rPr>
        <w:t>bosentan</w:t>
      </w:r>
      <w:proofErr w:type="spellEnd"/>
      <w:r w:rsidRPr="00AE6D8C">
        <w:rPr>
          <w:szCs w:val="22"/>
        </w:rPr>
        <w:t xml:space="preserve"> (</w:t>
      </w:r>
      <w:proofErr w:type="spellStart"/>
      <w:r w:rsidRPr="00AE6D8C">
        <w:rPr>
          <w:szCs w:val="22"/>
        </w:rPr>
        <w:t>Jais</w:t>
      </w:r>
      <w:proofErr w:type="spellEnd"/>
      <w:r w:rsidRPr="00AE6D8C">
        <w:rPr>
          <w:szCs w:val="22"/>
        </w:rPr>
        <w:t xml:space="preserve"> 2008, n=157), a statistically significant difference in favour of riociguat was observed for mean difference in 6MWD (42.3 metres, 95% CI: 9.6, 74.8).</w:t>
      </w:r>
    </w:p>
    <w:p w:rsidR="00E410F8" w:rsidRPr="00171479" w:rsidRDefault="00E410F8" w:rsidP="000A0288">
      <w:pPr>
        <w:widowControl/>
        <w:rPr>
          <w:szCs w:val="22"/>
        </w:rPr>
      </w:pPr>
    </w:p>
    <w:p w:rsidR="005F353F" w:rsidRPr="006A795E" w:rsidRDefault="005F353F" w:rsidP="000A0288">
      <w:pPr>
        <w:pStyle w:val="ListParagraph"/>
        <w:widowControl/>
        <w:numPr>
          <w:ilvl w:val="1"/>
          <w:numId w:val="2"/>
        </w:numPr>
        <w:rPr>
          <w:szCs w:val="22"/>
        </w:rPr>
      </w:pPr>
      <w:r w:rsidRPr="00AE6D8C">
        <w:rPr>
          <w:szCs w:val="22"/>
        </w:rPr>
        <w:t>No formal indirect comparison of riociguat and sildenafil (</w:t>
      </w:r>
      <w:proofErr w:type="spellStart"/>
      <w:r w:rsidRPr="00AE6D8C">
        <w:rPr>
          <w:szCs w:val="22"/>
        </w:rPr>
        <w:t>Suntharalingam</w:t>
      </w:r>
      <w:proofErr w:type="spellEnd"/>
      <w:r w:rsidRPr="00AE6D8C">
        <w:rPr>
          <w:szCs w:val="22"/>
        </w:rPr>
        <w:t xml:space="preserve"> 2008, n</w:t>
      </w:r>
      <w:r w:rsidR="00AE6D8C">
        <w:rPr>
          <w:szCs w:val="22"/>
        </w:rPr>
        <w:t>=</w:t>
      </w:r>
      <w:r w:rsidRPr="00AE6D8C">
        <w:rPr>
          <w:szCs w:val="22"/>
        </w:rPr>
        <w:t xml:space="preserve">19) was presented </w:t>
      </w:r>
      <w:r w:rsidR="00D92969">
        <w:rPr>
          <w:szCs w:val="22"/>
        </w:rPr>
        <w:t>in</w:t>
      </w:r>
      <w:r w:rsidR="00D92969" w:rsidRPr="00AE6D8C">
        <w:rPr>
          <w:szCs w:val="22"/>
        </w:rPr>
        <w:t xml:space="preserve"> </w:t>
      </w:r>
      <w:r w:rsidRPr="00AE6D8C">
        <w:rPr>
          <w:szCs w:val="22"/>
        </w:rPr>
        <w:t>the re-submission.</w:t>
      </w:r>
      <w:r w:rsidR="006B5090">
        <w:rPr>
          <w:szCs w:val="22"/>
        </w:rPr>
        <w:t xml:space="preserve"> </w:t>
      </w:r>
      <w:r w:rsidRPr="00301710">
        <w:rPr>
          <w:szCs w:val="22"/>
        </w:rPr>
        <w:t xml:space="preserve">This was appropriate, given the small trial population, insufficient powering for the primary endpoint (change in 6MWD from baseline to week 12), disproportionate distribution of participants and the inconsistent reporting of results in </w:t>
      </w:r>
      <w:proofErr w:type="spellStart"/>
      <w:r w:rsidRPr="00301710">
        <w:rPr>
          <w:szCs w:val="22"/>
        </w:rPr>
        <w:t>Suntharalingam</w:t>
      </w:r>
      <w:proofErr w:type="spellEnd"/>
      <w:r w:rsidRPr="00301710">
        <w:rPr>
          <w:szCs w:val="22"/>
        </w:rPr>
        <w:t xml:space="preserve"> 2008.</w:t>
      </w:r>
      <w:r w:rsidR="006B5090">
        <w:rPr>
          <w:szCs w:val="22"/>
        </w:rPr>
        <w:t xml:space="preserve"> </w:t>
      </w:r>
    </w:p>
    <w:p w:rsidR="00B7328D" w:rsidRDefault="00B7328D" w:rsidP="000A0288">
      <w:pPr>
        <w:widowControl/>
        <w:jc w:val="left"/>
        <w:rPr>
          <w:b/>
          <w:i/>
        </w:rPr>
      </w:pPr>
      <w:bookmarkStart w:id="17" w:name="_Toc416959988"/>
      <w:bookmarkStart w:id="18" w:name="_Toc419206872"/>
    </w:p>
    <w:p w:rsidR="002F36A9" w:rsidRPr="002C2775" w:rsidRDefault="002F36A9" w:rsidP="00B24622">
      <w:pPr>
        <w:pStyle w:val="Heading2"/>
      </w:pPr>
      <w:r w:rsidRPr="002C2775">
        <w:lastRenderedPageBreak/>
        <w:t>Comparative harms</w:t>
      </w:r>
      <w:bookmarkEnd w:id="17"/>
      <w:bookmarkEnd w:id="18"/>
    </w:p>
    <w:p w:rsidR="002F36A9" w:rsidRPr="00B50DB8" w:rsidRDefault="002F36A9" w:rsidP="000A0288">
      <w:pPr>
        <w:pStyle w:val="ListParagraph"/>
        <w:widowControl/>
        <w:numPr>
          <w:ilvl w:val="1"/>
          <w:numId w:val="2"/>
        </w:numPr>
        <w:rPr>
          <w:szCs w:val="22"/>
        </w:rPr>
      </w:pPr>
      <w:r>
        <w:t>In the CHEST-1 trial there was a statistically significant increased incidence of dizziness (RD% 11.6, 95% CI: 5.1, 18.2) and hypotension (RD%: 8.1, 95%</w:t>
      </w:r>
      <w:r w:rsidR="00D92969">
        <w:t> </w:t>
      </w:r>
      <w:r>
        <w:t>CI:</w:t>
      </w:r>
      <w:r w:rsidR="00D92969">
        <w:t> </w:t>
      </w:r>
      <w:r>
        <w:t>2.3,</w:t>
      </w:r>
      <w:r w:rsidR="00D92969">
        <w:t> </w:t>
      </w:r>
      <w:r>
        <w:t>13.9) in the riociguat treatment arm compared to placebo.</w:t>
      </w:r>
      <w:r w:rsidR="006B5090">
        <w:t xml:space="preserve"> </w:t>
      </w:r>
      <w:r w:rsidRPr="00301710">
        <w:t>Additional data in the periodic safety update report did not suggest any new safety concerns.</w:t>
      </w:r>
      <w:r w:rsidR="006B5090">
        <w:rPr>
          <w:i/>
        </w:rPr>
        <w:t xml:space="preserve"> </w:t>
      </w:r>
    </w:p>
    <w:p w:rsidR="002F36A9" w:rsidRDefault="002F36A9" w:rsidP="000A0288">
      <w:pPr>
        <w:pStyle w:val="ListParagraph"/>
        <w:widowControl/>
        <w:ind w:left="0"/>
        <w:rPr>
          <w:szCs w:val="22"/>
        </w:rPr>
      </w:pPr>
    </w:p>
    <w:p w:rsidR="002F36A9" w:rsidRPr="002C2775" w:rsidRDefault="002F36A9" w:rsidP="00B24622">
      <w:pPr>
        <w:pStyle w:val="Heading2"/>
      </w:pPr>
      <w:bookmarkStart w:id="19" w:name="_Toc416959989"/>
      <w:bookmarkStart w:id="20" w:name="_Toc419206873"/>
      <w:r w:rsidRPr="002C2775">
        <w:t>Benefits/harms</w:t>
      </w:r>
      <w:bookmarkEnd w:id="19"/>
      <w:bookmarkEnd w:id="20"/>
    </w:p>
    <w:p w:rsidR="002F36A9" w:rsidRDefault="002F36A9" w:rsidP="000A0288">
      <w:pPr>
        <w:pStyle w:val="ListParagraph"/>
        <w:widowControl/>
        <w:numPr>
          <w:ilvl w:val="1"/>
          <w:numId w:val="2"/>
        </w:numPr>
        <w:rPr>
          <w:szCs w:val="22"/>
        </w:rPr>
      </w:pPr>
      <w:r w:rsidRPr="00B50DB8">
        <w:rPr>
          <w:szCs w:val="22"/>
        </w:rPr>
        <w:t>A summary of the comp</w:t>
      </w:r>
      <w:r>
        <w:rPr>
          <w:szCs w:val="22"/>
        </w:rPr>
        <w:t xml:space="preserve">arative benefits and harms for riociguat versus placebo </w:t>
      </w:r>
      <w:r w:rsidRPr="00B50DB8">
        <w:rPr>
          <w:szCs w:val="22"/>
        </w:rPr>
        <w:t xml:space="preserve">is presented in the table below. </w:t>
      </w:r>
    </w:p>
    <w:p w:rsidR="002F36A9" w:rsidRDefault="002F36A9" w:rsidP="000A0288">
      <w:pPr>
        <w:widowControl/>
        <w:ind w:left="720"/>
        <w:rPr>
          <w:szCs w:val="22"/>
        </w:rPr>
      </w:pPr>
    </w:p>
    <w:p w:rsidR="002F36A9" w:rsidRDefault="002F36A9" w:rsidP="000A0288">
      <w:pPr>
        <w:widowControl/>
        <w:ind w:firstLine="720"/>
        <w:rPr>
          <w:rStyle w:val="CommentReference"/>
        </w:rPr>
      </w:pPr>
      <w:r w:rsidRPr="00A578DC">
        <w:rPr>
          <w:rStyle w:val="CommentReference"/>
        </w:rPr>
        <w:t xml:space="preserve">Table </w:t>
      </w:r>
      <w:r>
        <w:rPr>
          <w:rStyle w:val="CommentReference"/>
        </w:rPr>
        <w:t>4</w:t>
      </w:r>
      <w:r w:rsidRPr="00A578DC">
        <w:rPr>
          <w:rStyle w:val="CommentReference"/>
        </w:rPr>
        <w:t xml:space="preserve">: Summary of comparative benefits and harms for </w:t>
      </w:r>
      <w:r>
        <w:rPr>
          <w:rStyle w:val="CommentReference"/>
        </w:rPr>
        <w:t>riociguat and placebo (CHEST-1)</w:t>
      </w:r>
    </w:p>
    <w:tbl>
      <w:tblPr>
        <w:tblStyle w:val="TableGrid"/>
        <w:tblW w:w="4616" w:type="pct"/>
        <w:tblInd w:w="698" w:type="dxa"/>
        <w:tblLayout w:type="fixed"/>
        <w:tblCellMar>
          <w:left w:w="28" w:type="dxa"/>
          <w:right w:w="28" w:type="dxa"/>
        </w:tblCellMar>
        <w:tblLook w:val="04A0" w:firstRow="1" w:lastRow="0" w:firstColumn="1" w:lastColumn="0" w:noHBand="0" w:noVBand="1"/>
        <w:tblCaption w:val="&quot;&quot;"/>
      </w:tblPr>
      <w:tblGrid>
        <w:gridCol w:w="1032"/>
        <w:gridCol w:w="803"/>
        <w:gridCol w:w="402"/>
        <w:gridCol w:w="401"/>
        <w:gridCol w:w="805"/>
        <w:gridCol w:w="850"/>
        <w:gridCol w:w="555"/>
        <w:gridCol w:w="25"/>
        <w:gridCol w:w="270"/>
        <w:gridCol w:w="849"/>
        <w:gridCol w:w="1040"/>
        <w:gridCol w:w="37"/>
        <w:gridCol w:w="1316"/>
      </w:tblGrid>
      <w:tr w:rsidR="00857461" w:rsidRPr="00D71A40" w:rsidTr="00857461">
        <w:trPr>
          <w:trHeight w:val="20"/>
          <w:tblHeader/>
        </w:trPr>
        <w:tc>
          <w:tcPr>
            <w:tcW w:w="615" w:type="pct"/>
            <w:vMerge w:val="restart"/>
            <w:shd w:val="clear" w:color="auto" w:fill="auto"/>
            <w:vAlign w:val="center"/>
          </w:tcPr>
          <w:p w:rsidR="00857461" w:rsidRPr="00D71A40" w:rsidRDefault="00857461" w:rsidP="00857461">
            <w:pPr>
              <w:widowControl/>
              <w:rPr>
                <w:rFonts w:ascii="Arial Narrow" w:hAnsi="Arial Narrow"/>
                <w:b/>
                <w:color w:val="000000"/>
                <w:sz w:val="20"/>
                <w:szCs w:val="18"/>
              </w:rPr>
            </w:pPr>
          </w:p>
        </w:tc>
        <w:tc>
          <w:tcPr>
            <w:tcW w:w="1438" w:type="pct"/>
            <w:gridSpan w:val="4"/>
            <w:vAlign w:val="center"/>
          </w:tcPr>
          <w:p w:rsidR="00857461" w:rsidRPr="00D71A40" w:rsidRDefault="00857461" w:rsidP="00857461">
            <w:pPr>
              <w:widowControl/>
              <w:jc w:val="center"/>
              <w:rPr>
                <w:rFonts w:ascii="Arial Narrow" w:hAnsi="Arial Narrow"/>
                <w:b/>
                <w:color w:val="000000"/>
                <w:sz w:val="20"/>
                <w:szCs w:val="18"/>
              </w:rPr>
            </w:pPr>
            <w:r w:rsidRPr="00D71A40">
              <w:rPr>
                <w:rFonts w:ascii="Arial Narrow" w:hAnsi="Arial Narrow"/>
                <w:b/>
                <w:color w:val="000000"/>
                <w:sz w:val="20"/>
                <w:szCs w:val="18"/>
              </w:rPr>
              <w:t>Riociguat</w:t>
            </w:r>
          </w:p>
        </w:tc>
        <w:tc>
          <w:tcPr>
            <w:tcW w:w="1520" w:type="pct"/>
            <w:gridSpan w:val="5"/>
            <w:vAlign w:val="center"/>
          </w:tcPr>
          <w:p w:rsidR="00857461" w:rsidRPr="00D71A40" w:rsidRDefault="00857461" w:rsidP="00857461">
            <w:pPr>
              <w:widowControl/>
              <w:jc w:val="center"/>
              <w:rPr>
                <w:rFonts w:ascii="Arial Narrow" w:hAnsi="Arial Narrow"/>
                <w:b/>
                <w:color w:val="000000"/>
                <w:sz w:val="20"/>
                <w:szCs w:val="18"/>
              </w:rPr>
            </w:pPr>
            <w:r w:rsidRPr="00D71A40">
              <w:rPr>
                <w:rFonts w:ascii="Arial Narrow" w:hAnsi="Arial Narrow"/>
                <w:b/>
                <w:color w:val="000000"/>
                <w:sz w:val="20"/>
                <w:szCs w:val="18"/>
              </w:rPr>
              <w:t>Placebo</w:t>
            </w:r>
          </w:p>
        </w:tc>
        <w:tc>
          <w:tcPr>
            <w:tcW w:w="1427" w:type="pct"/>
            <w:gridSpan w:val="3"/>
            <w:vMerge w:val="restart"/>
            <w:vAlign w:val="center"/>
          </w:tcPr>
          <w:p w:rsidR="00857461" w:rsidRPr="00D71A40" w:rsidRDefault="00857461" w:rsidP="00857461">
            <w:pPr>
              <w:widowControl/>
              <w:jc w:val="center"/>
              <w:rPr>
                <w:rFonts w:ascii="Arial Narrow" w:hAnsi="Arial Narrow"/>
                <w:b/>
                <w:sz w:val="20"/>
                <w:szCs w:val="18"/>
              </w:rPr>
            </w:pPr>
            <w:r w:rsidRPr="00D71A40">
              <w:rPr>
                <w:rFonts w:ascii="Arial Narrow" w:hAnsi="Arial Narrow"/>
                <w:b/>
                <w:sz w:val="20"/>
              </w:rPr>
              <w:t>LSMD: Riociguat vs. placebo (95% CI)</w:t>
            </w:r>
          </w:p>
        </w:tc>
      </w:tr>
      <w:tr w:rsidR="00857461" w:rsidRPr="00D71A40" w:rsidTr="00857461">
        <w:trPr>
          <w:trHeight w:val="70"/>
        </w:trPr>
        <w:tc>
          <w:tcPr>
            <w:tcW w:w="615" w:type="pct"/>
            <w:vMerge/>
            <w:shd w:val="clear" w:color="auto" w:fill="auto"/>
            <w:vAlign w:val="center"/>
          </w:tcPr>
          <w:p w:rsidR="00857461" w:rsidRPr="00D71A40" w:rsidRDefault="00857461" w:rsidP="00857461">
            <w:pPr>
              <w:widowControl/>
              <w:rPr>
                <w:rFonts w:ascii="Arial Narrow" w:hAnsi="Arial Narrow"/>
                <w:b/>
                <w:color w:val="000000"/>
                <w:sz w:val="20"/>
                <w:szCs w:val="18"/>
              </w:rPr>
            </w:pPr>
          </w:p>
        </w:tc>
        <w:tc>
          <w:tcPr>
            <w:tcW w:w="479" w:type="pct"/>
            <w:vAlign w:val="center"/>
          </w:tcPr>
          <w:p w:rsidR="00857461" w:rsidRPr="00D71A40" w:rsidRDefault="00857461" w:rsidP="00857461">
            <w:pPr>
              <w:widowControl/>
              <w:jc w:val="center"/>
              <w:rPr>
                <w:rFonts w:ascii="Arial Narrow" w:hAnsi="Arial Narrow"/>
                <w:b/>
                <w:color w:val="000000"/>
                <w:sz w:val="20"/>
                <w:szCs w:val="18"/>
              </w:rPr>
            </w:pPr>
            <w:r w:rsidRPr="00D71A40">
              <w:rPr>
                <w:rFonts w:ascii="Arial Narrow" w:hAnsi="Arial Narrow"/>
                <w:b/>
                <w:color w:val="000000"/>
                <w:sz w:val="20"/>
                <w:szCs w:val="18"/>
              </w:rPr>
              <w:t>n</w:t>
            </w:r>
          </w:p>
        </w:tc>
        <w:tc>
          <w:tcPr>
            <w:tcW w:w="479" w:type="pct"/>
            <w:gridSpan w:val="2"/>
            <w:vAlign w:val="center"/>
          </w:tcPr>
          <w:p w:rsidR="00857461" w:rsidRPr="00D71A40" w:rsidRDefault="00857461" w:rsidP="00857461">
            <w:pPr>
              <w:widowControl/>
              <w:jc w:val="center"/>
              <w:rPr>
                <w:rFonts w:ascii="Arial Narrow" w:hAnsi="Arial Narrow"/>
                <w:b/>
                <w:sz w:val="20"/>
                <w:szCs w:val="18"/>
              </w:rPr>
            </w:pPr>
            <w:r w:rsidRPr="00D71A40">
              <w:rPr>
                <w:rFonts w:ascii="Arial Narrow" w:hAnsi="Arial Narrow"/>
                <w:b/>
                <w:sz w:val="20"/>
                <w:szCs w:val="18"/>
              </w:rPr>
              <w:t>Mean ∆ baseline</w:t>
            </w:r>
          </w:p>
        </w:tc>
        <w:tc>
          <w:tcPr>
            <w:tcW w:w="480" w:type="pct"/>
            <w:vAlign w:val="center"/>
          </w:tcPr>
          <w:p w:rsidR="00857461" w:rsidRPr="00D71A40" w:rsidRDefault="00857461" w:rsidP="00857461">
            <w:pPr>
              <w:widowControl/>
              <w:jc w:val="center"/>
              <w:rPr>
                <w:rFonts w:ascii="Arial Narrow" w:hAnsi="Arial Narrow"/>
                <w:b/>
                <w:sz w:val="20"/>
                <w:szCs w:val="18"/>
              </w:rPr>
            </w:pPr>
            <w:r w:rsidRPr="00D71A40">
              <w:rPr>
                <w:rFonts w:ascii="Arial Narrow" w:hAnsi="Arial Narrow"/>
                <w:b/>
                <w:sz w:val="20"/>
                <w:szCs w:val="18"/>
              </w:rPr>
              <w:t>SD</w:t>
            </w:r>
          </w:p>
        </w:tc>
        <w:tc>
          <w:tcPr>
            <w:tcW w:w="507" w:type="pct"/>
            <w:vAlign w:val="center"/>
          </w:tcPr>
          <w:p w:rsidR="00857461" w:rsidRPr="00D71A40" w:rsidRDefault="00857461" w:rsidP="00857461">
            <w:pPr>
              <w:widowControl/>
              <w:jc w:val="center"/>
              <w:rPr>
                <w:rFonts w:ascii="Arial Narrow" w:hAnsi="Arial Narrow"/>
                <w:b/>
                <w:color w:val="000000"/>
                <w:sz w:val="20"/>
                <w:szCs w:val="18"/>
              </w:rPr>
            </w:pPr>
            <w:r w:rsidRPr="00D71A40">
              <w:rPr>
                <w:rFonts w:ascii="Arial Narrow" w:hAnsi="Arial Narrow"/>
                <w:b/>
                <w:color w:val="000000"/>
                <w:sz w:val="20"/>
                <w:szCs w:val="18"/>
              </w:rPr>
              <w:t>n</w:t>
            </w:r>
          </w:p>
        </w:tc>
        <w:tc>
          <w:tcPr>
            <w:tcW w:w="507" w:type="pct"/>
            <w:gridSpan w:val="3"/>
            <w:vAlign w:val="center"/>
          </w:tcPr>
          <w:p w:rsidR="00857461" w:rsidRPr="00D71A40" w:rsidRDefault="00857461" w:rsidP="00857461">
            <w:pPr>
              <w:widowControl/>
              <w:jc w:val="center"/>
              <w:rPr>
                <w:rFonts w:ascii="Arial Narrow" w:hAnsi="Arial Narrow"/>
                <w:b/>
                <w:sz w:val="20"/>
                <w:szCs w:val="18"/>
              </w:rPr>
            </w:pPr>
            <w:r w:rsidRPr="00D71A40">
              <w:rPr>
                <w:rFonts w:ascii="Arial Narrow" w:hAnsi="Arial Narrow"/>
                <w:b/>
                <w:sz w:val="20"/>
                <w:szCs w:val="18"/>
              </w:rPr>
              <w:t xml:space="preserve">Mean ∆ baseline </w:t>
            </w:r>
          </w:p>
        </w:tc>
        <w:tc>
          <w:tcPr>
            <w:tcW w:w="506" w:type="pct"/>
            <w:vAlign w:val="center"/>
          </w:tcPr>
          <w:p w:rsidR="00857461" w:rsidRPr="00D71A40" w:rsidRDefault="00857461" w:rsidP="00857461">
            <w:pPr>
              <w:widowControl/>
              <w:jc w:val="center"/>
              <w:rPr>
                <w:rFonts w:ascii="Arial Narrow" w:hAnsi="Arial Narrow"/>
                <w:b/>
                <w:sz w:val="20"/>
                <w:szCs w:val="18"/>
              </w:rPr>
            </w:pPr>
            <w:r w:rsidRPr="00D71A40">
              <w:rPr>
                <w:rFonts w:ascii="Arial Narrow" w:hAnsi="Arial Narrow"/>
                <w:b/>
                <w:sz w:val="20"/>
                <w:szCs w:val="18"/>
              </w:rPr>
              <w:t>SD</w:t>
            </w:r>
          </w:p>
        </w:tc>
        <w:tc>
          <w:tcPr>
            <w:tcW w:w="1427" w:type="pct"/>
            <w:gridSpan w:val="3"/>
            <w:vMerge/>
            <w:vAlign w:val="center"/>
          </w:tcPr>
          <w:p w:rsidR="00857461" w:rsidRPr="00D71A40" w:rsidRDefault="00857461" w:rsidP="00857461">
            <w:pPr>
              <w:widowControl/>
              <w:jc w:val="center"/>
              <w:rPr>
                <w:rFonts w:ascii="Arial Narrow" w:hAnsi="Arial Narrow"/>
                <w:b/>
                <w:sz w:val="20"/>
                <w:szCs w:val="18"/>
              </w:rPr>
            </w:pPr>
          </w:p>
        </w:tc>
      </w:tr>
      <w:tr w:rsidR="00857461" w:rsidRPr="00E2771E" w:rsidTr="00857461">
        <w:trPr>
          <w:trHeight w:val="20"/>
        </w:trPr>
        <w:tc>
          <w:tcPr>
            <w:tcW w:w="5000" w:type="pct"/>
            <w:gridSpan w:val="13"/>
            <w:shd w:val="clear" w:color="auto" w:fill="auto"/>
            <w:vAlign w:val="center"/>
          </w:tcPr>
          <w:p w:rsidR="00857461" w:rsidRPr="00E2771E" w:rsidRDefault="00857461" w:rsidP="00857461">
            <w:pPr>
              <w:widowControl/>
              <w:rPr>
                <w:rFonts w:ascii="Arial Narrow" w:hAnsi="Arial Narrow"/>
                <w:b/>
                <w:color w:val="000000"/>
                <w:sz w:val="20"/>
                <w:szCs w:val="18"/>
              </w:rPr>
            </w:pPr>
            <w:r w:rsidRPr="00E2771E">
              <w:rPr>
                <w:rFonts w:ascii="Arial Narrow" w:hAnsi="Arial Narrow"/>
                <w:b/>
                <w:color w:val="000000"/>
                <w:sz w:val="20"/>
                <w:szCs w:val="18"/>
              </w:rPr>
              <w:t>Benefits</w:t>
            </w:r>
          </w:p>
        </w:tc>
      </w:tr>
      <w:tr w:rsidR="00857461" w:rsidRPr="00E2771E" w:rsidTr="00857461">
        <w:trPr>
          <w:trHeight w:val="20"/>
        </w:trPr>
        <w:tc>
          <w:tcPr>
            <w:tcW w:w="5000" w:type="pct"/>
            <w:gridSpan w:val="13"/>
            <w:shd w:val="clear" w:color="auto" w:fill="auto"/>
            <w:vAlign w:val="center"/>
          </w:tcPr>
          <w:p w:rsidR="00857461" w:rsidRPr="00E2771E" w:rsidRDefault="00857461" w:rsidP="00857461">
            <w:pPr>
              <w:widowControl/>
              <w:rPr>
                <w:rFonts w:ascii="Arial Narrow" w:hAnsi="Arial Narrow"/>
                <w:b/>
                <w:color w:val="000000"/>
                <w:sz w:val="20"/>
                <w:szCs w:val="18"/>
              </w:rPr>
            </w:pPr>
            <w:r>
              <w:rPr>
                <w:rFonts w:ascii="Arial Narrow" w:hAnsi="Arial Narrow"/>
                <w:b/>
                <w:sz w:val="20"/>
              </w:rPr>
              <w:t xml:space="preserve">Change in 6MWD, </w:t>
            </w:r>
            <w:r w:rsidRPr="00232230">
              <w:rPr>
                <w:rFonts w:ascii="Arial Narrow" w:hAnsi="Arial Narrow"/>
                <w:b/>
                <w:sz w:val="20"/>
              </w:rPr>
              <w:t>metres</w:t>
            </w:r>
          </w:p>
        </w:tc>
      </w:tr>
      <w:tr w:rsidR="00857461" w:rsidRPr="00E2771E" w:rsidTr="00857461">
        <w:trPr>
          <w:trHeight w:val="20"/>
        </w:trPr>
        <w:tc>
          <w:tcPr>
            <w:tcW w:w="615" w:type="pct"/>
            <w:shd w:val="clear" w:color="auto" w:fill="auto"/>
            <w:vAlign w:val="center"/>
          </w:tcPr>
          <w:p w:rsidR="00857461" w:rsidRPr="00E2771E" w:rsidRDefault="00857461" w:rsidP="00857461">
            <w:pPr>
              <w:widowControl/>
              <w:rPr>
                <w:rFonts w:ascii="Arial Narrow" w:hAnsi="Arial Narrow"/>
                <w:color w:val="000000"/>
                <w:sz w:val="20"/>
                <w:szCs w:val="18"/>
              </w:rPr>
            </w:pPr>
            <w:r>
              <w:rPr>
                <w:rFonts w:ascii="Arial Narrow" w:hAnsi="Arial Narrow"/>
                <w:color w:val="000000"/>
                <w:sz w:val="20"/>
                <w:szCs w:val="18"/>
              </w:rPr>
              <w:t>CHEST-1</w:t>
            </w:r>
          </w:p>
        </w:tc>
        <w:tc>
          <w:tcPr>
            <w:tcW w:w="479" w:type="pct"/>
            <w:vAlign w:val="center"/>
          </w:tcPr>
          <w:p w:rsidR="00857461" w:rsidRPr="00E2771E" w:rsidRDefault="00857461" w:rsidP="00857461">
            <w:pPr>
              <w:widowControl/>
              <w:jc w:val="center"/>
              <w:rPr>
                <w:rFonts w:ascii="Arial Narrow" w:hAnsi="Arial Narrow"/>
                <w:color w:val="000000"/>
                <w:sz w:val="20"/>
                <w:szCs w:val="18"/>
              </w:rPr>
            </w:pPr>
            <w:r w:rsidRPr="00232230">
              <w:rPr>
                <w:rFonts w:ascii="Arial Narrow" w:hAnsi="Arial Narrow"/>
                <w:color w:val="000000"/>
                <w:sz w:val="20"/>
              </w:rPr>
              <w:t>173</w:t>
            </w:r>
          </w:p>
        </w:tc>
        <w:tc>
          <w:tcPr>
            <w:tcW w:w="479" w:type="pct"/>
            <w:gridSpan w:val="2"/>
            <w:vAlign w:val="center"/>
          </w:tcPr>
          <w:p w:rsidR="00857461" w:rsidRPr="00E2771E" w:rsidRDefault="00857461" w:rsidP="00857461">
            <w:pPr>
              <w:widowControl/>
              <w:jc w:val="center"/>
              <w:rPr>
                <w:rFonts w:ascii="Arial Narrow" w:hAnsi="Arial Narrow"/>
                <w:color w:val="000000"/>
                <w:sz w:val="20"/>
                <w:szCs w:val="18"/>
              </w:rPr>
            </w:pPr>
            <w:r w:rsidRPr="00232230">
              <w:rPr>
                <w:rFonts w:ascii="Arial Narrow" w:hAnsi="Arial Narrow"/>
                <w:color w:val="000000"/>
                <w:sz w:val="20"/>
              </w:rPr>
              <w:t>38.9</w:t>
            </w:r>
          </w:p>
        </w:tc>
        <w:tc>
          <w:tcPr>
            <w:tcW w:w="480" w:type="pct"/>
            <w:vAlign w:val="center"/>
          </w:tcPr>
          <w:p w:rsidR="00857461" w:rsidRPr="00E2771E" w:rsidRDefault="00857461" w:rsidP="00857461">
            <w:pPr>
              <w:widowControl/>
              <w:jc w:val="center"/>
              <w:rPr>
                <w:rFonts w:ascii="Arial Narrow" w:hAnsi="Arial Narrow"/>
                <w:color w:val="000000"/>
                <w:sz w:val="20"/>
                <w:szCs w:val="18"/>
              </w:rPr>
            </w:pPr>
            <w:r w:rsidRPr="00232230">
              <w:rPr>
                <w:rFonts w:ascii="Arial Narrow" w:hAnsi="Arial Narrow"/>
                <w:color w:val="000000"/>
                <w:sz w:val="20"/>
              </w:rPr>
              <w:t>79.3</w:t>
            </w:r>
          </w:p>
        </w:tc>
        <w:tc>
          <w:tcPr>
            <w:tcW w:w="507" w:type="pct"/>
            <w:vAlign w:val="center"/>
          </w:tcPr>
          <w:p w:rsidR="00857461" w:rsidRPr="00E2771E" w:rsidRDefault="00857461" w:rsidP="00857461">
            <w:pPr>
              <w:widowControl/>
              <w:jc w:val="center"/>
              <w:rPr>
                <w:rFonts w:ascii="Arial Narrow" w:hAnsi="Arial Narrow"/>
                <w:color w:val="000000"/>
                <w:sz w:val="20"/>
                <w:szCs w:val="18"/>
              </w:rPr>
            </w:pPr>
            <w:r w:rsidRPr="00232230">
              <w:rPr>
                <w:rFonts w:ascii="Arial Narrow" w:hAnsi="Arial Narrow"/>
                <w:color w:val="000000"/>
                <w:sz w:val="20"/>
              </w:rPr>
              <w:t>88</w:t>
            </w:r>
          </w:p>
        </w:tc>
        <w:tc>
          <w:tcPr>
            <w:tcW w:w="507" w:type="pct"/>
            <w:gridSpan w:val="3"/>
            <w:vAlign w:val="center"/>
          </w:tcPr>
          <w:p w:rsidR="00857461" w:rsidRPr="00E2771E" w:rsidRDefault="00857461" w:rsidP="00857461">
            <w:pPr>
              <w:widowControl/>
              <w:jc w:val="center"/>
              <w:rPr>
                <w:rFonts w:ascii="Arial Narrow" w:hAnsi="Arial Narrow"/>
                <w:color w:val="000000"/>
                <w:sz w:val="20"/>
                <w:szCs w:val="18"/>
              </w:rPr>
            </w:pPr>
            <w:r w:rsidRPr="00232230">
              <w:rPr>
                <w:rFonts w:ascii="Arial Narrow" w:hAnsi="Arial Narrow"/>
                <w:color w:val="000000"/>
                <w:sz w:val="20"/>
              </w:rPr>
              <w:t>-5.5</w:t>
            </w:r>
          </w:p>
        </w:tc>
        <w:tc>
          <w:tcPr>
            <w:tcW w:w="506" w:type="pct"/>
            <w:vAlign w:val="center"/>
          </w:tcPr>
          <w:p w:rsidR="00857461" w:rsidRPr="00E2771E" w:rsidRDefault="00857461" w:rsidP="00857461">
            <w:pPr>
              <w:widowControl/>
              <w:jc w:val="center"/>
              <w:rPr>
                <w:rFonts w:ascii="Arial Narrow" w:hAnsi="Arial Narrow"/>
                <w:color w:val="000000"/>
                <w:sz w:val="20"/>
                <w:szCs w:val="18"/>
              </w:rPr>
            </w:pPr>
            <w:r w:rsidRPr="00232230">
              <w:rPr>
                <w:rFonts w:ascii="Arial Narrow" w:hAnsi="Arial Narrow"/>
                <w:color w:val="000000"/>
                <w:sz w:val="20"/>
              </w:rPr>
              <w:t>84.3</w:t>
            </w:r>
          </w:p>
        </w:tc>
        <w:tc>
          <w:tcPr>
            <w:tcW w:w="1427" w:type="pct"/>
            <w:gridSpan w:val="3"/>
            <w:vAlign w:val="center"/>
          </w:tcPr>
          <w:p w:rsidR="00857461" w:rsidRPr="00E2771E" w:rsidRDefault="00857461" w:rsidP="00857461">
            <w:pPr>
              <w:widowControl/>
              <w:jc w:val="center"/>
              <w:rPr>
                <w:rFonts w:ascii="Arial Narrow" w:hAnsi="Arial Narrow"/>
                <w:sz w:val="20"/>
                <w:szCs w:val="18"/>
              </w:rPr>
            </w:pPr>
            <w:r w:rsidRPr="00232230">
              <w:rPr>
                <w:rFonts w:ascii="Arial Narrow" w:hAnsi="Arial Narrow"/>
                <w:sz w:val="20"/>
              </w:rPr>
              <w:t>45.</w:t>
            </w:r>
            <w:r>
              <w:rPr>
                <w:rFonts w:ascii="Arial Narrow" w:hAnsi="Arial Narrow"/>
                <w:sz w:val="20"/>
              </w:rPr>
              <w:t>7</w:t>
            </w:r>
            <w:r w:rsidRPr="00232230">
              <w:rPr>
                <w:rFonts w:ascii="Arial Narrow" w:hAnsi="Arial Narrow"/>
                <w:sz w:val="20"/>
              </w:rPr>
              <w:t xml:space="preserve"> (24.7, 66.6)</w:t>
            </w:r>
          </w:p>
        </w:tc>
      </w:tr>
      <w:tr w:rsidR="002F36A9" w:rsidRPr="00D71A40" w:rsidTr="00857461">
        <w:trPr>
          <w:trHeight w:val="20"/>
          <w:tblHeader/>
        </w:trPr>
        <w:tc>
          <w:tcPr>
            <w:tcW w:w="615" w:type="pct"/>
            <w:vMerge w:val="restart"/>
            <w:tcBorders>
              <w:top w:val="single" w:sz="4" w:space="0" w:color="auto"/>
            </w:tcBorders>
            <w:shd w:val="clear" w:color="auto" w:fill="auto"/>
            <w:vAlign w:val="center"/>
          </w:tcPr>
          <w:p w:rsidR="002F36A9" w:rsidRPr="00D71A40" w:rsidRDefault="002F36A9" w:rsidP="000A0288">
            <w:pPr>
              <w:widowControl/>
              <w:rPr>
                <w:rFonts w:ascii="Arial Narrow" w:hAnsi="Arial Narrow"/>
                <w:b/>
                <w:color w:val="000000"/>
                <w:sz w:val="20"/>
                <w:szCs w:val="18"/>
              </w:rPr>
            </w:pPr>
          </w:p>
        </w:tc>
        <w:tc>
          <w:tcPr>
            <w:tcW w:w="719" w:type="pct"/>
            <w:gridSpan w:val="2"/>
            <w:vMerge w:val="restart"/>
            <w:tcBorders>
              <w:top w:val="single" w:sz="4" w:space="0" w:color="auto"/>
            </w:tcBorders>
            <w:vAlign w:val="center"/>
          </w:tcPr>
          <w:p w:rsidR="002F36A9" w:rsidRPr="00D71A40" w:rsidRDefault="002F36A9" w:rsidP="000A0288">
            <w:pPr>
              <w:widowControl/>
              <w:jc w:val="center"/>
              <w:rPr>
                <w:rFonts w:ascii="Arial Narrow" w:hAnsi="Arial Narrow"/>
                <w:b/>
                <w:color w:val="000000"/>
                <w:sz w:val="20"/>
                <w:szCs w:val="18"/>
              </w:rPr>
            </w:pPr>
            <w:r w:rsidRPr="00D71A40">
              <w:rPr>
                <w:rFonts w:ascii="Arial Narrow" w:hAnsi="Arial Narrow"/>
                <w:b/>
                <w:color w:val="000000"/>
                <w:sz w:val="20"/>
                <w:szCs w:val="18"/>
              </w:rPr>
              <w:t>Riociguat</w:t>
            </w:r>
          </w:p>
        </w:tc>
        <w:tc>
          <w:tcPr>
            <w:tcW w:w="719" w:type="pct"/>
            <w:gridSpan w:val="2"/>
            <w:vMerge w:val="restart"/>
            <w:tcBorders>
              <w:top w:val="single" w:sz="4" w:space="0" w:color="auto"/>
            </w:tcBorders>
            <w:vAlign w:val="center"/>
          </w:tcPr>
          <w:p w:rsidR="002F36A9" w:rsidRPr="00D71A40" w:rsidRDefault="002F36A9" w:rsidP="000A0288">
            <w:pPr>
              <w:widowControl/>
              <w:jc w:val="center"/>
              <w:rPr>
                <w:rFonts w:ascii="Arial Narrow" w:hAnsi="Arial Narrow"/>
                <w:b/>
                <w:color w:val="000000"/>
                <w:sz w:val="20"/>
                <w:szCs w:val="18"/>
              </w:rPr>
            </w:pPr>
            <w:r w:rsidRPr="00D71A40">
              <w:rPr>
                <w:rFonts w:ascii="Arial Narrow" w:hAnsi="Arial Narrow"/>
                <w:b/>
                <w:color w:val="000000"/>
                <w:sz w:val="20"/>
                <w:szCs w:val="18"/>
              </w:rPr>
              <w:t>Placebo</w:t>
            </w:r>
          </w:p>
        </w:tc>
        <w:tc>
          <w:tcPr>
            <w:tcW w:w="853" w:type="pct"/>
            <w:gridSpan w:val="3"/>
            <w:vMerge w:val="restart"/>
            <w:tcBorders>
              <w:top w:val="single" w:sz="4" w:space="0" w:color="auto"/>
            </w:tcBorders>
            <w:vAlign w:val="center"/>
          </w:tcPr>
          <w:p w:rsidR="002F36A9" w:rsidRPr="00D71A40" w:rsidRDefault="002F36A9" w:rsidP="000A0288">
            <w:pPr>
              <w:widowControl/>
              <w:jc w:val="center"/>
              <w:rPr>
                <w:rFonts w:ascii="Arial Narrow" w:hAnsi="Arial Narrow"/>
                <w:b/>
                <w:color w:val="000000"/>
                <w:sz w:val="20"/>
                <w:szCs w:val="18"/>
              </w:rPr>
            </w:pPr>
            <w:r w:rsidRPr="00D71A40">
              <w:rPr>
                <w:rFonts w:ascii="Arial Narrow" w:hAnsi="Arial Narrow"/>
                <w:b/>
                <w:color w:val="000000"/>
                <w:sz w:val="20"/>
                <w:szCs w:val="18"/>
              </w:rPr>
              <w:t>RR (95% CI)</w:t>
            </w:r>
          </w:p>
        </w:tc>
        <w:tc>
          <w:tcPr>
            <w:tcW w:w="1287" w:type="pct"/>
            <w:gridSpan w:val="3"/>
            <w:tcBorders>
              <w:top w:val="single" w:sz="4" w:space="0" w:color="auto"/>
            </w:tcBorders>
            <w:vAlign w:val="center"/>
          </w:tcPr>
          <w:p w:rsidR="002F36A9" w:rsidRPr="00D71A40" w:rsidRDefault="002F36A9" w:rsidP="000A0288">
            <w:pPr>
              <w:widowControl/>
              <w:jc w:val="center"/>
              <w:rPr>
                <w:rFonts w:ascii="Arial Narrow" w:hAnsi="Arial Narrow"/>
                <w:b/>
                <w:color w:val="000000"/>
                <w:sz w:val="20"/>
                <w:szCs w:val="18"/>
              </w:rPr>
            </w:pPr>
            <w:r w:rsidRPr="00D71A40">
              <w:rPr>
                <w:rFonts w:ascii="Arial Narrow" w:hAnsi="Arial Narrow"/>
                <w:b/>
                <w:color w:val="000000"/>
                <w:sz w:val="20"/>
                <w:szCs w:val="18"/>
              </w:rPr>
              <w:t xml:space="preserve">Event rate/100 patients* </w:t>
            </w:r>
          </w:p>
        </w:tc>
        <w:tc>
          <w:tcPr>
            <w:tcW w:w="807" w:type="pct"/>
            <w:gridSpan w:val="2"/>
            <w:vMerge w:val="restart"/>
            <w:tcBorders>
              <w:top w:val="single" w:sz="4" w:space="0" w:color="auto"/>
            </w:tcBorders>
            <w:vAlign w:val="center"/>
          </w:tcPr>
          <w:p w:rsidR="002F36A9" w:rsidRPr="00D71A40" w:rsidRDefault="002F36A9" w:rsidP="000A0288">
            <w:pPr>
              <w:widowControl/>
              <w:jc w:val="center"/>
              <w:rPr>
                <w:rFonts w:ascii="Arial Narrow" w:hAnsi="Arial Narrow"/>
                <w:b/>
                <w:color w:val="000000"/>
                <w:sz w:val="20"/>
                <w:szCs w:val="18"/>
              </w:rPr>
            </w:pPr>
            <w:r w:rsidRPr="00D71A40">
              <w:rPr>
                <w:rFonts w:ascii="Arial Narrow" w:hAnsi="Arial Narrow"/>
                <w:b/>
                <w:color w:val="000000"/>
                <w:sz w:val="20"/>
                <w:szCs w:val="18"/>
              </w:rPr>
              <w:t>RD</w:t>
            </w:r>
            <w:r>
              <w:rPr>
                <w:rFonts w:ascii="Arial Narrow" w:hAnsi="Arial Narrow"/>
                <w:b/>
                <w:color w:val="000000"/>
                <w:sz w:val="20"/>
                <w:szCs w:val="18"/>
              </w:rPr>
              <w:t>%</w:t>
            </w:r>
            <w:r w:rsidRPr="00D71A40">
              <w:rPr>
                <w:rFonts w:ascii="Arial Narrow" w:hAnsi="Arial Narrow"/>
                <w:b/>
                <w:color w:val="000000"/>
                <w:sz w:val="20"/>
                <w:szCs w:val="18"/>
              </w:rPr>
              <w:t xml:space="preserve"> (95% CI)</w:t>
            </w:r>
          </w:p>
        </w:tc>
      </w:tr>
      <w:tr w:rsidR="002F36A9" w:rsidRPr="00D71A40" w:rsidTr="002F36A9">
        <w:trPr>
          <w:trHeight w:val="20"/>
        </w:trPr>
        <w:tc>
          <w:tcPr>
            <w:tcW w:w="615" w:type="pct"/>
            <w:vMerge/>
            <w:shd w:val="clear" w:color="auto" w:fill="auto"/>
            <w:vAlign w:val="center"/>
          </w:tcPr>
          <w:p w:rsidR="002F36A9" w:rsidRPr="00D71A40" w:rsidRDefault="002F36A9" w:rsidP="000A0288">
            <w:pPr>
              <w:widowControl/>
              <w:rPr>
                <w:rFonts w:ascii="Arial Narrow" w:hAnsi="Arial Narrow"/>
                <w:b/>
                <w:color w:val="000000"/>
                <w:sz w:val="20"/>
                <w:szCs w:val="18"/>
              </w:rPr>
            </w:pPr>
          </w:p>
        </w:tc>
        <w:tc>
          <w:tcPr>
            <w:tcW w:w="719" w:type="pct"/>
            <w:gridSpan w:val="2"/>
            <w:vMerge/>
            <w:vAlign w:val="center"/>
          </w:tcPr>
          <w:p w:rsidR="002F36A9" w:rsidRPr="00D71A40" w:rsidRDefault="002F36A9" w:rsidP="000A0288">
            <w:pPr>
              <w:widowControl/>
              <w:jc w:val="center"/>
              <w:rPr>
                <w:rFonts w:ascii="Arial Narrow" w:hAnsi="Arial Narrow"/>
                <w:b/>
                <w:color w:val="000000"/>
                <w:sz w:val="20"/>
                <w:szCs w:val="18"/>
              </w:rPr>
            </w:pPr>
          </w:p>
        </w:tc>
        <w:tc>
          <w:tcPr>
            <w:tcW w:w="719" w:type="pct"/>
            <w:gridSpan w:val="2"/>
            <w:vMerge/>
            <w:vAlign w:val="center"/>
          </w:tcPr>
          <w:p w:rsidR="002F36A9" w:rsidRPr="00D71A40" w:rsidRDefault="002F36A9" w:rsidP="000A0288">
            <w:pPr>
              <w:widowControl/>
              <w:jc w:val="center"/>
              <w:rPr>
                <w:rFonts w:ascii="Arial Narrow" w:hAnsi="Arial Narrow"/>
                <w:b/>
                <w:color w:val="000000"/>
                <w:sz w:val="20"/>
                <w:szCs w:val="18"/>
              </w:rPr>
            </w:pPr>
          </w:p>
        </w:tc>
        <w:tc>
          <w:tcPr>
            <w:tcW w:w="853" w:type="pct"/>
            <w:gridSpan w:val="3"/>
            <w:vMerge/>
            <w:vAlign w:val="center"/>
          </w:tcPr>
          <w:p w:rsidR="002F36A9" w:rsidRPr="00D71A40" w:rsidRDefault="002F36A9" w:rsidP="000A0288">
            <w:pPr>
              <w:widowControl/>
              <w:jc w:val="center"/>
              <w:rPr>
                <w:rFonts w:ascii="Arial Narrow" w:hAnsi="Arial Narrow"/>
                <w:b/>
                <w:color w:val="000000"/>
                <w:sz w:val="20"/>
                <w:szCs w:val="18"/>
              </w:rPr>
            </w:pPr>
          </w:p>
        </w:tc>
        <w:tc>
          <w:tcPr>
            <w:tcW w:w="667" w:type="pct"/>
            <w:gridSpan w:val="2"/>
            <w:vAlign w:val="center"/>
          </w:tcPr>
          <w:p w:rsidR="002F36A9" w:rsidRPr="00D71A40" w:rsidRDefault="002F36A9" w:rsidP="000A0288">
            <w:pPr>
              <w:widowControl/>
              <w:jc w:val="center"/>
              <w:rPr>
                <w:rFonts w:ascii="Arial Narrow" w:hAnsi="Arial Narrow"/>
                <w:b/>
                <w:color w:val="000000"/>
                <w:sz w:val="20"/>
                <w:szCs w:val="18"/>
              </w:rPr>
            </w:pPr>
            <w:r w:rsidRPr="00D71A40">
              <w:rPr>
                <w:rFonts w:ascii="Arial Narrow" w:hAnsi="Arial Narrow"/>
                <w:b/>
                <w:color w:val="000000"/>
                <w:sz w:val="20"/>
                <w:szCs w:val="18"/>
              </w:rPr>
              <w:t>Riociguat</w:t>
            </w:r>
          </w:p>
        </w:tc>
        <w:tc>
          <w:tcPr>
            <w:tcW w:w="620" w:type="pct"/>
            <w:vAlign w:val="center"/>
          </w:tcPr>
          <w:p w:rsidR="002F36A9" w:rsidRPr="00D71A40" w:rsidRDefault="002F36A9" w:rsidP="000A0288">
            <w:pPr>
              <w:widowControl/>
              <w:jc w:val="center"/>
              <w:rPr>
                <w:rFonts w:ascii="Arial Narrow" w:hAnsi="Arial Narrow"/>
                <w:b/>
                <w:color w:val="000000"/>
                <w:sz w:val="20"/>
                <w:szCs w:val="18"/>
              </w:rPr>
            </w:pPr>
            <w:r w:rsidRPr="00D71A40">
              <w:rPr>
                <w:rFonts w:ascii="Arial Narrow" w:hAnsi="Arial Narrow"/>
                <w:b/>
                <w:color w:val="000000"/>
                <w:sz w:val="20"/>
                <w:szCs w:val="18"/>
              </w:rPr>
              <w:t>Placebo</w:t>
            </w:r>
          </w:p>
        </w:tc>
        <w:tc>
          <w:tcPr>
            <w:tcW w:w="807" w:type="pct"/>
            <w:gridSpan w:val="2"/>
            <w:vMerge/>
            <w:vAlign w:val="center"/>
          </w:tcPr>
          <w:p w:rsidR="002F36A9" w:rsidRPr="00D71A40" w:rsidRDefault="002F36A9" w:rsidP="000A0288">
            <w:pPr>
              <w:widowControl/>
              <w:jc w:val="center"/>
              <w:rPr>
                <w:rFonts w:ascii="Arial Narrow" w:hAnsi="Arial Narrow"/>
                <w:b/>
                <w:color w:val="000000"/>
                <w:sz w:val="20"/>
                <w:szCs w:val="18"/>
              </w:rPr>
            </w:pPr>
          </w:p>
        </w:tc>
      </w:tr>
      <w:tr w:rsidR="002F36A9" w:rsidRPr="00D71A40" w:rsidTr="002F36A9">
        <w:trPr>
          <w:trHeight w:val="20"/>
        </w:trPr>
        <w:tc>
          <w:tcPr>
            <w:tcW w:w="5000" w:type="pct"/>
            <w:gridSpan w:val="13"/>
            <w:shd w:val="clear" w:color="auto" w:fill="auto"/>
            <w:vAlign w:val="center"/>
          </w:tcPr>
          <w:p w:rsidR="002F36A9" w:rsidRPr="00D71A40" w:rsidRDefault="002F36A9" w:rsidP="000A0288">
            <w:pPr>
              <w:widowControl/>
              <w:jc w:val="left"/>
              <w:rPr>
                <w:rFonts w:ascii="Arial Narrow" w:hAnsi="Arial Narrow"/>
                <w:b/>
                <w:sz w:val="20"/>
              </w:rPr>
            </w:pPr>
            <w:r>
              <w:rPr>
                <w:rFonts w:ascii="Arial Narrow" w:hAnsi="Arial Narrow"/>
                <w:b/>
                <w:color w:val="000000"/>
                <w:sz w:val="20"/>
              </w:rPr>
              <w:t>Improvement by</w:t>
            </w:r>
            <w:r w:rsidRPr="00D71A40">
              <w:rPr>
                <w:rFonts w:ascii="Arial Narrow" w:hAnsi="Arial Narrow"/>
                <w:b/>
                <w:color w:val="000000"/>
                <w:sz w:val="20"/>
              </w:rPr>
              <w:t xml:space="preserve"> ≥1 WHO Functional class</w:t>
            </w:r>
          </w:p>
        </w:tc>
      </w:tr>
      <w:tr w:rsidR="002F36A9" w:rsidRPr="00E2771E" w:rsidTr="002F36A9">
        <w:trPr>
          <w:trHeight w:val="20"/>
        </w:trPr>
        <w:tc>
          <w:tcPr>
            <w:tcW w:w="615" w:type="pct"/>
            <w:tcBorders>
              <w:bottom w:val="double" w:sz="4" w:space="0" w:color="auto"/>
            </w:tcBorders>
            <w:shd w:val="clear" w:color="auto" w:fill="auto"/>
            <w:vAlign w:val="center"/>
          </w:tcPr>
          <w:p w:rsidR="002F36A9" w:rsidRPr="00E2771E" w:rsidRDefault="002F36A9" w:rsidP="000A0288">
            <w:pPr>
              <w:widowControl/>
              <w:rPr>
                <w:rFonts w:ascii="Arial Narrow" w:hAnsi="Arial Narrow"/>
                <w:color w:val="000000"/>
                <w:sz w:val="20"/>
                <w:szCs w:val="18"/>
              </w:rPr>
            </w:pPr>
            <w:r>
              <w:rPr>
                <w:rFonts w:ascii="Arial Narrow" w:hAnsi="Arial Narrow"/>
                <w:color w:val="000000"/>
                <w:sz w:val="20"/>
                <w:szCs w:val="18"/>
              </w:rPr>
              <w:t>CHEST-1</w:t>
            </w:r>
          </w:p>
        </w:tc>
        <w:tc>
          <w:tcPr>
            <w:tcW w:w="719" w:type="pct"/>
            <w:gridSpan w:val="2"/>
            <w:tcBorders>
              <w:bottom w:val="double" w:sz="4" w:space="0" w:color="auto"/>
            </w:tcBorders>
            <w:vAlign w:val="center"/>
          </w:tcPr>
          <w:p w:rsidR="002F36A9" w:rsidRPr="00E2771E" w:rsidRDefault="002F36A9" w:rsidP="000A0288">
            <w:pPr>
              <w:widowControl/>
              <w:jc w:val="center"/>
              <w:rPr>
                <w:rFonts w:ascii="Arial Narrow" w:hAnsi="Arial Narrow"/>
                <w:color w:val="000000"/>
                <w:sz w:val="20"/>
                <w:szCs w:val="18"/>
              </w:rPr>
            </w:pPr>
            <w:r w:rsidRPr="00232230">
              <w:rPr>
                <w:rFonts w:ascii="Arial Narrow" w:hAnsi="Arial Narrow"/>
                <w:color w:val="000000"/>
                <w:sz w:val="20"/>
              </w:rPr>
              <w:t>57/173</w:t>
            </w:r>
          </w:p>
        </w:tc>
        <w:tc>
          <w:tcPr>
            <w:tcW w:w="719" w:type="pct"/>
            <w:gridSpan w:val="2"/>
            <w:tcBorders>
              <w:bottom w:val="double" w:sz="4" w:space="0" w:color="auto"/>
            </w:tcBorders>
            <w:vAlign w:val="center"/>
          </w:tcPr>
          <w:p w:rsidR="002F36A9" w:rsidRPr="00E2771E" w:rsidRDefault="002F36A9" w:rsidP="000A0288">
            <w:pPr>
              <w:widowControl/>
              <w:jc w:val="center"/>
              <w:rPr>
                <w:rFonts w:ascii="Arial Narrow" w:hAnsi="Arial Narrow"/>
                <w:color w:val="000000"/>
                <w:sz w:val="20"/>
                <w:szCs w:val="18"/>
              </w:rPr>
            </w:pPr>
            <w:r w:rsidRPr="00232230">
              <w:rPr>
                <w:rFonts w:ascii="Arial Narrow" w:hAnsi="Arial Narrow"/>
                <w:color w:val="000000"/>
                <w:sz w:val="20"/>
              </w:rPr>
              <w:t>13/</w:t>
            </w:r>
            <w:r w:rsidR="006E4315" w:rsidRPr="00232230">
              <w:rPr>
                <w:rFonts w:ascii="Arial Narrow" w:hAnsi="Arial Narrow"/>
                <w:color w:val="000000"/>
                <w:sz w:val="20"/>
              </w:rPr>
              <w:t>8</w:t>
            </w:r>
            <w:r w:rsidR="006E4315">
              <w:rPr>
                <w:rFonts w:ascii="Arial Narrow" w:hAnsi="Arial Narrow"/>
                <w:color w:val="000000"/>
                <w:sz w:val="20"/>
              </w:rPr>
              <w:t>7</w:t>
            </w:r>
          </w:p>
        </w:tc>
        <w:tc>
          <w:tcPr>
            <w:tcW w:w="853" w:type="pct"/>
            <w:gridSpan w:val="3"/>
            <w:tcBorders>
              <w:bottom w:val="double" w:sz="4" w:space="0" w:color="auto"/>
            </w:tcBorders>
            <w:vAlign w:val="center"/>
          </w:tcPr>
          <w:p w:rsidR="002F36A9" w:rsidRPr="00E2771E" w:rsidRDefault="002F36A9" w:rsidP="000A0288">
            <w:pPr>
              <w:widowControl/>
              <w:jc w:val="center"/>
              <w:rPr>
                <w:rFonts w:ascii="Arial Narrow" w:hAnsi="Arial Narrow"/>
                <w:color w:val="000000"/>
                <w:sz w:val="20"/>
                <w:szCs w:val="18"/>
              </w:rPr>
            </w:pPr>
            <w:r w:rsidRPr="00232230">
              <w:rPr>
                <w:rFonts w:ascii="Arial Narrow" w:hAnsi="Arial Narrow"/>
                <w:sz w:val="20"/>
              </w:rPr>
              <w:t>2.2 (1.</w:t>
            </w:r>
            <w:r w:rsidR="005777B5">
              <w:rPr>
                <w:rFonts w:ascii="Arial Narrow" w:hAnsi="Arial Narrow"/>
                <w:sz w:val="20"/>
              </w:rPr>
              <w:t>3</w:t>
            </w:r>
            <w:r w:rsidRPr="00232230">
              <w:rPr>
                <w:rFonts w:ascii="Arial Narrow" w:hAnsi="Arial Narrow"/>
                <w:sz w:val="20"/>
              </w:rPr>
              <w:t>, 3.8)</w:t>
            </w:r>
          </w:p>
        </w:tc>
        <w:tc>
          <w:tcPr>
            <w:tcW w:w="667" w:type="pct"/>
            <w:gridSpan w:val="2"/>
            <w:tcBorders>
              <w:bottom w:val="double" w:sz="4" w:space="0" w:color="auto"/>
            </w:tcBorders>
            <w:vAlign w:val="center"/>
          </w:tcPr>
          <w:p w:rsidR="002F36A9" w:rsidRPr="00E2771E" w:rsidRDefault="005777B5" w:rsidP="000A0288">
            <w:pPr>
              <w:widowControl/>
              <w:jc w:val="center"/>
              <w:rPr>
                <w:rFonts w:ascii="Arial Narrow" w:hAnsi="Arial Narrow"/>
                <w:color w:val="000000"/>
                <w:sz w:val="20"/>
                <w:szCs w:val="18"/>
              </w:rPr>
            </w:pPr>
            <w:r w:rsidRPr="00232230">
              <w:rPr>
                <w:rFonts w:ascii="Arial Narrow" w:hAnsi="Arial Narrow"/>
                <w:color w:val="000000"/>
                <w:sz w:val="20"/>
              </w:rPr>
              <w:t>3</w:t>
            </w:r>
            <w:r>
              <w:rPr>
                <w:rFonts w:ascii="Arial Narrow" w:hAnsi="Arial Narrow"/>
                <w:color w:val="000000"/>
                <w:sz w:val="20"/>
              </w:rPr>
              <w:t>2.9</w:t>
            </w:r>
          </w:p>
        </w:tc>
        <w:tc>
          <w:tcPr>
            <w:tcW w:w="620" w:type="pct"/>
            <w:tcBorders>
              <w:bottom w:val="double" w:sz="4" w:space="0" w:color="auto"/>
            </w:tcBorders>
            <w:vAlign w:val="center"/>
          </w:tcPr>
          <w:p w:rsidR="002F36A9" w:rsidRPr="00E2771E" w:rsidRDefault="005777B5" w:rsidP="000A0288">
            <w:pPr>
              <w:widowControl/>
              <w:jc w:val="center"/>
              <w:rPr>
                <w:rFonts w:ascii="Arial Narrow" w:hAnsi="Arial Narrow"/>
                <w:color w:val="000000"/>
                <w:sz w:val="20"/>
                <w:szCs w:val="18"/>
              </w:rPr>
            </w:pPr>
            <w:r>
              <w:rPr>
                <w:rFonts w:ascii="Arial Narrow" w:hAnsi="Arial Narrow"/>
                <w:color w:val="000000"/>
                <w:sz w:val="20"/>
              </w:rPr>
              <w:t>14.9</w:t>
            </w:r>
          </w:p>
        </w:tc>
        <w:tc>
          <w:tcPr>
            <w:tcW w:w="807" w:type="pct"/>
            <w:gridSpan w:val="2"/>
            <w:tcBorders>
              <w:bottom w:val="double" w:sz="4" w:space="0" w:color="auto"/>
            </w:tcBorders>
            <w:vAlign w:val="center"/>
          </w:tcPr>
          <w:p w:rsidR="002F36A9" w:rsidRPr="00E2771E" w:rsidRDefault="002F36A9" w:rsidP="000A0288">
            <w:pPr>
              <w:widowControl/>
              <w:jc w:val="center"/>
              <w:rPr>
                <w:rFonts w:ascii="Arial Narrow" w:hAnsi="Arial Narrow"/>
                <w:color w:val="000000"/>
                <w:sz w:val="20"/>
                <w:szCs w:val="18"/>
              </w:rPr>
            </w:pPr>
            <w:r w:rsidRPr="00232230">
              <w:rPr>
                <w:rFonts w:ascii="Arial Narrow" w:hAnsi="Arial Narrow"/>
                <w:sz w:val="20"/>
              </w:rPr>
              <w:t>18</w:t>
            </w:r>
            <w:r w:rsidR="005777B5">
              <w:rPr>
                <w:rFonts w:ascii="Arial Narrow" w:hAnsi="Arial Narrow"/>
                <w:sz w:val="20"/>
              </w:rPr>
              <w:t>.0</w:t>
            </w:r>
            <w:r w:rsidRPr="00232230">
              <w:rPr>
                <w:rFonts w:ascii="Arial Narrow" w:hAnsi="Arial Narrow"/>
                <w:sz w:val="20"/>
              </w:rPr>
              <w:t xml:space="preserve"> (7.7, 28.3)</w:t>
            </w:r>
          </w:p>
        </w:tc>
      </w:tr>
      <w:tr w:rsidR="002F36A9" w:rsidRPr="00D71A40" w:rsidTr="002F36A9">
        <w:trPr>
          <w:trHeight w:val="20"/>
        </w:trPr>
        <w:tc>
          <w:tcPr>
            <w:tcW w:w="5000" w:type="pct"/>
            <w:gridSpan w:val="13"/>
            <w:tcBorders>
              <w:top w:val="double" w:sz="4" w:space="0" w:color="auto"/>
            </w:tcBorders>
            <w:shd w:val="clear" w:color="auto" w:fill="auto"/>
            <w:vAlign w:val="center"/>
          </w:tcPr>
          <w:p w:rsidR="002F36A9" w:rsidRPr="00D71A40" w:rsidRDefault="002F36A9" w:rsidP="000A0288">
            <w:pPr>
              <w:widowControl/>
              <w:rPr>
                <w:rFonts w:ascii="Arial Narrow" w:hAnsi="Arial Narrow"/>
                <w:b/>
                <w:color w:val="000000"/>
                <w:sz w:val="20"/>
                <w:szCs w:val="18"/>
              </w:rPr>
            </w:pPr>
            <w:r w:rsidRPr="00D71A40">
              <w:rPr>
                <w:rFonts w:ascii="Arial Narrow" w:hAnsi="Arial Narrow"/>
                <w:b/>
                <w:color w:val="000000"/>
                <w:sz w:val="20"/>
                <w:szCs w:val="18"/>
              </w:rPr>
              <w:t xml:space="preserve">Harms </w:t>
            </w:r>
          </w:p>
        </w:tc>
      </w:tr>
      <w:tr w:rsidR="002F36A9" w:rsidRPr="00E2771E" w:rsidTr="002F36A9">
        <w:trPr>
          <w:trHeight w:val="20"/>
        </w:trPr>
        <w:tc>
          <w:tcPr>
            <w:tcW w:w="615" w:type="pct"/>
            <w:shd w:val="clear" w:color="auto" w:fill="auto"/>
            <w:vAlign w:val="center"/>
          </w:tcPr>
          <w:p w:rsidR="002F36A9" w:rsidRPr="00367D2E" w:rsidRDefault="002F36A9" w:rsidP="000A0288">
            <w:pPr>
              <w:widowControl/>
              <w:rPr>
                <w:rFonts w:ascii="Arial Narrow" w:hAnsi="Arial Narrow"/>
                <w:color w:val="000000"/>
                <w:sz w:val="20"/>
                <w:szCs w:val="18"/>
              </w:rPr>
            </w:pPr>
            <w:r w:rsidRPr="00367D2E">
              <w:rPr>
                <w:rFonts w:ascii="Arial Narrow" w:hAnsi="Arial Narrow"/>
                <w:color w:val="000000"/>
                <w:sz w:val="20"/>
                <w:szCs w:val="18"/>
              </w:rPr>
              <w:t>Dizziness</w:t>
            </w:r>
          </w:p>
        </w:tc>
        <w:tc>
          <w:tcPr>
            <w:tcW w:w="719" w:type="pct"/>
            <w:gridSpan w:val="2"/>
            <w:vAlign w:val="center"/>
          </w:tcPr>
          <w:p w:rsidR="002F36A9" w:rsidRPr="00E2771E" w:rsidRDefault="002F36A9" w:rsidP="000A0288">
            <w:pPr>
              <w:widowControl/>
              <w:jc w:val="center"/>
              <w:rPr>
                <w:rFonts w:ascii="Arial Narrow" w:hAnsi="Arial Narrow"/>
                <w:color w:val="000000"/>
                <w:sz w:val="20"/>
                <w:szCs w:val="18"/>
              </w:rPr>
            </w:pPr>
            <w:r w:rsidRPr="00232230">
              <w:rPr>
                <w:rFonts w:ascii="Arial Narrow" w:hAnsi="Arial Narrow"/>
                <w:color w:val="000000"/>
                <w:sz w:val="20"/>
              </w:rPr>
              <w:t>26/173</w:t>
            </w:r>
          </w:p>
        </w:tc>
        <w:tc>
          <w:tcPr>
            <w:tcW w:w="719" w:type="pct"/>
            <w:gridSpan w:val="2"/>
            <w:vAlign w:val="center"/>
          </w:tcPr>
          <w:p w:rsidR="002F36A9" w:rsidRPr="00E2771E" w:rsidRDefault="002F36A9" w:rsidP="000A0288">
            <w:pPr>
              <w:widowControl/>
              <w:jc w:val="center"/>
              <w:rPr>
                <w:rFonts w:ascii="Arial Narrow" w:hAnsi="Arial Narrow"/>
                <w:color w:val="000000"/>
                <w:sz w:val="20"/>
                <w:szCs w:val="18"/>
              </w:rPr>
            </w:pPr>
            <w:r w:rsidRPr="00232230">
              <w:rPr>
                <w:rFonts w:ascii="Arial Narrow" w:hAnsi="Arial Narrow"/>
                <w:color w:val="000000"/>
                <w:sz w:val="20"/>
              </w:rPr>
              <w:t>3/88</w:t>
            </w:r>
          </w:p>
        </w:tc>
        <w:tc>
          <w:tcPr>
            <w:tcW w:w="838" w:type="pct"/>
            <w:gridSpan w:val="2"/>
            <w:vAlign w:val="center"/>
          </w:tcPr>
          <w:p w:rsidR="002F36A9" w:rsidRPr="00E2771E" w:rsidRDefault="002F36A9" w:rsidP="000A0288">
            <w:pPr>
              <w:widowControl/>
              <w:jc w:val="center"/>
              <w:rPr>
                <w:rFonts w:ascii="Arial Narrow" w:hAnsi="Arial Narrow"/>
                <w:color w:val="000000"/>
                <w:sz w:val="20"/>
                <w:szCs w:val="18"/>
              </w:rPr>
            </w:pPr>
            <w:r w:rsidRPr="00232230">
              <w:rPr>
                <w:rFonts w:ascii="Arial Narrow" w:hAnsi="Arial Narrow"/>
                <w:color w:val="000000"/>
                <w:sz w:val="20"/>
              </w:rPr>
              <w:t>4.4 (1.</w:t>
            </w:r>
            <w:r w:rsidR="005777B5">
              <w:rPr>
                <w:rFonts w:ascii="Arial Narrow" w:hAnsi="Arial Narrow"/>
                <w:color w:val="000000"/>
                <w:sz w:val="20"/>
              </w:rPr>
              <w:t>4</w:t>
            </w:r>
            <w:r w:rsidRPr="00232230">
              <w:rPr>
                <w:rFonts w:ascii="Arial Narrow" w:hAnsi="Arial Narrow"/>
                <w:color w:val="000000"/>
                <w:sz w:val="20"/>
              </w:rPr>
              <w:t>, 14.</w:t>
            </w:r>
            <w:r w:rsidR="005777B5">
              <w:rPr>
                <w:rFonts w:ascii="Arial Narrow" w:hAnsi="Arial Narrow"/>
                <w:color w:val="000000"/>
                <w:sz w:val="20"/>
              </w:rPr>
              <w:t>2</w:t>
            </w:r>
            <w:r w:rsidRPr="00232230">
              <w:rPr>
                <w:rFonts w:ascii="Arial Narrow" w:hAnsi="Arial Narrow"/>
                <w:color w:val="000000"/>
                <w:sz w:val="20"/>
              </w:rPr>
              <w:t>)</w:t>
            </w:r>
          </w:p>
        </w:tc>
        <w:tc>
          <w:tcPr>
            <w:tcW w:w="682" w:type="pct"/>
            <w:gridSpan w:val="3"/>
            <w:vAlign w:val="center"/>
          </w:tcPr>
          <w:p w:rsidR="002F36A9" w:rsidRPr="00E2771E" w:rsidRDefault="002F36A9" w:rsidP="000A0288">
            <w:pPr>
              <w:widowControl/>
              <w:jc w:val="center"/>
              <w:rPr>
                <w:rFonts w:ascii="Arial Narrow" w:hAnsi="Arial Narrow"/>
                <w:color w:val="000000"/>
                <w:sz w:val="20"/>
                <w:szCs w:val="18"/>
              </w:rPr>
            </w:pPr>
            <w:r w:rsidRPr="00232230">
              <w:rPr>
                <w:rFonts w:ascii="Arial Narrow" w:hAnsi="Arial Narrow"/>
                <w:color w:val="000000"/>
                <w:sz w:val="20"/>
              </w:rPr>
              <w:t>15</w:t>
            </w:r>
            <w:r w:rsidR="00FA3B60">
              <w:rPr>
                <w:rFonts w:ascii="Arial Narrow" w:hAnsi="Arial Narrow"/>
                <w:color w:val="000000"/>
                <w:sz w:val="20"/>
              </w:rPr>
              <w:t>.0</w:t>
            </w:r>
          </w:p>
        </w:tc>
        <w:tc>
          <w:tcPr>
            <w:tcW w:w="642" w:type="pct"/>
            <w:gridSpan w:val="2"/>
            <w:vAlign w:val="center"/>
          </w:tcPr>
          <w:p w:rsidR="002F36A9" w:rsidRPr="00E2771E" w:rsidRDefault="002F36A9" w:rsidP="000A0288">
            <w:pPr>
              <w:widowControl/>
              <w:jc w:val="center"/>
              <w:rPr>
                <w:rFonts w:ascii="Arial Narrow" w:hAnsi="Arial Narrow"/>
                <w:color w:val="000000"/>
                <w:sz w:val="20"/>
                <w:szCs w:val="18"/>
              </w:rPr>
            </w:pPr>
            <w:r w:rsidRPr="00232230">
              <w:rPr>
                <w:rFonts w:ascii="Arial Narrow" w:hAnsi="Arial Narrow"/>
                <w:color w:val="000000"/>
                <w:sz w:val="20"/>
              </w:rPr>
              <w:t>3.4</w:t>
            </w:r>
          </w:p>
        </w:tc>
        <w:tc>
          <w:tcPr>
            <w:tcW w:w="785" w:type="pct"/>
            <w:vAlign w:val="center"/>
          </w:tcPr>
          <w:p w:rsidR="002F36A9" w:rsidRPr="00E2771E" w:rsidRDefault="002F36A9" w:rsidP="000A0288">
            <w:pPr>
              <w:widowControl/>
              <w:jc w:val="center"/>
              <w:rPr>
                <w:rFonts w:ascii="Arial Narrow" w:hAnsi="Arial Narrow"/>
                <w:color w:val="000000"/>
                <w:sz w:val="20"/>
                <w:szCs w:val="18"/>
              </w:rPr>
            </w:pPr>
            <w:r w:rsidRPr="00232230">
              <w:rPr>
                <w:rFonts w:ascii="Arial Narrow" w:hAnsi="Arial Narrow"/>
                <w:color w:val="000000"/>
                <w:sz w:val="20"/>
              </w:rPr>
              <w:t xml:space="preserve">11.6 </w:t>
            </w:r>
            <w:r>
              <w:rPr>
                <w:rFonts w:ascii="Arial Narrow" w:hAnsi="Arial Narrow"/>
                <w:color w:val="000000"/>
                <w:sz w:val="20"/>
              </w:rPr>
              <w:t>(</w:t>
            </w:r>
            <w:r w:rsidRPr="00232230">
              <w:rPr>
                <w:rFonts w:ascii="Arial Narrow" w:hAnsi="Arial Narrow"/>
                <w:color w:val="000000"/>
                <w:sz w:val="20"/>
              </w:rPr>
              <w:t>5.1, 18.2)</w:t>
            </w:r>
          </w:p>
        </w:tc>
      </w:tr>
      <w:tr w:rsidR="002F36A9" w:rsidRPr="00E2771E" w:rsidTr="002F36A9">
        <w:trPr>
          <w:trHeight w:val="20"/>
        </w:trPr>
        <w:tc>
          <w:tcPr>
            <w:tcW w:w="615" w:type="pct"/>
            <w:shd w:val="clear" w:color="auto" w:fill="auto"/>
            <w:vAlign w:val="center"/>
          </w:tcPr>
          <w:p w:rsidR="002F36A9" w:rsidRPr="00367D2E" w:rsidRDefault="002F36A9" w:rsidP="000A0288">
            <w:pPr>
              <w:widowControl/>
              <w:rPr>
                <w:rFonts w:ascii="Arial Narrow" w:hAnsi="Arial Narrow"/>
                <w:color w:val="000000"/>
                <w:sz w:val="20"/>
                <w:szCs w:val="18"/>
              </w:rPr>
            </w:pPr>
            <w:r w:rsidRPr="00367D2E">
              <w:rPr>
                <w:rFonts w:ascii="Arial Narrow" w:hAnsi="Arial Narrow"/>
                <w:color w:val="000000"/>
                <w:sz w:val="20"/>
                <w:szCs w:val="18"/>
              </w:rPr>
              <w:t>Hypotension</w:t>
            </w:r>
          </w:p>
        </w:tc>
        <w:tc>
          <w:tcPr>
            <w:tcW w:w="719" w:type="pct"/>
            <w:gridSpan w:val="2"/>
            <w:vAlign w:val="center"/>
          </w:tcPr>
          <w:p w:rsidR="002F36A9" w:rsidRPr="00E2771E" w:rsidRDefault="002F36A9" w:rsidP="000A0288">
            <w:pPr>
              <w:widowControl/>
              <w:jc w:val="center"/>
              <w:rPr>
                <w:rFonts w:ascii="Arial Narrow" w:hAnsi="Arial Narrow"/>
                <w:color w:val="000000"/>
                <w:sz w:val="20"/>
                <w:szCs w:val="18"/>
              </w:rPr>
            </w:pPr>
            <w:r w:rsidRPr="00232230">
              <w:rPr>
                <w:rFonts w:ascii="Arial Narrow" w:hAnsi="Arial Narrow"/>
                <w:color w:val="000000"/>
                <w:sz w:val="20"/>
              </w:rPr>
              <w:t>14/173</w:t>
            </w:r>
          </w:p>
        </w:tc>
        <w:tc>
          <w:tcPr>
            <w:tcW w:w="719" w:type="pct"/>
            <w:gridSpan w:val="2"/>
            <w:vAlign w:val="center"/>
          </w:tcPr>
          <w:p w:rsidR="002F36A9" w:rsidRPr="00E2771E" w:rsidRDefault="002F36A9" w:rsidP="000A0288">
            <w:pPr>
              <w:widowControl/>
              <w:jc w:val="center"/>
              <w:rPr>
                <w:rFonts w:ascii="Arial Narrow" w:hAnsi="Arial Narrow"/>
                <w:color w:val="000000"/>
                <w:sz w:val="20"/>
                <w:szCs w:val="18"/>
              </w:rPr>
            </w:pPr>
            <w:r w:rsidRPr="00232230">
              <w:rPr>
                <w:rFonts w:ascii="Arial Narrow" w:hAnsi="Arial Narrow"/>
                <w:color w:val="000000"/>
                <w:sz w:val="20"/>
              </w:rPr>
              <w:t>0/88</w:t>
            </w:r>
          </w:p>
        </w:tc>
        <w:tc>
          <w:tcPr>
            <w:tcW w:w="838" w:type="pct"/>
            <w:gridSpan w:val="2"/>
            <w:vAlign w:val="center"/>
          </w:tcPr>
          <w:p w:rsidR="002F36A9" w:rsidRPr="00E2771E" w:rsidRDefault="002F36A9" w:rsidP="000A0288">
            <w:pPr>
              <w:widowControl/>
              <w:jc w:val="center"/>
              <w:rPr>
                <w:rFonts w:ascii="Arial Narrow" w:hAnsi="Arial Narrow"/>
                <w:color w:val="000000"/>
                <w:sz w:val="20"/>
                <w:szCs w:val="18"/>
              </w:rPr>
            </w:pPr>
            <w:r w:rsidRPr="00232230">
              <w:rPr>
                <w:rFonts w:ascii="Arial Narrow" w:hAnsi="Arial Narrow"/>
                <w:color w:val="000000"/>
                <w:sz w:val="20"/>
              </w:rPr>
              <w:t>NC</w:t>
            </w:r>
          </w:p>
        </w:tc>
        <w:tc>
          <w:tcPr>
            <w:tcW w:w="682" w:type="pct"/>
            <w:gridSpan w:val="3"/>
            <w:vAlign w:val="center"/>
          </w:tcPr>
          <w:p w:rsidR="002F36A9" w:rsidRPr="00E2771E" w:rsidRDefault="002F36A9" w:rsidP="000A0288">
            <w:pPr>
              <w:widowControl/>
              <w:jc w:val="center"/>
              <w:rPr>
                <w:rFonts w:ascii="Arial Narrow" w:hAnsi="Arial Narrow"/>
                <w:color w:val="000000"/>
                <w:sz w:val="20"/>
                <w:szCs w:val="18"/>
              </w:rPr>
            </w:pPr>
            <w:r w:rsidRPr="00232230">
              <w:rPr>
                <w:rFonts w:ascii="Arial Narrow" w:hAnsi="Arial Narrow"/>
                <w:color w:val="000000"/>
                <w:sz w:val="20"/>
              </w:rPr>
              <w:t>8.1</w:t>
            </w:r>
          </w:p>
        </w:tc>
        <w:tc>
          <w:tcPr>
            <w:tcW w:w="642" w:type="pct"/>
            <w:gridSpan w:val="2"/>
            <w:vAlign w:val="center"/>
          </w:tcPr>
          <w:p w:rsidR="002F36A9" w:rsidRPr="00E2771E" w:rsidRDefault="002F36A9" w:rsidP="000A0288">
            <w:pPr>
              <w:widowControl/>
              <w:jc w:val="center"/>
              <w:rPr>
                <w:rFonts w:ascii="Arial Narrow" w:hAnsi="Arial Narrow"/>
                <w:color w:val="000000"/>
                <w:sz w:val="20"/>
                <w:szCs w:val="18"/>
              </w:rPr>
            </w:pPr>
            <w:r w:rsidRPr="00232230">
              <w:rPr>
                <w:rFonts w:ascii="Arial Narrow" w:hAnsi="Arial Narrow"/>
                <w:color w:val="000000"/>
                <w:sz w:val="20"/>
              </w:rPr>
              <w:t>0</w:t>
            </w:r>
            <w:r w:rsidR="00FA3B60">
              <w:rPr>
                <w:rFonts w:ascii="Arial Narrow" w:hAnsi="Arial Narrow"/>
                <w:color w:val="000000"/>
                <w:sz w:val="20"/>
              </w:rPr>
              <w:t>.0</w:t>
            </w:r>
          </w:p>
        </w:tc>
        <w:tc>
          <w:tcPr>
            <w:tcW w:w="785" w:type="pct"/>
            <w:vAlign w:val="center"/>
          </w:tcPr>
          <w:p w:rsidR="002F36A9" w:rsidRPr="00E2771E" w:rsidRDefault="002F36A9" w:rsidP="000A0288">
            <w:pPr>
              <w:widowControl/>
              <w:jc w:val="center"/>
              <w:rPr>
                <w:rFonts w:ascii="Arial Narrow" w:hAnsi="Arial Narrow"/>
                <w:color w:val="000000"/>
                <w:sz w:val="20"/>
                <w:szCs w:val="18"/>
              </w:rPr>
            </w:pPr>
            <w:r w:rsidRPr="00232230">
              <w:rPr>
                <w:rFonts w:ascii="Arial Narrow" w:hAnsi="Arial Narrow"/>
                <w:color w:val="000000"/>
                <w:sz w:val="20"/>
              </w:rPr>
              <w:t>8.1 (2.3, 13.9)</w:t>
            </w:r>
          </w:p>
        </w:tc>
      </w:tr>
    </w:tbl>
    <w:p w:rsidR="002F36A9" w:rsidRPr="00232230" w:rsidRDefault="002F36A9" w:rsidP="000A0288">
      <w:pPr>
        <w:pStyle w:val="TableFooter"/>
        <w:widowControl/>
        <w:ind w:left="720"/>
      </w:pPr>
      <w:r>
        <w:t>*CHEST-1 trial duration = 16 weeks.</w:t>
      </w:r>
      <w:r w:rsidR="006B5090">
        <w:t xml:space="preserve"> </w:t>
      </w:r>
      <w:r w:rsidRPr="00232230">
        <w:t>Abbreviations: 6MWD = 6</w:t>
      </w:r>
      <w:r w:rsidR="00B66FC4">
        <w:t xml:space="preserve"> </w:t>
      </w:r>
      <w:r w:rsidRPr="00232230">
        <w:t>minute walk</w:t>
      </w:r>
      <w:r w:rsidR="00B66FC4">
        <w:t>ing</w:t>
      </w:r>
      <w:r w:rsidRPr="00232230">
        <w:t xml:space="preserve"> distance test; LS</w:t>
      </w:r>
      <w:r>
        <w:t>MD</w:t>
      </w:r>
      <w:r w:rsidRPr="00232230">
        <w:t xml:space="preserve"> = least square</w:t>
      </w:r>
      <w:r>
        <w:t xml:space="preserve"> mean difference</w:t>
      </w:r>
      <w:r w:rsidRPr="00232230">
        <w:t>; NC = not calculable; SD = standard deviation; RD = risk difference; RR = risk ratio; CI = confidence interval.</w:t>
      </w:r>
    </w:p>
    <w:p w:rsidR="002F36A9" w:rsidRPr="0072416F" w:rsidRDefault="002F36A9" w:rsidP="000A0288">
      <w:pPr>
        <w:pStyle w:val="TableFooter"/>
        <w:widowControl/>
        <w:ind w:firstLine="720"/>
      </w:pPr>
      <w:r w:rsidRPr="00232230">
        <w:t xml:space="preserve">Source: </w:t>
      </w:r>
      <w:r>
        <w:t xml:space="preserve">page </w:t>
      </w:r>
      <w:proofErr w:type="gramStart"/>
      <w:r>
        <w:t>iv</w:t>
      </w:r>
      <w:proofErr w:type="gramEnd"/>
      <w:r>
        <w:t xml:space="preserve"> of the re-submission</w:t>
      </w:r>
      <w:r w:rsidR="00D92969">
        <w:t>.</w:t>
      </w:r>
    </w:p>
    <w:p w:rsidR="002F36A9" w:rsidRPr="00882085" w:rsidRDefault="002F36A9" w:rsidP="000A0288">
      <w:pPr>
        <w:widowControl/>
      </w:pPr>
    </w:p>
    <w:p w:rsidR="002F36A9" w:rsidRPr="00CF6EE4" w:rsidRDefault="002F36A9" w:rsidP="000A0288">
      <w:pPr>
        <w:pStyle w:val="ListParagraph"/>
        <w:widowControl/>
        <w:numPr>
          <w:ilvl w:val="1"/>
          <w:numId w:val="2"/>
        </w:numPr>
      </w:pPr>
      <w:r w:rsidRPr="00CF6EE4">
        <w:t xml:space="preserve">On the basis of </w:t>
      </w:r>
      <w:r>
        <w:t xml:space="preserve">the </w:t>
      </w:r>
      <w:r w:rsidRPr="00CF6EE4">
        <w:t xml:space="preserve">direct evidence presented by the </w:t>
      </w:r>
      <w:r w:rsidR="005D08A7">
        <w:t>re-</w:t>
      </w:r>
      <w:r w:rsidRPr="00CF6EE4">
        <w:t xml:space="preserve">submission, </w:t>
      </w:r>
      <w:r>
        <w:t xml:space="preserve">treatment with riociguat in comparison to placebo over 16 weeks resulted in </w:t>
      </w:r>
      <w:r w:rsidR="00821C2E">
        <w:t xml:space="preserve">an </w:t>
      </w:r>
      <w:r>
        <w:t>average increase of 46 metres in the distance able to be walked in 6 minutes.</w:t>
      </w:r>
      <w:r w:rsidR="006B5090">
        <w:t xml:space="preserve"> </w:t>
      </w:r>
      <w:r>
        <w:t>At the beginning of the CHEST-1 trial, participants were able to walk approximately 350 metres in 6 minutes.</w:t>
      </w:r>
      <w:r w:rsidR="006B5090">
        <w:t xml:space="preserve"> </w:t>
      </w:r>
    </w:p>
    <w:p w:rsidR="00C46C2E" w:rsidRDefault="00C46C2E" w:rsidP="000A0288">
      <w:pPr>
        <w:widowControl/>
      </w:pPr>
    </w:p>
    <w:p w:rsidR="00C46C2E" w:rsidRDefault="00C46C2E" w:rsidP="000A0288">
      <w:pPr>
        <w:pStyle w:val="ListParagraph"/>
        <w:widowControl/>
        <w:numPr>
          <w:ilvl w:val="1"/>
          <w:numId w:val="2"/>
        </w:numPr>
      </w:pPr>
      <w:r>
        <w:t>On the basis of the direct evidence presented by the re-submission, every 100</w:t>
      </w:r>
      <w:r w:rsidR="00F12596">
        <w:t> </w:t>
      </w:r>
      <w:r>
        <w:t>patients treated with riociguat in comparison to placebo</w:t>
      </w:r>
      <w:r w:rsidR="00FA3B60">
        <w:t xml:space="preserve"> </w:t>
      </w:r>
      <w:r w:rsidR="00821C2E">
        <w:t xml:space="preserve">over 16 weeks </w:t>
      </w:r>
      <w:r w:rsidR="00FA3B60">
        <w:t>resulted in</w:t>
      </w:r>
      <w:r w:rsidR="00F12596">
        <w:t xml:space="preserve"> </w:t>
      </w:r>
      <w:r w:rsidR="00D77229">
        <w:t>approximately</w:t>
      </w:r>
      <w:r w:rsidR="00F33487">
        <w:t>:</w:t>
      </w:r>
    </w:p>
    <w:p w:rsidR="002F36A9" w:rsidRDefault="002F36A9" w:rsidP="000A0288">
      <w:pPr>
        <w:pStyle w:val="ListParagraph"/>
        <w:widowControl/>
        <w:numPr>
          <w:ilvl w:val="0"/>
          <w:numId w:val="1"/>
        </w:numPr>
        <w:ind w:left="993" w:hanging="284"/>
      </w:pPr>
      <w:r>
        <w:t>18 additional patients with an improvement by ≥1 WHO functional class</w:t>
      </w:r>
      <w:r w:rsidR="00F33487">
        <w:t>.</w:t>
      </w:r>
      <w:r w:rsidR="006B5090">
        <w:t xml:space="preserve"> </w:t>
      </w:r>
    </w:p>
    <w:p w:rsidR="002F36A9" w:rsidRDefault="002F36A9" w:rsidP="000A0288">
      <w:pPr>
        <w:pStyle w:val="ListParagraph"/>
        <w:widowControl/>
        <w:numPr>
          <w:ilvl w:val="0"/>
          <w:numId w:val="1"/>
        </w:numPr>
        <w:ind w:left="993" w:hanging="284"/>
      </w:pPr>
      <w:r>
        <w:t>12 additional patients with dizziness</w:t>
      </w:r>
      <w:r w:rsidR="00F12596">
        <w:t>; and</w:t>
      </w:r>
    </w:p>
    <w:p w:rsidR="002F36A9" w:rsidRPr="00F45245" w:rsidRDefault="002F36A9" w:rsidP="000A0288">
      <w:pPr>
        <w:pStyle w:val="ListParagraph"/>
        <w:widowControl/>
        <w:numPr>
          <w:ilvl w:val="0"/>
          <w:numId w:val="1"/>
        </w:numPr>
        <w:ind w:left="993" w:hanging="284"/>
        <w:rPr>
          <w:szCs w:val="22"/>
        </w:rPr>
      </w:pPr>
      <w:r>
        <w:t>8 additional patients with hypotension</w:t>
      </w:r>
      <w:r w:rsidR="006F33BA">
        <w:t>.</w:t>
      </w:r>
    </w:p>
    <w:p w:rsidR="002F36A9" w:rsidRPr="00882085" w:rsidRDefault="002F36A9" w:rsidP="000A0288">
      <w:pPr>
        <w:widowControl/>
      </w:pPr>
    </w:p>
    <w:p w:rsidR="002F36A9" w:rsidRPr="002C2775" w:rsidRDefault="002F36A9" w:rsidP="00B24622">
      <w:pPr>
        <w:pStyle w:val="Heading2"/>
      </w:pPr>
      <w:bookmarkStart w:id="21" w:name="_Toc416959990"/>
      <w:bookmarkStart w:id="22" w:name="_Toc419206874"/>
      <w:r w:rsidRPr="002C2775">
        <w:t>Clinical claim</w:t>
      </w:r>
      <w:bookmarkEnd w:id="21"/>
      <w:bookmarkEnd w:id="22"/>
    </w:p>
    <w:p w:rsidR="002F36A9" w:rsidRPr="00FA7F59" w:rsidRDefault="002F36A9" w:rsidP="000A0288">
      <w:pPr>
        <w:pStyle w:val="ListParagraph"/>
        <w:widowControl/>
        <w:numPr>
          <w:ilvl w:val="1"/>
          <w:numId w:val="2"/>
        </w:numPr>
        <w:rPr>
          <w:szCs w:val="22"/>
        </w:rPr>
      </w:pPr>
      <w:r>
        <w:rPr>
          <w:szCs w:val="22"/>
        </w:rPr>
        <w:t xml:space="preserve">At the November 2014 meeting, the PBAC did not accept the previous submission’s claim of equivalence in </w:t>
      </w:r>
      <w:r w:rsidRPr="00436A26">
        <w:rPr>
          <w:szCs w:val="22"/>
        </w:rPr>
        <w:t>comparative effectiveness and safety for riociguat in the P</w:t>
      </w:r>
      <w:r>
        <w:rPr>
          <w:szCs w:val="22"/>
        </w:rPr>
        <w:t xml:space="preserve">AH population and the </w:t>
      </w:r>
      <w:r w:rsidRPr="00436A26">
        <w:rPr>
          <w:szCs w:val="22"/>
        </w:rPr>
        <w:t>proposed CTEPH population</w:t>
      </w:r>
      <w:r w:rsidR="003C6AFB">
        <w:rPr>
          <w:szCs w:val="22"/>
        </w:rPr>
        <w:t xml:space="preserve"> (</w:t>
      </w:r>
      <w:r w:rsidR="0017342B" w:rsidRPr="0011087E">
        <w:rPr>
          <w:szCs w:val="22"/>
        </w:rPr>
        <w:t>PSD</w:t>
      </w:r>
      <w:r w:rsidR="0017342B">
        <w:rPr>
          <w:szCs w:val="22"/>
        </w:rPr>
        <w:t xml:space="preserve">, </w:t>
      </w:r>
      <w:r w:rsidR="003C6AFB">
        <w:rPr>
          <w:szCs w:val="22"/>
        </w:rPr>
        <w:t>paragraph 7.4)</w:t>
      </w:r>
      <w:r w:rsidRPr="00436A26">
        <w:rPr>
          <w:szCs w:val="22"/>
        </w:rPr>
        <w:t>.</w:t>
      </w:r>
      <w:r w:rsidR="006B5090">
        <w:rPr>
          <w:szCs w:val="22"/>
        </w:rPr>
        <w:t xml:space="preserve"> </w:t>
      </w:r>
      <w:r>
        <w:rPr>
          <w:szCs w:val="22"/>
        </w:rPr>
        <w:t>The re</w:t>
      </w:r>
      <w:r w:rsidR="0017342B">
        <w:rPr>
          <w:szCs w:val="22"/>
        </w:rPr>
        <w:noBreakHyphen/>
      </w:r>
      <w:r>
        <w:rPr>
          <w:szCs w:val="22"/>
        </w:rPr>
        <w:t>submission updated</w:t>
      </w:r>
      <w:r w:rsidR="00484E92">
        <w:rPr>
          <w:szCs w:val="22"/>
        </w:rPr>
        <w:t xml:space="preserve"> the clinical claim, concluding</w:t>
      </w:r>
      <w:r w:rsidR="00C62182">
        <w:rPr>
          <w:szCs w:val="22"/>
        </w:rPr>
        <w:t xml:space="preserve"> </w:t>
      </w:r>
      <w:r>
        <w:rPr>
          <w:szCs w:val="22"/>
        </w:rPr>
        <w:t>that riociguat is superior to placebo for the treatment of CTEPH and non-inferior for safety.</w:t>
      </w:r>
      <w:r w:rsidR="006B5090">
        <w:rPr>
          <w:szCs w:val="22"/>
        </w:rPr>
        <w:t xml:space="preserve"> </w:t>
      </w:r>
      <w:r w:rsidR="006A795E">
        <w:rPr>
          <w:szCs w:val="22"/>
        </w:rPr>
        <w:t>Importantly</w:t>
      </w:r>
      <w:r w:rsidR="006A795E" w:rsidRPr="00FA7F59">
        <w:rPr>
          <w:szCs w:val="22"/>
        </w:rPr>
        <w:t>, on the basis of post-hoc analyses presented in the original submission and in the re</w:t>
      </w:r>
      <w:r w:rsidR="006A795E">
        <w:rPr>
          <w:szCs w:val="22"/>
        </w:rPr>
        <w:noBreakHyphen/>
      </w:r>
      <w:r w:rsidR="006A795E" w:rsidRPr="00FA7F59">
        <w:rPr>
          <w:szCs w:val="22"/>
        </w:rPr>
        <w:t xml:space="preserve">submission, </w:t>
      </w:r>
      <w:r w:rsidR="006A795E">
        <w:rPr>
          <w:szCs w:val="22"/>
        </w:rPr>
        <w:t>it was</w:t>
      </w:r>
      <w:r w:rsidR="006A795E" w:rsidRPr="00FA7F59">
        <w:rPr>
          <w:szCs w:val="22"/>
        </w:rPr>
        <w:t xml:space="preserve"> claim</w:t>
      </w:r>
      <w:r w:rsidR="006A795E">
        <w:rPr>
          <w:szCs w:val="22"/>
        </w:rPr>
        <w:t>ed</w:t>
      </w:r>
      <w:r w:rsidR="006A795E" w:rsidRPr="00FA7F59">
        <w:rPr>
          <w:szCs w:val="22"/>
        </w:rPr>
        <w:t xml:space="preserve"> that changes in exercise capacity for patients with CTEPH also translate</w:t>
      </w:r>
      <w:r w:rsidR="006A795E">
        <w:rPr>
          <w:szCs w:val="22"/>
        </w:rPr>
        <w:t>d</w:t>
      </w:r>
      <w:r w:rsidR="006A795E" w:rsidRPr="00FA7F59">
        <w:rPr>
          <w:szCs w:val="22"/>
        </w:rPr>
        <w:t xml:space="preserve"> to </w:t>
      </w:r>
      <w:r w:rsidR="006A795E">
        <w:rPr>
          <w:szCs w:val="22"/>
        </w:rPr>
        <w:t xml:space="preserve">a </w:t>
      </w:r>
      <w:r w:rsidR="006A795E" w:rsidRPr="00FA7F59">
        <w:rPr>
          <w:szCs w:val="22"/>
        </w:rPr>
        <w:t>survival benefit.</w:t>
      </w:r>
      <w:r w:rsidR="006A795E">
        <w:rPr>
          <w:szCs w:val="22"/>
        </w:rPr>
        <w:t xml:space="preserve"> </w:t>
      </w:r>
      <w:r w:rsidR="00E87578">
        <w:rPr>
          <w:szCs w:val="22"/>
        </w:rPr>
        <w:t xml:space="preserve">The evaluation and the ESC considered </w:t>
      </w:r>
      <w:r w:rsidR="00E87578">
        <w:rPr>
          <w:szCs w:val="22"/>
        </w:rPr>
        <w:lastRenderedPageBreak/>
        <w:t>that w</w:t>
      </w:r>
      <w:r w:rsidRPr="00301710">
        <w:rPr>
          <w:szCs w:val="22"/>
        </w:rPr>
        <w:t xml:space="preserve">hile this claim may be appropriate in terms of the relationship between 6MWD and survival, the relationship between </w:t>
      </w:r>
      <w:r w:rsidR="00D77229" w:rsidRPr="00E87578">
        <w:rPr>
          <w:szCs w:val="22"/>
        </w:rPr>
        <w:t xml:space="preserve">changes in </w:t>
      </w:r>
      <w:r w:rsidRPr="00301710">
        <w:rPr>
          <w:szCs w:val="22"/>
        </w:rPr>
        <w:t>WHO functional class and survival was not adequately supported:</w:t>
      </w:r>
    </w:p>
    <w:p w:rsidR="002F36A9" w:rsidRPr="00301710" w:rsidRDefault="002F36A9" w:rsidP="000A0288">
      <w:pPr>
        <w:pStyle w:val="ListParagraph"/>
        <w:widowControl/>
        <w:numPr>
          <w:ilvl w:val="0"/>
          <w:numId w:val="1"/>
        </w:numPr>
        <w:ind w:left="993" w:hanging="284"/>
        <w:rPr>
          <w:szCs w:val="22"/>
        </w:rPr>
      </w:pPr>
      <w:r w:rsidRPr="006C025F">
        <w:rPr>
          <w:u w:val="single"/>
        </w:rPr>
        <w:t>Relationship</w:t>
      </w:r>
      <w:r w:rsidRPr="006C025F">
        <w:rPr>
          <w:szCs w:val="22"/>
          <w:u w:val="single"/>
        </w:rPr>
        <w:t xml:space="preserve"> between 6MWD and survival</w:t>
      </w:r>
      <w:r w:rsidRPr="00FA7F59">
        <w:rPr>
          <w:szCs w:val="22"/>
        </w:rPr>
        <w:t>: the PBAC previously considered that changes in the 6MWD are likely to predict a survival gain, but was not confident in the magnitude of the effect due to the post-hoc nature of the presented analyses (</w:t>
      </w:r>
      <w:r w:rsidRPr="0011087E">
        <w:rPr>
          <w:szCs w:val="22"/>
        </w:rPr>
        <w:t>November 2014</w:t>
      </w:r>
      <w:r w:rsidR="009A1339" w:rsidRPr="0011087E">
        <w:rPr>
          <w:szCs w:val="22"/>
        </w:rPr>
        <w:t xml:space="preserve"> riociguat PSD</w:t>
      </w:r>
      <w:r w:rsidRPr="00FA7F59">
        <w:rPr>
          <w:szCs w:val="22"/>
        </w:rPr>
        <w:t>, paragraph 7.3).</w:t>
      </w:r>
      <w:r w:rsidR="006B5090">
        <w:rPr>
          <w:szCs w:val="22"/>
        </w:rPr>
        <w:t xml:space="preserve"> </w:t>
      </w:r>
      <w:r w:rsidRPr="00301710">
        <w:rPr>
          <w:szCs w:val="22"/>
        </w:rPr>
        <w:t>Although the re-submission’s presentation of additional observational evidence was supportive of the relationship between 6MWD and overall survival, it should be noted that long term survival in the economic model was based on</w:t>
      </w:r>
      <w:r w:rsidRPr="00E87578">
        <w:rPr>
          <w:szCs w:val="22"/>
        </w:rPr>
        <w:t xml:space="preserve"> </w:t>
      </w:r>
      <w:r w:rsidR="00D77229" w:rsidRPr="00E87578">
        <w:rPr>
          <w:szCs w:val="22"/>
        </w:rPr>
        <w:t xml:space="preserve">changes in </w:t>
      </w:r>
      <w:r w:rsidRPr="00301710">
        <w:rPr>
          <w:szCs w:val="22"/>
        </w:rPr>
        <w:t>WHO functional class.</w:t>
      </w:r>
      <w:r w:rsidR="006B5090">
        <w:rPr>
          <w:szCs w:val="22"/>
        </w:rPr>
        <w:t xml:space="preserve"> </w:t>
      </w:r>
    </w:p>
    <w:p w:rsidR="00AB2BCF" w:rsidRDefault="002F36A9" w:rsidP="000A0288">
      <w:pPr>
        <w:pStyle w:val="ListParagraph"/>
        <w:widowControl/>
        <w:numPr>
          <w:ilvl w:val="0"/>
          <w:numId w:val="1"/>
        </w:numPr>
        <w:ind w:left="993" w:hanging="284"/>
        <w:rPr>
          <w:szCs w:val="22"/>
        </w:rPr>
      </w:pPr>
      <w:r w:rsidRPr="006C025F">
        <w:rPr>
          <w:u w:val="single"/>
        </w:rPr>
        <w:t>Relationship</w:t>
      </w:r>
      <w:r w:rsidRPr="006C025F">
        <w:rPr>
          <w:szCs w:val="22"/>
          <w:u w:val="single"/>
        </w:rPr>
        <w:t xml:space="preserve"> between WHO functional class and survival</w:t>
      </w:r>
      <w:r w:rsidRPr="00301710">
        <w:rPr>
          <w:szCs w:val="22"/>
        </w:rPr>
        <w:t xml:space="preserve">: new post-hoc analyses investigating the relationship of </w:t>
      </w:r>
      <w:r w:rsidR="00D77229" w:rsidRPr="00E87578">
        <w:rPr>
          <w:szCs w:val="22"/>
        </w:rPr>
        <w:t xml:space="preserve">changes </w:t>
      </w:r>
      <w:r w:rsidR="004B209A" w:rsidRPr="00E87578">
        <w:rPr>
          <w:szCs w:val="22"/>
        </w:rPr>
        <w:t xml:space="preserve">in </w:t>
      </w:r>
      <w:r w:rsidRPr="00E87578">
        <w:rPr>
          <w:szCs w:val="22"/>
        </w:rPr>
        <w:t xml:space="preserve">WHO functional class and overall survival did not indicate a significant association </w:t>
      </w:r>
      <w:r w:rsidR="00C83057" w:rsidRPr="00E87578">
        <w:t xml:space="preserve">(HR=0.508, 95%CI: 0.215, 1.20) </w:t>
      </w:r>
      <w:r w:rsidRPr="00E87578">
        <w:rPr>
          <w:szCs w:val="22"/>
        </w:rPr>
        <w:t>and inconsistent results were observed in the published literature.</w:t>
      </w:r>
      <w:r w:rsidR="006B5090" w:rsidRPr="00E87578">
        <w:rPr>
          <w:szCs w:val="22"/>
        </w:rPr>
        <w:t xml:space="preserve"> </w:t>
      </w:r>
      <w:r w:rsidRPr="00E87578">
        <w:rPr>
          <w:szCs w:val="22"/>
        </w:rPr>
        <w:t xml:space="preserve">Consequently, the relationship between </w:t>
      </w:r>
      <w:r w:rsidR="00D77229" w:rsidRPr="00E87578">
        <w:rPr>
          <w:szCs w:val="22"/>
        </w:rPr>
        <w:t xml:space="preserve">changes </w:t>
      </w:r>
      <w:r w:rsidR="004B209A" w:rsidRPr="00E87578">
        <w:rPr>
          <w:szCs w:val="22"/>
        </w:rPr>
        <w:t xml:space="preserve">in </w:t>
      </w:r>
      <w:r w:rsidRPr="00301710">
        <w:rPr>
          <w:szCs w:val="22"/>
        </w:rPr>
        <w:t>WHO functional class and survival could not be definitively quantified.</w:t>
      </w:r>
    </w:p>
    <w:p w:rsidR="00AB2BCF" w:rsidRDefault="006B5090" w:rsidP="000A0288">
      <w:pPr>
        <w:pStyle w:val="ListParagraph"/>
        <w:widowControl/>
        <w:ind w:left="993"/>
        <w:rPr>
          <w:szCs w:val="22"/>
        </w:rPr>
      </w:pPr>
      <w:r>
        <w:rPr>
          <w:szCs w:val="22"/>
        </w:rPr>
        <w:t xml:space="preserve"> </w:t>
      </w:r>
    </w:p>
    <w:p w:rsidR="00F0643C" w:rsidRPr="00E66A98" w:rsidRDefault="00A17A08" w:rsidP="000A0288">
      <w:pPr>
        <w:pStyle w:val="ListParagraph"/>
        <w:widowControl/>
        <w:numPr>
          <w:ilvl w:val="1"/>
          <w:numId w:val="2"/>
        </w:numPr>
        <w:rPr>
          <w:szCs w:val="22"/>
        </w:rPr>
      </w:pPr>
      <w:r w:rsidRPr="00E66A98">
        <w:rPr>
          <w:szCs w:val="22"/>
        </w:rPr>
        <w:t xml:space="preserve">The PSCR </w:t>
      </w:r>
      <w:r w:rsidR="00B47A22" w:rsidRPr="00E66A98">
        <w:rPr>
          <w:szCs w:val="22"/>
        </w:rPr>
        <w:t>argued</w:t>
      </w:r>
      <w:r w:rsidRPr="00E66A98">
        <w:rPr>
          <w:szCs w:val="22"/>
        </w:rPr>
        <w:t xml:space="preserve"> that a trend towards survival and decreasing WHO functional class was demonstrated in the post-hoc analyses and the lack of statistical significance was likely due to the limited number of available observations.</w:t>
      </w:r>
      <w:r w:rsidR="006B5090" w:rsidRPr="00E66A98">
        <w:rPr>
          <w:szCs w:val="22"/>
        </w:rPr>
        <w:t xml:space="preserve"> </w:t>
      </w:r>
      <w:r w:rsidRPr="00E66A98">
        <w:rPr>
          <w:szCs w:val="22"/>
        </w:rPr>
        <w:t>The PSCR indicated that the modelling of overall survival based on deaths in each WHO functional class was pragmatic, given that this approach has been used in the modelling of pulmonary hypertension</w:t>
      </w:r>
      <w:r w:rsidR="00342FA4" w:rsidRPr="00E66A98">
        <w:rPr>
          <w:szCs w:val="22"/>
        </w:rPr>
        <w:t xml:space="preserve"> in the health economic literature</w:t>
      </w:r>
      <w:r w:rsidRPr="00E66A98">
        <w:rPr>
          <w:szCs w:val="22"/>
        </w:rPr>
        <w:t>.</w:t>
      </w:r>
      <w:r w:rsidR="00C73FD5" w:rsidRPr="00E66A98">
        <w:rPr>
          <w:szCs w:val="22"/>
        </w:rPr>
        <w:t xml:space="preserve"> Furthermore, the PSCR noted that WHO </w:t>
      </w:r>
      <w:r w:rsidR="004B209A" w:rsidRPr="00E66A98">
        <w:rPr>
          <w:szCs w:val="22"/>
        </w:rPr>
        <w:t>functional class</w:t>
      </w:r>
      <w:r w:rsidR="00C73FD5" w:rsidRPr="00E66A98">
        <w:rPr>
          <w:szCs w:val="22"/>
        </w:rPr>
        <w:t xml:space="preserve"> at baseline is a significant predictor of survival (HR=0.31 (95%CI 0.12-0.79</w:t>
      </w:r>
      <w:r w:rsidR="00D77229" w:rsidRPr="00E66A98">
        <w:rPr>
          <w:szCs w:val="22"/>
        </w:rPr>
        <w:t>)</w:t>
      </w:r>
      <w:r w:rsidR="00C73FD5" w:rsidRPr="00E66A98">
        <w:rPr>
          <w:szCs w:val="22"/>
        </w:rPr>
        <w:t xml:space="preserve">). </w:t>
      </w:r>
      <w:r w:rsidR="00F0643C" w:rsidRPr="00E66A98">
        <w:rPr>
          <w:szCs w:val="22"/>
        </w:rPr>
        <w:t xml:space="preserve">The ESC considered it would expect that baseline </w:t>
      </w:r>
      <w:proofErr w:type="gramStart"/>
      <w:r w:rsidR="00F0643C" w:rsidRPr="00E66A98">
        <w:rPr>
          <w:szCs w:val="22"/>
        </w:rPr>
        <w:t>WHO</w:t>
      </w:r>
      <w:proofErr w:type="gramEnd"/>
      <w:r w:rsidR="00F0643C" w:rsidRPr="00E66A98">
        <w:rPr>
          <w:szCs w:val="22"/>
        </w:rPr>
        <w:t xml:space="preserve"> </w:t>
      </w:r>
      <w:r w:rsidR="00BA004B">
        <w:rPr>
          <w:szCs w:val="22"/>
        </w:rPr>
        <w:t>functional class</w:t>
      </w:r>
      <w:r w:rsidR="00BA004B" w:rsidRPr="00E66A98">
        <w:rPr>
          <w:szCs w:val="22"/>
        </w:rPr>
        <w:t xml:space="preserve"> </w:t>
      </w:r>
      <w:r w:rsidR="00F0643C" w:rsidRPr="00E66A98">
        <w:rPr>
          <w:szCs w:val="22"/>
        </w:rPr>
        <w:t xml:space="preserve">is predictive of survival given that less sick people tend to live longer. However, the claimed clinical benefit related to improvements in WHO </w:t>
      </w:r>
      <w:r w:rsidR="004B209A" w:rsidRPr="00E66A98">
        <w:rPr>
          <w:szCs w:val="22"/>
        </w:rPr>
        <w:t>functional class</w:t>
      </w:r>
      <w:r w:rsidR="00F0643C" w:rsidRPr="00E66A98">
        <w:rPr>
          <w:szCs w:val="22"/>
        </w:rPr>
        <w:t xml:space="preserve"> from baseline. </w:t>
      </w:r>
    </w:p>
    <w:p w:rsidR="00C73FD5" w:rsidRPr="00E66A98" w:rsidRDefault="00C73FD5" w:rsidP="000A0288">
      <w:pPr>
        <w:pStyle w:val="ListParagraph"/>
        <w:widowControl/>
        <w:rPr>
          <w:szCs w:val="22"/>
        </w:rPr>
      </w:pPr>
    </w:p>
    <w:p w:rsidR="004B209A" w:rsidRPr="00E66A98" w:rsidRDefault="004B209A" w:rsidP="000A0288">
      <w:pPr>
        <w:pStyle w:val="ListParagraph"/>
        <w:widowControl/>
        <w:numPr>
          <w:ilvl w:val="1"/>
          <w:numId w:val="2"/>
        </w:numPr>
        <w:rPr>
          <w:szCs w:val="22"/>
        </w:rPr>
      </w:pPr>
      <w:r w:rsidRPr="00E66A98">
        <w:rPr>
          <w:szCs w:val="22"/>
        </w:rPr>
        <w:t xml:space="preserve">The ESC noted the statistically significant treatment effect in 6MWD associated with riociguat </w:t>
      </w:r>
      <w:r w:rsidR="00375F5C" w:rsidRPr="00E66A98">
        <w:rPr>
          <w:szCs w:val="22"/>
        </w:rPr>
        <w:t>(</w:t>
      </w:r>
      <w:r w:rsidRPr="00E66A98">
        <w:rPr>
          <w:szCs w:val="22"/>
        </w:rPr>
        <w:t>compared with placebo</w:t>
      </w:r>
      <w:r w:rsidR="00375F5C" w:rsidRPr="00E66A98">
        <w:rPr>
          <w:szCs w:val="22"/>
        </w:rPr>
        <w:t>) and that</w:t>
      </w:r>
      <w:r w:rsidRPr="00E66A98">
        <w:rPr>
          <w:szCs w:val="22"/>
        </w:rPr>
        <w:t xml:space="preserve"> </w:t>
      </w:r>
      <w:r w:rsidR="00375F5C" w:rsidRPr="00E66A98">
        <w:rPr>
          <w:szCs w:val="22"/>
        </w:rPr>
        <w:t>t</w:t>
      </w:r>
      <w:r w:rsidRPr="00E66A98">
        <w:rPr>
          <w:szCs w:val="22"/>
        </w:rPr>
        <w:t>he PBAC previously considered that changes in the 6MWD are likely to predict a survival gain, but was not confident in the magnitude of the effect. The ESC considered the claim that changes in exercise capacity for patients with CTEPH translated to a survival benefit was supported in terms of 6MWD. However, the</w:t>
      </w:r>
      <w:r w:rsidR="00F21A79" w:rsidRPr="00E66A98">
        <w:rPr>
          <w:szCs w:val="22"/>
        </w:rPr>
        <w:t xml:space="preserve"> ESC considered that the claim of a</w:t>
      </w:r>
      <w:r w:rsidRPr="00E66A98">
        <w:rPr>
          <w:szCs w:val="22"/>
        </w:rPr>
        <w:t xml:space="preserve"> relationship between improvements in WHO functional class and survival </w:t>
      </w:r>
      <w:r w:rsidR="00F21A79" w:rsidRPr="00E66A98">
        <w:rPr>
          <w:szCs w:val="22"/>
        </w:rPr>
        <w:t xml:space="preserve">was not adequately supported and </w:t>
      </w:r>
      <w:r w:rsidRPr="00E66A98">
        <w:rPr>
          <w:szCs w:val="22"/>
        </w:rPr>
        <w:t>could not be quantified.</w:t>
      </w:r>
    </w:p>
    <w:p w:rsidR="002F36A9" w:rsidRPr="009652FA" w:rsidRDefault="002F36A9" w:rsidP="000A0288">
      <w:pPr>
        <w:widowControl/>
        <w:rPr>
          <w:szCs w:val="22"/>
        </w:rPr>
      </w:pPr>
    </w:p>
    <w:p w:rsidR="002F36A9" w:rsidRDefault="00E32818" w:rsidP="000A0288">
      <w:pPr>
        <w:pStyle w:val="ListParagraph"/>
        <w:widowControl/>
        <w:numPr>
          <w:ilvl w:val="1"/>
          <w:numId w:val="2"/>
        </w:numPr>
        <w:rPr>
          <w:szCs w:val="22"/>
        </w:rPr>
      </w:pPr>
      <w:r>
        <w:rPr>
          <w:szCs w:val="22"/>
        </w:rPr>
        <w:t>W</w:t>
      </w:r>
      <w:r w:rsidR="002F36A9">
        <w:rPr>
          <w:szCs w:val="22"/>
        </w:rPr>
        <w:t>hile the re-submission acknowledged significant differences for dizziness, hypotension and headache</w:t>
      </w:r>
      <w:r w:rsidR="002F36A9">
        <w:rPr>
          <w:rStyle w:val="FootnoteReference"/>
          <w:szCs w:val="22"/>
        </w:rPr>
        <w:footnoteReference w:id="1"/>
      </w:r>
      <w:r w:rsidR="002F36A9">
        <w:rPr>
          <w:szCs w:val="22"/>
        </w:rPr>
        <w:t xml:space="preserve">, </w:t>
      </w:r>
      <w:r w:rsidR="00DC4236">
        <w:rPr>
          <w:szCs w:val="22"/>
        </w:rPr>
        <w:t xml:space="preserve">the </w:t>
      </w:r>
      <w:r w:rsidR="005777B5">
        <w:rPr>
          <w:szCs w:val="22"/>
        </w:rPr>
        <w:t>re-</w:t>
      </w:r>
      <w:r w:rsidR="00DC4236">
        <w:rPr>
          <w:szCs w:val="22"/>
        </w:rPr>
        <w:t xml:space="preserve">submission justified </w:t>
      </w:r>
      <w:r w:rsidR="002F36A9">
        <w:rPr>
          <w:szCs w:val="22"/>
        </w:rPr>
        <w:t xml:space="preserve">a non-inferiority claim </w:t>
      </w:r>
      <w:r w:rsidR="0096321F">
        <w:rPr>
          <w:szCs w:val="22"/>
        </w:rPr>
        <w:t xml:space="preserve">with regard to comparative safety </w:t>
      </w:r>
      <w:r w:rsidR="002F36A9">
        <w:rPr>
          <w:szCs w:val="22"/>
        </w:rPr>
        <w:t>on the basis of:</w:t>
      </w:r>
    </w:p>
    <w:p w:rsidR="002F36A9" w:rsidRPr="00301710" w:rsidRDefault="002F36A9" w:rsidP="000A0288">
      <w:pPr>
        <w:pStyle w:val="ListParagraph"/>
        <w:widowControl/>
        <w:numPr>
          <w:ilvl w:val="0"/>
          <w:numId w:val="1"/>
        </w:numPr>
        <w:ind w:left="993" w:hanging="284"/>
        <w:rPr>
          <w:szCs w:val="22"/>
        </w:rPr>
      </w:pPr>
      <w:r w:rsidRPr="00436A26">
        <w:rPr>
          <w:szCs w:val="22"/>
        </w:rPr>
        <w:t xml:space="preserve">No </w:t>
      </w:r>
      <w:r w:rsidRPr="00436A26">
        <w:t>treatment</w:t>
      </w:r>
      <w:r w:rsidRPr="00436A26">
        <w:rPr>
          <w:szCs w:val="22"/>
        </w:rPr>
        <w:t xml:space="preserve"> discontinuation attributable to dizziness, hypotension and headache</w:t>
      </w:r>
      <w:r>
        <w:rPr>
          <w:szCs w:val="22"/>
        </w:rPr>
        <w:t>.</w:t>
      </w:r>
      <w:r w:rsidR="006B5090">
        <w:rPr>
          <w:szCs w:val="22"/>
        </w:rPr>
        <w:t xml:space="preserve"> </w:t>
      </w:r>
      <w:r w:rsidRPr="00301710">
        <w:rPr>
          <w:szCs w:val="22"/>
        </w:rPr>
        <w:t xml:space="preserve">While this </w:t>
      </w:r>
      <w:r w:rsidR="00B00C0E" w:rsidRPr="00301710">
        <w:rPr>
          <w:szCs w:val="22"/>
        </w:rPr>
        <w:t>was</w:t>
      </w:r>
      <w:r w:rsidRPr="00301710">
        <w:rPr>
          <w:szCs w:val="22"/>
        </w:rPr>
        <w:t xml:space="preserve"> indicative of acceptable tolerability, non-inferiority cannot be implied as this observation disregard</w:t>
      </w:r>
      <w:r w:rsidR="009C481D" w:rsidRPr="00301710">
        <w:rPr>
          <w:szCs w:val="22"/>
        </w:rPr>
        <w:t>ed</w:t>
      </w:r>
      <w:r w:rsidRPr="00301710">
        <w:rPr>
          <w:szCs w:val="22"/>
        </w:rPr>
        <w:t xml:space="preserve"> any on-treatment clinical impact.</w:t>
      </w:r>
      <w:r w:rsidR="006B5090">
        <w:rPr>
          <w:szCs w:val="22"/>
        </w:rPr>
        <w:t xml:space="preserve"> </w:t>
      </w:r>
    </w:p>
    <w:p w:rsidR="002F36A9" w:rsidRPr="00301710" w:rsidRDefault="002F36A9" w:rsidP="000A0288">
      <w:pPr>
        <w:pStyle w:val="ListParagraph"/>
        <w:widowControl/>
        <w:numPr>
          <w:ilvl w:val="0"/>
          <w:numId w:val="1"/>
        </w:numPr>
        <w:ind w:left="993" w:hanging="284"/>
        <w:rPr>
          <w:szCs w:val="22"/>
        </w:rPr>
      </w:pPr>
      <w:r w:rsidRPr="00301710">
        <w:rPr>
          <w:szCs w:val="22"/>
        </w:rPr>
        <w:t>Incremental improvements for riociguat EQ</w:t>
      </w:r>
      <w:r w:rsidR="00DC4236" w:rsidRPr="00301710">
        <w:rPr>
          <w:szCs w:val="22"/>
        </w:rPr>
        <w:t>-</w:t>
      </w:r>
      <w:r w:rsidRPr="00301710">
        <w:rPr>
          <w:szCs w:val="22"/>
        </w:rPr>
        <w:t xml:space="preserve">5D utilities compared </w:t>
      </w:r>
      <w:r w:rsidR="00DC4236" w:rsidRPr="00301710">
        <w:rPr>
          <w:szCs w:val="22"/>
        </w:rPr>
        <w:t xml:space="preserve">with </w:t>
      </w:r>
      <w:r w:rsidRPr="00301710">
        <w:rPr>
          <w:szCs w:val="22"/>
        </w:rPr>
        <w:t>placebo from baseline to last visit (stratified by WHO functional class</w:t>
      </w:r>
      <w:r w:rsidR="00B00C0E" w:rsidRPr="00301710">
        <w:rPr>
          <w:szCs w:val="22"/>
        </w:rPr>
        <w:t>)</w:t>
      </w:r>
      <w:r w:rsidRPr="00301710">
        <w:rPr>
          <w:szCs w:val="22"/>
        </w:rPr>
        <w:t>.</w:t>
      </w:r>
      <w:r w:rsidR="006B5090">
        <w:rPr>
          <w:szCs w:val="22"/>
        </w:rPr>
        <w:t xml:space="preserve"> </w:t>
      </w:r>
      <w:r w:rsidRPr="00301710">
        <w:rPr>
          <w:szCs w:val="22"/>
        </w:rPr>
        <w:t>The re-submission claimed this was indicative of no significant disutility associated with adverse events.</w:t>
      </w:r>
      <w:r w:rsidR="006B5090">
        <w:rPr>
          <w:szCs w:val="22"/>
        </w:rPr>
        <w:t xml:space="preserve"> </w:t>
      </w:r>
      <w:r w:rsidR="003C45A9">
        <w:rPr>
          <w:szCs w:val="22"/>
        </w:rPr>
        <w:t>The evaluation</w:t>
      </w:r>
      <w:r w:rsidR="003C5241" w:rsidRPr="00301710">
        <w:rPr>
          <w:szCs w:val="22"/>
        </w:rPr>
        <w:t xml:space="preserve"> </w:t>
      </w:r>
      <w:r w:rsidR="003C45A9">
        <w:rPr>
          <w:szCs w:val="22"/>
        </w:rPr>
        <w:t xml:space="preserve">considered that this </w:t>
      </w:r>
      <w:r w:rsidR="003C5241" w:rsidRPr="00301710">
        <w:rPr>
          <w:szCs w:val="22"/>
        </w:rPr>
        <w:t>conclusion was unreasonable</w:t>
      </w:r>
      <w:r w:rsidRPr="00301710">
        <w:rPr>
          <w:szCs w:val="22"/>
        </w:rPr>
        <w:t xml:space="preserve"> given </w:t>
      </w:r>
      <w:r w:rsidRPr="00301710">
        <w:rPr>
          <w:szCs w:val="22"/>
        </w:rPr>
        <w:lastRenderedPageBreak/>
        <w:t>the lack of specific EQ-5D analyses in patient groups impacted by dizziness, hypotension or headache.</w:t>
      </w:r>
      <w:r w:rsidR="006B5090">
        <w:rPr>
          <w:szCs w:val="22"/>
        </w:rPr>
        <w:t xml:space="preserve"> </w:t>
      </w:r>
    </w:p>
    <w:p w:rsidR="002F36A9" w:rsidRPr="004A1EE3" w:rsidRDefault="002F36A9" w:rsidP="000A0288">
      <w:pPr>
        <w:widowControl/>
        <w:rPr>
          <w:szCs w:val="22"/>
        </w:rPr>
      </w:pPr>
    </w:p>
    <w:p w:rsidR="0045375E" w:rsidRPr="0045375E" w:rsidRDefault="002F36A9" w:rsidP="000A0288">
      <w:pPr>
        <w:pStyle w:val="ListParagraph"/>
        <w:widowControl/>
        <w:numPr>
          <w:ilvl w:val="1"/>
          <w:numId w:val="2"/>
        </w:numPr>
        <w:rPr>
          <w:szCs w:val="22"/>
        </w:rPr>
      </w:pPr>
      <w:r w:rsidRPr="0045375E">
        <w:rPr>
          <w:szCs w:val="22"/>
        </w:rPr>
        <w:t xml:space="preserve">Overall, the re-submission </w:t>
      </w:r>
      <w:r w:rsidR="0007374B" w:rsidRPr="0045375E">
        <w:rPr>
          <w:szCs w:val="22"/>
        </w:rPr>
        <w:t>did</w:t>
      </w:r>
      <w:r w:rsidRPr="0045375E">
        <w:rPr>
          <w:szCs w:val="22"/>
        </w:rPr>
        <w:t xml:space="preserve"> not adequately justif</w:t>
      </w:r>
      <w:r w:rsidR="0007374B" w:rsidRPr="0045375E">
        <w:rPr>
          <w:szCs w:val="22"/>
        </w:rPr>
        <w:t>y</w:t>
      </w:r>
      <w:r w:rsidRPr="0045375E">
        <w:rPr>
          <w:szCs w:val="22"/>
        </w:rPr>
        <w:t xml:space="preserve"> a claim of non-inferiority in regard to comparative safety.</w:t>
      </w:r>
      <w:r w:rsidR="006B5090" w:rsidRPr="0045375E">
        <w:rPr>
          <w:szCs w:val="22"/>
        </w:rPr>
        <w:t xml:space="preserve"> </w:t>
      </w:r>
      <w:r w:rsidRPr="0045375E">
        <w:rPr>
          <w:szCs w:val="22"/>
        </w:rPr>
        <w:t>A conclusion of inferiority to placebo for comparative safety was noted by the PBAC in November 2014 (</w:t>
      </w:r>
      <w:r w:rsidR="009C481D" w:rsidRPr="0011087E">
        <w:rPr>
          <w:szCs w:val="22"/>
        </w:rPr>
        <w:t>riociguat</w:t>
      </w:r>
      <w:r w:rsidR="005B3879" w:rsidRPr="0011087E">
        <w:rPr>
          <w:szCs w:val="22"/>
        </w:rPr>
        <w:t xml:space="preserve"> PSD</w:t>
      </w:r>
      <w:r w:rsidR="009C481D" w:rsidRPr="0045375E">
        <w:rPr>
          <w:szCs w:val="22"/>
        </w:rPr>
        <w:t xml:space="preserve">, </w:t>
      </w:r>
      <w:r w:rsidRPr="0045375E">
        <w:rPr>
          <w:szCs w:val="22"/>
        </w:rPr>
        <w:t>paragraph 6.15).</w:t>
      </w:r>
      <w:r w:rsidR="006B5090" w:rsidRPr="0045375E">
        <w:rPr>
          <w:szCs w:val="22"/>
        </w:rPr>
        <w:t xml:space="preserve"> </w:t>
      </w:r>
      <w:r w:rsidR="0045375E" w:rsidRPr="00E66A98">
        <w:rPr>
          <w:szCs w:val="22"/>
        </w:rPr>
        <w:t>The PSCR acknowledged that the significant increase in hypotension would be aligned with an inferior safety claim.</w:t>
      </w:r>
      <w:r w:rsidR="0045375E" w:rsidRPr="00E66A98" w:rsidDel="0045375E">
        <w:rPr>
          <w:szCs w:val="22"/>
        </w:rPr>
        <w:t xml:space="preserve"> </w:t>
      </w:r>
    </w:p>
    <w:p w:rsidR="002F36A9" w:rsidRDefault="002F36A9" w:rsidP="000A0288">
      <w:pPr>
        <w:pStyle w:val="ListParagraph"/>
        <w:widowControl/>
        <w:rPr>
          <w:szCs w:val="22"/>
        </w:rPr>
      </w:pPr>
    </w:p>
    <w:p w:rsidR="004A1EE3" w:rsidRDefault="00EE0363" w:rsidP="000A0288">
      <w:pPr>
        <w:pStyle w:val="ListParagraph"/>
        <w:widowControl/>
        <w:numPr>
          <w:ilvl w:val="1"/>
          <w:numId w:val="2"/>
        </w:numPr>
        <w:rPr>
          <w:szCs w:val="22"/>
        </w:rPr>
      </w:pPr>
      <w:r>
        <w:rPr>
          <w:szCs w:val="22"/>
        </w:rPr>
        <w:t>The re-submission made the following clinical claims for the indirect comparisons:</w:t>
      </w:r>
    </w:p>
    <w:p w:rsidR="004A1EE3" w:rsidRPr="00301710" w:rsidRDefault="00EE0363" w:rsidP="000A0288">
      <w:pPr>
        <w:pStyle w:val="ListParagraph"/>
        <w:widowControl/>
        <w:numPr>
          <w:ilvl w:val="0"/>
          <w:numId w:val="8"/>
        </w:numPr>
        <w:ind w:left="993" w:hanging="284"/>
        <w:rPr>
          <w:szCs w:val="22"/>
        </w:rPr>
      </w:pPr>
      <w:r w:rsidRPr="006C025F">
        <w:rPr>
          <w:szCs w:val="22"/>
          <w:u w:val="single"/>
        </w:rPr>
        <w:t>Rioc</w:t>
      </w:r>
      <w:r w:rsidR="003C6AFB" w:rsidRPr="006C025F">
        <w:rPr>
          <w:szCs w:val="22"/>
          <w:u w:val="single"/>
        </w:rPr>
        <w:t>i</w:t>
      </w:r>
      <w:r w:rsidRPr="006C025F">
        <w:rPr>
          <w:szCs w:val="22"/>
          <w:u w:val="single"/>
        </w:rPr>
        <w:t xml:space="preserve">guat vs </w:t>
      </w:r>
      <w:proofErr w:type="spellStart"/>
      <w:r w:rsidRPr="006C025F">
        <w:rPr>
          <w:szCs w:val="22"/>
          <w:u w:val="single"/>
        </w:rPr>
        <w:t>bosentan</w:t>
      </w:r>
      <w:proofErr w:type="spellEnd"/>
      <w:r>
        <w:rPr>
          <w:szCs w:val="22"/>
        </w:rPr>
        <w:t>:</w:t>
      </w:r>
      <w:r w:rsidR="005F353F">
        <w:rPr>
          <w:szCs w:val="22"/>
        </w:rPr>
        <w:t xml:space="preserve"> riociguat is superior to </w:t>
      </w:r>
      <w:proofErr w:type="spellStart"/>
      <w:r w:rsidR="005F353F">
        <w:rPr>
          <w:szCs w:val="22"/>
        </w:rPr>
        <w:t>bosentan</w:t>
      </w:r>
      <w:proofErr w:type="spellEnd"/>
      <w:r w:rsidR="005F353F">
        <w:rPr>
          <w:szCs w:val="22"/>
        </w:rPr>
        <w:t xml:space="preserve"> for improvement in exercise capacity.</w:t>
      </w:r>
      <w:r w:rsidR="006B5090">
        <w:rPr>
          <w:szCs w:val="22"/>
        </w:rPr>
        <w:t xml:space="preserve"> </w:t>
      </w:r>
      <w:r w:rsidR="005F353F">
        <w:rPr>
          <w:szCs w:val="22"/>
        </w:rPr>
        <w:t xml:space="preserve">For other outcomes and safety, riociguat was non-inferior to </w:t>
      </w:r>
      <w:proofErr w:type="spellStart"/>
      <w:r w:rsidR="005F353F">
        <w:rPr>
          <w:szCs w:val="22"/>
        </w:rPr>
        <w:t>bosentan</w:t>
      </w:r>
      <w:proofErr w:type="spellEnd"/>
      <w:r w:rsidR="005F353F">
        <w:rPr>
          <w:szCs w:val="22"/>
        </w:rPr>
        <w:t>.</w:t>
      </w:r>
      <w:r w:rsidR="006B5090">
        <w:rPr>
          <w:szCs w:val="22"/>
        </w:rPr>
        <w:t xml:space="preserve"> </w:t>
      </w:r>
      <w:r w:rsidR="005F353F" w:rsidRPr="00301710">
        <w:rPr>
          <w:szCs w:val="22"/>
        </w:rPr>
        <w:t xml:space="preserve">The efficacy claim </w:t>
      </w:r>
      <w:r w:rsidR="009F39FC" w:rsidRPr="00301710">
        <w:rPr>
          <w:szCs w:val="22"/>
        </w:rPr>
        <w:t xml:space="preserve">was </w:t>
      </w:r>
      <w:r w:rsidR="005F353F" w:rsidRPr="00301710">
        <w:rPr>
          <w:szCs w:val="22"/>
        </w:rPr>
        <w:t>not entirely supported by the evidence, given that change in WHO functional class was not definitively in favour of riociguat.</w:t>
      </w:r>
      <w:r w:rsidR="006B5090">
        <w:rPr>
          <w:szCs w:val="22"/>
        </w:rPr>
        <w:t xml:space="preserve"> </w:t>
      </w:r>
    </w:p>
    <w:p w:rsidR="00EE0363" w:rsidRDefault="00EE0363" w:rsidP="000A0288">
      <w:pPr>
        <w:pStyle w:val="ListParagraph"/>
        <w:widowControl/>
        <w:numPr>
          <w:ilvl w:val="0"/>
          <w:numId w:val="8"/>
        </w:numPr>
        <w:ind w:left="993" w:hanging="284"/>
        <w:rPr>
          <w:szCs w:val="22"/>
        </w:rPr>
      </w:pPr>
      <w:r w:rsidRPr="006C025F">
        <w:rPr>
          <w:szCs w:val="22"/>
          <w:u w:val="single"/>
        </w:rPr>
        <w:t>Riociguat vs sildenafil</w:t>
      </w:r>
      <w:r w:rsidRPr="00301710">
        <w:rPr>
          <w:szCs w:val="22"/>
        </w:rPr>
        <w:t>:</w:t>
      </w:r>
      <w:r w:rsidR="005F353F" w:rsidRPr="00301710">
        <w:rPr>
          <w:szCs w:val="22"/>
        </w:rPr>
        <w:t xml:space="preserve"> the re-submission did not make a clinical claim regarding the comparative effectiveness and safety of riociguat and </w:t>
      </w:r>
      <w:r w:rsidR="00F10B56" w:rsidRPr="00301710">
        <w:rPr>
          <w:szCs w:val="22"/>
        </w:rPr>
        <w:t>sildenafil</w:t>
      </w:r>
      <w:r w:rsidR="005F353F" w:rsidRPr="00301710">
        <w:rPr>
          <w:szCs w:val="22"/>
        </w:rPr>
        <w:t>.</w:t>
      </w:r>
      <w:r w:rsidR="006B5090">
        <w:rPr>
          <w:szCs w:val="22"/>
        </w:rPr>
        <w:t xml:space="preserve"> </w:t>
      </w:r>
      <w:r w:rsidR="005F353F" w:rsidRPr="00301710">
        <w:rPr>
          <w:szCs w:val="22"/>
        </w:rPr>
        <w:t>The re</w:t>
      </w:r>
      <w:r w:rsidR="009F39FC" w:rsidRPr="00301710">
        <w:rPr>
          <w:szCs w:val="22"/>
        </w:rPr>
        <w:noBreakHyphen/>
      </w:r>
      <w:r w:rsidR="005F353F" w:rsidRPr="00301710">
        <w:rPr>
          <w:szCs w:val="22"/>
        </w:rPr>
        <w:t>submission reiterated the riociguat versus placebo treatment effect from CHEST-1</w:t>
      </w:r>
      <w:r w:rsidR="009F39FC" w:rsidRPr="00301710">
        <w:rPr>
          <w:szCs w:val="22"/>
        </w:rPr>
        <w:t>,</w:t>
      </w:r>
      <w:r w:rsidR="005F353F" w:rsidRPr="00301710">
        <w:rPr>
          <w:szCs w:val="22"/>
        </w:rPr>
        <w:t xml:space="preserve"> as well as the lack of evidence to support the use of sildenafil for the treatment of CTEPH.</w:t>
      </w:r>
      <w:r w:rsidR="006B5090">
        <w:rPr>
          <w:szCs w:val="22"/>
        </w:rPr>
        <w:t xml:space="preserve"> </w:t>
      </w:r>
      <w:r w:rsidR="005F353F" w:rsidRPr="00301710">
        <w:rPr>
          <w:szCs w:val="22"/>
        </w:rPr>
        <w:t>On the basis of insufficient evidence, no clinical conclusion can be made for the comparative effectiveness or safety of riociguat and sildenafil.</w:t>
      </w:r>
      <w:r w:rsidR="006B5090">
        <w:rPr>
          <w:szCs w:val="22"/>
        </w:rPr>
        <w:t xml:space="preserve"> </w:t>
      </w:r>
    </w:p>
    <w:p w:rsidR="003C6AFB" w:rsidRDefault="003C6AFB" w:rsidP="000A0288">
      <w:pPr>
        <w:widowControl/>
        <w:rPr>
          <w:szCs w:val="22"/>
        </w:rPr>
      </w:pPr>
    </w:p>
    <w:p w:rsidR="003C6AFB" w:rsidRPr="00B005B6" w:rsidRDefault="00AE6D8C" w:rsidP="000A0288">
      <w:pPr>
        <w:pStyle w:val="ListParagraph"/>
        <w:widowControl/>
        <w:numPr>
          <w:ilvl w:val="1"/>
          <w:numId w:val="2"/>
        </w:numPr>
        <w:rPr>
          <w:szCs w:val="22"/>
        </w:rPr>
      </w:pPr>
      <w:r w:rsidRPr="00B005B6">
        <w:rPr>
          <w:szCs w:val="22"/>
        </w:rPr>
        <w:t>The economic model was solely based on the comparison of riociguat and placebo.</w:t>
      </w:r>
      <w:r w:rsidR="006B5090" w:rsidRPr="00B005B6">
        <w:rPr>
          <w:szCs w:val="22"/>
        </w:rPr>
        <w:t xml:space="preserve"> </w:t>
      </w:r>
      <w:r w:rsidR="00E410F8" w:rsidRPr="00B005B6">
        <w:rPr>
          <w:szCs w:val="22"/>
        </w:rPr>
        <w:t>R</w:t>
      </w:r>
      <w:r w:rsidRPr="00B005B6">
        <w:rPr>
          <w:szCs w:val="22"/>
        </w:rPr>
        <w:t xml:space="preserve">esults from the indirect comparisons </w:t>
      </w:r>
      <w:r w:rsidR="009F39FC" w:rsidRPr="00B005B6">
        <w:rPr>
          <w:szCs w:val="22"/>
        </w:rPr>
        <w:t xml:space="preserve">were </w:t>
      </w:r>
      <w:r w:rsidRPr="00B005B6">
        <w:rPr>
          <w:szCs w:val="22"/>
        </w:rPr>
        <w:t>not applied in the economic evaluation.</w:t>
      </w:r>
    </w:p>
    <w:p w:rsidR="00B557D2" w:rsidRPr="00B005B6" w:rsidRDefault="00B557D2" w:rsidP="000A0288">
      <w:pPr>
        <w:pStyle w:val="ListParagraph"/>
        <w:widowControl/>
        <w:rPr>
          <w:szCs w:val="22"/>
        </w:rPr>
      </w:pPr>
    </w:p>
    <w:p w:rsidR="00B557D2" w:rsidRPr="00A934CC" w:rsidRDefault="00B557D2" w:rsidP="000A0288">
      <w:pPr>
        <w:pStyle w:val="ListParagraph"/>
        <w:widowControl/>
        <w:numPr>
          <w:ilvl w:val="1"/>
          <w:numId w:val="2"/>
        </w:numPr>
        <w:rPr>
          <w:bCs/>
          <w:szCs w:val="22"/>
        </w:rPr>
      </w:pPr>
      <w:r w:rsidRPr="00A934CC">
        <w:rPr>
          <w:bCs/>
          <w:szCs w:val="22"/>
        </w:rPr>
        <w:t>The PBAC considered that the claim of superior comparative effectiveness was reasonable</w:t>
      </w:r>
      <w:r w:rsidR="00B005B6" w:rsidRPr="00A934CC">
        <w:rPr>
          <w:bCs/>
          <w:szCs w:val="22"/>
        </w:rPr>
        <w:t xml:space="preserve"> in terms of improvements in 6MWD and WHO functional class</w:t>
      </w:r>
      <w:r w:rsidRPr="00A934CC">
        <w:rPr>
          <w:bCs/>
          <w:szCs w:val="22"/>
        </w:rPr>
        <w:t>.</w:t>
      </w:r>
      <w:r w:rsidR="00CD1775" w:rsidRPr="00A934CC">
        <w:rPr>
          <w:bCs/>
          <w:szCs w:val="22"/>
        </w:rPr>
        <w:t xml:space="preserve"> </w:t>
      </w:r>
      <w:r w:rsidR="00C27CD3" w:rsidRPr="00A934CC">
        <w:rPr>
          <w:bCs/>
          <w:szCs w:val="22"/>
        </w:rPr>
        <w:t>The PBAC considered that changes in the 6MWD are likely to predict a survival gain (but was not confident in the magnitude of the effect). However, the PBAC considered that the claim of a relationship between changes in WHO functional class and survival was not adequately supported and could not be quantified.</w:t>
      </w:r>
    </w:p>
    <w:p w:rsidR="00CD1775" w:rsidRPr="00A934CC" w:rsidRDefault="00CD1775" w:rsidP="000A0288">
      <w:pPr>
        <w:widowControl/>
        <w:rPr>
          <w:bCs/>
          <w:szCs w:val="22"/>
        </w:rPr>
      </w:pPr>
    </w:p>
    <w:p w:rsidR="00B557D2" w:rsidRPr="00A934CC" w:rsidRDefault="00B557D2" w:rsidP="000A0288">
      <w:pPr>
        <w:pStyle w:val="ListParagraph"/>
        <w:widowControl/>
        <w:numPr>
          <w:ilvl w:val="1"/>
          <w:numId w:val="2"/>
        </w:numPr>
        <w:rPr>
          <w:szCs w:val="22"/>
        </w:rPr>
      </w:pPr>
      <w:r w:rsidRPr="00A934CC">
        <w:rPr>
          <w:szCs w:val="22"/>
        </w:rPr>
        <w:t>The PBAC considered that the claim of non-inferior comparative safety was not adequately supported by the data.</w:t>
      </w:r>
    </w:p>
    <w:p w:rsidR="00EE0363" w:rsidRPr="00882085" w:rsidRDefault="00EE0363" w:rsidP="000A0288">
      <w:pPr>
        <w:widowControl/>
        <w:ind w:left="720" w:hanging="720"/>
        <w:rPr>
          <w:szCs w:val="22"/>
        </w:rPr>
      </w:pPr>
    </w:p>
    <w:p w:rsidR="002F36A9" w:rsidRPr="002C2775" w:rsidRDefault="002F36A9" w:rsidP="00B24622">
      <w:pPr>
        <w:pStyle w:val="Heading2"/>
      </w:pPr>
      <w:bookmarkStart w:id="23" w:name="_Toc416959991"/>
      <w:bookmarkStart w:id="24" w:name="_Toc419206875"/>
      <w:r w:rsidRPr="002C2775">
        <w:t>Economic analysis</w:t>
      </w:r>
      <w:bookmarkEnd w:id="23"/>
      <w:bookmarkEnd w:id="24"/>
      <w:r w:rsidRPr="002C2775">
        <w:t xml:space="preserve"> </w:t>
      </w:r>
    </w:p>
    <w:p w:rsidR="002F36A9" w:rsidRPr="00B50DB8" w:rsidRDefault="002F36A9" w:rsidP="000A0288">
      <w:pPr>
        <w:pStyle w:val="ListParagraph"/>
        <w:widowControl/>
        <w:numPr>
          <w:ilvl w:val="1"/>
          <w:numId w:val="2"/>
        </w:numPr>
        <w:rPr>
          <w:szCs w:val="22"/>
        </w:rPr>
      </w:pPr>
      <w:r>
        <w:rPr>
          <w:szCs w:val="22"/>
        </w:rPr>
        <w:t>The re-submission presented</w:t>
      </w:r>
      <w:r w:rsidR="003C5241">
        <w:rPr>
          <w:szCs w:val="22"/>
        </w:rPr>
        <w:t xml:space="preserve"> a</w:t>
      </w:r>
      <w:r>
        <w:rPr>
          <w:szCs w:val="22"/>
        </w:rPr>
        <w:t xml:space="preserve"> </w:t>
      </w:r>
      <w:r w:rsidR="003C5241">
        <w:rPr>
          <w:szCs w:val="22"/>
        </w:rPr>
        <w:t xml:space="preserve">modelled </w:t>
      </w:r>
      <w:r>
        <w:rPr>
          <w:szCs w:val="22"/>
        </w:rPr>
        <w:t>cost utility analysis.</w:t>
      </w:r>
      <w:r w:rsidR="006B5090">
        <w:rPr>
          <w:szCs w:val="22"/>
        </w:rPr>
        <w:t xml:space="preserve"> </w:t>
      </w:r>
    </w:p>
    <w:p w:rsidR="002F36A9" w:rsidRDefault="002F36A9" w:rsidP="000A0288">
      <w:pPr>
        <w:widowControl/>
        <w:rPr>
          <w:szCs w:val="22"/>
        </w:rPr>
      </w:pPr>
    </w:p>
    <w:p w:rsidR="002F36A9" w:rsidRDefault="002F36A9" w:rsidP="000A0288">
      <w:pPr>
        <w:keepNext/>
        <w:widowControl/>
        <w:ind w:firstLine="720"/>
        <w:rPr>
          <w:rStyle w:val="CommentReference"/>
        </w:rPr>
      </w:pPr>
      <w:r w:rsidRPr="00A56B6A">
        <w:rPr>
          <w:rStyle w:val="CommentReference"/>
        </w:rPr>
        <w:lastRenderedPageBreak/>
        <w:t xml:space="preserve">Table </w:t>
      </w:r>
      <w:r>
        <w:rPr>
          <w:rStyle w:val="CommentReference"/>
        </w:rPr>
        <w:t>5</w:t>
      </w:r>
      <w:r w:rsidRPr="00A56B6A">
        <w:rPr>
          <w:rStyle w:val="CommentReference"/>
        </w:rPr>
        <w:t>: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31"/>
        <w:gridCol w:w="855"/>
        <w:gridCol w:w="1998"/>
        <w:gridCol w:w="2113"/>
        <w:gridCol w:w="2248"/>
      </w:tblGrid>
      <w:tr w:rsidR="002F36A9" w:rsidRPr="00E2771E" w:rsidTr="002F36A9">
        <w:trPr>
          <w:tblHeader/>
        </w:trPr>
        <w:tc>
          <w:tcPr>
            <w:tcW w:w="678" w:type="pct"/>
            <w:shd w:val="clear" w:color="auto" w:fill="auto"/>
            <w:vAlign w:val="center"/>
          </w:tcPr>
          <w:p w:rsidR="002F36A9" w:rsidRPr="00E2771E" w:rsidRDefault="002F36A9" w:rsidP="000A0288">
            <w:pPr>
              <w:keepNext/>
              <w:widowControl/>
              <w:jc w:val="left"/>
              <w:rPr>
                <w:rFonts w:ascii="Arial Narrow" w:hAnsi="Arial Narrow"/>
                <w:b/>
                <w:sz w:val="20"/>
              </w:rPr>
            </w:pPr>
            <w:r w:rsidRPr="00E2771E">
              <w:rPr>
                <w:rFonts w:ascii="Arial Narrow" w:hAnsi="Arial Narrow"/>
                <w:b/>
                <w:sz w:val="20"/>
              </w:rPr>
              <w:t>Component</w:t>
            </w:r>
          </w:p>
        </w:tc>
        <w:tc>
          <w:tcPr>
            <w:tcW w:w="4322" w:type="pct"/>
            <w:gridSpan w:val="4"/>
            <w:shd w:val="clear" w:color="auto" w:fill="auto"/>
            <w:vAlign w:val="center"/>
          </w:tcPr>
          <w:p w:rsidR="002F36A9" w:rsidRPr="00E2771E" w:rsidRDefault="002F36A9" w:rsidP="000A0288">
            <w:pPr>
              <w:keepNext/>
              <w:widowControl/>
              <w:jc w:val="center"/>
              <w:rPr>
                <w:rFonts w:ascii="Arial Narrow" w:hAnsi="Arial Narrow"/>
                <w:b/>
                <w:sz w:val="20"/>
              </w:rPr>
            </w:pPr>
            <w:r w:rsidRPr="00E2771E">
              <w:rPr>
                <w:rFonts w:ascii="Arial Narrow" w:hAnsi="Arial Narrow"/>
                <w:b/>
                <w:sz w:val="20"/>
              </w:rPr>
              <w:t>Summary</w:t>
            </w:r>
          </w:p>
        </w:tc>
      </w:tr>
      <w:tr w:rsidR="002F36A9" w:rsidRPr="00E2771E" w:rsidTr="002F36A9">
        <w:tc>
          <w:tcPr>
            <w:tcW w:w="678" w:type="pct"/>
            <w:shd w:val="clear" w:color="auto" w:fill="auto"/>
            <w:vAlign w:val="center"/>
          </w:tcPr>
          <w:p w:rsidR="002F36A9" w:rsidRPr="00E2771E" w:rsidRDefault="002F36A9" w:rsidP="000A0288">
            <w:pPr>
              <w:keepNext/>
              <w:widowControl/>
              <w:jc w:val="left"/>
              <w:rPr>
                <w:rFonts w:ascii="Arial Narrow" w:hAnsi="Arial Narrow"/>
                <w:sz w:val="20"/>
              </w:rPr>
            </w:pPr>
            <w:r w:rsidRPr="00E2771E">
              <w:rPr>
                <w:rFonts w:ascii="Arial Narrow" w:hAnsi="Arial Narrow"/>
                <w:sz w:val="20"/>
              </w:rPr>
              <w:t>Time horizon</w:t>
            </w:r>
          </w:p>
        </w:tc>
        <w:tc>
          <w:tcPr>
            <w:tcW w:w="4322" w:type="pct"/>
            <w:gridSpan w:val="4"/>
            <w:shd w:val="clear" w:color="auto" w:fill="auto"/>
            <w:vAlign w:val="center"/>
          </w:tcPr>
          <w:p w:rsidR="002F36A9" w:rsidRPr="00E2771E" w:rsidRDefault="002F36A9" w:rsidP="000A0288">
            <w:pPr>
              <w:keepNext/>
              <w:widowControl/>
              <w:jc w:val="left"/>
              <w:rPr>
                <w:rFonts w:ascii="Arial Narrow" w:hAnsi="Arial Narrow"/>
                <w:sz w:val="20"/>
              </w:rPr>
            </w:pPr>
            <w:r>
              <w:rPr>
                <w:rFonts w:ascii="Arial Narrow" w:hAnsi="Arial Narrow"/>
                <w:sz w:val="20"/>
              </w:rPr>
              <w:t>15</w:t>
            </w:r>
            <w:r w:rsidRPr="00E2771E">
              <w:rPr>
                <w:rFonts w:ascii="Arial Narrow" w:hAnsi="Arial Narrow"/>
                <w:sz w:val="20"/>
              </w:rPr>
              <w:t xml:space="preserve"> years in the model base case versus </w:t>
            </w:r>
            <w:r>
              <w:rPr>
                <w:rFonts w:ascii="Arial Narrow" w:hAnsi="Arial Narrow"/>
                <w:sz w:val="20"/>
              </w:rPr>
              <w:t xml:space="preserve">16 </w:t>
            </w:r>
            <w:r w:rsidRPr="00E2771E">
              <w:rPr>
                <w:rFonts w:ascii="Arial Narrow" w:hAnsi="Arial Narrow"/>
                <w:sz w:val="20"/>
              </w:rPr>
              <w:t xml:space="preserve">weeks in </w:t>
            </w:r>
            <w:r>
              <w:rPr>
                <w:rFonts w:ascii="Arial Narrow" w:hAnsi="Arial Narrow"/>
                <w:sz w:val="20"/>
              </w:rPr>
              <w:t xml:space="preserve">the head to head </w:t>
            </w:r>
            <w:r w:rsidRPr="00E2771E">
              <w:rPr>
                <w:rFonts w:ascii="Arial Narrow" w:hAnsi="Arial Narrow"/>
                <w:sz w:val="20"/>
              </w:rPr>
              <w:t>trial</w:t>
            </w:r>
            <w:r>
              <w:rPr>
                <w:rFonts w:ascii="Arial Narrow" w:hAnsi="Arial Narrow"/>
                <w:sz w:val="20"/>
              </w:rPr>
              <w:t xml:space="preserve"> (CHEST-1)</w:t>
            </w:r>
            <w:r w:rsidR="00D94297">
              <w:rPr>
                <w:rFonts w:ascii="Arial Narrow" w:hAnsi="Arial Narrow"/>
                <w:sz w:val="20"/>
              </w:rPr>
              <w:t>.</w:t>
            </w:r>
            <w:r w:rsidR="006B5090">
              <w:rPr>
                <w:rFonts w:ascii="Arial Narrow" w:hAnsi="Arial Narrow"/>
                <w:sz w:val="20"/>
              </w:rPr>
              <w:t xml:space="preserve"> </w:t>
            </w:r>
            <w:r w:rsidR="00D94297">
              <w:rPr>
                <w:rFonts w:ascii="Arial Narrow" w:hAnsi="Arial Narrow"/>
                <w:sz w:val="20"/>
              </w:rPr>
              <w:t xml:space="preserve">A </w:t>
            </w:r>
            <w:r w:rsidR="00AE6D8C">
              <w:rPr>
                <w:rFonts w:ascii="Arial Narrow" w:hAnsi="Arial Narrow"/>
                <w:sz w:val="20"/>
              </w:rPr>
              <w:t>maximum</w:t>
            </w:r>
            <w:r w:rsidR="00D94297">
              <w:rPr>
                <w:rFonts w:ascii="Arial Narrow" w:hAnsi="Arial Narrow"/>
                <w:sz w:val="20"/>
              </w:rPr>
              <w:t xml:space="preserve"> of 4.8 years follow-up was available for riociguat treated patients (CHEST-2)</w:t>
            </w:r>
          </w:p>
        </w:tc>
      </w:tr>
      <w:tr w:rsidR="002F36A9" w:rsidRPr="00E2771E" w:rsidTr="002F36A9">
        <w:tc>
          <w:tcPr>
            <w:tcW w:w="678" w:type="pct"/>
            <w:shd w:val="clear" w:color="auto" w:fill="auto"/>
            <w:vAlign w:val="center"/>
          </w:tcPr>
          <w:p w:rsidR="002F36A9" w:rsidRPr="00E2771E" w:rsidRDefault="002F36A9" w:rsidP="000A0288">
            <w:pPr>
              <w:keepNext/>
              <w:widowControl/>
              <w:jc w:val="left"/>
              <w:rPr>
                <w:rFonts w:ascii="Arial Narrow" w:hAnsi="Arial Narrow"/>
                <w:sz w:val="20"/>
              </w:rPr>
            </w:pPr>
            <w:r w:rsidRPr="00E2771E">
              <w:rPr>
                <w:rFonts w:ascii="Arial Narrow" w:hAnsi="Arial Narrow"/>
                <w:sz w:val="20"/>
              </w:rPr>
              <w:t>Outcomes</w:t>
            </w:r>
          </w:p>
        </w:tc>
        <w:tc>
          <w:tcPr>
            <w:tcW w:w="4322" w:type="pct"/>
            <w:gridSpan w:val="4"/>
            <w:shd w:val="clear" w:color="auto" w:fill="auto"/>
            <w:vAlign w:val="center"/>
          </w:tcPr>
          <w:p w:rsidR="002F36A9" w:rsidRPr="00E2771E" w:rsidRDefault="002F36A9" w:rsidP="000A0288">
            <w:pPr>
              <w:keepNext/>
              <w:widowControl/>
              <w:jc w:val="left"/>
              <w:rPr>
                <w:rFonts w:ascii="Arial Narrow" w:hAnsi="Arial Narrow"/>
                <w:sz w:val="20"/>
              </w:rPr>
            </w:pPr>
            <w:r>
              <w:rPr>
                <w:rFonts w:ascii="Arial Narrow" w:hAnsi="Arial Narrow"/>
                <w:sz w:val="20"/>
              </w:rPr>
              <w:t>Cost/improvement of ≥1 WHO FC, Cost/LYG, Cost/QALY (trial based EQ-5D utilities)</w:t>
            </w:r>
          </w:p>
        </w:tc>
      </w:tr>
      <w:tr w:rsidR="002F36A9" w:rsidRPr="00E2771E" w:rsidTr="002F36A9">
        <w:tc>
          <w:tcPr>
            <w:tcW w:w="678" w:type="pct"/>
            <w:shd w:val="clear" w:color="auto" w:fill="auto"/>
            <w:vAlign w:val="center"/>
          </w:tcPr>
          <w:p w:rsidR="002F36A9" w:rsidRPr="00E2771E" w:rsidRDefault="002F36A9" w:rsidP="000A0288">
            <w:pPr>
              <w:keepNext/>
              <w:widowControl/>
              <w:jc w:val="left"/>
              <w:rPr>
                <w:rFonts w:ascii="Arial Narrow" w:hAnsi="Arial Narrow"/>
                <w:sz w:val="20"/>
              </w:rPr>
            </w:pPr>
            <w:r w:rsidRPr="00E2771E">
              <w:rPr>
                <w:rFonts w:ascii="Arial Narrow" w:hAnsi="Arial Narrow"/>
                <w:sz w:val="20"/>
              </w:rPr>
              <w:t>Methods used to generate results</w:t>
            </w:r>
          </w:p>
        </w:tc>
        <w:tc>
          <w:tcPr>
            <w:tcW w:w="4322" w:type="pct"/>
            <w:gridSpan w:val="4"/>
            <w:shd w:val="clear" w:color="auto" w:fill="auto"/>
            <w:vAlign w:val="center"/>
          </w:tcPr>
          <w:p w:rsidR="002F36A9" w:rsidRPr="00E2771E" w:rsidRDefault="002F36A9" w:rsidP="000A0288">
            <w:pPr>
              <w:keepNext/>
              <w:widowControl/>
              <w:jc w:val="left"/>
              <w:rPr>
                <w:rFonts w:ascii="Arial Narrow" w:hAnsi="Arial Narrow"/>
                <w:sz w:val="20"/>
              </w:rPr>
            </w:pPr>
            <w:r>
              <w:rPr>
                <w:rFonts w:ascii="Arial Narrow" w:hAnsi="Arial Narrow"/>
                <w:sz w:val="20"/>
              </w:rPr>
              <w:t>Markov state transition model: p</w:t>
            </w:r>
            <w:r w:rsidRPr="00825390">
              <w:rPr>
                <w:rFonts w:ascii="Arial Narrow" w:hAnsi="Arial Narrow"/>
                <w:sz w:val="20"/>
              </w:rPr>
              <w:t xml:space="preserve">atients enter the model in </w:t>
            </w:r>
            <w:proofErr w:type="gramStart"/>
            <w:r w:rsidRPr="00825390">
              <w:rPr>
                <w:rFonts w:ascii="Arial Narrow" w:hAnsi="Arial Narrow"/>
                <w:sz w:val="20"/>
              </w:rPr>
              <w:t xml:space="preserve">either </w:t>
            </w:r>
            <w:r w:rsidR="003C5241">
              <w:rPr>
                <w:rFonts w:ascii="Arial Narrow" w:hAnsi="Arial Narrow"/>
                <w:sz w:val="20"/>
              </w:rPr>
              <w:t>WHO</w:t>
            </w:r>
            <w:proofErr w:type="gramEnd"/>
            <w:r w:rsidR="003C5241">
              <w:rPr>
                <w:rFonts w:ascii="Arial Narrow" w:hAnsi="Arial Narrow"/>
                <w:sz w:val="20"/>
              </w:rPr>
              <w:t xml:space="preserve"> </w:t>
            </w:r>
            <w:r>
              <w:rPr>
                <w:rFonts w:ascii="Arial Narrow" w:hAnsi="Arial Narrow"/>
                <w:sz w:val="20"/>
              </w:rPr>
              <w:t>FC</w:t>
            </w:r>
            <w:r w:rsidRPr="00825390">
              <w:rPr>
                <w:rFonts w:ascii="Arial Narrow" w:hAnsi="Arial Narrow"/>
                <w:sz w:val="20"/>
              </w:rPr>
              <w:t xml:space="preserve"> II, III or IV according to the observed baseline distribution of patients in the CHEST-1 trial.</w:t>
            </w:r>
            <w:r w:rsidR="006B5090">
              <w:rPr>
                <w:rFonts w:ascii="Arial Narrow" w:hAnsi="Arial Narrow"/>
                <w:sz w:val="20"/>
              </w:rPr>
              <w:t xml:space="preserve"> </w:t>
            </w:r>
            <w:r w:rsidRPr="00825390">
              <w:rPr>
                <w:rFonts w:ascii="Arial Narrow" w:hAnsi="Arial Narrow"/>
                <w:sz w:val="20"/>
              </w:rPr>
              <w:t xml:space="preserve">With each cycle, patients may </w:t>
            </w:r>
            <w:r>
              <w:rPr>
                <w:rFonts w:ascii="Arial Narrow" w:hAnsi="Arial Narrow"/>
                <w:sz w:val="20"/>
              </w:rPr>
              <w:t>have a stepwise</w:t>
            </w:r>
            <w:r w:rsidRPr="00825390">
              <w:rPr>
                <w:rFonts w:ascii="Arial Narrow" w:hAnsi="Arial Narrow"/>
                <w:sz w:val="20"/>
              </w:rPr>
              <w:t xml:space="preserve"> transition to a better</w:t>
            </w:r>
            <w:r w:rsidR="003C5241">
              <w:rPr>
                <w:rFonts w:ascii="Arial Narrow" w:hAnsi="Arial Narrow"/>
                <w:sz w:val="20"/>
              </w:rPr>
              <w:t>/worse</w:t>
            </w:r>
            <w:r w:rsidRPr="00825390">
              <w:rPr>
                <w:rFonts w:ascii="Arial Narrow" w:hAnsi="Arial Narrow"/>
                <w:sz w:val="20"/>
              </w:rPr>
              <w:t xml:space="preserve"> </w:t>
            </w:r>
            <w:r>
              <w:rPr>
                <w:rFonts w:ascii="Arial Narrow" w:hAnsi="Arial Narrow"/>
                <w:sz w:val="20"/>
              </w:rPr>
              <w:t xml:space="preserve">FC health state, </w:t>
            </w:r>
            <w:r w:rsidRPr="00825390">
              <w:rPr>
                <w:rFonts w:ascii="Arial Narrow" w:hAnsi="Arial Narrow"/>
                <w:sz w:val="20"/>
              </w:rPr>
              <w:t>remain stable</w:t>
            </w:r>
            <w:r>
              <w:rPr>
                <w:rFonts w:ascii="Arial Narrow" w:hAnsi="Arial Narrow"/>
                <w:sz w:val="20"/>
              </w:rPr>
              <w:t xml:space="preserve"> or</w:t>
            </w:r>
            <w:r w:rsidRPr="00825390">
              <w:rPr>
                <w:rFonts w:ascii="Arial Narrow" w:hAnsi="Arial Narrow"/>
                <w:sz w:val="20"/>
              </w:rPr>
              <w:t xml:space="preserve"> transition to the self</w:t>
            </w:r>
            <w:r w:rsidR="009F0CE9">
              <w:rPr>
                <w:rFonts w:ascii="Arial Narrow" w:hAnsi="Arial Narrow"/>
                <w:sz w:val="20"/>
              </w:rPr>
              <w:noBreakHyphen/>
            </w:r>
            <w:r w:rsidRPr="00825390">
              <w:rPr>
                <w:rFonts w:ascii="Arial Narrow" w:hAnsi="Arial Narrow"/>
                <w:sz w:val="20"/>
              </w:rPr>
              <w:t>absorbing death health state at any time</w:t>
            </w:r>
            <w:r>
              <w:rPr>
                <w:rFonts w:ascii="Arial Narrow" w:hAnsi="Arial Narrow"/>
                <w:sz w:val="20"/>
              </w:rPr>
              <w:t>.</w:t>
            </w:r>
            <w:r w:rsidR="006B5090">
              <w:rPr>
                <w:rFonts w:ascii="Arial Narrow" w:hAnsi="Arial Narrow"/>
                <w:sz w:val="20"/>
              </w:rPr>
              <w:t xml:space="preserve"> </w:t>
            </w:r>
            <w:r>
              <w:rPr>
                <w:rFonts w:ascii="Arial Narrow" w:hAnsi="Arial Narrow"/>
                <w:sz w:val="20"/>
              </w:rPr>
              <w:t xml:space="preserve">Probability of death was </w:t>
            </w:r>
            <w:r w:rsidRPr="00825390">
              <w:rPr>
                <w:rFonts w:ascii="Arial Narrow" w:hAnsi="Arial Narrow"/>
                <w:sz w:val="20"/>
              </w:rPr>
              <w:t>WHO functional class</w:t>
            </w:r>
            <w:r w:rsidR="004B44E0">
              <w:rPr>
                <w:rFonts w:ascii="Arial Narrow" w:hAnsi="Arial Narrow"/>
                <w:sz w:val="20"/>
              </w:rPr>
              <w:t xml:space="preserve"> (exponential extrapolation)</w:t>
            </w:r>
            <w:r w:rsidRPr="00825390">
              <w:rPr>
                <w:rFonts w:ascii="Arial Narrow" w:hAnsi="Arial Narrow"/>
                <w:sz w:val="20"/>
              </w:rPr>
              <w:t xml:space="preserve"> and age dependent</w:t>
            </w:r>
            <w:r w:rsidR="004B44E0">
              <w:rPr>
                <w:rFonts w:ascii="Arial Narrow" w:hAnsi="Arial Narrow"/>
                <w:sz w:val="20"/>
              </w:rPr>
              <w:t xml:space="preserve"> (ABS life tables)</w:t>
            </w:r>
            <w:r w:rsidRPr="00825390">
              <w:rPr>
                <w:rFonts w:ascii="Arial Narrow" w:hAnsi="Arial Narrow"/>
                <w:sz w:val="20"/>
              </w:rPr>
              <w:t>.</w:t>
            </w:r>
            <w:r w:rsidR="006B5090">
              <w:rPr>
                <w:rFonts w:ascii="Arial Narrow" w:hAnsi="Arial Narrow"/>
                <w:sz w:val="20"/>
              </w:rPr>
              <w:t xml:space="preserve"> </w:t>
            </w:r>
            <w:r>
              <w:rPr>
                <w:rFonts w:ascii="Arial Narrow" w:hAnsi="Arial Narrow"/>
                <w:sz w:val="20"/>
              </w:rPr>
              <w:t xml:space="preserve">It was assumed that for </w:t>
            </w:r>
            <w:r w:rsidRPr="00DD02AA">
              <w:rPr>
                <w:rFonts w:ascii="Arial Narrow" w:hAnsi="Arial Narrow"/>
                <w:sz w:val="20"/>
              </w:rPr>
              <w:t xml:space="preserve">placebo improvements or worsening in </w:t>
            </w:r>
            <w:r w:rsidR="004B44E0">
              <w:rPr>
                <w:rFonts w:ascii="Arial Narrow" w:hAnsi="Arial Narrow"/>
                <w:sz w:val="20"/>
              </w:rPr>
              <w:t>WHO FC</w:t>
            </w:r>
            <w:r w:rsidRPr="00DD02AA">
              <w:rPr>
                <w:rFonts w:ascii="Arial Narrow" w:hAnsi="Arial Narrow"/>
                <w:sz w:val="20"/>
              </w:rPr>
              <w:t xml:space="preserve"> were only able to occur in the first cycle.</w:t>
            </w:r>
            <w:r w:rsidR="006B5090">
              <w:rPr>
                <w:rFonts w:ascii="Arial Narrow" w:hAnsi="Arial Narrow"/>
                <w:sz w:val="20"/>
              </w:rPr>
              <w:t xml:space="preserve"> </w:t>
            </w:r>
            <w:r w:rsidR="004B44E0">
              <w:rPr>
                <w:rFonts w:ascii="Arial Narrow" w:hAnsi="Arial Narrow"/>
                <w:sz w:val="20"/>
              </w:rPr>
              <w:t>Subsequent to the</w:t>
            </w:r>
            <w:r w:rsidRPr="00DD02AA">
              <w:rPr>
                <w:rFonts w:ascii="Arial Narrow" w:hAnsi="Arial Narrow"/>
                <w:sz w:val="20"/>
              </w:rPr>
              <w:t xml:space="preserve"> first cycle, placebo patients were only permitted to have a worsening of </w:t>
            </w:r>
            <w:r w:rsidR="004B44E0">
              <w:rPr>
                <w:rFonts w:ascii="Arial Narrow" w:hAnsi="Arial Narrow"/>
                <w:sz w:val="20"/>
              </w:rPr>
              <w:t xml:space="preserve">WHO </w:t>
            </w:r>
            <w:r>
              <w:rPr>
                <w:rFonts w:ascii="Arial Narrow" w:hAnsi="Arial Narrow"/>
                <w:sz w:val="20"/>
              </w:rPr>
              <w:t>FC</w:t>
            </w:r>
            <w:r w:rsidRPr="00DD02AA">
              <w:rPr>
                <w:rFonts w:ascii="Arial Narrow" w:hAnsi="Arial Narrow"/>
                <w:sz w:val="20"/>
              </w:rPr>
              <w:t>.</w:t>
            </w:r>
            <w:r w:rsidR="006B5090">
              <w:rPr>
                <w:rFonts w:ascii="Arial Narrow" w:hAnsi="Arial Narrow"/>
                <w:sz w:val="20"/>
              </w:rPr>
              <w:t xml:space="preserve"> </w:t>
            </w:r>
          </w:p>
        </w:tc>
      </w:tr>
      <w:tr w:rsidR="002F36A9" w:rsidRPr="00E2771E" w:rsidTr="002F36A9">
        <w:tc>
          <w:tcPr>
            <w:tcW w:w="678" w:type="pct"/>
            <w:shd w:val="clear" w:color="auto" w:fill="auto"/>
            <w:vAlign w:val="center"/>
          </w:tcPr>
          <w:p w:rsidR="002F36A9" w:rsidRPr="00E2771E" w:rsidRDefault="002F36A9" w:rsidP="000A0288">
            <w:pPr>
              <w:keepNext/>
              <w:widowControl/>
              <w:jc w:val="left"/>
              <w:rPr>
                <w:rFonts w:ascii="Arial Narrow" w:hAnsi="Arial Narrow"/>
                <w:sz w:val="20"/>
              </w:rPr>
            </w:pPr>
            <w:r w:rsidRPr="00E2771E">
              <w:rPr>
                <w:rFonts w:ascii="Arial Narrow" w:hAnsi="Arial Narrow"/>
                <w:sz w:val="20"/>
              </w:rPr>
              <w:t>Health states</w:t>
            </w:r>
          </w:p>
        </w:tc>
        <w:tc>
          <w:tcPr>
            <w:tcW w:w="4322" w:type="pct"/>
            <w:gridSpan w:val="4"/>
            <w:shd w:val="clear" w:color="auto" w:fill="auto"/>
            <w:vAlign w:val="center"/>
          </w:tcPr>
          <w:p w:rsidR="002F36A9" w:rsidRPr="00E2771E" w:rsidRDefault="002F36A9" w:rsidP="000A0288">
            <w:pPr>
              <w:keepNext/>
              <w:widowControl/>
              <w:jc w:val="left"/>
              <w:rPr>
                <w:rFonts w:ascii="Arial Narrow" w:hAnsi="Arial Narrow"/>
                <w:sz w:val="20"/>
              </w:rPr>
            </w:pPr>
            <w:r>
              <w:rPr>
                <w:rFonts w:ascii="Arial Narrow" w:hAnsi="Arial Narrow"/>
                <w:sz w:val="20"/>
              </w:rPr>
              <w:t>WHO FC II, III and IV and death</w:t>
            </w:r>
          </w:p>
        </w:tc>
      </w:tr>
      <w:tr w:rsidR="002F36A9" w:rsidRPr="00E2771E" w:rsidTr="002F36A9">
        <w:tc>
          <w:tcPr>
            <w:tcW w:w="678" w:type="pct"/>
            <w:shd w:val="clear" w:color="auto" w:fill="auto"/>
            <w:vAlign w:val="center"/>
          </w:tcPr>
          <w:p w:rsidR="002F36A9" w:rsidRPr="00E2771E" w:rsidRDefault="002F36A9" w:rsidP="000A0288">
            <w:pPr>
              <w:keepNext/>
              <w:widowControl/>
              <w:jc w:val="left"/>
              <w:rPr>
                <w:rFonts w:ascii="Arial Narrow" w:hAnsi="Arial Narrow"/>
                <w:sz w:val="20"/>
              </w:rPr>
            </w:pPr>
            <w:r w:rsidRPr="00E2771E">
              <w:rPr>
                <w:rFonts w:ascii="Arial Narrow" w:hAnsi="Arial Narrow"/>
                <w:sz w:val="20"/>
              </w:rPr>
              <w:t>Cycle length</w:t>
            </w:r>
          </w:p>
        </w:tc>
        <w:tc>
          <w:tcPr>
            <w:tcW w:w="4322" w:type="pct"/>
            <w:gridSpan w:val="4"/>
            <w:shd w:val="clear" w:color="auto" w:fill="auto"/>
            <w:vAlign w:val="center"/>
          </w:tcPr>
          <w:p w:rsidR="002F36A9" w:rsidRPr="00E2771E" w:rsidRDefault="002F36A9" w:rsidP="000A0288">
            <w:pPr>
              <w:keepNext/>
              <w:widowControl/>
              <w:jc w:val="left"/>
              <w:rPr>
                <w:rFonts w:ascii="Arial Narrow" w:hAnsi="Arial Narrow"/>
                <w:sz w:val="20"/>
              </w:rPr>
            </w:pPr>
            <w:r>
              <w:rPr>
                <w:rFonts w:ascii="Arial Narrow" w:hAnsi="Arial Narrow"/>
                <w:sz w:val="20"/>
              </w:rPr>
              <w:t>First cycle: 112 days; subsequent cycles: 122 days; half cycle correction applied</w:t>
            </w:r>
          </w:p>
        </w:tc>
      </w:tr>
      <w:tr w:rsidR="002F36A9" w:rsidRPr="00E2771E" w:rsidTr="00BA576E">
        <w:trPr>
          <w:trHeight w:val="93"/>
        </w:trPr>
        <w:tc>
          <w:tcPr>
            <w:tcW w:w="678" w:type="pct"/>
            <w:vMerge w:val="restart"/>
            <w:shd w:val="clear" w:color="auto" w:fill="auto"/>
            <w:vAlign w:val="center"/>
          </w:tcPr>
          <w:p w:rsidR="002F36A9" w:rsidRPr="00E2771E" w:rsidRDefault="002F36A9" w:rsidP="000A0288">
            <w:pPr>
              <w:keepNext/>
              <w:widowControl/>
              <w:jc w:val="left"/>
              <w:rPr>
                <w:rFonts w:ascii="Arial Narrow" w:hAnsi="Arial Narrow"/>
                <w:sz w:val="20"/>
              </w:rPr>
            </w:pPr>
            <w:r w:rsidRPr="00E2771E">
              <w:rPr>
                <w:rFonts w:ascii="Arial Narrow" w:hAnsi="Arial Narrow"/>
                <w:sz w:val="20"/>
              </w:rPr>
              <w:t>Transition probabilities</w:t>
            </w:r>
          </w:p>
        </w:tc>
        <w:tc>
          <w:tcPr>
            <w:tcW w:w="512" w:type="pct"/>
            <w:vMerge w:val="restart"/>
            <w:shd w:val="clear" w:color="auto" w:fill="auto"/>
            <w:vAlign w:val="center"/>
          </w:tcPr>
          <w:p w:rsidR="002F36A9" w:rsidRPr="00E2771E" w:rsidRDefault="002F36A9" w:rsidP="000A0288">
            <w:pPr>
              <w:keepNext/>
              <w:widowControl/>
              <w:jc w:val="left"/>
              <w:rPr>
                <w:rFonts w:ascii="Arial Narrow" w:hAnsi="Arial Narrow"/>
                <w:sz w:val="20"/>
              </w:rPr>
            </w:pPr>
          </w:p>
        </w:tc>
        <w:tc>
          <w:tcPr>
            <w:tcW w:w="2463" w:type="pct"/>
            <w:gridSpan w:val="2"/>
            <w:shd w:val="clear" w:color="auto" w:fill="auto"/>
            <w:vAlign w:val="center"/>
          </w:tcPr>
          <w:p w:rsidR="002F36A9" w:rsidRPr="00E2771E" w:rsidRDefault="002F36A9" w:rsidP="000A0288">
            <w:pPr>
              <w:keepNext/>
              <w:widowControl/>
              <w:jc w:val="center"/>
              <w:rPr>
                <w:rFonts w:ascii="Arial Narrow" w:hAnsi="Arial Narrow"/>
                <w:sz w:val="20"/>
              </w:rPr>
            </w:pPr>
            <w:r w:rsidRPr="00FA63B6">
              <w:rPr>
                <w:rFonts w:ascii="Arial Narrow" w:hAnsi="Arial Narrow"/>
                <w:b/>
                <w:sz w:val="20"/>
              </w:rPr>
              <w:t xml:space="preserve">WHO </w:t>
            </w:r>
            <w:r w:rsidR="003C5241">
              <w:rPr>
                <w:rFonts w:ascii="Arial Narrow" w:hAnsi="Arial Narrow"/>
                <w:b/>
                <w:sz w:val="20"/>
              </w:rPr>
              <w:t>FC</w:t>
            </w:r>
            <w:r>
              <w:rPr>
                <w:rFonts w:ascii="Arial Narrow" w:hAnsi="Arial Narrow"/>
                <w:b/>
                <w:sz w:val="20"/>
              </w:rPr>
              <w:t>: deterioration (II to III, III to IV) &amp; improvement (IV to III and III to II)</w:t>
            </w:r>
          </w:p>
        </w:tc>
        <w:tc>
          <w:tcPr>
            <w:tcW w:w="1348" w:type="pct"/>
            <w:vMerge w:val="restart"/>
            <w:shd w:val="clear" w:color="auto" w:fill="auto"/>
            <w:vAlign w:val="center"/>
          </w:tcPr>
          <w:p w:rsidR="002F36A9" w:rsidRPr="00DD02AA" w:rsidRDefault="002F36A9" w:rsidP="000A0288">
            <w:pPr>
              <w:keepNext/>
              <w:widowControl/>
              <w:jc w:val="center"/>
              <w:rPr>
                <w:rFonts w:ascii="Arial Narrow" w:hAnsi="Arial Narrow"/>
                <w:b/>
                <w:sz w:val="20"/>
              </w:rPr>
            </w:pPr>
            <w:r w:rsidRPr="00DD02AA">
              <w:rPr>
                <w:rFonts w:ascii="Arial Narrow" w:hAnsi="Arial Narrow"/>
                <w:b/>
                <w:sz w:val="20"/>
              </w:rPr>
              <w:t>Death</w:t>
            </w:r>
          </w:p>
        </w:tc>
      </w:tr>
      <w:tr w:rsidR="002F36A9" w:rsidRPr="00E2771E" w:rsidTr="00BA576E">
        <w:trPr>
          <w:trHeight w:val="70"/>
        </w:trPr>
        <w:tc>
          <w:tcPr>
            <w:tcW w:w="678" w:type="pct"/>
            <w:vMerge/>
            <w:shd w:val="clear" w:color="auto" w:fill="auto"/>
            <w:vAlign w:val="center"/>
          </w:tcPr>
          <w:p w:rsidR="002F36A9" w:rsidRPr="00E2771E" w:rsidRDefault="002F36A9" w:rsidP="000A0288">
            <w:pPr>
              <w:keepNext/>
              <w:widowControl/>
              <w:jc w:val="left"/>
              <w:rPr>
                <w:rFonts w:ascii="Arial Narrow" w:hAnsi="Arial Narrow"/>
                <w:sz w:val="20"/>
              </w:rPr>
            </w:pPr>
          </w:p>
        </w:tc>
        <w:tc>
          <w:tcPr>
            <w:tcW w:w="512" w:type="pct"/>
            <w:vMerge/>
            <w:shd w:val="clear" w:color="auto" w:fill="auto"/>
            <w:vAlign w:val="center"/>
          </w:tcPr>
          <w:p w:rsidR="002F36A9" w:rsidRPr="00E2771E" w:rsidRDefault="002F36A9" w:rsidP="000A0288">
            <w:pPr>
              <w:keepNext/>
              <w:widowControl/>
              <w:jc w:val="left"/>
              <w:rPr>
                <w:rFonts w:ascii="Arial Narrow" w:hAnsi="Arial Narrow"/>
                <w:sz w:val="20"/>
              </w:rPr>
            </w:pPr>
          </w:p>
        </w:tc>
        <w:tc>
          <w:tcPr>
            <w:tcW w:w="1197" w:type="pct"/>
            <w:shd w:val="clear" w:color="auto" w:fill="auto"/>
            <w:vAlign w:val="center"/>
          </w:tcPr>
          <w:p w:rsidR="002F36A9" w:rsidRPr="00E2771E" w:rsidRDefault="002F36A9" w:rsidP="000A0288">
            <w:pPr>
              <w:keepNext/>
              <w:widowControl/>
              <w:jc w:val="center"/>
              <w:rPr>
                <w:rFonts w:ascii="Arial Narrow" w:hAnsi="Arial Narrow"/>
                <w:sz w:val="20"/>
              </w:rPr>
            </w:pPr>
            <w:r w:rsidRPr="00FA63B6">
              <w:rPr>
                <w:rFonts w:ascii="Arial Narrow" w:hAnsi="Arial Narrow"/>
                <w:b/>
                <w:sz w:val="20"/>
              </w:rPr>
              <w:t xml:space="preserve">First </w:t>
            </w:r>
            <w:r w:rsidR="00A45461">
              <w:rPr>
                <w:rFonts w:ascii="Arial Narrow" w:hAnsi="Arial Narrow"/>
                <w:b/>
                <w:sz w:val="20"/>
              </w:rPr>
              <w:t>c</w:t>
            </w:r>
            <w:r w:rsidR="00A45461" w:rsidRPr="00FA63B6">
              <w:rPr>
                <w:rFonts w:ascii="Arial Narrow" w:hAnsi="Arial Narrow"/>
                <w:b/>
                <w:sz w:val="20"/>
              </w:rPr>
              <w:t>ycle</w:t>
            </w:r>
          </w:p>
        </w:tc>
        <w:tc>
          <w:tcPr>
            <w:tcW w:w="1266" w:type="pct"/>
            <w:shd w:val="clear" w:color="auto" w:fill="auto"/>
            <w:vAlign w:val="center"/>
          </w:tcPr>
          <w:p w:rsidR="002F36A9" w:rsidRPr="00E2771E" w:rsidRDefault="002F36A9" w:rsidP="000A0288">
            <w:pPr>
              <w:keepNext/>
              <w:widowControl/>
              <w:jc w:val="center"/>
              <w:rPr>
                <w:rFonts w:ascii="Arial Narrow" w:hAnsi="Arial Narrow"/>
                <w:sz w:val="20"/>
              </w:rPr>
            </w:pPr>
            <w:r w:rsidRPr="00FA63B6">
              <w:rPr>
                <w:rFonts w:ascii="Arial Narrow" w:hAnsi="Arial Narrow"/>
                <w:b/>
                <w:sz w:val="20"/>
              </w:rPr>
              <w:t>Subsequent cycles</w:t>
            </w:r>
          </w:p>
        </w:tc>
        <w:tc>
          <w:tcPr>
            <w:tcW w:w="1348" w:type="pct"/>
            <w:vMerge/>
            <w:shd w:val="clear" w:color="auto" w:fill="auto"/>
            <w:vAlign w:val="center"/>
          </w:tcPr>
          <w:p w:rsidR="002F36A9" w:rsidRPr="00E2771E" w:rsidRDefault="002F36A9" w:rsidP="000A0288">
            <w:pPr>
              <w:keepNext/>
              <w:widowControl/>
              <w:jc w:val="center"/>
              <w:rPr>
                <w:rFonts w:ascii="Arial Narrow" w:hAnsi="Arial Narrow"/>
                <w:sz w:val="20"/>
              </w:rPr>
            </w:pPr>
          </w:p>
        </w:tc>
      </w:tr>
      <w:tr w:rsidR="002F36A9" w:rsidRPr="00E2771E" w:rsidTr="00BA576E">
        <w:trPr>
          <w:trHeight w:val="469"/>
        </w:trPr>
        <w:tc>
          <w:tcPr>
            <w:tcW w:w="678" w:type="pct"/>
            <w:vMerge/>
            <w:shd w:val="clear" w:color="auto" w:fill="auto"/>
            <w:vAlign w:val="center"/>
          </w:tcPr>
          <w:p w:rsidR="002F36A9" w:rsidRPr="00E2771E" w:rsidRDefault="002F36A9" w:rsidP="000A0288">
            <w:pPr>
              <w:keepNext/>
              <w:widowControl/>
              <w:jc w:val="left"/>
              <w:rPr>
                <w:rFonts w:ascii="Arial Narrow" w:hAnsi="Arial Narrow"/>
                <w:sz w:val="20"/>
              </w:rPr>
            </w:pPr>
          </w:p>
        </w:tc>
        <w:tc>
          <w:tcPr>
            <w:tcW w:w="512" w:type="pct"/>
            <w:shd w:val="clear" w:color="auto" w:fill="auto"/>
            <w:vAlign w:val="center"/>
          </w:tcPr>
          <w:p w:rsidR="002F36A9" w:rsidRPr="00E2771E" w:rsidRDefault="002F36A9" w:rsidP="000A0288">
            <w:pPr>
              <w:keepNext/>
              <w:widowControl/>
              <w:jc w:val="left"/>
              <w:rPr>
                <w:rFonts w:ascii="Arial Narrow" w:hAnsi="Arial Narrow"/>
                <w:sz w:val="20"/>
              </w:rPr>
            </w:pPr>
            <w:r>
              <w:rPr>
                <w:rFonts w:ascii="Arial Narrow" w:hAnsi="Arial Narrow"/>
                <w:sz w:val="20"/>
              </w:rPr>
              <w:t>Riociguat</w:t>
            </w:r>
          </w:p>
        </w:tc>
        <w:tc>
          <w:tcPr>
            <w:tcW w:w="1197" w:type="pct"/>
            <w:vMerge w:val="restart"/>
            <w:shd w:val="clear" w:color="auto" w:fill="auto"/>
            <w:vAlign w:val="center"/>
          </w:tcPr>
          <w:p w:rsidR="002F36A9" w:rsidRDefault="002F36A9" w:rsidP="000A0288">
            <w:pPr>
              <w:keepNext/>
              <w:widowControl/>
              <w:jc w:val="center"/>
              <w:rPr>
                <w:rFonts w:ascii="Arial Narrow" w:hAnsi="Arial Narrow"/>
                <w:sz w:val="20"/>
              </w:rPr>
            </w:pPr>
            <w:r>
              <w:rPr>
                <w:rFonts w:ascii="Arial Narrow" w:hAnsi="Arial Narrow"/>
                <w:sz w:val="20"/>
              </w:rPr>
              <w:t xml:space="preserve">CHEST-1: </w:t>
            </w:r>
          </w:p>
          <w:p w:rsidR="002F36A9" w:rsidRPr="00E2771E" w:rsidRDefault="002F36A9" w:rsidP="000A0288">
            <w:pPr>
              <w:keepNext/>
              <w:widowControl/>
              <w:jc w:val="center"/>
              <w:rPr>
                <w:rFonts w:ascii="Arial Narrow" w:hAnsi="Arial Narrow"/>
                <w:sz w:val="20"/>
              </w:rPr>
            </w:pPr>
            <w:r>
              <w:rPr>
                <w:rFonts w:ascii="Arial Narrow" w:hAnsi="Arial Narrow"/>
                <w:sz w:val="20"/>
              </w:rPr>
              <w:t>Log-normal extrapolation</w:t>
            </w:r>
          </w:p>
        </w:tc>
        <w:tc>
          <w:tcPr>
            <w:tcW w:w="1266" w:type="pct"/>
            <w:shd w:val="clear" w:color="auto" w:fill="auto"/>
            <w:vAlign w:val="center"/>
          </w:tcPr>
          <w:p w:rsidR="002F36A9" w:rsidRDefault="002F36A9" w:rsidP="000A0288">
            <w:pPr>
              <w:keepNext/>
              <w:widowControl/>
              <w:jc w:val="center"/>
              <w:rPr>
                <w:rFonts w:ascii="Arial Narrow" w:hAnsi="Arial Narrow"/>
                <w:sz w:val="20"/>
              </w:rPr>
            </w:pPr>
            <w:r>
              <w:rPr>
                <w:rFonts w:ascii="Arial Narrow" w:hAnsi="Arial Narrow"/>
                <w:sz w:val="20"/>
              </w:rPr>
              <w:t xml:space="preserve">CHEST-2: </w:t>
            </w:r>
          </w:p>
          <w:p w:rsidR="002F36A9" w:rsidRPr="00E2771E" w:rsidRDefault="002F36A9" w:rsidP="000A0288">
            <w:pPr>
              <w:keepNext/>
              <w:widowControl/>
              <w:jc w:val="center"/>
              <w:rPr>
                <w:rFonts w:ascii="Arial Narrow" w:hAnsi="Arial Narrow"/>
                <w:sz w:val="20"/>
              </w:rPr>
            </w:pPr>
            <w:r>
              <w:rPr>
                <w:rFonts w:ascii="Arial Narrow" w:hAnsi="Arial Narrow"/>
                <w:sz w:val="20"/>
              </w:rPr>
              <w:t>Log-normal extrapolation</w:t>
            </w:r>
          </w:p>
        </w:tc>
        <w:tc>
          <w:tcPr>
            <w:tcW w:w="1348" w:type="pct"/>
            <w:shd w:val="clear" w:color="auto" w:fill="auto"/>
            <w:vAlign w:val="center"/>
          </w:tcPr>
          <w:p w:rsidR="002F36A9" w:rsidRPr="00E2771E" w:rsidRDefault="002F36A9" w:rsidP="000A0288">
            <w:pPr>
              <w:keepNext/>
              <w:widowControl/>
              <w:jc w:val="center"/>
              <w:rPr>
                <w:rFonts w:ascii="Arial Narrow" w:hAnsi="Arial Narrow"/>
                <w:sz w:val="20"/>
              </w:rPr>
            </w:pPr>
            <w:r>
              <w:rPr>
                <w:rFonts w:ascii="Arial Narrow" w:hAnsi="Arial Narrow"/>
                <w:sz w:val="20"/>
              </w:rPr>
              <w:t>CHEST-1 &amp; 2 (dataset 1): Exponential extrapolation</w:t>
            </w:r>
          </w:p>
        </w:tc>
      </w:tr>
      <w:tr w:rsidR="002F36A9" w:rsidRPr="00E2771E" w:rsidTr="00BA576E">
        <w:trPr>
          <w:trHeight w:val="469"/>
        </w:trPr>
        <w:tc>
          <w:tcPr>
            <w:tcW w:w="678" w:type="pct"/>
            <w:vMerge/>
            <w:shd w:val="clear" w:color="auto" w:fill="auto"/>
            <w:vAlign w:val="center"/>
          </w:tcPr>
          <w:p w:rsidR="002F36A9" w:rsidRPr="00E2771E" w:rsidRDefault="002F36A9" w:rsidP="000A0288">
            <w:pPr>
              <w:keepNext/>
              <w:widowControl/>
              <w:jc w:val="left"/>
              <w:rPr>
                <w:rFonts w:ascii="Arial Narrow" w:hAnsi="Arial Narrow"/>
                <w:sz w:val="20"/>
              </w:rPr>
            </w:pPr>
          </w:p>
        </w:tc>
        <w:tc>
          <w:tcPr>
            <w:tcW w:w="512" w:type="pct"/>
            <w:shd w:val="clear" w:color="auto" w:fill="auto"/>
            <w:vAlign w:val="center"/>
          </w:tcPr>
          <w:p w:rsidR="002F36A9" w:rsidRPr="00E2771E" w:rsidRDefault="002F36A9" w:rsidP="000A0288">
            <w:pPr>
              <w:keepNext/>
              <w:widowControl/>
              <w:jc w:val="left"/>
              <w:rPr>
                <w:rFonts w:ascii="Arial Narrow" w:hAnsi="Arial Narrow"/>
                <w:sz w:val="20"/>
              </w:rPr>
            </w:pPr>
            <w:r>
              <w:rPr>
                <w:rFonts w:ascii="Arial Narrow" w:hAnsi="Arial Narrow"/>
                <w:sz w:val="20"/>
              </w:rPr>
              <w:t>Placebo</w:t>
            </w:r>
          </w:p>
        </w:tc>
        <w:tc>
          <w:tcPr>
            <w:tcW w:w="1197" w:type="pct"/>
            <w:vMerge/>
            <w:shd w:val="clear" w:color="auto" w:fill="auto"/>
            <w:vAlign w:val="center"/>
          </w:tcPr>
          <w:p w:rsidR="002F36A9" w:rsidRPr="00E2771E" w:rsidRDefault="002F36A9" w:rsidP="000A0288">
            <w:pPr>
              <w:keepNext/>
              <w:widowControl/>
              <w:jc w:val="center"/>
              <w:rPr>
                <w:rFonts w:ascii="Arial Narrow" w:hAnsi="Arial Narrow"/>
                <w:sz w:val="20"/>
              </w:rPr>
            </w:pPr>
          </w:p>
        </w:tc>
        <w:tc>
          <w:tcPr>
            <w:tcW w:w="1266" w:type="pct"/>
            <w:shd w:val="clear" w:color="auto" w:fill="auto"/>
            <w:vAlign w:val="center"/>
          </w:tcPr>
          <w:p w:rsidR="002F36A9" w:rsidRDefault="002F36A9" w:rsidP="000A0288">
            <w:pPr>
              <w:keepNext/>
              <w:widowControl/>
              <w:jc w:val="center"/>
              <w:rPr>
                <w:rFonts w:ascii="Arial Narrow" w:hAnsi="Arial Narrow"/>
                <w:sz w:val="20"/>
              </w:rPr>
            </w:pPr>
            <w:r>
              <w:rPr>
                <w:rFonts w:ascii="Arial Narrow" w:hAnsi="Arial Narrow"/>
                <w:sz w:val="20"/>
              </w:rPr>
              <w:t xml:space="preserve">CHEST-1: </w:t>
            </w:r>
          </w:p>
          <w:p w:rsidR="002F36A9" w:rsidRPr="00E2771E" w:rsidRDefault="002F36A9" w:rsidP="000A0288">
            <w:pPr>
              <w:keepNext/>
              <w:widowControl/>
              <w:jc w:val="center"/>
              <w:rPr>
                <w:rFonts w:ascii="Arial Narrow" w:hAnsi="Arial Narrow"/>
                <w:sz w:val="20"/>
              </w:rPr>
            </w:pPr>
            <w:r>
              <w:rPr>
                <w:rFonts w:ascii="Arial Narrow" w:hAnsi="Arial Narrow"/>
                <w:sz w:val="20"/>
              </w:rPr>
              <w:t>Log-normal extrapolation^</w:t>
            </w:r>
          </w:p>
        </w:tc>
        <w:tc>
          <w:tcPr>
            <w:tcW w:w="1348" w:type="pct"/>
            <w:shd w:val="clear" w:color="auto" w:fill="auto"/>
            <w:vAlign w:val="center"/>
          </w:tcPr>
          <w:p w:rsidR="002F36A9" w:rsidRPr="00E2771E" w:rsidRDefault="002F36A9" w:rsidP="000A0288">
            <w:pPr>
              <w:keepNext/>
              <w:widowControl/>
              <w:jc w:val="center"/>
              <w:rPr>
                <w:rFonts w:ascii="Arial Narrow" w:hAnsi="Arial Narrow"/>
                <w:sz w:val="20"/>
              </w:rPr>
            </w:pPr>
            <w:proofErr w:type="spellStart"/>
            <w:r>
              <w:rPr>
                <w:rFonts w:ascii="Arial Narrow" w:hAnsi="Arial Narrow"/>
                <w:sz w:val="20"/>
              </w:rPr>
              <w:t>Condliffe</w:t>
            </w:r>
            <w:proofErr w:type="spellEnd"/>
            <w:r>
              <w:rPr>
                <w:rFonts w:ascii="Arial Narrow" w:hAnsi="Arial Narrow"/>
                <w:sz w:val="20"/>
              </w:rPr>
              <w:t xml:space="preserve"> 2008 (non-surgical CTEPH cohort): HR = 3.41</w:t>
            </w:r>
          </w:p>
        </w:tc>
      </w:tr>
      <w:tr w:rsidR="002F36A9" w:rsidRPr="00E2771E" w:rsidTr="002F36A9">
        <w:trPr>
          <w:trHeight w:val="70"/>
        </w:trPr>
        <w:tc>
          <w:tcPr>
            <w:tcW w:w="678" w:type="pct"/>
            <w:vMerge/>
            <w:shd w:val="clear" w:color="auto" w:fill="auto"/>
            <w:vAlign w:val="center"/>
          </w:tcPr>
          <w:p w:rsidR="002F36A9" w:rsidRPr="00E2771E" w:rsidRDefault="002F36A9" w:rsidP="000A0288">
            <w:pPr>
              <w:keepNext/>
              <w:widowControl/>
              <w:jc w:val="left"/>
              <w:rPr>
                <w:rFonts w:ascii="Arial Narrow" w:hAnsi="Arial Narrow"/>
                <w:sz w:val="20"/>
              </w:rPr>
            </w:pPr>
          </w:p>
        </w:tc>
        <w:tc>
          <w:tcPr>
            <w:tcW w:w="4322" w:type="pct"/>
            <w:gridSpan w:val="4"/>
            <w:shd w:val="clear" w:color="auto" w:fill="auto"/>
            <w:vAlign w:val="center"/>
          </w:tcPr>
          <w:p w:rsidR="002F36A9" w:rsidRPr="00E2771E" w:rsidRDefault="002F36A9" w:rsidP="000A0288">
            <w:pPr>
              <w:keepNext/>
              <w:widowControl/>
              <w:jc w:val="left"/>
              <w:rPr>
                <w:rFonts w:ascii="Arial Narrow" w:hAnsi="Arial Narrow"/>
                <w:sz w:val="20"/>
              </w:rPr>
            </w:pPr>
            <w:r>
              <w:rPr>
                <w:rFonts w:ascii="Arial Narrow" w:hAnsi="Arial Narrow"/>
                <w:sz w:val="20"/>
              </w:rPr>
              <w:t>Probability of treatment discontinuation: CHEST-1</w:t>
            </w:r>
          </w:p>
        </w:tc>
      </w:tr>
    </w:tbl>
    <w:p w:rsidR="002F36A9" w:rsidRDefault="002F36A9" w:rsidP="000A0288">
      <w:pPr>
        <w:pStyle w:val="TableFooter"/>
        <w:keepNext/>
        <w:widowControl/>
        <w:ind w:firstLine="720"/>
      </w:pPr>
      <w:r>
        <w:t>^ Following the first cycle, the re-submission assumes no functional class improvements for placebo treated patients.</w:t>
      </w:r>
      <w:r w:rsidR="006B5090">
        <w:t xml:space="preserve"> </w:t>
      </w:r>
    </w:p>
    <w:p w:rsidR="002F36A9" w:rsidRPr="00275C5A" w:rsidRDefault="002F36A9" w:rsidP="000A0288">
      <w:pPr>
        <w:pStyle w:val="TableFooter"/>
        <w:widowControl/>
        <w:ind w:left="709" w:firstLine="11"/>
      </w:pPr>
      <w:r>
        <w:t xml:space="preserve">Abbreviations: </w:t>
      </w:r>
      <w:r w:rsidR="001D5723">
        <w:t xml:space="preserve">ABS = Australian Bureau of Statistics; </w:t>
      </w:r>
      <w:r>
        <w:t>FC = functional class</w:t>
      </w:r>
      <w:r w:rsidR="009F0CE9">
        <w:t>; LYG</w:t>
      </w:r>
      <w:r w:rsidR="001D5723">
        <w:t xml:space="preserve"> = life years gained</w:t>
      </w:r>
      <w:r w:rsidR="009F0CE9">
        <w:t>; QALY</w:t>
      </w:r>
      <w:r w:rsidR="001D5723">
        <w:t xml:space="preserve"> = quality adjusted life years</w:t>
      </w:r>
      <w:r>
        <w:t>.</w:t>
      </w:r>
      <w:r w:rsidR="006B5090">
        <w:t xml:space="preserve"> </w:t>
      </w:r>
      <w:r w:rsidRPr="00275C5A">
        <w:t>Source: compiled during the evaluation</w:t>
      </w:r>
      <w:r w:rsidR="001D5723">
        <w:t>.</w:t>
      </w:r>
    </w:p>
    <w:p w:rsidR="002F36A9" w:rsidRPr="00275C5A" w:rsidRDefault="002F36A9" w:rsidP="000A0288">
      <w:pPr>
        <w:widowControl/>
        <w:rPr>
          <w:szCs w:val="22"/>
        </w:rPr>
      </w:pPr>
    </w:p>
    <w:p w:rsidR="002F36A9" w:rsidRDefault="002F36A9" w:rsidP="000A0288">
      <w:pPr>
        <w:keepNext/>
        <w:widowControl/>
        <w:ind w:firstLine="720"/>
        <w:rPr>
          <w:rStyle w:val="CommentReference"/>
        </w:rPr>
      </w:pPr>
      <w:r w:rsidRPr="00A56B6A">
        <w:rPr>
          <w:rStyle w:val="CommentReference"/>
        </w:rPr>
        <w:t xml:space="preserve">Table </w:t>
      </w:r>
      <w:r>
        <w:rPr>
          <w:rStyle w:val="CommentReference"/>
        </w:rPr>
        <w:t>6</w:t>
      </w:r>
      <w:r w:rsidRPr="00A56B6A">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7"/>
        <w:gridCol w:w="4111"/>
        <w:gridCol w:w="2957"/>
      </w:tblGrid>
      <w:tr w:rsidR="002F36A9" w:rsidRPr="00E2771E" w:rsidTr="004A1EE3">
        <w:trPr>
          <w:tblHeader/>
        </w:trPr>
        <w:tc>
          <w:tcPr>
            <w:tcW w:w="765" w:type="pct"/>
            <w:shd w:val="clear" w:color="auto" w:fill="auto"/>
            <w:vAlign w:val="center"/>
          </w:tcPr>
          <w:p w:rsidR="002F36A9" w:rsidRPr="00E2771E" w:rsidRDefault="002F36A9" w:rsidP="000A0288">
            <w:pPr>
              <w:keepNext/>
              <w:widowControl/>
              <w:jc w:val="left"/>
              <w:rPr>
                <w:rFonts w:ascii="Arial Narrow" w:hAnsi="Arial Narrow"/>
                <w:b/>
                <w:sz w:val="20"/>
                <w:lang w:val="en-US"/>
              </w:rPr>
            </w:pPr>
            <w:r w:rsidRPr="00E2771E">
              <w:rPr>
                <w:rFonts w:ascii="Arial Narrow" w:hAnsi="Arial Narrow"/>
                <w:b/>
                <w:sz w:val="20"/>
                <w:lang w:val="en-US"/>
              </w:rPr>
              <w:t>Description</w:t>
            </w:r>
          </w:p>
        </w:tc>
        <w:tc>
          <w:tcPr>
            <w:tcW w:w="2463" w:type="pct"/>
            <w:shd w:val="clear" w:color="auto" w:fill="auto"/>
            <w:vAlign w:val="center"/>
          </w:tcPr>
          <w:p w:rsidR="002F36A9" w:rsidRPr="00E2771E" w:rsidRDefault="002F36A9" w:rsidP="000A0288">
            <w:pPr>
              <w:keepNext/>
              <w:widowControl/>
              <w:jc w:val="center"/>
              <w:rPr>
                <w:rFonts w:ascii="Arial Narrow" w:hAnsi="Arial Narrow"/>
                <w:b/>
                <w:sz w:val="20"/>
                <w:lang w:val="en-US"/>
              </w:rPr>
            </w:pPr>
            <w:r w:rsidRPr="00E2771E">
              <w:rPr>
                <w:rFonts w:ascii="Arial Narrow" w:hAnsi="Arial Narrow"/>
                <w:b/>
                <w:sz w:val="20"/>
                <w:lang w:val="en-US"/>
              </w:rPr>
              <w:t>Method/Value</w:t>
            </w:r>
          </w:p>
        </w:tc>
        <w:tc>
          <w:tcPr>
            <w:tcW w:w="1772" w:type="pct"/>
            <w:shd w:val="clear" w:color="auto" w:fill="auto"/>
            <w:vAlign w:val="center"/>
          </w:tcPr>
          <w:p w:rsidR="002F36A9" w:rsidRPr="00E2771E" w:rsidRDefault="002F36A9" w:rsidP="000A0288">
            <w:pPr>
              <w:keepNext/>
              <w:widowControl/>
              <w:jc w:val="center"/>
              <w:rPr>
                <w:rFonts w:ascii="Arial Narrow" w:hAnsi="Arial Narrow"/>
                <w:b/>
                <w:sz w:val="20"/>
                <w:lang w:val="en-US"/>
              </w:rPr>
            </w:pPr>
            <w:r w:rsidRPr="00E2771E">
              <w:rPr>
                <w:rFonts w:ascii="Arial Narrow" w:hAnsi="Arial Narrow"/>
                <w:b/>
                <w:sz w:val="20"/>
                <w:lang w:val="en-US"/>
              </w:rPr>
              <w:t>Impact</w:t>
            </w:r>
          </w:p>
        </w:tc>
      </w:tr>
      <w:tr w:rsidR="002F36A9" w:rsidRPr="00E2771E" w:rsidTr="004A1EE3">
        <w:tc>
          <w:tcPr>
            <w:tcW w:w="765" w:type="pct"/>
            <w:shd w:val="clear" w:color="auto" w:fill="auto"/>
            <w:vAlign w:val="center"/>
          </w:tcPr>
          <w:p w:rsidR="002F36A9" w:rsidRPr="00E2771E" w:rsidRDefault="002F36A9" w:rsidP="000A0288">
            <w:pPr>
              <w:keepNext/>
              <w:widowControl/>
              <w:jc w:val="left"/>
              <w:rPr>
                <w:rFonts w:ascii="Arial Narrow" w:hAnsi="Arial Narrow"/>
                <w:sz w:val="20"/>
                <w:lang w:val="en-US"/>
              </w:rPr>
            </w:pPr>
            <w:r>
              <w:rPr>
                <w:rFonts w:ascii="Arial Narrow" w:hAnsi="Arial Narrow"/>
                <w:sz w:val="20"/>
                <w:lang w:val="en-US"/>
              </w:rPr>
              <w:t>Placebo survival extrapolation</w:t>
            </w:r>
          </w:p>
        </w:tc>
        <w:tc>
          <w:tcPr>
            <w:tcW w:w="2463" w:type="pct"/>
            <w:shd w:val="clear" w:color="auto" w:fill="auto"/>
            <w:vAlign w:val="center"/>
          </w:tcPr>
          <w:p w:rsidR="002F36A9" w:rsidRPr="00E2771E" w:rsidRDefault="002F36A9" w:rsidP="000A0288">
            <w:pPr>
              <w:keepNext/>
              <w:widowControl/>
              <w:jc w:val="center"/>
              <w:rPr>
                <w:rFonts w:ascii="Arial Narrow" w:hAnsi="Arial Narrow"/>
                <w:sz w:val="20"/>
                <w:lang w:val="en-US"/>
              </w:rPr>
            </w:pPr>
            <w:r>
              <w:rPr>
                <w:rFonts w:ascii="Arial Narrow" w:hAnsi="Arial Narrow"/>
                <w:sz w:val="20"/>
                <w:lang w:val="en-US"/>
              </w:rPr>
              <w:t xml:space="preserve">Constant hazards approach derived from </w:t>
            </w:r>
            <w:proofErr w:type="spellStart"/>
            <w:r>
              <w:rPr>
                <w:rFonts w:ascii="Arial Narrow" w:hAnsi="Arial Narrow"/>
                <w:sz w:val="20"/>
                <w:lang w:val="en-US"/>
              </w:rPr>
              <w:t>Condliffe</w:t>
            </w:r>
            <w:proofErr w:type="spellEnd"/>
            <w:r>
              <w:rPr>
                <w:rFonts w:ascii="Arial Narrow" w:hAnsi="Arial Narrow"/>
                <w:sz w:val="20"/>
                <w:lang w:val="en-US"/>
              </w:rPr>
              <w:t xml:space="preserve"> 2008 (non-surgical CTEPH cohort): HR = 3.41</w:t>
            </w:r>
          </w:p>
        </w:tc>
        <w:tc>
          <w:tcPr>
            <w:tcW w:w="1772" w:type="pct"/>
            <w:shd w:val="clear" w:color="auto" w:fill="auto"/>
            <w:vAlign w:val="center"/>
          </w:tcPr>
          <w:p w:rsidR="002F36A9" w:rsidRPr="00E2771E" w:rsidRDefault="002F36A9" w:rsidP="000A0288">
            <w:pPr>
              <w:keepNext/>
              <w:widowControl/>
              <w:jc w:val="center"/>
              <w:rPr>
                <w:rFonts w:ascii="Arial Narrow" w:hAnsi="Arial Narrow"/>
                <w:sz w:val="20"/>
                <w:lang w:val="en-US"/>
              </w:rPr>
            </w:pPr>
            <w:r>
              <w:rPr>
                <w:rFonts w:ascii="Arial Narrow" w:hAnsi="Arial Narrow"/>
                <w:sz w:val="20"/>
                <w:lang w:val="en-US"/>
              </w:rPr>
              <w:t xml:space="preserve">High, </w:t>
            </w:r>
            <w:r w:rsidRPr="00165CBB">
              <w:rPr>
                <w:rFonts w:ascii="Arial Narrow" w:hAnsi="Arial Narrow"/>
                <w:sz w:val="20"/>
              </w:rPr>
              <w:t>favours</w:t>
            </w:r>
            <w:r>
              <w:rPr>
                <w:rFonts w:ascii="Arial Narrow" w:hAnsi="Arial Narrow"/>
                <w:sz w:val="20"/>
                <w:lang w:val="en-US"/>
              </w:rPr>
              <w:t xml:space="preserve"> riociguat</w:t>
            </w:r>
          </w:p>
        </w:tc>
      </w:tr>
      <w:tr w:rsidR="002F36A9" w:rsidRPr="00E2771E" w:rsidTr="004A1EE3">
        <w:tc>
          <w:tcPr>
            <w:tcW w:w="765" w:type="pct"/>
            <w:shd w:val="clear" w:color="auto" w:fill="auto"/>
            <w:vAlign w:val="center"/>
          </w:tcPr>
          <w:p w:rsidR="002F36A9" w:rsidRPr="00E2771E" w:rsidRDefault="002F36A9" w:rsidP="000A0288">
            <w:pPr>
              <w:keepNext/>
              <w:widowControl/>
              <w:jc w:val="left"/>
              <w:rPr>
                <w:rFonts w:ascii="Arial Narrow" w:hAnsi="Arial Narrow"/>
                <w:sz w:val="20"/>
                <w:lang w:val="en-US"/>
              </w:rPr>
            </w:pPr>
            <w:r>
              <w:rPr>
                <w:rFonts w:ascii="Arial Narrow" w:hAnsi="Arial Narrow"/>
                <w:sz w:val="20"/>
                <w:lang w:val="en-US"/>
              </w:rPr>
              <w:t>WHO FCTP</w:t>
            </w:r>
          </w:p>
        </w:tc>
        <w:tc>
          <w:tcPr>
            <w:tcW w:w="2463" w:type="pct"/>
            <w:shd w:val="clear" w:color="auto" w:fill="auto"/>
            <w:vAlign w:val="center"/>
          </w:tcPr>
          <w:p w:rsidR="002F36A9" w:rsidRPr="00E2771E" w:rsidRDefault="002F36A9" w:rsidP="000A0288">
            <w:pPr>
              <w:keepNext/>
              <w:widowControl/>
              <w:jc w:val="center"/>
              <w:rPr>
                <w:rFonts w:ascii="Arial Narrow" w:hAnsi="Arial Narrow"/>
                <w:sz w:val="20"/>
                <w:lang w:val="en-US"/>
              </w:rPr>
            </w:pPr>
            <w:r>
              <w:rPr>
                <w:rFonts w:ascii="Arial Narrow" w:hAnsi="Arial Narrow"/>
                <w:sz w:val="20"/>
                <w:lang w:val="en-US"/>
              </w:rPr>
              <w:t>Log normal extrapolation of data from CHEST-1 and CHEST-2 to 15 years</w:t>
            </w:r>
          </w:p>
        </w:tc>
        <w:tc>
          <w:tcPr>
            <w:tcW w:w="1772" w:type="pct"/>
            <w:shd w:val="clear" w:color="auto" w:fill="auto"/>
            <w:vAlign w:val="center"/>
          </w:tcPr>
          <w:p w:rsidR="002F36A9" w:rsidRPr="00E2771E" w:rsidRDefault="002F36A9" w:rsidP="000A0288">
            <w:pPr>
              <w:keepNext/>
              <w:widowControl/>
              <w:jc w:val="center"/>
              <w:rPr>
                <w:rFonts w:ascii="Arial Narrow" w:hAnsi="Arial Narrow"/>
                <w:sz w:val="20"/>
                <w:lang w:val="en-US"/>
              </w:rPr>
            </w:pPr>
            <w:r>
              <w:rPr>
                <w:rFonts w:ascii="Arial Narrow" w:hAnsi="Arial Narrow"/>
                <w:sz w:val="20"/>
                <w:lang w:val="en-US"/>
              </w:rPr>
              <w:t xml:space="preserve">High, </w:t>
            </w:r>
            <w:r w:rsidRPr="00165CBB">
              <w:rPr>
                <w:rFonts w:ascii="Arial Narrow" w:hAnsi="Arial Narrow"/>
                <w:sz w:val="20"/>
              </w:rPr>
              <w:t>favours</w:t>
            </w:r>
            <w:r>
              <w:rPr>
                <w:rFonts w:ascii="Arial Narrow" w:hAnsi="Arial Narrow"/>
                <w:sz w:val="20"/>
                <w:lang w:val="en-US"/>
              </w:rPr>
              <w:t xml:space="preserve"> riociguat</w:t>
            </w:r>
          </w:p>
        </w:tc>
      </w:tr>
      <w:tr w:rsidR="002F36A9" w:rsidRPr="00E2771E" w:rsidTr="004A1EE3">
        <w:tc>
          <w:tcPr>
            <w:tcW w:w="765" w:type="pct"/>
            <w:shd w:val="clear" w:color="auto" w:fill="auto"/>
            <w:vAlign w:val="center"/>
          </w:tcPr>
          <w:p w:rsidR="002F36A9" w:rsidRPr="00E2771E" w:rsidRDefault="002F36A9" w:rsidP="000A0288">
            <w:pPr>
              <w:keepNext/>
              <w:widowControl/>
              <w:jc w:val="left"/>
              <w:rPr>
                <w:rFonts w:ascii="Arial Narrow" w:hAnsi="Arial Narrow"/>
                <w:sz w:val="20"/>
                <w:lang w:val="en-US"/>
              </w:rPr>
            </w:pPr>
            <w:r w:rsidRPr="00E2771E">
              <w:rPr>
                <w:rFonts w:ascii="Arial Narrow" w:hAnsi="Arial Narrow"/>
                <w:sz w:val="20"/>
                <w:lang w:val="en-US"/>
              </w:rPr>
              <w:t>Time horizon</w:t>
            </w:r>
          </w:p>
        </w:tc>
        <w:tc>
          <w:tcPr>
            <w:tcW w:w="2463" w:type="pct"/>
            <w:shd w:val="clear" w:color="auto" w:fill="auto"/>
            <w:vAlign w:val="center"/>
          </w:tcPr>
          <w:p w:rsidR="002F36A9" w:rsidRPr="00E2771E" w:rsidRDefault="002F36A9" w:rsidP="000A0288">
            <w:pPr>
              <w:keepNext/>
              <w:widowControl/>
              <w:jc w:val="center"/>
              <w:rPr>
                <w:rFonts w:ascii="Arial Narrow" w:hAnsi="Arial Narrow"/>
                <w:sz w:val="20"/>
                <w:lang w:val="en-US"/>
              </w:rPr>
            </w:pPr>
            <w:r>
              <w:rPr>
                <w:rFonts w:ascii="Arial Narrow" w:hAnsi="Arial Narrow"/>
                <w:sz w:val="20"/>
                <w:lang w:val="en-US"/>
              </w:rPr>
              <w:t>1</w:t>
            </w:r>
            <w:r w:rsidRPr="00E2771E">
              <w:rPr>
                <w:rFonts w:ascii="Arial Narrow" w:hAnsi="Arial Narrow"/>
                <w:sz w:val="20"/>
                <w:lang w:val="en-US"/>
              </w:rPr>
              <w:t>5 years</w:t>
            </w:r>
          </w:p>
        </w:tc>
        <w:tc>
          <w:tcPr>
            <w:tcW w:w="1772" w:type="pct"/>
            <w:shd w:val="clear" w:color="auto" w:fill="auto"/>
            <w:vAlign w:val="center"/>
          </w:tcPr>
          <w:p w:rsidR="002F36A9" w:rsidRPr="00E2771E" w:rsidRDefault="002F36A9" w:rsidP="000A0288">
            <w:pPr>
              <w:keepNext/>
              <w:widowControl/>
              <w:jc w:val="center"/>
              <w:rPr>
                <w:rFonts w:ascii="Arial Narrow" w:hAnsi="Arial Narrow"/>
                <w:sz w:val="20"/>
                <w:lang w:val="en-US"/>
              </w:rPr>
            </w:pPr>
            <w:r>
              <w:rPr>
                <w:rFonts w:ascii="Arial Narrow" w:hAnsi="Arial Narrow"/>
                <w:sz w:val="20"/>
                <w:lang w:val="en-US"/>
              </w:rPr>
              <w:t xml:space="preserve">Moderate, </w:t>
            </w:r>
            <w:r w:rsidRPr="00165CBB">
              <w:rPr>
                <w:rFonts w:ascii="Arial Narrow" w:hAnsi="Arial Narrow"/>
                <w:sz w:val="20"/>
              </w:rPr>
              <w:t>favours</w:t>
            </w:r>
            <w:r>
              <w:rPr>
                <w:rFonts w:ascii="Arial Narrow" w:hAnsi="Arial Narrow"/>
                <w:sz w:val="20"/>
                <w:lang w:val="en-US"/>
              </w:rPr>
              <w:t xml:space="preserve"> riociguat</w:t>
            </w:r>
          </w:p>
        </w:tc>
      </w:tr>
    </w:tbl>
    <w:p w:rsidR="002F36A9" w:rsidRPr="00D110BD" w:rsidRDefault="002F36A9" w:rsidP="000A0288">
      <w:pPr>
        <w:pStyle w:val="TableFooter"/>
        <w:keepNext/>
        <w:widowControl/>
        <w:ind w:left="709" w:firstLine="11"/>
      </w:pPr>
      <w:r>
        <w:t>Abbreviation:</w:t>
      </w:r>
      <w:r w:rsidR="001D5723">
        <w:t xml:space="preserve"> CTEPH = </w:t>
      </w:r>
      <w:r w:rsidR="001D5723" w:rsidRPr="001D5723">
        <w:t>chronic thromboembolic pulmonary hypertension</w:t>
      </w:r>
      <w:r w:rsidR="001D5723">
        <w:t>;</w:t>
      </w:r>
      <w:r>
        <w:t xml:space="preserve"> FCTP = functional class transition probability</w:t>
      </w:r>
      <w:r w:rsidR="001D5723">
        <w:t>; HR</w:t>
      </w:r>
      <w:r w:rsidR="006E2CED">
        <w:t> </w:t>
      </w:r>
      <w:r w:rsidR="001D5723">
        <w:t>=</w:t>
      </w:r>
      <w:r w:rsidR="006E2CED">
        <w:t> </w:t>
      </w:r>
      <w:r w:rsidR="001D5723">
        <w:t>hazard ratio</w:t>
      </w:r>
      <w:r>
        <w:t>.</w:t>
      </w:r>
      <w:r w:rsidR="006B5090">
        <w:t xml:space="preserve"> </w:t>
      </w:r>
      <w:r w:rsidRPr="00D110BD">
        <w:t>Source: compiled during the evaluation</w:t>
      </w:r>
      <w:r w:rsidR="001D5723">
        <w:t>.</w:t>
      </w:r>
    </w:p>
    <w:p w:rsidR="002F36A9" w:rsidRPr="00275C5A" w:rsidRDefault="002F36A9" w:rsidP="000A0288">
      <w:pPr>
        <w:widowControl/>
        <w:rPr>
          <w:szCs w:val="22"/>
        </w:rPr>
      </w:pPr>
    </w:p>
    <w:p w:rsidR="002D66DF" w:rsidRPr="00E66A98" w:rsidRDefault="002D66DF" w:rsidP="000A0288">
      <w:pPr>
        <w:pStyle w:val="ListParagraph"/>
        <w:widowControl/>
        <w:numPr>
          <w:ilvl w:val="1"/>
          <w:numId w:val="2"/>
        </w:numPr>
        <w:rPr>
          <w:szCs w:val="22"/>
        </w:rPr>
      </w:pPr>
      <w:r w:rsidRPr="00E66A98">
        <w:rPr>
          <w:szCs w:val="22"/>
        </w:rPr>
        <w:t xml:space="preserve">From a conceptual standpoint, the economic model </w:t>
      </w:r>
      <w:r w:rsidR="008F0AE2" w:rsidRPr="00E66A98">
        <w:rPr>
          <w:szCs w:val="22"/>
        </w:rPr>
        <w:t xml:space="preserve">was </w:t>
      </w:r>
      <w:r w:rsidRPr="00E66A98">
        <w:rPr>
          <w:szCs w:val="22"/>
        </w:rPr>
        <w:t xml:space="preserve">structured on the basis of the relationship between WHO </w:t>
      </w:r>
      <w:r w:rsidR="00BA004B">
        <w:rPr>
          <w:szCs w:val="22"/>
        </w:rPr>
        <w:t>functional class</w:t>
      </w:r>
      <w:r w:rsidR="00BA004B" w:rsidRPr="00E66A98">
        <w:rPr>
          <w:szCs w:val="22"/>
        </w:rPr>
        <w:t xml:space="preserve"> </w:t>
      </w:r>
      <w:r w:rsidRPr="00E66A98">
        <w:rPr>
          <w:szCs w:val="22"/>
        </w:rPr>
        <w:t>and survival (for</w:t>
      </w:r>
      <w:r w:rsidR="002E057D">
        <w:rPr>
          <w:szCs w:val="22"/>
        </w:rPr>
        <w:t xml:space="preserve"> which the presented rationale wa</w:t>
      </w:r>
      <w:r w:rsidRPr="00E66A98">
        <w:rPr>
          <w:szCs w:val="22"/>
        </w:rPr>
        <w:t xml:space="preserve">s limited). As the relationship between these factors could not be definitively quantified, this </w:t>
      </w:r>
      <w:r w:rsidR="008F0AE2" w:rsidRPr="00E66A98">
        <w:rPr>
          <w:szCs w:val="22"/>
        </w:rPr>
        <w:t>led</w:t>
      </w:r>
      <w:r w:rsidRPr="00E66A98">
        <w:rPr>
          <w:szCs w:val="22"/>
        </w:rPr>
        <w:t xml:space="preserve"> to an underlying disconnect in the economic model. The PSCR argued that the analysis is consistent with the published literature and had a high degree of internal validity becau</w:t>
      </w:r>
      <w:r w:rsidR="006E61E0">
        <w:rPr>
          <w:szCs w:val="22"/>
        </w:rPr>
        <w:t xml:space="preserve">se ‘survival was estimated by </w:t>
      </w:r>
      <w:r w:rsidRPr="00E66A98">
        <w:rPr>
          <w:szCs w:val="22"/>
        </w:rPr>
        <w:t xml:space="preserve">fitting </w:t>
      </w:r>
      <w:r w:rsidR="006E61E0">
        <w:rPr>
          <w:szCs w:val="22"/>
        </w:rPr>
        <w:t xml:space="preserve">a </w:t>
      </w:r>
      <w:r w:rsidRPr="00E66A98">
        <w:rPr>
          <w:szCs w:val="22"/>
        </w:rPr>
        <w:t xml:space="preserve">parametric function to the observed survival of patients in each WHO </w:t>
      </w:r>
      <w:r w:rsidR="00BA004B">
        <w:rPr>
          <w:szCs w:val="22"/>
        </w:rPr>
        <w:t xml:space="preserve">functional </w:t>
      </w:r>
      <w:proofErr w:type="gramStart"/>
      <w:r w:rsidR="00BA004B">
        <w:rPr>
          <w:szCs w:val="22"/>
        </w:rPr>
        <w:t>class</w:t>
      </w:r>
      <w:r w:rsidRPr="00E66A98">
        <w:rPr>
          <w:szCs w:val="22"/>
        </w:rPr>
        <w:t>’</w:t>
      </w:r>
      <w:proofErr w:type="gramEnd"/>
      <w:r w:rsidRPr="00E66A98">
        <w:rPr>
          <w:szCs w:val="22"/>
        </w:rPr>
        <w:t xml:space="preserve">. </w:t>
      </w:r>
      <w:r w:rsidR="00946886" w:rsidRPr="00E66A98">
        <w:t xml:space="preserve">The ESC considered that it was not appropriate to apply survival estimates based on improvements in WHO </w:t>
      </w:r>
      <w:r w:rsidR="00BA004B">
        <w:rPr>
          <w:szCs w:val="22"/>
        </w:rPr>
        <w:t>functional class</w:t>
      </w:r>
      <w:r w:rsidR="00946886" w:rsidRPr="00E66A98">
        <w:t>.</w:t>
      </w:r>
    </w:p>
    <w:p w:rsidR="002D66DF" w:rsidRPr="002D66DF" w:rsidRDefault="002D66DF" w:rsidP="000A0288">
      <w:pPr>
        <w:pStyle w:val="ListParagraph"/>
        <w:widowControl/>
        <w:rPr>
          <w:szCs w:val="22"/>
        </w:rPr>
      </w:pPr>
    </w:p>
    <w:p w:rsidR="002F36A9" w:rsidRPr="00E66A98" w:rsidRDefault="00060FA3" w:rsidP="000A0288">
      <w:pPr>
        <w:pStyle w:val="ListParagraph"/>
        <w:widowControl/>
        <w:numPr>
          <w:ilvl w:val="1"/>
          <w:numId w:val="2"/>
        </w:numPr>
        <w:rPr>
          <w:szCs w:val="22"/>
        </w:rPr>
      </w:pPr>
      <w:r w:rsidRPr="00E66A98">
        <w:rPr>
          <w:szCs w:val="22"/>
        </w:rPr>
        <w:t>T</w:t>
      </w:r>
      <w:r w:rsidR="002D66DF" w:rsidRPr="00E66A98">
        <w:rPr>
          <w:szCs w:val="22"/>
        </w:rPr>
        <w:t>he ESC noted that t</w:t>
      </w:r>
      <w:r w:rsidR="002F36A9" w:rsidRPr="00E66A98">
        <w:rPr>
          <w:szCs w:val="22"/>
        </w:rPr>
        <w:t xml:space="preserve">he reliability of the economic model was compromised by the following </w:t>
      </w:r>
      <w:r w:rsidRPr="00E66A98">
        <w:rPr>
          <w:szCs w:val="22"/>
        </w:rPr>
        <w:t xml:space="preserve">additional </w:t>
      </w:r>
      <w:r w:rsidR="002F36A9" w:rsidRPr="00E66A98">
        <w:rPr>
          <w:szCs w:val="22"/>
        </w:rPr>
        <w:t>factors:</w:t>
      </w:r>
    </w:p>
    <w:p w:rsidR="002F36A9" w:rsidRPr="00A934CC" w:rsidRDefault="002F36A9" w:rsidP="000A0288">
      <w:pPr>
        <w:pStyle w:val="ListParagraph"/>
        <w:widowControl/>
        <w:numPr>
          <w:ilvl w:val="0"/>
          <w:numId w:val="1"/>
        </w:numPr>
        <w:ind w:left="993" w:hanging="284"/>
        <w:rPr>
          <w:szCs w:val="22"/>
        </w:rPr>
      </w:pPr>
      <w:r w:rsidRPr="00E66A98">
        <w:rPr>
          <w:szCs w:val="22"/>
        </w:rPr>
        <w:t>Persistence of treatment benefits for riociguat throughout the 15 year timeframe of the economic model. Although the CHEST-2 extension study provided a maximum 4.8 years of follow-up for riociguat treated patients, there was inadequate trial based evidence (16 weeks) to reliably calculate placebo transition probabilities for WHO functional class.</w:t>
      </w:r>
      <w:r w:rsidR="006B5090" w:rsidRPr="00E66A98">
        <w:rPr>
          <w:szCs w:val="22"/>
        </w:rPr>
        <w:t xml:space="preserve"> </w:t>
      </w:r>
      <w:r w:rsidRPr="00E66A98">
        <w:rPr>
          <w:szCs w:val="22"/>
        </w:rPr>
        <w:t>In addition, an observational dataset was used to calculate placebo survival (refer below).</w:t>
      </w:r>
      <w:r w:rsidR="006B5090" w:rsidRPr="00E66A98">
        <w:rPr>
          <w:szCs w:val="22"/>
        </w:rPr>
        <w:t xml:space="preserve"> </w:t>
      </w:r>
      <w:r w:rsidRPr="00E66A98">
        <w:rPr>
          <w:szCs w:val="22"/>
        </w:rPr>
        <w:t xml:space="preserve">A more conservative approach would have been </w:t>
      </w:r>
      <w:r w:rsidRPr="00E66A98">
        <w:rPr>
          <w:szCs w:val="22"/>
        </w:rPr>
        <w:lastRenderedPageBreak/>
        <w:t xml:space="preserve">the use of placebo based transition probabilities following the median duration of </w:t>
      </w:r>
      <w:r w:rsidRPr="00A934CC">
        <w:rPr>
          <w:szCs w:val="22"/>
        </w:rPr>
        <w:t>treatment for the March 2014 cut-off from CHEST-2.</w:t>
      </w:r>
      <w:r w:rsidR="006B5090" w:rsidRPr="00A934CC">
        <w:rPr>
          <w:szCs w:val="22"/>
        </w:rPr>
        <w:t xml:space="preserve"> </w:t>
      </w:r>
    </w:p>
    <w:p w:rsidR="001061B7" w:rsidRPr="00A934CC" w:rsidRDefault="001061B7" w:rsidP="000A0288">
      <w:pPr>
        <w:pStyle w:val="ListParagraph"/>
        <w:widowControl/>
        <w:numPr>
          <w:ilvl w:val="0"/>
          <w:numId w:val="18"/>
        </w:numPr>
        <w:ind w:left="1276" w:hanging="283"/>
      </w:pPr>
      <w:r w:rsidRPr="00A934CC">
        <w:t>The pre-PBAC response argued that the persistence of treatment related benefits for riociguat over the 15 year model time frame was appropriate and in line with the requested restriction which includes strict continuation rules based on those currently implemented for PAH.</w:t>
      </w:r>
    </w:p>
    <w:p w:rsidR="00775B57" w:rsidRPr="00E66A98" w:rsidRDefault="002F36A9" w:rsidP="000A0288">
      <w:pPr>
        <w:pStyle w:val="ListParagraph"/>
        <w:widowControl/>
        <w:numPr>
          <w:ilvl w:val="0"/>
          <w:numId w:val="1"/>
        </w:numPr>
        <w:ind w:left="993" w:hanging="284"/>
        <w:rPr>
          <w:szCs w:val="22"/>
        </w:rPr>
      </w:pPr>
      <w:r w:rsidRPr="00E66A98">
        <w:rPr>
          <w:szCs w:val="22"/>
        </w:rPr>
        <w:t xml:space="preserve">Placebo survival estimates were based on a non-surgical cohort from </w:t>
      </w:r>
      <w:proofErr w:type="spellStart"/>
      <w:r w:rsidRPr="00E66A98">
        <w:rPr>
          <w:szCs w:val="22"/>
        </w:rPr>
        <w:t>Condliffe</w:t>
      </w:r>
      <w:proofErr w:type="spellEnd"/>
      <w:r w:rsidRPr="00E66A98">
        <w:rPr>
          <w:szCs w:val="22"/>
        </w:rPr>
        <w:t xml:space="preserve"> 2008.</w:t>
      </w:r>
      <w:r w:rsidR="006B5090" w:rsidRPr="00E66A98">
        <w:rPr>
          <w:szCs w:val="22"/>
        </w:rPr>
        <w:t xml:space="preserve"> </w:t>
      </w:r>
      <w:r w:rsidRPr="00E66A98">
        <w:rPr>
          <w:szCs w:val="22"/>
        </w:rPr>
        <w:t xml:space="preserve">Given the </w:t>
      </w:r>
      <w:r w:rsidR="00A3542B" w:rsidRPr="00E66A98">
        <w:rPr>
          <w:szCs w:val="22"/>
        </w:rPr>
        <w:t xml:space="preserve">relatively lower </w:t>
      </w:r>
      <w:r w:rsidRPr="00E66A98">
        <w:rPr>
          <w:szCs w:val="22"/>
        </w:rPr>
        <w:t xml:space="preserve">probability of mortality in </w:t>
      </w:r>
      <w:r w:rsidR="00B76B12" w:rsidRPr="00E66A98">
        <w:rPr>
          <w:szCs w:val="22"/>
        </w:rPr>
        <w:t xml:space="preserve">surgically treated </w:t>
      </w:r>
      <w:r w:rsidR="000E17A0" w:rsidRPr="00E66A98">
        <w:rPr>
          <w:szCs w:val="22"/>
        </w:rPr>
        <w:t>patients</w:t>
      </w:r>
      <w:r w:rsidR="00A3542B" w:rsidRPr="00E66A98">
        <w:rPr>
          <w:szCs w:val="22"/>
        </w:rPr>
        <w:t>, compared with the non-surgical cohort</w:t>
      </w:r>
      <w:r w:rsidR="008E39BC" w:rsidRPr="00E66A98">
        <w:rPr>
          <w:szCs w:val="22"/>
        </w:rPr>
        <w:t xml:space="preserve"> (see Figure 1)</w:t>
      </w:r>
      <w:r w:rsidR="00A3542B" w:rsidRPr="00E66A98">
        <w:rPr>
          <w:szCs w:val="22"/>
        </w:rPr>
        <w:t>,</w:t>
      </w:r>
      <w:r w:rsidRPr="00E66A98">
        <w:rPr>
          <w:szCs w:val="22"/>
        </w:rPr>
        <w:t xml:space="preserve"> the exclusion of </w:t>
      </w:r>
      <w:r w:rsidR="00153419" w:rsidRPr="00E66A98">
        <w:rPr>
          <w:szCs w:val="22"/>
        </w:rPr>
        <w:t>persistent CTEPH patients</w:t>
      </w:r>
      <w:r w:rsidRPr="00E66A98">
        <w:rPr>
          <w:szCs w:val="22"/>
        </w:rPr>
        <w:t xml:space="preserve"> </w:t>
      </w:r>
      <w:r w:rsidR="00B76B12" w:rsidRPr="00E66A98">
        <w:rPr>
          <w:szCs w:val="22"/>
        </w:rPr>
        <w:t xml:space="preserve">may have </w:t>
      </w:r>
      <w:r w:rsidR="008E39BC" w:rsidRPr="00E66A98">
        <w:rPr>
          <w:szCs w:val="22"/>
        </w:rPr>
        <w:t>resulted in</w:t>
      </w:r>
      <w:r w:rsidRPr="00E66A98">
        <w:rPr>
          <w:szCs w:val="22"/>
        </w:rPr>
        <w:t xml:space="preserve"> the underestimation of placebo survival.</w:t>
      </w:r>
      <w:r w:rsidR="006B5090" w:rsidRPr="00E66A98">
        <w:rPr>
          <w:szCs w:val="22"/>
        </w:rPr>
        <w:t xml:space="preserve"> </w:t>
      </w:r>
      <w:r w:rsidR="00775B57" w:rsidRPr="00E66A98">
        <w:t xml:space="preserve">Incremental survival </w:t>
      </w:r>
      <w:r w:rsidR="00B86D13" w:rsidRPr="00E66A98">
        <w:t xml:space="preserve">in the model provided by the submission </w:t>
      </w:r>
      <w:r w:rsidR="00775B57" w:rsidRPr="00E66A98">
        <w:t>was therefore possibly overestimated.</w:t>
      </w:r>
    </w:p>
    <w:p w:rsidR="00775B57" w:rsidRPr="00E66A98" w:rsidRDefault="00775B57" w:rsidP="000A0288">
      <w:pPr>
        <w:pStyle w:val="ListParagraph"/>
        <w:widowControl/>
        <w:numPr>
          <w:ilvl w:val="0"/>
          <w:numId w:val="18"/>
        </w:numPr>
        <w:ind w:left="1276" w:hanging="283"/>
      </w:pPr>
      <w:r w:rsidRPr="00E66A98">
        <w:t xml:space="preserve">The PSCR acknowledged concerns regarding the use of the non-surgical cohort from </w:t>
      </w:r>
      <w:proofErr w:type="spellStart"/>
      <w:r w:rsidRPr="00E66A98">
        <w:t>Condliffe</w:t>
      </w:r>
      <w:proofErr w:type="spellEnd"/>
      <w:r w:rsidRPr="00E66A98">
        <w:t xml:space="preserve"> 2008. The PSCR presented </w:t>
      </w:r>
      <w:r w:rsidR="003B1FD6" w:rsidRPr="00E66A98">
        <w:t xml:space="preserve">an </w:t>
      </w:r>
      <w:r w:rsidRPr="00E66A98">
        <w:t>additional analysis of survival from the surgically treated cohort which assumed that results from the surgical cohort are representative of the survival of patients with persistent CTEPH following PEA</w:t>
      </w:r>
      <w:r w:rsidR="003C45A9" w:rsidRPr="00E66A98">
        <w:t xml:space="preserve"> (</w:t>
      </w:r>
      <w:r w:rsidR="003C45A9" w:rsidRPr="00A934CC">
        <w:t xml:space="preserve">see </w:t>
      </w:r>
      <w:r w:rsidR="002A2219" w:rsidRPr="00A934CC">
        <w:t>paragraph 6.28</w:t>
      </w:r>
      <w:r w:rsidR="003C45A9" w:rsidRPr="00A934CC">
        <w:t>)</w:t>
      </w:r>
      <w:r w:rsidRPr="00A934CC">
        <w:t>.</w:t>
      </w:r>
    </w:p>
    <w:p w:rsidR="002F36A9" w:rsidRPr="00E66A98" w:rsidRDefault="002F36A9" w:rsidP="000A0288">
      <w:pPr>
        <w:pStyle w:val="ListParagraph"/>
        <w:widowControl/>
        <w:numPr>
          <w:ilvl w:val="0"/>
          <w:numId w:val="1"/>
        </w:numPr>
        <w:ind w:left="993" w:hanging="284"/>
        <w:rPr>
          <w:szCs w:val="22"/>
        </w:rPr>
      </w:pPr>
      <w:r w:rsidRPr="00E66A98">
        <w:rPr>
          <w:szCs w:val="22"/>
        </w:rPr>
        <w:t>Applicability of the modelled treatment effect in the PBS population: reasons for inoperability were not reported in CHEST-1.</w:t>
      </w:r>
      <w:r w:rsidR="006B5090" w:rsidRPr="00E66A98">
        <w:rPr>
          <w:szCs w:val="22"/>
        </w:rPr>
        <w:t xml:space="preserve"> </w:t>
      </w:r>
      <w:r w:rsidRPr="00E66A98">
        <w:rPr>
          <w:szCs w:val="22"/>
        </w:rPr>
        <w:t>Given the subjectivity associated with the assessment of operability in CTEPH and the considerable differences in survival across non-operated subgroups (</w:t>
      </w:r>
      <w:proofErr w:type="spellStart"/>
      <w:r w:rsidRPr="00E66A98">
        <w:rPr>
          <w:szCs w:val="22"/>
        </w:rPr>
        <w:t>Hurdman</w:t>
      </w:r>
      <w:proofErr w:type="spellEnd"/>
      <w:r w:rsidRPr="00E66A98">
        <w:rPr>
          <w:szCs w:val="22"/>
        </w:rPr>
        <w:t xml:space="preserve"> 2012), there </w:t>
      </w:r>
      <w:r w:rsidR="000E17A0" w:rsidRPr="00E66A98">
        <w:rPr>
          <w:szCs w:val="22"/>
        </w:rPr>
        <w:t xml:space="preserve">was </w:t>
      </w:r>
      <w:r w:rsidRPr="00E66A98">
        <w:rPr>
          <w:szCs w:val="22"/>
        </w:rPr>
        <w:t>concern regarding the certainty of the treatment effect estimated in the economic model.</w:t>
      </w:r>
      <w:r w:rsidR="006B5090" w:rsidRPr="00E66A98">
        <w:rPr>
          <w:szCs w:val="22"/>
        </w:rPr>
        <w:t xml:space="preserve"> </w:t>
      </w:r>
    </w:p>
    <w:p w:rsidR="003800AD" w:rsidRPr="00E66A98" w:rsidRDefault="002D66DF" w:rsidP="000A0288">
      <w:pPr>
        <w:pStyle w:val="ListParagraph"/>
        <w:widowControl/>
        <w:numPr>
          <w:ilvl w:val="0"/>
          <w:numId w:val="18"/>
        </w:numPr>
        <w:ind w:left="1276" w:hanging="283"/>
        <w:rPr>
          <w:szCs w:val="22"/>
        </w:rPr>
      </w:pPr>
      <w:r w:rsidRPr="00E66A98">
        <w:rPr>
          <w:szCs w:val="22"/>
        </w:rPr>
        <w:t>The PSCR argued that similarity in the proportion of inoperable and operable CTEPH in the CHEST-1 trial and the Australian population suggested the applicability of the operability assessment used in the trial setting. Furthermore, the PSCR claimed that it is unlikely that the surgical expertise of Australian surgeons would be significantly worse as training often occurs in European/US hospital centres.</w:t>
      </w:r>
      <w:r w:rsidR="003800AD" w:rsidRPr="00E66A98">
        <w:t xml:space="preserve"> Acknowledging the complexity involved in the assessment of operability in CTEPH, the PSCR</w:t>
      </w:r>
      <w:r w:rsidRPr="00E66A98">
        <w:t xml:space="preserve"> </w:t>
      </w:r>
      <w:r w:rsidR="003800AD" w:rsidRPr="00E66A98">
        <w:t>proposed that adjudication by a local expert PEA centre be considered as a potential criterion within the restriction.</w:t>
      </w:r>
    </w:p>
    <w:p w:rsidR="00A614D2" w:rsidRPr="00301710" w:rsidRDefault="00A614D2" w:rsidP="000A0288">
      <w:pPr>
        <w:pStyle w:val="ListParagraph"/>
        <w:widowControl/>
        <w:numPr>
          <w:ilvl w:val="0"/>
          <w:numId w:val="1"/>
        </w:numPr>
        <w:ind w:left="993" w:hanging="284"/>
        <w:rPr>
          <w:szCs w:val="22"/>
        </w:rPr>
      </w:pPr>
      <w:r w:rsidRPr="00301710">
        <w:rPr>
          <w:szCs w:val="22"/>
        </w:rPr>
        <w:t>Inadequate patient numbers (n≤10) to reliably determine transition probabilities and utilities associated with WHO functional class IV.</w:t>
      </w:r>
      <w:r w:rsidR="006B5090">
        <w:rPr>
          <w:szCs w:val="22"/>
        </w:rPr>
        <w:t xml:space="preserve"> </w:t>
      </w:r>
    </w:p>
    <w:p w:rsidR="002F36A9" w:rsidRDefault="002F36A9" w:rsidP="000A0288">
      <w:pPr>
        <w:widowControl/>
        <w:rPr>
          <w:szCs w:val="22"/>
        </w:rPr>
      </w:pPr>
    </w:p>
    <w:p w:rsidR="00F60D8F" w:rsidRPr="00F60D8F" w:rsidRDefault="00F60D8F" w:rsidP="000A0288">
      <w:pPr>
        <w:keepNext/>
        <w:widowControl/>
        <w:ind w:firstLine="709"/>
        <w:rPr>
          <w:rStyle w:val="CommentReference"/>
          <w:i/>
        </w:rPr>
      </w:pPr>
      <w:r w:rsidRPr="00F60D8F">
        <w:rPr>
          <w:rStyle w:val="CommentReference"/>
          <w:i/>
        </w:rPr>
        <w:t xml:space="preserve">Figure 1: Kaplan Meier estimates from </w:t>
      </w:r>
      <w:proofErr w:type="spellStart"/>
      <w:r w:rsidRPr="00F60D8F">
        <w:rPr>
          <w:rStyle w:val="CommentReference"/>
          <w:i/>
        </w:rPr>
        <w:t>Condliffe</w:t>
      </w:r>
      <w:proofErr w:type="spellEnd"/>
      <w:r w:rsidRPr="00F60D8F">
        <w:rPr>
          <w:rStyle w:val="CommentReference"/>
          <w:i/>
        </w:rPr>
        <w:t xml:space="preserve"> 2008</w:t>
      </w:r>
    </w:p>
    <w:tbl>
      <w:tblPr>
        <w:tblStyle w:val="TableGrid"/>
        <w:tblW w:w="4594" w:type="pct"/>
        <w:tblInd w:w="737" w:type="dxa"/>
        <w:tblCellMar>
          <w:left w:w="28" w:type="dxa"/>
          <w:right w:w="28" w:type="dxa"/>
        </w:tblCellMar>
        <w:tblLook w:val="04A0" w:firstRow="1" w:lastRow="0" w:firstColumn="1" w:lastColumn="0" w:noHBand="0" w:noVBand="1"/>
        <w:tblCaption w:val="&quot;&quot;"/>
      </w:tblPr>
      <w:tblGrid>
        <w:gridCol w:w="4172"/>
        <w:gridCol w:w="4173"/>
      </w:tblGrid>
      <w:tr w:rsidR="00F60D8F" w:rsidRPr="00F60D8F" w:rsidTr="00573874">
        <w:trPr>
          <w:trHeight w:val="233"/>
          <w:tblHeader/>
        </w:trPr>
        <w:tc>
          <w:tcPr>
            <w:tcW w:w="2500" w:type="pct"/>
            <w:vAlign w:val="center"/>
          </w:tcPr>
          <w:p w:rsidR="00F60D8F" w:rsidRPr="00F60D8F" w:rsidRDefault="00F60D8F" w:rsidP="000A0288">
            <w:pPr>
              <w:keepNext/>
              <w:widowControl/>
              <w:jc w:val="center"/>
              <w:rPr>
                <w:rFonts w:ascii="Arial Narrow" w:hAnsi="Arial Narrow"/>
                <w:b/>
                <w:i/>
                <w:sz w:val="20"/>
              </w:rPr>
            </w:pPr>
            <w:r w:rsidRPr="00F60D8F">
              <w:rPr>
                <w:rFonts w:ascii="Arial Narrow" w:hAnsi="Arial Narrow"/>
                <w:b/>
                <w:i/>
                <w:sz w:val="20"/>
              </w:rPr>
              <w:t>A: Surgically treated and non-surgical patients</w:t>
            </w:r>
          </w:p>
        </w:tc>
        <w:tc>
          <w:tcPr>
            <w:tcW w:w="2500" w:type="pct"/>
            <w:vAlign w:val="center"/>
          </w:tcPr>
          <w:p w:rsidR="00F60D8F" w:rsidRPr="00F60D8F" w:rsidRDefault="00F60D8F" w:rsidP="000A0288">
            <w:pPr>
              <w:keepNext/>
              <w:widowControl/>
              <w:jc w:val="center"/>
              <w:rPr>
                <w:rFonts w:ascii="Arial Narrow" w:hAnsi="Arial Narrow"/>
                <w:b/>
                <w:i/>
                <w:sz w:val="20"/>
              </w:rPr>
            </w:pPr>
            <w:r w:rsidRPr="00F60D8F">
              <w:rPr>
                <w:rFonts w:ascii="Arial Narrow" w:hAnsi="Arial Narrow"/>
                <w:b/>
                <w:i/>
                <w:sz w:val="20"/>
              </w:rPr>
              <w:t>B: Post PEA patients</w:t>
            </w:r>
          </w:p>
        </w:tc>
      </w:tr>
      <w:tr w:rsidR="00F60D8F" w:rsidRPr="001D6AED" w:rsidTr="00F60D8F">
        <w:trPr>
          <w:trHeight w:val="3122"/>
        </w:trPr>
        <w:tc>
          <w:tcPr>
            <w:tcW w:w="2500" w:type="pct"/>
            <w:vAlign w:val="center"/>
          </w:tcPr>
          <w:p w:rsidR="00F60D8F" w:rsidRPr="001D6AED" w:rsidRDefault="00F60D8F" w:rsidP="000A0288">
            <w:pPr>
              <w:widowControl/>
              <w:jc w:val="center"/>
              <w:rPr>
                <w:rFonts w:ascii="Arial Narrow" w:hAnsi="Arial Narrow"/>
                <w:sz w:val="20"/>
              </w:rPr>
            </w:pPr>
            <w:r>
              <w:rPr>
                <w:noProof/>
                <w:lang w:eastAsia="en-AU"/>
              </w:rPr>
              <w:drawing>
                <wp:inline distT="0" distB="0" distL="0" distR="0" wp14:anchorId="4E673526" wp14:editId="686EE1B2">
                  <wp:extent cx="2236986" cy="2028825"/>
                  <wp:effectExtent l="0" t="0" r="0" b="0"/>
                  <wp:docPr id="3" name="Picture 3" descr="This diagram presents the kaplan meier estimates of surgically treated versus non-surgical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45297" cy="2036363"/>
                          </a:xfrm>
                          <a:prstGeom prst="rect">
                            <a:avLst/>
                          </a:prstGeom>
                        </pic:spPr>
                      </pic:pic>
                    </a:graphicData>
                  </a:graphic>
                </wp:inline>
              </w:drawing>
            </w:r>
          </w:p>
        </w:tc>
        <w:tc>
          <w:tcPr>
            <w:tcW w:w="2500" w:type="pct"/>
            <w:vAlign w:val="center"/>
          </w:tcPr>
          <w:p w:rsidR="00F60D8F" w:rsidRPr="001D6AED" w:rsidRDefault="00F60D8F" w:rsidP="000A0288">
            <w:pPr>
              <w:widowControl/>
              <w:jc w:val="center"/>
              <w:rPr>
                <w:rFonts w:ascii="Arial Narrow" w:hAnsi="Arial Narrow"/>
                <w:sz w:val="20"/>
              </w:rPr>
            </w:pPr>
            <w:r>
              <w:rPr>
                <w:noProof/>
                <w:lang w:eastAsia="en-AU"/>
              </w:rPr>
              <w:drawing>
                <wp:inline distT="0" distB="0" distL="0" distR="0" wp14:anchorId="00D56347" wp14:editId="154E46B4">
                  <wp:extent cx="2247900" cy="1993812"/>
                  <wp:effectExtent l="0" t="0" r="0" b="6985"/>
                  <wp:docPr id="5" name="Picture 5" descr="This diagram presents the kaplan meier estimates of patients post PEA who have persistent pulmonary hypertension versus those without persistent pulmonary hyper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65579" cy="2009492"/>
                          </a:xfrm>
                          <a:prstGeom prst="rect">
                            <a:avLst/>
                          </a:prstGeom>
                        </pic:spPr>
                      </pic:pic>
                    </a:graphicData>
                  </a:graphic>
                </wp:inline>
              </w:drawing>
            </w:r>
          </w:p>
        </w:tc>
      </w:tr>
    </w:tbl>
    <w:p w:rsidR="00F60D8F" w:rsidRPr="00F60D8F" w:rsidRDefault="00F60D8F" w:rsidP="000A0288">
      <w:pPr>
        <w:pStyle w:val="TableFooter"/>
        <w:widowControl/>
        <w:ind w:firstLine="709"/>
        <w:rPr>
          <w:i/>
        </w:rPr>
      </w:pPr>
      <w:r w:rsidRPr="00F60D8F">
        <w:rPr>
          <w:i/>
        </w:rPr>
        <w:t xml:space="preserve">Abbreviations: PEA = pulmonary endarterectomy.  Source: Figure 1 and 5, </w:t>
      </w:r>
      <w:proofErr w:type="spellStart"/>
      <w:r w:rsidRPr="00F60D8F">
        <w:rPr>
          <w:i/>
        </w:rPr>
        <w:t>Condliffe</w:t>
      </w:r>
      <w:proofErr w:type="spellEnd"/>
      <w:r w:rsidRPr="00F60D8F">
        <w:rPr>
          <w:i/>
        </w:rPr>
        <w:t xml:space="preserve"> 2008</w:t>
      </w:r>
    </w:p>
    <w:p w:rsidR="00F60D8F" w:rsidRPr="00301710" w:rsidRDefault="00F60D8F" w:rsidP="000A0288">
      <w:pPr>
        <w:widowControl/>
        <w:rPr>
          <w:szCs w:val="22"/>
        </w:rPr>
      </w:pPr>
    </w:p>
    <w:p w:rsidR="002F36A9" w:rsidRPr="007958CA" w:rsidRDefault="002F36A9" w:rsidP="000A0288">
      <w:pPr>
        <w:pStyle w:val="ListParagraph"/>
        <w:widowControl/>
        <w:numPr>
          <w:ilvl w:val="1"/>
          <w:numId w:val="2"/>
        </w:numPr>
        <w:rPr>
          <w:szCs w:val="22"/>
        </w:rPr>
      </w:pPr>
      <w:r w:rsidRPr="00301710">
        <w:rPr>
          <w:szCs w:val="22"/>
        </w:rPr>
        <w:lastRenderedPageBreak/>
        <w:t xml:space="preserve">A minor error in the economic model was </w:t>
      </w:r>
      <w:r w:rsidR="00896039" w:rsidRPr="00301710">
        <w:rPr>
          <w:szCs w:val="22"/>
        </w:rPr>
        <w:t xml:space="preserve">identified </w:t>
      </w:r>
      <w:r w:rsidRPr="00301710">
        <w:rPr>
          <w:szCs w:val="22"/>
        </w:rPr>
        <w:t>during the evaluation.</w:t>
      </w:r>
      <w:r w:rsidR="006B5090">
        <w:rPr>
          <w:szCs w:val="22"/>
        </w:rPr>
        <w:t xml:space="preserve"> </w:t>
      </w:r>
      <w:r w:rsidR="003C5241" w:rsidRPr="00301710">
        <w:rPr>
          <w:szCs w:val="22"/>
        </w:rPr>
        <w:t>T</w:t>
      </w:r>
      <w:r w:rsidRPr="00301710">
        <w:rPr>
          <w:szCs w:val="22"/>
        </w:rPr>
        <w:t>he first cycle formula used to calculate the placebo transition probability for functional class II to III incorrectly selected the riociguat intercept and scale instead of the placebo variables.</w:t>
      </w:r>
      <w:r w:rsidR="006B5090">
        <w:rPr>
          <w:szCs w:val="22"/>
        </w:rPr>
        <w:t xml:space="preserve"> </w:t>
      </w:r>
      <w:r w:rsidRPr="00301710">
        <w:rPr>
          <w:szCs w:val="22"/>
        </w:rPr>
        <w:t xml:space="preserve">Results </w:t>
      </w:r>
      <w:r w:rsidR="003C5241" w:rsidRPr="00301710">
        <w:rPr>
          <w:szCs w:val="22"/>
        </w:rPr>
        <w:t>for</w:t>
      </w:r>
      <w:r w:rsidRPr="00301710">
        <w:rPr>
          <w:szCs w:val="22"/>
        </w:rPr>
        <w:t xml:space="preserve"> the economic evaluation</w:t>
      </w:r>
      <w:r w:rsidR="00B25471" w:rsidRPr="00301710">
        <w:rPr>
          <w:szCs w:val="22"/>
        </w:rPr>
        <w:t>,</w:t>
      </w:r>
      <w:r w:rsidRPr="00301710">
        <w:rPr>
          <w:szCs w:val="22"/>
        </w:rPr>
        <w:t xml:space="preserve"> </w:t>
      </w:r>
      <w:r w:rsidR="00896039" w:rsidRPr="00301710">
        <w:rPr>
          <w:szCs w:val="22"/>
        </w:rPr>
        <w:t>presented in the table below</w:t>
      </w:r>
      <w:r w:rsidR="00B25471" w:rsidRPr="00301710">
        <w:rPr>
          <w:szCs w:val="22"/>
        </w:rPr>
        <w:t>,</w:t>
      </w:r>
      <w:r w:rsidR="00896039" w:rsidRPr="00301710">
        <w:rPr>
          <w:szCs w:val="22"/>
        </w:rPr>
        <w:t xml:space="preserve"> </w:t>
      </w:r>
      <w:r w:rsidRPr="00301710">
        <w:rPr>
          <w:szCs w:val="22"/>
        </w:rPr>
        <w:t>incorporate a correction for this error.</w:t>
      </w:r>
      <w:r w:rsidR="006B5090">
        <w:rPr>
          <w:szCs w:val="22"/>
        </w:rPr>
        <w:t xml:space="preserve"> </w:t>
      </w:r>
    </w:p>
    <w:p w:rsidR="002F36A9" w:rsidRPr="004A1EE3" w:rsidRDefault="002F36A9" w:rsidP="000A0288">
      <w:pPr>
        <w:widowControl/>
        <w:rPr>
          <w:szCs w:val="22"/>
        </w:rPr>
      </w:pPr>
    </w:p>
    <w:p w:rsidR="002F36A9" w:rsidRDefault="002F36A9" w:rsidP="000A0288">
      <w:pPr>
        <w:keepNext/>
        <w:widowControl/>
        <w:ind w:firstLine="720"/>
        <w:rPr>
          <w:rStyle w:val="CommentReference"/>
        </w:rPr>
      </w:pPr>
      <w:r>
        <w:rPr>
          <w:rStyle w:val="CommentReference"/>
        </w:rPr>
        <w:t>Table 7</w:t>
      </w:r>
      <w:r w:rsidRPr="001222FC">
        <w:rPr>
          <w:rStyle w:val="CommentReference"/>
        </w:rPr>
        <w:t>: Results of the stepped economic evaluation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10"/>
        <w:gridCol w:w="1984"/>
        <w:gridCol w:w="1795"/>
        <w:gridCol w:w="2175"/>
      </w:tblGrid>
      <w:tr w:rsidR="002F36A9" w:rsidRPr="004E2ADC" w:rsidTr="002F36A9">
        <w:tc>
          <w:tcPr>
            <w:tcW w:w="1441" w:type="pct"/>
            <w:vAlign w:val="center"/>
          </w:tcPr>
          <w:p w:rsidR="002F36A9" w:rsidRPr="004E2ADC" w:rsidRDefault="002F36A9" w:rsidP="000A0288">
            <w:pPr>
              <w:keepNext/>
              <w:widowControl/>
              <w:jc w:val="left"/>
              <w:rPr>
                <w:rFonts w:ascii="Arial Narrow" w:hAnsi="Arial Narrow" w:cs="Times New Roman"/>
                <w:b/>
                <w:sz w:val="20"/>
              </w:rPr>
            </w:pPr>
            <w:r w:rsidRPr="004E2ADC">
              <w:rPr>
                <w:rFonts w:ascii="Arial Narrow" w:hAnsi="Arial Narrow" w:cs="Times New Roman"/>
                <w:b/>
                <w:sz w:val="20"/>
              </w:rPr>
              <w:t>Step and component</w:t>
            </w:r>
          </w:p>
        </w:tc>
        <w:tc>
          <w:tcPr>
            <w:tcW w:w="1186" w:type="pct"/>
            <w:vAlign w:val="center"/>
          </w:tcPr>
          <w:p w:rsidR="002F36A9" w:rsidRPr="004E2ADC" w:rsidRDefault="002F36A9" w:rsidP="000A0288">
            <w:pPr>
              <w:keepNext/>
              <w:widowControl/>
              <w:jc w:val="center"/>
              <w:rPr>
                <w:rFonts w:ascii="Arial Narrow" w:hAnsi="Arial Narrow" w:cs="Times New Roman"/>
                <w:b/>
                <w:sz w:val="20"/>
              </w:rPr>
            </w:pPr>
            <w:r>
              <w:rPr>
                <w:rFonts w:ascii="Arial Narrow" w:hAnsi="Arial Narrow" w:cs="Times New Roman"/>
                <w:b/>
                <w:sz w:val="20"/>
              </w:rPr>
              <w:t>Riociguat</w:t>
            </w:r>
          </w:p>
        </w:tc>
        <w:tc>
          <w:tcPr>
            <w:tcW w:w="1073" w:type="pct"/>
            <w:vAlign w:val="center"/>
          </w:tcPr>
          <w:p w:rsidR="002F36A9" w:rsidRPr="004E2ADC" w:rsidRDefault="002F36A9" w:rsidP="000A0288">
            <w:pPr>
              <w:keepNext/>
              <w:widowControl/>
              <w:jc w:val="center"/>
              <w:rPr>
                <w:rFonts w:ascii="Arial Narrow" w:hAnsi="Arial Narrow" w:cs="Times New Roman"/>
                <w:b/>
                <w:sz w:val="20"/>
              </w:rPr>
            </w:pPr>
            <w:r>
              <w:rPr>
                <w:rFonts w:ascii="Arial Narrow" w:hAnsi="Arial Narrow" w:cs="Times New Roman"/>
                <w:b/>
                <w:sz w:val="20"/>
              </w:rPr>
              <w:t>Placebo</w:t>
            </w:r>
          </w:p>
        </w:tc>
        <w:tc>
          <w:tcPr>
            <w:tcW w:w="1300" w:type="pct"/>
            <w:vAlign w:val="center"/>
          </w:tcPr>
          <w:p w:rsidR="002F36A9" w:rsidRPr="004E2ADC" w:rsidRDefault="002F36A9" w:rsidP="000A0288">
            <w:pPr>
              <w:keepNext/>
              <w:widowControl/>
              <w:jc w:val="center"/>
              <w:rPr>
                <w:rFonts w:ascii="Arial Narrow" w:hAnsi="Arial Narrow" w:cs="Times New Roman"/>
                <w:b/>
                <w:sz w:val="20"/>
              </w:rPr>
            </w:pPr>
            <w:r w:rsidRPr="004E2ADC">
              <w:rPr>
                <w:rFonts w:ascii="Arial Narrow" w:hAnsi="Arial Narrow" w:cs="Times New Roman"/>
                <w:b/>
                <w:sz w:val="20"/>
              </w:rPr>
              <w:t>Increment</w:t>
            </w:r>
          </w:p>
        </w:tc>
      </w:tr>
      <w:tr w:rsidR="002F36A9" w:rsidRPr="004E2ADC" w:rsidTr="002F36A9">
        <w:tc>
          <w:tcPr>
            <w:tcW w:w="5000" w:type="pct"/>
            <w:gridSpan w:val="4"/>
            <w:vAlign w:val="center"/>
          </w:tcPr>
          <w:p w:rsidR="002F36A9" w:rsidRPr="004E2ADC" w:rsidRDefault="002F36A9" w:rsidP="000A0288">
            <w:pPr>
              <w:keepNext/>
              <w:widowControl/>
              <w:jc w:val="left"/>
              <w:rPr>
                <w:rFonts w:ascii="Arial Narrow" w:hAnsi="Arial Narrow" w:cs="Arial Narrow"/>
                <w:b/>
                <w:bCs/>
                <w:sz w:val="20"/>
              </w:rPr>
            </w:pPr>
            <w:r w:rsidRPr="004E2ADC">
              <w:rPr>
                <w:rFonts w:ascii="Arial Narrow" w:hAnsi="Arial Narrow" w:cs="Arial Narrow"/>
                <w:b/>
                <w:bCs/>
                <w:sz w:val="20"/>
              </w:rPr>
              <w:t xml:space="preserve">Step 1: </w:t>
            </w:r>
            <w:r>
              <w:rPr>
                <w:rFonts w:ascii="Arial Narrow" w:hAnsi="Arial Narrow" w:cs="Arial Narrow"/>
                <w:b/>
                <w:bCs/>
                <w:sz w:val="20"/>
              </w:rPr>
              <w:t>trial based economic evaluation (16 weeks)</w:t>
            </w:r>
          </w:p>
        </w:tc>
      </w:tr>
      <w:tr w:rsidR="002F36A9" w:rsidRPr="004E2ADC" w:rsidTr="002F36A9">
        <w:tc>
          <w:tcPr>
            <w:tcW w:w="1441" w:type="pct"/>
            <w:vAlign w:val="center"/>
          </w:tcPr>
          <w:p w:rsidR="002F36A9" w:rsidRPr="004E2ADC" w:rsidRDefault="002F36A9" w:rsidP="000A0288">
            <w:pPr>
              <w:keepNext/>
              <w:widowControl/>
              <w:jc w:val="left"/>
              <w:rPr>
                <w:rFonts w:ascii="Arial Narrow" w:hAnsi="Arial Narrow" w:cs="Times New Roman"/>
                <w:sz w:val="20"/>
              </w:rPr>
            </w:pPr>
            <w:r w:rsidRPr="004E2ADC">
              <w:rPr>
                <w:rFonts w:ascii="Arial Narrow" w:hAnsi="Arial Narrow" w:cs="Times New Roman"/>
                <w:sz w:val="20"/>
              </w:rPr>
              <w:t>Costs</w:t>
            </w:r>
          </w:p>
        </w:tc>
        <w:tc>
          <w:tcPr>
            <w:tcW w:w="1186" w:type="pct"/>
            <w:vAlign w:val="center"/>
          </w:tcPr>
          <w:p w:rsidR="002F36A9" w:rsidRPr="004E2ADC" w:rsidRDefault="002F36A9" w:rsidP="000A0288">
            <w:pPr>
              <w:keepNext/>
              <w:widowControl/>
              <w:jc w:val="center"/>
              <w:rPr>
                <w:rFonts w:ascii="Arial Narrow" w:hAnsi="Arial Narrow" w:cs="Times New Roman"/>
                <w:sz w:val="20"/>
              </w:rPr>
            </w:pPr>
            <w:r>
              <w:rPr>
                <w:rFonts w:ascii="Arial Narrow" w:hAnsi="Arial Narrow" w:cs="Times New Roman"/>
                <w:sz w:val="20"/>
              </w:rPr>
              <w:t>$</w:t>
            </w:r>
            <w:r w:rsidR="0011087E">
              <w:rPr>
                <w:rFonts w:ascii="Arial Narrow" w:hAnsi="Arial Narrow" w:cs="Times New Roman"/>
                <w:noProof/>
                <w:color w:val="000000"/>
                <w:sz w:val="20"/>
                <w:highlight w:val="black"/>
              </w:rPr>
              <w:t>''''''''''''''''''''</w:t>
            </w:r>
          </w:p>
        </w:tc>
        <w:tc>
          <w:tcPr>
            <w:tcW w:w="1073" w:type="pct"/>
            <w:vAlign w:val="center"/>
          </w:tcPr>
          <w:p w:rsidR="002F36A9" w:rsidRPr="004E2ADC" w:rsidRDefault="002F36A9" w:rsidP="000A0288">
            <w:pPr>
              <w:keepNext/>
              <w:widowControl/>
              <w:jc w:val="center"/>
              <w:rPr>
                <w:rFonts w:ascii="Arial Narrow" w:hAnsi="Arial Narrow" w:cs="Times New Roman"/>
                <w:sz w:val="20"/>
              </w:rPr>
            </w:pPr>
            <w:r>
              <w:rPr>
                <w:rFonts w:ascii="Arial Narrow" w:hAnsi="Arial Narrow" w:cs="Times New Roman"/>
                <w:sz w:val="20"/>
              </w:rPr>
              <w:t>$</w:t>
            </w:r>
            <w:r w:rsidR="0011087E">
              <w:rPr>
                <w:rFonts w:ascii="Arial Narrow" w:hAnsi="Arial Narrow" w:cs="Times New Roman"/>
                <w:noProof/>
                <w:color w:val="000000"/>
                <w:sz w:val="20"/>
                <w:highlight w:val="black"/>
              </w:rPr>
              <w:t>''''''''''''''</w:t>
            </w:r>
          </w:p>
        </w:tc>
        <w:tc>
          <w:tcPr>
            <w:tcW w:w="1300" w:type="pct"/>
            <w:vAlign w:val="center"/>
          </w:tcPr>
          <w:p w:rsidR="002F36A9" w:rsidRPr="004E2ADC" w:rsidRDefault="002F36A9" w:rsidP="000A0288">
            <w:pPr>
              <w:keepNext/>
              <w:widowControl/>
              <w:jc w:val="center"/>
              <w:rPr>
                <w:rFonts w:ascii="Arial Narrow" w:hAnsi="Arial Narrow" w:cs="Times New Roman"/>
                <w:sz w:val="20"/>
              </w:rPr>
            </w:pPr>
            <w:r>
              <w:rPr>
                <w:rFonts w:ascii="Arial Narrow" w:hAnsi="Arial Narrow" w:cs="Times New Roman"/>
                <w:sz w:val="20"/>
              </w:rPr>
              <w:t>$</w:t>
            </w:r>
            <w:r w:rsidR="0011087E">
              <w:rPr>
                <w:rFonts w:ascii="Arial Narrow" w:hAnsi="Arial Narrow" w:cs="Times New Roman"/>
                <w:noProof/>
                <w:color w:val="000000"/>
                <w:sz w:val="20"/>
                <w:highlight w:val="black"/>
              </w:rPr>
              <w:t>''''''''''''</w:t>
            </w:r>
          </w:p>
        </w:tc>
      </w:tr>
      <w:tr w:rsidR="002F36A9" w:rsidRPr="004E2ADC" w:rsidTr="002F36A9">
        <w:trPr>
          <w:trHeight w:val="70"/>
        </w:trPr>
        <w:tc>
          <w:tcPr>
            <w:tcW w:w="1441" w:type="pct"/>
            <w:vAlign w:val="center"/>
          </w:tcPr>
          <w:p w:rsidR="002F36A9" w:rsidRPr="004E2ADC" w:rsidRDefault="002F36A9" w:rsidP="000A0288">
            <w:pPr>
              <w:keepNext/>
              <w:widowControl/>
              <w:jc w:val="left"/>
              <w:rPr>
                <w:rFonts w:ascii="Arial Narrow" w:hAnsi="Arial Narrow" w:cs="Times New Roman"/>
                <w:sz w:val="20"/>
              </w:rPr>
            </w:pPr>
            <w:r>
              <w:rPr>
                <w:rFonts w:ascii="Arial Narrow" w:hAnsi="Arial Narrow" w:cs="Times New Roman"/>
                <w:sz w:val="20"/>
              </w:rPr>
              <w:t>Improvement of ≥1 WHO FC</w:t>
            </w:r>
          </w:p>
        </w:tc>
        <w:tc>
          <w:tcPr>
            <w:tcW w:w="2259" w:type="pct"/>
            <w:gridSpan w:val="2"/>
            <w:vAlign w:val="center"/>
          </w:tcPr>
          <w:p w:rsidR="002F36A9" w:rsidRPr="004E2ADC" w:rsidRDefault="002F36A9" w:rsidP="000A0288">
            <w:pPr>
              <w:keepNext/>
              <w:widowControl/>
              <w:jc w:val="center"/>
              <w:rPr>
                <w:rFonts w:ascii="Arial Narrow" w:hAnsi="Arial Narrow" w:cs="Times New Roman"/>
                <w:sz w:val="20"/>
              </w:rPr>
            </w:pPr>
            <w:r>
              <w:rPr>
                <w:rFonts w:ascii="Arial Narrow" w:hAnsi="Arial Narrow" w:cs="Times New Roman"/>
                <w:sz w:val="20"/>
              </w:rPr>
              <w:t>Risk difference = 0.18</w:t>
            </w:r>
          </w:p>
        </w:tc>
        <w:tc>
          <w:tcPr>
            <w:tcW w:w="1300" w:type="pct"/>
            <w:vAlign w:val="center"/>
          </w:tcPr>
          <w:p w:rsidR="002F36A9" w:rsidRPr="004E2ADC" w:rsidRDefault="002F36A9" w:rsidP="000A0288">
            <w:pPr>
              <w:keepNext/>
              <w:widowControl/>
              <w:jc w:val="center"/>
              <w:rPr>
                <w:rFonts w:ascii="Arial Narrow" w:hAnsi="Arial Narrow" w:cs="Times New Roman"/>
                <w:sz w:val="20"/>
              </w:rPr>
            </w:pPr>
            <w:r>
              <w:rPr>
                <w:rFonts w:ascii="Arial Narrow" w:hAnsi="Arial Narrow" w:cs="Times New Roman"/>
                <w:sz w:val="20"/>
              </w:rPr>
              <w:t>NNT = 5.56</w:t>
            </w:r>
          </w:p>
        </w:tc>
      </w:tr>
      <w:tr w:rsidR="002F36A9" w:rsidRPr="004E2ADC" w:rsidTr="002F36A9">
        <w:tc>
          <w:tcPr>
            <w:tcW w:w="3700" w:type="pct"/>
            <w:gridSpan w:val="3"/>
            <w:vAlign w:val="center"/>
          </w:tcPr>
          <w:p w:rsidR="002F36A9" w:rsidRPr="00AA5773" w:rsidRDefault="002F36A9" w:rsidP="000A0288">
            <w:pPr>
              <w:keepNext/>
              <w:widowControl/>
              <w:jc w:val="left"/>
              <w:rPr>
                <w:rFonts w:ascii="Arial Narrow" w:hAnsi="Arial Narrow" w:cs="Times New Roman"/>
                <w:b/>
                <w:sz w:val="20"/>
              </w:rPr>
            </w:pPr>
            <w:r w:rsidRPr="00AA5773">
              <w:rPr>
                <w:rFonts w:ascii="Arial Narrow" w:hAnsi="Arial Narrow" w:cs="Times New Roman"/>
                <w:b/>
                <w:snapToGrid/>
                <w:sz w:val="20"/>
              </w:rPr>
              <w:t>Incremental cost/i</w:t>
            </w:r>
            <w:r w:rsidRPr="00AA5773">
              <w:rPr>
                <w:rFonts w:ascii="Arial Narrow" w:hAnsi="Arial Narrow" w:cs="Times New Roman"/>
                <w:b/>
                <w:sz w:val="20"/>
              </w:rPr>
              <w:t>mprovement of ≥1 WHO functional class</w:t>
            </w:r>
          </w:p>
        </w:tc>
        <w:tc>
          <w:tcPr>
            <w:tcW w:w="1300" w:type="pct"/>
            <w:vAlign w:val="center"/>
          </w:tcPr>
          <w:p w:rsidR="002F36A9" w:rsidRPr="00AA5773" w:rsidRDefault="002F36A9" w:rsidP="000A0288">
            <w:pPr>
              <w:keepNext/>
              <w:widowControl/>
              <w:jc w:val="center"/>
              <w:rPr>
                <w:rFonts w:ascii="Arial Narrow" w:hAnsi="Arial Narrow" w:cs="Times New Roman"/>
                <w:sz w:val="20"/>
              </w:rPr>
            </w:pPr>
            <w:r w:rsidRPr="00AA5773">
              <w:rPr>
                <w:rFonts w:ascii="Arial Narrow" w:hAnsi="Arial Narrow" w:cs="Times New Roman"/>
                <w:sz w:val="20"/>
              </w:rPr>
              <w:t>$</w:t>
            </w:r>
            <w:r w:rsidR="0011087E">
              <w:rPr>
                <w:rFonts w:ascii="Arial Narrow" w:hAnsi="Arial Narrow" w:cs="Times New Roman"/>
                <w:noProof/>
                <w:color w:val="000000"/>
                <w:sz w:val="20"/>
                <w:highlight w:val="black"/>
              </w:rPr>
              <w:t>'''''''''''''''</w:t>
            </w:r>
          </w:p>
        </w:tc>
      </w:tr>
      <w:tr w:rsidR="002F36A9" w:rsidRPr="004E2ADC" w:rsidTr="002F36A9">
        <w:tc>
          <w:tcPr>
            <w:tcW w:w="5000" w:type="pct"/>
            <w:gridSpan w:val="4"/>
            <w:vAlign w:val="center"/>
          </w:tcPr>
          <w:p w:rsidR="002F36A9" w:rsidRPr="004E2ADC" w:rsidRDefault="002F36A9" w:rsidP="000A0288">
            <w:pPr>
              <w:keepNext/>
              <w:widowControl/>
              <w:jc w:val="left"/>
              <w:rPr>
                <w:rFonts w:ascii="Arial Narrow" w:hAnsi="Arial Narrow" w:cs="Arial Narrow"/>
                <w:b/>
                <w:bCs/>
                <w:sz w:val="20"/>
              </w:rPr>
            </w:pPr>
            <w:r w:rsidRPr="004E2ADC">
              <w:rPr>
                <w:rFonts w:ascii="Arial Narrow" w:hAnsi="Arial Narrow" w:cs="Arial Narrow"/>
                <w:b/>
                <w:bCs/>
                <w:sz w:val="20"/>
              </w:rPr>
              <w:t xml:space="preserve">Step 2: </w:t>
            </w:r>
            <w:r>
              <w:rPr>
                <w:rFonts w:ascii="Arial Narrow" w:hAnsi="Arial Narrow" w:cs="Arial Narrow"/>
                <w:b/>
                <w:bCs/>
                <w:sz w:val="20"/>
              </w:rPr>
              <w:t>modelled economic evaluation: extrapolation to 15 years</w:t>
            </w:r>
          </w:p>
        </w:tc>
      </w:tr>
      <w:tr w:rsidR="002F36A9" w:rsidRPr="004E2ADC" w:rsidTr="002F36A9">
        <w:tc>
          <w:tcPr>
            <w:tcW w:w="1441" w:type="pct"/>
            <w:vAlign w:val="center"/>
          </w:tcPr>
          <w:p w:rsidR="002F36A9" w:rsidRPr="004E2ADC" w:rsidRDefault="002F36A9" w:rsidP="000A0288">
            <w:pPr>
              <w:keepNext/>
              <w:widowControl/>
              <w:jc w:val="left"/>
              <w:rPr>
                <w:rFonts w:ascii="Arial Narrow" w:hAnsi="Arial Narrow" w:cs="Times New Roman"/>
                <w:sz w:val="20"/>
              </w:rPr>
            </w:pPr>
            <w:r w:rsidRPr="004E2ADC">
              <w:rPr>
                <w:rFonts w:ascii="Arial Narrow" w:hAnsi="Arial Narrow" w:cs="Times New Roman"/>
                <w:sz w:val="20"/>
              </w:rPr>
              <w:t>Costs</w:t>
            </w:r>
          </w:p>
        </w:tc>
        <w:tc>
          <w:tcPr>
            <w:tcW w:w="1186" w:type="pct"/>
            <w:vAlign w:val="center"/>
          </w:tcPr>
          <w:p w:rsidR="002F36A9" w:rsidRPr="004E2ADC" w:rsidRDefault="002F36A9" w:rsidP="000A0288">
            <w:pPr>
              <w:keepNext/>
              <w:widowControl/>
              <w:jc w:val="center"/>
              <w:rPr>
                <w:rFonts w:ascii="Arial Narrow" w:hAnsi="Arial Narrow" w:cs="Times New Roman"/>
                <w:sz w:val="20"/>
              </w:rPr>
            </w:pPr>
            <w:r>
              <w:rPr>
                <w:rFonts w:ascii="Arial Narrow" w:hAnsi="Arial Narrow" w:cs="Times New Roman"/>
                <w:sz w:val="20"/>
              </w:rPr>
              <w:t>$</w:t>
            </w:r>
            <w:r w:rsidR="0011087E">
              <w:rPr>
                <w:rFonts w:ascii="Arial Narrow" w:hAnsi="Arial Narrow" w:cs="Times New Roman"/>
                <w:noProof/>
                <w:color w:val="000000"/>
                <w:sz w:val="20"/>
                <w:highlight w:val="black"/>
              </w:rPr>
              <w:t>''''''''''''''''''''''</w:t>
            </w:r>
          </w:p>
        </w:tc>
        <w:tc>
          <w:tcPr>
            <w:tcW w:w="1073" w:type="pct"/>
            <w:vAlign w:val="center"/>
          </w:tcPr>
          <w:p w:rsidR="002F36A9" w:rsidRPr="004E2ADC" w:rsidRDefault="002F36A9" w:rsidP="000A0288">
            <w:pPr>
              <w:keepNext/>
              <w:widowControl/>
              <w:jc w:val="center"/>
              <w:rPr>
                <w:rFonts w:ascii="Arial Narrow" w:hAnsi="Arial Narrow" w:cs="Times New Roman"/>
                <w:sz w:val="20"/>
              </w:rPr>
            </w:pPr>
            <w:r>
              <w:rPr>
                <w:rFonts w:ascii="Arial Narrow" w:hAnsi="Arial Narrow" w:cs="Times New Roman"/>
                <w:sz w:val="20"/>
              </w:rPr>
              <w:t>$</w:t>
            </w:r>
            <w:r w:rsidR="0011087E">
              <w:rPr>
                <w:rFonts w:ascii="Arial Narrow" w:hAnsi="Arial Narrow" w:cs="Times New Roman"/>
                <w:noProof/>
                <w:color w:val="000000"/>
                <w:sz w:val="20"/>
                <w:highlight w:val="black"/>
              </w:rPr>
              <w:t>''''''''''''''</w:t>
            </w:r>
          </w:p>
        </w:tc>
        <w:tc>
          <w:tcPr>
            <w:tcW w:w="1300" w:type="pct"/>
            <w:vAlign w:val="center"/>
          </w:tcPr>
          <w:p w:rsidR="002F36A9" w:rsidRPr="004E2ADC" w:rsidRDefault="002F36A9" w:rsidP="000A0288">
            <w:pPr>
              <w:keepNext/>
              <w:widowControl/>
              <w:jc w:val="center"/>
              <w:rPr>
                <w:rFonts w:ascii="Arial Narrow" w:hAnsi="Arial Narrow" w:cs="Times New Roman"/>
                <w:sz w:val="20"/>
              </w:rPr>
            </w:pPr>
            <w:r>
              <w:rPr>
                <w:rFonts w:ascii="Arial Narrow" w:hAnsi="Arial Narrow" w:cs="Times New Roman"/>
                <w:sz w:val="20"/>
              </w:rPr>
              <w:t>$</w:t>
            </w:r>
            <w:r w:rsidR="0011087E">
              <w:rPr>
                <w:rFonts w:ascii="Arial Narrow" w:hAnsi="Arial Narrow" w:cs="Times New Roman"/>
                <w:noProof/>
                <w:color w:val="000000"/>
                <w:sz w:val="20"/>
                <w:highlight w:val="black"/>
              </w:rPr>
              <w:t>'''''''''''''''</w:t>
            </w:r>
          </w:p>
        </w:tc>
      </w:tr>
      <w:tr w:rsidR="002F36A9" w:rsidRPr="004E2ADC" w:rsidTr="002F36A9">
        <w:tc>
          <w:tcPr>
            <w:tcW w:w="1441" w:type="pct"/>
            <w:vAlign w:val="center"/>
          </w:tcPr>
          <w:p w:rsidR="002F36A9" w:rsidRPr="004E2ADC" w:rsidRDefault="002F36A9" w:rsidP="000A0288">
            <w:pPr>
              <w:keepNext/>
              <w:widowControl/>
              <w:jc w:val="left"/>
              <w:rPr>
                <w:rFonts w:ascii="Arial Narrow" w:hAnsi="Arial Narrow" w:cs="Times New Roman"/>
                <w:sz w:val="20"/>
              </w:rPr>
            </w:pPr>
            <w:r>
              <w:rPr>
                <w:rFonts w:ascii="Arial Narrow" w:hAnsi="Arial Narrow" w:cs="Times New Roman"/>
                <w:sz w:val="20"/>
              </w:rPr>
              <w:t>LYG</w:t>
            </w:r>
          </w:p>
        </w:tc>
        <w:tc>
          <w:tcPr>
            <w:tcW w:w="1186" w:type="pct"/>
            <w:vAlign w:val="center"/>
          </w:tcPr>
          <w:p w:rsidR="002F36A9" w:rsidRPr="004E2ADC" w:rsidRDefault="002F36A9" w:rsidP="000A0288">
            <w:pPr>
              <w:keepNext/>
              <w:widowControl/>
              <w:jc w:val="center"/>
              <w:rPr>
                <w:rFonts w:ascii="Arial Narrow" w:hAnsi="Arial Narrow" w:cs="Times New Roman"/>
                <w:sz w:val="20"/>
              </w:rPr>
            </w:pPr>
            <w:r w:rsidRPr="00D349EC">
              <w:rPr>
                <w:rFonts w:ascii="Arial Narrow" w:hAnsi="Arial Narrow"/>
                <w:i/>
                <w:sz w:val="20"/>
              </w:rPr>
              <w:t>5.53</w:t>
            </w:r>
          </w:p>
        </w:tc>
        <w:tc>
          <w:tcPr>
            <w:tcW w:w="1073" w:type="pct"/>
            <w:vAlign w:val="center"/>
          </w:tcPr>
          <w:p w:rsidR="002F36A9" w:rsidRPr="004E2ADC" w:rsidRDefault="002F36A9" w:rsidP="000A0288">
            <w:pPr>
              <w:keepNext/>
              <w:widowControl/>
              <w:jc w:val="center"/>
              <w:rPr>
                <w:rFonts w:ascii="Arial Narrow" w:hAnsi="Arial Narrow" w:cs="Times New Roman"/>
                <w:sz w:val="20"/>
              </w:rPr>
            </w:pPr>
            <w:r w:rsidRPr="00D349EC">
              <w:rPr>
                <w:rFonts w:ascii="Arial Narrow" w:hAnsi="Arial Narrow"/>
                <w:i/>
                <w:sz w:val="20"/>
              </w:rPr>
              <w:t>4.19</w:t>
            </w:r>
          </w:p>
        </w:tc>
        <w:tc>
          <w:tcPr>
            <w:tcW w:w="1300" w:type="pct"/>
            <w:vAlign w:val="center"/>
          </w:tcPr>
          <w:p w:rsidR="002F36A9" w:rsidRPr="004E2ADC" w:rsidRDefault="002F36A9" w:rsidP="000A0288">
            <w:pPr>
              <w:keepNext/>
              <w:widowControl/>
              <w:jc w:val="center"/>
              <w:rPr>
                <w:rFonts w:ascii="Arial Narrow" w:hAnsi="Arial Narrow" w:cs="Times New Roman"/>
                <w:sz w:val="20"/>
              </w:rPr>
            </w:pPr>
            <w:r w:rsidRPr="00D349EC">
              <w:rPr>
                <w:rFonts w:ascii="Arial Narrow" w:hAnsi="Arial Narrow"/>
                <w:i/>
                <w:sz w:val="20"/>
              </w:rPr>
              <w:t>1.34</w:t>
            </w:r>
          </w:p>
        </w:tc>
      </w:tr>
      <w:tr w:rsidR="002F36A9" w:rsidRPr="004E2ADC" w:rsidTr="002F36A9">
        <w:trPr>
          <w:trHeight w:val="70"/>
        </w:trPr>
        <w:tc>
          <w:tcPr>
            <w:tcW w:w="3700" w:type="pct"/>
            <w:gridSpan w:val="3"/>
            <w:vAlign w:val="center"/>
          </w:tcPr>
          <w:p w:rsidR="002F36A9" w:rsidRPr="004E2ADC" w:rsidRDefault="002F36A9" w:rsidP="000A0288">
            <w:pPr>
              <w:keepNext/>
              <w:widowControl/>
              <w:jc w:val="left"/>
              <w:rPr>
                <w:rFonts w:ascii="Arial Narrow" w:hAnsi="Arial Narrow" w:cs="Times New Roman"/>
                <w:sz w:val="20"/>
              </w:rPr>
            </w:pPr>
            <w:r w:rsidRPr="004E2ADC">
              <w:rPr>
                <w:rFonts w:ascii="Arial Narrow" w:hAnsi="Arial Narrow" w:cs="Times New Roman"/>
                <w:b/>
                <w:snapToGrid/>
                <w:sz w:val="20"/>
              </w:rPr>
              <w:t>Incremental cost/</w:t>
            </w:r>
            <w:r>
              <w:rPr>
                <w:rFonts w:ascii="Arial Narrow" w:hAnsi="Arial Narrow" w:cs="Times New Roman"/>
                <w:b/>
                <w:snapToGrid/>
                <w:sz w:val="20"/>
              </w:rPr>
              <w:t>LYG</w:t>
            </w:r>
          </w:p>
        </w:tc>
        <w:tc>
          <w:tcPr>
            <w:tcW w:w="1300" w:type="pct"/>
            <w:vAlign w:val="center"/>
          </w:tcPr>
          <w:p w:rsidR="002F36A9" w:rsidRPr="00AA5773" w:rsidRDefault="002F36A9" w:rsidP="000A0288">
            <w:pPr>
              <w:keepNext/>
              <w:widowControl/>
              <w:jc w:val="center"/>
              <w:rPr>
                <w:rFonts w:ascii="Arial Narrow" w:hAnsi="Arial Narrow" w:cs="Times New Roman"/>
                <w:i/>
                <w:sz w:val="20"/>
              </w:rPr>
            </w:pPr>
            <w:r w:rsidRPr="00AA5773">
              <w:rPr>
                <w:rFonts w:ascii="Arial Narrow" w:hAnsi="Arial Narrow" w:cs="Times New Roman"/>
                <w:i/>
                <w:sz w:val="20"/>
              </w:rPr>
              <w:t>$</w:t>
            </w:r>
            <w:r w:rsidR="0011087E">
              <w:rPr>
                <w:rFonts w:ascii="Arial Narrow" w:hAnsi="Arial Narrow" w:cs="Times New Roman"/>
                <w:i/>
                <w:noProof/>
                <w:color w:val="000000"/>
                <w:sz w:val="20"/>
                <w:highlight w:val="black"/>
              </w:rPr>
              <w:t>'''''''''''''''</w:t>
            </w:r>
          </w:p>
        </w:tc>
      </w:tr>
      <w:tr w:rsidR="002F36A9" w:rsidRPr="004E2ADC" w:rsidTr="002F36A9">
        <w:tc>
          <w:tcPr>
            <w:tcW w:w="5000" w:type="pct"/>
            <w:gridSpan w:val="4"/>
            <w:vAlign w:val="center"/>
          </w:tcPr>
          <w:p w:rsidR="002F36A9" w:rsidRPr="004E2ADC" w:rsidRDefault="002F36A9" w:rsidP="000A0288">
            <w:pPr>
              <w:keepNext/>
              <w:widowControl/>
              <w:jc w:val="left"/>
              <w:rPr>
                <w:rFonts w:ascii="Arial Narrow" w:hAnsi="Arial Narrow" w:cs="Arial Narrow"/>
                <w:b/>
                <w:bCs/>
                <w:sz w:val="20"/>
              </w:rPr>
            </w:pPr>
            <w:r w:rsidRPr="004E2ADC">
              <w:rPr>
                <w:rFonts w:ascii="Arial Narrow" w:hAnsi="Arial Narrow" w:cs="Arial Narrow"/>
                <w:b/>
                <w:bCs/>
                <w:sz w:val="20"/>
              </w:rPr>
              <w:t xml:space="preserve">Step 3: </w:t>
            </w:r>
            <w:r>
              <w:rPr>
                <w:rFonts w:ascii="Arial Narrow" w:hAnsi="Arial Narrow" w:cs="Arial Narrow"/>
                <w:b/>
                <w:bCs/>
                <w:sz w:val="20"/>
              </w:rPr>
              <w:t>modelled economic evaluation: all resource use</w:t>
            </w:r>
          </w:p>
        </w:tc>
      </w:tr>
      <w:tr w:rsidR="002F36A9" w:rsidRPr="00AA5773" w:rsidTr="002F36A9">
        <w:tc>
          <w:tcPr>
            <w:tcW w:w="1441" w:type="pct"/>
            <w:vAlign w:val="center"/>
          </w:tcPr>
          <w:p w:rsidR="002F36A9" w:rsidRPr="004E2ADC" w:rsidRDefault="002F36A9" w:rsidP="000A0288">
            <w:pPr>
              <w:keepNext/>
              <w:widowControl/>
              <w:jc w:val="left"/>
              <w:rPr>
                <w:rFonts w:ascii="Arial Narrow" w:hAnsi="Arial Narrow" w:cs="Times New Roman"/>
                <w:sz w:val="20"/>
              </w:rPr>
            </w:pPr>
            <w:r w:rsidRPr="004E2ADC">
              <w:rPr>
                <w:rFonts w:ascii="Arial Narrow" w:hAnsi="Arial Narrow" w:cs="Times New Roman"/>
                <w:sz w:val="20"/>
              </w:rPr>
              <w:t>Costs</w:t>
            </w:r>
          </w:p>
        </w:tc>
        <w:tc>
          <w:tcPr>
            <w:tcW w:w="1186" w:type="pct"/>
            <w:vAlign w:val="center"/>
          </w:tcPr>
          <w:p w:rsidR="002F36A9" w:rsidRPr="00AA5773" w:rsidRDefault="002F36A9" w:rsidP="000A0288">
            <w:pPr>
              <w:keepNext/>
              <w:widowControl/>
              <w:jc w:val="center"/>
              <w:rPr>
                <w:rFonts w:ascii="Arial Narrow" w:hAnsi="Arial Narrow" w:cs="Times New Roman"/>
                <w:sz w:val="20"/>
              </w:rPr>
            </w:pPr>
            <w:r w:rsidRPr="00AA5773">
              <w:rPr>
                <w:rFonts w:ascii="Arial Narrow" w:hAnsi="Arial Narrow" w:cs="Times New Roman"/>
                <w:i/>
                <w:sz w:val="20"/>
              </w:rPr>
              <w:t>$</w:t>
            </w:r>
            <w:r w:rsidR="0011087E">
              <w:rPr>
                <w:rFonts w:ascii="Arial Narrow" w:hAnsi="Arial Narrow" w:cs="Times New Roman"/>
                <w:i/>
                <w:noProof/>
                <w:color w:val="000000"/>
                <w:sz w:val="20"/>
                <w:highlight w:val="black"/>
              </w:rPr>
              <w:t>'''''''''''''''''''''''</w:t>
            </w:r>
          </w:p>
        </w:tc>
        <w:tc>
          <w:tcPr>
            <w:tcW w:w="1073" w:type="pct"/>
            <w:vAlign w:val="center"/>
          </w:tcPr>
          <w:p w:rsidR="002F36A9" w:rsidRPr="00AA5773" w:rsidRDefault="002F36A9" w:rsidP="000A0288">
            <w:pPr>
              <w:keepNext/>
              <w:widowControl/>
              <w:jc w:val="center"/>
              <w:rPr>
                <w:rFonts w:ascii="Arial Narrow" w:hAnsi="Arial Narrow" w:cs="Times New Roman"/>
                <w:sz w:val="20"/>
              </w:rPr>
            </w:pPr>
            <w:r w:rsidRPr="00AA5773">
              <w:rPr>
                <w:rFonts w:ascii="Arial Narrow" w:hAnsi="Arial Narrow" w:cs="Times New Roman"/>
                <w:i/>
                <w:sz w:val="20"/>
              </w:rPr>
              <w:t>$</w:t>
            </w:r>
            <w:r w:rsidR="0011087E">
              <w:rPr>
                <w:rFonts w:ascii="Arial Narrow" w:hAnsi="Arial Narrow" w:cs="Times New Roman"/>
                <w:i/>
                <w:noProof/>
                <w:color w:val="000000"/>
                <w:sz w:val="20"/>
                <w:highlight w:val="black"/>
              </w:rPr>
              <w:t>''''''''''''''''''''''''''</w:t>
            </w:r>
          </w:p>
        </w:tc>
        <w:tc>
          <w:tcPr>
            <w:tcW w:w="1300" w:type="pct"/>
            <w:vAlign w:val="center"/>
          </w:tcPr>
          <w:p w:rsidR="002F36A9" w:rsidRPr="00AA5773" w:rsidRDefault="002F36A9" w:rsidP="000A0288">
            <w:pPr>
              <w:keepNext/>
              <w:widowControl/>
              <w:jc w:val="center"/>
              <w:rPr>
                <w:rFonts w:ascii="Arial Narrow" w:hAnsi="Arial Narrow" w:cs="Times New Roman"/>
                <w:sz w:val="20"/>
              </w:rPr>
            </w:pPr>
            <w:r w:rsidRPr="00AA5773">
              <w:rPr>
                <w:rFonts w:ascii="Arial Narrow" w:hAnsi="Arial Narrow" w:cs="Times New Roman"/>
                <w:i/>
                <w:sz w:val="20"/>
              </w:rPr>
              <w:t>$</w:t>
            </w:r>
            <w:r w:rsidR="0011087E">
              <w:rPr>
                <w:rFonts w:ascii="Arial Narrow" w:hAnsi="Arial Narrow" w:cs="Times New Roman"/>
                <w:i/>
                <w:noProof/>
                <w:color w:val="000000"/>
                <w:sz w:val="20"/>
                <w:highlight w:val="black"/>
              </w:rPr>
              <w:t>''''''''''''''''</w:t>
            </w:r>
          </w:p>
        </w:tc>
      </w:tr>
      <w:tr w:rsidR="002F36A9" w:rsidRPr="004E2ADC" w:rsidTr="002F36A9">
        <w:tc>
          <w:tcPr>
            <w:tcW w:w="1441" w:type="pct"/>
            <w:vAlign w:val="center"/>
          </w:tcPr>
          <w:p w:rsidR="002F36A9" w:rsidRPr="004E2ADC" w:rsidRDefault="002F36A9" w:rsidP="000A0288">
            <w:pPr>
              <w:keepNext/>
              <w:widowControl/>
              <w:jc w:val="left"/>
              <w:rPr>
                <w:rFonts w:ascii="Arial Narrow" w:hAnsi="Arial Narrow" w:cs="Times New Roman"/>
                <w:sz w:val="20"/>
              </w:rPr>
            </w:pPr>
            <w:r>
              <w:rPr>
                <w:rFonts w:ascii="Arial Narrow" w:hAnsi="Arial Narrow" w:cs="Times New Roman"/>
                <w:sz w:val="20"/>
              </w:rPr>
              <w:t>LYG</w:t>
            </w:r>
          </w:p>
        </w:tc>
        <w:tc>
          <w:tcPr>
            <w:tcW w:w="1186" w:type="pct"/>
            <w:vAlign w:val="center"/>
          </w:tcPr>
          <w:p w:rsidR="002F36A9" w:rsidRPr="004E2ADC" w:rsidRDefault="002F36A9" w:rsidP="000A0288">
            <w:pPr>
              <w:keepNext/>
              <w:widowControl/>
              <w:jc w:val="center"/>
              <w:rPr>
                <w:rFonts w:ascii="Arial Narrow" w:hAnsi="Arial Narrow" w:cs="Times New Roman"/>
                <w:sz w:val="20"/>
              </w:rPr>
            </w:pPr>
            <w:r w:rsidRPr="00D349EC">
              <w:rPr>
                <w:rFonts w:ascii="Arial Narrow" w:hAnsi="Arial Narrow"/>
                <w:i/>
                <w:sz w:val="20"/>
              </w:rPr>
              <w:t>5.53</w:t>
            </w:r>
          </w:p>
        </w:tc>
        <w:tc>
          <w:tcPr>
            <w:tcW w:w="1073" w:type="pct"/>
            <w:vAlign w:val="center"/>
          </w:tcPr>
          <w:p w:rsidR="002F36A9" w:rsidRPr="004E2ADC" w:rsidRDefault="002F36A9" w:rsidP="000A0288">
            <w:pPr>
              <w:keepNext/>
              <w:widowControl/>
              <w:jc w:val="center"/>
              <w:rPr>
                <w:rFonts w:ascii="Arial Narrow" w:hAnsi="Arial Narrow" w:cs="Times New Roman"/>
                <w:sz w:val="20"/>
              </w:rPr>
            </w:pPr>
            <w:r w:rsidRPr="00D349EC">
              <w:rPr>
                <w:rFonts w:ascii="Arial Narrow" w:hAnsi="Arial Narrow"/>
                <w:i/>
                <w:sz w:val="20"/>
              </w:rPr>
              <w:t>4.19</w:t>
            </w:r>
          </w:p>
        </w:tc>
        <w:tc>
          <w:tcPr>
            <w:tcW w:w="1300" w:type="pct"/>
            <w:vAlign w:val="center"/>
          </w:tcPr>
          <w:p w:rsidR="002F36A9" w:rsidRPr="004E2ADC" w:rsidRDefault="002F36A9" w:rsidP="000A0288">
            <w:pPr>
              <w:keepNext/>
              <w:widowControl/>
              <w:jc w:val="center"/>
              <w:rPr>
                <w:rFonts w:ascii="Arial Narrow" w:hAnsi="Arial Narrow" w:cs="Times New Roman"/>
                <w:sz w:val="20"/>
              </w:rPr>
            </w:pPr>
            <w:r w:rsidRPr="00D349EC">
              <w:rPr>
                <w:rFonts w:ascii="Arial Narrow" w:hAnsi="Arial Narrow"/>
                <w:i/>
                <w:sz w:val="20"/>
              </w:rPr>
              <w:t>1.34</w:t>
            </w:r>
          </w:p>
        </w:tc>
      </w:tr>
      <w:tr w:rsidR="002F36A9" w:rsidRPr="004E2ADC" w:rsidTr="002F36A9">
        <w:tc>
          <w:tcPr>
            <w:tcW w:w="3700" w:type="pct"/>
            <w:gridSpan w:val="3"/>
            <w:vAlign w:val="center"/>
          </w:tcPr>
          <w:p w:rsidR="002F36A9" w:rsidRPr="004E2ADC" w:rsidRDefault="002F36A9" w:rsidP="000A0288">
            <w:pPr>
              <w:keepNext/>
              <w:widowControl/>
              <w:jc w:val="left"/>
              <w:rPr>
                <w:rFonts w:ascii="Arial Narrow" w:hAnsi="Arial Narrow" w:cs="Times New Roman"/>
                <w:b/>
                <w:sz w:val="20"/>
              </w:rPr>
            </w:pPr>
            <w:r w:rsidRPr="004E2ADC">
              <w:rPr>
                <w:rFonts w:ascii="Arial Narrow" w:hAnsi="Arial Narrow" w:cs="Times New Roman"/>
                <w:b/>
                <w:sz w:val="20"/>
              </w:rPr>
              <w:t>Incremental cost/</w:t>
            </w:r>
            <w:r>
              <w:rPr>
                <w:rFonts w:ascii="Arial Narrow" w:hAnsi="Arial Narrow" w:cs="Times New Roman"/>
                <w:b/>
                <w:sz w:val="20"/>
              </w:rPr>
              <w:t>LYG</w:t>
            </w:r>
          </w:p>
        </w:tc>
        <w:tc>
          <w:tcPr>
            <w:tcW w:w="1300" w:type="pct"/>
            <w:vAlign w:val="center"/>
          </w:tcPr>
          <w:p w:rsidR="002F36A9" w:rsidRPr="00AA5773" w:rsidRDefault="002F36A9" w:rsidP="000A0288">
            <w:pPr>
              <w:keepNext/>
              <w:widowControl/>
              <w:jc w:val="center"/>
              <w:rPr>
                <w:rFonts w:ascii="Arial Narrow" w:hAnsi="Arial Narrow" w:cs="Times New Roman"/>
                <w:i/>
                <w:sz w:val="20"/>
              </w:rPr>
            </w:pPr>
            <w:r>
              <w:rPr>
                <w:rFonts w:ascii="Arial Narrow" w:hAnsi="Arial Narrow" w:cs="Times New Roman"/>
                <w:i/>
                <w:sz w:val="20"/>
              </w:rPr>
              <w:t>$</w:t>
            </w:r>
            <w:r w:rsidR="0011087E">
              <w:rPr>
                <w:rFonts w:ascii="Arial Narrow" w:hAnsi="Arial Narrow" w:cs="Times New Roman"/>
                <w:i/>
                <w:noProof/>
                <w:color w:val="000000"/>
                <w:sz w:val="20"/>
                <w:highlight w:val="black"/>
              </w:rPr>
              <w:t>'''''''''''''''''</w:t>
            </w:r>
          </w:p>
        </w:tc>
      </w:tr>
      <w:tr w:rsidR="002F36A9" w:rsidRPr="004E2ADC" w:rsidTr="002F36A9">
        <w:tc>
          <w:tcPr>
            <w:tcW w:w="5000" w:type="pct"/>
            <w:gridSpan w:val="4"/>
            <w:vAlign w:val="center"/>
          </w:tcPr>
          <w:p w:rsidR="002F36A9" w:rsidRPr="004E2ADC" w:rsidRDefault="002F36A9" w:rsidP="000A0288">
            <w:pPr>
              <w:keepNext/>
              <w:widowControl/>
              <w:jc w:val="left"/>
              <w:rPr>
                <w:rFonts w:ascii="Arial Narrow" w:hAnsi="Arial Narrow" w:cs="Arial Narrow"/>
                <w:b/>
                <w:bCs/>
                <w:sz w:val="20"/>
              </w:rPr>
            </w:pPr>
            <w:r w:rsidRPr="004E2ADC">
              <w:rPr>
                <w:rFonts w:ascii="Arial Narrow" w:hAnsi="Arial Narrow" w:cs="Arial Narrow"/>
                <w:b/>
                <w:bCs/>
                <w:sz w:val="20"/>
              </w:rPr>
              <w:t xml:space="preserve">Step </w:t>
            </w:r>
            <w:r>
              <w:rPr>
                <w:rFonts w:ascii="Arial Narrow" w:hAnsi="Arial Narrow" w:cs="Arial Narrow"/>
                <w:b/>
                <w:bCs/>
                <w:sz w:val="20"/>
              </w:rPr>
              <w:t>4</w:t>
            </w:r>
            <w:r w:rsidRPr="004E2ADC">
              <w:rPr>
                <w:rFonts w:ascii="Arial Narrow" w:hAnsi="Arial Narrow" w:cs="Arial Narrow"/>
                <w:b/>
                <w:bCs/>
                <w:sz w:val="20"/>
              </w:rPr>
              <w:t xml:space="preserve">: </w:t>
            </w:r>
            <w:r>
              <w:rPr>
                <w:rFonts w:ascii="Arial Narrow" w:hAnsi="Arial Narrow" w:cs="Arial Narrow"/>
                <w:b/>
                <w:bCs/>
                <w:sz w:val="20"/>
              </w:rPr>
              <w:t>modelled economic evaluation: inclusion of utilities</w:t>
            </w:r>
          </w:p>
        </w:tc>
      </w:tr>
      <w:tr w:rsidR="002F36A9" w:rsidRPr="004E2ADC" w:rsidTr="002F36A9">
        <w:tc>
          <w:tcPr>
            <w:tcW w:w="1441" w:type="pct"/>
            <w:vAlign w:val="center"/>
          </w:tcPr>
          <w:p w:rsidR="002F36A9" w:rsidRPr="004E2ADC" w:rsidRDefault="002F36A9" w:rsidP="000A0288">
            <w:pPr>
              <w:keepNext/>
              <w:widowControl/>
              <w:jc w:val="left"/>
              <w:rPr>
                <w:rFonts w:ascii="Arial Narrow" w:hAnsi="Arial Narrow" w:cs="Times New Roman"/>
                <w:sz w:val="20"/>
              </w:rPr>
            </w:pPr>
            <w:r w:rsidRPr="004E2ADC">
              <w:rPr>
                <w:rFonts w:ascii="Arial Narrow" w:hAnsi="Arial Narrow" w:cs="Times New Roman"/>
                <w:sz w:val="20"/>
              </w:rPr>
              <w:t>Costs</w:t>
            </w:r>
          </w:p>
        </w:tc>
        <w:tc>
          <w:tcPr>
            <w:tcW w:w="1186" w:type="pct"/>
            <w:vAlign w:val="center"/>
          </w:tcPr>
          <w:p w:rsidR="002F36A9" w:rsidRPr="004E2ADC" w:rsidRDefault="002F36A9" w:rsidP="000A0288">
            <w:pPr>
              <w:keepNext/>
              <w:widowControl/>
              <w:jc w:val="center"/>
              <w:rPr>
                <w:rFonts w:ascii="Arial Narrow" w:hAnsi="Arial Narrow" w:cs="Times New Roman"/>
                <w:sz w:val="20"/>
              </w:rPr>
            </w:pPr>
            <w:r w:rsidRPr="00AA5773">
              <w:rPr>
                <w:rFonts w:ascii="Arial Narrow" w:hAnsi="Arial Narrow" w:cs="Times New Roman"/>
                <w:i/>
                <w:sz w:val="20"/>
              </w:rPr>
              <w:t>$</w:t>
            </w:r>
            <w:r w:rsidR="0011087E">
              <w:rPr>
                <w:rFonts w:ascii="Arial Narrow" w:hAnsi="Arial Narrow" w:cs="Times New Roman"/>
                <w:i/>
                <w:noProof/>
                <w:color w:val="000000"/>
                <w:sz w:val="20"/>
                <w:highlight w:val="black"/>
              </w:rPr>
              <w:t>'''''''''''''''''''''''</w:t>
            </w:r>
          </w:p>
        </w:tc>
        <w:tc>
          <w:tcPr>
            <w:tcW w:w="1073" w:type="pct"/>
            <w:vAlign w:val="center"/>
          </w:tcPr>
          <w:p w:rsidR="002F36A9" w:rsidRPr="004E2ADC" w:rsidRDefault="002F36A9" w:rsidP="000A0288">
            <w:pPr>
              <w:keepNext/>
              <w:widowControl/>
              <w:jc w:val="center"/>
              <w:rPr>
                <w:rFonts w:ascii="Arial Narrow" w:hAnsi="Arial Narrow" w:cs="Times New Roman"/>
                <w:sz w:val="20"/>
              </w:rPr>
            </w:pPr>
            <w:r w:rsidRPr="00AA5773">
              <w:rPr>
                <w:rFonts w:ascii="Arial Narrow" w:hAnsi="Arial Narrow" w:cs="Times New Roman"/>
                <w:i/>
                <w:sz w:val="20"/>
              </w:rPr>
              <w:t>$</w:t>
            </w:r>
            <w:r w:rsidR="0011087E">
              <w:rPr>
                <w:rFonts w:ascii="Arial Narrow" w:hAnsi="Arial Narrow" w:cs="Times New Roman"/>
                <w:i/>
                <w:noProof/>
                <w:color w:val="000000"/>
                <w:sz w:val="20"/>
                <w:highlight w:val="black"/>
              </w:rPr>
              <w:t>'''''''''''''''''''''''''</w:t>
            </w:r>
          </w:p>
        </w:tc>
        <w:tc>
          <w:tcPr>
            <w:tcW w:w="1300" w:type="pct"/>
            <w:vAlign w:val="center"/>
          </w:tcPr>
          <w:p w:rsidR="002F36A9" w:rsidRPr="004E2ADC" w:rsidRDefault="002F36A9" w:rsidP="000A0288">
            <w:pPr>
              <w:keepNext/>
              <w:widowControl/>
              <w:jc w:val="center"/>
              <w:rPr>
                <w:rFonts w:ascii="Arial Narrow" w:hAnsi="Arial Narrow" w:cs="Times New Roman"/>
                <w:sz w:val="20"/>
              </w:rPr>
            </w:pPr>
            <w:r w:rsidRPr="00AA5773">
              <w:rPr>
                <w:rFonts w:ascii="Arial Narrow" w:hAnsi="Arial Narrow" w:cs="Times New Roman"/>
                <w:i/>
                <w:sz w:val="20"/>
              </w:rPr>
              <w:t>$</w:t>
            </w:r>
            <w:r w:rsidR="0011087E">
              <w:rPr>
                <w:rFonts w:ascii="Arial Narrow" w:hAnsi="Arial Narrow" w:cs="Times New Roman"/>
                <w:i/>
                <w:noProof/>
                <w:color w:val="000000"/>
                <w:sz w:val="20"/>
                <w:highlight w:val="black"/>
              </w:rPr>
              <w:t>'''''''''''''''</w:t>
            </w:r>
          </w:p>
        </w:tc>
      </w:tr>
      <w:tr w:rsidR="002F36A9" w:rsidRPr="004E2ADC" w:rsidTr="002F36A9">
        <w:tc>
          <w:tcPr>
            <w:tcW w:w="1441" w:type="pct"/>
            <w:vAlign w:val="center"/>
          </w:tcPr>
          <w:p w:rsidR="002F36A9" w:rsidRPr="004E2ADC" w:rsidRDefault="002F36A9" w:rsidP="000A0288">
            <w:pPr>
              <w:keepNext/>
              <w:widowControl/>
              <w:jc w:val="left"/>
              <w:rPr>
                <w:rFonts w:ascii="Arial Narrow" w:hAnsi="Arial Narrow" w:cs="Times New Roman"/>
                <w:sz w:val="20"/>
              </w:rPr>
            </w:pPr>
            <w:r>
              <w:rPr>
                <w:rFonts w:ascii="Arial Narrow" w:hAnsi="Arial Narrow" w:cs="Times New Roman"/>
                <w:sz w:val="20"/>
              </w:rPr>
              <w:t>QALY</w:t>
            </w:r>
          </w:p>
        </w:tc>
        <w:tc>
          <w:tcPr>
            <w:tcW w:w="1186" w:type="pct"/>
            <w:vAlign w:val="center"/>
          </w:tcPr>
          <w:p w:rsidR="002F36A9" w:rsidRPr="004E2ADC" w:rsidRDefault="002F36A9" w:rsidP="000A0288">
            <w:pPr>
              <w:keepNext/>
              <w:widowControl/>
              <w:jc w:val="center"/>
              <w:rPr>
                <w:rFonts w:ascii="Arial Narrow" w:hAnsi="Arial Narrow" w:cs="Times New Roman"/>
                <w:sz w:val="20"/>
              </w:rPr>
            </w:pPr>
            <w:r w:rsidRPr="00D349EC">
              <w:rPr>
                <w:rFonts w:ascii="Arial Narrow" w:hAnsi="Arial Narrow"/>
                <w:i/>
                <w:sz w:val="20"/>
              </w:rPr>
              <w:t>3.65</w:t>
            </w:r>
          </w:p>
        </w:tc>
        <w:tc>
          <w:tcPr>
            <w:tcW w:w="1073" w:type="pct"/>
            <w:vAlign w:val="center"/>
          </w:tcPr>
          <w:p w:rsidR="002F36A9" w:rsidRPr="004E2ADC" w:rsidRDefault="002F36A9" w:rsidP="000A0288">
            <w:pPr>
              <w:keepNext/>
              <w:widowControl/>
              <w:jc w:val="center"/>
              <w:rPr>
                <w:rFonts w:ascii="Arial Narrow" w:hAnsi="Arial Narrow" w:cs="Times New Roman"/>
                <w:sz w:val="20"/>
              </w:rPr>
            </w:pPr>
            <w:r w:rsidRPr="00D349EC">
              <w:rPr>
                <w:rFonts w:ascii="Arial Narrow" w:hAnsi="Arial Narrow"/>
                <w:i/>
                <w:sz w:val="20"/>
              </w:rPr>
              <w:t>2.53</w:t>
            </w:r>
          </w:p>
        </w:tc>
        <w:tc>
          <w:tcPr>
            <w:tcW w:w="1300" w:type="pct"/>
            <w:vAlign w:val="center"/>
          </w:tcPr>
          <w:p w:rsidR="002F36A9" w:rsidRPr="004E2ADC" w:rsidRDefault="002F36A9" w:rsidP="000A0288">
            <w:pPr>
              <w:keepNext/>
              <w:widowControl/>
              <w:jc w:val="center"/>
              <w:rPr>
                <w:rFonts w:ascii="Arial Narrow" w:hAnsi="Arial Narrow" w:cs="Times New Roman"/>
                <w:sz w:val="20"/>
              </w:rPr>
            </w:pPr>
            <w:r w:rsidRPr="00D349EC">
              <w:rPr>
                <w:rFonts w:ascii="Arial Narrow" w:hAnsi="Arial Narrow"/>
                <w:i/>
                <w:sz w:val="20"/>
              </w:rPr>
              <w:t>1.12</w:t>
            </w:r>
          </w:p>
        </w:tc>
      </w:tr>
      <w:tr w:rsidR="002F36A9" w:rsidRPr="004E2ADC" w:rsidTr="002F36A9">
        <w:tc>
          <w:tcPr>
            <w:tcW w:w="3700" w:type="pct"/>
            <w:gridSpan w:val="3"/>
            <w:vAlign w:val="center"/>
          </w:tcPr>
          <w:p w:rsidR="002F36A9" w:rsidRPr="004E2ADC" w:rsidRDefault="002F36A9" w:rsidP="000A0288">
            <w:pPr>
              <w:keepNext/>
              <w:widowControl/>
              <w:jc w:val="left"/>
              <w:rPr>
                <w:rFonts w:ascii="Arial Narrow" w:hAnsi="Arial Narrow" w:cs="Times New Roman"/>
                <w:b/>
                <w:sz w:val="20"/>
              </w:rPr>
            </w:pPr>
            <w:r w:rsidRPr="004E2ADC">
              <w:rPr>
                <w:rFonts w:ascii="Arial Narrow" w:hAnsi="Arial Narrow" w:cs="Times New Roman"/>
                <w:b/>
                <w:sz w:val="20"/>
              </w:rPr>
              <w:t>Incremental cost/</w:t>
            </w:r>
            <w:r>
              <w:rPr>
                <w:rFonts w:ascii="Arial Narrow" w:hAnsi="Arial Narrow" w:cs="Times New Roman"/>
                <w:b/>
                <w:sz w:val="20"/>
              </w:rPr>
              <w:t>QALY</w:t>
            </w:r>
          </w:p>
        </w:tc>
        <w:tc>
          <w:tcPr>
            <w:tcW w:w="1300" w:type="pct"/>
            <w:vAlign w:val="center"/>
          </w:tcPr>
          <w:p w:rsidR="002F36A9" w:rsidRPr="00AC1DE1" w:rsidRDefault="002F36A9" w:rsidP="000A0288">
            <w:pPr>
              <w:keepNext/>
              <w:widowControl/>
              <w:jc w:val="center"/>
              <w:rPr>
                <w:rFonts w:ascii="Arial Narrow" w:hAnsi="Arial Narrow" w:cs="Times New Roman"/>
                <w:b/>
                <w:i/>
                <w:sz w:val="20"/>
              </w:rPr>
            </w:pPr>
            <w:r>
              <w:rPr>
                <w:rFonts w:ascii="Arial Narrow" w:hAnsi="Arial Narrow" w:cs="Times New Roman"/>
                <w:b/>
                <w:i/>
                <w:sz w:val="20"/>
              </w:rPr>
              <w:t>$</w:t>
            </w:r>
            <w:r w:rsidR="0011087E">
              <w:rPr>
                <w:rFonts w:ascii="Arial Narrow" w:hAnsi="Arial Narrow" w:cs="Times New Roman"/>
                <w:b/>
                <w:i/>
                <w:noProof/>
                <w:color w:val="000000"/>
                <w:sz w:val="20"/>
                <w:highlight w:val="black"/>
              </w:rPr>
              <w:t>''''''''''''</w:t>
            </w:r>
          </w:p>
        </w:tc>
      </w:tr>
    </w:tbl>
    <w:p w:rsidR="002F36A9" w:rsidRDefault="002F36A9" w:rsidP="000A0288">
      <w:pPr>
        <w:pStyle w:val="TableFooter"/>
        <w:keepNext/>
        <w:widowControl/>
        <w:ind w:left="720"/>
      </w:pPr>
      <w:r w:rsidRPr="00301710">
        <w:t xml:space="preserve">Note: Figures in </w:t>
      </w:r>
      <w:r w:rsidRPr="00301710">
        <w:rPr>
          <w:i/>
        </w:rPr>
        <w:t>italics</w:t>
      </w:r>
      <w:r w:rsidRPr="00301710">
        <w:t xml:space="preserve"> were updated during the evaluation to account for a minor calculation error associated with the calculation of placebo transition probabilities for WHO functional class II to III.</w:t>
      </w:r>
      <w:r w:rsidR="006B5090">
        <w:t xml:space="preserve"> </w:t>
      </w:r>
      <w:r>
        <w:t>Abbreviations: FC = functional class; NNT</w:t>
      </w:r>
      <w:r w:rsidR="00F634C9">
        <w:t> </w:t>
      </w:r>
      <w:r>
        <w:t>=</w:t>
      </w:r>
      <w:r w:rsidR="00F634C9">
        <w:t> </w:t>
      </w:r>
      <w:r>
        <w:t>number needed to treat.</w:t>
      </w:r>
      <w:r w:rsidR="006B5090">
        <w:t xml:space="preserve"> </w:t>
      </w:r>
      <w:r w:rsidRPr="00D13A3E">
        <w:t xml:space="preserve">Source: </w:t>
      </w:r>
      <w:r>
        <w:t>Table D.5-1, Table D.5-2, Table D.5-3 and Ta</w:t>
      </w:r>
      <w:r w:rsidR="00B005B6">
        <w:t>ble D.5-4, pp 212-214 of the re</w:t>
      </w:r>
      <w:r w:rsidR="00B005B6">
        <w:noBreakHyphen/>
      </w:r>
      <w:r>
        <w:t>submission.</w:t>
      </w:r>
    </w:p>
    <w:p w:rsidR="002F36A9" w:rsidRPr="00D110BD" w:rsidRDefault="002F36A9" w:rsidP="000A0288">
      <w:pPr>
        <w:widowControl/>
        <w:jc w:val="left"/>
        <w:rPr>
          <w:szCs w:val="22"/>
        </w:rPr>
      </w:pPr>
    </w:p>
    <w:p w:rsidR="0032641B" w:rsidRPr="00301710" w:rsidRDefault="002F36A9" w:rsidP="000A0288">
      <w:pPr>
        <w:pStyle w:val="ListParagraph"/>
        <w:widowControl/>
        <w:numPr>
          <w:ilvl w:val="1"/>
          <w:numId w:val="2"/>
        </w:numPr>
        <w:rPr>
          <w:szCs w:val="22"/>
        </w:rPr>
      </w:pPr>
      <w:r w:rsidRPr="00301710">
        <w:rPr>
          <w:szCs w:val="22"/>
        </w:rPr>
        <w:t xml:space="preserve">While a significant treatment effect </w:t>
      </w:r>
      <w:r w:rsidR="0032641B" w:rsidRPr="00301710">
        <w:rPr>
          <w:szCs w:val="22"/>
        </w:rPr>
        <w:t xml:space="preserve">was </w:t>
      </w:r>
      <w:r w:rsidRPr="00301710">
        <w:rPr>
          <w:szCs w:val="22"/>
        </w:rPr>
        <w:t xml:space="preserve">predicted by the economic model, it is likely that the ICER </w:t>
      </w:r>
      <w:r w:rsidR="0032641B" w:rsidRPr="00301710">
        <w:rPr>
          <w:szCs w:val="22"/>
        </w:rPr>
        <w:t xml:space="preserve">was </w:t>
      </w:r>
      <w:r w:rsidRPr="00301710">
        <w:rPr>
          <w:szCs w:val="22"/>
        </w:rPr>
        <w:t>underestimated by the re-submission due to</w:t>
      </w:r>
      <w:r w:rsidR="0032641B" w:rsidRPr="00301710">
        <w:rPr>
          <w:szCs w:val="22"/>
        </w:rPr>
        <w:t>:</w:t>
      </w:r>
      <w:r w:rsidRPr="00301710">
        <w:rPr>
          <w:szCs w:val="22"/>
        </w:rPr>
        <w:t xml:space="preserve"> </w:t>
      </w:r>
    </w:p>
    <w:p w:rsidR="0032641B" w:rsidRPr="00301710" w:rsidRDefault="002F36A9" w:rsidP="000A0288">
      <w:pPr>
        <w:pStyle w:val="ListParagraph"/>
        <w:widowControl/>
        <w:numPr>
          <w:ilvl w:val="1"/>
          <w:numId w:val="12"/>
        </w:numPr>
        <w:ind w:left="993" w:hanging="284"/>
        <w:rPr>
          <w:szCs w:val="22"/>
        </w:rPr>
      </w:pPr>
      <w:r w:rsidRPr="00301710">
        <w:rPr>
          <w:szCs w:val="22"/>
        </w:rPr>
        <w:t>the assumption of ongoing treatment benefits for riociguat across the 15 year duration of the model</w:t>
      </w:r>
      <w:r w:rsidR="0032641B" w:rsidRPr="00301710">
        <w:rPr>
          <w:szCs w:val="22"/>
        </w:rPr>
        <w:t>;</w:t>
      </w:r>
      <w:r w:rsidRPr="00301710">
        <w:rPr>
          <w:szCs w:val="22"/>
        </w:rPr>
        <w:t xml:space="preserve"> and </w:t>
      </w:r>
    </w:p>
    <w:p w:rsidR="002F36A9" w:rsidRDefault="002F36A9" w:rsidP="000A0288">
      <w:pPr>
        <w:pStyle w:val="ListParagraph"/>
        <w:widowControl/>
        <w:numPr>
          <w:ilvl w:val="1"/>
          <w:numId w:val="12"/>
        </w:numPr>
        <w:ind w:left="993" w:hanging="284"/>
        <w:rPr>
          <w:szCs w:val="22"/>
        </w:rPr>
      </w:pPr>
      <w:proofErr w:type="gramStart"/>
      <w:r w:rsidRPr="00301710">
        <w:rPr>
          <w:szCs w:val="22"/>
        </w:rPr>
        <w:t>the</w:t>
      </w:r>
      <w:proofErr w:type="gramEnd"/>
      <w:r w:rsidRPr="00301710">
        <w:rPr>
          <w:szCs w:val="22"/>
        </w:rPr>
        <w:t xml:space="preserve"> derivation of placebo survival from </w:t>
      </w:r>
      <w:r w:rsidRPr="00AC546E">
        <w:rPr>
          <w:szCs w:val="22"/>
        </w:rPr>
        <w:t>a non-surgical cohort (</w:t>
      </w:r>
      <w:proofErr w:type="spellStart"/>
      <w:r w:rsidRPr="00AC546E">
        <w:rPr>
          <w:szCs w:val="22"/>
        </w:rPr>
        <w:t>Condliffe</w:t>
      </w:r>
      <w:proofErr w:type="spellEnd"/>
      <w:r w:rsidRPr="00AC546E">
        <w:rPr>
          <w:szCs w:val="22"/>
        </w:rPr>
        <w:t xml:space="preserve"> 2008)</w:t>
      </w:r>
      <w:r w:rsidR="008E2F61" w:rsidRPr="00AC546E">
        <w:rPr>
          <w:szCs w:val="22"/>
        </w:rPr>
        <w:t xml:space="preserve">; </w:t>
      </w:r>
      <w:r w:rsidR="0032641B" w:rsidRPr="00AC546E">
        <w:rPr>
          <w:szCs w:val="22"/>
        </w:rPr>
        <w:t xml:space="preserve">see </w:t>
      </w:r>
      <w:r w:rsidR="0032641B" w:rsidRPr="00A934CC">
        <w:rPr>
          <w:szCs w:val="22"/>
        </w:rPr>
        <w:t>paragraph 6.</w:t>
      </w:r>
      <w:r w:rsidR="00853F5C" w:rsidRPr="00A934CC">
        <w:rPr>
          <w:szCs w:val="22"/>
        </w:rPr>
        <w:t>24</w:t>
      </w:r>
      <w:r w:rsidR="008E2F61" w:rsidRPr="00AC546E">
        <w:rPr>
          <w:szCs w:val="22"/>
        </w:rPr>
        <w:t xml:space="preserve"> above</w:t>
      </w:r>
      <w:r w:rsidRPr="00AC546E">
        <w:rPr>
          <w:szCs w:val="22"/>
        </w:rPr>
        <w:t>.</w:t>
      </w:r>
    </w:p>
    <w:p w:rsidR="005B7CC0" w:rsidRPr="00301710" w:rsidRDefault="005B7CC0" w:rsidP="000A0288">
      <w:pPr>
        <w:widowControl/>
        <w:rPr>
          <w:szCs w:val="22"/>
        </w:rPr>
      </w:pPr>
    </w:p>
    <w:p w:rsidR="002F36A9" w:rsidRDefault="002F36A9" w:rsidP="000A0288">
      <w:pPr>
        <w:pStyle w:val="ListParagraph"/>
        <w:widowControl/>
        <w:numPr>
          <w:ilvl w:val="1"/>
          <w:numId w:val="2"/>
        </w:numPr>
        <w:rPr>
          <w:szCs w:val="22"/>
        </w:rPr>
      </w:pPr>
      <w:r w:rsidRPr="00301710">
        <w:rPr>
          <w:szCs w:val="22"/>
        </w:rPr>
        <w:t>During the evaluation, alternative time points for the duration of riociguat treatment benefits were tested in sensitivity analyses.</w:t>
      </w:r>
      <w:r w:rsidR="006B5090">
        <w:rPr>
          <w:szCs w:val="22"/>
        </w:rPr>
        <w:t xml:space="preserve"> </w:t>
      </w:r>
      <w:r w:rsidRPr="00301710">
        <w:rPr>
          <w:szCs w:val="22"/>
        </w:rPr>
        <w:t>While median duration of treatment from the CHEST-2 March 2014 cut-off was not reported in the re</w:t>
      </w:r>
      <w:r w:rsidR="0032641B" w:rsidRPr="00301710">
        <w:rPr>
          <w:szCs w:val="22"/>
        </w:rPr>
        <w:noBreakHyphen/>
      </w:r>
      <w:r w:rsidRPr="00301710">
        <w:rPr>
          <w:szCs w:val="22"/>
        </w:rPr>
        <w:t>submission, the application of placebo transition probabilities for WHO functional class and mortality from day 599 (median follow-up from CHEST-1 and CHEST-2, June 2012 cut-off) and day 1815 (maximum duration of follow-up from CHEST-2) resulted in ICER</w:t>
      </w:r>
      <w:r w:rsidR="000E17A0" w:rsidRPr="00301710">
        <w:rPr>
          <w:szCs w:val="22"/>
        </w:rPr>
        <w:t>s</w:t>
      </w:r>
      <w:r w:rsidRPr="00301710">
        <w:rPr>
          <w:szCs w:val="22"/>
        </w:rPr>
        <w:t xml:space="preserve"> of $1</w:t>
      </w:r>
      <w:r w:rsidR="00E24AFE">
        <w:rPr>
          <w:szCs w:val="22"/>
        </w:rPr>
        <w:t>05,000 to $200,000</w:t>
      </w:r>
      <w:r w:rsidRPr="00301710">
        <w:rPr>
          <w:szCs w:val="22"/>
        </w:rPr>
        <w:t xml:space="preserve"> and $</w:t>
      </w:r>
      <w:r w:rsidR="0093641B">
        <w:rPr>
          <w:szCs w:val="22"/>
        </w:rPr>
        <w:t>75,000 to $105</w:t>
      </w:r>
      <w:r w:rsidR="00E24AFE">
        <w:rPr>
          <w:szCs w:val="22"/>
        </w:rPr>
        <w:t>,000</w:t>
      </w:r>
      <w:r w:rsidRPr="00301710">
        <w:rPr>
          <w:szCs w:val="22"/>
        </w:rPr>
        <w:t>, respectively.</w:t>
      </w:r>
      <w:r w:rsidR="006B5090">
        <w:rPr>
          <w:szCs w:val="22"/>
        </w:rPr>
        <w:t xml:space="preserve"> </w:t>
      </w:r>
      <w:r w:rsidR="006E2CED" w:rsidRPr="005157C2">
        <w:rPr>
          <w:szCs w:val="22"/>
        </w:rPr>
        <w:t>While the ESC did not consider it was appropriate to apply survival estimates based on improvements in WHO functional class from baseline, this was of moderate consequence to the estimated ICER.</w:t>
      </w:r>
      <w:r w:rsidR="006E2CED" w:rsidRPr="00301710">
        <w:rPr>
          <w:szCs w:val="22"/>
        </w:rPr>
        <w:t xml:space="preserve"> </w:t>
      </w:r>
      <w:r w:rsidR="006E2CED">
        <w:rPr>
          <w:szCs w:val="22"/>
        </w:rPr>
        <w:t>W</w:t>
      </w:r>
      <w:r w:rsidR="001C64A6" w:rsidRPr="00301710">
        <w:rPr>
          <w:szCs w:val="22"/>
        </w:rPr>
        <w:t xml:space="preserve">hen survival estimates based on the overall population </w:t>
      </w:r>
      <w:r w:rsidR="00B67A49" w:rsidRPr="00301710">
        <w:rPr>
          <w:szCs w:val="22"/>
        </w:rPr>
        <w:t xml:space="preserve">instead of WHO functional class </w:t>
      </w:r>
      <w:r w:rsidR="001C64A6" w:rsidRPr="00301710">
        <w:rPr>
          <w:szCs w:val="22"/>
        </w:rPr>
        <w:t>w</w:t>
      </w:r>
      <w:r w:rsidR="00B67A49" w:rsidRPr="00301710">
        <w:rPr>
          <w:szCs w:val="22"/>
        </w:rPr>
        <w:t>ere</w:t>
      </w:r>
      <w:r w:rsidR="001C64A6" w:rsidRPr="00301710">
        <w:rPr>
          <w:szCs w:val="22"/>
        </w:rPr>
        <w:t xml:space="preserve"> applied to the economic model</w:t>
      </w:r>
      <w:r w:rsidR="0032641B" w:rsidRPr="00301710">
        <w:rPr>
          <w:szCs w:val="22"/>
        </w:rPr>
        <w:t>,</w:t>
      </w:r>
      <w:r w:rsidR="001C64A6" w:rsidRPr="00301710">
        <w:rPr>
          <w:szCs w:val="22"/>
        </w:rPr>
        <w:t xml:space="preserve"> the ICER increased by approximately $</w:t>
      </w:r>
      <w:r w:rsidR="0011087E">
        <w:rPr>
          <w:noProof/>
          <w:color w:val="000000"/>
          <w:szCs w:val="22"/>
          <w:highlight w:val="black"/>
        </w:rPr>
        <w:t>'''''''''''''''</w:t>
      </w:r>
      <w:r w:rsidR="001C64A6" w:rsidRPr="00301710">
        <w:rPr>
          <w:szCs w:val="22"/>
        </w:rPr>
        <w:t xml:space="preserve"> to $</w:t>
      </w:r>
      <w:r w:rsidR="00A14373">
        <w:rPr>
          <w:szCs w:val="22"/>
        </w:rPr>
        <w:t>4</w:t>
      </w:r>
      <w:r w:rsidR="0093641B">
        <w:rPr>
          <w:szCs w:val="22"/>
        </w:rPr>
        <w:t>5,000 to $</w:t>
      </w:r>
      <w:r w:rsidR="00A14373">
        <w:rPr>
          <w:szCs w:val="22"/>
        </w:rPr>
        <w:t>7</w:t>
      </w:r>
      <w:r w:rsidR="0093641B">
        <w:rPr>
          <w:szCs w:val="22"/>
        </w:rPr>
        <w:t>5,000</w:t>
      </w:r>
      <w:r w:rsidR="006E2CED">
        <w:rPr>
          <w:szCs w:val="22"/>
        </w:rPr>
        <w:t xml:space="preserve"> per QALY</w:t>
      </w:r>
      <w:r w:rsidR="001C64A6" w:rsidRPr="00301710">
        <w:rPr>
          <w:szCs w:val="22"/>
        </w:rPr>
        <w:t>.</w:t>
      </w:r>
    </w:p>
    <w:p w:rsidR="002F36A9" w:rsidRDefault="002F36A9" w:rsidP="000A0288">
      <w:pPr>
        <w:widowControl/>
        <w:rPr>
          <w:szCs w:val="22"/>
        </w:rPr>
      </w:pPr>
    </w:p>
    <w:p w:rsidR="00E92BB2" w:rsidRPr="00E66A98" w:rsidRDefault="00E92BB2" w:rsidP="000A0288">
      <w:pPr>
        <w:pStyle w:val="ListParagraph"/>
        <w:widowControl/>
        <w:numPr>
          <w:ilvl w:val="1"/>
          <w:numId w:val="2"/>
        </w:numPr>
        <w:rPr>
          <w:szCs w:val="22"/>
        </w:rPr>
      </w:pPr>
      <w:r w:rsidRPr="00E66A98">
        <w:rPr>
          <w:szCs w:val="22"/>
        </w:rPr>
        <w:t>The PCSR presented a revised economic model that incorporated the following changes:</w:t>
      </w:r>
    </w:p>
    <w:p w:rsidR="003C45A9" w:rsidRPr="00E66A98" w:rsidRDefault="00E92BB2" w:rsidP="000A0288">
      <w:pPr>
        <w:pStyle w:val="ListParagraph"/>
        <w:widowControl/>
        <w:numPr>
          <w:ilvl w:val="1"/>
          <w:numId w:val="12"/>
        </w:numPr>
        <w:ind w:left="993" w:hanging="284"/>
        <w:rPr>
          <w:szCs w:val="22"/>
        </w:rPr>
      </w:pPr>
      <w:r w:rsidRPr="00E66A98">
        <w:rPr>
          <w:szCs w:val="22"/>
        </w:rPr>
        <w:lastRenderedPageBreak/>
        <w:t>A disutility value for dizziness</w:t>
      </w:r>
      <w:r w:rsidRPr="00E66A98">
        <w:t xml:space="preserve"> </w:t>
      </w:r>
      <w:r w:rsidRPr="00E66A98">
        <w:rPr>
          <w:szCs w:val="22"/>
        </w:rPr>
        <w:t>associated with paroxysmal/persistent atrial fibrillation (0.01) was sourced from a conference poster by Doyle et al (2009).</w:t>
      </w:r>
      <w:r w:rsidR="006B5090" w:rsidRPr="00E66A98">
        <w:rPr>
          <w:szCs w:val="22"/>
        </w:rPr>
        <w:t xml:space="preserve"> </w:t>
      </w:r>
    </w:p>
    <w:p w:rsidR="003C45A9" w:rsidRPr="00E66A98" w:rsidRDefault="00E92BB2" w:rsidP="000A0288">
      <w:pPr>
        <w:pStyle w:val="Subtitle"/>
        <w:numPr>
          <w:ilvl w:val="0"/>
          <w:numId w:val="25"/>
        </w:numPr>
        <w:ind w:left="1276" w:hanging="283"/>
        <w:rPr>
          <w:rFonts w:ascii="Arial" w:hAnsi="Arial" w:cs="Arial"/>
          <w:sz w:val="22"/>
          <w:szCs w:val="22"/>
        </w:rPr>
      </w:pPr>
      <w:r w:rsidRPr="00E66A98">
        <w:rPr>
          <w:rFonts w:ascii="Arial" w:hAnsi="Arial" w:cs="Arial"/>
          <w:sz w:val="22"/>
          <w:szCs w:val="22"/>
        </w:rPr>
        <w:t xml:space="preserve">While the PSCR claimed that the disutility values </w:t>
      </w:r>
      <w:r w:rsidR="002D66DF" w:rsidRPr="00E66A98">
        <w:rPr>
          <w:rFonts w:ascii="Arial" w:hAnsi="Arial" w:cs="Arial"/>
          <w:sz w:val="22"/>
          <w:szCs w:val="22"/>
        </w:rPr>
        <w:t>were calculated using the EQ</w:t>
      </w:r>
      <w:r w:rsidR="002D66DF" w:rsidRPr="00E66A98">
        <w:rPr>
          <w:rFonts w:ascii="Arial" w:hAnsi="Arial" w:cs="Arial"/>
          <w:sz w:val="22"/>
          <w:szCs w:val="22"/>
        </w:rPr>
        <w:noBreakHyphen/>
        <w:t>5D</w:t>
      </w:r>
      <w:r w:rsidRPr="00E66A98">
        <w:rPr>
          <w:rFonts w:ascii="Arial" w:hAnsi="Arial" w:cs="Arial"/>
          <w:sz w:val="22"/>
          <w:szCs w:val="22"/>
        </w:rPr>
        <w:t>, a review of the conference poster indicated that the EQ-5D was only used in the construction of the atrial fibrillation health states presented to participants (n=127, UK general public), with utilities being elicited from a time trade off and ranking task.</w:t>
      </w:r>
    </w:p>
    <w:p w:rsidR="003C45A9" w:rsidRPr="00E66A98" w:rsidRDefault="00CF231C" w:rsidP="000A0288">
      <w:pPr>
        <w:pStyle w:val="ListParagraph"/>
        <w:widowControl/>
        <w:numPr>
          <w:ilvl w:val="1"/>
          <w:numId w:val="12"/>
        </w:numPr>
        <w:ind w:left="993" w:hanging="284"/>
        <w:rPr>
          <w:szCs w:val="22"/>
        </w:rPr>
      </w:pPr>
      <w:r w:rsidRPr="00E66A98">
        <w:rPr>
          <w:szCs w:val="22"/>
        </w:rPr>
        <w:t xml:space="preserve">Revised transition probabilities for death for </w:t>
      </w:r>
      <w:r w:rsidR="00C25C82" w:rsidRPr="00E66A98">
        <w:rPr>
          <w:szCs w:val="22"/>
        </w:rPr>
        <w:t xml:space="preserve">the </w:t>
      </w:r>
      <w:r w:rsidR="00291F31" w:rsidRPr="00E66A98">
        <w:rPr>
          <w:szCs w:val="22"/>
        </w:rPr>
        <w:t>placebo group (</w:t>
      </w:r>
      <w:r w:rsidR="003C45A9" w:rsidRPr="00E66A98">
        <w:rPr>
          <w:szCs w:val="22"/>
        </w:rPr>
        <w:t xml:space="preserve">using </w:t>
      </w:r>
      <w:r w:rsidR="00291F31" w:rsidRPr="00E66A98">
        <w:rPr>
          <w:szCs w:val="22"/>
        </w:rPr>
        <w:t>surgical and non</w:t>
      </w:r>
      <w:r w:rsidR="00291F31" w:rsidRPr="00E66A98">
        <w:rPr>
          <w:szCs w:val="22"/>
        </w:rPr>
        <w:noBreakHyphen/>
      </w:r>
      <w:r w:rsidRPr="00E66A98">
        <w:rPr>
          <w:szCs w:val="22"/>
        </w:rPr>
        <w:t>surgical)</w:t>
      </w:r>
      <w:r w:rsidR="002A2219">
        <w:rPr>
          <w:szCs w:val="22"/>
        </w:rPr>
        <w:t xml:space="preserve"> (</w:t>
      </w:r>
      <w:r w:rsidR="002A2219" w:rsidRPr="00A934CC">
        <w:rPr>
          <w:szCs w:val="22"/>
        </w:rPr>
        <w:t>see paragraph 6.24</w:t>
      </w:r>
      <w:r w:rsidR="003D258F" w:rsidRPr="00E66A98">
        <w:rPr>
          <w:szCs w:val="22"/>
        </w:rPr>
        <w:t>)</w:t>
      </w:r>
      <w:r w:rsidR="00C25C82" w:rsidRPr="00E66A98">
        <w:rPr>
          <w:szCs w:val="22"/>
        </w:rPr>
        <w:t xml:space="preserve">. </w:t>
      </w:r>
    </w:p>
    <w:p w:rsidR="003C45A9" w:rsidRPr="00E66A98" w:rsidRDefault="00087DBE" w:rsidP="000A0288">
      <w:pPr>
        <w:pStyle w:val="Subtitle"/>
        <w:numPr>
          <w:ilvl w:val="0"/>
          <w:numId w:val="25"/>
        </w:numPr>
        <w:ind w:left="1276" w:hanging="283"/>
        <w:rPr>
          <w:rFonts w:ascii="Arial" w:hAnsi="Arial" w:cs="Arial"/>
          <w:sz w:val="22"/>
          <w:szCs w:val="22"/>
        </w:rPr>
      </w:pPr>
      <w:r w:rsidRPr="00E66A98">
        <w:rPr>
          <w:rFonts w:ascii="Arial" w:hAnsi="Arial" w:cs="Arial"/>
          <w:sz w:val="22"/>
          <w:szCs w:val="22"/>
        </w:rPr>
        <w:t xml:space="preserve">The ESC noted that </w:t>
      </w:r>
      <w:proofErr w:type="spellStart"/>
      <w:r w:rsidRPr="00E66A98">
        <w:rPr>
          <w:rFonts w:ascii="Arial" w:hAnsi="Arial" w:cs="Arial"/>
          <w:sz w:val="22"/>
          <w:szCs w:val="22"/>
        </w:rPr>
        <w:t>Condliffe</w:t>
      </w:r>
      <w:proofErr w:type="spellEnd"/>
      <w:r w:rsidRPr="00E66A98">
        <w:rPr>
          <w:rFonts w:ascii="Arial" w:hAnsi="Arial" w:cs="Arial"/>
          <w:sz w:val="22"/>
          <w:szCs w:val="22"/>
        </w:rPr>
        <w:t xml:space="preserve"> 2008 included survival data for </w:t>
      </w:r>
      <w:r w:rsidR="00C853CD" w:rsidRPr="00E66A98">
        <w:rPr>
          <w:rFonts w:ascii="Arial" w:hAnsi="Arial" w:cs="Arial"/>
          <w:sz w:val="22"/>
          <w:szCs w:val="22"/>
        </w:rPr>
        <w:t xml:space="preserve">patients with </w:t>
      </w:r>
      <w:r w:rsidRPr="00E66A98">
        <w:rPr>
          <w:rFonts w:ascii="Arial" w:hAnsi="Arial" w:cs="Arial"/>
          <w:sz w:val="22"/>
          <w:szCs w:val="22"/>
        </w:rPr>
        <w:t>persistent CTEPH following surgery which would have been a more appropriate data source (albeit with a small number of patients) to estimate placebo extrapolations of survival for persistent CTEPH patients</w:t>
      </w:r>
      <w:r w:rsidR="003C45A9" w:rsidRPr="00E66A98">
        <w:rPr>
          <w:rFonts w:ascii="Arial" w:hAnsi="Arial" w:cs="Arial"/>
          <w:sz w:val="22"/>
          <w:szCs w:val="22"/>
        </w:rPr>
        <w:t xml:space="preserve"> than the survival data for all surgical CTEPH patients</w:t>
      </w:r>
      <w:r w:rsidRPr="00E66A98">
        <w:rPr>
          <w:rFonts w:ascii="Arial" w:hAnsi="Arial" w:cs="Arial"/>
          <w:sz w:val="22"/>
          <w:szCs w:val="22"/>
        </w:rPr>
        <w:t xml:space="preserve">. </w:t>
      </w:r>
    </w:p>
    <w:p w:rsidR="00CF231C" w:rsidRPr="00E66A98" w:rsidRDefault="00087DBE" w:rsidP="000A0288">
      <w:pPr>
        <w:pStyle w:val="Subtitle"/>
        <w:numPr>
          <w:ilvl w:val="0"/>
          <w:numId w:val="25"/>
        </w:numPr>
        <w:ind w:left="1276" w:hanging="283"/>
        <w:rPr>
          <w:rFonts w:ascii="Arial" w:hAnsi="Arial" w:cs="Arial"/>
          <w:sz w:val="22"/>
          <w:szCs w:val="22"/>
        </w:rPr>
      </w:pPr>
      <w:r w:rsidRPr="00E66A98">
        <w:rPr>
          <w:rFonts w:ascii="Arial" w:hAnsi="Arial" w:cs="Arial"/>
          <w:sz w:val="22"/>
          <w:szCs w:val="22"/>
        </w:rPr>
        <w:t>In this regard, the ESC noted that it may have been more appropriate to consider inoperable and persistent CTEPH patients in separate economic models.</w:t>
      </w:r>
    </w:p>
    <w:p w:rsidR="00291F31" w:rsidRPr="00E66A98" w:rsidRDefault="00291F31" w:rsidP="000A0288">
      <w:pPr>
        <w:pStyle w:val="ListParagraph"/>
        <w:widowControl/>
        <w:numPr>
          <w:ilvl w:val="1"/>
          <w:numId w:val="12"/>
        </w:numPr>
        <w:ind w:left="993" w:hanging="284"/>
        <w:rPr>
          <w:szCs w:val="22"/>
        </w:rPr>
      </w:pPr>
      <w:r w:rsidRPr="00E66A98">
        <w:rPr>
          <w:szCs w:val="22"/>
        </w:rPr>
        <w:t xml:space="preserve">The cost of placebo treatment was adjusted assuming that the costs of </w:t>
      </w:r>
      <w:proofErr w:type="spellStart"/>
      <w:r w:rsidRPr="00E66A98">
        <w:rPr>
          <w:szCs w:val="22"/>
        </w:rPr>
        <w:t>bosentan</w:t>
      </w:r>
      <w:proofErr w:type="spellEnd"/>
      <w:r w:rsidRPr="00E66A98">
        <w:rPr>
          <w:szCs w:val="22"/>
        </w:rPr>
        <w:t xml:space="preserve"> would apply to 30% of placebo patient</w:t>
      </w:r>
      <w:r w:rsidR="00AB69BA" w:rsidRPr="00E66A98">
        <w:rPr>
          <w:szCs w:val="22"/>
        </w:rPr>
        <w:t>s ($</w:t>
      </w:r>
      <w:r w:rsidR="0011087E">
        <w:rPr>
          <w:noProof/>
          <w:color w:val="000000"/>
          <w:szCs w:val="22"/>
          <w:highlight w:val="black"/>
        </w:rPr>
        <w:t>'''''''''''''''</w:t>
      </w:r>
      <w:r w:rsidR="00AB69BA" w:rsidRPr="00E66A98">
        <w:rPr>
          <w:szCs w:val="22"/>
        </w:rPr>
        <w:t>). The PSCR considered</w:t>
      </w:r>
      <w:r w:rsidRPr="00E66A98">
        <w:rPr>
          <w:szCs w:val="22"/>
        </w:rPr>
        <w:t xml:space="preserve"> this to be a likely underestimate given the reported use of disease modifying therapies in </w:t>
      </w:r>
      <w:proofErr w:type="spellStart"/>
      <w:r w:rsidRPr="00E66A98">
        <w:rPr>
          <w:szCs w:val="22"/>
        </w:rPr>
        <w:t>Condliffe</w:t>
      </w:r>
      <w:proofErr w:type="spellEnd"/>
      <w:r w:rsidRPr="00E66A98">
        <w:rPr>
          <w:szCs w:val="22"/>
        </w:rPr>
        <w:t xml:space="preserve"> 2008</w:t>
      </w:r>
      <w:r w:rsidR="00AB69BA" w:rsidRPr="00E66A98">
        <w:rPr>
          <w:szCs w:val="22"/>
        </w:rPr>
        <w:t>.</w:t>
      </w:r>
      <w:r w:rsidRPr="00E66A98">
        <w:rPr>
          <w:szCs w:val="22"/>
        </w:rPr>
        <w:t xml:space="preserve"> </w:t>
      </w:r>
      <w:r w:rsidR="006A40BD" w:rsidRPr="00E66A98">
        <w:rPr>
          <w:szCs w:val="22"/>
        </w:rPr>
        <w:t>The ESC noted that the</w:t>
      </w:r>
      <w:r w:rsidRPr="00E66A98">
        <w:rPr>
          <w:szCs w:val="22"/>
        </w:rPr>
        <w:t xml:space="preserve"> costs associated with </w:t>
      </w:r>
      <w:proofErr w:type="spellStart"/>
      <w:r w:rsidRPr="00E66A98">
        <w:rPr>
          <w:szCs w:val="22"/>
        </w:rPr>
        <w:t>bosentan</w:t>
      </w:r>
      <w:proofErr w:type="spellEnd"/>
      <w:r w:rsidRPr="00E66A98">
        <w:rPr>
          <w:szCs w:val="22"/>
        </w:rPr>
        <w:t xml:space="preserve"> </w:t>
      </w:r>
      <w:r w:rsidR="006A40BD" w:rsidRPr="00E66A98">
        <w:rPr>
          <w:szCs w:val="22"/>
        </w:rPr>
        <w:t xml:space="preserve">were </w:t>
      </w:r>
      <w:r w:rsidRPr="00E66A98">
        <w:rPr>
          <w:szCs w:val="22"/>
        </w:rPr>
        <w:t>applied as an offset to the riociguat price applied in the economic model, resulting in a reduced cost per day for</w:t>
      </w:r>
      <w:r w:rsidR="00AB69BA" w:rsidRPr="00E66A98">
        <w:rPr>
          <w:szCs w:val="22"/>
        </w:rPr>
        <w:t xml:space="preserve"> riociguat ($</w:t>
      </w:r>
      <w:r w:rsidR="0011087E">
        <w:rPr>
          <w:noProof/>
          <w:color w:val="000000"/>
          <w:szCs w:val="22"/>
          <w:highlight w:val="black"/>
        </w:rPr>
        <w:t>'''''''''''''</w:t>
      </w:r>
      <w:r w:rsidR="00AB69BA" w:rsidRPr="00E66A98">
        <w:rPr>
          <w:szCs w:val="22"/>
        </w:rPr>
        <w:t xml:space="preserve"> vs $</w:t>
      </w:r>
      <w:r w:rsidR="0011087E">
        <w:rPr>
          <w:noProof/>
          <w:color w:val="000000"/>
          <w:szCs w:val="22"/>
          <w:highlight w:val="black"/>
        </w:rPr>
        <w:t>'''''''''''''</w:t>
      </w:r>
      <w:r w:rsidR="00AB69BA" w:rsidRPr="00E66A98">
        <w:rPr>
          <w:szCs w:val="22"/>
        </w:rPr>
        <w:t xml:space="preserve">). The ESC </w:t>
      </w:r>
      <w:r w:rsidRPr="00E66A98">
        <w:rPr>
          <w:szCs w:val="22"/>
        </w:rPr>
        <w:t xml:space="preserve">considered that this approach </w:t>
      </w:r>
      <w:r w:rsidR="00AF700B" w:rsidRPr="00E66A98">
        <w:rPr>
          <w:szCs w:val="22"/>
        </w:rPr>
        <w:t>likely led to inappropriately low</w:t>
      </w:r>
      <w:r w:rsidRPr="00E66A98">
        <w:rPr>
          <w:szCs w:val="22"/>
        </w:rPr>
        <w:t xml:space="preserve"> incremental costs due to the following factors:</w:t>
      </w:r>
    </w:p>
    <w:p w:rsidR="00291F31" w:rsidRPr="00E66A98" w:rsidRDefault="00291F31" w:rsidP="000A0288">
      <w:pPr>
        <w:pStyle w:val="Subtitle"/>
        <w:numPr>
          <w:ilvl w:val="0"/>
          <w:numId w:val="25"/>
        </w:numPr>
        <w:ind w:left="1276" w:hanging="283"/>
        <w:rPr>
          <w:rFonts w:ascii="Arial" w:hAnsi="Arial" w:cs="Arial"/>
          <w:b/>
          <w:sz w:val="22"/>
          <w:szCs w:val="22"/>
        </w:rPr>
      </w:pPr>
      <w:r w:rsidRPr="00E66A98">
        <w:rPr>
          <w:rFonts w:ascii="Arial" w:hAnsi="Arial" w:cs="Arial"/>
          <w:sz w:val="22"/>
          <w:szCs w:val="22"/>
        </w:rPr>
        <w:t xml:space="preserve">There </w:t>
      </w:r>
      <w:r w:rsidR="003D258F" w:rsidRPr="00E66A98">
        <w:rPr>
          <w:rFonts w:ascii="Arial" w:hAnsi="Arial" w:cs="Arial"/>
          <w:sz w:val="22"/>
          <w:szCs w:val="22"/>
        </w:rPr>
        <w:t>wa</w:t>
      </w:r>
      <w:r w:rsidRPr="00E66A98">
        <w:rPr>
          <w:rFonts w:ascii="Arial" w:hAnsi="Arial" w:cs="Arial"/>
          <w:sz w:val="22"/>
          <w:szCs w:val="22"/>
        </w:rPr>
        <w:t xml:space="preserve">s no consideration for differences in treatment duration for riociguat </w:t>
      </w:r>
      <w:r w:rsidR="00AB69BA" w:rsidRPr="00E66A98">
        <w:rPr>
          <w:rFonts w:ascii="Arial" w:hAnsi="Arial" w:cs="Arial"/>
          <w:sz w:val="22"/>
          <w:szCs w:val="22"/>
        </w:rPr>
        <w:t xml:space="preserve">and </w:t>
      </w:r>
      <w:proofErr w:type="spellStart"/>
      <w:r w:rsidR="00AB69BA" w:rsidRPr="00E66A98">
        <w:rPr>
          <w:rFonts w:ascii="Arial" w:hAnsi="Arial" w:cs="Arial"/>
          <w:sz w:val="22"/>
          <w:szCs w:val="22"/>
        </w:rPr>
        <w:t>bosentan</w:t>
      </w:r>
      <w:proofErr w:type="spellEnd"/>
      <w:r w:rsidR="00AB69BA" w:rsidRPr="00E66A98">
        <w:rPr>
          <w:rFonts w:ascii="Arial" w:hAnsi="Arial" w:cs="Arial"/>
          <w:sz w:val="22"/>
          <w:szCs w:val="22"/>
        </w:rPr>
        <w:t xml:space="preserve"> treated patients. </w:t>
      </w:r>
      <w:r w:rsidRPr="00E66A98">
        <w:rPr>
          <w:rFonts w:ascii="Arial" w:hAnsi="Arial" w:cs="Arial"/>
          <w:sz w:val="22"/>
          <w:szCs w:val="22"/>
        </w:rPr>
        <w:t>Due to the increased survival associated with</w:t>
      </w:r>
      <w:r>
        <w:rPr>
          <w:rFonts w:ascii="Arial" w:hAnsi="Arial" w:cs="Arial"/>
          <w:i/>
          <w:sz w:val="22"/>
          <w:szCs w:val="22"/>
        </w:rPr>
        <w:t xml:space="preserve"> </w:t>
      </w:r>
      <w:r w:rsidRPr="00E66A98">
        <w:rPr>
          <w:rFonts w:ascii="Arial" w:hAnsi="Arial" w:cs="Arial"/>
          <w:sz w:val="22"/>
          <w:szCs w:val="22"/>
        </w:rPr>
        <w:t>riociguat treated patients, a more appropriate approach would have been to attribute an increase in drug costs to the placebo arm of the model with an accompanying adjustment to the discontinuation and compliance rates.</w:t>
      </w:r>
    </w:p>
    <w:p w:rsidR="00E7159A" w:rsidRPr="00A934CC" w:rsidRDefault="00291F31" w:rsidP="00E7159A">
      <w:pPr>
        <w:pStyle w:val="Subtitle"/>
        <w:numPr>
          <w:ilvl w:val="0"/>
          <w:numId w:val="25"/>
        </w:numPr>
        <w:ind w:left="1276" w:hanging="283"/>
        <w:rPr>
          <w:rFonts w:ascii="Arial" w:hAnsi="Arial" w:cs="Arial"/>
          <w:b/>
          <w:sz w:val="22"/>
          <w:szCs w:val="22"/>
        </w:rPr>
      </w:pPr>
      <w:r w:rsidRPr="00E66A98">
        <w:rPr>
          <w:rFonts w:ascii="Arial" w:hAnsi="Arial" w:cs="Arial"/>
          <w:sz w:val="22"/>
          <w:szCs w:val="22"/>
        </w:rPr>
        <w:t>The current settings of the economic model utilise a discontinuation rate of 8.0% for r</w:t>
      </w:r>
      <w:r w:rsidR="00AB69BA" w:rsidRPr="00E66A98">
        <w:rPr>
          <w:rFonts w:ascii="Arial" w:hAnsi="Arial" w:cs="Arial"/>
          <w:sz w:val="22"/>
          <w:szCs w:val="22"/>
        </w:rPr>
        <w:t xml:space="preserve">iociguat and 5.7% for placebo. </w:t>
      </w:r>
      <w:r w:rsidRPr="00E66A98">
        <w:rPr>
          <w:rFonts w:ascii="Arial" w:hAnsi="Arial" w:cs="Arial"/>
          <w:sz w:val="22"/>
          <w:szCs w:val="22"/>
        </w:rPr>
        <w:t xml:space="preserve">It is unlikely that placebo discontinuation (i.e. </w:t>
      </w:r>
      <w:proofErr w:type="spellStart"/>
      <w:r w:rsidRPr="00E66A98">
        <w:rPr>
          <w:rFonts w:ascii="Arial" w:hAnsi="Arial" w:cs="Arial"/>
          <w:sz w:val="22"/>
          <w:szCs w:val="22"/>
        </w:rPr>
        <w:t>bosentan</w:t>
      </w:r>
      <w:proofErr w:type="spellEnd"/>
      <w:r w:rsidRPr="00E66A98">
        <w:rPr>
          <w:rFonts w:ascii="Arial" w:hAnsi="Arial" w:cs="Arial"/>
          <w:sz w:val="22"/>
          <w:szCs w:val="22"/>
        </w:rPr>
        <w:t xml:space="preserve"> treatment) would be reduced compared </w:t>
      </w:r>
      <w:r w:rsidR="005219C2">
        <w:rPr>
          <w:rFonts w:ascii="Arial" w:hAnsi="Arial" w:cs="Arial"/>
          <w:sz w:val="22"/>
          <w:szCs w:val="22"/>
        </w:rPr>
        <w:t>with</w:t>
      </w:r>
      <w:r w:rsidRPr="00E66A98">
        <w:rPr>
          <w:rFonts w:ascii="Arial" w:hAnsi="Arial" w:cs="Arial"/>
          <w:sz w:val="22"/>
          <w:szCs w:val="22"/>
        </w:rPr>
        <w:t xml:space="preserve"> </w:t>
      </w:r>
      <w:r w:rsidRPr="00A934CC">
        <w:rPr>
          <w:rFonts w:ascii="Arial" w:hAnsi="Arial" w:cs="Arial"/>
          <w:sz w:val="22"/>
          <w:szCs w:val="22"/>
        </w:rPr>
        <w:t>riociguat, considering the re-submission’s claim of superiority for riociguat.</w:t>
      </w:r>
    </w:p>
    <w:p w:rsidR="00E7159A" w:rsidRPr="00A934CC" w:rsidRDefault="00E7159A" w:rsidP="00E7159A">
      <w:pPr>
        <w:pStyle w:val="Subtitle"/>
        <w:numPr>
          <w:ilvl w:val="0"/>
          <w:numId w:val="25"/>
        </w:numPr>
        <w:ind w:left="1276" w:hanging="283"/>
        <w:rPr>
          <w:rFonts w:ascii="Arial" w:hAnsi="Arial" w:cs="Arial"/>
          <w:sz w:val="22"/>
          <w:szCs w:val="22"/>
        </w:rPr>
      </w:pPr>
      <w:r w:rsidRPr="00A934CC">
        <w:rPr>
          <w:rFonts w:ascii="Arial" w:hAnsi="Arial" w:cs="Arial"/>
          <w:sz w:val="22"/>
          <w:szCs w:val="22"/>
        </w:rPr>
        <w:t xml:space="preserve">The pre-PBAC response acknowledged the ESC advice that the additional cost per cycle should have been applied to the placebo group and that the discontinuation rates of placebo and riociguat should be set equal. The response stated that this approach </w:t>
      </w:r>
      <w:r w:rsidR="00181373" w:rsidRPr="00A934CC">
        <w:rPr>
          <w:rFonts w:ascii="Arial" w:hAnsi="Arial" w:cs="Arial"/>
          <w:sz w:val="22"/>
          <w:szCs w:val="22"/>
        </w:rPr>
        <w:t>only resulted in a moderate increase in the ICER due to the small incremental life years gained with riociguat compared with placebo</w:t>
      </w:r>
      <w:r w:rsidRPr="00A934CC">
        <w:rPr>
          <w:rFonts w:ascii="Arial" w:hAnsi="Arial" w:cs="Arial"/>
          <w:sz w:val="22"/>
          <w:szCs w:val="22"/>
        </w:rPr>
        <w:t>.</w:t>
      </w:r>
    </w:p>
    <w:p w:rsidR="00E92BB2" w:rsidRPr="00E66A98" w:rsidRDefault="00E92BB2" w:rsidP="000A0288">
      <w:pPr>
        <w:widowControl/>
        <w:rPr>
          <w:szCs w:val="22"/>
        </w:rPr>
      </w:pPr>
    </w:p>
    <w:p w:rsidR="00253003" w:rsidRPr="00E66A98" w:rsidRDefault="00253003" w:rsidP="000A0288">
      <w:pPr>
        <w:pStyle w:val="ListParagraph"/>
        <w:widowControl/>
        <w:numPr>
          <w:ilvl w:val="1"/>
          <w:numId w:val="2"/>
        </w:numPr>
        <w:rPr>
          <w:szCs w:val="22"/>
        </w:rPr>
      </w:pPr>
      <w:r w:rsidRPr="00E66A98">
        <w:rPr>
          <w:szCs w:val="22"/>
        </w:rPr>
        <w:t>Results from the revised economic model and accompanying sensitivity analyses are presented in the table below.</w:t>
      </w:r>
      <w:r w:rsidR="006B5090" w:rsidRPr="00E66A98">
        <w:rPr>
          <w:szCs w:val="22"/>
        </w:rPr>
        <w:t xml:space="preserve"> </w:t>
      </w:r>
      <w:r w:rsidRPr="00E66A98">
        <w:rPr>
          <w:szCs w:val="22"/>
        </w:rPr>
        <w:t>The estimated ICER is based on a 74%:26%</w:t>
      </w:r>
      <w:r w:rsidR="00AB69BA" w:rsidRPr="00E66A98">
        <w:rPr>
          <w:szCs w:val="22"/>
        </w:rPr>
        <w:t xml:space="preserve"> weighting </w:t>
      </w:r>
      <w:r w:rsidRPr="00E66A98">
        <w:rPr>
          <w:szCs w:val="22"/>
        </w:rPr>
        <w:t>between inoperable CTEPH and persistent CTEPH</w:t>
      </w:r>
      <w:r w:rsidR="00C60418" w:rsidRPr="00E66A98">
        <w:rPr>
          <w:szCs w:val="22"/>
        </w:rPr>
        <w:t xml:space="preserve"> following PEA</w:t>
      </w:r>
      <w:r w:rsidRPr="00E66A98">
        <w:rPr>
          <w:szCs w:val="22"/>
        </w:rPr>
        <w:t>.</w:t>
      </w:r>
      <w:r w:rsidR="006B5090" w:rsidRPr="00E66A98">
        <w:rPr>
          <w:szCs w:val="22"/>
        </w:rPr>
        <w:t xml:space="preserve"> </w:t>
      </w:r>
      <w:r w:rsidRPr="00E66A98">
        <w:rPr>
          <w:szCs w:val="22"/>
        </w:rPr>
        <w:t>The revised PSCR estimates could not be independently verified.</w:t>
      </w:r>
      <w:r w:rsidR="006B5090" w:rsidRPr="00E66A98">
        <w:rPr>
          <w:szCs w:val="22"/>
        </w:rPr>
        <w:t xml:space="preserve"> </w:t>
      </w:r>
      <w:r w:rsidRPr="00E66A98">
        <w:rPr>
          <w:szCs w:val="22"/>
        </w:rPr>
        <w:t xml:space="preserve">While instructions were provided for the application of the revised </w:t>
      </w:r>
      <w:r w:rsidR="002D66DF" w:rsidRPr="00E66A98">
        <w:rPr>
          <w:szCs w:val="22"/>
        </w:rPr>
        <w:t>placebo survival estimates, it wa</w:t>
      </w:r>
      <w:r w:rsidRPr="00E66A98">
        <w:rPr>
          <w:szCs w:val="22"/>
        </w:rPr>
        <w:t xml:space="preserve">s unclear how disutility for dizziness was incorporated into </w:t>
      </w:r>
      <w:r w:rsidR="005219C2">
        <w:rPr>
          <w:szCs w:val="22"/>
        </w:rPr>
        <w:t xml:space="preserve">the </w:t>
      </w:r>
      <w:r w:rsidRPr="00E66A98">
        <w:rPr>
          <w:szCs w:val="22"/>
        </w:rPr>
        <w:t>revised economic model.</w:t>
      </w:r>
      <w:r w:rsidR="006B5090" w:rsidRPr="00E66A98">
        <w:rPr>
          <w:szCs w:val="22"/>
        </w:rPr>
        <w:t xml:space="preserve"> </w:t>
      </w:r>
      <w:r w:rsidRPr="00E66A98">
        <w:rPr>
          <w:szCs w:val="22"/>
        </w:rPr>
        <w:t>The PSCR claimed that applying disutility for dizziness resul</w:t>
      </w:r>
      <w:r w:rsidR="002D66DF" w:rsidRPr="00E66A98">
        <w:rPr>
          <w:szCs w:val="22"/>
        </w:rPr>
        <w:t xml:space="preserve">ted in a change to the ICER of around </w:t>
      </w:r>
      <w:r w:rsidRPr="00E66A98">
        <w:rPr>
          <w:szCs w:val="22"/>
        </w:rPr>
        <w:t>$</w:t>
      </w:r>
      <w:r w:rsidR="0011087E">
        <w:rPr>
          <w:noProof/>
          <w:color w:val="000000"/>
          <w:szCs w:val="22"/>
          <w:highlight w:val="black"/>
        </w:rPr>
        <w:t>'''''''''''''</w:t>
      </w:r>
      <w:r w:rsidRPr="00E66A98">
        <w:rPr>
          <w:szCs w:val="22"/>
        </w:rPr>
        <w:t>.</w:t>
      </w:r>
      <w:r w:rsidR="006B5090" w:rsidRPr="00E66A98">
        <w:rPr>
          <w:szCs w:val="22"/>
        </w:rPr>
        <w:t xml:space="preserve"> </w:t>
      </w:r>
    </w:p>
    <w:p w:rsidR="00253003" w:rsidRDefault="00253003" w:rsidP="000A0288">
      <w:pPr>
        <w:pStyle w:val="Subtitle"/>
        <w:rPr>
          <w:rFonts w:ascii="Arial" w:hAnsi="Arial" w:cs="Arial"/>
          <w:b/>
          <w:sz w:val="22"/>
          <w:szCs w:val="22"/>
        </w:rPr>
      </w:pPr>
    </w:p>
    <w:p w:rsidR="00253003" w:rsidRPr="00894CFF" w:rsidRDefault="00253003" w:rsidP="000A0288">
      <w:pPr>
        <w:pStyle w:val="Subtitle"/>
        <w:keepNext/>
        <w:ind w:left="709"/>
        <w:rPr>
          <w:rStyle w:val="CommentReference"/>
        </w:rPr>
      </w:pPr>
      <w:r w:rsidRPr="00894CFF">
        <w:rPr>
          <w:rStyle w:val="CommentReference"/>
        </w:rPr>
        <w:lastRenderedPageBreak/>
        <w:t xml:space="preserve">Table </w:t>
      </w:r>
      <w:r w:rsidR="00E42169" w:rsidRPr="00894CFF">
        <w:rPr>
          <w:rStyle w:val="CommentReference"/>
        </w:rPr>
        <w:t>8</w:t>
      </w:r>
      <w:r w:rsidRPr="00894CFF">
        <w:rPr>
          <w:rStyle w:val="CommentReference"/>
        </w:rPr>
        <w:t>: Revised base case of the economic evaluation and sensitivity analyses</w:t>
      </w:r>
      <w:r w:rsidR="006B56DD" w:rsidRPr="00894CFF">
        <w:rPr>
          <w:rStyle w:val="CommentReference"/>
        </w:rPr>
        <w:t xml:space="preserve"> (incremental cost per QALY)</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20"/>
        <w:gridCol w:w="1762"/>
        <w:gridCol w:w="1763"/>
      </w:tblGrid>
      <w:tr w:rsidR="00253003" w:rsidRPr="00717891" w:rsidTr="00253003">
        <w:tc>
          <w:tcPr>
            <w:tcW w:w="4820" w:type="dxa"/>
            <w:shd w:val="clear" w:color="auto" w:fill="auto"/>
          </w:tcPr>
          <w:p w:rsidR="00253003" w:rsidRPr="00717891" w:rsidRDefault="00253003" w:rsidP="000A0288">
            <w:pPr>
              <w:keepNext/>
              <w:widowControl/>
              <w:rPr>
                <w:rFonts w:ascii="Arial Narrow" w:eastAsia="SimSun" w:hAnsi="Arial Narrow"/>
                <w:b/>
                <w:sz w:val="20"/>
                <w:lang w:eastAsia="zh-CN"/>
              </w:rPr>
            </w:pPr>
            <w:r w:rsidRPr="00717891">
              <w:rPr>
                <w:rFonts w:ascii="Arial Narrow" w:eastAsia="SimSun" w:hAnsi="Arial Narrow"/>
                <w:b/>
                <w:sz w:val="20"/>
                <w:lang w:eastAsia="zh-CN"/>
              </w:rPr>
              <w:t>Scenario</w:t>
            </w:r>
          </w:p>
        </w:tc>
        <w:tc>
          <w:tcPr>
            <w:tcW w:w="1762" w:type="dxa"/>
            <w:shd w:val="clear" w:color="auto" w:fill="auto"/>
          </w:tcPr>
          <w:p w:rsidR="00253003" w:rsidRPr="00717891" w:rsidRDefault="00253003" w:rsidP="000A0288">
            <w:pPr>
              <w:keepNext/>
              <w:widowControl/>
              <w:jc w:val="center"/>
              <w:rPr>
                <w:rFonts w:ascii="Arial Narrow" w:eastAsia="SimSun" w:hAnsi="Arial Narrow"/>
                <w:b/>
                <w:sz w:val="20"/>
                <w:lang w:eastAsia="zh-CN"/>
              </w:rPr>
            </w:pPr>
            <w:r>
              <w:rPr>
                <w:rFonts w:ascii="Arial Narrow" w:eastAsia="SimSun" w:hAnsi="Arial Narrow"/>
                <w:b/>
                <w:sz w:val="20"/>
                <w:lang w:eastAsia="zh-CN"/>
              </w:rPr>
              <w:t>Commentary</w:t>
            </w:r>
          </w:p>
        </w:tc>
        <w:tc>
          <w:tcPr>
            <w:tcW w:w="1763" w:type="dxa"/>
            <w:shd w:val="clear" w:color="auto" w:fill="auto"/>
          </w:tcPr>
          <w:p w:rsidR="00253003" w:rsidRPr="00717891" w:rsidRDefault="00253003" w:rsidP="000A0288">
            <w:pPr>
              <w:keepNext/>
              <w:widowControl/>
              <w:jc w:val="center"/>
              <w:rPr>
                <w:rFonts w:ascii="Arial Narrow" w:eastAsia="SimSun" w:hAnsi="Arial Narrow"/>
                <w:b/>
                <w:sz w:val="20"/>
                <w:lang w:eastAsia="zh-CN"/>
              </w:rPr>
            </w:pPr>
            <w:r>
              <w:rPr>
                <w:rFonts w:ascii="Arial Narrow" w:eastAsia="SimSun" w:hAnsi="Arial Narrow"/>
                <w:b/>
                <w:sz w:val="20"/>
                <w:lang w:eastAsia="zh-CN"/>
              </w:rPr>
              <w:t>PSCR</w:t>
            </w:r>
          </w:p>
        </w:tc>
      </w:tr>
      <w:tr w:rsidR="00253003" w:rsidRPr="00717891" w:rsidTr="00253003">
        <w:tc>
          <w:tcPr>
            <w:tcW w:w="4820" w:type="dxa"/>
            <w:shd w:val="clear" w:color="auto" w:fill="auto"/>
          </w:tcPr>
          <w:p w:rsidR="00253003" w:rsidRPr="00717891" w:rsidRDefault="00253003" w:rsidP="000A0288">
            <w:pPr>
              <w:keepNext/>
              <w:widowControl/>
              <w:rPr>
                <w:rFonts w:ascii="Arial Narrow" w:eastAsia="SimSun" w:hAnsi="Arial Narrow"/>
                <w:sz w:val="20"/>
                <w:lang w:eastAsia="zh-CN"/>
              </w:rPr>
            </w:pPr>
            <w:r w:rsidRPr="00717891">
              <w:rPr>
                <w:rFonts w:ascii="Arial Narrow" w:eastAsia="SimSun" w:hAnsi="Arial Narrow"/>
                <w:sz w:val="20"/>
                <w:lang w:eastAsia="zh-CN"/>
              </w:rPr>
              <w:t>Base case</w:t>
            </w:r>
          </w:p>
        </w:tc>
        <w:tc>
          <w:tcPr>
            <w:tcW w:w="1762" w:type="dxa"/>
            <w:shd w:val="clear" w:color="auto" w:fill="auto"/>
          </w:tcPr>
          <w:p w:rsidR="00253003" w:rsidRPr="00717891" w:rsidRDefault="00253003" w:rsidP="000A0288">
            <w:pPr>
              <w:keepNext/>
              <w:widowControl/>
              <w:jc w:val="center"/>
              <w:rPr>
                <w:rFonts w:ascii="Arial Narrow" w:eastAsia="SimSun" w:hAnsi="Arial Narrow"/>
                <w:sz w:val="20"/>
                <w:lang w:eastAsia="zh-CN"/>
              </w:rPr>
            </w:pPr>
            <w:r w:rsidRPr="00717891">
              <w:rPr>
                <w:rFonts w:ascii="Arial Narrow" w:eastAsia="SimSun" w:hAnsi="Arial Narrow"/>
                <w:sz w:val="20"/>
                <w:lang w:eastAsia="zh-CN"/>
              </w:rPr>
              <w:t>$</w:t>
            </w:r>
            <w:r w:rsidR="0011087E">
              <w:rPr>
                <w:rFonts w:ascii="Arial Narrow" w:eastAsia="SimSun" w:hAnsi="Arial Narrow"/>
                <w:noProof/>
                <w:color w:val="000000"/>
                <w:sz w:val="20"/>
                <w:highlight w:val="black"/>
                <w:lang w:eastAsia="zh-CN"/>
              </w:rPr>
              <w:t>'''''''''''''''</w:t>
            </w:r>
          </w:p>
        </w:tc>
        <w:tc>
          <w:tcPr>
            <w:tcW w:w="1763" w:type="dxa"/>
            <w:shd w:val="clear" w:color="auto" w:fill="auto"/>
          </w:tcPr>
          <w:p w:rsidR="00253003" w:rsidRPr="00717891" w:rsidRDefault="00253003" w:rsidP="000A0288">
            <w:pPr>
              <w:keepNext/>
              <w:widowControl/>
              <w:jc w:val="center"/>
              <w:rPr>
                <w:rFonts w:ascii="Arial Narrow" w:eastAsia="SimSun" w:hAnsi="Arial Narrow"/>
                <w:sz w:val="20"/>
                <w:lang w:eastAsia="zh-CN"/>
              </w:rPr>
            </w:pPr>
            <w:r w:rsidRPr="00717891">
              <w:rPr>
                <w:rFonts w:ascii="Arial Narrow" w:eastAsia="SimSun" w:hAnsi="Arial Narrow"/>
                <w:sz w:val="20"/>
                <w:lang w:eastAsia="zh-CN"/>
              </w:rPr>
              <w:t>$</w:t>
            </w:r>
            <w:r w:rsidR="0011087E">
              <w:rPr>
                <w:rFonts w:ascii="Arial Narrow" w:eastAsia="SimSun" w:hAnsi="Arial Narrow"/>
                <w:noProof/>
                <w:color w:val="000000"/>
                <w:sz w:val="20"/>
                <w:highlight w:val="black"/>
                <w:lang w:eastAsia="zh-CN"/>
              </w:rPr>
              <w:t>'''''''''''''''''</w:t>
            </w:r>
          </w:p>
        </w:tc>
      </w:tr>
      <w:tr w:rsidR="00253003" w:rsidRPr="00717891" w:rsidTr="00253003">
        <w:tc>
          <w:tcPr>
            <w:tcW w:w="8345" w:type="dxa"/>
            <w:gridSpan w:val="3"/>
            <w:shd w:val="clear" w:color="auto" w:fill="auto"/>
          </w:tcPr>
          <w:p w:rsidR="00253003" w:rsidRPr="00717891" w:rsidRDefault="00253003" w:rsidP="000A0288">
            <w:pPr>
              <w:keepNext/>
              <w:widowControl/>
              <w:rPr>
                <w:rFonts w:ascii="Arial Narrow" w:eastAsia="SimSun" w:hAnsi="Arial Narrow"/>
                <w:b/>
                <w:sz w:val="20"/>
                <w:lang w:eastAsia="zh-CN"/>
              </w:rPr>
            </w:pPr>
            <w:r w:rsidRPr="00717891">
              <w:rPr>
                <w:rFonts w:ascii="Arial Narrow" w:eastAsia="SimSun" w:hAnsi="Arial Narrow"/>
                <w:b/>
                <w:sz w:val="20"/>
                <w:lang w:eastAsia="zh-CN"/>
              </w:rPr>
              <w:t>Sensitivity analyses</w:t>
            </w:r>
          </w:p>
        </w:tc>
      </w:tr>
      <w:tr w:rsidR="00253003" w:rsidRPr="00717891" w:rsidTr="00253003">
        <w:tc>
          <w:tcPr>
            <w:tcW w:w="4820" w:type="dxa"/>
            <w:shd w:val="clear" w:color="auto" w:fill="auto"/>
          </w:tcPr>
          <w:p w:rsidR="00253003" w:rsidRPr="00717891" w:rsidRDefault="00253003" w:rsidP="000A0288">
            <w:pPr>
              <w:keepNext/>
              <w:widowControl/>
              <w:rPr>
                <w:rFonts w:ascii="Arial Narrow" w:eastAsia="SimSun" w:hAnsi="Arial Narrow"/>
                <w:sz w:val="20"/>
                <w:lang w:eastAsia="zh-CN"/>
              </w:rPr>
            </w:pPr>
            <w:r w:rsidRPr="00717891">
              <w:rPr>
                <w:rFonts w:ascii="Arial Narrow" w:eastAsia="SimSun" w:hAnsi="Arial Narrow"/>
                <w:sz w:val="20"/>
                <w:lang w:eastAsia="zh-CN"/>
              </w:rPr>
              <w:t>Day 599 – adjusted mortality</w:t>
            </w:r>
          </w:p>
        </w:tc>
        <w:tc>
          <w:tcPr>
            <w:tcW w:w="1762" w:type="dxa"/>
            <w:shd w:val="clear" w:color="auto" w:fill="auto"/>
            <w:vAlign w:val="center"/>
          </w:tcPr>
          <w:p w:rsidR="00253003" w:rsidRPr="00717891" w:rsidRDefault="00253003" w:rsidP="000A0288">
            <w:pPr>
              <w:keepNext/>
              <w:widowControl/>
              <w:jc w:val="center"/>
              <w:rPr>
                <w:rFonts w:ascii="Arial Narrow" w:eastAsia="SimSun" w:hAnsi="Arial Narrow"/>
                <w:sz w:val="20"/>
                <w:lang w:eastAsia="zh-CN"/>
              </w:rPr>
            </w:pPr>
            <w:r w:rsidRPr="00717891">
              <w:rPr>
                <w:rFonts w:ascii="Arial Narrow" w:eastAsia="SimSun" w:hAnsi="Arial Narrow"/>
                <w:sz w:val="20"/>
                <w:lang w:eastAsia="zh-CN"/>
              </w:rPr>
              <w:t>$</w:t>
            </w:r>
            <w:r w:rsidR="0011087E">
              <w:rPr>
                <w:rFonts w:ascii="Arial Narrow" w:eastAsia="SimSun" w:hAnsi="Arial Narrow"/>
                <w:noProof/>
                <w:color w:val="000000"/>
                <w:sz w:val="20"/>
                <w:highlight w:val="black"/>
                <w:lang w:eastAsia="zh-CN"/>
              </w:rPr>
              <w:t>''''''''''''''''''''</w:t>
            </w:r>
          </w:p>
        </w:tc>
        <w:tc>
          <w:tcPr>
            <w:tcW w:w="1763" w:type="dxa"/>
            <w:shd w:val="clear" w:color="auto" w:fill="auto"/>
          </w:tcPr>
          <w:p w:rsidR="00253003" w:rsidRPr="00717891" w:rsidRDefault="00253003" w:rsidP="000A0288">
            <w:pPr>
              <w:keepNext/>
              <w:widowControl/>
              <w:jc w:val="center"/>
              <w:rPr>
                <w:rFonts w:ascii="Arial Narrow" w:hAnsi="Arial Narrow"/>
                <w:sz w:val="20"/>
              </w:rPr>
            </w:pPr>
            <w:r>
              <w:rPr>
                <w:rFonts w:ascii="Arial Narrow" w:hAnsi="Arial Narrow"/>
                <w:sz w:val="20"/>
              </w:rPr>
              <w:t>$</w:t>
            </w:r>
            <w:r w:rsidR="0011087E">
              <w:rPr>
                <w:rFonts w:ascii="Arial Narrow" w:hAnsi="Arial Narrow"/>
                <w:noProof/>
                <w:color w:val="000000"/>
                <w:sz w:val="20"/>
                <w:highlight w:val="black"/>
              </w:rPr>
              <w:t>'''''''''''''''</w:t>
            </w:r>
          </w:p>
        </w:tc>
      </w:tr>
      <w:tr w:rsidR="00253003" w:rsidRPr="00717891" w:rsidTr="00253003">
        <w:tc>
          <w:tcPr>
            <w:tcW w:w="4820" w:type="dxa"/>
            <w:shd w:val="clear" w:color="auto" w:fill="auto"/>
          </w:tcPr>
          <w:p w:rsidR="00253003" w:rsidRPr="00717891" w:rsidRDefault="00253003" w:rsidP="000A0288">
            <w:pPr>
              <w:keepNext/>
              <w:widowControl/>
              <w:rPr>
                <w:rFonts w:ascii="Arial Narrow" w:eastAsia="SimSun" w:hAnsi="Arial Narrow"/>
                <w:sz w:val="20"/>
                <w:lang w:eastAsia="zh-CN"/>
              </w:rPr>
            </w:pPr>
            <w:r w:rsidRPr="00717891">
              <w:rPr>
                <w:rFonts w:ascii="Arial Narrow" w:eastAsia="SimSun" w:hAnsi="Arial Narrow"/>
                <w:sz w:val="20"/>
                <w:lang w:eastAsia="zh-CN"/>
              </w:rPr>
              <w:t>Day 599 – adjusted mortality and functional class probabilities</w:t>
            </w:r>
          </w:p>
        </w:tc>
        <w:tc>
          <w:tcPr>
            <w:tcW w:w="1762" w:type="dxa"/>
            <w:shd w:val="clear" w:color="auto" w:fill="auto"/>
            <w:vAlign w:val="center"/>
          </w:tcPr>
          <w:p w:rsidR="00253003" w:rsidRPr="00717891" w:rsidRDefault="00253003" w:rsidP="000A0288">
            <w:pPr>
              <w:keepNext/>
              <w:widowControl/>
              <w:jc w:val="center"/>
              <w:rPr>
                <w:rFonts w:ascii="Arial Narrow" w:eastAsia="SimSun" w:hAnsi="Arial Narrow"/>
                <w:sz w:val="20"/>
                <w:lang w:eastAsia="zh-CN"/>
              </w:rPr>
            </w:pPr>
            <w:r w:rsidRPr="00717891">
              <w:rPr>
                <w:rFonts w:ascii="Arial Narrow" w:eastAsia="SimSun" w:hAnsi="Arial Narrow"/>
                <w:sz w:val="20"/>
                <w:lang w:eastAsia="zh-CN"/>
              </w:rPr>
              <w:t>$</w:t>
            </w:r>
            <w:r w:rsidR="0011087E">
              <w:rPr>
                <w:rFonts w:ascii="Arial Narrow" w:eastAsia="SimSun" w:hAnsi="Arial Narrow"/>
                <w:noProof/>
                <w:color w:val="000000"/>
                <w:sz w:val="20"/>
                <w:highlight w:val="black"/>
                <w:lang w:eastAsia="zh-CN"/>
              </w:rPr>
              <w:t>''''''''''''''''''''</w:t>
            </w:r>
          </w:p>
        </w:tc>
        <w:tc>
          <w:tcPr>
            <w:tcW w:w="1763" w:type="dxa"/>
            <w:shd w:val="clear" w:color="auto" w:fill="auto"/>
          </w:tcPr>
          <w:p w:rsidR="00253003" w:rsidRPr="00717891" w:rsidRDefault="00253003" w:rsidP="000A0288">
            <w:pPr>
              <w:keepNext/>
              <w:widowControl/>
              <w:jc w:val="center"/>
              <w:rPr>
                <w:rFonts w:ascii="Arial Narrow" w:hAnsi="Arial Narrow"/>
                <w:sz w:val="20"/>
              </w:rPr>
            </w:pPr>
            <w:r w:rsidRPr="00717891">
              <w:rPr>
                <w:rFonts w:ascii="Arial Narrow" w:hAnsi="Arial Narrow"/>
                <w:sz w:val="20"/>
              </w:rPr>
              <w:t>$</w:t>
            </w:r>
            <w:r w:rsidR="0011087E">
              <w:rPr>
                <w:rFonts w:ascii="Arial Narrow" w:hAnsi="Arial Narrow"/>
                <w:noProof/>
                <w:color w:val="000000"/>
                <w:sz w:val="20"/>
                <w:highlight w:val="black"/>
              </w:rPr>
              <w:t>'''''''''''''''</w:t>
            </w:r>
          </w:p>
        </w:tc>
      </w:tr>
      <w:tr w:rsidR="00253003" w:rsidRPr="00717891" w:rsidTr="00253003">
        <w:tc>
          <w:tcPr>
            <w:tcW w:w="4820" w:type="dxa"/>
            <w:shd w:val="clear" w:color="auto" w:fill="auto"/>
          </w:tcPr>
          <w:p w:rsidR="00253003" w:rsidRPr="00717891" w:rsidRDefault="00253003" w:rsidP="000A0288">
            <w:pPr>
              <w:keepNext/>
              <w:widowControl/>
              <w:rPr>
                <w:rFonts w:ascii="Arial Narrow" w:eastAsia="SimSun" w:hAnsi="Arial Narrow"/>
                <w:sz w:val="20"/>
                <w:lang w:eastAsia="zh-CN"/>
              </w:rPr>
            </w:pPr>
            <w:r w:rsidRPr="00717891">
              <w:rPr>
                <w:rFonts w:ascii="Arial Narrow" w:eastAsia="SimSun" w:hAnsi="Arial Narrow"/>
                <w:sz w:val="20"/>
                <w:lang w:eastAsia="zh-CN"/>
              </w:rPr>
              <w:t>Day 1815 – adjusted mortality</w:t>
            </w:r>
          </w:p>
        </w:tc>
        <w:tc>
          <w:tcPr>
            <w:tcW w:w="1762" w:type="dxa"/>
            <w:shd w:val="clear" w:color="auto" w:fill="auto"/>
            <w:vAlign w:val="center"/>
          </w:tcPr>
          <w:p w:rsidR="00253003" w:rsidRPr="00717891" w:rsidRDefault="00253003" w:rsidP="000A0288">
            <w:pPr>
              <w:keepNext/>
              <w:widowControl/>
              <w:jc w:val="center"/>
              <w:rPr>
                <w:rFonts w:ascii="Arial Narrow" w:eastAsia="SimSun" w:hAnsi="Arial Narrow"/>
                <w:sz w:val="20"/>
                <w:lang w:eastAsia="zh-CN"/>
              </w:rPr>
            </w:pPr>
            <w:r w:rsidRPr="00717891">
              <w:rPr>
                <w:rFonts w:ascii="Arial Narrow" w:eastAsia="SimSun" w:hAnsi="Arial Narrow"/>
                <w:sz w:val="20"/>
                <w:lang w:eastAsia="zh-CN"/>
              </w:rPr>
              <w:t>$</w:t>
            </w:r>
            <w:r w:rsidR="0011087E">
              <w:rPr>
                <w:rFonts w:ascii="Arial Narrow" w:eastAsia="SimSun" w:hAnsi="Arial Narrow"/>
                <w:noProof/>
                <w:color w:val="000000"/>
                <w:sz w:val="20"/>
                <w:highlight w:val="black"/>
                <w:lang w:eastAsia="zh-CN"/>
              </w:rPr>
              <w:t>''''''''''''''''</w:t>
            </w:r>
          </w:p>
        </w:tc>
        <w:tc>
          <w:tcPr>
            <w:tcW w:w="1763" w:type="dxa"/>
            <w:shd w:val="clear" w:color="auto" w:fill="auto"/>
          </w:tcPr>
          <w:p w:rsidR="00253003" w:rsidRPr="00717891" w:rsidRDefault="00253003" w:rsidP="000A0288">
            <w:pPr>
              <w:keepNext/>
              <w:widowControl/>
              <w:jc w:val="center"/>
              <w:rPr>
                <w:rFonts w:ascii="Arial Narrow" w:hAnsi="Arial Narrow"/>
                <w:sz w:val="20"/>
              </w:rPr>
            </w:pPr>
            <w:r w:rsidRPr="00717891">
              <w:rPr>
                <w:rFonts w:ascii="Arial Narrow" w:hAnsi="Arial Narrow"/>
                <w:sz w:val="20"/>
              </w:rPr>
              <w:t>$</w:t>
            </w:r>
            <w:r w:rsidR="0011087E">
              <w:rPr>
                <w:rFonts w:ascii="Arial Narrow" w:hAnsi="Arial Narrow"/>
                <w:noProof/>
                <w:color w:val="000000"/>
                <w:sz w:val="20"/>
                <w:highlight w:val="black"/>
              </w:rPr>
              <w:t>''''''''''''''''</w:t>
            </w:r>
          </w:p>
        </w:tc>
      </w:tr>
      <w:tr w:rsidR="00253003" w:rsidRPr="00717891" w:rsidTr="00253003">
        <w:tc>
          <w:tcPr>
            <w:tcW w:w="4820" w:type="dxa"/>
            <w:shd w:val="clear" w:color="auto" w:fill="auto"/>
          </w:tcPr>
          <w:p w:rsidR="00253003" w:rsidRPr="00717891" w:rsidRDefault="00253003" w:rsidP="000A0288">
            <w:pPr>
              <w:keepNext/>
              <w:widowControl/>
              <w:rPr>
                <w:rFonts w:ascii="Arial Narrow" w:eastAsia="SimSun" w:hAnsi="Arial Narrow"/>
                <w:sz w:val="20"/>
                <w:lang w:eastAsia="zh-CN"/>
              </w:rPr>
            </w:pPr>
            <w:r w:rsidRPr="00717891">
              <w:rPr>
                <w:rFonts w:ascii="Arial Narrow" w:eastAsia="SimSun" w:hAnsi="Arial Narrow"/>
                <w:sz w:val="20"/>
                <w:lang w:eastAsia="zh-CN"/>
              </w:rPr>
              <w:t>Day 1815 – adjusted mortality and functional class probabilities</w:t>
            </w:r>
          </w:p>
        </w:tc>
        <w:tc>
          <w:tcPr>
            <w:tcW w:w="1762" w:type="dxa"/>
            <w:shd w:val="clear" w:color="auto" w:fill="auto"/>
            <w:vAlign w:val="center"/>
          </w:tcPr>
          <w:p w:rsidR="00253003" w:rsidRPr="00717891" w:rsidRDefault="00253003" w:rsidP="000A0288">
            <w:pPr>
              <w:keepNext/>
              <w:widowControl/>
              <w:jc w:val="center"/>
              <w:rPr>
                <w:rFonts w:ascii="Arial Narrow" w:eastAsia="SimSun" w:hAnsi="Arial Narrow"/>
                <w:sz w:val="20"/>
                <w:lang w:eastAsia="zh-CN"/>
              </w:rPr>
            </w:pPr>
            <w:r w:rsidRPr="00717891">
              <w:rPr>
                <w:rFonts w:ascii="Arial Narrow" w:eastAsia="SimSun" w:hAnsi="Arial Narrow"/>
                <w:sz w:val="20"/>
                <w:lang w:eastAsia="zh-CN"/>
              </w:rPr>
              <w:t>$</w:t>
            </w:r>
            <w:r w:rsidR="0011087E">
              <w:rPr>
                <w:rFonts w:ascii="Arial Narrow" w:eastAsia="SimSun" w:hAnsi="Arial Narrow"/>
                <w:noProof/>
                <w:color w:val="000000"/>
                <w:sz w:val="20"/>
                <w:highlight w:val="black"/>
                <w:lang w:eastAsia="zh-CN"/>
              </w:rPr>
              <w:t>''''''''''''''''</w:t>
            </w:r>
          </w:p>
        </w:tc>
        <w:tc>
          <w:tcPr>
            <w:tcW w:w="1763" w:type="dxa"/>
            <w:shd w:val="clear" w:color="auto" w:fill="auto"/>
          </w:tcPr>
          <w:p w:rsidR="00253003" w:rsidRPr="00717891" w:rsidRDefault="00253003" w:rsidP="000A0288">
            <w:pPr>
              <w:keepNext/>
              <w:widowControl/>
              <w:jc w:val="center"/>
              <w:rPr>
                <w:rFonts w:ascii="Arial Narrow" w:hAnsi="Arial Narrow"/>
                <w:sz w:val="20"/>
              </w:rPr>
            </w:pPr>
            <w:r w:rsidRPr="00717891">
              <w:rPr>
                <w:rFonts w:ascii="Arial Narrow" w:hAnsi="Arial Narrow"/>
                <w:sz w:val="20"/>
              </w:rPr>
              <w:t>$</w:t>
            </w:r>
            <w:r w:rsidR="0011087E">
              <w:rPr>
                <w:rFonts w:ascii="Arial Narrow" w:hAnsi="Arial Narrow"/>
                <w:noProof/>
                <w:color w:val="000000"/>
                <w:sz w:val="20"/>
                <w:highlight w:val="black"/>
              </w:rPr>
              <w:t>''''''''''''''''''</w:t>
            </w:r>
          </w:p>
        </w:tc>
      </w:tr>
      <w:tr w:rsidR="00253003" w:rsidRPr="00717891" w:rsidTr="00253003">
        <w:tc>
          <w:tcPr>
            <w:tcW w:w="4820" w:type="dxa"/>
            <w:shd w:val="clear" w:color="auto" w:fill="auto"/>
          </w:tcPr>
          <w:p w:rsidR="00253003" w:rsidRPr="00717891" w:rsidRDefault="00253003" w:rsidP="000A0288">
            <w:pPr>
              <w:keepNext/>
              <w:widowControl/>
              <w:rPr>
                <w:rFonts w:ascii="Arial Narrow" w:eastAsia="SimSun" w:hAnsi="Arial Narrow"/>
                <w:sz w:val="20"/>
                <w:lang w:eastAsia="zh-CN"/>
              </w:rPr>
            </w:pPr>
            <w:r>
              <w:rPr>
                <w:rFonts w:ascii="Arial Narrow" w:eastAsia="SimSun" w:hAnsi="Arial Narrow"/>
                <w:sz w:val="20"/>
                <w:lang w:eastAsia="zh-CN"/>
              </w:rPr>
              <w:t>Placebo mortality hazard ratio</w:t>
            </w:r>
            <w:r w:rsidRPr="00717891">
              <w:rPr>
                <w:rFonts w:ascii="Arial Narrow" w:eastAsia="SimSun" w:hAnsi="Arial Narrow"/>
                <w:sz w:val="20"/>
                <w:lang w:eastAsia="zh-CN"/>
              </w:rPr>
              <w:t xml:space="preserve"> – 2.5</w:t>
            </w:r>
          </w:p>
        </w:tc>
        <w:tc>
          <w:tcPr>
            <w:tcW w:w="1762" w:type="dxa"/>
            <w:shd w:val="clear" w:color="auto" w:fill="auto"/>
            <w:vAlign w:val="center"/>
          </w:tcPr>
          <w:p w:rsidR="00253003" w:rsidRPr="00717891" w:rsidRDefault="00253003" w:rsidP="000A0288">
            <w:pPr>
              <w:keepNext/>
              <w:widowControl/>
              <w:jc w:val="center"/>
              <w:rPr>
                <w:rFonts w:ascii="Arial Narrow" w:eastAsia="SimSun" w:hAnsi="Arial Narrow"/>
                <w:sz w:val="20"/>
                <w:lang w:eastAsia="zh-CN"/>
              </w:rPr>
            </w:pPr>
            <w:r w:rsidRPr="00717891">
              <w:rPr>
                <w:rFonts w:ascii="Arial Narrow" w:eastAsia="SimSun" w:hAnsi="Arial Narrow"/>
                <w:sz w:val="20"/>
                <w:lang w:eastAsia="zh-CN"/>
              </w:rPr>
              <w:t>$</w:t>
            </w:r>
            <w:r w:rsidR="0011087E">
              <w:rPr>
                <w:rFonts w:ascii="Arial Narrow" w:eastAsia="SimSun" w:hAnsi="Arial Narrow"/>
                <w:noProof/>
                <w:color w:val="000000"/>
                <w:sz w:val="20"/>
                <w:highlight w:val="black"/>
                <w:lang w:eastAsia="zh-CN"/>
              </w:rPr>
              <w:t>''''''''''''''''''</w:t>
            </w:r>
          </w:p>
        </w:tc>
        <w:tc>
          <w:tcPr>
            <w:tcW w:w="1763" w:type="dxa"/>
            <w:shd w:val="clear" w:color="auto" w:fill="auto"/>
          </w:tcPr>
          <w:p w:rsidR="00253003" w:rsidRPr="00717891" w:rsidRDefault="00253003" w:rsidP="000A0288">
            <w:pPr>
              <w:keepNext/>
              <w:widowControl/>
              <w:jc w:val="center"/>
              <w:rPr>
                <w:rFonts w:ascii="Arial Narrow" w:hAnsi="Arial Narrow"/>
                <w:sz w:val="20"/>
              </w:rPr>
            </w:pPr>
            <w:r w:rsidRPr="00717891">
              <w:rPr>
                <w:rFonts w:ascii="Arial Narrow" w:hAnsi="Arial Narrow"/>
                <w:sz w:val="20"/>
              </w:rPr>
              <w:t>$</w:t>
            </w:r>
            <w:r w:rsidR="0011087E">
              <w:rPr>
                <w:rFonts w:ascii="Arial Narrow" w:hAnsi="Arial Narrow"/>
                <w:noProof/>
                <w:color w:val="000000"/>
                <w:sz w:val="20"/>
                <w:highlight w:val="black"/>
              </w:rPr>
              <w:t>''''''''''''''''''</w:t>
            </w:r>
          </w:p>
        </w:tc>
      </w:tr>
      <w:tr w:rsidR="00253003" w:rsidRPr="00717891" w:rsidTr="00253003">
        <w:tc>
          <w:tcPr>
            <w:tcW w:w="4820" w:type="dxa"/>
            <w:shd w:val="clear" w:color="auto" w:fill="auto"/>
          </w:tcPr>
          <w:p w:rsidR="00253003" w:rsidRPr="00717891" w:rsidRDefault="00253003" w:rsidP="000A0288">
            <w:pPr>
              <w:keepNext/>
              <w:widowControl/>
              <w:rPr>
                <w:rFonts w:ascii="Arial Narrow" w:eastAsia="SimSun" w:hAnsi="Arial Narrow"/>
                <w:sz w:val="20"/>
                <w:lang w:eastAsia="zh-CN"/>
              </w:rPr>
            </w:pPr>
            <w:r w:rsidRPr="00717891">
              <w:rPr>
                <w:rFonts w:ascii="Arial Narrow" w:eastAsia="SimSun" w:hAnsi="Arial Narrow"/>
                <w:sz w:val="20"/>
                <w:lang w:eastAsia="zh-CN"/>
              </w:rPr>
              <w:t>Placebo mortality hazard ratio – 1.5</w:t>
            </w:r>
          </w:p>
        </w:tc>
        <w:tc>
          <w:tcPr>
            <w:tcW w:w="1762" w:type="dxa"/>
            <w:shd w:val="clear" w:color="auto" w:fill="auto"/>
            <w:vAlign w:val="center"/>
          </w:tcPr>
          <w:p w:rsidR="00253003" w:rsidRPr="00717891" w:rsidRDefault="00253003" w:rsidP="000A0288">
            <w:pPr>
              <w:keepNext/>
              <w:widowControl/>
              <w:jc w:val="center"/>
              <w:rPr>
                <w:rFonts w:ascii="Arial Narrow" w:eastAsia="SimSun" w:hAnsi="Arial Narrow"/>
                <w:sz w:val="20"/>
                <w:lang w:eastAsia="zh-CN"/>
              </w:rPr>
            </w:pPr>
            <w:r w:rsidRPr="00717891">
              <w:rPr>
                <w:rFonts w:ascii="Arial Narrow" w:eastAsia="SimSun" w:hAnsi="Arial Narrow"/>
                <w:sz w:val="20"/>
                <w:lang w:eastAsia="zh-CN"/>
              </w:rPr>
              <w:t>$</w:t>
            </w:r>
            <w:r w:rsidR="0011087E">
              <w:rPr>
                <w:rFonts w:ascii="Arial Narrow" w:eastAsia="SimSun" w:hAnsi="Arial Narrow"/>
                <w:noProof/>
                <w:color w:val="000000"/>
                <w:sz w:val="20"/>
                <w:highlight w:val="black"/>
                <w:lang w:eastAsia="zh-CN"/>
              </w:rPr>
              <w:t>''''''''''''''''''</w:t>
            </w:r>
          </w:p>
        </w:tc>
        <w:tc>
          <w:tcPr>
            <w:tcW w:w="1763" w:type="dxa"/>
            <w:shd w:val="clear" w:color="auto" w:fill="auto"/>
          </w:tcPr>
          <w:p w:rsidR="00253003" w:rsidRPr="00717891" w:rsidRDefault="00253003" w:rsidP="000A0288">
            <w:pPr>
              <w:keepNext/>
              <w:widowControl/>
              <w:jc w:val="center"/>
              <w:rPr>
                <w:rFonts w:ascii="Arial Narrow" w:hAnsi="Arial Narrow"/>
                <w:sz w:val="20"/>
              </w:rPr>
            </w:pPr>
            <w:r w:rsidRPr="00717891">
              <w:rPr>
                <w:rFonts w:ascii="Arial Narrow" w:hAnsi="Arial Narrow"/>
                <w:sz w:val="20"/>
              </w:rPr>
              <w:t>$</w:t>
            </w:r>
            <w:r w:rsidR="0011087E">
              <w:rPr>
                <w:rFonts w:ascii="Arial Narrow" w:hAnsi="Arial Narrow"/>
                <w:noProof/>
                <w:color w:val="000000"/>
                <w:sz w:val="20"/>
                <w:highlight w:val="black"/>
              </w:rPr>
              <w:t>''''''''''''''''''</w:t>
            </w:r>
          </w:p>
        </w:tc>
      </w:tr>
      <w:tr w:rsidR="00253003" w:rsidRPr="00717891" w:rsidTr="00253003">
        <w:tc>
          <w:tcPr>
            <w:tcW w:w="4820" w:type="dxa"/>
            <w:shd w:val="clear" w:color="auto" w:fill="auto"/>
          </w:tcPr>
          <w:p w:rsidR="00253003" w:rsidRPr="00717891" w:rsidRDefault="00253003" w:rsidP="000A0288">
            <w:pPr>
              <w:keepNext/>
              <w:widowControl/>
              <w:rPr>
                <w:rFonts w:ascii="Arial Narrow" w:eastAsia="SimSun" w:hAnsi="Arial Narrow"/>
                <w:sz w:val="20"/>
                <w:lang w:eastAsia="zh-CN"/>
              </w:rPr>
            </w:pPr>
            <w:r w:rsidRPr="00717891">
              <w:rPr>
                <w:rFonts w:ascii="Arial Narrow" w:eastAsia="SimSun" w:hAnsi="Arial Narrow"/>
                <w:sz w:val="20"/>
                <w:lang w:eastAsia="zh-CN"/>
              </w:rPr>
              <w:t>Non-functional class dependent survival extrapolation</w:t>
            </w:r>
          </w:p>
        </w:tc>
        <w:tc>
          <w:tcPr>
            <w:tcW w:w="1762" w:type="dxa"/>
            <w:shd w:val="clear" w:color="auto" w:fill="auto"/>
            <w:vAlign w:val="center"/>
          </w:tcPr>
          <w:p w:rsidR="00253003" w:rsidRPr="00717891" w:rsidRDefault="00253003" w:rsidP="000A0288">
            <w:pPr>
              <w:keepNext/>
              <w:widowControl/>
              <w:jc w:val="center"/>
              <w:rPr>
                <w:rFonts w:ascii="Arial Narrow" w:eastAsia="SimSun" w:hAnsi="Arial Narrow"/>
                <w:sz w:val="20"/>
                <w:lang w:eastAsia="zh-CN"/>
              </w:rPr>
            </w:pPr>
            <w:r w:rsidRPr="00717891">
              <w:rPr>
                <w:rFonts w:ascii="Arial Narrow" w:eastAsia="SimSun" w:hAnsi="Arial Narrow"/>
                <w:sz w:val="20"/>
                <w:lang w:eastAsia="zh-CN"/>
              </w:rPr>
              <w:t>$</w:t>
            </w:r>
            <w:r w:rsidR="0011087E">
              <w:rPr>
                <w:rFonts w:ascii="Arial Narrow" w:eastAsia="SimSun" w:hAnsi="Arial Narrow"/>
                <w:noProof/>
                <w:color w:val="000000"/>
                <w:sz w:val="20"/>
                <w:highlight w:val="black"/>
                <w:lang w:eastAsia="zh-CN"/>
              </w:rPr>
              <w:t>''''''''''''''''</w:t>
            </w:r>
            <w:r>
              <w:rPr>
                <w:rFonts w:ascii="Arial Narrow" w:eastAsia="SimSun" w:hAnsi="Arial Narrow"/>
                <w:sz w:val="20"/>
                <w:lang w:eastAsia="zh-CN"/>
              </w:rPr>
              <w:t>*</w:t>
            </w:r>
          </w:p>
        </w:tc>
        <w:tc>
          <w:tcPr>
            <w:tcW w:w="1763" w:type="dxa"/>
            <w:shd w:val="clear" w:color="auto" w:fill="auto"/>
          </w:tcPr>
          <w:p w:rsidR="00253003" w:rsidRPr="00717891" w:rsidRDefault="00253003" w:rsidP="000A0288">
            <w:pPr>
              <w:keepNext/>
              <w:widowControl/>
              <w:jc w:val="center"/>
              <w:rPr>
                <w:rFonts w:ascii="Arial Narrow" w:hAnsi="Arial Narrow"/>
                <w:sz w:val="20"/>
              </w:rPr>
            </w:pPr>
            <w:r w:rsidRPr="00717891">
              <w:rPr>
                <w:rFonts w:ascii="Arial Narrow" w:hAnsi="Arial Narrow"/>
                <w:sz w:val="20"/>
              </w:rPr>
              <w:t>$</w:t>
            </w:r>
            <w:r w:rsidR="0011087E">
              <w:rPr>
                <w:rFonts w:ascii="Arial Narrow" w:hAnsi="Arial Narrow"/>
                <w:noProof/>
                <w:color w:val="000000"/>
                <w:sz w:val="20"/>
                <w:highlight w:val="black"/>
              </w:rPr>
              <w:t>'''''''''''''''''</w:t>
            </w:r>
          </w:p>
        </w:tc>
      </w:tr>
      <w:tr w:rsidR="00253003" w:rsidRPr="00717891" w:rsidTr="00253003">
        <w:tc>
          <w:tcPr>
            <w:tcW w:w="4820" w:type="dxa"/>
            <w:shd w:val="clear" w:color="auto" w:fill="auto"/>
          </w:tcPr>
          <w:p w:rsidR="00253003" w:rsidRPr="00717891" w:rsidRDefault="00253003" w:rsidP="000A0288">
            <w:pPr>
              <w:keepNext/>
              <w:widowControl/>
              <w:rPr>
                <w:rFonts w:ascii="Arial Narrow" w:eastAsia="SimSun" w:hAnsi="Arial Narrow"/>
                <w:sz w:val="20"/>
                <w:lang w:eastAsia="zh-CN"/>
              </w:rPr>
            </w:pPr>
            <w:r w:rsidRPr="00717891">
              <w:rPr>
                <w:rFonts w:ascii="Arial Narrow" w:eastAsia="SimSun" w:hAnsi="Arial Narrow"/>
                <w:sz w:val="20"/>
                <w:lang w:eastAsia="zh-CN"/>
              </w:rPr>
              <w:t>No functional class improvement from class IV</w:t>
            </w:r>
          </w:p>
        </w:tc>
        <w:tc>
          <w:tcPr>
            <w:tcW w:w="1762" w:type="dxa"/>
            <w:shd w:val="clear" w:color="auto" w:fill="auto"/>
            <w:vAlign w:val="center"/>
          </w:tcPr>
          <w:p w:rsidR="00253003" w:rsidRPr="00717891" w:rsidRDefault="00253003" w:rsidP="000A0288">
            <w:pPr>
              <w:keepNext/>
              <w:widowControl/>
              <w:jc w:val="center"/>
              <w:rPr>
                <w:rFonts w:ascii="Arial Narrow" w:eastAsia="SimSun" w:hAnsi="Arial Narrow"/>
                <w:sz w:val="20"/>
                <w:lang w:eastAsia="zh-CN"/>
              </w:rPr>
            </w:pPr>
            <w:r w:rsidRPr="00717891">
              <w:rPr>
                <w:rFonts w:ascii="Arial Narrow" w:eastAsia="SimSun" w:hAnsi="Arial Narrow"/>
                <w:sz w:val="20"/>
                <w:lang w:eastAsia="zh-CN"/>
              </w:rPr>
              <w:t>$</w:t>
            </w:r>
            <w:r w:rsidR="0011087E">
              <w:rPr>
                <w:rFonts w:ascii="Arial Narrow" w:eastAsia="SimSun" w:hAnsi="Arial Narrow"/>
                <w:noProof/>
                <w:color w:val="000000"/>
                <w:sz w:val="20"/>
                <w:highlight w:val="black"/>
                <w:lang w:eastAsia="zh-CN"/>
              </w:rPr>
              <w:t>'''''''''''''''''</w:t>
            </w:r>
          </w:p>
        </w:tc>
        <w:tc>
          <w:tcPr>
            <w:tcW w:w="1763" w:type="dxa"/>
            <w:shd w:val="clear" w:color="auto" w:fill="auto"/>
          </w:tcPr>
          <w:p w:rsidR="00253003" w:rsidRPr="00717891" w:rsidRDefault="00253003" w:rsidP="000A0288">
            <w:pPr>
              <w:keepNext/>
              <w:widowControl/>
              <w:jc w:val="center"/>
              <w:rPr>
                <w:rFonts w:ascii="Arial Narrow" w:hAnsi="Arial Narrow"/>
                <w:sz w:val="20"/>
              </w:rPr>
            </w:pPr>
            <w:r w:rsidRPr="00717891">
              <w:rPr>
                <w:rFonts w:ascii="Arial Narrow" w:hAnsi="Arial Narrow"/>
                <w:sz w:val="20"/>
              </w:rPr>
              <w:t>$</w:t>
            </w:r>
            <w:r w:rsidR="0011087E">
              <w:rPr>
                <w:rFonts w:ascii="Arial Narrow" w:hAnsi="Arial Narrow"/>
                <w:noProof/>
                <w:color w:val="000000"/>
                <w:sz w:val="20"/>
                <w:highlight w:val="black"/>
              </w:rPr>
              <w:t>'''''''''''''''''</w:t>
            </w:r>
          </w:p>
        </w:tc>
      </w:tr>
      <w:tr w:rsidR="00253003" w:rsidRPr="00717891" w:rsidTr="00253003">
        <w:tc>
          <w:tcPr>
            <w:tcW w:w="4820" w:type="dxa"/>
            <w:shd w:val="clear" w:color="auto" w:fill="auto"/>
          </w:tcPr>
          <w:p w:rsidR="00253003" w:rsidRPr="00717891" w:rsidRDefault="00253003" w:rsidP="000A0288">
            <w:pPr>
              <w:keepNext/>
              <w:widowControl/>
              <w:rPr>
                <w:rFonts w:ascii="Arial Narrow" w:eastAsia="SimSun" w:hAnsi="Arial Narrow"/>
                <w:sz w:val="20"/>
                <w:lang w:eastAsia="zh-CN"/>
              </w:rPr>
            </w:pPr>
            <w:r w:rsidRPr="00717891">
              <w:rPr>
                <w:rFonts w:ascii="Arial Narrow" w:eastAsia="SimSun" w:hAnsi="Arial Narrow"/>
                <w:sz w:val="20"/>
                <w:lang w:eastAsia="zh-CN"/>
              </w:rPr>
              <w:t>Application of EQ-5D utilities from inoperable CTEPH cohort</w:t>
            </w:r>
          </w:p>
        </w:tc>
        <w:tc>
          <w:tcPr>
            <w:tcW w:w="1762" w:type="dxa"/>
            <w:shd w:val="clear" w:color="auto" w:fill="auto"/>
            <w:vAlign w:val="center"/>
          </w:tcPr>
          <w:p w:rsidR="00253003" w:rsidRPr="00717891" w:rsidRDefault="00253003" w:rsidP="000A0288">
            <w:pPr>
              <w:keepNext/>
              <w:widowControl/>
              <w:jc w:val="center"/>
              <w:rPr>
                <w:rFonts w:ascii="Arial Narrow" w:eastAsia="SimSun" w:hAnsi="Arial Narrow"/>
                <w:sz w:val="20"/>
                <w:lang w:eastAsia="zh-CN"/>
              </w:rPr>
            </w:pPr>
            <w:r w:rsidRPr="00717891">
              <w:rPr>
                <w:rFonts w:ascii="Arial Narrow" w:eastAsia="SimSun" w:hAnsi="Arial Narrow"/>
                <w:sz w:val="20"/>
                <w:lang w:eastAsia="zh-CN"/>
              </w:rPr>
              <w:t>$</w:t>
            </w:r>
            <w:r w:rsidR="0011087E">
              <w:rPr>
                <w:rFonts w:ascii="Arial Narrow" w:eastAsia="SimSun" w:hAnsi="Arial Narrow"/>
                <w:noProof/>
                <w:color w:val="000000"/>
                <w:sz w:val="20"/>
                <w:highlight w:val="black"/>
                <w:lang w:eastAsia="zh-CN"/>
              </w:rPr>
              <w:t>'''''''''''''''</w:t>
            </w:r>
          </w:p>
        </w:tc>
        <w:tc>
          <w:tcPr>
            <w:tcW w:w="1763" w:type="dxa"/>
            <w:shd w:val="clear" w:color="auto" w:fill="auto"/>
          </w:tcPr>
          <w:p w:rsidR="00253003" w:rsidRPr="00717891" w:rsidRDefault="00253003" w:rsidP="000A0288">
            <w:pPr>
              <w:keepNext/>
              <w:widowControl/>
              <w:jc w:val="center"/>
              <w:rPr>
                <w:rFonts w:ascii="Arial Narrow" w:hAnsi="Arial Narrow"/>
                <w:sz w:val="20"/>
              </w:rPr>
            </w:pPr>
            <w:r w:rsidRPr="00717891">
              <w:rPr>
                <w:rFonts w:ascii="Arial Narrow" w:hAnsi="Arial Narrow"/>
                <w:sz w:val="20"/>
              </w:rPr>
              <w:t>$</w:t>
            </w:r>
            <w:r w:rsidR="0011087E">
              <w:rPr>
                <w:rFonts w:ascii="Arial Narrow" w:hAnsi="Arial Narrow"/>
                <w:noProof/>
                <w:color w:val="000000"/>
                <w:sz w:val="20"/>
                <w:highlight w:val="black"/>
              </w:rPr>
              <w:t>''''''''''''''''</w:t>
            </w:r>
          </w:p>
        </w:tc>
      </w:tr>
    </w:tbl>
    <w:p w:rsidR="005219C2" w:rsidRDefault="00253003" w:rsidP="000A0288">
      <w:pPr>
        <w:pStyle w:val="TableFooter"/>
        <w:widowControl/>
        <w:ind w:left="709"/>
      </w:pPr>
      <w:r w:rsidRPr="00894CFF">
        <w:t>* While</w:t>
      </w:r>
      <w:r w:rsidR="003C45A9" w:rsidRPr="00894CFF">
        <w:t xml:space="preserve"> the PSCR claimed</w:t>
      </w:r>
      <w:r w:rsidRPr="00894CFF">
        <w:t xml:space="preserve"> that a correction was made to the sensitivity analysis for non-functional class dependent survival extrapolation, </w:t>
      </w:r>
      <w:r w:rsidR="003C45A9" w:rsidRPr="00894CFF">
        <w:t xml:space="preserve">this ICER was unchanged from </w:t>
      </w:r>
      <w:r w:rsidRPr="00894CFF">
        <w:t xml:space="preserve">the </w:t>
      </w:r>
      <w:r w:rsidR="003C45A9" w:rsidRPr="00894CFF">
        <w:t xml:space="preserve">sensitivity analysis in the </w:t>
      </w:r>
      <w:r w:rsidRPr="00894CFF">
        <w:t>commentary (Table D.6.1, 05.COM.45).</w:t>
      </w:r>
      <w:r w:rsidR="006B5090" w:rsidRPr="00894CFF">
        <w:t xml:space="preserve"> </w:t>
      </w:r>
    </w:p>
    <w:p w:rsidR="00253003" w:rsidRPr="00894CFF" w:rsidRDefault="00253003" w:rsidP="000A0288">
      <w:pPr>
        <w:pStyle w:val="TableFooter"/>
        <w:widowControl/>
        <w:ind w:left="709"/>
        <w:rPr>
          <w:szCs w:val="20"/>
        </w:rPr>
      </w:pPr>
      <w:r w:rsidRPr="00894CFF">
        <w:t>Source: Table 1, p3 of the PSCR</w:t>
      </w:r>
    </w:p>
    <w:p w:rsidR="00253003" w:rsidRDefault="00253003" w:rsidP="000A0288">
      <w:pPr>
        <w:pStyle w:val="Subtitle"/>
        <w:rPr>
          <w:rFonts w:ascii="Arial" w:hAnsi="Arial" w:cs="Arial"/>
          <w:b/>
          <w:sz w:val="22"/>
          <w:szCs w:val="22"/>
        </w:rPr>
      </w:pPr>
    </w:p>
    <w:p w:rsidR="00D83D84" w:rsidRPr="00E66A98" w:rsidRDefault="00253003" w:rsidP="000A0288">
      <w:pPr>
        <w:pStyle w:val="ListParagraph"/>
        <w:widowControl/>
        <w:numPr>
          <w:ilvl w:val="1"/>
          <w:numId w:val="2"/>
        </w:numPr>
        <w:rPr>
          <w:szCs w:val="22"/>
        </w:rPr>
      </w:pPr>
      <w:r w:rsidRPr="00E66A98">
        <w:rPr>
          <w:szCs w:val="22"/>
        </w:rPr>
        <w:t xml:space="preserve">Although the revisions to the economic model are expected to decrease incremental </w:t>
      </w:r>
      <w:r w:rsidR="00291F31" w:rsidRPr="00E66A98">
        <w:rPr>
          <w:szCs w:val="22"/>
        </w:rPr>
        <w:t>life years</w:t>
      </w:r>
      <w:r w:rsidRPr="00E66A98">
        <w:rPr>
          <w:szCs w:val="22"/>
        </w:rPr>
        <w:t xml:space="preserve">, QALYs and costs, the inclusion of </w:t>
      </w:r>
      <w:proofErr w:type="spellStart"/>
      <w:r w:rsidRPr="00E66A98">
        <w:rPr>
          <w:szCs w:val="22"/>
        </w:rPr>
        <w:t>bosentan</w:t>
      </w:r>
      <w:proofErr w:type="spellEnd"/>
      <w:r w:rsidRPr="00E66A98">
        <w:rPr>
          <w:szCs w:val="22"/>
        </w:rPr>
        <w:t xml:space="preserve"> cost offsets </w:t>
      </w:r>
      <w:r w:rsidR="00342CE8" w:rsidRPr="00E66A98">
        <w:rPr>
          <w:szCs w:val="22"/>
        </w:rPr>
        <w:t>wa</w:t>
      </w:r>
      <w:r w:rsidRPr="00E66A98">
        <w:rPr>
          <w:szCs w:val="22"/>
        </w:rPr>
        <w:t>s the likely dominant factor in the reduced base case ICER ($</w:t>
      </w:r>
      <w:r w:rsidR="0093641B">
        <w:rPr>
          <w:szCs w:val="22"/>
        </w:rPr>
        <w:t xml:space="preserve">45,000 to $75,000 </w:t>
      </w:r>
      <w:r w:rsidR="006B56DD" w:rsidRPr="00E66A98">
        <w:rPr>
          <w:szCs w:val="22"/>
        </w:rPr>
        <w:t>per QALY</w:t>
      </w:r>
      <w:r w:rsidRPr="00E66A98">
        <w:rPr>
          <w:szCs w:val="22"/>
        </w:rPr>
        <w:t>).</w:t>
      </w:r>
      <w:r w:rsidR="006B5090" w:rsidRPr="00E66A98">
        <w:rPr>
          <w:szCs w:val="22"/>
        </w:rPr>
        <w:t xml:space="preserve"> </w:t>
      </w:r>
      <w:r w:rsidR="00A70768" w:rsidRPr="00E66A98">
        <w:rPr>
          <w:szCs w:val="22"/>
        </w:rPr>
        <w:t>The ESC noted that</w:t>
      </w:r>
      <w:r w:rsidRPr="00E66A98">
        <w:rPr>
          <w:szCs w:val="22"/>
        </w:rPr>
        <w:t xml:space="preserve"> survival estimates </w:t>
      </w:r>
      <w:r w:rsidR="00211276" w:rsidRPr="00E66A98">
        <w:rPr>
          <w:szCs w:val="22"/>
        </w:rPr>
        <w:t>were</w:t>
      </w:r>
      <w:r w:rsidRPr="00E66A98">
        <w:rPr>
          <w:szCs w:val="22"/>
        </w:rPr>
        <w:t xml:space="preserve"> only adjusted for </w:t>
      </w:r>
      <w:r w:rsidR="00291F31" w:rsidRPr="00E66A98">
        <w:rPr>
          <w:szCs w:val="22"/>
        </w:rPr>
        <w:t xml:space="preserve">the </w:t>
      </w:r>
      <w:r w:rsidRPr="00E66A98">
        <w:rPr>
          <w:szCs w:val="22"/>
        </w:rPr>
        <w:t>placebo group in the PSCR analysis.</w:t>
      </w:r>
      <w:r w:rsidR="006B5090" w:rsidRPr="00E66A98">
        <w:rPr>
          <w:szCs w:val="22"/>
        </w:rPr>
        <w:t xml:space="preserve"> </w:t>
      </w:r>
      <w:r w:rsidRPr="00E66A98">
        <w:rPr>
          <w:szCs w:val="22"/>
        </w:rPr>
        <w:t>Separate survival analys</w:t>
      </w:r>
      <w:r w:rsidR="00081450" w:rsidRPr="00E66A98">
        <w:rPr>
          <w:szCs w:val="22"/>
        </w:rPr>
        <w:t>e</w:t>
      </w:r>
      <w:r w:rsidRPr="00E66A98">
        <w:rPr>
          <w:szCs w:val="22"/>
        </w:rPr>
        <w:t>s for riociguat treated patients with inoperable CTEPH and persistent CTEPH were not incorporated into the revised economic model.</w:t>
      </w:r>
      <w:r w:rsidR="006B5090" w:rsidRPr="00E66A98">
        <w:rPr>
          <w:szCs w:val="22"/>
        </w:rPr>
        <w:t xml:space="preserve"> </w:t>
      </w:r>
      <w:r w:rsidRPr="00E66A98">
        <w:rPr>
          <w:szCs w:val="22"/>
        </w:rPr>
        <w:t>In addition, there was no consideration for any potential differences in WHO functional class transition probabilities across the inoperable and persistent CTEPH cohorts.</w:t>
      </w:r>
    </w:p>
    <w:p w:rsidR="00D83D84" w:rsidRPr="00E66A98" w:rsidRDefault="00D83D84" w:rsidP="000A0288">
      <w:pPr>
        <w:pStyle w:val="ListParagraph"/>
        <w:widowControl/>
        <w:rPr>
          <w:szCs w:val="22"/>
        </w:rPr>
      </w:pPr>
    </w:p>
    <w:p w:rsidR="00253003" w:rsidRPr="00A934CC" w:rsidRDefault="00253003" w:rsidP="00EE2418">
      <w:pPr>
        <w:pStyle w:val="ListParagraph"/>
        <w:widowControl/>
        <w:numPr>
          <w:ilvl w:val="1"/>
          <w:numId w:val="2"/>
        </w:numPr>
        <w:rPr>
          <w:szCs w:val="22"/>
        </w:rPr>
      </w:pPr>
      <w:r w:rsidRPr="00E66A98">
        <w:rPr>
          <w:szCs w:val="22"/>
        </w:rPr>
        <w:t xml:space="preserve">Overall, </w:t>
      </w:r>
      <w:r w:rsidR="006B56DD" w:rsidRPr="00E66A98">
        <w:rPr>
          <w:szCs w:val="22"/>
        </w:rPr>
        <w:t xml:space="preserve">the ESC questioned </w:t>
      </w:r>
      <w:r w:rsidRPr="00E66A98">
        <w:rPr>
          <w:szCs w:val="22"/>
        </w:rPr>
        <w:t>whether the revised ICER presented in the PSCR is of sufficient reliability</w:t>
      </w:r>
      <w:r w:rsidR="006B56DD" w:rsidRPr="00E66A98">
        <w:rPr>
          <w:szCs w:val="22"/>
        </w:rPr>
        <w:t xml:space="preserve"> and whether it </w:t>
      </w:r>
      <w:r w:rsidR="006B56DD" w:rsidRPr="00E66A98">
        <w:t xml:space="preserve">may have been more appropriate to consider inoperable and persistent CTEPH patients in separate </w:t>
      </w:r>
      <w:r w:rsidR="008E39BC" w:rsidRPr="00E66A98">
        <w:t xml:space="preserve">economic </w:t>
      </w:r>
      <w:r w:rsidR="006B56DD" w:rsidRPr="00E66A98">
        <w:t>models</w:t>
      </w:r>
      <w:r w:rsidRPr="00A934CC">
        <w:rPr>
          <w:szCs w:val="22"/>
        </w:rPr>
        <w:t>.</w:t>
      </w:r>
      <w:r w:rsidR="00EE2418" w:rsidRPr="00A934CC">
        <w:rPr>
          <w:szCs w:val="22"/>
        </w:rPr>
        <w:t xml:space="preserve"> The pre</w:t>
      </w:r>
      <w:r w:rsidR="00EE2418" w:rsidRPr="00A934CC">
        <w:rPr>
          <w:szCs w:val="22"/>
        </w:rPr>
        <w:noBreakHyphen/>
        <w:t xml:space="preserve">PBAC response argued that further splitting the analyses by operability status would only increase uncertainty given the small numbers of functional class transitions by baseline functional class. </w:t>
      </w:r>
    </w:p>
    <w:p w:rsidR="00A53BFE" w:rsidRPr="00A934CC" w:rsidRDefault="00A53BFE" w:rsidP="00EE2418">
      <w:pPr>
        <w:widowControl/>
        <w:rPr>
          <w:rStyle w:val="IntenseReference"/>
          <w:b w:val="0"/>
          <w:bCs w:val="0"/>
          <w:i w:val="0"/>
          <w:smallCaps w:val="0"/>
        </w:rPr>
      </w:pPr>
    </w:p>
    <w:p w:rsidR="00A85599" w:rsidRPr="00A934CC" w:rsidRDefault="00A53BFE" w:rsidP="00E7159A">
      <w:pPr>
        <w:pStyle w:val="ListParagraph"/>
        <w:widowControl/>
        <w:numPr>
          <w:ilvl w:val="1"/>
          <w:numId w:val="2"/>
        </w:numPr>
        <w:rPr>
          <w:szCs w:val="22"/>
        </w:rPr>
      </w:pPr>
      <w:r w:rsidRPr="00A934CC">
        <w:rPr>
          <w:szCs w:val="22"/>
        </w:rPr>
        <w:t xml:space="preserve">The pre-PBAC response offered a </w:t>
      </w:r>
      <w:r w:rsidR="0011087E">
        <w:rPr>
          <w:noProof/>
          <w:color w:val="000000"/>
          <w:szCs w:val="22"/>
          <w:highlight w:val="black"/>
        </w:rPr>
        <w:t>''''''''</w:t>
      </w:r>
      <w:r w:rsidRPr="00A934CC">
        <w:rPr>
          <w:szCs w:val="22"/>
        </w:rPr>
        <w:t xml:space="preserve">% price </w:t>
      </w:r>
      <w:r w:rsidR="000F50A0" w:rsidRPr="00A934CC">
        <w:rPr>
          <w:szCs w:val="22"/>
        </w:rPr>
        <w:t>reduction</w:t>
      </w:r>
      <w:r w:rsidRPr="00A934CC">
        <w:rPr>
          <w:szCs w:val="22"/>
        </w:rPr>
        <w:t xml:space="preserve"> (resulting in a new effective DPMQ of $</w:t>
      </w:r>
      <w:r w:rsidR="0011087E">
        <w:rPr>
          <w:noProof/>
          <w:color w:val="000000"/>
          <w:szCs w:val="22"/>
          <w:highlight w:val="black"/>
        </w:rPr>
        <w:t>'''''''''''</w:t>
      </w:r>
      <w:r w:rsidRPr="00A934CC">
        <w:rPr>
          <w:szCs w:val="22"/>
        </w:rPr>
        <w:t xml:space="preserve"> for an 84 tablet pack), which it stated was to give the PBAC further certainty of the cost-effectiveness of riociguat within the proposed restriction. </w:t>
      </w:r>
      <w:r w:rsidR="00672BF4" w:rsidRPr="00A934CC">
        <w:rPr>
          <w:szCs w:val="22"/>
        </w:rPr>
        <w:t>In this regard, t</w:t>
      </w:r>
      <w:r w:rsidRPr="00A934CC">
        <w:rPr>
          <w:szCs w:val="22"/>
        </w:rPr>
        <w:t xml:space="preserve">he response </w:t>
      </w:r>
      <w:r w:rsidR="00672BF4" w:rsidRPr="00A934CC">
        <w:rPr>
          <w:szCs w:val="22"/>
        </w:rPr>
        <w:t xml:space="preserve">provided a new sensitivity analysis which assumed there would be no </w:t>
      </w:r>
      <w:r w:rsidR="00A264AB" w:rsidRPr="00A934CC">
        <w:rPr>
          <w:szCs w:val="22"/>
        </w:rPr>
        <w:t>survival benefit associated with riociguat for</w:t>
      </w:r>
      <w:r w:rsidR="00672BF4" w:rsidRPr="00A934CC">
        <w:rPr>
          <w:szCs w:val="22"/>
        </w:rPr>
        <w:t xml:space="preserve"> the surgical cohort</w:t>
      </w:r>
      <w:r w:rsidR="007E725A" w:rsidRPr="00A934CC">
        <w:rPr>
          <w:szCs w:val="22"/>
        </w:rPr>
        <w:t xml:space="preserve"> (and including the price reduction)</w:t>
      </w:r>
      <w:r w:rsidR="00672BF4" w:rsidRPr="00A934CC">
        <w:rPr>
          <w:szCs w:val="22"/>
        </w:rPr>
        <w:t>. This scenario resulted in an ICER of around $</w:t>
      </w:r>
      <w:r w:rsidR="0093641B">
        <w:rPr>
          <w:szCs w:val="22"/>
        </w:rPr>
        <w:t>45,000 to $75,000</w:t>
      </w:r>
      <w:r w:rsidR="00672BF4" w:rsidRPr="00A934CC">
        <w:rPr>
          <w:szCs w:val="22"/>
        </w:rPr>
        <w:t xml:space="preserve"> for surgical patients, $</w:t>
      </w:r>
      <w:r w:rsidR="0093641B">
        <w:rPr>
          <w:szCs w:val="22"/>
        </w:rPr>
        <w:t>15,000 to $45,000</w:t>
      </w:r>
      <w:r w:rsidR="00672BF4" w:rsidRPr="00A934CC">
        <w:rPr>
          <w:szCs w:val="22"/>
        </w:rPr>
        <w:t xml:space="preserve"> for non-surgical patients and $</w:t>
      </w:r>
      <w:r w:rsidR="0093641B">
        <w:rPr>
          <w:szCs w:val="22"/>
        </w:rPr>
        <w:t>45,000 to $75,000</w:t>
      </w:r>
      <w:r w:rsidR="00672BF4" w:rsidRPr="00A934CC">
        <w:rPr>
          <w:szCs w:val="22"/>
        </w:rPr>
        <w:t xml:space="preserve"> overall.</w:t>
      </w:r>
      <w:bookmarkStart w:id="25" w:name="_Toc416959992"/>
      <w:bookmarkStart w:id="26" w:name="_Toc419206876"/>
    </w:p>
    <w:p w:rsidR="0056291A" w:rsidRDefault="0056291A" w:rsidP="00B24622">
      <w:pPr>
        <w:pStyle w:val="Heading2"/>
      </w:pPr>
    </w:p>
    <w:p w:rsidR="002F36A9" w:rsidRPr="002C2775" w:rsidRDefault="002F36A9" w:rsidP="00B24622">
      <w:pPr>
        <w:pStyle w:val="Heading2"/>
      </w:pPr>
      <w:r w:rsidRPr="002C2775">
        <w:t xml:space="preserve">Drug cost/patient/year: </w:t>
      </w:r>
      <w:r>
        <w:t>$</w:t>
      </w:r>
      <w:bookmarkEnd w:id="25"/>
      <w:bookmarkEnd w:id="26"/>
      <w:r w:rsidR="0011087E">
        <w:rPr>
          <w:noProof/>
          <w:color w:val="000000"/>
          <w:highlight w:val="black"/>
        </w:rPr>
        <w:t>'''''''''''''</w:t>
      </w:r>
    </w:p>
    <w:p w:rsidR="002F36A9" w:rsidRPr="00C25D9C" w:rsidRDefault="002F36A9" w:rsidP="000A0288">
      <w:pPr>
        <w:keepNext/>
        <w:widowControl/>
        <w:rPr>
          <w:szCs w:val="22"/>
        </w:rPr>
      </w:pPr>
    </w:p>
    <w:p w:rsidR="002F36A9" w:rsidRDefault="002F36A9" w:rsidP="000A0288">
      <w:pPr>
        <w:pStyle w:val="ListParagraph"/>
        <w:widowControl/>
        <w:numPr>
          <w:ilvl w:val="1"/>
          <w:numId w:val="2"/>
        </w:numPr>
        <w:rPr>
          <w:szCs w:val="22"/>
        </w:rPr>
      </w:pPr>
      <w:r>
        <w:rPr>
          <w:szCs w:val="22"/>
        </w:rPr>
        <w:t xml:space="preserve">The estimated drug cost/patient/year was </w:t>
      </w:r>
      <w:r w:rsidR="00B00C0E">
        <w:rPr>
          <w:szCs w:val="22"/>
        </w:rPr>
        <w:t xml:space="preserve">calculated from </w:t>
      </w:r>
      <w:r>
        <w:rPr>
          <w:szCs w:val="22"/>
        </w:rPr>
        <w:t>an expected comp</w:t>
      </w:r>
      <w:r w:rsidR="00B00C0E">
        <w:rPr>
          <w:szCs w:val="22"/>
        </w:rPr>
        <w:t xml:space="preserve">liance rate of 10 </w:t>
      </w:r>
      <w:r w:rsidR="006C35F6">
        <w:rPr>
          <w:szCs w:val="22"/>
        </w:rPr>
        <w:t xml:space="preserve">continuing treatment </w:t>
      </w:r>
      <w:r w:rsidR="00B00C0E">
        <w:rPr>
          <w:szCs w:val="22"/>
        </w:rPr>
        <w:t>prescriptions</w:t>
      </w:r>
      <w:r w:rsidR="006C35F6">
        <w:rPr>
          <w:szCs w:val="22"/>
        </w:rPr>
        <w:t xml:space="preserve"> per </w:t>
      </w:r>
      <w:r w:rsidR="00B72DA2">
        <w:rPr>
          <w:szCs w:val="22"/>
        </w:rPr>
        <w:t>patient</w:t>
      </w:r>
      <w:r w:rsidR="006C35F6">
        <w:rPr>
          <w:szCs w:val="22"/>
        </w:rPr>
        <w:t xml:space="preserve"> per </w:t>
      </w:r>
      <w:r w:rsidR="00B72DA2">
        <w:rPr>
          <w:szCs w:val="22"/>
        </w:rPr>
        <w:t>year</w:t>
      </w:r>
      <w:r w:rsidR="00B00C0E">
        <w:rPr>
          <w:szCs w:val="22"/>
        </w:rPr>
        <w:t>.</w:t>
      </w:r>
      <w:r w:rsidR="006B5090">
        <w:rPr>
          <w:szCs w:val="22"/>
        </w:rPr>
        <w:t xml:space="preserve"> </w:t>
      </w:r>
      <w:r w:rsidR="00B00C0E">
        <w:rPr>
          <w:szCs w:val="22"/>
        </w:rPr>
        <w:t>This compliance rate was based</w:t>
      </w:r>
      <w:r w:rsidRPr="001501A5">
        <w:rPr>
          <w:szCs w:val="22"/>
        </w:rPr>
        <w:t xml:space="preserve"> on a 10% sample of Medicare data for </w:t>
      </w:r>
      <w:proofErr w:type="spellStart"/>
      <w:r w:rsidRPr="001501A5">
        <w:rPr>
          <w:szCs w:val="22"/>
        </w:rPr>
        <w:t>bosentan</w:t>
      </w:r>
      <w:proofErr w:type="spellEnd"/>
      <w:r w:rsidRPr="001501A5">
        <w:rPr>
          <w:szCs w:val="22"/>
        </w:rPr>
        <w:t xml:space="preserve"> utilisation </w:t>
      </w:r>
      <w:r w:rsidR="00B00C0E">
        <w:rPr>
          <w:szCs w:val="22"/>
        </w:rPr>
        <w:t>(</w:t>
      </w:r>
      <w:r w:rsidR="00DD3FE1">
        <w:rPr>
          <w:szCs w:val="22"/>
        </w:rPr>
        <w:t>2010</w:t>
      </w:r>
      <w:r w:rsidR="00DD3FE1">
        <w:rPr>
          <w:szCs w:val="22"/>
        </w:rPr>
        <w:noBreakHyphen/>
      </w:r>
      <w:r w:rsidRPr="001501A5">
        <w:rPr>
          <w:szCs w:val="22"/>
        </w:rPr>
        <w:t>2013</w:t>
      </w:r>
      <w:r w:rsidR="00B00C0E">
        <w:rPr>
          <w:szCs w:val="22"/>
        </w:rPr>
        <w:t>)</w:t>
      </w:r>
      <w:r w:rsidRPr="001501A5">
        <w:rPr>
          <w:szCs w:val="22"/>
        </w:rPr>
        <w:t>.</w:t>
      </w:r>
      <w:r w:rsidR="006B5090">
        <w:rPr>
          <w:szCs w:val="22"/>
        </w:rPr>
        <w:t xml:space="preserve"> </w:t>
      </w:r>
      <w:r w:rsidR="00C60173">
        <w:rPr>
          <w:szCs w:val="22"/>
        </w:rPr>
        <w:t xml:space="preserve">In October 2014, the </w:t>
      </w:r>
      <w:r w:rsidRPr="001501A5">
        <w:rPr>
          <w:szCs w:val="22"/>
        </w:rPr>
        <w:t xml:space="preserve">DUSC considered </w:t>
      </w:r>
      <w:r w:rsidR="00C60173">
        <w:rPr>
          <w:szCs w:val="22"/>
        </w:rPr>
        <w:t xml:space="preserve">that </w:t>
      </w:r>
      <w:r w:rsidRPr="001501A5">
        <w:rPr>
          <w:szCs w:val="22"/>
        </w:rPr>
        <w:t xml:space="preserve">this </w:t>
      </w:r>
      <w:r w:rsidR="00C60173">
        <w:rPr>
          <w:szCs w:val="22"/>
        </w:rPr>
        <w:t xml:space="preserve">was </w:t>
      </w:r>
      <w:r w:rsidR="00B00C0E">
        <w:rPr>
          <w:szCs w:val="22"/>
        </w:rPr>
        <w:t xml:space="preserve">an appropriate </w:t>
      </w:r>
      <w:r w:rsidR="00B72DA2">
        <w:rPr>
          <w:szCs w:val="22"/>
        </w:rPr>
        <w:lastRenderedPageBreak/>
        <w:t>approach for determining</w:t>
      </w:r>
      <w:r w:rsidR="00B00C0E">
        <w:rPr>
          <w:szCs w:val="22"/>
        </w:rPr>
        <w:t xml:space="preserve"> riociguat compliance</w:t>
      </w:r>
      <w:r>
        <w:rPr>
          <w:szCs w:val="22"/>
        </w:rPr>
        <w:t>.</w:t>
      </w:r>
      <w:r w:rsidR="006B5090">
        <w:rPr>
          <w:szCs w:val="22"/>
        </w:rPr>
        <w:t xml:space="preserve"> </w:t>
      </w:r>
      <w:r w:rsidR="00E32818">
        <w:rPr>
          <w:szCs w:val="22"/>
        </w:rPr>
        <w:t>G</w:t>
      </w:r>
      <w:r w:rsidR="006C35F6">
        <w:rPr>
          <w:szCs w:val="22"/>
        </w:rPr>
        <w:t xml:space="preserve">iven </w:t>
      </w:r>
      <w:r w:rsidR="00E32818">
        <w:rPr>
          <w:szCs w:val="22"/>
        </w:rPr>
        <w:t>an</w:t>
      </w:r>
      <w:r w:rsidR="006C35F6">
        <w:rPr>
          <w:szCs w:val="22"/>
        </w:rPr>
        <w:t xml:space="preserve"> effective price of $</w:t>
      </w:r>
      <w:r w:rsidR="0011087E">
        <w:rPr>
          <w:noProof/>
          <w:color w:val="000000"/>
          <w:szCs w:val="22"/>
          <w:highlight w:val="black"/>
        </w:rPr>
        <w:t>'''''''''''''''''''''</w:t>
      </w:r>
      <w:r w:rsidR="006C35F6">
        <w:rPr>
          <w:szCs w:val="22"/>
        </w:rPr>
        <w:t xml:space="preserve"> per continuing prescription </w:t>
      </w:r>
      <w:r w:rsidR="00E32818">
        <w:rPr>
          <w:szCs w:val="22"/>
        </w:rPr>
        <w:t>for</w:t>
      </w:r>
      <w:r w:rsidR="006C35F6">
        <w:rPr>
          <w:szCs w:val="22"/>
        </w:rPr>
        <w:t xml:space="preserve"> all riociguat </w:t>
      </w:r>
      <w:r w:rsidR="00E32818">
        <w:rPr>
          <w:szCs w:val="22"/>
        </w:rPr>
        <w:t>strengths</w:t>
      </w:r>
      <w:r w:rsidR="006C35F6">
        <w:rPr>
          <w:szCs w:val="22"/>
        </w:rPr>
        <w:t xml:space="preserve">, </w:t>
      </w:r>
      <w:r w:rsidR="007E725A">
        <w:rPr>
          <w:szCs w:val="22"/>
        </w:rPr>
        <w:t xml:space="preserve">the drug </w:t>
      </w:r>
      <w:r w:rsidR="00E32818">
        <w:rPr>
          <w:szCs w:val="22"/>
        </w:rPr>
        <w:t>cost/patient/</w:t>
      </w:r>
      <w:r w:rsidR="006C35F6">
        <w:rPr>
          <w:szCs w:val="22"/>
        </w:rPr>
        <w:t>year was estimated to be $</w:t>
      </w:r>
      <w:r w:rsidR="0011087E">
        <w:rPr>
          <w:noProof/>
          <w:color w:val="000000"/>
          <w:szCs w:val="22"/>
          <w:highlight w:val="black"/>
        </w:rPr>
        <w:t>''''''''''''''''</w:t>
      </w:r>
      <w:r w:rsidR="006C35F6">
        <w:rPr>
          <w:szCs w:val="22"/>
        </w:rPr>
        <w:t>.</w:t>
      </w:r>
    </w:p>
    <w:p w:rsidR="002F36A9" w:rsidRPr="001E2B1E" w:rsidRDefault="00E851D7" w:rsidP="000A0288">
      <w:pPr>
        <w:pStyle w:val="ListParagraph"/>
        <w:widowControl/>
        <w:rPr>
          <w:szCs w:val="22"/>
        </w:rPr>
      </w:pPr>
      <w:r>
        <w:rPr>
          <w:szCs w:val="22"/>
        </w:rPr>
        <w:t xml:space="preserve"> </w:t>
      </w:r>
    </w:p>
    <w:p w:rsidR="002F36A9" w:rsidRPr="002C2775" w:rsidRDefault="002F36A9" w:rsidP="00B24622">
      <w:pPr>
        <w:pStyle w:val="Heading2"/>
      </w:pPr>
      <w:bookmarkStart w:id="27" w:name="_Toc416959993"/>
      <w:bookmarkStart w:id="28" w:name="_Toc419206877"/>
      <w:r w:rsidRPr="002C2775">
        <w:t>Estimated PBS usage &amp; financial implications</w:t>
      </w:r>
      <w:bookmarkEnd w:id="27"/>
      <w:bookmarkEnd w:id="28"/>
    </w:p>
    <w:p w:rsidR="002F36A9" w:rsidRPr="0064224A" w:rsidRDefault="00B20A47" w:rsidP="000A0288">
      <w:pPr>
        <w:pStyle w:val="ListParagraph"/>
        <w:widowControl/>
        <w:numPr>
          <w:ilvl w:val="1"/>
          <w:numId w:val="2"/>
        </w:numPr>
        <w:rPr>
          <w:szCs w:val="22"/>
        </w:rPr>
      </w:pPr>
      <w:r>
        <w:t>The</w:t>
      </w:r>
      <w:r w:rsidR="002F36A9" w:rsidRPr="0064224A">
        <w:t xml:space="preserve"> </w:t>
      </w:r>
      <w:r w:rsidR="000E17A0">
        <w:t>re-</w:t>
      </w:r>
      <w:r w:rsidR="002F36A9" w:rsidRPr="0064224A">
        <w:t xml:space="preserve">submission </w:t>
      </w:r>
      <w:r w:rsidR="00301710">
        <w:t xml:space="preserve">was </w:t>
      </w:r>
      <w:r w:rsidR="002F36A9" w:rsidRPr="0064224A">
        <w:t xml:space="preserve">not considered by </w:t>
      </w:r>
      <w:r w:rsidR="00C60173">
        <w:t>DUSC.</w:t>
      </w:r>
      <w:r w:rsidR="006B5090">
        <w:t xml:space="preserve"> </w:t>
      </w:r>
      <w:r w:rsidR="00C60173">
        <w:t>The re</w:t>
      </w:r>
      <w:r w:rsidR="00C60173">
        <w:noBreakHyphen/>
      </w:r>
      <w:r w:rsidR="002F36A9" w:rsidRPr="0064224A">
        <w:t>submission update</w:t>
      </w:r>
      <w:r w:rsidR="00EF02A4">
        <w:t>d</w:t>
      </w:r>
      <w:r w:rsidR="002F36A9" w:rsidRPr="0064224A">
        <w:t xml:space="preserve"> the </w:t>
      </w:r>
      <w:r w:rsidR="00B72DA2">
        <w:t>financial estimates for riociguat</w:t>
      </w:r>
      <w:r w:rsidR="002F36A9" w:rsidRPr="0064224A">
        <w:t xml:space="preserve">, </w:t>
      </w:r>
      <w:r w:rsidR="007E01CD">
        <w:t>applying</w:t>
      </w:r>
      <w:r w:rsidR="007E01CD" w:rsidRPr="0064224A">
        <w:t xml:space="preserve"> </w:t>
      </w:r>
      <w:r w:rsidR="002F36A9" w:rsidRPr="0064224A">
        <w:t>revisions included in the November 2014 pre-PBAC response</w:t>
      </w:r>
      <w:r w:rsidR="00C60173">
        <w:t xml:space="preserve"> which</w:t>
      </w:r>
      <w:r w:rsidR="002F36A9" w:rsidRPr="0064224A">
        <w:t xml:space="preserve"> </w:t>
      </w:r>
      <w:r w:rsidR="002F36A9">
        <w:t xml:space="preserve">the PBAC considered </w:t>
      </w:r>
      <w:r w:rsidR="002F36A9" w:rsidRPr="0064224A">
        <w:t>to be in line with the DUSC advice (</w:t>
      </w:r>
      <w:r w:rsidR="002F36A9" w:rsidRPr="0011087E">
        <w:t>November 2014</w:t>
      </w:r>
      <w:r w:rsidR="00452BE3" w:rsidRPr="0011087E">
        <w:t xml:space="preserve"> riociguat PSD</w:t>
      </w:r>
      <w:r w:rsidR="002F36A9" w:rsidRPr="0064224A">
        <w:t>, paragraph 6.</w:t>
      </w:r>
      <w:r w:rsidR="005B27DC" w:rsidRPr="0064224A">
        <w:t>2</w:t>
      </w:r>
      <w:r w:rsidR="005B27DC">
        <w:t>4</w:t>
      </w:r>
      <w:r w:rsidR="002F36A9" w:rsidRPr="0064224A">
        <w:t>)</w:t>
      </w:r>
      <w:r w:rsidR="00C60173">
        <w:t>.</w:t>
      </w:r>
      <w:r w:rsidR="002F36A9" w:rsidRPr="0064224A">
        <w:t xml:space="preserve"> </w:t>
      </w:r>
      <w:r w:rsidR="00C60173">
        <w:t xml:space="preserve">The submission included </w:t>
      </w:r>
      <w:r w:rsidR="002F36A9" w:rsidRPr="0064224A">
        <w:t>additional cost</w:t>
      </w:r>
      <w:r w:rsidR="00C60173">
        <w:noBreakHyphen/>
      </w:r>
      <w:r w:rsidR="002F36A9" w:rsidRPr="0064224A">
        <w:t xml:space="preserve">offsets associated with an assumed reduction in </w:t>
      </w:r>
      <w:proofErr w:type="spellStart"/>
      <w:r w:rsidR="002F36A9" w:rsidRPr="0064224A">
        <w:t>bosentan</w:t>
      </w:r>
      <w:proofErr w:type="spellEnd"/>
      <w:r w:rsidR="002F36A9" w:rsidRPr="0064224A">
        <w:t xml:space="preserve"> use.</w:t>
      </w:r>
    </w:p>
    <w:p w:rsidR="002F36A9" w:rsidRDefault="002F36A9" w:rsidP="000A0288">
      <w:pPr>
        <w:widowControl/>
        <w:rPr>
          <w:szCs w:val="22"/>
        </w:rPr>
      </w:pPr>
    </w:p>
    <w:p w:rsidR="002F36A9" w:rsidRDefault="002F36A9" w:rsidP="000A0288">
      <w:pPr>
        <w:keepNext/>
        <w:widowControl/>
        <w:ind w:firstLine="709"/>
        <w:rPr>
          <w:rStyle w:val="CommentReference"/>
        </w:rPr>
      </w:pPr>
      <w:r w:rsidRPr="001222FC">
        <w:rPr>
          <w:rStyle w:val="CommentReference"/>
        </w:rPr>
        <w:t xml:space="preserve">Table </w:t>
      </w:r>
      <w:r w:rsidR="00E42169">
        <w:rPr>
          <w:rStyle w:val="CommentReference"/>
        </w:rPr>
        <w:t>9</w:t>
      </w:r>
      <w:r w:rsidRPr="001222FC">
        <w:rPr>
          <w:rStyle w:val="CommentReference"/>
        </w:rPr>
        <w:t>: Estimated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94"/>
        <w:gridCol w:w="984"/>
        <w:gridCol w:w="985"/>
        <w:gridCol w:w="988"/>
        <w:gridCol w:w="997"/>
        <w:gridCol w:w="997"/>
      </w:tblGrid>
      <w:tr w:rsidR="00A614D2" w:rsidRPr="004E2ADC" w:rsidTr="003C6AFB">
        <w:trPr>
          <w:tblHeader/>
        </w:trPr>
        <w:tc>
          <w:tcPr>
            <w:tcW w:w="2037" w:type="pct"/>
            <w:shd w:val="clear" w:color="auto" w:fill="auto"/>
            <w:vAlign w:val="center"/>
          </w:tcPr>
          <w:p w:rsidR="002F36A9" w:rsidRPr="004E2ADC" w:rsidRDefault="002F36A9" w:rsidP="000A0288">
            <w:pPr>
              <w:keepNext/>
              <w:widowControl/>
              <w:tabs>
                <w:tab w:val="left" w:pos="142"/>
              </w:tabs>
              <w:jc w:val="left"/>
              <w:rPr>
                <w:rFonts w:ascii="Arial Narrow" w:hAnsi="Arial Narrow"/>
                <w:b/>
                <w:sz w:val="20"/>
              </w:rPr>
            </w:pPr>
          </w:p>
        </w:tc>
        <w:tc>
          <w:tcPr>
            <w:tcW w:w="593" w:type="pct"/>
            <w:shd w:val="clear" w:color="auto" w:fill="auto"/>
            <w:vAlign w:val="center"/>
          </w:tcPr>
          <w:p w:rsidR="002F36A9" w:rsidRPr="004E2ADC" w:rsidRDefault="002F36A9" w:rsidP="000A0288">
            <w:pPr>
              <w:keepNext/>
              <w:widowControl/>
              <w:jc w:val="center"/>
              <w:rPr>
                <w:rFonts w:ascii="Arial Narrow" w:hAnsi="Arial Narrow"/>
                <w:b/>
                <w:sz w:val="20"/>
              </w:rPr>
            </w:pPr>
            <w:r w:rsidRPr="004E2ADC">
              <w:rPr>
                <w:rFonts w:ascii="Arial Narrow" w:hAnsi="Arial Narrow"/>
                <w:b/>
                <w:sz w:val="20"/>
              </w:rPr>
              <w:t>Year 1</w:t>
            </w:r>
          </w:p>
        </w:tc>
        <w:tc>
          <w:tcPr>
            <w:tcW w:w="592" w:type="pct"/>
            <w:shd w:val="clear" w:color="auto" w:fill="auto"/>
            <w:vAlign w:val="center"/>
          </w:tcPr>
          <w:p w:rsidR="002F36A9" w:rsidRPr="004E2ADC" w:rsidRDefault="002F36A9" w:rsidP="000A0288">
            <w:pPr>
              <w:keepNext/>
              <w:widowControl/>
              <w:jc w:val="center"/>
              <w:rPr>
                <w:rFonts w:ascii="Arial Narrow" w:hAnsi="Arial Narrow"/>
                <w:b/>
                <w:sz w:val="20"/>
              </w:rPr>
            </w:pPr>
            <w:r w:rsidRPr="004E2ADC">
              <w:rPr>
                <w:rFonts w:ascii="Arial Narrow" w:hAnsi="Arial Narrow"/>
                <w:b/>
                <w:sz w:val="20"/>
              </w:rPr>
              <w:t>Year 2</w:t>
            </w:r>
          </w:p>
        </w:tc>
        <w:tc>
          <w:tcPr>
            <w:tcW w:w="595" w:type="pct"/>
            <w:shd w:val="clear" w:color="auto" w:fill="auto"/>
            <w:vAlign w:val="center"/>
          </w:tcPr>
          <w:p w:rsidR="002F36A9" w:rsidRPr="004E2ADC" w:rsidRDefault="002F36A9" w:rsidP="000A0288">
            <w:pPr>
              <w:keepNext/>
              <w:widowControl/>
              <w:jc w:val="center"/>
              <w:rPr>
                <w:rFonts w:ascii="Arial Narrow" w:hAnsi="Arial Narrow"/>
                <w:b/>
                <w:sz w:val="20"/>
              </w:rPr>
            </w:pPr>
            <w:r w:rsidRPr="004E2ADC">
              <w:rPr>
                <w:rFonts w:ascii="Arial Narrow" w:hAnsi="Arial Narrow"/>
                <w:b/>
                <w:sz w:val="20"/>
              </w:rPr>
              <w:t>Year 3</w:t>
            </w:r>
          </w:p>
        </w:tc>
        <w:tc>
          <w:tcPr>
            <w:tcW w:w="596" w:type="pct"/>
            <w:shd w:val="clear" w:color="auto" w:fill="auto"/>
            <w:vAlign w:val="center"/>
          </w:tcPr>
          <w:p w:rsidR="002F36A9" w:rsidRPr="004E2ADC" w:rsidRDefault="002F36A9" w:rsidP="000A0288">
            <w:pPr>
              <w:keepNext/>
              <w:widowControl/>
              <w:jc w:val="center"/>
              <w:rPr>
                <w:rFonts w:ascii="Arial Narrow" w:hAnsi="Arial Narrow"/>
                <w:b/>
                <w:sz w:val="20"/>
              </w:rPr>
            </w:pPr>
            <w:r w:rsidRPr="004E2ADC">
              <w:rPr>
                <w:rFonts w:ascii="Arial Narrow" w:hAnsi="Arial Narrow"/>
                <w:b/>
                <w:sz w:val="20"/>
              </w:rPr>
              <w:t>Year 4</w:t>
            </w:r>
          </w:p>
        </w:tc>
        <w:tc>
          <w:tcPr>
            <w:tcW w:w="588" w:type="pct"/>
            <w:shd w:val="clear" w:color="auto" w:fill="auto"/>
            <w:vAlign w:val="center"/>
          </w:tcPr>
          <w:p w:rsidR="002F36A9" w:rsidRPr="004E2ADC" w:rsidRDefault="002F36A9" w:rsidP="000A0288">
            <w:pPr>
              <w:keepNext/>
              <w:widowControl/>
              <w:jc w:val="center"/>
              <w:rPr>
                <w:rFonts w:ascii="Arial Narrow" w:hAnsi="Arial Narrow"/>
                <w:b/>
                <w:sz w:val="20"/>
              </w:rPr>
            </w:pPr>
            <w:r w:rsidRPr="004E2ADC">
              <w:rPr>
                <w:rFonts w:ascii="Arial Narrow" w:hAnsi="Arial Narrow"/>
                <w:b/>
                <w:sz w:val="20"/>
              </w:rPr>
              <w:t>Year 5</w:t>
            </w:r>
          </w:p>
        </w:tc>
      </w:tr>
      <w:tr w:rsidR="002F36A9" w:rsidRPr="004E2ADC" w:rsidTr="00A614D2">
        <w:tc>
          <w:tcPr>
            <w:tcW w:w="5000" w:type="pct"/>
            <w:gridSpan w:val="6"/>
            <w:shd w:val="clear" w:color="auto" w:fill="auto"/>
            <w:vAlign w:val="center"/>
          </w:tcPr>
          <w:p w:rsidR="002F36A9" w:rsidRPr="004E2ADC" w:rsidRDefault="002F36A9" w:rsidP="000A0288">
            <w:pPr>
              <w:keepNext/>
              <w:widowControl/>
              <w:jc w:val="left"/>
              <w:rPr>
                <w:rFonts w:ascii="Arial Narrow" w:hAnsi="Arial Narrow"/>
                <w:b/>
                <w:bCs/>
                <w:color w:val="000000"/>
                <w:sz w:val="20"/>
              </w:rPr>
            </w:pPr>
            <w:r w:rsidRPr="004E2ADC">
              <w:rPr>
                <w:rFonts w:ascii="Arial Narrow" w:hAnsi="Arial Narrow"/>
                <w:b/>
                <w:bCs/>
                <w:color w:val="000000"/>
                <w:sz w:val="20"/>
              </w:rPr>
              <w:t>Estimated extent of use</w:t>
            </w:r>
          </w:p>
        </w:tc>
      </w:tr>
      <w:tr w:rsidR="00A614D2" w:rsidRPr="0064224A" w:rsidTr="003C6AFB">
        <w:tc>
          <w:tcPr>
            <w:tcW w:w="2037" w:type="pct"/>
            <w:shd w:val="clear" w:color="auto" w:fill="auto"/>
            <w:vAlign w:val="center"/>
          </w:tcPr>
          <w:p w:rsidR="002F36A9" w:rsidRPr="0064224A" w:rsidRDefault="002F36A9" w:rsidP="000A0288">
            <w:pPr>
              <w:keepNext/>
              <w:widowControl/>
              <w:tabs>
                <w:tab w:val="left" w:pos="142"/>
              </w:tabs>
              <w:jc w:val="left"/>
              <w:rPr>
                <w:rFonts w:ascii="Arial Narrow" w:hAnsi="Arial Narrow"/>
                <w:sz w:val="20"/>
              </w:rPr>
            </w:pPr>
            <w:r w:rsidRPr="0064224A">
              <w:rPr>
                <w:rStyle w:val="CommentReference"/>
                <w:b w:val="0"/>
              </w:rPr>
              <w:t>Patients treated with riociguat</w:t>
            </w:r>
          </w:p>
        </w:tc>
        <w:tc>
          <w:tcPr>
            <w:tcW w:w="593" w:type="pct"/>
            <w:shd w:val="clear" w:color="auto" w:fill="auto"/>
            <w:vAlign w:val="center"/>
          </w:tcPr>
          <w:p w:rsidR="002F36A9" w:rsidRPr="0011087E" w:rsidRDefault="0011087E" w:rsidP="000A0288">
            <w:pPr>
              <w:keepNext/>
              <w:widowControl/>
              <w:jc w:val="center"/>
              <w:rPr>
                <w:rFonts w:ascii="Arial Narrow" w:hAnsi="Arial Narrow"/>
                <w:bCs/>
                <w:color w:val="000000"/>
                <w:sz w:val="20"/>
                <w:highlight w:val="black"/>
              </w:rPr>
            </w:pPr>
            <w:r>
              <w:rPr>
                <w:rStyle w:val="CommentReference"/>
                <w:b w:val="0"/>
                <w:noProof/>
                <w:color w:val="000000"/>
                <w:szCs w:val="20"/>
                <w:highlight w:val="black"/>
              </w:rPr>
              <w:t>''''''''''</w:t>
            </w:r>
          </w:p>
        </w:tc>
        <w:tc>
          <w:tcPr>
            <w:tcW w:w="592" w:type="pct"/>
            <w:shd w:val="clear" w:color="auto" w:fill="auto"/>
            <w:vAlign w:val="center"/>
          </w:tcPr>
          <w:p w:rsidR="002F36A9" w:rsidRPr="0011087E" w:rsidRDefault="0011087E" w:rsidP="000A0288">
            <w:pPr>
              <w:keepNext/>
              <w:widowControl/>
              <w:jc w:val="center"/>
              <w:rPr>
                <w:rFonts w:ascii="Arial Narrow" w:hAnsi="Arial Narrow"/>
                <w:bCs/>
                <w:color w:val="000000"/>
                <w:sz w:val="20"/>
                <w:highlight w:val="black"/>
              </w:rPr>
            </w:pPr>
            <w:r>
              <w:rPr>
                <w:rStyle w:val="CommentReference"/>
                <w:b w:val="0"/>
                <w:noProof/>
                <w:color w:val="000000"/>
                <w:szCs w:val="20"/>
                <w:highlight w:val="black"/>
              </w:rPr>
              <w:t>'''''''''</w:t>
            </w:r>
          </w:p>
        </w:tc>
        <w:tc>
          <w:tcPr>
            <w:tcW w:w="595" w:type="pct"/>
            <w:shd w:val="clear" w:color="auto" w:fill="auto"/>
            <w:vAlign w:val="center"/>
          </w:tcPr>
          <w:p w:rsidR="002F36A9" w:rsidRPr="0011087E" w:rsidRDefault="0011087E" w:rsidP="000A0288">
            <w:pPr>
              <w:keepNext/>
              <w:widowControl/>
              <w:jc w:val="center"/>
              <w:rPr>
                <w:rFonts w:ascii="Arial Narrow" w:hAnsi="Arial Narrow"/>
                <w:bCs/>
                <w:color w:val="000000"/>
                <w:sz w:val="20"/>
                <w:highlight w:val="black"/>
              </w:rPr>
            </w:pPr>
            <w:r>
              <w:rPr>
                <w:rStyle w:val="CommentReference"/>
                <w:b w:val="0"/>
                <w:noProof/>
                <w:color w:val="000000"/>
                <w:szCs w:val="20"/>
                <w:highlight w:val="black"/>
              </w:rPr>
              <w:t>''''''''''</w:t>
            </w:r>
          </w:p>
        </w:tc>
        <w:tc>
          <w:tcPr>
            <w:tcW w:w="596" w:type="pct"/>
            <w:shd w:val="clear" w:color="auto" w:fill="auto"/>
            <w:vAlign w:val="center"/>
          </w:tcPr>
          <w:p w:rsidR="002F36A9" w:rsidRPr="0011087E" w:rsidRDefault="0011087E" w:rsidP="000A0288">
            <w:pPr>
              <w:keepNext/>
              <w:widowControl/>
              <w:jc w:val="center"/>
              <w:rPr>
                <w:rFonts w:ascii="Arial Narrow" w:hAnsi="Arial Narrow"/>
                <w:bCs/>
                <w:color w:val="000000"/>
                <w:sz w:val="20"/>
                <w:highlight w:val="black"/>
              </w:rPr>
            </w:pPr>
            <w:r>
              <w:rPr>
                <w:rStyle w:val="CommentReference"/>
                <w:b w:val="0"/>
                <w:noProof/>
                <w:color w:val="000000"/>
                <w:szCs w:val="20"/>
                <w:highlight w:val="black"/>
              </w:rPr>
              <w:t>''''''''''</w:t>
            </w:r>
          </w:p>
        </w:tc>
        <w:tc>
          <w:tcPr>
            <w:tcW w:w="588" w:type="pct"/>
            <w:shd w:val="clear" w:color="auto" w:fill="auto"/>
            <w:vAlign w:val="center"/>
          </w:tcPr>
          <w:p w:rsidR="002F36A9" w:rsidRPr="0011087E" w:rsidRDefault="0011087E" w:rsidP="000A0288">
            <w:pPr>
              <w:keepNext/>
              <w:widowControl/>
              <w:jc w:val="center"/>
              <w:rPr>
                <w:rFonts w:ascii="Arial Narrow" w:hAnsi="Arial Narrow"/>
                <w:bCs/>
                <w:color w:val="000000"/>
                <w:sz w:val="20"/>
                <w:highlight w:val="black"/>
              </w:rPr>
            </w:pPr>
            <w:r>
              <w:rPr>
                <w:rStyle w:val="CommentReference"/>
                <w:b w:val="0"/>
                <w:noProof/>
                <w:color w:val="000000"/>
                <w:szCs w:val="20"/>
                <w:highlight w:val="black"/>
              </w:rPr>
              <w:t>''''''''''</w:t>
            </w:r>
          </w:p>
        </w:tc>
      </w:tr>
      <w:tr w:rsidR="00A614D2" w:rsidRPr="0064224A" w:rsidTr="003C6AFB">
        <w:tc>
          <w:tcPr>
            <w:tcW w:w="2037" w:type="pct"/>
            <w:shd w:val="clear" w:color="auto" w:fill="auto"/>
            <w:vAlign w:val="center"/>
          </w:tcPr>
          <w:p w:rsidR="00692E59" w:rsidRPr="0064224A" w:rsidRDefault="00692E59" w:rsidP="000A0288">
            <w:pPr>
              <w:keepNext/>
              <w:widowControl/>
              <w:tabs>
                <w:tab w:val="left" w:pos="142"/>
              </w:tabs>
              <w:jc w:val="left"/>
              <w:rPr>
                <w:rStyle w:val="CommentReference"/>
                <w:b w:val="0"/>
              </w:rPr>
            </w:pPr>
            <w:r>
              <w:rPr>
                <w:rStyle w:val="CommentReference"/>
                <w:b w:val="0"/>
              </w:rPr>
              <w:t>November 2014 submission</w:t>
            </w:r>
          </w:p>
        </w:tc>
        <w:tc>
          <w:tcPr>
            <w:tcW w:w="593" w:type="pct"/>
            <w:shd w:val="clear" w:color="auto" w:fill="auto"/>
            <w:vAlign w:val="center"/>
          </w:tcPr>
          <w:p w:rsidR="00692E59" w:rsidRPr="0011087E" w:rsidRDefault="0011087E" w:rsidP="000A0288">
            <w:pPr>
              <w:keepNext/>
              <w:widowControl/>
              <w:jc w:val="center"/>
              <w:rPr>
                <w:rStyle w:val="CommentReference"/>
                <w:b w:val="0"/>
                <w:szCs w:val="20"/>
                <w:highlight w:val="black"/>
              </w:rPr>
            </w:pPr>
            <w:r>
              <w:rPr>
                <w:rStyle w:val="CommentReference"/>
                <w:b w:val="0"/>
                <w:noProof/>
                <w:color w:val="000000"/>
                <w:szCs w:val="20"/>
                <w:highlight w:val="black"/>
              </w:rPr>
              <w:t>'''''</w:t>
            </w:r>
          </w:p>
        </w:tc>
        <w:tc>
          <w:tcPr>
            <w:tcW w:w="592" w:type="pct"/>
            <w:shd w:val="clear" w:color="auto" w:fill="auto"/>
            <w:vAlign w:val="center"/>
          </w:tcPr>
          <w:p w:rsidR="00692E59" w:rsidRPr="0011087E" w:rsidRDefault="0011087E" w:rsidP="000A0288">
            <w:pPr>
              <w:keepNext/>
              <w:widowControl/>
              <w:jc w:val="center"/>
              <w:rPr>
                <w:rStyle w:val="CommentReference"/>
                <w:b w:val="0"/>
                <w:szCs w:val="20"/>
                <w:highlight w:val="black"/>
              </w:rPr>
            </w:pPr>
            <w:r>
              <w:rPr>
                <w:rStyle w:val="CommentReference"/>
                <w:b w:val="0"/>
                <w:noProof/>
                <w:color w:val="000000"/>
                <w:szCs w:val="20"/>
                <w:highlight w:val="black"/>
              </w:rPr>
              <w:t>''''''''''</w:t>
            </w:r>
          </w:p>
        </w:tc>
        <w:tc>
          <w:tcPr>
            <w:tcW w:w="595" w:type="pct"/>
            <w:shd w:val="clear" w:color="auto" w:fill="auto"/>
            <w:vAlign w:val="center"/>
          </w:tcPr>
          <w:p w:rsidR="00692E59" w:rsidRPr="0011087E" w:rsidRDefault="0011087E" w:rsidP="000A0288">
            <w:pPr>
              <w:keepNext/>
              <w:widowControl/>
              <w:jc w:val="center"/>
              <w:rPr>
                <w:rStyle w:val="CommentReference"/>
                <w:b w:val="0"/>
                <w:szCs w:val="20"/>
                <w:highlight w:val="black"/>
              </w:rPr>
            </w:pPr>
            <w:r>
              <w:rPr>
                <w:rStyle w:val="CommentReference"/>
                <w:b w:val="0"/>
                <w:noProof/>
                <w:color w:val="000000"/>
                <w:szCs w:val="20"/>
                <w:highlight w:val="black"/>
              </w:rPr>
              <w:t>''''''''</w:t>
            </w:r>
          </w:p>
        </w:tc>
        <w:tc>
          <w:tcPr>
            <w:tcW w:w="596" w:type="pct"/>
            <w:shd w:val="clear" w:color="auto" w:fill="auto"/>
            <w:vAlign w:val="center"/>
          </w:tcPr>
          <w:p w:rsidR="00692E59" w:rsidRPr="0011087E" w:rsidRDefault="0011087E" w:rsidP="000A0288">
            <w:pPr>
              <w:keepNext/>
              <w:widowControl/>
              <w:jc w:val="center"/>
              <w:rPr>
                <w:rStyle w:val="CommentReference"/>
                <w:b w:val="0"/>
                <w:szCs w:val="20"/>
                <w:highlight w:val="black"/>
              </w:rPr>
            </w:pPr>
            <w:r>
              <w:rPr>
                <w:rStyle w:val="CommentReference"/>
                <w:b w:val="0"/>
                <w:noProof/>
                <w:color w:val="000000"/>
                <w:szCs w:val="20"/>
                <w:highlight w:val="black"/>
              </w:rPr>
              <w:t>'''''''''</w:t>
            </w:r>
          </w:p>
        </w:tc>
        <w:tc>
          <w:tcPr>
            <w:tcW w:w="588" w:type="pct"/>
            <w:shd w:val="clear" w:color="auto" w:fill="auto"/>
            <w:vAlign w:val="center"/>
          </w:tcPr>
          <w:p w:rsidR="00692E59" w:rsidRPr="0011087E" w:rsidRDefault="0011087E" w:rsidP="000A0288">
            <w:pPr>
              <w:keepNext/>
              <w:widowControl/>
              <w:jc w:val="center"/>
              <w:rPr>
                <w:rStyle w:val="CommentReference"/>
                <w:b w:val="0"/>
                <w:szCs w:val="20"/>
                <w:highlight w:val="black"/>
              </w:rPr>
            </w:pPr>
            <w:r>
              <w:rPr>
                <w:rStyle w:val="CommentReference"/>
                <w:b w:val="0"/>
                <w:noProof/>
                <w:color w:val="000000"/>
                <w:szCs w:val="20"/>
                <w:highlight w:val="black"/>
              </w:rPr>
              <w:t>''''''''''</w:t>
            </w:r>
          </w:p>
        </w:tc>
      </w:tr>
      <w:tr w:rsidR="00A614D2" w:rsidRPr="004E2ADC" w:rsidTr="003C6AFB">
        <w:tc>
          <w:tcPr>
            <w:tcW w:w="2037" w:type="pct"/>
            <w:shd w:val="clear" w:color="auto" w:fill="auto"/>
            <w:vAlign w:val="center"/>
          </w:tcPr>
          <w:p w:rsidR="00692E59" w:rsidRPr="004E2ADC" w:rsidRDefault="00692E59" w:rsidP="000A0288">
            <w:pPr>
              <w:keepNext/>
              <w:widowControl/>
              <w:tabs>
                <w:tab w:val="left" w:pos="142"/>
              </w:tabs>
              <w:jc w:val="left"/>
              <w:rPr>
                <w:rFonts w:ascii="Arial Narrow" w:hAnsi="Arial Narrow"/>
                <w:sz w:val="20"/>
              </w:rPr>
            </w:pPr>
            <w:r w:rsidRPr="008B0820">
              <w:rPr>
                <w:rStyle w:val="CommentReference"/>
                <w:b w:val="0"/>
              </w:rPr>
              <w:t>November 2014 pre-PBAC response</w:t>
            </w:r>
          </w:p>
        </w:tc>
        <w:tc>
          <w:tcPr>
            <w:tcW w:w="593" w:type="pct"/>
            <w:shd w:val="clear" w:color="auto" w:fill="auto"/>
            <w:vAlign w:val="center"/>
          </w:tcPr>
          <w:p w:rsidR="00692E59" w:rsidRPr="0011087E" w:rsidRDefault="0011087E" w:rsidP="000A0288">
            <w:pPr>
              <w:keepNext/>
              <w:widowControl/>
              <w:jc w:val="center"/>
              <w:rPr>
                <w:rFonts w:ascii="Arial Narrow" w:hAnsi="Arial Narrow"/>
                <w:bCs/>
                <w:color w:val="000000"/>
                <w:sz w:val="20"/>
                <w:highlight w:val="black"/>
              </w:rPr>
            </w:pPr>
            <w:r>
              <w:rPr>
                <w:rStyle w:val="CommentReference"/>
                <w:b w:val="0"/>
                <w:noProof/>
                <w:color w:val="000000"/>
                <w:szCs w:val="20"/>
                <w:highlight w:val="black"/>
              </w:rPr>
              <w:t>''''''''''</w:t>
            </w:r>
          </w:p>
        </w:tc>
        <w:tc>
          <w:tcPr>
            <w:tcW w:w="592" w:type="pct"/>
            <w:shd w:val="clear" w:color="auto" w:fill="auto"/>
            <w:vAlign w:val="center"/>
          </w:tcPr>
          <w:p w:rsidR="00692E59" w:rsidRPr="0011087E" w:rsidRDefault="0011087E" w:rsidP="000A0288">
            <w:pPr>
              <w:keepNext/>
              <w:widowControl/>
              <w:jc w:val="center"/>
              <w:rPr>
                <w:rFonts w:ascii="Arial Narrow" w:hAnsi="Arial Narrow"/>
                <w:bCs/>
                <w:color w:val="000000"/>
                <w:sz w:val="20"/>
                <w:highlight w:val="black"/>
              </w:rPr>
            </w:pPr>
            <w:r>
              <w:rPr>
                <w:rStyle w:val="CommentReference"/>
                <w:b w:val="0"/>
                <w:noProof/>
                <w:color w:val="000000"/>
                <w:szCs w:val="20"/>
                <w:highlight w:val="black"/>
              </w:rPr>
              <w:t>'''''''''</w:t>
            </w:r>
          </w:p>
        </w:tc>
        <w:tc>
          <w:tcPr>
            <w:tcW w:w="595" w:type="pct"/>
            <w:shd w:val="clear" w:color="auto" w:fill="auto"/>
            <w:vAlign w:val="center"/>
          </w:tcPr>
          <w:p w:rsidR="00692E59" w:rsidRPr="0011087E" w:rsidRDefault="0011087E" w:rsidP="000A0288">
            <w:pPr>
              <w:keepNext/>
              <w:widowControl/>
              <w:jc w:val="center"/>
              <w:rPr>
                <w:rFonts w:ascii="Arial Narrow" w:hAnsi="Arial Narrow"/>
                <w:bCs/>
                <w:color w:val="000000"/>
                <w:sz w:val="20"/>
                <w:highlight w:val="black"/>
              </w:rPr>
            </w:pPr>
            <w:r>
              <w:rPr>
                <w:rStyle w:val="CommentReference"/>
                <w:b w:val="0"/>
                <w:noProof/>
                <w:color w:val="000000"/>
                <w:szCs w:val="20"/>
                <w:highlight w:val="black"/>
              </w:rPr>
              <w:t>''''''''''</w:t>
            </w:r>
          </w:p>
        </w:tc>
        <w:tc>
          <w:tcPr>
            <w:tcW w:w="596" w:type="pct"/>
            <w:shd w:val="clear" w:color="auto" w:fill="auto"/>
            <w:vAlign w:val="center"/>
          </w:tcPr>
          <w:p w:rsidR="00692E59" w:rsidRPr="0011087E" w:rsidRDefault="0011087E" w:rsidP="000A0288">
            <w:pPr>
              <w:keepNext/>
              <w:widowControl/>
              <w:jc w:val="center"/>
              <w:rPr>
                <w:rFonts w:ascii="Arial Narrow" w:hAnsi="Arial Narrow"/>
                <w:bCs/>
                <w:color w:val="000000"/>
                <w:sz w:val="20"/>
                <w:highlight w:val="black"/>
              </w:rPr>
            </w:pPr>
            <w:r>
              <w:rPr>
                <w:rStyle w:val="CommentReference"/>
                <w:b w:val="0"/>
                <w:noProof/>
                <w:color w:val="000000"/>
                <w:szCs w:val="20"/>
                <w:highlight w:val="black"/>
              </w:rPr>
              <w:t>'''''''''</w:t>
            </w:r>
          </w:p>
        </w:tc>
        <w:tc>
          <w:tcPr>
            <w:tcW w:w="588" w:type="pct"/>
            <w:shd w:val="clear" w:color="auto" w:fill="auto"/>
            <w:vAlign w:val="center"/>
          </w:tcPr>
          <w:p w:rsidR="00692E59" w:rsidRPr="0011087E" w:rsidRDefault="0011087E" w:rsidP="000A0288">
            <w:pPr>
              <w:keepNext/>
              <w:widowControl/>
              <w:jc w:val="center"/>
              <w:rPr>
                <w:rFonts w:ascii="Arial Narrow" w:hAnsi="Arial Narrow"/>
                <w:bCs/>
                <w:color w:val="000000"/>
                <w:sz w:val="20"/>
                <w:highlight w:val="black"/>
              </w:rPr>
            </w:pPr>
            <w:r>
              <w:rPr>
                <w:rStyle w:val="CommentReference"/>
                <w:b w:val="0"/>
                <w:noProof/>
                <w:color w:val="000000"/>
                <w:szCs w:val="20"/>
                <w:highlight w:val="black"/>
              </w:rPr>
              <w:t>'''''''''</w:t>
            </w:r>
          </w:p>
        </w:tc>
      </w:tr>
      <w:tr w:rsidR="00692E59" w:rsidRPr="004E2ADC" w:rsidTr="00A614D2">
        <w:tc>
          <w:tcPr>
            <w:tcW w:w="5000" w:type="pct"/>
            <w:gridSpan w:val="6"/>
            <w:shd w:val="clear" w:color="auto" w:fill="auto"/>
            <w:vAlign w:val="center"/>
          </w:tcPr>
          <w:p w:rsidR="00692E59" w:rsidRPr="004E2ADC" w:rsidRDefault="00692E59" w:rsidP="000A0288">
            <w:pPr>
              <w:keepNext/>
              <w:widowControl/>
              <w:jc w:val="left"/>
              <w:rPr>
                <w:rFonts w:ascii="Arial Narrow" w:hAnsi="Arial Narrow"/>
                <w:b/>
                <w:bCs/>
                <w:color w:val="000000"/>
                <w:sz w:val="20"/>
              </w:rPr>
            </w:pPr>
            <w:r>
              <w:rPr>
                <w:rFonts w:ascii="Arial Narrow" w:hAnsi="Arial Narrow"/>
                <w:b/>
                <w:bCs/>
                <w:color w:val="000000"/>
                <w:sz w:val="20"/>
              </w:rPr>
              <w:t>Estimated net cost to PBS</w:t>
            </w:r>
            <w:r w:rsidR="00EE46D5">
              <w:rPr>
                <w:rFonts w:ascii="Arial Narrow" w:hAnsi="Arial Narrow"/>
                <w:b/>
                <w:bCs/>
                <w:color w:val="000000"/>
                <w:sz w:val="20"/>
              </w:rPr>
              <w:t>/RPBS</w:t>
            </w:r>
          </w:p>
        </w:tc>
      </w:tr>
      <w:tr w:rsidR="00A614D2" w:rsidRPr="0064224A" w:rsidTr="003C6AFB">
        <w:tc>
          <w:tcPr>
            <w:tcW w:w="2037" w:type="pct"/>
            <w:shd w:val="clear" w:color="auto" w:fill="auto"/>
            <w:vAlign w:val="center"/>
          </w:tcPr>
          <w:p w:rsidR="00692E59" w:rsidRPr="0064224A" w:rsidRDefault="00692E59" w:rsidP="000A0288">
            <w:pPr>
              <w:keepNext/>
              <w:widowControl/>
              <w:tabs>
                <w:tab w:val="left" w:pos="142"/>
              </w:tabs>
              <w:jc w:val="left"/>
              <w:rPr>
                <w:rFonts w:ascii="Arial Narrow" w:hAnsi="Arial Narrow"/>
                <w:sz w:val="20"/>
              </w:rPr>
            </w:pPr>
            <w:r w:rsidRPr="0064224A">
              <w:rPr>
                <w:rFonts w:ascii="Arial Narrow" w:hAnsi="Arial Narrow"/>
                <w:sz w:val="20"/>
              </w:rPr>
              <w:t>Net cost to PBS/RPBS</w:t>
            </w:r>
          </w:p>
        </w:tc>
        <w:tc>
          <w:tcPr>
            <w:tcW w:w="593" w:type="pct"/>
            <w:shd w:val="clear" w:color="auto" w:fill="auto"/>
            <w:vAlign w:val="bottom"/>
          </w:tcPr>
          <w:p w:rsidR="00692E59" w:rsidRPr="0064224A" w:rsidRDefault="00692E59" w:rsidP="000A0288">
            <w:pPr>
              <w:keepNext/>
              <w:widowControl/>
              <w:jc w:val="center"/>
              <w:rPr>
                <w:rFonts w:ascii="Arial Narrow" w:hAnsi="Arial Narrow"/>
                <w:bCs/>
                <w:color w:val="000000"/>
                <w:sz w:val="20"/>
              </w:rPr>
            </w:pPr>
            <w:r w:rsidRPr="0064224A">
              <w:rPr>
                <w:rStyle w:val="CommentReference"/>
                <w:b w:val="0"/>
                <w:szCs w:val="20"/>
              </w:rPr>
              <w:t>$</w:t>
            </w:r>
            <w:r w:rsidR="0011087E">
              <w:rPr>
                <w:rStyle w:val="CommentReference"/>
                <w:b w:val="0"/>
                <w:noProof/>
                <w:color w:val="000000"/>
                <w:szCs w:val="20"/>
                <w:highlight w:val="black"/>
              </w:rPr>
              <w:t>'''''''''''''''''''''''''</w:t>
            </w:r>
          </w:p>
        </w:tc>
        <w:tc>
          <w:tcPr>
            <w:tcW w:w="592" w:type="pct"/>
            <w:shd w:val="clear" w:color="auto" w:fill="auto"/>
            <w:vAlign w:val="bottom"/>
          </w:tcPr>
          <w:p w:rsidR="00692E59" w:rsidRPr="0064224A" w:rsidRDefault="00692E59" w:rsidP="000A0288">
            <w:pPr>
              <w:keepNext/>
              <w:widowControl/>
              <w:jc w:val="center"/>
              <w:rPr>
                <w:rFonts w:ascii="Arial Narrow" w:hAnsi="Arial Narrow"/>
                <w:bCs/>
                <w:color w:val="000000"/>
                <w:sz w:val="20"/>
              </w:rPr>
            </w:pPr>
            <w:r w:rsidRPr="0064224A">
              <w:rPr>
                <w:rStyle w:val="CommentReference"/>
                <w:b w:val="0"/>
                <w:szCs w:val="20"/>
              </w:rPr>
              <w:t>$</w:t>
            </w:r>
            <w:r w:rsidR="0011087E">
              <w:rPr>
                <w:rStyle w:val="CommentReference"/>
                <w:b w:val="0"/>
                <w:noProof/>
                <w:color w:val="000000"/>
                <w:szCs w:val="20"/>
                <w:highlight w:val="black"/>
              </w:rPr>
              <w:t>''''''''''''''''''''''''''</w:t>
            </w:r>
          </w:p>
        </w:tc>
        <w:tc>
          <w:tcPr>
            <w:tcW w:w="595" w:type="pct"/>
            <w:shd w:val="clear" w:color="auto" w:fill="auto"/>
            <w:vAlign w:val="bottom"/>
          </w:tcPr>
          <w:p w:rsidR="00692E59" w:rsidRPr="0064224A" w:rsidRDefault="00692E59" w:rsidP="000A0288">
            <w:pPr>
              <w:keepNext/>
              <w:widowControl/>
              <w:jc w:val="center"/>
              <w:rPr>
                <w:rFonts w:ascii="Arial Narrow" w:hAnsi="Arial Narrow"/>
                <w:bCs/>
                <w:color w:val="000000"/>
                <w:sz w:val="20"/>
              </w:rPr>
            </w:pPr>
            <w:r w:rsidRPr="0064224A">
              <w:rPr>
                <w:rStyle w:val="CommentReference"/>
                <w:b w:val="0"/>
                <w:szCs w:val="20"/>
              </w:rPr>
              <w:t>$</w:t>
            </w:r>
            <w:r w:rsidR="0011087E">
              <w:rPr>
                <w:rStyle w:val="CommentReference"/>
                <w:b w:val="0"/>
                <w:noProof/>
                <w:color w:val="000000"/>
                <w:szCs w:val="20"/>
                <w:highlight w:val="black"/>
              </w:rPr>
              <w:t>'''''''''''''''''''''''</w:t>
            </w:r>
          </w:p>
        </w:tc>
        <w:tc>
          <w:tcPr>
            <w:tcW w:w="596" w:type="pct"/>
            <w:shd w:val="clear" w:color="auto" w:fill="auto"/>
            <w:vAlign w:val="bottom"/>
          </w:tcPr>
          <w:p w:rsidR="00692E59" w:rsidRPr="0064224A" w:rsidRDefault="00692E59" w:rsidP="000A0288">
            <w:pPr>
              <w:keepNext/>
              <w:widowControl/>
              <w:jc w:val="center"/>
              <w:rPr>
                <w:rFonts w:ascii="Arial Narrow" w:hAnsi="Arial Narrow"/>
                <w:bCs/>
                <w:color w:val="000000"/>
                <w:sz w:val="20"/>
              </w:rPr>
            </w:pPr>
            <w:r w:rsidRPr="0064224A">
              <w:rPr>
                <w:rStyle w:val="CommentReference"/>
                <w:b w:val="0"/>
                <w:szCs w:val="20"/>
              </w:rPr>
              <w:t>$</w:t>
            </w:r>
            <w:r w:rsidR="0011087E">
              <w:rPr>
                <w:rStyle w:val="CommentReference"/>
                <w:b w:val="0"/>
                <w:noProof/>
                <w:color w:val="000000"/>
                <w:szCs w:val="20"/>
                <w:highlight w:val="black"/>
              </w:rPr>
              <w:t>'''''''''''''''''''''</w:t>
            </w:r>
          </w:p>
        </w:tc>
        <w:tc>
          <w:tcPr>
            <w:tcW w:w="588" w:type="pct"/>
            <w:shd w:val="clear" w:color="auto" w:fill="auto"/>
            <w:vAlign w:val="bottom"/>
          </w:tcPr>
          <w:p w:rsidR="00692E59" w:rsidRPr="0064224A" w:rsidRDefault="00692E59" w:rsidP="000A0288">
            <w:pPr>
              <w:keepNext/>
              <w:widowControl/>
              <w:jc w:val="center"/>
              <w:rPr>
                <w:rFonts w:ascii="Arial Narrow" w:hAnsi="Arial Narrow"/>
                <w:bCs/>
                <w:color w:val="000000"/>
                <w:sz w:val="20"/>
              </w:rPr>
            </w:pPr>
            <w:r w:rsidRPr="0064224A">
              <w:rPr>
                <w:rStyle w:val="CommentReference"/>
                <w:b w:val="0"/>
                <w:szCs w:val="20"/>
              </w:rPr>
              <w:t>$</w:t>
            </w:r>
            <w:r w:rsidR="0011087E">
              <w:rPr>
                <w:rStyle w:val="CommentReference"/>
                <w:b w:val="0"/>
                <w:noProof/>
                <w:color w:val="000000"/>
                <w:szCs w:val="20"/>
                <w:highlight w:val="black"/>
              </w:rPr>
              <w:t>'''''''''''''''''''''''</w:t>
            </w:r>
          </w:p>
        </w:tc>
      </w:tr>
      <w:tr w:rsidR="00A614D2" w:rsidRPr="0064224A" w:rsidTr="003C6AFB">
        <w:tc>
          <w:tcPr>
            <w:tcW w:w="2037" w:type="pct"/>
            <w:shd w:val="clear" w:color="auto" w:fill="auto"/>
            <w:vAlign w:val="center"/>
          </w:tcPr>
          <w:p w:rsidR="00692E59" w:rsidRPr="0064224A" w:rsidRDefault="00692E59" w:rsidP="000A0288">
            <w:pPr>
              <w:keepNext/>
              <w:widowControl/>
              <w:tabs>
                <w:tab w:val="left" w:pos="142"/>
              </w:tabs>
              <w:jc w:val="left"/>
              <w:rPr>
                <w:rFonts w:ascii="Arial Narrow" w:hAnsi="Arial Narrow"/>
                <w:sz w:val="20"/>
              </w:rPr>
            </w:pPr>
            <w:r>
              <w:rPr>
                <w:rFonts w:ascii="Arial Narrow" w:hAnsi="Arial Narrow"/>
                <w:sz w:val="20"/>
              </w:rPr>
              <w:t>November 2014 submission</w:t>
            </w:r>
          </w:p>
        </w:tc>
        <w:tc>
          <w:tcPr>
            <w:tcW w:w="593" w:type="pct"/>
            <w:shd w:val="clear" w:color="auto" w:fill="auto"/>
            <w:vAlign w:val="center"/>
          </w:tcPr>
          <w:p w:rsidR="00692E59" w:rsidRPr="0064224A" w:rsidRDefault="00692E59" w:rsidP="000A0288">
            <w:pPr>
              <w:keepNext/>
              <w:widowControl/>
              <w:jc w:val="center"/>
              <w:rPr>
                <w:rStyle w:val="CommentReference"/>
                <w:b w:val="0"/>
                <w:szCs w:val="20"/>
              </w:rPr>
            </w:pPr>
            <w:r>
              <w:rPr>
                <w:rStyle w:val="CommentReference"/>
                <w:b w:val="0"/>
                <w:szCs w:val="20"/>
              </w:rPr>
              <w:t>$</w:t>
            </w:r>
            <w:r w:rsidR="0011087E">
              <w:rPr>
                <w:rStyle w:val="CommentReference"/>
                <w:b w:val="0"/>
                <w:noProof/>
                <w:color w:val="000000"/>
                <w:szCs w:val="20"/>
                <w:highlight w:val="black"/>
              </w:rPr>
              <w:t>'''''''''''''''''''''''</w:t>
            </w:r>
          </w:p>
        </w:tc>
        <w:tc>
          <w:tcPr>
            <w:tcW w:w="592" w:type="pct"/>
            <w:shd w:val="clear" w:color="auto" w:fill="auto"/>
            <w:vAlign w:val="center"/>
          </w:tcPr>
          <w:p w:rsidR="00692E59" w:rsidRPr="0064224A" w:rsidRDefault="00692E59" w:rsidP="000A0288">
            <w:pPr>
              <w:keepNext/>
              <w:widowControl/>
              <w:jc w:val="center"/>
              <w:rPr>
                <w:rStyle w:val="CommentReference"/>
                <w:b w:val="0"/>
                <w:szCs w:val="20"/>
              </w:rPr>
            </w:pPr>
            <w:r>
              <w:rPr>
                <w:rStyle w:val="CommentReference"/>
                <w:b w:val="0"/>
                <w:szCs w:val="20"/>
              </w:rPr>
              <w:t>$</w:t>
            </w:r>
            <w:r w:rsidR="0011087E">
              <w:rPr>
                <w:rStyle w:val="CommentReference"/>
                <w:b w:val="0"/>
                <w:noProof/>
                <w:color w:val="000000"/>
                <w:szCs w:val="20"/>
                <w:highlight w:val="black"/>
              </w:rPr>
              <w:t>''''''''''''''''''''''</w:t>
            </w:r>
          </w:p>
        </w:tc>
        <w:tc>
          <w:tcPr>
            <w:tcW w:w="595" w:type="pct"/>
            <w:shd w:val="clear" w:color="auto" w:fill="auto"/>
            <w:vAlign w:val="center"/>
          </w:tcPr>
          <w:p w:rsidR="00692E59" w:rsidRPr="0064224A" w:rsidRDefault="00692E59" w:rsidP="000A0288">
            <w:pPr>
              <w:keepNext/>
              <w:widowControl/>
              <w:jc w:val="center"/>
              <w:rPr>
                <w:rStyle w:val="CommentReference"/>
                <w:b w:val="0"/>
                <w:szCs w:val="20"/>
              </w:rPr>
            </w:pPr>
            <w:r>
              <w:rPr>
                <w:rStyle w:val="CommentReference"/>
                <w:b w:val="0"/>
                <w:szCs w:val="20"/>
              </w:rPr>
              <w:t>$</w:t>
            </w:r>
            <w:r w:rsidR="0011087E">
              <w:rPr>
                <w:rStyle w:val="CommentReference"/>
                <w:b w:val="0"/>
                <w:noProof/>
                <w:color w:val="000000"/>
                <w:szCs w:val="20"/>
                <w:highlight w:val="black"/>
              </w:rPr>
              <w:t>'''''''''''''''''''''''''</w:t>
            </w:r>
          </w:p>
        </w:tc>
        <w:tc>
          <w:tcPr>
            <w:tcW w:w="596" w:type="pct"/>
            <w:shd w:val="clear" w:color="auto" w:fill="auto"/>
            <w:vAlign w:val="center"/>
          </w:tcPr>
          <w:p w:rsidR="00692E59" w:rsidRPr="0064224A" w:rsidRDefault="00692E59" w:rsidP="000A0288">
            <w:pPr>
              <w:keepNext/>
              <w:widowControl/>
              <w:jc w:val="center"/>
              <w:rPr>
                <w:rStyle w:val="CommentReference"/>
                <w:b w:val="0"/>
                <w:szCs w:val="20"/>
              </w:rPr>
            </w:pPr>
            <w:r>
              <w:rPr>
                <w:rStyle w:val="CommentReference"/>
                <w:b w:val="0"/>
                <w:szCs w:val="20"/>
              </w:rPr>
              <w:t>$</w:t>
            </w:r>
            <w:r w:rsidR="0011087E">
              <w:rPr>
                <w:rStyle w:val="CommentReference"/>
                <w:b w:val="0"/>
                <w:noProof/>
                <w:color w:val="000000"/>
                <w:szCs w:val="20"/>
                <w:highlight w:val="black"/>
              </w:rPr>
              <w:t>'''''''''''''''''''''''''</w:t>
            </w:r>
          </w:p>
        </w:tc>
        <w:tc>
          <w:tcPr>
            <w:tcW w:w="588" w:type="pct"/>
            <w:shd w:val="clear" w:color="auto" w:fill="auto"/>
            <w:vAlign w:val="center"/>
          </w:tcPr>
          <w:p w:rsidR="00692E59" w:rsidRPr="0064224A" w:rsidRDefault="00692E59" w:rsidP="000A0288">
            <w:pPr>
              <w:keepNext/>
              <w:widowControl/>
              <w:jc w:val="center"/>
              <w:rPr>
                <w:rStyle w:val="CommentReference"/>
                <w:b w:val="0"/>
                <w:szCs w:val="20"/>
              </w:rPr>
            </w:pPr>
            <w:r>
              <w:rPr>
                <w:rStyle w:val="CommentReference"/>
                <w:b w:val="0"/>
                <w:szCs w:val="20"/>
              </w:rPr>
              <w:t>$</w:t>
            </w:r>
            <w:r w:rsidR="0011087E">
              <w:rPr>
                <w:rStyle w:val="CommentReference"/>
                <w:b w:val="0"/>
                <w:noProof/>
                <w:color w:val="000000"/>
                <w:szCs w:val="20"/>
                <w:highlight w:val="black"/>
              </w:rPr>
              <w:t>'''''''''''''''''''''''''</w:t>
            </w:r>
          </w:p>
        </w:tc>
      </w:tr>
      <w:tr w:rsidR="00A614D2" w:rsidRPr="004E2ADC" w:rsidTr="003C6AFB">
        <w:tc>
          <w:tcPr>
            <w:tcW w:w="2037" w:type="pct"/>
            <w:shd w:val="clear" w:color="auto" w:fill="auto"/>
            <w:vAlign w:val="center"/>
          </w:tcPr>
          <w:p w:rsidR="00692E59" w:rsidRPr="004E2ADC" w:rsidRDefault="00692E59" w:rsidP="000A0288">
            <w:pPr>
              <w:keepNext/>
              <w:widowControl/>
              <w:tabs>
                <w:tab w:val="left" w:pos="142"/>
              </w:tabs>
              <w:jc w:val="left"/>
              <w:rPr>
                <w:rFonts w:ascii="Arial Narrow" w:hAnsi="Arial Narrow"/>
                <w:sz w:val="20"/>
              </w:rPr>
            </w:pPr>
            <w:r w:rsidRPr="00642C0C">
              <w:rPr>
                <w:rStyle w:val="CommentReference"/>
                <w:b w:val="0"/>
              </w:rPr>
              <w:t>November 2014 pre-PBAC response</w:t>
            </w:r>
          </w:p>
        </w:tc>
        <w:tc>
          <w:tcPr>
            <w:tcW w:w="593" w:type="pct"/>
            <w:shd w:val="clear" w:color="auto" w:fill="auto"/>
            <w:vAlign w:val="center"/>
          </w:tcPr>
          <w:p w:rsidR="00692E59" w:rsidRPr="004E2ADC" w:rsidRDefault="00692E59" w:rsidP="000A0288">
            <w:pPr>
              <w:keepNext/>
              <w:widowControl/>
              <w:jc w:val="center"/>
              <w:rPr>
                <w:rFonts w:ascii="Arial Narrow" w:hAnsi="Arial Narrow"/>
                <w:bCs/>
                <w:color w:val="000000"/>
                <w:sz w:val="20"/>
              </w:rPr>
            </w:pPr>
            <w:r>
              <w:rPr>
                <w:rStyle w:val="CommentReference"/>
                <w:b w:val="0"/>
                <w:szCs w:val="20"/>
              </w:rPr>
              <w:t>$</w:t>
            </w:r>
            <w:r w:rsidR="0011087E">
              <w:rPr>
                <w:rStyle w:val="CommentReference"/>
                <w:b w:val="0"/>
                <w:noProof/>
                <w:color w:val="000000"/>
                <w:szCs w:val="20"/>
                <w:highlight w:val="black"/>
              </w:rPr>
              <w:t>''''''''''''''''''''''''''</w:t>
            </w:r>
          </w:p>
        </w:tc>
        <w:tc>
          <w:tcPr>
            <w:tcW w:w="592" w:type="pct"/>
            <w:shd w:val="clear" w:color="auto" w:fill="auto"/>
            <w:vAlign w:val="center"/>
          </w:tcPr>
          <w:p w:rsidR="00692E59" w:rsidRPr="004E2ADC" w:rsidRDefault="00692E59" w:rsidP="000A0288">
            <w:pPr>
              <w:keepNext/>
              <w:widowControl/>
              <w:jc w:val="center"/>
              <w:rPr>
                <w:rFonts w:ascii="Arial Narrow" w:hAnsi="Arial Narrow"/>
                <w:bCs/>
                <w:color w:val="000000"/>
                <w:sz w:val="20"/>
              </w:rPr>
            </w:pPr>
            <w:r>
              <w:rPr>
                <w:rStyle w:val="CommentReference"/>
                <w:b w:val="0"/>
                <w:szCs w:val="20"/>
              </w:rPr>
              <w:t>$</w:t>
            </w:r>
            <w:r w:rsidR="0011087E">
              <w:rPr>
                <w:rStyle w:val="CommentReference"/>
                <w:b w:val="0"/>
                <w:noProof/>
                <w:color w:val="000000"/>
                <w:szCs w:val="20"/>
                <w:highlight w:val="black"/>
              </w:rPr>
              <w:t>'''''''''''''''''''''''</w:t>
            </w:r>
          </w:p>
        </w:tc>
        <w:tc>
          <w:tcPr>
            <w:tcW w:w="595" w:type="pct"/>
            <w:shd w:val="clear" w:color="auto" w:fill="auto"/>
            <w:vAlign w:val="center"/>
          </w:tcPr>
          <w:p w:rsidR="00692E59" w:rsidRPr="004E2ADC" w:rsidRDefault="00692E59" w:rsidP="000A0288">
            <w:pPr>
              <w:keepNext/>
              <w:widowControl/>
              <w:jc w:val="center"/>
              <w:rPr>
                <w:rFonts w:ascii="Arial Narrow" w:hAnsi="Arial Narrow"/>
                <w:bCs/>
                <w:color w:val="000000"/>
                <w:sz w:val="20"/>
              </w:rPr>
            </w:pPr>
            <w:r>
              <w:rPr>
                <w:rStyle w:val="CommentReference"/>
                <w:b w:val="0"/>
                <w:szCs w:val="20"/>
              </w:rPr>
              <w:t>$</w:t>
            </w:r>
            <w:r w:rsidR="0011087E">
              <w:rPr>
                <w:rStyle w:val="CommentReference"/>
                <w:b w:val="0"/>
                <w:noProof/>
                <w:color w:val="000000"/>
                <w:szCs w:val="20"/>
                <w:highlight w:val="black"/>
              </w:rPr>
              <w:t>'''''''''''''''''''''''</w:t>
            </w:r>
          </w:p>
        </w:tc>
        <w:tc>
          <w:tcPr>
            <w:tcW w:w="596" w:type="pct"/>
            <w:shd w:val="clear" w:color="auto" w:fill="auto"/>
            <w:vAlign w:val="center"/>
          </w:tcPr>
          <w:p w:rsidR="00692E59" w:rsidRPr="004E2ADC" w:rsidRDefault="00692E59" w:rsidP="000A0288">
            <w:pPr>
              <w:keepNext/>
              <w:widowControl/>
              <w:jc w:val="center"/>
              <w:rPr>
                <w:rFonts w:ascii="Arial Narrow" w:hAnsi="Arial Narrow"/>
                <w:bCs/>
                <w:color w:val="000000"/>
                <w:sz w:val="20"/>
              </w:rPr>
            </w:pPr>
            <w:r>
              <w:rPr>
                <w:rStyle w:val="CommentReference"/>
                <w:b w:val="0"/>
                <w:szCs w:val="20"/>
              </w:rPr>
              <w:t>$</w:t>
            </w:r>
            <w:r w:rsidR="0011087E">
              <w:rPr>
                <w:rStyle w:val="CommentReference"/>
                <w:b w:val="0"/>
                <w:noProof/>
                <w:color w:val="000000"/>
                <w:szCs w:val="20"/>
                <w:highlight w:val="black"/>
              </w:rPr>
              <w:t>'''''''''''''''''''''''''</w:t>
            </w:r>
          </w:p>
        </w:tc>
        <w:tc>
          <w:tcPr>
            <w:tcW w:w="588" w:type="pct"/>
            <w:shd w:val="clear" w:color="auto" w:fill="auto"/>
            <w:vAlign w:val="center"/>
          </w:tcPr>
          <w:p w:rsidR="00692E59" w:rsidRPr="004E2ADC" w:rsidRDefault="00692E59" w:rsidP="000A0288">
            <w:pPr>
              <w:keepNext/>
              <w:widowControl/>
              <w:jc w:val="center"/>
              <w:rPr>
                <w:rFonts w:ascii="Arial Narrow" w:hAnsi="Arial Narrow"/>
                <w:bCs/>
                <w:color w:val="000000"/>
                <w:sz w:val="20"/>
              </w:rPr>
            </w:pPr>
            <w:r>
              <w:rPr>
                <w:rStyle w:val="CommentReference"/>
                <w:b w:val="0"/>
                <w:szCs w:val="20"/>
              </w:rPr>
              <w:t>$</w:t>
            </w:r>
            <w:r w:rsidR="0011087E">
              <w:rPr>
                <w:rStyle w:val="CommentReference"/>
                <w:b w:val="0"/>
                <w:noProof/>
                <w:color w:val="000000"/>
                <w:szCs w:val="20"/>
                <w:highlight w:val="black"/>
              </w:rPr>
              <w:t>'''''''''''''''''''''''</w:t>
            </w:r>
          </w:p>
        </w:tc>
      </w:tr>
      <w:tr w:rsidR="00692E59" w:rsidRPr="004E2ADC" w:rsidTr="00A614D2">
        <w:tc>
          <w:tcPr>
            <w:tcW w:w="5000" w:type="pct"/>
            <w:gridSpan w:val="6"/>
            <w:shd w:val="clear" w:color="auto" w:fill="auto"/>
            <w:vAlign w:val="center"/>
          </w:tcPr>
          <w:p w:rsidR="00692E59" w:rsidRPr="004E2ADC" w:rsidRDefault="00692E59" w:rsidP="000A0288">
            <w:pPr>
              <w:keepNext/>
              <w:widowControl/>
              <w:jc w:val="left"/>
              <w:rPr>
                <w:rFonts w:ascii="Arial Narrow" w:hAnsi="Arial Narrow"/>
                <w:bCs/>
                <w:color w:val="000000"/>
                <w:sz w:val="20"/>
              </w:rPr>
            </w:pPr>
            <w:r>
              <w:rPr>
                <w:rStyle w:val="CommentReference"/>
              </w:rPr>
              <w:t xml:space="preserve">Estimated changes in the use and cost of </w:t>
            </w:r>
            <w:proofErr w:type="spellStart"/>
            <w:r>
              <w:rPr>
                <w:rStyle w:val="CommentReference"/>
              </w:rPr>
              <w:t>bosentan</w:t>
            </w:r>
            <w:proofErr w:type="spellEnd"/>
            <w:r>
              <w:rPr>
                <w:rStyle w:val="CommentReference"/>
              </w:rPr>
              <w:t xml:space="preserve"> associated with the listing of riociguat</w:t>
            </w:r>
          </w:p>
        </w:tc>
      </w:tr>
      <w:tr w:rsidR="00A614D2" w:rsidRPr="004E2ADC" w:rsidTr="003C6AFB">
        <w:tc>
          <w:tcPr>
            <w:tcW w:w="2037" w:type="pct"/>
            <w:shd w:val="clear" w:color="auto" w:fill="auto"/>
            <w:vAlign w:val="center"/>
          </w:tcPr>
          <w:p w:rsidR="00692E59" w:rsidRPr="004E2ADC" w:rsidRDefault="00692E59" w:rsidP="000A0288">
            <w:pPr>
              <w:keepNext/>
              <w:widowControl/>
              <w:tabs>
                <w:tab w:val="left" w:pos="142"/>
              </w:tabs>
              <w:jc w:val="left"/>
              <w:rPr>
                <w:rFonts w:ascii="Arial Narrow" w:hAnsi="Arial Narrow"/>
                <w:sz w:val="20"/>
              </w:rPr>
            </w:pPr>
            <w:r w:rsidRPr="006A40E7">
              <w:rPr>
                <w:rFonts w:ascii="Arial Narrow" w:hAnsi="Arial Narrow"/>
                <w:sz w:val="20"/>
              </w:rPr>
              <w:t xml:space="preserve">Reduction in </w:t>
            </w:r>
            <w:proofErr w:type="spellStart"/>
            <w:r w:rsidRPr="006A40E7">
              <w:rPr>
                <w:rFonts w:ascii="Arial Narrow" w:hAnsi="Arial Narrow"/>
                <w:sz w:val="20"/>
              </w:rPr>
              <w:t>bosentan</w:t>
            </w:r>
            <w:proofErr w:type="spellEnd"/>
            <w:r w:rsidRPr="006A40E7">
              <w:rPr>
                <w:rFonts w:ascii="Arial Narrow" w:hAnsi="Arial Narrow"/>
                <w:sz w:val="20"/>
              </w:rPr>
              <w:t xml:space="preserve"> patients</w:t>
            </w:r>
          </w:p>
        </w:tc>
        <w:tc>
          <w:tcPr>
            <w:tcW w:w="593" w:type="pct"/>
            <w:shd w:val="clear" w:color="auto" w:fill="auto"/>
            <w:vAlign w:val="center"/>
          </w:tcPr>
          <w:p w:rsidR="00692E59" w:rsidRPr="0011087E" w:rsidRDefault="0011087E" w:rsidP="000A0288">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2" w:type="pct"/>
            <w:shd w:val="clear" w:color="auto" w:fill="auto"/>
            <w:vAlign w:val="center"/>
          </w:tcPr>
          <w:p w:rsidR="00692E59" w:rsidRPr="0011087E" w:rsidRDefault="0011087E" w:rsidP="000A0288">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5" w:type="pct"/>
            <w:shd w:val="clear" w:color="auto" w:fill="auto"/>
            <w:vAlign w:val="center"/>
          </w:tcPr>
          <w:p w:rsidR="00692E59" w:rsidRPr="0011087E" w:rsidRDefault="0011087E" w:rsidP="000A0288">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3" w:type="pct"/>
            <w:shd w:val="clear" w:color="auto" w:fill="auto"/>
            <w:vAlign w:val="center"/>
          </w:tcPr>
          <w:p w:rsidR="00692E59" w:rsidRPr="0011087E" w:rsidRDefault="0011087E" w:rsidP="000A0288">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1" w:type="pct"/>
            <w:shd w:val="clear" w:color="auto" w:fill="auto"/>
            <w:vAlign w:val="center"/>
          </w:tcPr>
          <w:p w:rsidR="00692E59" w:rsidRPr="0011087E" w:rsidRDefault="0011087E" w:rsidP="000A0288">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A614D2" w:rsidRPr="004E2ADC" w:rsidTr="003C6AFB">
        <w:tc>
          <w:tcPr>
            <w:tcW w:w="2037" w:type="pct"/>
            <w:shd w:val="clear" w:color="auto" w:fill="auto"/>
            <w:vAlign w:val="center"/>
          </w:tcPr>
          <w:p w:rsidR="00692E59" w:rsidRPr="004E2ADC" w:rsidRDefault="00692E59" w:rsidP="000A0288">
            <w:pPr>
              <w:keepNext/>
              <w:widowControl/>
              <w:tabs>
                <w:tab w:val="left" w:pos="142"/>
              </w:tabs>
              <w:jc w:val="left"/>
              <w:rPr>
                <w:rFonts w:ascii="Arial Narrow" w:hAnsi="Arial Narrow"/>
                <w:sz w:val="20"/>
              </w:rPr>
            </w:pPr>
            <w:r>
              <w:rPr>
                <w:rFonts w:ascii="Arial Narrow" w:hAnsi="Arial Narrow"/>
                <w:sz w:val="20"/>
              </w:rPr>
              <w:t xml:space="preserve">Net </w:t>
            </w:r>
            <w:r w:rsidR="00E44356">
              <w:rPr>
                <w:rFonts w:ascii="Arial Narrow" w:hAnsi="Arial Narrow"/>
                <w:sz w:val="20"/>
              </w:rPr>
              <w:t xml:space="preserve">savings </w:t>
            </w:r>
            <w:r>
              <w:rPr>
                <w:rFonts w:ascii="Arial Narrow" w:hAnsi="Arial Narrow"/>
                <w:sz w:val="20"/>
              </w:rPr>
              <w:t xml:space="preserve">in </w:t>
            </w:r>
            <w:proofErr w:type="spellStart"/>
            <w:r>
              <w:rPr>
                <w:rFonts w:ascii="Arial Narrow" w:hAnsi="Arial Narrow"/>
                <w:sz w:val="20"/>
              </w:rPr>
              <w:t>bosentan</w:t>
            </w:r>
            <w:proofErr w:type="spellEnd"/>
            <w:r>
              <w:rPr>
                <w:rFonts w:ascii="Arial Narrow" w:hAnsi="Arial Narrow"/>
                <w:sz w:val="20"/>
              </w:rPr>
              <w:t xml:space="preserve"> cost to PBS/RPBS</w:t>
            </w:r>
          </w:p>
        </w:tc>
        <w:tc>
          <w:tcPr>
            <w:tcW w:w="593" w:type="pct"/>
            <w:shd w:val="clear" w:color="auto" w:fill="auto"/>
            <w:vAlign w:val="bottom"/>
          </w:tcPr>
          <w:p w:rsidR="00692E59" w:rsidRPr="004E2ADC" w:rsidRDefault="00692E59" w:rsidP="000A0288">
            <w:pPr>
              <w:keepNext/>
              <w:widowControl/>
              <w:jc w:val="center"/>
              <w:rPr>
                <w:rFonts w:ascii="Arial Narrow" w:hAnsi="Arial Narrow"/>
                <w:bCs/>
                <w:color w:val="000000"/>
                <w:sz w:val="20"/>
              </w:rPr>
            </w:pPr>
            <w:r w:rsidRPr="0064224A">
              <w:rPr>
                <w:rFonts w:ascii="Arial Narrow" w:hAnsi="Arial Narrow"/>
                <w:sz w:val="20"/>
              </w:rPr>
              <w:t>$</w:t>
            </w:r>
            <w:r w:rsidR="0011087E">
              <w:rPr>
                <w:rFonts w:ascii="Arial Narrow" w:hAnsi="Arial Narrow"/>
                <w:noProof/>
                <w:color w:val="000000"/>
                <w:sz w:val="20"/>
                <w:highlight w:val="black"/>
              </w:rPr>
              <w:t>'''''''''''''''''''''''''</w:t>
            </w:r>
          </w:p>
        </w:tc>
        <w:tc>
          <w:tcPr>
            <w:tcW w:w="592" w:type="pct"/>
            <w:shd w:val="clear" w:color="auto" w:fill="auto"/>
            <w:vAlign w:val="bottom"/>
          </w:tcPr>
          <w:p w:rsidR="00692E59" w:rsidRPr="004E2ADC" w:rsidRDefault="00692E59" w:rsidP="000A0288">
            <w:pPr>
              <w:keepNext/>
              <w:widowControl/>
              <w:jc w:val="center"/>
              <w:rPr>
                <w:rFonts w:ascii="Arial Narrow" w:hAnsi="Arial Narrow"/>
                <w:bCs/>
                <w:color w:val="000000"/>
                <w:sz w:val="20"/>
              </w:rPr>
            </w:pPr>
            <w:r w:rsidRPr="0064224A">
              <w:rPr>
                <w:rFonts w:ascii="Arial Narrow" w:hAnsi="Arial Narrow"/>
                <w:sz w:val="20"/>
              </w:rPr>
              <w:t>$</w:t>
            </w:r>
            <w:r w:rsidR="0011087E">
              <w:rPr>
                <w:rFonts w:ascii="Arial Narrow" w:hAnsi="Arial Narrow"/>
                <w:noProof/>
                <w:color w:val="000000"/>
                <w:sz w:val="20"/>
                <w:highlight w:val="black"/>
              </w:rPr>
              <w:t>'''''''''''''''''''''''</w:t>
            </w:r>
          </w:p>
        </w:tc>
        <w:tc>
          <w:tcPr>
            <w:tcW w:w="595" w:type="pct"/>
            <w:shd w:val="clear" w:color="auto" w:fill="auto"/>
            <w:vAlign w:val="bottom"/>
          </w:tcPr>
          <w:p w:rsidR="00692E59" w:rsidRPr="004E2ADC" w:rsidRDefault="00692E59" w:rsidP="000A0288">
            <w:pPr>
              <w:keepNext/>
              <w:widowControl/>
              <w:jc w:val="center"/>
              <w:rPr>
                <w:rFonts w:ascii="Arial Narrow" w:hAnsi="Arial Narrow"/>
                <w:bCs/>
                <w:color w:val="000000"/>
                <w:sz w:val="20"/>
              </w:rPr>
            </w:pPr>
            <w:r w:rsidRPr="0064224A">
              <w:rPr>
                <w:rFonts w:ascii="Arial Narrow" w:hAnsi="Arial Narrow"/>
                <w:sz w:val="20"/>
              </w:rPr>
              <w:t>$</w:t>
            </w:r>
            <w:r w:rsidR="0011087E">
              <w:rPr>
                <w:rFonts w:ascii="Arial Narrow" w:hAnsi="Arial Narrow"/>
                <w:noProof/>
                <w:color w:val="000000"/>
                <w:sz w:val="20"/>
                <w:highlight w:val="black"/>
              </w:rPr>
              <w:t>'''''''''''''''''''''''</w:t>
            </w:r>
          </w:p>
        </w:tc>
        <w:tc>
          <w:tcPr>
            <w:tcW w:w="593" w:type="pct"/>
            <w:shd w:val="clear" w:color="auto" w:fill="auto"/>
            <w:vAlign w:val="bottom"/>
          </w:tcPr>
          <w:p w:rsidR="00692E59" w:rsidRPr="004E2ADC" w:rsidRDefault="00692E59" w:rsidP="000A0288">
            <w:pPr>
              <w:keepNext/>
              <w:widowControl/>
              <w:jc w:val="center"/>
              <w:rPr>
                <w:rFonts w:ascii="Arial Narrow" w:hAnsi="Arial Narrow"/>
                <w:bCs/>
                <w:color w:val="000000"/>
                <w:sz w:val="20"/>
              </w:rPr>
            </w:pPr>
            <w:r w:rsidRPr="0064224A">
              <w:rPr>
                <w:rFonts w:ascii="Arial Narrow" w:hAnsi="Arial Narrow"/>
                <w:sz w:val="20"/>
              </w:rPr>
              <w:t>$</w:t>
            </w:r>
            <w:r w:rsidR="0011087E">
              <w:rPr>
                <w:rFonts w:ascii="Arial Narrow" w:hAnsi="Arial Narrow"/>
                <w:noProof/>
                <w:color w:val="000000"/>
                <w:sz w:val="20"/>
                <w:highlight w:val="black"/>
              </w:rPr>
              <w:t>''''''''''''''''''''''</w:t>
            </w:r>
          </w:p>
        </w:tc>
        <w:tc>
          <w:tcPr>
            <w:tcW w:w="591" w:type="pct"/>
            <w:shd w:val="clear" w:color="auto" w:fill="auto"/>
            <w:vAlign w:val="bottom"/>
          </w:tcPr>
          <w:p w:rsidR="00692E59" w:rsidRPr="004E2ADC" w:rsidRDefault="00692E59" w:rsidP="000A0288">
            <w:pPr>
              <w:keepNext/>
              <w:widowControl/>
              <w:jc w:val="center"/>
              <w:rPr>
                <w:rFonts w:ascii="Arial Narrow" w:hAnsi="Arial Narrow"/>
                <w:bCs/>
                <w:color w:val="000000"/>
                <w:sz w:val="20"/>
              </w:rPr>
            </w:pPr>
            <w:r w:rsidRPr="0064224A">
              <w:rPr>
                <w:rFonts w:ascii="Arial Narrow" w:hAnsi="Arial Narrow"/>
                <w:sz w:val="20"/>
              </w:rPr>
              <w:t>$</w:t>
            </w:r>
            <w:r w:rsidR="0011087E">
              <w:rPr>
                <w:rFonts w:ascii="Arial Narrow" w:hAnsi="Arial Narrow"/>
                <w:noProof/>
                <w:color w:val="000000"/>
                <w:sz w:val="20"/>
                <w:highlight w:val="black"/>
              </w:rPr>
              <w:t>'''''''''''''''''''''''</w:t>
            </w:r>
          </w:p>
        </w:tc>
      </w:tr>
      <w:tr w:rsidR="00A614D2" w:rsidRPr="004E2ADC" w:rsidTr="003C6AFB">
        <w:tc>
          <w:tcPr>
            <w:tcW w:w="2037" w:type="pct"/>
            <w:tcBorders>
              <w:bottom w:val="double" w:sz="4" w:space="0" w:color="auto"/>
            </w:tcBorders>
            <w:shd w:val="clear" w:color="auto" w:fill="auto"/>
            <w:vAlign w:val="center"/>
          </w:tcPr>
          <w:p w:rsidR="00692E59" w:rsidRPr="004E2ADC" w:rsidRDefault="00692E59" w:rsidP="000A0288">
            <w:pPr>
              <w:keepNext/>
              <w:widowControl/>
              <w:tabs>
                <w:tab w:val="left" w:pos="142"/>
              </w:tabs>
              <w:jc w:val="left"/>
              <w:rPr>
                <w:rFonts w:ascii="Arial Narrow" w:hAnsi="Arial Narrow"/>
                <w:sz w:val="20"/>
              </w:rPr>
            </w:pPr>
            <w:r>
              <w:rPr>
                <w:rFonts w:ascii="Arial Narrow" w:hAnsi="Arial Narrow"/>
                <w:sz w:val="20"/>
              </w:rPr>
              <w:t xml:space="preserve">Net </w:t>
            </w:r>
            <w:r w:rsidR="00E44356">
              <w:rPr>
                <w:rFonts w:ascii="Arial Narrow" w:hAnsi="Arial Narrow"/>
                <w:sz w:val="20"/>
              </w:rPr>
              <w:t>savings</w:t>
            </w:r>
            <w:r>
              <w:rPr>
                <w:rFonts w:ascii="Arial Narrow" w:hAnsi="Arial Narrow"/>
                <w:sz w:val="20"/>
              </w:rPr>
              <w:t xml:space="preserve"> in </w:t>
            </w:r>
            <w:proofErr w:type="spellStart"/>
            <w:r>
              <w:rPr>
                <w:rFonts w:ascii="Arial Narrow" w:hAnsi="Arial Narrow"/>
                <w:sz w:val="20"/>
              </w:rPr>
              <w:t>bosentan</w:t>
            </w:r>
            <w:proofErr w:type="spellEnd"/>
            <w:r>
              <w:rPr>
                <w:rFonts w:ascii="Arial Narrow" w:hAnsi="Arial Narrow"/>
                <w:sz w:val="20"/>
              </w:rPr>
              <w:t xml:space="preserve"> LFT costs to MBS</w:t>
            </w:r>
          </w:p>
        </w:tc>
        <w:tc>
          <w:tcPr>
            <w:tcW w:w="593" w:type="pct"/>
            <w:tcBorders>
              <w:bottom w:val="double" w:sz="4" w:space="0" w:color="auto"/>
            </w:tcBorders>
            <w:shd w:val="clear" w:color="auto" w:fill="auto"/>
            <w:vAlign w:val="center"/>
          </w:tcPr>
          <w:p w:rsidR="00692E59" w:rsidRPr="004E2ADC" w:rsidRDefault="00692E59" w:rsidP="000A0288">
            <w:pPr>
              <w:keepNext/>
              <w:widowControl/>
              <w:jc w:val="center"/>
              <w:rPr>
                <w:rFonts w:ascii="Arial Narrow" w:hAnsi="Arial Narrow"/>
                <w:bCs/>
                <w:color w:val="000000"/>
                <w:sz w:val="20"/>
              </w:rPr>
            </w:pPr>
            <w:r w:rsidRPr="0064224A">
              <w:rPr>
                <w:rFonts w:ascii="Arial Narrow" w:hAnsi="Arial Narrow"/>
                <w:sz w:val="20"/>
              </w:rPr>
              <w:t>$</w:t>
            </w:r>
            <w:r w:rsidR="0011087E">
              <w:rPr>
                <w:rFonts w:ascii="Arial Narrow" w:hAnsi="Arial Narrow"/>
                <w:noProof/>
                <w:color w:val="000000"/>
                <w:sz w:val="20"/>
                <w:highlight w:val="black"/>
              </w:rPr>
              <w:t>''''''''''''''</w:t>
            </w:r>
          </w:p>
        </w:tc>
        <w:tc>
          <w:tcPr>
            <w:tcW w:w="592" w:type="pct"/>
            <w:tcBorders>
              <w:bottom w:val="double" w:sz="4" w:space="0" w:color="auto"/>
            </w:tcBorders>
            <w:shd w:val="clear" w:color="auto" w:fill="auto"/>
            <w:vAlign w:val="center"/>
          </w:tcPr>
          <w:p w:rsidR="00692E59" w:rsidRPr="004E2ADC" w:rsidRDefault="00692E59" w:rsidP="000A0288">
            <w:pPr>
              <w:keepNext/>
              <w:widowControl/>
              <w:jc w:val="center"/>
              <w:rPr>
                <w:rFonts w:ascii="Arial Narrow" w:hAnsi="Arial Narrow"/>
                <w:bCs/>
                <w:color w:val="000000"/>
                <w:sz w:val="20"/>
              </w:rPr>
            </w:pPr>
            <w:r w:rsidRPr="0064224A">
              <w:rPr>
                <w:rFonts w:ascii="Arial Narrow" w:hAnsi="Arial Narrow"/>
                <w:sz w:val="20"/>
              </w:rPr>
              <w:t>$</w:t>
            </w:r>
            <w:r w:rsidR="0011087E">
              <w:rPr>
                <w:rFonts w:ascii="Arial Narrow" w:hAnsi="Arial Narrow"/>
                <w:noProof/>
                <w:color w:val="000000"/>
                <w:sz w:val="20"/>
                <w:highlight w:val="black"/>
              </w:rPr>
              <w:t>'''''''''''''''</w:t>
            </w:r>
          </w:p>
        </w:tc>
        <w:tc>
          <w:tcPr>
            <w:tcW w:w="595" w:type="pct"/>
            <w:tcBorders>
              <w:bottom w:val="double" w:sz="4" w:space="0" w:color="auto"/>
            </w:tcBorders>
            <w:shd w:val="clear" w:color="auto" w:fill="auto"/>
            <w:vAlign w:val="center"/>
          </w:tcPr>
          <w:p w:rsidR="00692E59" w:rsidRPr="004E2ADC" w:rsidRDefault="00692E59" w:rsidP="000A0288">
            <w:pPr>
              <w:keepNext/>
              <w:widowControl/>
              <w:jc w:val="center"/>
              <w:rPr>
                <w:rFonts w:ascii="Arial Narrow" w:hAnsi="Arial Narrow"/>
                <w:bCs/>
                <w:color w:val="000000"/>
                <w:sz w:val="20"/>
              </w:rPr>
            </w:pPr>
            <w:r w:rsidRPr="0064224A">
              <w:rPr>
                <w:rFonts w:ascii="Arial Narrow" w:hAnsi="Arial Narrow"/>
                <w:sz w:val="20"/>
              </w:rPr>
              <w:t>$</w:t>
            </w:r>
            <w:r w:rsidR="0011087E">
              <w:rPr>
                <w:rFonts w:ascii="Arial Narrow" w:hAnsi="Arial Narrow"/>
                <w:noProof/>
                <w:color w:val="000000"/>
                <w:sz w:val="20"/>
                <w:highlight w:val="black"/>
              </w:rPr>
              <w:t>''''''''''''''''</w:t>
            </w:r>
          </w:p>
        </w:tc>
        <w:tc>
          <w:tcPr>
            <w:tcW w:w="593" w:type="pct"/>
            <w:tcBorders>
              <w:bottom w:val="double" w:sz="4" w:space="0" w:color="auto"/>
            </w:tcBorders>
            <w:shd w:val="clear" w:color="auto" w:fill="auto"/>
            <w:vAlign w:val="center"/>
          </w:tcPr>
          <w:p w:rsidR="00692E59" w:rsidRPr="004E2ADC" w:rsidRDefault="00692E59" w:rsidP="000A0288">
            <w:pPr>
              <w:keepNext/>
              <w:widowControl/>
              <w:jc w:val="center"/>
              <w:rPr>
                <w:rFonts w:ascii="Arial Narrow" w:hAnsi="Arial Narrow"/>
                <w:bCs/>
                <w:color w:val="000000"/>
                <w:sz w:val="20"/>
              </w:rPr>
            </w:pPr>
            <w:r w:rsidRPr="0064224A">
              <w:rPr>
                <w:rFonts w:ascii="Arial Narrow" w:hAnsi="Arial Narrow"/>
                <w:sz w:val="20"/>
              </w:rPr>
              <w:t>$</w:t>
            </w:r>
            <w:r w:rsidR="0011087E">
              <w:rPr>
                <w:rFonts w:ascii="Arial Narrow" w:hAnsi="Arial Narrow"/>
                <w:noProof/>
                <w:color w:val="000000"/>
                <w:sz w:val="20"/>
                <w:highlight w:val="black"/>
              </w:rPr>
              <w:t>''''''''''''''''</w:t>
            </w:r>
          </w:p>
        </w:tc>
        <w:tc>
          <w:tcPr>
            <w:tcW w:w="591" w:type="pct"/>
            <w:tcBorders>
              <w:bottom w:val="double" w:sz="4" w:space="0" w:color="auto"/>
            </w:tcBorders>
            <w:shd w:val="clear" w:color="auto" w:fill="auto"/>
            <w:vAlign w:val="center"/>
          </w:tcPr>
          <w:p w:rsidR="00692E59" w:rsidRPr="004E2ADC" w:rsidRDefault="00692E59" w:rsidP="000A0288">
            <w:pPr>
              <w:keepNext/>
              <w:widowControl/>
              <w:jc w:val="center"/>
              <w:rPr>
                <w:rFonts w:ascii="Arial Narrow" w:hAnsi="Arial Narrow"/>
                <w:bCs/>
                <w:color w:val="000000"/>
                <w:sz w:val="20"/>
              </w:rPr>
            </w:pPr>
            <w:r w:rsidRPr="0064224A">
              <w:rPr>
                <w:rFonts w:ascii="Arial Narrow" w:hAnsi="Arial Narrow"/>
                <w:sz w:val="20"/>
              </w:rPr>
              <w:t>$</w:t>
            </w:r>
            <w:r w:rsidR="0011087E">
              <w:rPr>
                <w:rFonts w:ascii="Arial Narrow" w:hAnsi="Arial Narrow"/>
                <w:noProof/>
                <w:color w:val="000000"/>
                <w:sz w:val="20"/>
                <w:highlight w:val="black"/>
              </w:rPr>
              <w:t>''''''''''''''''</w:t>
            </w:r>
          </w:p>
        </w:tc>
      </w:tr>
      <w:tr w:rsidR="00A614D2" w:rsidRPr="004E2ADC" w:rsidTr="003C6AFB">
        <w:tc>
          <w:tcPr>
            <w:tcW w:w="2037" w:type="pct"/>
            <w:tcBorders>
              <w:top w:val="double" w:sz="4" w:space="0" w:color="auto"/>
              <w:bottom w:val="single" w:sz="4" w:space="0" w:color="auto"/>
            </w:tcBorders>
            <w:shd w:val="clear" w:color="auto" w:fill="auto"/>
            <w:vAlign w:val="center"/>
          </w:tcPr>
          <w:p w:rsidR="00692E59" w:rsidRPr="00145540" w:rsidRDefault="00692E59" w:rsidP="000A0288">
            <w:pPr>
              <w:keepNext/>
              <w:widowControl/>
              <w:tabs>
                <w:tab w:val="left" w:pos="142"/>
              </w:tabs>
              <w:jc w:val="left"/>
              <w:rPr>
                <w:rFonts w:ascii="Arial Narrow" w:hAnsi="Arial Narrow"/>
                <w:b/>
                <w:sz w:val="20"/>
              </w:rPr>
            </w:pPr>
            <w:r>
              <w:rPr>
                <w:rFonts w:ascii="Arial Narrow" w:hAnsi="Arial Narrow"/>
                <w:b/>
                <w:bCs/>
                <w:color w:val="000000"/>
                <w:sz w:val="20"/>
              </w:rPr>
              <w:t>Total net cost to government</w:t>
            </w:r>
          </w:p>
        </w:tc>
        <w:tc>
          <w:tcPr>
            <w:tcW w:w="593" w:type="pct"/>
            <w:tcBorders>
              <w:top w:val="double" w:sz="4" w:space="0" w:color="auto"/>
              <w:bottom w:val="single" w:sz="4" w:space="0" w:color="auto"/>
            </w:tcBorders>
            <w:shd w:val="clear" w:color="auto" w:fill="auto"/>
            <w:vAlign w:val="center"/>
          </w:tcPr>
          <w:p w:rsidR="00692E59" w:rsidRPr="004E2ADC" w:rsidRDefault="00692E59" w:rsidP="000A0288">
            <w:pPr>
              <w:keepNext/>
              <w:widowControl/>
              <w:jc w:val="center"/>
              <w:rPr>
                <w:rFonts w:ascii="Arial Narrow" w:hAnsi="Arial Narrow"/>
                <w:color w:val="000000"/>
                <w:sz w:val="20"/>
              </w:rPr>
            </w:pPr>
            <w:r w:rsidRPr="00D03380">
              <w:rPr>
                <w:rFonts w:ascii="Arial Narrow" w:hAnsi="Arial Narrow"/>
                <w:b/>
                <w:sz w:val="20"/>
              </w:rPr>
              <w:t>$</w:t>
            </w:r>
            <w:r w:rsidR="0011087E">
              <w:rPr>
                <w:rFonts w:ascii="Arial Narrow" w:hAnsi="Arial Narrow"/>
                <w:b/>
                <w:noProof/>
                <w:color w:val="000000"/>
                <w:sz w:val="20"/>
                <w:highlight w:val="black"/>
              </w:rPr>
              <w:t>''''''''''''''''''</w:t>
            </w:r>
          </w:p>
        </w:tc>
        <w:tc>
          <w:tcPr>
            <w:tcW w:w="593" w:type="pct"/>
            <w:tcBorders>
              <w:top w:val="double" w:sz="4" w:space="0" w:color="auto"/>
              <w:bottom w:val="single" w:sz="4" w:space="0" w:color="auto"/>
            </w:tcBorders>
            <w:shd w:val="clear" w:color="auto" w:fill="auto"/>
            <w:vAlign w:val="center"/>
          </w:tcPr>
          <w:p w:rsidR="00692E59" w:rsidRPr="004E2ADC" w:rsidRDefault="00692E59" w:rsidP="000A0288">
            <w:pPr>
              <w:keepNext/>
              <w:widowControl/>
              <w:jc w:val="center"/>
              <w:rPr>
                <w:rFonts w:ascii="Arial Narrow" w:hAnsi="Arial Narrow"/>
                <w:color w:val="000000"/>
                <w:sz w:val="20"/>
              </w:rPr>
            </w:pPr>
            <w:r w:rsidRPr="00D03380">
              <w:rPr>
                <w:rFonts w:ascii="Arial Narrow" w:hAnsi="Arial Narrow"/>
                <w:b/>
                <w:sz w:val="20"/>
              </w:rPr>
              <w:t>$</w:t>
            </w:r>
            <w:r w:rsidR="0011087E">
              <w:rPr>
                <w:rFonts w:ascii="Arial Narrow" w:hAnsi="Arial Narrow"/>
                <w:b/>
                <w:noProof/>
                <w:color w:val="000000"/>
                <w:sz w:val="20"/>
                <w:highlight w:val="black"/>
              </w:rPr>
              <w:t>'''''''''''''''''''''</w:t>
            </w:r>
          </w:p>
        </w:tc>
        <w:tc>
          <w:tcPr>
            <w:tcW w:w="593" w:type="pct"/>
            <w:tcBorders>
              <w:top w:val="double" w:sz="4" w:space="0" w:color="auto"/>
              <w:bottom w:val="single" w:sz="4" w:space="0" w:color="auto"/>
            </w:tcBorders>
            <w:shd w:val="clear" w:color="auto" w:fill="auto"/>
            <w:vAlign w:val="center"/>
          </w:tcPr>
          <w:p w:rsidR="00692E59" w:rsidRPr="004E2ADC" w:rsidRDefault="00692E59" w:rsidP="000A0288">
            <w:pPr>
              <w:keepNext/>
              <w:widowControl/>
              <w:jc w:val="center"/>
              <w:rPr>
                <w:rFonts w:ascii="Arial Narrow" w:hAnsi="Arial Narrow"/>
                <w:color w:val="000000"/>
                <w:sz w:val="20"/>
              </w:rPr>
            </w:pPr>
            <w:r w:rsidRPr="00D03380">
              <w:rPr>
                <w:rFonts w:ascii="Arial Narrow" w:hAnsi="Arial Narrow"/>
                <w:b/>
                <w:sz w:val="20"/>
              </w:rPr>
              <w:t>$</w:t>
            </w:r>
            <w:r w:rsidR="0011087E">
              <w:rPr>
                <w:rFonts w:ascii="Arial Narrow" w:hAnsi="Arial Narrow"/>
                <w:b/>
                <w:noProof/>
                <w:color w:val="000000"/>
                <w:sz w:val="20"/>
                <w:highlight w:val="black"/>
              </w:rPr>
              <w:t>''''''''''''''''''</w:t>
            </w:r>
          </w:p>
        </w:tc>
        <w:tc>
          <w:tcPr>
            <w:tcW w:w="593" w:type="pct"/>
            <w:tcBorders>
              <w:top w:val="double" w:sz="4" w:space="0" w:color="auto"/>
              <w:bottom w:val="single" w:sz="4" w:space="0" w:color="auto"/>
            </w:tcBorders>
            <w:shd w:val="clear" w:color="auto" w:fill="auto"/>
            <w:vAlign w:val="center"/>
          </w:tcPr>
          <w:p w:rsidR="00692E59" w:rsidRPr="004E2ADC" w:rsidRDefault="00692E59" w:rsidP="000A0288">
            <w:pPr>
              <w:keepNext/>
              <w:widowControl/>
              <w:jc w:val="center"/>
              <w:rPr>
                <w:rFonts w:ascii="Arial Narrow" w:hAnsi="Arial Narrow"/>
                <w:color w:val="000000"/>
                <w:sz w:val="20"/>
              </w:rPr>
            </w:pPr>
            <w:r w:rsidRPr="00D03380">
              <w:rPr>
                <w:rFonts w:ascii="Arial Narrow" w:hAnsi="Arial Narrow"/>
                <w:b/>
                <w:sz w:val="20"/>
              </w:rPr>
              <w:t>$</w:t>
            </w:r>
            <w:r w:rsidR="0011087E">
              <w:rPr>
                <w:rFonts w:ascii="Arial Narrow" w:hAnsi="Arial Narrow"/>
                <w:b/>
                <w:noProof/>
                <w:color w:val="000000"/>
                <w:sz w:val="20"/>
                <w:highlight w:val="black"/>
              </w:rPr>
              <w:t>'''''''''''''''''''''</w:t>
            </w:r>
          </w:p>
        </w:tc>
        <w:tc>
          <w:tcPr>
            <w:tcW w:w="593" w:type="pct"/>
            <w:tcBorders>
              <w:top w:val="double" w:sz="4" w:space="0" w:color="auto"/>
              <w:bottom w:val="single" w:sz="4" w:space="0" w:color="auto"/>
            </w:tcBorders>
            <w:shd w:val="clear" w:color="auto" w:fill="auto"/>
            <w:vAlign w:val="center"/>
          </w:tcPr>
          <w:p w:rsidR="00692E59" w:rsidRPr="004E2ADC" w:rsidRDefault="00692E59" w:rsidP="000A0288">
            <w:pPr>
              <w:keepNext/>
              <w:widowControl/>
              <w:jc w:val="center"/>
              <w:rPr>
                <w:rFonts w:ascii="Arial Narrow" w:hAnsi="Arial Narrow"/>
                <w:color w:val="000000"/>
                <w:sz w:val="20"/>
              </w:rPr>
            </w:pPr>
            <w:r w:rsidRPr="00D03380">
              <w:rPr>
                <w:rFonts w:ascii="Arial Narrow" w:hAnsi="Arial Narrow"/>
                <w:b/>
                <w:sz w:val="20"/>
              </w:rPr>
              <w:t>$</w:t>
            </w:r>
            <w:r w:rsidR="0011087E">
              <w:rPr>
                <w:rFonts w:ascii="Arial Narrow" w:hAnsi="Arial Narrow"/>
                <w:b/>
                <w:noProof/>
                <w:color w:val="000000"/>
                <w:sz w:val="20"/>
                <w:highlight w:val="black"/>
              </w:rPr>
              <w:t>'''''''''''''''''''''</w:t>
            </w:r>
          </w:p>
        </w:tc>
      </w:tr>
      <w:tr w:rsidR="00A614D2" w:rsidRPr="00F933D0" w:rsidTr="003C6AFB">
        <w:tc>
          <w:tcPr>
            <w:tcW w:w="2037" w:type="pct"/>
            <w:tcBorders>
              <w:top w:val="single" w:sz="4" w:space="0" w:color="auto"/>
            </w:tcBorders>
            <w:shd w:val="clear" w:color="auto" w:fill="auto"/>
            <w:vAlign w:val="center"/>
          </w:tcPr>
          <w:p w:rsidR="00692E59" w:rsidRPr="00F933D0" w:rsidRDefault="00692E59" w:rsidP="000A0288">
            <w:pPr>
              <w:keepNext/>
              <w:widowControl/>
              <w:tabs>
                <w:tab w:val="left" w:pos="142"/>
              </w:tabs>
              <w:jc w:val="left"/>
              <w:rPr>
                <w:rFonts w:ascii="Arial Narrow" w:hAnsi="Arial Narrow"/>
                <w:bCs/>
                <w:color w:val="000000"/>
                <w:sz w:val="20"/>
              </w:rPr>
            </w:pPr>
            <w:r w:rsidRPr="00F933D0">
              <w:rPr>
                <w:rFonts w:ascii="Arial Narrow" w:hAnsi="Arial Narrow"/>
                <w:bCs/>
                <w:color w:val="000000"/>
                <w:sz w:val="20"/>
              </w:rPr>
              <w:t>No</w:t>
            </w:r>
            <w:r>
              <w:rPr>
                <w:rFonts w:ascii="Arial Narrow" w:hAnsi="Arial Narrow"/>
                <w:bCs/>
                <w:color w:val="000000"/>
                <w:sz w:val="20"/>
              </w:rPr>
              <w:t>vember 2014 submission</w:t>
            </w:r>
          </w:p>
        </w:tc>
        <w:tc>
          <w:tcPr>
            <w:tcW w:w="593" w:type="pct"/>
            <w:tcBorders>
              <w:top w:val="single" w:sz="4" w:space="0" w:color="auto"/>
            </w:tcBorders>
            <w:shd w:val="clear" w:color="auto" w:fill="auto"/>
            <w:vAlign w:val="center"/>
          </w:tcPr>
          <w:p w:rsidR="00692E59" w:rsidRPr="00F933D0" w:rsidRDefault="00692E59" w:rsidP="000A0288">
            <w:pPr>
              <w:keepNext/>
              <w:widowControl/>
              <w:jc w:val="center"/>
              <w:rPr>
                <w:rFonts w:ascii="Arial Narrow" w:hAnsi="Arial Narrow"/>
                <w:sz w:val="20"/>
              </w:rPr>
            </w:pPr>
            <w:r>
              <w:rPr>
                <w:rStyle w:val="CommentReference"/>
                <w:b w:val="0"/>
                <w:szCs w:val="20"/>
              </w:rPr>
              <w:t>$</w:t>
            </w:r>
            <w:r w:rsidR="0011087E">
              <w:rPr>
                <w:rStyle w:val="CommentReference"/>
                <w:b w:val="0"/>
                <w:noProof/>
                <w:color w:val="000000"/>
                <w:szCs w:val="20"/>
                <w:highlight w:val="black"/>
              </w:rPr>
              <w:t>'''''''''''''''''''''</w:t>
            </w:r>
          </w:p>
        </w:tc>
        <w:tc>
          <w:tcPr>
            <w:tcW w:w="593" w:type="pct"/>
            <w:tcBorders>
              <w:top w:val="single" w:sz="4" w:space="0" w:color="auto"/>
            </w:tcBorders>
            <w:shd w:val="clear" w:color="auto" w:fill="auto"/>
            <w:vAlign w:val="center"/>
          </w:tcPr>
          <w:p w:rsidR="00692E59" w:rsidRPr="00F933D0" w:rsidRDefault="00692E59" w:rsidP="000A0288">
            <w:pPr>
              <w:keepNext/>
              <w:widowControl/>
              <w:jc w:val="center"/>
              <w:rPr>
                <w:rFonts w:ascii="Arial Narrow" w:hAnsi="Arial Narrow"/>
                <w:sz w:val="20"/>
              </w:rPr>
            </w:pPr>
            <w:r>
              <w:rPr>
                <w:rStyle w:val="CommentReference"/>
                <w:b w:val="0"/>
                <w:szCs w:val="20"/>
              </w:rPr>
              <w:t>$</w:t>
            </w:r>
            <w:r w:rsidR="0011087E">
              <w:rPr>
                <w:rStyle w:val="CommentReference"/>
                <w:b w:val="0"/>
                <w:noProof/>
                <w:color w:val="000000"/>
                <w:szCs w:val="20"/>
                <w:highlight w:val="black"/>
              </w:rPr>
              <w:t>'''''''''''''''''''''''</w:t>
            </w:r>
          </w:p>
        </w:tc>
        <w:tc>
          <w:tcPr>
            <w:tcW w:w="593" w:type="pct"/>
            <w:tcBorders>
              <w:top w:val="single" w:sz="4" w:space="0" w:color="auto"/>
            </w:tcBorders>
            <w:shd w:val="clear" w:color="auto" w:fill="auto"/>
            <w:vAlign w:val="center"/>
          </w:tcPr>
          <w:p w:rsidR="00692E59" w:rsidRPr="00F933D0" w:rsidRDefault="00692E59" w:rsidP="000A0288">
            <w:pPr>
              <w:keepNext/>
              <w:widowControl/>
              <w:jc w:val="center"/>
              <w:rPr>
                <w:rFonts w:ascii="Arial Narrow" w:hAnsi="Arial Narrow"/>
                <w:sz w:val="20"/>
              </w:rPr>
            </w:pPr>
            <w:r>
              <w:rPr>
                <w:rStyle w:val="CommentReference"/>
                <w:b w:val="0"/>
                <w:szCs w:val="20"/>
              </w:rPr>
              <w:t>$</w:t>
            </w:r>
            <w:r w:rsidR="0011087E">
              <w:rPr>
                <w:rStyle w:val="CommentReference"/>
                <w:b w:val="0"/>
                <w:noProof/>
                <w:color w:val="000000"/>
                <w:szCs w:val="20"/>
                <w:highlight w:val="black"/>
              </w:rPr>
              <w:t>'''''''''''''''''''''''</w:t>
            </w:r>
          </w:p>
        </w:tc>
        <w:tc>
          <w:tcPr>
            <w:tcW w:w="593" w:type="pct"/>
            <w:tcBorders>
              <w:top w:val="single" w:sz="4" w:space="0" w:color="auto"/>
            </w:tcBorders>
            <w:shd w:val="clear" w:color="auto" w:fill="auto"/>
            <w:vAlign w:val="center"/>
          </w:tcPr>
          <w:p w:rsidR="00692E59" w:rsidRPr="00F933D0" w:rsidRDefault="00692E59" w:rsidP="000A0288">
            <w:pPr>
              <w:keepNext/>
              <w:widowControl/>
              <w:jc w:val="center"/>
              <w:rPr>
                <w:rFonts w:ascii="Arial Narrow" w:hAnsi="Arial Narrow"/>
                <w:sz w:val="20"/>
              </w:rPr>
            </w:pPr>
            <w:r>
              <w:rPr>
                <w:rStyle w:val="CommentReference"/>
                <w:b w:val="0"/>
                <w:szCs w:val="20"/>
              </w:rPr>
              <w:t>$</w:t>
            </w:r>
            <w:r w:rsidR="0011087E">
              <w:rPr>
                <w:rStyle w:val="CommentReference"/>
                <w:b w:val="0"/>
                <w:noProof/>
                <w:color w:val="000000"/>
                <w:szCs w:val="20"/>
                <w:highlight w:val="black"/>
              </w:rPr>
              <w:t>'''''''''''''''''''''''''''</w:t>
            </w:r>
          </w:p>
        </w:tc>
        <w:tc>
          <w:tcPr>
            <w:tcW w:w="593" w:type="pct"/>
            <w:tcBorders>
              <w:top w:val="single" w:sz="4" w:space="0" w:color="auto"/>
            </w:tcBorders>
            <w:shd w:val="clear" w:color="auto" w:fill="auto"/>
            <w:vAlign w:val="center"/>
          </w:tcPr>
          <w:p w:rsidR="00692E59" w:rsidRPr="00F933D0" w:rsidRDefault="00692E59" w:rsidP="000A0288">
            <w:pPr>
              <w:keepNext/>
              <w:widowControl/>
              <w:jc w:val="center"/>
              <w:rPr>
                <w:rFonts w:ascii="Arial Narrow" w:hAnsi="Arial Narrow"/>
                <w:sz w:val="20"/>
              </w:rPr>
            </w:pPr>
            <w:r>
              <w:rPr>
                <w:rStyle w:val="CommentReference"/>
                <w:b w:val="0"/>
                <w:szCs w:val="20"/>
              </w:rPr>
              <w:t>$</w:t>
            </w:r>
            <w:r w:rsidR="0011087E">
              <w:rPr>
                <w:rStyle w:val="CommentReference"/>
                <w:b w:val="0"/>
                <w:noProof/>
                <w:color w:val="000000"/>
                <w:szCs w:val="20"/>
                <w:highlight w:val="black"/>
              </w:rPr>
              <w:t>'''''''''''''''''''''''''''</w:t>
            </w:r>
          </w:p>
        </w:tc>
      </w:tr>
      <w:tr w:rsidR="00A614D2" w:rsidRPr="004E2ADC" w:rsidTr="003C6AFB">
        <w:tc>
          <w:tcPr>
            <w:tcW w:w="2037" w:type="pct"/>
            <w:shd w:val="clear" w:color="auto" w:fill="auto"/>
            <w:vAlign w:val="center"/>
          </w:tcPr>
          <w:p w:rsidR="00692E59" w:rsidRPr="00145540" w:rsidRDefault="00692E59" w:rsidP="000A0288">
            <w:pPr>
              <w:keepNext/>
              <w:widowControl/>
              <w:tabs>
                <w:tab w:val="left" w:pos="142"/>
              </w:tabs>
              <w:jc w:val="left"/>
              <w:rPr>
                <w:rFonts w:ascii="Arial Narrow" w:hAnsi="Arial Narrow"/>
                <w:b/>
                <w:bCs/>
                <w:color w:val="000000"/>
                <w:sz w:val="20"/>
              </w:rPr>
            </w:pPr>
            <w:r w:rsidRPr="00642C0C">
              <w:rPr>
                <w:rStyle w:val="CommentReference"/>
                <w:b w:val="0"/>
              </w:rPr>
              <w:t>November 2014 pre-PBAC response</w:t>
            </w:r>
          </w:p>
        </w:tc>
        <w:tc>
          <w:tcPr>
            <w:tcW w:w="593" w:type="pct"/>
            <w:shd w:val="clear" w:color="auto" w:fill="auto"/>
            <w:vAlign w:val="center"/>
          </w:tcPr>
          <w:p w:rsidR="00692E59" w:rsidRPr="004E2ADC" w:rsidRDefault="00692E59" w:rsidP="000A0288">
            <w:pPr>
              <w:keepNext/>
              <w:widowControl/>
              <w:jc w:val="center"/>
              <w:rPr>
                <w:rFonts w:ascii="Arial Narrow" w:hAnsi="Arial Narrow"/>
                <w:b/>
                <w:bCs/>
                <w:sz w:val="19"/>
                <w:szCs w:val="19"/>
              </w:rPr>
            </w:pPr>
            <w:r>
              <w:rPr>
                <w:rStyle w:val="CommentReference"/>
                <w:b w:val="0"/>
                <w:szCs w:val="20"/>
              </w:rPr>
              <w:t>$</w:t>
            </w:r>
            <w:r w:rsidR="0011087E">
              <w:rPr>
                <w:rStyle w:val="CommentReference"/>
                <w:b w:val="0"/>
                <w:noProof/>
                <w:color w:val="000000"/>
                <w:szCs w:val="20"/>
                <w:highlight w:val="black"/>
              </w:rPr>
              <w:t>'''''''''''''''''''''''</w:t>
            </w:r>
          </w:p>
        </w:tc>
        <w:tc>
          <w:tcPr>
            <w:tcW w:w="593" w:type="pct"/>
            <w:shd w:val="clear" w:color="auto" w:fill="auto"/>
            <w:vAlign w:val="center"/>
          </w:tcPr>
          <w:p w:rsidR="00692E59" w:rsidRPr="004E2ADC" w:rsidRDefault="00692E59" w:rsidP="000A0288">
            <w:pPr>
              <w:keepNext/>
              <w:widowControl/>
              <w:jc w:val="center"/>
              <w:rPr>
                <w:rFonts w:ascii="Arial Narrow" w:hAnsi="Arial Narrow"/>
                <w:b/>
                <w:bCs/>
                <w:sz w:val="19"/>
                <w:szCs w:val="19"/>
              </w:rPr>
            </w:pPr>
            <w:r>
              <w:rPr>
                <w:rStyle w:val="CommentReference"/>
                <w:b w:val="0"/>
                <w:szCs w:val="20"/>
              </w:rPr>
              <w:t>$</w:t>
            </w:r>
            <w:r w:rsidR="0011087E">
              <w:rPr>
                <w:rStyle w:val="CommentReference"/>
                <w:b w:val="0"/>
                <w:noProof/>
                <w:color w:val="000000"/>
                <w:szCs w:val="20"/>
                <w:highlight w:val="black"/>
              </w:rPr>
              <w:t>''''''''''''''''''''''''</w:t>
            </w:r>
          </w:p>
        </w:tc>
        <w:tc>
          <w:tcPr>
            <w:tcW w:w="593" w:type="pct"/>
            <w:shd w:val="clear" w:color="auto" w:fill="auto"/>
            <w:vAlign w:val="center"/>
          </w:tcPr>
          <w:p w:rsidR="00692E59" w:rsidRPr="004E2ADC" w:rsidRDefault="00692E59" w:rsidP="000A0288">
            <w:pPr>
              <w:keepNext/>
              <w:widowControl/>
              <w:jc w:val="center"/>
              <w:rPr>
                <w:rFonts w:ascii="Arial Narrow" w:hAnsi="Arial Narrow"/>
                <w:b/>
                <w:bCs/>
                <w:sz w:val="19"/>
                <w:szCs w:val="19"/>
              </w:rPr>
            </w:pPr>
            <w:r>
              <w:rPr>
                <w:rStyle w:val="CommentReference"/>
                <w:b w:val="0"/>
                <w:szCs w:val="20"/>
              </w:rPr>
              <w:t>$</w:t>
            </w:r>
            <w:r w:rsidR="0011087E">
              <w:rPr>
                <w:rStyle w:val="CommentReference"/>
                <w:b w:val="0"/>
                <w:noProof/>
                <w:color w:val="000000"/>
                <w:szCs w:val="20"/>
                <w:highlight w:val="black"/>
              </w:rPr>
              <w:t>'''''''''''''''''''''''</w:t>
            </w:r>
          </w:p>
        </w:tc>
        <w:tc>
          <w:tcPr>
            <w:tcW w:w="593" w:type="pct"/>
            <w:shd w:val="clear" w:color="auto" w:fill="auto"/>
            <w:vAlign w:val="center"/>
          </w:tcPr>
          <w:p w:rsidR="00692E59" w:rsidRPr="004E2ADC" w:rsidRDefault="00692E59" w:rsidP="000A0288">
            <w:pPr>
              <w:keepNext/>
              <w:widowControl/>
              <w:jc w:val="center"/>
              <w:rPr>
                <w:rFonts w:ascii="Arial Narrow" w:hAnsi="Arial Narrow"/>
                <w:b/>
                <w:bCs/>
                <w:sz w:val="19"/>
                <w:szCs w:val="19"/>
              </w:rPr>
            </w:pPr>
            <w:r>
              <w:rPr>
                <w:rStyle w:val="CommentReference"/>
                <w:b w:val="0"/>
                <w:szCs w:val="20"/>
              </w:rPr>
              <w:t>$</w:t>
            </w:r>
            <w:r w:rsidR="0011087E">
              <w:rPr>
                <w:rStyle w:val="CommentReference"/>
                <w:b w:val="0"/>
                <w:noProof/>
                <w:color w:val="000000"/>
                <w:szCs w:val="20"/>
                <w:highlight w:val="black"/>
              </w:rPr>
              <w:t>'''''''''''''''''''''''</w:t>
            </w:r>
          </w:p>
        </w:tc>
        <w:tc>
          <w:tcPr>
            <w:tcW w:w="593" w:type="pct"/>
            <w:shd w:val="clear" w:color="auto" w:fill="auto"/>
            <w:vAlign w:val="center"/>
          </w:tcPr>
          <w:p w:rsidR="00692E59" w:rsidRPr="004E2ADC" w:rsidRDefault="00692E59" w:rsidP="000A0288">
            <w:pPr>
              <w:keepNext/>
              <w:widowControl/>
              <w:jc w:val="center"/>
              <w:rPr>
                <w:rFonts w:ascii="Arial Narrow" w:hAnsi="Arial Narrow"/>
                <w:b/>
                <w:bCs/>
                <w:sz w:val="19"/>
                <w:szCs w:val="19"/>
              </w:rPr>
            </w:pPr>
            <w:r>
              <w:rPr>
                <w:rStyle w:val="CommentReference"/>
                <w:b w:val="0"/>
                <w:szCs w:val="20"/>
              </w:rPr>
              <w:t>$</w:t>
            </w:r>
            <w:r w:rsidR="0011087E">
              <w:rPr>
                <w:rStyle w:val="CommentReference"/>
                <w:b w:val="0"/>
                <w:noProof/>
                <w:color w:val="000000"/>
                <w:szCs w:val="20"/>
                <w:highlight w:val="black"/>
              </w:rPr>
              <w:t>''''''''''''''''''''''</w:t>
            </w:r>
          </w:p>
        </w:tc>
      </w:tr>
    </w:tbl>
    <w:p w:rsidR="002F36A9" w:rsidRDefault="002F36A9" w:rsidP="000A0288">
      <w:pPr>
        <w:pStyle w:val="TableFooter"/>
        <w:widowControl/>
        <w:ind w:firstLine="720"/>
        <w:rPr>
          <w:szCs w:val="22"/>
        </w:rPr>
      </w:pPr>
      <w:r w:rsidRPr="001222FC">
        <w:rPr>
          <w:sz w:val="16"/>
          <w:szCs w:val="18"/>
        </w:rPr>
        <w:t xml:space="preserve">Source: </w:t>
      </w:r>
      <w:r>
        <w:rPr>
          <w:szCs w:val="18"/>
        </w:rPr>
        <w:t>Table E.2-5, p231; Table E.3-2, p232; Table E.3-3, p232; Table E.4-1, p233 and Table E.5-3, p234 of the re-submission</w:t>
      </w:r>
    </w:p>
    <w:p w:rsidR="002F36A9" w:rsidRDefault="002F36A9" w:rsidP="000A0288">
      <w:pPr>
        <w:widowControl/>
        <w:rPr>
          <w:szCs w:val="22"/>
        </w:rPr>
      </w:pPr>
    </w:p>
    <w:p w:rsidR="00AC546E" w:rsidRPr="00E66A98" w:rsidRDefault="002F36A9" w:rsidP="000A0288">
      <w:pPr>
        <w:pStyle w:val="ListParagraph"/>
        <w:widowControl/>
        <w:numPr>
          <w:ilvl w:val="1"/>
          <w:numId w:val="2"/>
        </w:numPr>
        <w:rPr>
          <w:szCs w:val="22"/>
        </w:rPr>
      </w:pPr>
      <w:r w:rsidRPr="00E66A98">
        <w:rPr>
          <w:szCs w:val="22"/>
        </w:rPr>
        <w:t xml:space="preserve">It is unlikely that the extent of </w:t>
      </w:r>
      <w:proofErr w:type="spellStart"/>
      <w:r w:rsidRPr="00E66A98">
        <w:rPr>
          <w:szCs w:val="22"/>
        </w:rPr>
        <w:t>bose</w:t>
      </w:r>
      <w:r w:rsidR="00C60173" w:rsidRPr="00E66A98">
        <w:rPr>
          <w:szCs w:val="22"/>
        </w:rPr>
        <w:t>ntan</w:t>
      </w:r>
      <w:proofErr w:type="spellEnd"/>
      <w:r w:rsidR="00C60173" w:rsidRPr="00E66A98">
        <w:rPr>
          <w:szCs w:val="22"/>
        </w:rPr>
        <w:t xml:space="preserve"> savings included in the re</w:t>
      </w:r>
      <w:r w:rsidR="00C60173" w:rsidRPr="00E66A98">
        <w:rPr>
          <w:szCs w:val="22"/>
        </w:rPr>
        <w:noBreakHyphen/>
      </w:r>
      <w:r w:rsidRPr="00E66A98">
        <w:rPr>
          <w:szCs w:val="22"/>
        </w:rPr>
        <w:t>submission’s financial estimates will be realised, given that the majority of CTEPH patients are receiving treatment under compassionate use programs.</w:t>
      </w:r>
      <w:r w:rsidR="006B5090" w:rsidRPr="00E66A98">
        <w:rPr>
          <w:szCs w:val="22"/>
        </w:rPr>
        <w:t xml:space="preserve"> </w:t>
      </w:r>
      <w:r w:rsidR="004A1EE3" w:rsidRPr="00E66A98">
        <w:rPr>
          <w:szCs w:val="22"/>
        </w:rPr>
        <w:t>While</w:t>
      </w:r>
      <w:r w:rsidRPr="00E66A98">
        <w:rPr>
          <w:szCs w:val="22"/>
        </w:rPr>
        <w:t xml:space="preserve"> misclassification of CTEPH </w:t>
      </w:r>
      <w:r w:rsidR="004A1EE3" w:rsidRPr="00E66A98">
        <w:rPr>
          <w:szCs w:val="22"/>
        </w:rPr>
        <w:t>occurs in clinical practice</w:t>
      </w:r>
      <w:r w:rsidRPr="00E66A98">
        <w:rPr>
          <w:szCs w:val="22"/>
        </w:rPr>
        <w:t xml:space="preserve">, </w:t>
      </w:r>
      <w:r w:rsidR="00B76B91" w:rsidRPr="00E66A98">
        <w:rPr>
          <w:szCs w:val="22"/>
        </w:rPr>
        <w:t>increased</w:t>
      </w:r>
      <w:r w:rsidRPr="00E66A98">
        <w:rPr>
          <w:szCs w:val="22"/>
        </w:rPr>
        <w:t xml:space="preserve"> disease state awareness would only be expected </w:t>
      </w:r>
      <w:r w:rsidR="007323D3" w:rsidRPr="00E66A98">
        <w:rPr>
          <w:szCs w:val="22"/>
        </w:rPr>
        <w:t xml:space="preserve">to </w:t>
      </w:r>
      <w:r w:rsidR="004A1EE3" w:rsidRPr="00E66A98">
        <w:rPr>
          <w:szCs w:val="22"/>
        </w:rPr>
        <w:t>gradually influence</w:t>
      </w:r>
      <w:r w:rsidRPr="00E66A98">
        <w:rPr>
          <w:szCs w:val="22"/>
        </w:rPr>
        <w:t xml:space="preserve"> </w:t>
      </w:r>
      <w:r w:rsidR="00B76B91" w:rsidRPr="00E66A98">
        <w:rPr>
          <w:szCs w:val="22"/>
        </w:rPr>
        <w:t>the switching rate</w:t>
      </w:r>
      <w:r w:rsidR="004A1EE3" w:rsidRPr="00E66A98">
        <w:rPr>
          <w:szCs w:val="22"/>
        </w:rPr>
        <w:t xml:space="preserve"> from PBS subsidised </w:t>
      </w:r>
      <w:proofErr w:type="spellStart"/>
      <w:r w:rsidR="004A1EE3" w:rsidRPr="00E66A98">
        <w:rPr>
          <w:szCs w:val="22"/>
        </w:rPr>
        <w:t>bo</w:t>
      </w:r>
      <w:r w:rsidRPr="00E66A98">
        <w:rPr>
          <w:szCs w:val="22"/>
        </w:rPr>
        <w:t>sentan</w:t>
      </w:r>
      <w:proofErr w:type="spellEnd"/>
      <w:r w:rsidRPr="00E66A98">
        <w:rPr>
          <w:szCs w:val="22"/>
        </w:rPr>
        <w:t xml:space="preserve"> to riociguat, as opposed to </w:t>
      </w:r>
      <w:r w:rsidR="003C45A9" w:rsidRPr="00E66A98">
        <w:rPr>
          <w:szCs w:val="22"/>
        </w:rPr>
        <w:t>the</w:t>
      </w:r>
      <w:r w:rsidRPr="00E66A98">
        <w:rPr>
          <w:szCs w:val="22"/>
        </w:rPr>
        <w:t xml:space="preserve"> constant rate </w:t>
      </w:r>
      <w:r w:rsidR="004A1EE3" w:rsidRPr="00E66A98">
        <w:rPr>
          <w:szCs w:val="22"/>
        </w:rPr>
        <w:t xml:space="preserve">(30%) </w:t>
      </w:r>
      <w:r w:rsidR="003C45A9" w:rsidRPr="00E66A98">
        <w:rPr>
          <w:szCs w:val="22"/>
        </w:rPr>
        <w:t>that</w:t>
      </w:r>
      <w:r w:rsidR="00AE0335" w:rsidRPr="00E66A98">
        <w:rPr>
          <w:szCs w:val="22"/>
        </w:rPr>
        <w:t xml:space="preserve"> was </w:t>
      </w:r>
      <w:r w:rsidR="00B76B91" w:rsidRPr="00E66A98">
        <w:rPr>
          <w:szCs w:val="22"/>
        </w:rPr>
        <w:t>applied</w:t>
      </w:r>
      <w:r w:rsidRPr="00E66A98">
        <w:rPr>
          <w:szCs w:val="22"/>
        </w:rPr>
        <w:t xml:space="preserve"> in the financial estimates.</w:t>
      </w:r>
      <w:r w:rsidR="004D1894" w:rsidRPr="00E66A98">
        <w:rPr>
          <w:szCs w:val="22"/>
        </w:rPr>
        <w:t xml:space="preserve"> The PSCR </w:t>
      </w:r>
      <w:r w:rsidR="00082073" w:rsidRPr="00E66A98">
        <w:rPr>
          <w:szCs w:val="22"/>
        </w:rPr>
        <w:t xml:space="preserve">considered that this was a reasonable comment and </w:t>
      </w:r>
      <w:r w:rsidR="004D1894" w:rsidRPr="00E66A98">
        <w:rPr>
          <w:szCs w:val="22"/>
        </w:rPr>
        <w:t xml:space="preserve">revised the extent of substitution from </w:t>
      </w:r>
      <w:proofErr w:type="spellStart"/>
      <w:r w:rsidR="004D1894" w:rsidRPr="00E66A98">
        <w:rPr>
          <w:szCs w:val="22"/>
        </w:rPr>
        <w:t>bosentan</w:t>
      </w:r>
      <w:proofErr w:type="spellEnd"/>
      <w:r w:rsidR="004D1894" w:rsidRPr="00E66A98">
        <w:rPr>
          <w:szCs w:val="22"/>
        </w:rPr>
        <w:t xml:space="preserve"> treatment, with a decrease from 30% in Year 1 to 0% in Year 5.</w:t>
      </w:r>
      <w:r w:rsidR="00082073" w:rsidRPr="00E66A98">
        <w:rPr>
          <w:szCs w:val="22"/>
        </w:rPr>
        <w:t xml:space="preserve"> </w:t>
      </w:r>
      <w:r w:rsidR="00E51A11" w:rsidRPr="00E66A98">
        <w:rPr>
          <w:szCs w:val="22"/>
        </w:rPr>
        <w:t xml:space="preserve">The revised financial estimates for Year 1 </w:t>
      </w:r>
      <w:r w:rsidR="00D83D84" w:rsidRPr="00E66A98">
        <w:rPr>
          <w:szCs w:val="22"/>
        </w:rPr>
        <w:t>were</w:t>
      </w:r>
      <w:r w:rsidR="00E51A11" w:rsidRPr="00E66A98">
        <w:rPr>
          <w:szCs w:val="22"/>
        </w:rPr>
        <w:t xml:space="preserve"> unchanged while the net cost to the government increased to $8.6</w:t>
      </w:r>
      <w:r w:rsidR="00DA6237">
        <w:rPr>
          <w:szCs w:val="22"/>
        </w:rPr>
        <w:t> </w:t>
      </w:r>
      <w:r w:rsidR="00E51A11" w:rsidRPr="00E66A98">
        <w:rPr>
          <w:szCs w:val="22"/>
        </w:rPr>
        <w:t xml:space="preserve">million (from $5.6 million) in Year 5. </w:t>
      </w:r>
    </w:p>
    <w:p w:rsidR="002F36A9" w:rsidRPr="00E66A98" w:rsidRDefault="002F36A9" w:rsidP="000A0288">
      <w:pPr>
        <w:pStyle w:val="ListParagraph"/>
        <w:widowControl/>
        <w:rPr>
          <w:szCs w:val="22"/>
        </w:rPr>
      </w:pPr>
    </w:p>
    <w:p w:rsidR="00E7159A" w:rsidRDefault="002F36A9" w:rsidP="00E7159A">
      <w:pPr>
        <w:pStyle w:val="ListParagraph"/>
        <w:widowControl/>
        <w:numPr>
          <w:ilvl w:val="1"/>
          <w:numId w:val="2"/>
        </w:numPr>
        <w:rPr>
          <w:szCs w:val="22"/>
        </w:rPr>
      </w:pPr>
      <w:r w:rsidRPr="00E66A98">
        <w:rPr>
          <w:szCs w:val="22"/>
        </w:rPr>
        <w:t xml:space="preserve">While the financial estimates continue to assume a considerable increase in the CTEPH diagnosis rate (75% over 5 years), it is likely that net costs to government have been underestimated due to the predicted </w:t>
      </w:r>
      <w:proofErr w:type="spellStart"/>
      <w:r w:rsidRPr="00E66A98">
        <w:rPr>
          <w:szCs w:val="22"/>
        </w:rPr>
        <w:t>bosentan</w:t>
      </w:r>
      <w:proofErr w:type="spellEnd"/>
      <w:r w:rsidRPr="00E66A98">
        <w:rPr>
          <w:szCs w:val="22"/>
        </w:rPr>
        <w:t xml:space="preserve"> cost off-sets.</w:t>
      </w:r>
    </w:p>
    <w:p w:rsidR="00E7159A" w:rsidRPr="00E7159A" w:rsidRDefault="00E7159A" w:rsidP="00E7159A">
      <w:pPr>
        <w:pStyle w:val="ListParagraph"/>
        <w:rPr>
          <w:szCs w:val="22"/>
        </w:rPr>
      </w:pPr>
    </w:p>
    <w:p w:rsidR="00A01A95" w:rsidRPr="00E7159A" w:rsidRDefault="00B20695" w:rsidP="00E7159A">
      <w:pPr>
        <w:pStyle w:val="ListParagraph"/>
        <w:widowControl/>
        <w:numPr>
          <w:ilvl w:val="1"/>
          <w:numId w:val="2"/>
        </w:numPr>
        <w:rPr>
          <w:szCs w:val="22"/>
        </w:rPr>
      </w:pPr>
      <w:r>
        <w:rPr>
          <w:szCs w:val="22"/>
        </w:rPr>
        <w:t xml:space="preserve">The redacted table above shows that in </w:t>
      </w:r>
      <w:r w:rsidR="00155831" w:rsidRPr="00E7159A">
        <w:rPr>
          <w:szCs w:val="22"/>
        </w:rPr>
        <w:t xml:space="preserve">year 5, the estimated number of patients was </w:t>
      </w:r>
      <w:r>
        <w:rPr>
          <w:i/>
          <w:szCs w:val="22"/>
        </w:rPr>
        <w:t>less than 10,000</w:t>
      </w:r>
      <w:r w:rsidR="00155831" w:rsidRPr="00E7159A">
        <w:rPr>
          <w:szCs w:val="22"/>
        </w:rPr>
        <w:t xml:space="preserve">and the net cost to the PBS would be </w:t>
      </w:r>
      <w:r>
        <w:rPr>
          <w:szCs w:val="22"/>
        </w:rPr>
        <w:t xml:space="preserve">less than </w:t>
      </w:r>
      <w:r w:rsidR="00DA6237" w:rsidRPr="00E7159A">
        <w:rPr>
          <w:szCs w:val="22"/>
        </w:rPr>
        <w:t>$</w:t>
      </w:r>
      <w:r>
        <w:rPr>
          <w:szCs w:val="22"/>
        </w:rPr>
        <w:t>10</w:t>
      </w:r>
      <w:r w:rsidR="00DA6237" w:rsidRPr="00E7159A">
        <w:rPr>
          <w:szCs w:val="22"/>
        </w:rPr>
        <w:t xml:space="preserve"> million</w:t>
      </w:r>
      <w:r w:rsidR="0056291A">
        <w:rPr>
          <w:szCs w:val="22"/>
        </w:rPr>
        <w:t>.</w:t>
      </w:r>
    </w:p>
    <w:p w:rsidR="00A01A95" w:rsidRPr="00DA6237" w:rsidRDefault="00A01A95" w:rsidP="000A0288">
      <w:pPr>
        <w:widowControl/>
        <w:rPr>
          <w:szCs w:val="22"/>
        </w:rPr>
      </w:pPr>
    </w:p>
    <w:p w:rsidR="00A01A95" w:rsidRDefault="00E66A98" w:rsidP="000A0288">
      <w:pPr>
        <w:widowControl/>
        <w:ind w:left="709"/>
        <w:contextualSpacing/>
        <w:rPr>
          <w:i/>
          <w:szCs w:val="22"/>
        </w:rPr>
      </w:pPr>
      <w:r w:rsidRPr="00F945F3">
        <w:rPr>
          <w:i/>
          <w:szCs w:val="22"/>
        </w:rPr>
        <w:t>For more detail on PBAC’s view, see section 7 “PBAC outcome”</w:t>
      </w:r>
    </w:p>
    <w:p w:rsidR="00AD6411" w:rsidRDefault="00AD6411" w:rsidP="000A0288">
      <w:pPr>
        <w:widowControl/>
        <w:ind w:left="709"/>
        <w:contextualSpacing/>
        <w:rPr>
          <w:i/>
          <w:szCs w:val="22"/>
        </w:rPr>
      </w:pPr>
    </w:p>
    <w:p w:rsidR="00AD6411" w:rsidRDefault="00AD6411" w:rsidP="000A0288">
      <w:pPr>
        <w:widowControl/>
        <w:ind w:left="709"/>
        <w:contextualSpacing/>
        <w:rPr>
          <w:i/>
          <w:szCs w:val="22"/>
        </w:rPr>
      </w:pPr>
    </w:p>
    <w:p w:rsidR="00A01A95" w:rsidRPr="00E851D7" w:rsidRDefault="00A01A95" w:rsidP="00B24622">
      <w:pPr>
        <w:pStyle w:val="PBACHeading1"/>
      </w:pPr>
      <w:r w:rsidRPr="00E851D7">
        <w:lastRenderedPageBreak/>
        <w:t>PBAC Outcome</w:t>
      </w:r>
    </w:p>
    <w:p w:rsidR="00A01A95" w:rsidRPr="00E851D7" w:rsidRDefault="00A01A95" w:rsidP="0056291A">
      <w:pPr>
        <w:keepNext/>
        <w:widowControl/>
        <w:contextualSpacing/>
        <w:rPr>
          <w:bCs/>
          <w:szCs w:val="22"/>
          <w:lang w:val="en-GB"/>
        </w:rPr>
      </w:pPr>
    </w:p>
    <w:p w:rsidR="00E7159A" w:rsidRDefault="00E851D7" w:rsidP="00E7159A">
      <w:pPr>
        <w:widowControl/>
        <w:numPr>
          <w:ilvl w:val="1"/>
          <w:numId w:val="2"/>
        </w:numPr>
        <w:contextualSpacing/>
        <w:rPr>
          <w:bCs/>
          <w:szCs w:val="22"/>
          <w:lang w:val="en-GB"/>
        </w:rPr>
      </w:pPr>
      <w:r w:rsidRPr="00420C85">
        <w:rPr>
          <w:bCs/>
          <w:szCs w:val="22"/>
          <w:lang w:val="en-GB"/>
        </w:rPr>
        <w:t>Th</w:t>
      </w:r>
      <w:r w:rsidR="00125975" w:rsidRPr="00420C85">
        <w:rPr>
          <w:bCs/>
          <w:szCs w:val="22"/>
          <w:lang w:val="en-GB"/>
        </w:rPr>
        <w:t xml:space="preserve">e PBAC rejected the </w:t>
      </w:r>
      <w:r w:rsidR="005C614B" w:rsidRPr="00420C85">
        <w:rPr>
          <w:bCs/>
          <w:szCs w:val="22"/>
          <w:lang w:val="en-GB"/>
        </w:rPr>
        <w:t>request to list riociguat</w:t>
      </w:r>
      <w:r w:rsidR="00835FC4" w:rsidRPr="00420C85">
        <w:rPr>
          <w:bCs/>
          <w:szCs w:val="22"/>
          <w:lang w:val="en-GB"/>
        </w:rPr>
        <w:t xml:space="preserve"> on the PBS under Section 100 (Highly Specialised Drugs Programme) </w:t>
      </w:r>
      <w:r w:rsidR="005C614B" w:rsidRPr="00420C85">
        <w:rPr>
          <w:bCs/>
          <w:szCs w:val="22"/>
          <w:lang w:val="en-GB"/>
        </w:rPr>
        <w:t xml:space="preserve">for the treatment of </w:t>
      </w:r>
      <w:r w:rsidR="00420C85">
        <w:rPr>
          <w:bCs/>
          <w:szCs w:val="22"/>
          <w:lang w:val="en-GB"/>
        </w:rPr>
        <w:t xml:space="preserve">patients with inoperable </w:t>
      </w:r>
      <w:r w:rsidR="005C614B" w:rsidRPr="00420C85">
        <w:rPr>
          <w:bCs/>
          <w:szCs w:val="22"/>
          <w:lang w:val="en-GB"/>
        </w:rPr>
        <w:t xml:space="preserve">CTEPH </w:t>
      </w:r>
      <w:r w:rsidR="00420C85">
        <w:rPr>
          <w:bCs/>
          <w:szCs w:val="22"/>
          <w:lang w:val="en-GB"/>
        </w:rPr>
        <w:t xml:space="preserve">or persistent CTEPH following PEA </w:t>
      </w:r>
      <w:r w:rsidR="005C614B" w:rsidRPr="00420C85">
        <w:rPr>
          <w:bCs/>
          <w:szCs w:val="22"/>
          <w:lang w:val="en-GB"/>
        </w:rPr>
        <w:t xml:space="preserve">on the basis </w:t>
      </w:r>
      <w:r w:rsidR="00420C85" w:rsidRPr="00420C85">
        <w:rPr>
          <w:bCs/>
          <w:szCs w:val="22"/>
          <w:lang w:val="en-GB"/>
        </w:rPr>
        <w:t xml:space="preserve">of uncertain cost effectiveness. </w:t>
      </w:r>
    </w:p>
    <w:p w:rsidR="00E7159A" w:rsidRDefault="00E7159A" w:rsidP="00E7159A">
      <w:pPr>
        <w:widowControl/>
        <w:ind w:left="720"/>
        <w:contextualSpacing/>
        <w:rPr>
          <w:bCs/>
          <w:szCs w:val="22"/>
          <w:lang w:val="en-GB"/>
        </w:rPr>
      </w:pPr>
    </w:p>
    <w:p w:rsidR="00835FC4" w:rsidRPr="00E7159A" w:rsidRDefault="00B218B9" w:rsidP="00E7159A">
      <w:pPr>
        <w:widowControl/>
        <w:numPr>
          <w:ilvl w:val="1"/>
          <w:numId w:val="2"/>
        </w:numPr>
        <w:contextualSpacing/>
        <w:rPr>
          <w:bCs/>
          <w:szCs w:val="22"/>
          <w:lang w:val="en-GB"/>
        </w:rPr>
      </w:pPr>
      <w:r w:rsidRPr="00E7159A">
        <w:rPr>
          <w:bCs/>
          <w:szCs w:val="22"/>
          <w:lang w:val="en-GB"/>
        </w:rPr>
        <w:t>The PBAC recalled it rejected a submission requesting PBS-listing of riociguat for the treatment of inoperable or persistent CTEPH following PEA in November 2014</w:t>
      </w:r>
      <w:r w:rsidR="00B20A47">
        <w:rPr>
          <w:bCs/>
          <w:szCs w:val="22"/>
          <w:lang w:val="en-GB"/>
        </w:rPr>
        <w:t>,</w:t>
      </w:r>
      <w:r w:rsidR="00BB2D7F" w:rsidRPr="00E7159A">
        <w:rPr>
          <w:bCs/>
          <w:szCs w:val="22"/>
          <w:lang w:val="en-GB"/>
        </w:rPr>
        <w:t xml:space="preserve"> as the cost-effectiveness of riociguat for this indication had not been established against the appropriate comparator</w:t>
      </w:r>
      <w:r w:rsidR="00ED4574" w:rsidRPr="00E7159A">
        <w:rPr>
          <w:bCs/>
          <w:szCs w:val="22"/>
          <w:lang w:val="en-GB"/>
        </w:rPr>
        <w:t>.</w:t>
      </w:r>
      <w:r w:rsidR="000A0288" w:rsidRPr="00E7159A">
        <w:rPr>
          <w:bCs/>
          <w:szCs w:val="22"/>
          <w:lang w:val="en-GB"/>
        </w:rPr>
        <w:t xml:space="preserve"> </w:t>
      </w:r>
    </w:p>
    <w:p w:rsidR="00835FC4" w:rsidRDefault="00835FC4" w:rsidP="000A0288">
      <w:pPr>
        <w:pStyle w:val="ListParagraph"/>
        <w:widowControl/>
        <w:rPr>
          <w:bCs/>
          <w:szCs w:val="22"/>
          <w:lang w:val="en-GB"/>
        </w:rPr>
      </w:pPr>
    </w:p>
    <w:p w:rsidR="00896594" w:rsidRDefault="00835FC4" w:rsidP="000A0288">
      <w:pPr>
        <w:widowControl/>
        <w:numPr>
          <w:ilvl w:val="1"/>
          <w:numId w:val="2"/>
        </w:numPr>
        <w:contextualSpacing/>
        <w:rPr>
          <w:bCs/>
          <w:szCs w:val="22"/>
          <w:lang w:val="en-GB"/>
        </w:rPr>
      </w:pPr>
      <w:r w:rsidRPr="00835FC4">
        <w:rPr>
          <w:bCs/>
          <w:szCs w:val="22"/>
          <w:lang w:val="en-GB"/>
        </w:rPr>
        <w:t>The PBAC</w:t>
      </w:r>
      <w:r>
        <w:rPr>
          <w:bCs/>
          <w:szCs w:val="22"/>
          <w:lang w:val="en-GB"/>
        </w:rPr>
        <w:t xml:space="preserve"> previously accepted</w:t>
      </w:r>
      <w:r w:rsidRPr="00835FC4">
        <w:rPr>
          <w:bCs/>
          <w:szCs w:val="22"/>
          <w:lang w:val="en-GB"/>
        </w:rPr>
        <w:t xml:space="preserve"> that placebo is the appropriate comparator in this place of therapy, </w:t>
      </w:r>
      <w:r w:rsidR="00ED4574">
        <w:rPr>
          <w:bCs/>
          <w:szCs w:val="22"/>
          <w:lang w:val="en-GB"/>
        </w:rPr>
        <w:t>while noting that</w:t>
      </w:r>
      <w:r w:rsidRPr="00835FC4">
        <w:rPr>
          <w:bCs/>
          <w:szCs w:val="22"/>
          <w:lang w:val="en-GB"/>
        </w:rPr>
        <w:t xml:space="preserve"> other PAH treatments such as </w:t>
      </w:r>
      <w:proofErr w:type="spellStart"/>
      <w:r w:rsidRPr="00835FC4">
        <w:rPr>
          <w:bCs/>
          <w:szCs w:val="22"/>
          <w:lang w:val="en-GB"/>
        </w:rPr>
        <w:t>bosentan</w:t>
      </w:r>
      <w:proofErr w:type="spellEnd"/>
      <w:r w:rsidRPr="00835FC4">
        <w:rPr>
          <w:bCs/>
          <w:szCs w:val="22"/>
          <w:lang w:val="en-GB"/>
        </w:rPr>
        <w:t xml:space="preserve"> and sildenafil may be used off-label</w:t>
      </w:r>
      <w:r w:rsidR="00ED4574">
        <w:rPr>
          <w:bCs/>
          <w:szCs w:val="22"/>
          <w:lang w:val="en-GB"/>
        </w:rPr>
        <w:t xml:space="preserve"> </w:t>
      </w:r>
      <w:r w:rsidR="00ED4574" w:rsidRPr="00835FC4">
        <w:rPr>
          <w:bCs/>
          <w:szCs w:val="22"/>
          <w:lang w:val="en-GB"/>
        </w:rPr>
        <w:t>in clinical practice</w:t>
      </w:r>
      <w:r w:rsidRPr="00835FC4">
        <w:rPr>
          <w:bCs/>
          <w:szCs w:val="22"/>
          <w:lang w:val="en-GB"/>
        </w:rPr>
        <w:t>.</w:t>
      </w:r>
    </w:p>
    <w:p w:rsidR="00D11C7E" w:rsidRDefault="00D11C7E" w:rsidP="000A0288">
      <w:pPr>
        <w:pStyle w:val="ListParagraph"/>
        <w:widowControl/>
        <w:rPr>
          <w:bCs/>
          <w:szCs w:val="22"/>
          <w:lang w:val="en-GB"/>
        </w:rPr>
      </w:pPr>
    </w:p>
    <w:p w:rsidR="007905A9" w:rsidRDefault="00E851D7" w:rsidP="000A0288">
      <w:pPr>
        <w:widowControl/>
        <w:numPr>
          <w:ilvl w:val="1"/>
          <w:numId w:val="2"/>
        </w:numPr>
        <w:rPr>
          <w:bCs/>
          <w:szCs w:val="22"/>
        </w:rPr>
      </w:pPr>
      <w:r w:rsidRPr="00B7446D">
        <w:rPr>
          <w:bCs/>
          <w:szCs w:val="22"/>
          <w:lang w:val="en-GB"/>
        </w:rPr>
        <w:t xml:space="preserve">The PBAC noted that </w:t>
      </w:r>
      <w:r w:rsidR="00B7446D" w:rsidRPr="00B7446D">
        <w:rPr>
          <w:bCs/>
          <w:szCs w:val="22"/>
        </w:rPr>
        <w:t>a</w:t>
      </w:r>
      <w:r w:rsidR="00D74DFF" w:rsidRPr="00B7446D">
        <w:rPr>
          <w:bCs/>
          <w:szCs w:val="22"/>
        </w:rPr>
        <w:t xml:space="preserve">s </w:t>
      </w:r>
      <w:r w:rsidR="007905A9">
        <w:rPr>
          <w:bCs/>
          <w:szCs w:val="22"/>
        </w:rPr>
        <w:t>per the</w:t>
      </w:r>
      <w:r w:rsidR="007905A9" w:rsidRPr="00B7446D">
        <w:rPr>
          <w:bCs/>
          <w:szCs w:val="22"/>
        </w:rPr>
        <w:t xml:space="preserve"> </w:t>
      </w:r>
      <w:r w:rsidR="00D74DFF" w:rsidRPr="00B7446D">
        <w:rPr>
          <w:bCs/>
          <w:szCs w:val="22"/>
        </w:rPr>
        <w:t>Nov</w:t>
      </w:r>
      <w:r w:rsidR="00B7446D" w:rsidRPr="00B7446D">
        <w:rPr>
          <w:bCs/>
          <w:szCs w:val="22"/>
        </w:rPr>
        <w:t>ember</w:t>
      </w:r>
      <w:r w:rsidR="00D74DFF" w:rsidRPr="00B7446D">
        <w:rPr>
          <w:bCs/>
          <w:szCs w:val="22"/>
        </w:rPr>
        <w:t xml:space="preserve"> 2014</w:t>
      </w:r>
      <w:r w:rsidR="007905A9">
        <w:rPr>
          <w:bCs/>
          <w:szCs w:val="22"/>
        </w:rPr>
        <w:t xml:space="preserve"> submission</w:t>
      </w:r>
      <w:r w:rsidR="00D74DFF" w:rsidRPr="00B7446D">
        <w:rPr>
          <w:bCs/>
          <w:szCs w:val="22"/>
        </w:rPr>
        <w:t>, the re-submission was based on one head-to-head trial (CHEST-1</w:t>
      </w:r>
      <w:r w:rsidR="00B7446D" w:rsidRPr="00B7446D">
        <w:rPr>
          <w:bCs/>
          <w:szCs w:val="22"/>
        </w:rPr>
        <w:t>)</w:t>
      </w:r>
      <w:r w:rsidR="00D74DFF" w:rsidRPr="00B7446D">
        <w:rPr>
          <w:bCs/>
          <w:szCs w:val="22"/>
        </w:rPr>
        <w:t xml:space="preserve"> comparing riociguat to placebo and one supplementary </w:t>
      </w:r>
      <w:r w:rsidR="00B7446D" w:rsidRPr="00B7446D">
        <w:rPr>
          <w:bCs/>
          <w:szCs w:val="22"/>
        </w:rPr>
        <w:t>extension study</w:t>
      </w:r>
      <w:r w:rsidR="007905A9">
        <w:rPr>
          <w:bCs/>
          <w:szCs w:val="22"/>
        </w:rPr>
        <w:t xml:space="preserve"> (CHEST-2)</w:t>
      </w:r>
      <w:r w:rsidR="00B7446D" w:rsidRPr="00B7446D">
        <w:rPr>
          <w:bCs/>
          <w:szCs w:val="22"/>
        </w:rPr>
        <w:t>.</w:t>
      </w:r>
      <w:r w:rsidR="00DB488C">
        <w:rPr>
          <w:bCs/>
          <w:szCs w:val="22"/>
        </w:rPr>
        <w:t xml:space="preserve"> The PBAC noted the mean difference in 6MWD of 45.7 metres</w:t>
      </w:r>
      <w:r w:rsidR="00991483">
        <w:rPr>
          <w:bCs/>
          <w:szCs w:val="22"/>
        </w:rPr>
        <w:t xml:space="preserve"> for patients</w:t>
      </w:r>
      <w:r w:rsidR="00DB488C">
        <w:rPr>
          <w:bCs/>
          <w:szCs w:val="22"/>
        </w:rPr>
        <w:t xml:space="preserve"> </w:t>
      </w:r>
      <w:r w:rsidR="00991483">
        <w:rPr>
          <w:bCs/>
          <w:szCs w:val="22"/>
        </w:rPr>
        <w:t xml:space="preserve">treated with riociguat, compared with placebo, </w:t>
      </w:r>
      <w:r w:rsidR="00DB488C">
        <w:rPr>
          <w:bCs/>
          <w:szCs w:val="22"/>
        </w:rPr>
        <w:t xml:space="preserve">was within the </w:t>
      </w:r>
      <w:r w:rsidR="00037C0E">
        <w:rPr>
          <w:bCs/>
          <w:szCs w:val="22"/>
        </w:rPr>
        <w:t xml:space="preserve">previously accepted </w:t>
      </w:r>
      <w:r w:rsidR="00DB488C">
        <w:rPr>
          <w:bCs/>
          <w:szCs w:val="22"/>
        </w:rPr>
        <w:t xml:space="preserve">MCID of 35-50 metres. </w:t>
      </w:r>
      <w:r w:rsidR="00991483">
        <w:rPr>
          <w:bCs/>
          <w:szCs w:val="22"/>
        </w:rPr>
        <w:t>The PBAC further noted the statistically significant improvement of at least one WHO functional class associated with riociguat, compared with placebo.</w:t>
      </w:r>
      <w:r w:rsidR="00BA004B">
        <w:rPr>
          <w:bCs/>
          <w:szCs w:val="22"/>
        </w:rPr>
        <w:t xml:space="preserve"> </w:t>
      </w:r>
    </w:p>
    <w:p w:rsidR="00BA004B" w:rsidRDefault="00BA004B" w:rsidP="000A0288">
      <w:pPr>
        <w:pStyle w:val="ListParagraph"/>
        <w:widowControl/>
        <w:rPr>
          <w:bCs/>
          <w:szCs w:val="22"/>
        </w:rPr>
      </w:pPr>
    </w:p>
    <w:p w:rsidR="00BA004B" w:rsidRDefault="00BA004B" w:rsidP="000A0288">
      <w:pPr>
        <w:widowControl/>
        <w:numPr>
          <w:ilvl w:val="1"/>
          <w:numId w:val="2"/>
        </w:numPr>
        <w:rPr>
          <w:bCs/>
          <w:szCs w:val="22"/>
        </w:rPr>
      </w:pPr>
      <w:r>
        <w:rPr>
          <w:bCs/>
          <w:szCs w:val="22"/>
        </w:rPr>
        <w:t xml:space="preserve">The PBAC </w:t>
      </w:r>
      <w:r w:rsidR="00BC531D">
        <w:rPr>
          <w:bCs/>
          <w:szCs w:val="22"/>
        </w:rPr>
        <w:t xml:space="preserve">considered </w:t>
      </w:r>
      <w:r>
        <w:rPr>
          <w:bCs/>
          <w:szCs w:val="22"/>
        </w:rPr>
        <w:t xml:space="preserve">that </w:t>
      </w:r>
      <w:r w:rsidRPr="00BA004B">
        <w:rPr>
          <w:szCs w:val="22"/>
        </w:rPr>
        <w:t>changes in the 6MWD are likely to predict a survival gain but was not confident</w:t>
      </w:r>
      <w:r w:rsidR="000A0288">
        <w:rPr>
          <w:szCs w:val="22"/>
        </w:rPr>
        <w:t xml:space="preserve"> in the magnitude of the effect</w:t>
      </w:r>
      <w:r w:rsidRPr="00BA004B">
        <w:rPr>
          <w:szCs w:val="22"/>
        </w:rPr>
        <w:t xml:space="preserve">. </w:t>
      </w:r>
      <w:r w:rsidR="000A0288">
        <w:rPr>
          <w:szCs w:val="22"/>
        </w:rPr>
        <w:t>T</w:t>
      </w:r>
      <w:r w:rsidRPr="00BA004B">
        <w:rPr>
          <w:szCs w:val="22"/>
        </w:rPr>
        <w:t xml:space="preserve">he </w:t>
      </w:r>
      <w:r>
        <w:rPr>
          <w:szCs w:val="22"/>
        </w:rPr>
        <w:t>PBAC</w:t>
      </w:r>
      <w:r w:rsidRPr="00BA004B">
        <w:rPr>
          <w:szCs w:val="22"/>
        </w:rPr>
        <w:t xml:space="preserve"> considered that the claim of a relationship between changes in WHO </w:t>
      </w:r>
      <w:r w:rsidR="00130426">
        <w:rPr>
          <w:szCs w:val="22"/>
        </w:rPr>
        <w:t>functional class</w:t>
      </w:r>
      <w:r w:rsidRPr="00BA004B">
        <w:rPr>
          <w:szCs w:val="22"/>
        </w:rPr>
        <w:t xml:space="preserve"> and survival was not adequately supported and could not be quantified.</w:t>
      </w:r>
    </w:p>
    <w:p w:rsidR="006C16DC" w:rsidRDefault="006C16DC" w:rsidP="000A0288">
      <w:pPr>
        <w:pStyle w:val="ListParagraph"/>
        <w:widowControl/>
        <w:rPr>
          <w:szCs w:val="22"/>
        </w:rPr>
      </w:pPr>
    </w:p>
    <w:p w:rsidR="00E851D7" w:rsidRPr="00DA6237" w:rsidRDefault="006C16DC" w:rsidP="000A0288">
      <w:pPr>
        <w:widowControl/>
        <w:numPr>
          <w:ilvl w:val="1"/>
          <w:numId w:val="2"/>
        </w:numPr>
        <w:contextualSpacing/>
        <w:rPr>
          <w:bCs/>
          <w:szCs w:val="22"/>
          <w:lang w:val="en-GB"/>
        </w:rPr>
      </w:pPr>
      <w:r w:rsidRPr="00DA6237">
        <w:rPr>
          <w:bCs/>
          <w:szCs w:val="22"/>
          <w:lang w:val="en-GB"/>
        </w:rPr>
        <w:t>The PBAC noted the</w:t>
      </w:r>
      <w:r w:rsidR="00991483">
        <w:rPr>
          <w:bCs/>
          <w:szCs w:val="22"/>
          <w:lang w:val="en-GB"/>
        </w:rPr>
        <w:t xml:space="preserve"> sta</w:t>
      </w:r>
      <w:r w:rsidR="00130426">
        <w:rPr>
          <w:bCs/>
          <w:szCs w:val="22"/>
          <w:lang w:val="en-GB"/>
        </w:rPr>
        <w:t>tistically significant increase in</w:t>
      </w:r>
      <w:r w:rsidR="00991483">
        <w:rPr>
          <w:bCs/>
          <w:szCs w:val="22"/>
          <w:lang w:val="en-GB"/>
        </w:rPr>
        <w:t xml:space="preserve"> incidence of </w:t>
      </w:r>
      <w:r w:rsidR="00B7446D" w:rsidRPr="00DA6237">
        <w:rPr>
          <w:bCs/>
          <w:szCs w:val="22"/>
          <w:lang w:val="en-GB"/>
        </w:rPr>
        <w:t>dizziness and hypotension</w:t>
      </w:r>
      <w:r w:rsidR="00991483">
        <w:rPr>
          <w:bCs/>
          <w:szCs w:val="22"/>
          <w:lang w:val="en-GB"/>
        </w:rPr>
        <w:t xml:space="preserve"> in the riociguat treatment group, compared with placebo. In this regard, the PBAC considered that riociguat was inferior with regards to comparative safety, compared with placebo. However, the PBAC considered that these adverse events would be unlikely to deter patients with inoperable </w:t>
      </w:r>
      <w:r w:rsidR="00BC531D" w:rsidRPr="00DA6237">
        <w:rPr>
          <w:bCs/>
          <w:szCs w:val="22"/>
          <w:lang w:val="en-GB"/>
        </w:rPr>
        <w:t xml:space="preserve">CTEPH </w:t>
      </w:r>
      <w:r w:rsidR="00991483">
        <w:rPr>
          <w:bCs/>
          <w:szCs w:val="22"/>
          <w:lang w:val="en-GB"/>
        </w:rPr>
        <w:t xml:space="preserve">or persistent </w:t>
      </w:r>
      <w:r w:rsidR="00BC531D" w:rsidRPr="00DA6237">
        <w:rPr>
          <w:bCs/>
          <w:szCs w:val="22"/>
          <w:lang w:val="en-GB"/>
        </w:rPr>
        <w:t xml:space="preserve">CTEPH </w:t>
      </w:r>
      <w:r w:rsidR="00BC531D">
        <w:rPr>
          <w:bCs/>
          <w:szCs w:val="22"/>
          <w:lang w:val="en-GB"/>
        </w:rPr>
        <w:t xml:space="preserve">following PEA </w:t>
      </w:r>
      <w:r w:rsidRPr="00DA6237">
        <w:rPr>
          <w:bCs/>
          <w:szCs w:val="22"/>
          <w:lang w:val="en-GB"/>
        </w:rPr>
        <w:t>without other treatm</w:t>
      </w:r>
      <w:r w:rsidR="00B23704">
        <w:rPr>
          <w:bCs/>
          <w:szCs w:val="22"/>
          <w:lang w:val="en-GB"/>
        </w:rPr>
        <w:t>ent options</w:t>
      </w:r>
      <w:r w:rsidR="00531512">
        <w:rPr>
          <w:bCs/>
          <w:szCs w:val="22"/>
          <w:lang w:val="en-GB"/>
        </w:rPr>
        <w:t xml:space="preserve"> from being treated with riociguat</w:t>
      </w:r>
      <w:r w:rsidR="00D44392">
        <w:rPr>
          <w:bCs/>
          <w:szCs w:val="22"/>
          <w:lang w:val="en-GB"/>
        </w:rPr>
        <w:t>.</w:t>
      </w:r>
    </w:p>
    <w:p w:rsidR="007B2903" w:rsidRDefault="007B2903" w:rsidP="000A0288">
      <w:pPr>
        <w:widowControl/>
        <w:contextualSpacing/>
        <w:rPr>
          <w:bCs/>
          <w:szCs w:val="22"/>
          <w:lang w:val="en-GB"/>
        </w:rPr>
      </w:pPr>
    </w:p>
    <w:p w:rsidR="00FF1B3F" w:rsidRPr="00FF1B3F" w:rsidRDefault="00FF1B3F" w:rsidP="00FF1B3F">
      <w:pPr>
        <w:pStyle w:val="ListParagraph"/>
        <w:numPr>
          <w:ilvl w:val="1"/>
          <w:numId w:val="2"/>
        </w:numPr>
        <w:rPr>
          <w:bCs/>
          <w:szCs w:val="22"/>
          <w:lang w:val="en-GB"/>
        </w:rPr>
      </w:pPr>
      <w:r w:rsidRPr="00FF1B3F">
        <w:rPr>
          <w:bCs/>
          <w:szCs w:val="22"/>
          <w:lang w:val="en-GB"/>
        </w:rPr>
        <w:t xml:space="preserve">The </w:t>
      </w:r>
      <w:r>
        <w:rPr>
          <w:bCs/>
          <w:szCs w:val="22"/>
          <w:lang w:val="en-GB"/>
        </w:rPr>
        <w:t xml:space="preserve">PBAC noted that the model was structured on </w:t>
      </w:r>
      <w:r w:rsidRPr="00FF1B3F">
        <w:rPr>
          <w:bCs/>
          <w:szCs w:val="22"/>
          <w:lang w:val="en-GB"/>
        </w:rPr>
        <w:t>the basis of the relationship between WHO functional class and survival, whereas the trial was based on the 6MWD test. The PBAC agreed with ESC that this produced an underlying disconnect between the model and the clinical data, and considered that while there was some evidence to support the relationship between WHO functional class and survival gain, there was still considerable uncertainty regarding the survival gain associated with</w:t>
      </w:r>
      <w:r>
        <w:rPr>
          <w:bCs/>
          <w:szCs w:val="22"/>
          <w:lang w:val="en-GB"/>
        </w:rPr>
        <w:t xml:space="preserve"> improvements in th</w:t>
      </w:r>
      <w:r w:rsidR="00B66AAE">
        <w:rPr>
          <w:bCs/>
          <w:szCs w:val="22"/>
          <w:lang w:val="en-GB"/>
        </w:rPr>
        <w:t>is measure.</w:t>
      </w:r>
    </w:p>
    <w:p w:rsidR="00FF1B3F" w:rsidRDefault="00FF1B3F" w:rsidP="00FF1B3F">
      <w:pPr>
        <w:pStyle w:val="ListParagraph"/>
        <w:rPr>
          <w:bCs/>
          <w:szCs w:val="22"/>
          <w:lang w:val="en-GB"/>
        </w:rPr>
      </w:pPr>
    </w:p>
    <w:p w:rsidR="00CC591F" w:rsidRDefault="00125975" w:rsidP="000A0288">
      <w:pPr>
        <w:widowControl/>
        <w:numPr>
          <w:ilvl w:val="1"/>
          <w:numId w:val="2"/>
        </w:numPr>
        <w:contextualSpacing/>
        <w:rPr>
          <w:bCs/>
          <w:szCs w:val="22"/>
          <w:lang w:val="en-GB"/>
        </w:rPr>
      </w:pPr>
      <w:r>
        <w:rPr>
          <w:bCs/>
          <w:szCs w:val="22"/>
          <w:lang w:val="en-GB"/>
        </w:rPr>
        <w:t xml:space="preserve">The </w:t>
      </w:r>
      <w:r w:rsidR="00714A97">
        <w:rPr>
          <w:bCs/>
          <w:szCs w:val="22"/>
          <w:lang w:val="en-GB"/>
        </w:rPr>
        <w:t xml:space="preserve">PBAC </w:t>
      </w:r>
      <w:r w:rsidR="006B72FB">
        <w:rPr>
          <w:bCs/>
          <w:szCs w:val="22"/>
          <w:lang w:val="en-GB"/>
        </w:rPr>
        <w:t xml:space="preserve">considered that the economic analysis favoured riociguat, and </w:t>
      </w:r>
      <w:r w:rsidR="00CC591F">
        <w:rPr>
          <w:bCs/>
          <w:szCs w:val="22"/>
          <w:lang w:val="en-GB"/>
        </w:rPr>
        <w:t xml:space="preserve">agreed with </w:t>
      </w:r>
      <w:r w:rsidR="00FF1B3F">
        <w:rPr>
          <w:bCs/>
          <w:szCs w:val="22"/>
          <w:lang w:val="en-GB"/>
        </w:rPr>
        <w:t xml:space="preserve">the </w:t>
      </w:r>
      <w:r w:rsidR="00CC591F">
        <w:rPr>
          <w:bCs/>
          <w:szCs w:val="22"/>
          <w:lang w:val="en-GB"/>
        </w:rPr>
        <w:t>ESC that</w:t>
      </w:r>
      <w:r w:rsidR="00714A97">
        <w:rPr>
          <w:bCs/>
          <w:szCs w:val="22"/>
          <w:lang w:val="en-GB"/>
        </w:rPr>
        <w:t xml:space="preserve"> there was</w:t>
      </w:r>
      <w:r>
        <w:rPr>
          <w:bCs/>
          <w:szCs w:val="22"/>
          <w:lang w:val="en-GB"/>
        </w:rPr>
        <w:t xml:space="preserve"> uncertainty around a</w:t>
      </w:r>
      <w:r w:rsidR="00A61E5A">
        <w:rPr>
          <w:bCs/>
          <w:szCs w:val="22"/>
          <w:lang w:val="en-GB"/>
        </w:rPr>
        <w:t xml:space="preserve"> number of model parameters. In particular, the PBAC noted:</w:t>
      </w:r>
    </w:p>
    <w:p w:rsidR="00AA5D4A" w:rsidRPr="00E7159A" w:rsidRDefault="00AA5D4A" w:rsidP="000A0288">
      <w:pPr>
        <w:pStyle w:val="ListParagraph"/>
        <w:widowControl/>
        <w:numPr>
          <w:ilvl w:val="0"/>
          <w:numId w:val="1"/>
        </w:numPr>
        <w:ind w:left="993" w:hanging="284"/>
        <w:rPr>
          <w:bCs/>
          <w:szCs w:val="22"/>
          <w:lang w:val="en-GB"/>
        </w:rPr>
      </w:pPr>
      <w:r w:rsidRPr="00E7159A">
        <w:t xml:space="preserve">There were inadequate patient numbers (n≤10) to reliably determine transition probabilities and utilities associated with WHO functional class IV.  </w:t>
      </w:r>
    </w:p>
    <w:p w:rsidR="00051340" w:rsidRPr="00A61E5A" w:rsidRDefault="00A61E5A" w:rsidP="00051340">
      <w:pPr>
        <w:pStyle w:val="ListParagraph"/>
        <w:widowControl/>
        <w:numPr>
          <w:ilvl w:val="0"/>
          <w:numId w:val="1"/>
        </w:numPr>
        <w:ind w:left="993" w:hanging="284"/>
        <w:rPr>
          <w:bCs/>
          <w:szCs w:val="22"/>
          <w:lang w:val="en-GB"/>
        </w:rPr>
      </w:pPr>
      <w:r>
        <w:t>T</w:t>
      </w:r>
      <w:r w:rsidRPr="00A61E5A">
        <w:t xml:space="preserve">he magnitude of the change in the ICER </w:t>
      </w:r>
      <w:r>
        <w:t xml:space="preserve">(compared with the base case) </w:t>
      </w:r>
      <w:r w:rsidRPr="00A61E5A">
        <w:t xml:space="preserve">as a result of </w:t>
      </w:r>
      <w:r>
        <w:t>assuming</w:t>
      </w:r>
      <w:r w:rsidRPr="00A61E5A">
        <w:t xml:space="preserve"> that the costs of </w:t>
      </w:r>
      <w:proofErr w:type="spellStart"/>
      <w:r w:rsidRPr="00A61E5A">
        <w:t>bosentan</w:t>
      </w:r>
      <w:proofErr w:type="spellEnd"/>
      <w:r w:rsidRPr="00A61E5A">
        <w:t xml:space="preserve"> apply for 30% of placebo patients</w:t>
      </w:r>
      <w:r>
        <w:t xml:space="preserve"> in the revised model presented in the PSCR</w:t>
      </w:r>
      <w:r w:rsidRPr="00A61E5A">
        <w:t>.</w:t>
      </w:r>
      <w:r>
        <w:t xml:space="preserve"> The PBAC considered that</w:t>
      </w:r>
      <w:r w:rsidR="00B66AAE">
        <w:t xml:space="preserve"> as</w:t>
      </w:r>
      <w:r>
        <w:t xml:space="preserve"> this was </w:t>
      </w:r>
      <w:r>
        <w:lastRenderedPageBreak/>
        <w:t>an important driver of the model</w:t>
      </w:r>
      <w:r w:rsidR="00B66AAE">
        <w:t>,</w:t>
      </w:r>
      <w:r>
        <w:t xml:space="preserve"> </w:t>
      </w:r>
      <w:r w:rsidR="00B66AAE">
        <w:t xml:space="preserve">this </w:t>
      </w:r>
      <w:r>
        <w:t xml:space="preserve">major assumption </w:t>
      </w:r>
      <w:r w:rsidR="00B66AAE">
        <w:t xml:space="preserve">should have been </w:t>
      </w:r>
      <w:r w:rsidR="00DE240C">
        <w:t xml:space="preserve">better </w:t>
      </w:r>
      <w:r>
        <w:t>supported.</w:t>
      </w:r>
    </w:p>
    <w:p w:rsidR="00051340" w:rsidRDefault="00EE2418" w:rsidP="00051340">
      <w:pPr>
        <w:pStyle w:val="ListParagraph"/>
        <w:widowControl/>
        <w:numPr>
          <w:ilvl w:val="0"/>
          <w:numId w:val="1"/>
        </w:numPr>
        <w:ind w:left="993" w:hanging="284"/>
        <w:rPr>
          <w:bCs/>
          <w:szCs w:val="22"/>
          <w:lang w:val="en-GB"/>
        </w:rPr>
      </w:pPr>
      <w:r w:rsidRPr="00EE2418">
        <w:rPr>
          <w:bCs/>
          <w:szCs w:val="22"/>
          <w:lang w:val="en-GB"/>
        </w:rPr>
        <w:t>T</w:t>
      </w:r>
      <w:r w:rsidR="00051340" w:rsidRPr="00EE2418">
        <w:rPr>
          <w:bCs/>
          <w:szCs w:val="22"/>
          <w:lang w:val="en-GB"/>
        </w:rPr>
        <w:t>he assumption of ongoing treatment benefits for riociguat over 15 years</w:t>
      </w:r>
      <w:r w:rsidR="00E7159A">
        <w:rPr>
          <w:bCs/>
          <w:szCs w:val="22"/>
          <w:lang w:val="en-GB"/>
        </w:rPr>
        <w:t xml:space="preserve"> may not have been reasonable</w:t>
      </w:r>
      <w:r w:rsidR="00051340" w:rsidRPr="00EE2418">
        <w:rPr>
          <w:bCs/>
          <w:szCs w:val="22"/>
          <w:lang w:val="en-GB"/>
        </w:rPr>
        <w:t>.</w:t>
      </w:r>
    </w:p>
    <w:p w:rsidR="00063CEF" w:rsidRPr="00063CEF" w:rsidRDefault="00063CEF" w:rsidP="00063CEF">
      <w:pPr>
        <w:pStyle w:val="ListParagraph"/>
        <w:widowControl/>
        <w:numPr>
          <w:ilvl w:val="0"/>
          <w:numId w:val="1"/>
        </w:numPr>
        <w:ind w:left="993" w:hanging="284"/>
        <w:rPr>
          <w:bCs/>
          <w:szCs w:val="22"/>
          <w:lang w:val="en-GB"/>
        </w:rPr>
      </w:pPr>
      <w:r w:rsidRPr="00063CEF">
        <w:rPr>
          <w:bCs/>
          <w:szCs w:val="22"/>
          <w:lang w:val="en-GB"/>
        </w:rPr>
        <w:t>The use of placebo</w:t>
      </w:r>
      <w:r w:rsidRPr="00063CEF">
        <w:rPr>
          <w:szCs w:val="22"/>
        </w:rPr>
        <w:t xml:space="preserve"> survival estimates based on a non-surgical cohort from </w:t>
      </w:r>
      <w:proofErr w:type="spellStart"/>
      <w:r w:rsidRPr="00063CEF">
        <w:rPr>
          <w:szCs w:val="22"/>
        </w:rPr>
        <w:t>Condliffe</w:t>
      </w:r>
      <w:proofErr w:type="spellEnd"/>
      <w:r w:rsidRPr="00063CEF">
        <w:rPr>
          <w:szCs w:val="22"/>
        </w:rPr>
        <w:t xml:space="preserve"> 2008 which may have overestimated incremental difference in survival. The PBAC noted that there were several exclusions from the non-surgical cohort in </w:t>
      </w:r>
      <w:proofErr w:type="spellStart"/>
      <w:r w:rsidRPr="00063CEF">
        <w:rPr>
          <w:szCs w:val="22"/>
        </w:rPr>
        <w:t>Condliffe</w:t>
      </w:r>
      <w:proofErr w:type="spellEnd"/>
      <w:r w:rsidRPr="00063CEF">
        <w:rPr>
          <w:szCs w:val="22"/>
        </w:rPr>
        <w:t xml:space="preserve"> 2008 which suggested that survival in this group may not be representative of the relevant population.</w:t>
      </w:r>
    </w:p>
    <w:p w:rsidR="001871DD" w:rsidRDefault="001871DD" w:rsidP="000A0288">
      <w:pPr>
        <w:pStyle w:val="ListParagraph"/>
        <w:widowControl/>
        <w:rPr>
          <w:szCs w:val="22"/>
        </w:rPr>
      </w:pPr>
    </w:p>
    <w:p w:rsidR="001871DD" w:rsidRPr="00F945F3" w:rsidRDefault="00F945F3" w:rsidP="000A0288">
      <w:pPr>
        <w:widowControl/>
        <w:numPr>
          <w:ilvl w:val="1"/>
          <w:numId w:val="2"/>
        </w:numPr>
        <w:contextualSpacing/>
        <w:rPr>
          <w:szCs w:val="22"/>
        </w:rPr>
      </w:pPr>
      <w:r w:rsidRPr="00F945F3">
        <w:rPr>
          <w:szCs w:val="22"/>
        </w:rPr>
        <w:t xml:space="preserve">The PBAC noted that the financial implications assumed significant savings from reduction in the use of </w:t>
      </w:r>
      <w:proofErr w:type="spellStart"/>
      <w:r w:rsidRPr="00F945F3">
        <w:rPr>
          <w:szCs w:val="22"/>
        </w:rPr>
        <w:t>bosentan</w:t>
      </w:r>
      <w:proofErr w:type="spellEnd"/>
      <w:r w:rsidRPr="00F945F3">
        <w:rPr>
          <w:szCs w:val="22"/>
        </w:rPr>
        <w:t xml:space="preserve"> which may not be realised.</w:t>
      </w:r>
    </w:p>
    <w:p w:rsidR="00676148" w:rsidRDefault="00676148" w:rsidP="000A0288">
      <w:pPr>
        <w:widowControl/>
        <w:ind w:left="720"/>
        <w:contextualSpacing/>
        <w:rPr>
          <w:bCs/>
          <w:szCs w:val="22"/>
          <w:lang w:val="en-GB"/>
        </w:rPr>
      </w:pPr>
    </w:p>
    <w:p w:rsidR="00676148" w:rsidRPr="00C508B1" w:rsidRDefault="00676148" w:rsidP="000A0288">
      <w:pPr>
        <w:widowControl/>
        <w:numPr>
          <w:ilvl w:val="1"/>
          <w:numId w:val="2"/>
        </w:numPr>
        <w:contextualSpacing/>
        <w:rPr>
          <w:bCs/>
          <w:szCs w:val="22"/>
          <w:lang w:val="en-GB"/>
        </w:rPr>
      </w:pPr>
      <w:r w:rsidRPr="00C508B1">
        <w:rPr>
          <w:bCs/>
          <w:szCs w:val="22"/>
          <w:lang w:val="en-GB"/>
        </w:rPr>
        <w:t xml:space="preserve">The PBAC </w:t>
      </w:r>
      <w:r w:rsidR="00C508B1" w:rsidRPr="00C508B1">
        <w:rPr>
          <w:bCs/>
          <w:szCs w:val="22"/>
          <w:lang w:val="en-GB"/>
        </w:rPr>
        <w:t>considered that a major re-submission would be required to seek listing of riociguat for inoperable CTEPH and persistent CTEPH following surgery. The re</w:t>
      </w:r>
      <w:r w:rsidR="00C508B1">
        <w:rPr>
          <w:bCs/>
          <w:szCs w:val="22"/>
          <w:lang w:val="en-GB"/>
        </w:rPr>
        <w:noBreakHyphen/>
      </w:r>
      <w:r w:rsidR="00C508B1" w:rsidRPr="00C508B1">
        <w:rPr>
          <w:bCs/>
          <w:szCs w:val="22"/>
          <w:lang w:val="en-GB"/>
        </w:rPr>
        <w:t xml:space="preserve">submission should present a revised model that addresses the issues outlined in </w:t>
      </w:r>
      <w:r w:rsidR="00C508B1" w:rsidRPr="00A934CC">
        <w:rPr>
          <w:bCs/>
          <w:szCs w:val="22"/>
          <w:lang w:val="en-GB"/>
        </w:rPr>
        <w:t>paragraph</w:t>
      </w:r>
      <w:r w:rsidR="00EE2418" w:rsidRPr="00A934CC">
        <w:rPr>
          <w:bCs/>
          <w:szCs w:val="22"/>
          <w:lang w:val="en-GB"/>
        </w:rPr>
        <w:t>s 7.</w:t>
      </w:r>
      <w:r w:rsidR="00B85A7A" w:rsidRPr="00A934CC">
        <w:rPr>
          <w:bCs/>
          <w:szCs w:val="22"/>
          <w:lang w:val="en-GB"/>
        </w:rPr>
        <w:t>7</w:t>
      </w:r>
      <w:r w:rsidR="00E7159A" w:rsidRPr="00A934CC">
        <w:rPr>
          <w:bCs/>
          <w:szCs w:val="22"/>
          <w:lang w:val="en-GB"/>
        </w:rPr>
        <w:t>-7.</w:t>
      </w:r>
      <w:r w:rsidR="00B85A7A" w:rsidRPr="00A934CC">
        <w:rPr>
          <w:bCs/>
          <w:szCs w:val="22"/>
          <w:lang w:val="en-GB"/>
        </w:rPr>
        <w:t>8</w:t>
      </w:r>
      <w:r w:rsidR="00C508B1" w:rsidRPr="00A934CC">
        <w:rPr>
          <w:bCs/>
          <w:szCs w:val="22"/>
          <w:lang w:val="en-GB"/>
        </w:rPr>
        <w:t>.</w:t>
      </w:r>
    </w:p>
    <w:p w:rsidR="00111DCD" w:rsidRDefault="00111DCD" w:rsidP="000A0288">
      <w:pPr>
        <w:widowControl/>
        <w:contextualSpacing/>
        <w:rPr>
          <w:bCs/>
          <w:szCs w:val="22"/>
          <w:lang w:val="en-GB"/>
        </w:rPr>
      </w:pPr>
    </w:p>
    <w:p w:rsidR="008B018B" w:rsidRPr="00E851D7" w:rsidRDefault="008B018B" w:rsidP="000A0288">
      <w:pPr>
        <w:widowControl/>
        <w:numPr>
          <w:ilvl w:val="1"/>
          <w:numId w:val="2"/>
        </w:numPr>
        <w:contextualSpacing/>
        <w:rPr>
          <w:bCs/>
          <w:szCs w:val="22"/>
          <w:lang w:val="en-GB"/>
        </w:rPr>
      </w:pPr>
      <w:r>
        <w:rPr>
          <w:bCs/>
          <w:szCs w:val="22"/>
          <w:lang w:val="en-GB"/>
        </w:rPr>
        <w:t xml:space="preserve">The PBAC noted that this submission is eligible for an independent review. </w:t>
      </w:r>
    </w:p>
    <w:p w:rsidR="00A01A95" w:rsidRPr="006C307E" w:rsidRDefault="00A01A95" w:rsidP="000A0288">
      <w:pPr>
        <w:widowControl/>
        <w:rPr>
          <w:b/>
          <w:szCs w:val="22"/>
          <w:highlight w:val="yellow"/>
          <w:lang w:val="en-GB"/>
        </w:rPr>
      </w:pPr>
    </w:p>
    <w:p w:rsidR="00A01A95" w:rsidRPr="00E851D7" w:rsidRDefault="00A01A95" w:rsidP="000A0288">
      <w:pPr>
        <w:keepNext/>
        <w:widowControl/>
        <w:rPr>
          <w:b/>
          <w:bCs/>
          <w:szCs w:val="22"/>
          <w:lang w:val="en-GB"/>
        </w:rPr>
      </w:pPr>
      <w:r w:rsidRPr="00E851D7">
        <w:rPr>
          <w:b/>
          <w:bCs/>
          <w:szCs w:val="22"/>
          <w:lang w:val="en-GB"/>
        </w:rPr>
        <w:t>Outcome:</w:t>
      </w:r>
    </w:p>
    <w:p w:rsidR="00AD6411" w:rsidRDefault="00A01A95" w:rsidP="000A0288">
      <w:pPr>
        <w:widowControl/>
        <w:rPr>
          <w:bCs/>
          <w:szCs w:val="22"/>
          <w:lang w:val="en-GB"/>
        </w:rPr>
      </w:pPr>
      <w:r w:rsidRPr="00E851D7">
        <w:rPr>
          <w:bCs/>
          <w:szCs w:val="22"/>
          <w:lang w:val="en-GB"/>
        </w:rPr>
        <w:t>Rejected</w:t>
      </w:r>
    </w:p>
    <w:p w:rsidR="00E24AFE" w:rsidRDefault="00E24AFE" w:rsidP="000A0288">
      <w:pPr>
        <w:widowControl/>
        <w:rPr>
          <w:bCs/>
          <w:szCs w:val="22"/>
          <w:lang w:val="en-GB"/>
        </w:rPr>
      </w:pPr>
    </w:p>
    <w:p w:rsidR="00B20695" w:rsidRDefault="00B20695" w:rsidP="000A0288">
      <w:pPr>
        <w:widowControl/>
        <w:rPr>
          <w:bCs/>
          <w:szCs w:val="22"/>
          <w:lang w:val="en-GB"/>
        </w:rPr>
      </w:pPr>
    </w:p>
    <w:p w:rsidR="00E24AFE" w:rsidRDefault="00E24AFE" w:rsidP="00B24622">
      <w:pPr>
        <w:pStyle w:val="PBACHeading1"/>
      </w:pPr>
      <w:r w:rsidRPr="00D4420F">
        <w:t>Context for Decision</w:t>
      </w:r>
    </w:p>
    <w:p w:rsidR="00E24AFE" w:rsidRPr="00D4420F" w:rsidRDefault="00E24AFE" w:rsidP="00E24AFE">
      <w:pPr>
        <w:pStyle w:val="ListParagraph"/>
        <w:rPr>
          <w:b/>
        </w:rPr>
      </w:pPr>
    </w:p>
    <w:p w:rsidR="00E24AFE" w:rsidRPr="00E24AFE" w:rsidRDefault="00E24AFE" w:rsidP="00E24AFE">
      <w:pPr>
        <w:widowControl/>
        <w:numPr>
          <w:ilvl w:val="1"/>
          <w:numId w:val="2"/>
        </w:numPr>
        <w:contextualSpacing/>
        <w:rPr>
          <w:bCs/>
          <w:szCs w:val="22"/>
          <w:lang w:val="en-GB"/>
        </w:rPr>
      </w:pPr>
      <w:r w:rsidRPr="00E24AFE">
        <w:rPr>
          <w:bCs/>
          <w:szCs w:val="22"/>
          <w:lang w:val="en-GB"/>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24AFE" w:rsidRDefault="00E24AFE" w:rsidP="00E24AFE"/>
    <w:p w:rsidR="00E24AFE" w:rsidRPr="00D4420F" w:rsidRDefault="00E24AFE" w:rsidP="00E24AFE"/>
    <w:p w:rsidR="00E24AFE" w:rsidRPr="00B24622" w:rsidRDefault="00E24AFE" w:rsidP="00B24622">
      <w:pPr>
        <w:pStyle w:val="PBACHeading1"/>
      </w:pPr>
      <w:r w:rsidRPr="00B24622">
        <w:t>Sponsor’s Comment</w:t>
      </w:r>
    </w:p>
    <w:p w:rsidR="00E24AFE" w:rsidRDefault="00E24AFE" w:rsidP="000A0288">
      <w:pPr>
        <w:widowControl/>
      </w:pPr>
    </w:p>
    <w:p w:rsidR="00BB5DD3" w:rsidRPr="00BB5DD3" w:rsidRDefault="00BB5DD3" w:rsidP="00BB5DD3">
      <w:pPr>
        <w:widowControl/>
        <w:contextualSpacing/>
        <w:rPr>
          <w:bCs/>
          <w:szCs w:val="22"/>
        </w:rPr>
      </w:pPr>
      <w:r w:rsidRPr="00BB5DD3">
        <w:rPr>
          <w:bCs/>
          <w:szCs w:val="22"/>
        </w:rPr>
        <w:t>Bayer is disappointed by the PBAC decision, however will continue to work with the Department, PBAC and the medical community to progress the reimbursement of riociguat.</w:t>
      </w:r>
    </w:p>
    <w:p w:rsidR="00BB5DD3" w:rsidRPr="00BB5DD3" w:rsidRDefault="00BB5DD3" w:rsidP="00BB5DD3">
      <w:pPr>
        <w:widowControl/>
        <w:contextualSpacing/>
        <w:rPr>
          <w:bCs/>
          <w:szCs w:val="22"/>
        </w:rPr>
      </w:pPr>
      <w:r w:rsidRPr="00BB5DD3">
        <w:rPr>
          <w:bCs/>
          <w:szCs w:val="22"/>
        </w:rPr>
        <w:t xml:space="preserve"> </w:t>
      </w:r>
    </w:p>
    <w:p w:rsidR="00BB5DD3" w:rsidRPr="00BB5DD3" w:rsidRDefault="00BB5DD3" w:rsidP="00BB5DD3">
      <w:pPr>
        <w:widowControl/>
        <w:contextualSpacing/>
        <w:rPr>
          <w:bCs/>
          <w:szCs w:val="22"/>
        </w:rPr>
      </w:pPr>
      <w:r w:rsidRPr="00BB5DD3">
        <w:rPr>
          <w:bCs/>
          <w:szCs w:val="22"/>
        </w:rPr>
        <w:t xml:space="preserve">As noted in the outcome, transitions in </w:t>
      </w:r>
      <w:proofErr w:type="gramStart"/>
      <w:r w:rsidRPr="00BB5DD3">
        <w:rPr>
          <w:bCs/>
          <w:szCs w:val="22"/>
        </w:rPr>
        <w:t>WHO</w:t>
      </w:r>
      <w:proofErr w:type="gramEnd"/>
      <w:r w:rsidRPr="00BB5DD3">
        <w:rPr>
          <w:bCs/>
          <w:szCs w:val="22"/>
        </w:rPr>
        <w:t xml:space="preserve"> functional class were the basis of the health states modelled, this structure is consistent with the published health economic literature for cost-effectiveness analyses in pulmonary hypertension. Inoperable or persistent CTEPH is a rare orphan designated disease, which means there will always be intrinsic analytical challenges with the translation of RCT evidence to health economic modelling.</w:t>
      </w:r>
    </w:p>
    <w:p w:rsidR="00BB5DD3" w:rsidRPr="00BB5DD3" w:rsidRDefault="00BB5DD3" w:rsidP="00BB5DD3">
      <w:pPr>
        <w:widowControl/>
        <w:contextualSpacing/>
        <w:rPr>
          <w:bCs/>
          <w:szCs w:val="22"/>
        </w:rPr>
      </w:pPr>
      <w:r w:rsidRPr="00BB5DD3">
        <w:rPr>
          <w:bCs/>
          <w:szCs w:val="22"/>
        </w:rPr>
        <w:t xml:space="preserve"> </w:t>
      </w:r>
    </w:p>
    <w:p w:rsidR="00E24AFE" w:rsidRPr="00BB5DD3" w:rsidRDefault="00BB5DD3" w:rsidP="00BB5DD3">
      <w:pPr>
        <w:widowControl/>
        <w:contextualSpacing/>
        <w:rPr>
          <w:bCs/>
          <w:szCs w:val="22"/>
        </w:rPr>
      </w:pPr>
      <w:r w:rsidRPr="00BB5DD3">
        <w:rPr>
          <w:bCs/>
          <w:szCs w:val="22"/>
        </w:rPr>
        <w:t>Bayer will continue to work towards addressing the PBACs concerns and strive for solutions to bring subsidised therap</w:t>
      </w:r>
      <w:r>
        <w:rPr>
          <w:bCs/>
          <w:szCs w:val="22"/>
        </w:rPr>
        <w:t>y to Australian CTEPH patients.</w:t>
      </w:r>
    </w:p>
    <w:sectPr w:rsidR="00E24AFE" w:rsidRPr="00BB5DD3" w:rsidSect="00E21358">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ED871B" w15:done="0"/>
  <w15:commentEx w15:paraId="1D95A4A8" w15:done="0"/>
  <w15:commentEx w15:paraId="3075B5DD" w15:done="0"/>
  <w15:commentEx w15:paraId="111BD1DA" w15:done="0"/>
  <w15:commentEx w15:paraId="274A15AF" w15:done="0"/>
  <w15:commentEx w15:paraId="36C6A867" w15:done="0"/>
  <w15:commentEx w15:paraId="4A478096" w15:done="0"/>
  <w15:commentEx w15:paraId="246522BF" w15:done="0"/>
  <w15:commentEx w15:paraId="2DD7954E" w15:done="0"/>
  <w15:commentEx w15:paraId="435B658D" w15:done="0"/>
  <w15:commentEx w15:paraId="72CAED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87E" w:rsidRDefault="0011087E" w:rsidP="00124A51">
      <w:r>
        <w:separator/>
      </w:r>
    </w:p>
  </w:endnote>
  <w:endnote w:type="continuationSeparator" w:id="0">
    <w:p w:rsidR="0011087E" w:rsidRDefault="0011087E"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87E" w:rsidRDefault="001108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1A" w:rsidRPr="00D13A3E" w:rsidRDefault="0056291A" w:rsidP="00301710">
    <w:pPr>
      <w:ind w:right="360"/>
      <w:jc w:val="center"/>
      <w:rPr>
        <w:b/>
        <w:sz w:val="20"/>
      </w:rPr>
    </w:pPr>
  </w:p>
  <w:p w:rsidR="0056291A" w:rsidRPr="006A795E" w:rsidRDefault="0056291A" w:rsidP="006A795E">
    <w:pPr>
      <w:pStyle w:val="Footer"/>
      <w:ind w:left="360"/>
      <w:jc w:val="center"/>
      <w:rPr>
        <w:sz w:val="20"/>
        <w:szCs w:val="20"/>
      </w:rPr>
    </w:pPr>
    <w:r w:rsidRPr="00651169">
      <w:rPr>
        <w:sz w:val="20"/>
        <w:szCs w:val="20"/>
      </w:rPr>
      <w:fldChar w:fldCharType="begin"/>
    </w:r>
    <w:r w:rsidRPr="00651169">
      <w:rPr>
        <w:sz w:val="20"/>
        <w:szCs w:val="20"/>
      </w:rPr>
      <w:instrText xml:space="preserve"> PAGE   \* MERGEFORMAT </w:instrText>
    </w:r>
    <w:r w:rsidRPr="00651169">
      <w:rPr>
        <w:sz w:val="20"/>
        <w:szCs w:val="20"/>
      </w:rPr>
      <w:fldChar w:fldCharType="separate"/>
    </w:r>
    <w:r w:rsidR="00F66719">
      <w:rPr>
        <w:noProof/>
        <w:sz w:val="20"/>
        <w:szCs w:val="20"/>
      </w:rPr>
      <w:t>1</w:t>
    </w:r>
    <w:r w:rsidRPr="00651169">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87E" w:rsidRDefault="001108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87E" w:rsidRDefault="0011087E" w:rsidP="00124A51">
      <w:r>
        <w:separator/>
      </w:r>
    </w:p>
  </w:footnote>
  <w:footnote w:type="continuationSeparator" w:id="0">
    <w:p w:rsidR="0011087E" w:rsidRDefault="0011087E" w:rsidP="00124A51">
      <w:r>
        <w:continuationSeparator/>
      </w:r>
    </w:p>
  </w:footnote>
  <w:footnote w:id="1">
    <w:p w:rsidR="0056291A" w:rsidRPr="006E61E0" w:rsidRDefault="0056291A" w:rsidP="002F36A9">
      <w:pPr>
        <w:pStyle w:val="FootnoteText"/>
        <w:rPr>
          <w:rFonts w:ascii="Arial Narrow" w:hAnsi="Arial Narrow"/>
        </w:rPr>
      </w:pPr>
      <w:r w:rsidRPr="006E61E0">
        <w:rPr>
          <w:rStyle w:val="FootnoteReference"/>
          <w:rFonts w:ascii="Arial Narrow" w:hAnsi="Arial Narrow"/>
          <w:sz w:val="18"/>
        </w:rPr>
        <w:footnoteRef/>
      </w:r>
      <w:r w:rsidRPr="006E61E0">
        <w:rPr>
          <w:rFonts w:ascii="Arial Narrow" w:hAnsi="Arial Narrow"/>
          <w:sz w:val="18"/>
        </w:rPr>
        <w:t xml:space="preserve"> Although the re-submission claimed a significant difference for headache, this was not reflected in the statistical analyses (RR=1.96, 95% CI 0.89, 4.33; RD%=7.7, 95% CI: -0.17, 15.4).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87E" w:rsidRDefault="001108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1A" w:rsidRPr="00DF217D" w:rsidRDefault="0056291A" w:rsidP="00E66A98">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July 2015 </w:t>
    </w:r>
    <w:r w:rsidRPr="00DF217D">
      <w:rPr>
        <w:i/>
        <w:color w:val="808080"/>
      </w:rPr>
      <w:t>PBAC</w:t>
    </w:r>
    <w:r>
      <w:rPr>
        <w:i/>
        <w:color w:val="808080"/>
      </w:rPr>
      <w:t xml:space="preserve"> </w:t>
    </w:r>
    <w:r w:rsidRPr="00DF217D">
      <w:rPr>
        <w:i/>
        <w:color w:val="808080"/>
      </w:rPr>
      <w:t>Meeting</w:t>
    </w:r>
  </w:p>
  <w:p w:rsidR="0056291A" w:rsidRDefault="005629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87E" w:rsidRDefault="00110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816"/>
    <w:multiLevelType w:val="hybridMultilevel"/>
    <w:tmpl w:val="3120F1B8"/>
    <w:lvl w:ilvl="0" w:tplc="0C090003">
      <w:start w:val="1"/>
      <w:numFmt w:val="bullet"/>
      <w:lvlText w:val="o"/>
      <w:lvlJc w:val="left"/>
      <w:pPr>
        <w:ind w:left="360" w:hanging="360"/>
      </w:pPr>
      <w:rPr>
        <w:rFonts w:ascii="Courier New" w:hAnsi="Courier New" w:cs="Courier New" w:hint="default"/>
      </w:rPr>
    </w:lvl>
    <w:lvl w:ilvl="1" w:tplc="F488CFD6">
      <w:numFmt w:val="bullet"/>
      <w:lvlText w:val="-"/>
      <w:lvlJc w:val="left"/>
      <w:pPr>
        <w:ind w:left="1080" w:hanging="360"/>
      </w:pPr>
      <w:rPr>
        <w:rFonts w:ascii="Times New Roman" w:eastAsia="Times New Roman" w:hAnsi="Times New Roman"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30A581E"/>
    <w:multiLevelType w:val="hybridMultilevel"/>
    <w:tmpl w:val="8B4E92FC"/>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359152D"/>
    <w:multiLevelType w:val="hybridMultilevel"/>
    <w:tmpl w:val="363E589E"/>
    <w:lvl w:ilvl="0" w:tplc="0C090001">
      <w:start w:val="1"/>
      <w:numFmt w:val="bullet"/>
      <w:lvlText w:val=""/>
      <w:lvlJc w:val="left"/>
      <w:pPr>
        <w:ind w:left="360" w:hanging="360"/>
      </w:pPr>
      <w:rPr>
        <w:rFonts w:ascii="Symbol" w:hAnsi="Symbol" w:hint="default"/>
      </w:rPr>
    </w:lvl>
    <w:lvl w:ilvl="1" w:tplc="F488CFD6">
      <w:numFmt w:val="bullet"/>
      <w:lvlText w:val="-"/>
      <w:lvlJc w:val="left"/>
      <w:pPr>
        <w:ind w:left="1080" w:hanging="360"/>
      </w:pPr>
      <w:rPr>
        <w:rFonts w:ascii="Times New Roman" w:eastAsia="Times New Roman" w:hAnsi="Times New Roman"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23D4"/>
    <w:multiLevelType w:val="multilevel"/>
    <w:tmpl w:val="5F6AE5A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B1B2327"/>
    <w:multiLevelType w:val="hybridMultilevel"/>
    <w:tmpl w:val="6A580AEC"/>
    <w:lvl w:ilvl="0" w:tplc="04090001">
      <w:start w:val="1"/>
      <w:numFmt w:val="bullet"/>
      <w:lvlText w:val=""/>
      <w:lvlJc w:val="left"/>
      <w:pPr>
        <w:ind w:left="625" w:hanging="360"/>
      </w:pPr>
      <w:rPr>
        <w:rFonts w:ascii="Symbol" w:hAnsi="Symbol" w:hint="default"/>
      </w:rPr>
    </w:lvl>
    <w:lvl w:ilvl="1" w:tplc="04090003" w:tentative="1">
      <w:start w:val="1"/>
      <w:numFmt w:val="bullet"/>
      <w:lvlText w:val="o"/>
      <w:lvlJc w:val="left"/>
      <w:pPr>
        <w:ind w:left="1345" w:hanging="360"/>
      </w:pPr>
      <w:rPr>
        <w:rFonts w:ascii="Courier New" w:hAnsi="Courier New" w:hint="default"/>
      </w:rPr>
    </w:lvl>
    <w:lvl w:ilvl="2" w:tplc="04090005" w:tentative="1">
      <w:start w:val="1"/>
      <w:numFmt w:val="bullet"/>
      <w:lvlText w:val=""/>
      <w:lvlJc w:val="left"/>
      <w:pPr>
        <w:ind w:left="2065" w:hanging="360"/>
      </w:pPr>
      <w:rPr>
        <w:rFonts w:ascii="Wingdings" w:hAnsi="Wingdings" w:hint="default"/>
      </w:rPr>
    </w:lvl>
    <w:lvl w:ilvl="3" w:tplc="04090001" w:tentative="1">
      <w:start w:val="1"/>
      <w:numFmt w:val="bullet"/>
      <w:lvlText w:val=""/>
      <w:lvlJc w:val="left"/>
      <w:pPr>
        <w:ind w:left="2785" w:hanging="360"/>
      </w:pPr>
      <w:rPr>
        <w:rFonts w:ascii="Symbol" w:hAnsi="Symbol" w:hint="default"/>
      </w:rPr>
    </w:lvl>
    <w:lvl w:ilvl="4" w:tplc="04090003" w:tentative="1">
      <w:start w:val="1"/>
      <w:numFmt w:val="bullet"/>
      <w:lvlText w:val="o"/>
      <w:lvlJc w:val="left"/>
      <w:pPr>
        <w:ind w:left="3505" w:hanging="360"/>
      </w:pPr>
      <w:rPr>
        <w:rFonts w:ascii="Courier New" w:hAnsi="Courier New" w:hint="default"/>
      </w:rPr>
    </w:lvl>
    <w:lvl w:ilvl="5" w:tplc="04090005" w:tentative="1">
      <w:start w:val="1"/>
      <w:numFmt w:val="bullet"/>
      <w:lvlText w:val=""/>
      <w:lvlJc w:val="left"/>
      <w:pPr>
        <w:ind w:left="4225" w:hanging="360"/>
      </w:pPr>
      <w:rPr>
        <w:rFonts w:ascii="Wingdings" w:hAnsi="Wingdings" w:hint="default"/>
      </w:rPr>
    </w:lvl>
    <w:lvl w:ilvl="6" w:tplc="04090001" w:tentative="1">
      <w:start w:val="1"/>
      <w:numFmt w:val="bullet"/>
      <w:lvlText w:val=""/>
      <w:lvlJc w:val="left"/>
      <w:pPr>
        <w:ind w:left="4945" w:hanging="360"/>
      </w:pPr>
      <w:rPr>
        <w:rFonts w:ascii="Symbol" w:hAnsi="Symbol" w:hint="default"/>
      </w:rPr>
    </w:lvl>
    <w:lvl w:ilvl="7" w:tplc="04090003" w:tentative="1">
      <w:start w:val="1"/>
      <w:numFmt w:val="bullet"/>
      <w:lvlText w:val="o"/>
      <w:lvlJc w:val="left"/>
      <w:pPr>
        <w:ind w:left="5665" w:hanging="360"/>
      </w:pPr>
      <w:rPr>
        <w:rFonts w:ascii="Courier New" w:hAnsi="Courier New" w:hint="default"/>
      </w:rPr>
    </w:lvl>
    <w:lvl w:ilvl="8" w:tplc="04090005" w:tentative="1">
      <w:start w:val="1"/>
      <w:numFmt w:val="bullet"/>
      <w:lvlText w:val=""/>
      <w:lvlJc w:val="left"/>
      <w:pPr>
        <w:ind w:left="6385" w:hanging="360"/>
      </w:pPr>
      <w:rPr>
        <w:rFonts w:ascii="Wingdings" w:hAnsi="Wingdings" w:hint="default"/>
      </w:rPr>
    </w:lvl>
  </w:abstractNum>
  <w:abstractNum w:abstractNumId="6">
    <w:nsid w:val="1DB67F96"/>
    <w:multiLevelType w:val="hybridMultilevel"/>
    <w:tmpl w:val="FFC4A362"/>
    <w:lvl w:ilvl="0" w:tplc="0C090003">
      <w:start w:val="1"/>
      <w:numFmt w:val="bullet"/>
      <w:lvlText w:val="o"/>
      <w:lvlJc w:val="left"/>
      <w:pPr>
        <w:ind w:left="360" w:hanging="360"/>
      </w:pPr>
      <w:rPr>
        <w:rFonts w:ascii="Courier New" w:hAnsi="Courier New" w:cs="Courier New" w:hint="default"/>
      </w:rPr>
    </w:lvl>
    <w:lvl w:ilvl="1" w:tplc="F488CFD6">
      <w:numFmt w:val="bullet"/>
      <w:lvlText w:val="-"/>
      <w:lvlJc w:val="left"/>
      <w:pPr>
        <w:ind w:left="1080" w:hanging="360"/>
      </w:pPr>
      <w:rPr>
        <w:rFonts w:ascii="Times New Roman" w:eastAsia="Times New Roman" w:hAnsi="Times New Roman"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8C96EA8"/>
    <w:multiLevelType w:val="hybridMultilevel"/>
    <w:tmpl w:val="02F4A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E8387A"/>
    <w:multiLevelType w:val="hybridMultilevel"/>
    <w:tmpl w:val="B28C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2437A6F"/>
    <w:multiLevelType w:val="hybridMultilevel"/>
    <w:tmpl w:val="828801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33770A39"/>
    <w:multiLevelType w:val="hybridMultilevel"/>
    <w:tmpl w:val="BE02C95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4875B11"/>
    <w:multiLevelType w:val="hybridMultilevel"/>
    <w:tmpl w:val="D3C6CF0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950647E"/>
    <w:multiLevelType w:val="hybridMultilevel"/>
    <w:tmpl w:val="12E8BC9E"/>
    <w:lvl w:ilvl="0" w:tplc="79D08E6C">
      <w:start w:val="1"/>
      <w:numFmt w:val="bullet"/>
      <w:lvlText w:val="•"/>
      <w:lvlJc w:val="left"/>
      <w:pPr>
        <w:tabs>
          <w:tab w:val="num" w:pos="720"/>
        </w:tabs>
        <w:ind w:left="720" w:hanging="360"/>
      </w:pPr>
      <w:rPr>
        <w:rFonts w:ascii="Arial" w:hAnsi="Arial" w:hint="default"/>
      </w:rPr>
    </w:lvl>
    <w:lvl w:ilvl="1" w:tplc="39F03100" w:tentative="1">
      <w:start w:val="1"/>
      <w:numFmt w:val="bullet"/>
      <w:lvlText w:val="•"/>
      <w:lvlJc w:val="left"/>
      <w:pPr>
        <w:tabs>
          <w:tab w:val="num" w:pos="1440"/>
        </w:tabs>
        <w:ind w:left="1440" w:hanging="360"/>
      </w:pPr>
      <w:rPr>
        <w:rFonts w:ascii="Arial" w:hAnsi="Arial" w:hint="default"/>
      </w:rPr>
    </w:lvl>
    <w:lvl w:ilvl="2" w:tplc="1B66810C" w:tentative="1">
      <w:start w:val="1"/>
      <w:numFmt w:val="bullet"/>
      <w:lvlText w:val="•"/>
      <w:lvlJc w:val="left"/>
      <w:pPr>
        <w:tabs>
          <w:tab w:val="num" w:pos="2160"/>
        </w:tabs>
        <w:ind w:left="2160" w:hanging="360"/>
      </w:pPr>
      <w:rPr>
        <w:rFonts w:ascii="Arial" w:hAnsi="Arial" w:hint="default"/>
      </w:rPr>
    </w:lvl>
    <w:lvl w:ilvl="3" w:tplc="3F2AB6EE" w:tentative="1">
      <w:start w:val="1"/>
      <w:numFmt w:val="bullet"/>
      <w:lvlText w:val="•"/>
      <w:lvlJc w:val="left"/>
      <w:pPr>
        <w:tabs>
          <w:tab w:val="num" w:pos="2880"/>
        </w:tabs>
        <w:ind w:left="2880" w:hanging="360"/>
      </w:pPr>
      <w:rPr>
        <w:rFonts w:ascii="Arial" w:hAnsi="Arial" w:hint="default"/>
      </w:rPr>
    </w:lvl>
    <w:lvl w:ilvl="4" w:tplc="800841AE" w:tentative="1">
      <w:start w:val="1"/>
      <w:numFmt w:val="bullet"/>
      <w:lvlText w:val="•"/>
      <w:lvlJc w:val="left"/>
      <w:pPr>
        <w:tabs>
          <w:tab w:val="num" w:pos="3600"/>
        </w:tabs>
        <w:ind w:left="3600" w:hanging="360"/>
      </w:pPr>
      <w:rPr>
        <w:rFonts w:ascii="Arial" w:hAnsi="Arial" w:hint="default"/>
      </w:rPr>
    </w:lvl>
    <w:lvl w:ilvl="5" w:tplc="1068DE8C" w:tentative="1">
      <w:start w:val="1"/>
      <w:numFmt w:val="bullet"/>
      <w:lvlText w:val="•"/>
      <w:lvlJc w:val="left"/>
      <w:pPr>
        <w:tabs>
          <w:tab w:val="num" w:pos="4320"/>
        </w:tabs>
        <w:ind w:left="4320" w:hanging="360"/>
      </w:pPr>
      <w:rPr>
        <w:rFonts w:ascii="Arial" w:hAnsi="Arial" w:hint="default"/>
      </w:rPr>
    </w:lvl>
    <w:lvl w:ilvl="6" w:tplc="3CA4B4EE" w:tentative="1">
      <w:start w:val="1"/>
      <w:numFmt w:val="bullet"/>
      <w:lvlText w:val="•"/>
      <w:lvlJc w:val="left"/>
      <w:pPr>
        <w:tabs>
          <w:tab w:val="num" w:pos="5040"/>
        </w:tabs>
        <w:ind w:left="5040" w:hanging="360"/>
      </w:pPr>
      <w:rPr>
        <w:rFonts w:ascii="Arial" w:hAnsi="Arial" w:hint="default"/>
      </w:rPr>
    </w:lvl>
    <w:lvl w:ilvl="7" w:tplc="C76AD1EA" w:tentative="1">
      <w:start w:val="1"/>
      <w:numFmt w:val="bullet"/>
      <w:lvlText w:val="•"/>
      <w:lvlJc w:val="left"/>
      <w:pPr>
        <w:tabs>
          <w:tab w:val="num" w:pos="5760"/>
        </w:tabs>
        <w:ind w:left="5760" w:hanging="360"/>
      </w:pPr>
      <w:rPr>
        <w:rFonts w:ascii="Arial" w:hAnsi="Arial" w:hint="default"/>
      </w:rPr>
    </w:lvl>
    <w:lvl w:ilvl="8" w:tplc="BF06FE9E" w:tentative="1">
      <w:start w:val="1"/>
      <w:numFmt w:val="bullet"/>
      <w:lvlText w:val="•"/>
      <w:lvlJc w:val="left"/>
      <w:pPr>
        <w:tabs>
          <w:tab w:val="num" w:pos="6480"/>
        </w:tabs>
        <w:ind w:left="6480" w:hanging="360"/>
      </w:pPr>
      <w:rPr>
        <w:rFonts w:ascii="Arial" w:hAnsi="Arial" w:hint="default"/>
      </w:rPr>
    </w:lvl>
  </w:abstractNum>
  <w:abstractNum w:abstractNumId="13">
    <w:nsid w:val="40E256EE"/>
    <w:multiLevelType w:val="hybridMultilevel"/>
    <w:tmpl w:val="63401C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nsid w:val="46E61640"/>
    <w:multiLevelType w:val="hybridMultilevel"/>
    <w:tmpl w:val="821AA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0952F7D"/>
    <w:multiLevelType w:val="hybridMultilevel"/>
    <w:tmpl w:val="223EEC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7">
    <w:nsid w:val="57162DBD"/>
    <w:multiLevelType w:val="hybridMultilevel"/>
    <w:tmpl w:val="D7E05C78"/>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C5B5305"/>
    <w:multiLevelType w:val="hybridMultilevel"/>
    <w:tmpl w:val="7F94E98E"/>
    <w:lvl w:ilvl="0" w:tplc="F488CFD6">
      <w:numFmt w:val="bullet"/>
      <w:lvlText w:val="-"/>
      <w:lvlJc w:val="left"/>
      <w:pPr>
        <w:ind w:left="360" w:hanging="360"/>
      </w:pPr>
      <w:rPr>
        <w:rFonts w:ascii="Times New Roman" w:eastAsia="Times New Roman" w:hAnsi="Times New Roman" w:cs="Times New Roman"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nsid w:val="633E7CAC"/>
    <w:multiLevelType w:val="hybridMultilevel"/>
    <w:tmpl w:val="4EB01CA2"/>
    <w:lvl w:ilvl="0" w:tplc="F488CFD6">
      <w:numFmt w:val="bullet"/>
      <w:lvlText w:val="-"/>
      <w:lvlJc w:val="left"/>
      <w:pPr>
        <w:ind w:left="360" w:hanging="360"/>
      </w:pPr>
      <w:rPr>
        <w:rFonts w:ascii="Times New Roman" w:eastAsia="Times New Roman" w:hAnsi="Times New Roman" w:cs="Times New Roman"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5FB09F6"/>
    <w:multiLevelType w:val="hybridMultilevel"/>
    <w:tmpl w:val="ADBCA15A"/>
    <w:lvl w:ilvl="0" w:tplc="086A39DE">
      <w:start w:val="1"/>
      <w:numFmt w:val="bullet"/>
      <w:lvlText w:val="-"/>
      <w:lvlJc w:val="left"/>
      <w:pPr>
        <w:ind w:left="360" w:hanging="360"/>
      </w:pPr>
      <w:rPr>
        <w:rFonts w:ascii="Courier New" w:hAnsi="Courier New" w:hint="default"/>
      </w:rPr>
    </w:lvl>
    <w:lvl w:ilvl="1" w:tplc="F488CFD6">
      <w:numFmt w:val="bullet"/>
      <w:lvlText w:val="-"/>
      <w:lvlJc w:val="left"/>
      <w:pPr>
        <w:ind w:left="1080" w:hanging="360"/>
      </w:pPr>
      <w:rPr>
        <w:rFonts w:ascii="Times New Roman" w:eastAsia="Times New Roman" w:hAnsi="Times New Roman"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B516359"/>
    <w:multiLevelType w:val="hybridMultilevel"/>
    <w:tmpl w:val="2B1C46C8"/>
    <w:lvl w:ilvl="0" w:tplc="F488CFD6">
      <w:numFmt w:val="bullet"/>
      <w:lvlText w:val="-"/>
      <w:lvlJc w:val="left"/>
      <w:pPr>
        <w:ind w:left="360" w:hanging="360"/>
      </w:pPr>
      <w:rPr>
        <w:rFonts w:ascii="Times New Roman" w:eastAsia="Times New Roman" w:hAnsi="Times New Roman" w:cs="Times New Roman" w:hint="default"/>
      </w:rPr>
    </w:lvl>
    <w:lvl w:ilvl="1" w:tplc="F488CFD6">
      <w:numFmt w:val="bullet"/>
      <w:lvlText w:val="-"/>
      <w:lvlJc w:val="left"/>
      <w:pPr>
        <w:ind w:left="1080" w:hanging="360"/>
      </w:pPr>
      <w:rPr>
        <w:rFonts w:ascii="Times New Roman" w:eastAsia="Times New Roman" w:hAnsi="Times New Roman"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nsid w:val="6B737805"/>
    <w:multiLevelType w:val="hybridMultilevel"/>
    <w:tmpl w:val="BE02C95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BB12AEF"/>
    <w:multiLevelType w:val="hybridMultilevel"/>
    <w:tmpl w:val="9D98443A"/>
    <w:lvl w:ilvl="0" w:tplc="0C090001">
      <w:start w:val="1"/>
      <w:numFmt w:val="bullet"/>
      <w:lvlText w:val=""/>
      <w:lvlJc w:val="left"/>
      <w:pPr>
        <w:ind w:left="360" w:hanging="360"/>
      </w:pPr>
      <w:rPr>
        <w:rFonts w:ascii="Symbol" w:hAnsi="Symbol" w:hint="default"/>
      </w:rPr>
    </w:lvl>
    <w:lvl w:ilvl="1" w:tplc="F488CFD6">
      <w:numFmt w:val="bullet"/>
      <w:lvlText w:val="-"/>
      <w:lvlJc w:val="left"/>
      <w:pPr>
        <w:ind w:left="1080" w:hanging="360"/>
      </w:pPr>
      <w:rPr>
        <w:rFonts w:ascii="Times New Roman" w:eastAsia="Times New Roman" w:hAnsi="Times New Roman"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DB7549B"/>
    <w:multiLevelType w:val="hybridMultilevel"/>
    <w:tmpl w:val="24D439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70372FBE"/>
    <w:multiLevelType w:val="hybridMultilevel"/>
    <w:tmpl w:val="9C248056"/>
    <w:lvl w:ilvl="0" w:tplc="0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1C453B"/>
    <w:multiLevelType w:val="hybridMultilevel"/>
    <w:tmpl w:val="64ACA0B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77AD67E9"/>
    <w:multiLevelType w:val="hybridMultilevel"/>
    <w:tmpl w:val="4F862A46"/>
    <w:lvl w:ilvl="0" w:tplc="0C090001">
      <w:start w:val="1"/>
      <w:numFmt w:val="bullet"/>
      <w:lvlText w:val=""/>
      <w:lvlJc w:val="left"/>
      <w:pPr>
        <w:ind w:left="360" w:hanging="360"/>
      </w:pPr>
      <w:rPr>
        <w:rFonts w:ascii="Symbol" w:hAnsi="Symbol" w:hint="default"/>
      </w:rPr>
    </w:lvl>
    <w:lvl w:ilvl="1" w:tplc="086A39DE">
      <w:start w:val="1"/>
      <w:numFmt w:val="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84D033C"/>
    <w:multiLevelType w:val="multilevel"/>
    <w:tmpl w:val="0B7CE45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90C1FB9"/>
    <w:multiLevelType w:val="hybridMultilevel"/>
    <w:tmpl w:val="67A0F95C"/>
    <w:lvl w:ilvl="0" w:tplc="D2129B6C">
      <w:start w:val="1"/>
      <w:numFmt w:val="bullet"/>
      <w:lvlText w:val="•"/>
      <w:lvlJc w:val="left"/>
      <w:pPr>
        <w:tabs>
          <w:tab w:val="num" w:pos="720"/>
        </w:tabs>
        <w:ind w:left="720" w:hanging="360"/>
      </w:pPr>
      <w:rPr>
        <w:rFonts w:ascii="Arial" w:hAnsi="Arial" w:hint="default"/>
      </w:rPr>
    </w:lvl>
    <w:lvl w:ilvl="1" w:tplc="E91EC394" w:tentative="1">
      <w:start w:val="1"/>
      <w:numFmt w:val="bullet"/>
      <w:lvlText w:val="•"/>
      <w:lvlJc w:val="left"/>
      <w:pPr>
        <w:tabs>
          <w:tab w:val="num" w:pos="1440"/>
        </w:tabs>
        <w:ind w:left="1440" w:hanging="360"/>
      </w:pPr>
      <w:rPr>
        <w:rFonts w:ascii="Arial" w:hAnsi="Arial" w:hint="default"/>
      </w:rPr>
    </w:lvl>
    <w:lvl w:ilvl="2" w:tplc="8A86DD96" w:tentative="1">
      <w:start w:val="1"/>
      <w:numFmt w:val="bullet"/>
      <w:lvlText w:val="•"/>
      <w:lvlJc w:val="left"/>
      <w:pPr>
        <w:tabs>
          <w:tab w:val="num" w:pos="2160"/>
        </w:tabs>
        <w:ind w:left="2160" w:hanging="360"/>
      </w:pPr>
      <w:rPr>
        <w:rFonts w:ascii="Arial" w:hAnsi="Arial" w:hint="default"/>
      </w:rPr>
    </w:lvl>
    <w:lvl w:ilvl="3" w:tplc="4C363520" w:tentative="1">
      <w:start w:val="1"/>
      <w:numFmt w:val="bullet"/>
      <w:lvlText w:val="•"/>
      <w:lvlJc w:val="left"/>
      <w:pPr>
        <w:tabs>
          <w:tab w:val="num" w:pos="2880"/>
        </w:tabs>
        <w:ind w:left="2880" w:hanging="360"/>
      </w:pPr>
      <w:rPr>
        <w:rFonts w:ascii="Arial" w:hAnsi="Arial" w:hint="default"/>
      </w:rPr>
    </w:lvl>
    <w:lvl w:ilvl="4" w:tplc="6A56E188" w:tentative="1">
      <w:start w:val="1"/>
      <w:numFmt w:val="bullet"/>
      <w:lvlText w:val="•"/>
      <w:lvlJc w:val="left"/>
      <w:pPr>
        <w:tabs>
          <w:tab w:val="num" w:pos="3600"/>
        </w:tabs>
        <w:ind w:left="3600" w:hanging="360"/>
      </w:pPr>
      <w:rPr>
        <w:rFonts w:ascii="Arial" w:hAnsi="Arial" w:hint="default"/>
      </w:rPr>
    </w:lvl>
    <w:lvl w:ilvl="5" w:tplc="BD0AB870" w:tentative="1">
      <w:start w:val="1"/>
      <w:numFmt w:val="bullet"/>
      <w:lvlText w:val="•"/>
      <w:lvlJc w:val="left"/>
      <w:pPr>
        <w:tabs>
          <w:tab w:val="num" w:pos="4320"/>
        </w:tabs>
        <w:ind w:left="4320" w:hanging="360"/>
      </w:pPr>
      <w:rPr>
        <w:rFonts w:ascii="Arial" w:hAnsi="Arial" w:hint="default"/>
      </w:rPr>
    </w:lvl>
    <w:lvl w:ilvl="6" w:tplc="5590EF22" w:tentative="1">
      <w:start w:val="1"/>
      <w:numFmt w:val="bullet"/>
      <w:lvlText w:val="•"/>
      <w:lvlJc w:val="left"/>
      <w:pPr>
        <w:tabs>
          <w:tab w:val="num" w:pos="5040"/>
        </w:tabs>
        <w:ind w:left="5040" w:hanging="360"/>
      </w:pPr>
      <w:rPr>
        <w:rFonts w:ascii="Arial" w:hAnsi="Arial" w:hint="default"/>
      </w:rPr>
    </w:lvl>
    <w:lvl w:ilvl="7" w:tplc="6D48D13A" w:tentative="1">
      <w:start w:val="1"/>
      <w:numFmt w:val="bullet"/>
      <w:lvlText w:val="•"/>
      <w:lvlJc w:val="left"/>
      <w:pPr>
        <w:tabs>
          <w:tab w:val="num" w:pos="5760"/>
        </w:tabs>
        <w:ind w:left="5760" w:hanging="360"/>
      </w:pPr>
      <w:rPr>
        <w:rFonts w:ascii="Arial" w:hAnsi="Arial" w:hint="default"/>
      </w:rPr>
    </w:lvl>
    <w:lvl w:ilvl="8" w:tplc="31A0486A" w:tentative="1">
      <w:start w:val="1"/>
      <w:numFmt w:val="bullet"/>
      <w:lvlText w:val="•"/>
      <w:lvlJc w:val="left"/>
      <w:pPr>
        <w:tabs>
          <w:tab w:val="num" w:pos="6480"/>
        </w:tabs>
        <w:ind w:left="6480" w:hanging="360"/>
      </w:pPr>
      <w:rPr>
        <w:rFonts w:ascii="Arial" w:hAnsi="Arial" w:hint="default"/>
      </w:rPr>
    </w:lvl>
  </w:abstractNum>
  <w:abstractNum w:abstractNumId="30">
    <w:nsid w:val="7967495F"/>
    <w:multiLevelType w:val="hybridMultilevel"/>
    <w:tmpl w:val="22FA2D60"/>
    <w:lvl w:ilvl="0" w:tplc="F488CFD6">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BA67595"/>
    <w:multiLevelType w:val="hybridMultilevel"/>
    <w:tmpl w:val="64ACA0B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
  </w:num>
  <w:num w:numId="2">
    <w:abstractNumId w:val="28"/>
  </w:num>
  <w:num w:numId="3">
    <w:abstractNumId w:val="24"/>
  </w:num>
  <w:num w:numId="4">
    <w:abstractNumId w:val="10"/>
  </w:num>
  <w:num w:numId="5">
    <w:abstractNumId w:val="31"/>
  </w:num>
  <w:num w:numId="6">
    <w:abstractNumId w:val="22"/>
  </w:num>
  <w:num w:numId="7">
    <w:abstractNumId w:val="26"/>
  </w:num>
  <w:num w:numId="8">
    <w:abstractNumId w:val="7"/>
  </w:num>
  <w:num w:numId="9">
    <w:abstractNumId w:val="5"/>
  </w:num>
  <w:num w:numId="10">
    <w:abstractNumId w:val="2"/>
  </w:num>
  <w:num w:numId="11">
    <w:abstractNumId w:val="19"/>
  </w:num>
  <w:num w:numId="12">
    <w:abstractNumId w:val="4"/>
  </w:num>
  <w:num w:numId="13">
    <w:abstractNumId w:val="14"/>
  </w:num>
  <w:num w:numId="14">
    <w:abstractNumId w:val="13"/>
  </w:num>
  <w:num w:numId="15">
    <w:abstractNumId w:val="15"/>
  </w:num>
  <w:num w:numId="16">
    <w:abstractNumId w:val="6"/>
  </w:num>
  <w:num w:numId="17">
    <w:abstractNumId w:val="27"/>
  </w:num>
  <w:num w:numId="18">
    <w:abstractNumId w:val="25"/>
  </w:num>
  <w:num w:numId="19">
    <w:abstractNumId w:val="30"/>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1"/>
  </w:num>
  <w:num w:numId="23">
    <w:abstractNumId w:val="17"/>
  </w:num>
  <w:num w:numId="24">
    <w:abstractNumId w:val="9"/>
  </w:num>
  <w:num w:numId="25">
    <w:abstractNumId w:val="1"/>
  </w:num>
  <w:num w:numId="26">
    <w:abstractNumId w:val="28"/>
  </w:num>
  <w:num w:numId="27">
    <w:abstractNumId w:val="20"/>
  </w:num>
  <w:num w:numId="28">
    <w:abstractNumId w:val="0"/>
  </w:num>
  <w:num w:numId="29">
    <w:abstractNumId w:val="23"/>
  </w:num>
  <w:num w:numId="30">
    <w:abstractNumId w:val="8"/>
  </w:num>
  <w:num w:numId="31">
    <w:abstractNumId w:val="16"/>
  </w:num>
  <w:num w:numId="32">
    <w:abstractNumId w:val="29"/>
  </w:num>
  <w:num w:numId="33">
    <w:abstractNumId w:val="12"/>
  </w:num>
  <w:num w:numId="34">
    <w:abstractNumId w:val="28"/>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llie Gavin">
    <w15:presenceInfo w15:providerId="Windows Live" w15:userId="76b95a7c3d3d5b03"/>
  </w15:person>
  <w15:person w15:author="Kirsten Howard">
    <w15:presenceInfo w15:providerId="AD" w15:userId="S-1-5-21-1818349276-1015700856-800089250-6959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3E9"/>
    <w:rsid w:val="00001C76"/>
    <w:rsid w:val="00003499"/>
    <w:rsid w:val="00006216"/>
    <w:rsid w:val="000070F9"/>
    <w:rsid w:val="00007705"/>
    <w:rsid w:val="00011328"/>
    <w:rsid w:val="00013247"/>
    <w:rsid w:val="00013964"/>
    <w:rsid w:val="00014431"/>
    <w:rsid w:val="00014675"/>
    <w:rsid w:val="00015886"/>
    <w:rsid w:val="000162EF"/>
    <w:rsid w:val="0002225F"/>
    <w:rsid w:val="0002290F"/>
    <w:rsid w:val="00023763"/>
    <w:rsid w:val="00023D3C"/>
    <w:rsid w:val="000253EB"/>
    <w:rsid w:val="00026C03"/>
    <w:rsid w:val="00027EDC"/>
    <w:rsid w:val="00027EF6"/>
    <w:rsid w:val="000303E8"/>
    <w:rsid w:val="00031ACF"/>
    <w:rsid w:val="0003236A"/>
    <w:rsid w:val="00033DC4"/>
    <w:rsid w:val="0003767B"/>
    <w:rsid w:val="00037B48"/>
    <w:rsid w:val="00037C0E"/>
    <w:rsid w:val="00040895"/>
    <w:rsid w:val="00041E66"/>
    <w:rsid w:val="00043BE2"/>
    <w:rsid w:val="00043C37"/>
    <w:rsid w:val="000440C7"/>
    <w:rsid w:val="00044364"/>
    <w:rsid w:val="00045C14"/>
    <w:rsid w:val="000468CC"/>
    <w:rsid w:val="00051340"/>
    <w:rsid w:val="00053A3E"/>
    <w:rsid w:val="000546D7"/>
    <w:rsid w:val="00055B8D"/>
    <w:rsid w:val="00056052"/>
    <w:rsid w:val="00056497"/>
    <w:rsid w:val="000565CC"/>
    <w:rsid w:val="00057A74"/>
    <w:rsid w:val="00057FAD"/>
    <w:rsid w:val="00060FA3"/>
    <w:rsid w:val="000630AF"/>
    <w:rsid w:val="00063CEF"/>
    <w:rsid w:val="00067A6D"/>
    <w:rsid w:val="00070497"/>
    <w:rsid w:val="0007079E"/>
    <w:rsid w:val="00070A8B"/>
    <w:rsid w:val="00071248"/>
    <w:rsid w:val="00071FCA"/>
    <w:rsid w:val="000720B9"/>
    <w:rsid w:val="0007339A"/>
    <w:rsid w:val="00073627"/>
    <w:rsid w:val="0007374B"/>
    <w:rsid w:val="00074B49"/>
    <w:rsid w:val="000764AC"/>
    <w:rsid w:val="000812CA"/>
    <w:rsid w:val="00081450"/>
    <w:rsid w:val="00082073"/>
    <w:rsid w:val="00082A5D"/>
    <w:rsid w:val="00085081"/>
    <w:rsid w:val="00085484"/>
    <w:rsid w:val="00086060"/>
    <w:rsid w:val="00087DBE"/>
    <w:rsid w:val="000907CD"/>
    <w:rsid w:val="00090BFD"/>
    <w:rsid w:val="00090C7E"/>
    <w:rsid w:val="00090D48"/>
    <w:rsid w:val="0009225F"/>
    <w:rsid w:val="0009399A"/>
    <w:rsid w:val="00094ABA"/>
    <w:rsid w:val="0009507A"/>
    <w:rsid w:val="00095265"/>
    <w:rsid w:val="000A0288"/>
    <w:rsid w:val="000A040D"/>
    <w:rsid w:val="000A1FB7"/>
    <w:rsid w:val="000A3146"/>
    <w:rsid w:val="000A39EA"/>
    <w:rsid w:val="000A784F"/>
    <w:rsid w:val="000B42C6"/>
    <w:rsid w:val="000B5905"/>
    <w:rsid w:val="000B60C1"/>
    <w:rsid w:val="000B6AD9"/>
    <w:rsid w:val="000B6F7F"/>
    <w:rsid w:val="000C0746"/>
    <w:rsid w:val="000C0DA6"/>
    <w:rsid w:val="000C189D"/>
    <w:rsid w:val="000C4C0E"/>
    <w:rsid w:val="000C5C56"/>
    <w:rsid w:val="000C62A6"/>
    <w:rsid w:val="000C65B6"/>
    <w:rsid w:val="000C7A0F"/>
    <w:rsid w:val="000D1405"/>
    <w:rsid w:val="000D17B1"/>
    <w:rsid w:val="000D1BFC"/>
    <w:rsid w:val="000D3B58"/>
    <w:rsid w:val="000D494C"/>
    <w:rsid w:val="000E017B"/>
    <w:rsid w:val="000E0C94"/>
    <w:rsid w:val="000E17A0"/>
    <w:rsid w:val="000E3570"/>
    <w:rsid w:val="000E3BB3"/>
    <w:rsid w:val="000E521A"/>
    <w:rsid w:val="000E5DAA"/>
    <w:rsid w:val="000F09D4"/>
    <w:rsid w:val="000F2995"/>
    <w:rsid w:val="000F4BB8"/>
    <w:rsid w:val="000F50A0"/>
    <w:rsid w:val="000F548F"/>
    <w:rsid w:val="000F7127"/>
    <w:rsid w:val="000F74E6"/>
    <w:rsid w:val="000F7F9E"/>
    <w:rsid w:val="00100F8A"/>
    <w:rsid w:val="00101898"/>
    <w:rsid w:val="00102D0F"/>
    <w:rsid w:val="00102F0B"/>
    <w:rsid w:val="0010318E"/>
    <w:rsid w:val="00105516"/>
    <w:rsid w:val="001061B7"/>
    <w:rsid w:val="001067B9"/>
    <w:rsid w:val="0011032E"/>
    <w:rsid w:val="0011087E"/>
    <w:rsid w:val="00110E74"/>
    <w:rsid w:val="00111DCD"/>
    <w:rsid w:val="00112E1E"/>
    <w:rsid w:val="0011348B"/>
    <w:rsid w:val="001136E9"/>
    <w:rsid w:val="00113ADE"/>
    <w:rsid w:val="001169C8"/>
    <w:rsid w:val="00116E8A"/>
    <w:rsid w:val="001172A2"/>
    <w:rsid w:val="00117391"/>
    <w:rsid w:val="001204D9"/>
    <w:rsid w:val="00121214"/>
    <w:rsid w:val="00121799"/>
    <w:rsid w:val="00121903"/>
    <w:rsid w:val="001222FC"/>
    <w:rsid w:val="001228F7"/>
    <w:rsid w:val="00124003"/>
    <w:rsid w:val="00124832"/>
    <w:rsid w:val="00124939"/>
    <w:rsid w:val="00124A51"/>
    <w:rsid w:val="00125975"/>
    <w:rsid w:val="00125E0D"/>
    <w:rsid w:val="00126621"/>
    <w:rsid w:val="001301E9"/>
    <w:rsid w:val="00130426"/>
    <w:rsid w:val="00130F40"/>
    <w:rsid w:val="001338AC"/>
    <w:rsid w:val="00134304"/>
    <w:rsid w:val="00134D83"/>
    <w:rsid w:val="00135E0A"/>
    <w:rsid w:val="001374BB"/>
    <w:rsid w:val="00137645"/>
    <w:rsid w:val="00137FE8"/>
    <w:rsid w:val="0014015A"/>
    <w:rsid w:val="00140E99"/>
    <w:rsid w:val="00141151"/>
    <w:rsid w:val="0014215D"/>
    <w:rsid w:val="00142EC2"/>
    <w:rsid w:val="001430D9"/>
    <w:rsid w:val="00144210"/>
    <w:rsid w:val="00144E85"/>
    <w:rsid w:val="0014517E"/>
    <w:rsid w:val="00145540"/>
    <w:rsid w:val="001456B0"/>
    <w:rsid w:val="00151057"/>
    <w:rsid w:val="0015122D"/>
    <w:rsid w:val="00151735"/>
    <w:rsid w:val="0015187A"/>
    <w:rsid w:val="00153419"/>
    <w:rsid w:val="00153453"/>
    <w:rsid w:val="00155489"/>
    <w:rsid w:val="00155831"/>
    <w:rsid w:val="001563F9"/>
    <w:rsid w:val="00157130"/>
    <w:rsid w:val="001571BF"/>
    <w:rsid w:val="00157F17"/>
    <w:rsid w:val="00160972"/>
    <w:rsid w:val="00160C08"/>
    <w:rsid w:val="0016170A"/>
    <w:rsid w:val="00162913"/>
    <w:rsid w:val="001638CD"/>
    <w:rsid w:val="00163EFF"/>
    <w:rsid w:val="00164AC1"/>
    <w:rsid w:val="00164D8A"/>
    <w:rsid w:val="00165CBB"/>
    <w:rsid w:val="00165FD9"/>
    <w:rsid w:val="001661FB"/>
    <w:rsid w:val="001663C3"/>
    <w:rsid w:val="00167129"/>
    <w:rsid w:val="00170385"/>
    <w:rsid w:val="0017134E"/>
    <w:rsid w:val="00171479"/>
    <w:rsid w:val="00171B3F"/>
    <w:rsid w:val="00172765"/>
    <w:rsid w:val="0017342B"/>
    <w:rsid w:val="00173C10"/>
    <w:rsid w:val="001763DC"/>
    <w:rsid w:val="00176814"/>
    <w:rsid w:val="00177653"/>
    <w:rsid w:val="00177B81"/>
    <w:rsid w:val="00177E3F"/>
    <w:rsid w:val="001806B5"/>
    <w:rsid w:val="00180ADF"/>
    <w:rsid w:val="00180B8D"/>
    <w:rsid w:val="00180D59"/>
    <w:rsid w:val="00181373"/>
    <w:rsid w:val="001826C5"/>
    <w:rsid w:val="00184269"/>
    <w:rsid w:val="001871DD"/>
    <w:rsid w:val="001873A8"/>
    <w:rsid w:val="0018752F"/>
    <w:rsid w:val="001901BF"/>
    <w:rsid w:val="0019089C"/>
    <w:rsid w:val="00190D94"/>
    <w:rsid w:val="0019256C"/>
    <w:rsid w:val="00194389"/>
    <w:rsid w:val="00194B9E"/>
    <w:rsid w:val="00194FA4"/>
    <w:rsid w:val="00195222"/>
    <w:rsid w:val="00195807"/>
    <w:rsid w:val="001975D8"/>
    <w:rsid w:val="001A17B9"/>
    <w:rsid w:val="001A1BF5"/>
    <w:rsid w:val="001A40DD"/>
    <w:rsid w:val="001B11E8"/>
    <w:rsid w:val="001B3443"/>
    <w:rsid w:val="001B425C"/>
    <w:rsid w:val="001B4D90"/>
    <w:rsid w:val="001B5428"/>
    <w:rsid w:val="001B7557"/>
    <w:rsid w:val="001B77E0"/>
    <w:rsid w:val="001C0158"/>
    <w:rsid w:val="001C0420"/>
    <w:rsid w:val="001C3311"/>
    <w:rsid w:val="001C3681"/>
    <w:rsid w:val="001C5C42"/>
    <w:rsid w:val="001C64A6"/>
    <w:rsid w:val="001C6E66"/>
    <w:rsid w:val="001D09D7"/>
    <w:rsid w:val="001D1EA8"/>
    <w:rsid w:val="001D2CA2"/>
    <w:rsid w:val="001D3574"/>
    <w:rsid w:val="001D5723"/>
    <w:rsid w:val="001D6AC6"/>
    <w:rsid w:val="001D6AED"/>
    <w:rsid w:val="001D6EAD"/>
    <w:rsid w:val="001E0326"/>
    <w:rsid w:val="001E1951"/>
    <w:rsid w:val="001E238E"/>
    <w:rsid w:val="001E2B1E"/>
    <w:rsid w:val="001E3699"/>
    <w:rsid w:val="001E462F"/>
    <w:rsid w:val="001E52EB"/>
    <w:rsid w:val="001E65F3"/>
    <w:rsid w:val="001E740C"/>
    <w:rsid w:val="001F1109"/>
    <w:rsid w:val="001F1235"/>
    <w:rsid w:val="001F1AB7"/>
    <w:rsid w:val="001F1CB3"/>
    <w:rsid w:val="001F200A"/>
    <w:rsid w:val="001F2358"/>
    <w:rsid w:val="001F452B"/>
    <w:rsid w:val="001F7361"/>
    <w:rsid w:val="001F7EFC"/>
    <w:rsid w:val="00200A78"/>
    <w:rsid w:val="0020385F"/>
    <w:rsid w:val="00203F59"/>
    <w:rsid w:val="00205F4D"/>
    <w:rsid w:val="00207021"/>
    <w:rsid w:val="00207BAC"/>
    <w:rsid w:val="00207D00"/>
    <w:rsid w:val="002105C1"/>
    <w:rsid w:val="00211276"/>
    <w:rsid w:val="00212194"/>
    <w:rsid w:val="00215C4F"/>
    <w:rsid w:val="00217862"/>
    <w:rsid w:val="00223B49"/>
    <w:rsid w:val="00224DD4"/>
    <w:rsid w:val="002309CC"/>
    <w:rsid w:val="00230C0A"/>
    <w:rsid w:val="002328A7"/>
    <w:rsid w:val="00236471"/>
    <w:rsid w:val="00237B26"/>
    <w:rsid w:val="00240BE4"/>
    <w:rsid w:val="002423BF"/>
    <w:rsid w:val="00246675"/>
    <w:rsid w:val="00247568"/>
    <w:rsid w:val="0025180A"/>
    <w:rsid w:val="00253003"/>
    <w:rsid w:val="00254DCF"/>
    <w:rsid w:val="0025534B"/>
    <w:rsid w:val="0025541D"/>
    <w:rsid w:val="00255BB7"/>
    <w:rsid w:val="0025678D"/>
    <w:rsid w:val="00257260"/>
    <w:rsid w:val="00261E2D"/>
    <w:rsid w:val="00262A87"/>
    <w:rsid w:val="00263633"/>
    <w:rsid w:val="00264EAC"/>
    <w:rsid w:val="0026535C"/>
    <w:rsid w:val="002701D9"/>
    <w:rsid w:val="002704DF"/>
    <w:rsid w:val="0027065F"/>
    <w:rsid w:val="00273A6B"/>
    <w:rsid w:val="0027419C"/>
    <w:rsid w:val="00275C5A"/>
    <w:rsid w:val="00281014"/>
    <w:rsid w:val="002841B2"/>
    <w:rsid w:val="00284E7D"/>
    <w:rsid w:val="00291A50"/>
    <w:rsid w:val="00291F31"/>
    <w:rsid w:val="002941DD"/>
    <w:rsid w:val="00294B6F"/>
    <w:rsid w:val="0029560A"/>
    <w:rsid w:val="002A009E"/>
    <w:rsid w:val="002A0C09"/>
    <w:rsid w:val="002A14AB"/>
    <w:rsid w:val="002A1CDD"/>
    <w:rsid w:val="002A2219"/>
    <w:rsid w:val="002B0035"/>
    <w:rsid w:val="002B102C"/>
    <w:rsid w:val="002B1B7B"/>
    <w:rsid w:val="002B1C1F"/>
    <w:rsid w:val="002B24BA"/>
    <w:rsid w:val="002B2E7E"/>
    <w:rsid w:val="002B3B46"/>
    <w:rsid w:val="002B432F"/>
    <w:rsid w:val="002B6876"/>
    <w:rsid w:val="002B6CCE"/>
    <w:rsid w:val="002C1442"/>
    <w:rsid w:val="002C265D"/>
    <w:rsid w:val="002C2775"/>
    <w:rsid w:val="002C27C1"/>
    <w:rsid w:val="002C396E"/>
    <w:rsid w:val="002C40CA"/>
    <w:rsid w:val="002C6F12"/>
    <w:rsid w:val="002C71F5"/>
    <w:rsid w:val="002C7463"/>
    <w:rsid w:val="002C7646"/>
    <w:rsid w:val="002C7C76"/>
    <w:rsid w:val="002D0874"/>
    <w:rsid w:val="002D0934"/>
    <w:rsid w:val="002D3F09"/>
    <w:rsid w:val="002D66DF"/>
    <w:rsid w:val="002D6C44"/>
    <w:rsid w:val="002D7F0E"/>
    <w:rsid w:val="002E0399"/>
    <w:rsid w:val="002E057D"/>
    <w:rsid w:val="002E1B31"/>
    <w:rsid w:val="002E4CF8"/>
    <w:rsid w:val="002E6BB4"/>
    <w:rsid w:val="002F0660"/>
    <w:rsid w:val="002F36A9"/>
    <w:rsid w:val="002F3714"/>
    <w:rsid w:val="002F3BA8"/>
    <w:rsid w:val="002F3F91"/>
    <w:rsid w:val="002F4988"/>
    <w:rsid w:val="00301017"/>
    <w:rsid w:val="00301710"/>
    <w:rsid w:val="00303E7B"/>
    <w:rsid w:val="003043D7"/>
    <w:rsid w:val="00304A15"/>
    <w:rsid w:val="003072F0"/>
    <w:rsid w:val="0030786C"/>
    <w:rsid w:val="0031000B"/>
    <w:rsid w:val="00310243"/>
    <w:rsid w:val="0031031A"/>
    <w:rsid w:val="00310981"/>
    <w:rsid w:val="00310A01"/>
    <w:rsid w:val="00315498"/>
    <w:rsid w:val="00321656"/>
    <w:rsid w:val="003239CA"/>
    <w:rsid w:val="003245E7"/>
    <w:rsid w:val="00324803"/>
    <w:rsid w:val="00325C89"/>
    <w:rsid w:val="0032605E"/>
    <w:rsid w:val="0032641B"/>
    <w:rsid w:val="00327499"/>
    <w:rsid w:val="00327F1D"/>
    <w:rsid w:val="00331192"/>
    <w:rsid w:val="00331D20"/>
    <w:rsid w:val="00332549"/>
    <w:rsid w:val="00333DBC"/>
    <w:rsid w:val="00334B6A"/>
    <w:rsid w:val="003366C9"/>
    <w:rsid w:val="00336849"/>
    <w:rsid w:val="00336D89"/>
    <w:rsid w:val="0033701F"/>
    <w:rsid w:val="003371B0"/>
    <w:rsid w:val="00341B38"/>
    <w:rsid w:val="00342CE8"/>
    <w:rsid w:val="00342FA4"/>
    <w:rsid w:val="00344D32"/>
    <w:rsid w:val="003506B0"/>
    <w:rsid w:val="0035070A"/>
    <w:rsid w:val="003521CC"/>
    <w:rsid w:val="00352E39"/>
    <w:rsid w:val="0035620E"/>
    <w:rsid w:val="003576B5"/>
    <w:rsid w:val="003605AE"/>
    <w:rsid w:val="00361132"/>
    <w:rsid w:val="0036377B"/>
    <w:rsid w:val="0036398F"/>
    <w:rsid w:val="00364CA3"/>
    <w:rsid w:val="00365D27"/>
    <w:rsid w:val="0036640E"/>
    <w:rsid w:val="00366820"/>
    <w:rsid w:val="00366F15"/>
    <w:rsid w:val="003672A6"/>
    <w:rsid w:val="00370798"/>
    <w:rsid w:val="003718BA"/>
    <w:rsid w:val="003733F7"/>
    <w:rsid w:val="00374651"/>
    <w:rsid w:val="0037468B"/>
    <w:rsid w:val="00374959"/>
    <w:rsid w:val="003753AE"/>
    <w:rsid w:val="00375F5C"/>
    <w:rsid w:val="003800AD"/>
    <w:rsid w:val="00380D13"/>
    <w:rsid w:val="00382BF7"/>
    <w:rsid w:val="0038365C"/>
    <w:rsid w:val="003859CA"/>
    <w:rsid w:val="00386B60"/>
    <w:rsid w:val="003877DC"/>
    <w:rsid w:val="00390325"/>
    <w:rsid w:val="0039073E"/>
    <w:rsid w:val="00392040"/>
    <w:rsid w:val="00392CCF"/>
    <w:rsid w:val="00395336"/>
    <w:rsid w:val="003959A5"/>
    <w:rsid w:val="003967AE"/>
    <w:rsid w:val="00396FD0"/>
    <w:rsid w:val="00397673"/>
    <w:rsid w:val="003A000A"/>
    <w:rsid w:val="003A0069"/>
    <w:rsid w:val="003A0864"/>
    <w:rsid w:val="003A1A7A"/>
    <w:rsid w:val="003A2239"/>
    <w:rsid w:val="003A3795"/>
    <w:rsid w:val="003A39E4"/>
    <w:rsid w:val="003A54E5"/>
    <w:rsid w:val="003A6F54"/>
    <w:rsid w:val="003A7B4B"/>
    <w:rsid w:val="003B067D"/>
    <w:rsid w:val="003B1BB2"/>
    <w:rsid w:val="003B1FD6"/>
    <w:rsid w:val="003B1FEC"/>
    <w:rsid w:val="003B6369"/>
    <w:rsid w:val="003B7CF0"/>
    <w:rsid w:val="003C05C0"/>
    <w:rsid w:val="003C0767"/>
    <w:rsid w:val="003C39E3"/>
    <w:rsid w:val="003C4400"/>
    <w:rsid w:val="003C45A9"/>
    <w:rsid w:val="003C4C9A"/>
    <w:rsid w:val="003C51EB"/>
    <w:rsid w:val="003C5241"/>
    <w:rsid w:val="003C5691"/>
    <w:rsid w:val="003C5FC8"/>
    <w:rsid w:val="003C6AFB"/>
    <w:rsid w:val="003C742A"/>
    <w:rsid w:val="003C7D16"/>
    <w:rsid w:val="003D1828"/>
    <w:rsid w:val="003D2422"/>
    <w:rsid w:val="003D258F"/>
    <w:rsid w:val="003D427E"/>
    <w:rsid w:val="003D55A2"/>
    <w:rsid w:val="003D62BD"/>
    <w:rsid w:val="003E0790"/>
    <w:rsid w:val="003E2E85"/>
    <w:rsid w:val="003E3392"/>
    <w:rsid w:val="003E4C1B"/>
    <w:rsid w:val="003E51DE"/>
    <w:rsid w:val="003E5824"/>
    <w:rsid w:val="003E6016"/>
    <w:rsid w:val="003E77BA"/>
    <w:rsid w:val="003F09AD"/>
    <w:rsid w:val="003F4156"/>
    <w:rsid w:val="003F5F33"/>
    <w:rsid w:val="003F695F"/>
    <w:rsid w:val="003F6BE0"/>
    <w:rsid w:val="003F6D20"/>
    <w:rsid w:val="0040105C"/>
    <w:rsid w:val="00401462"/>
    <w:rsid w:val="0040221F"/>
    <w:rsid w:val="00402A73"/>
    <w:rsid w:val="00403467"/>
    <w:rsid w:val="00406336"/>
    <w:rsid w:val="00406613"/>
    <w:rsid w:val="00407BEA"/>
    <w:rsid w:val="00410708"/>
    <w:rsid w:val="00410EC7"/>
    <w:rsid w:val="004111F1"/>
    <w:rsid w:val="00411E6D"/>
    <w:rsid w:val="004126D3"/>
    <w:rsid w:val="00412727"/>
    <w:rsid w:val="00414476"/>
    <w:rsid w:val="0041587F"/>
    <w:rsid w:val="00416119"/>
    <w:rsid w:val="004209A1"/>
    <w:rsid w:val="00420B9F"/>
    <w:rsid w:val="00420C85"/>
    <w:rsid w:val="0042153D"/>
    <w:rsid w:val="00422248"/>
    <w:rsid w:val="004319F8"/>
    <w:rsid w:val="0043207D"/>
    <w:rsid w:val="00432E19"/>
    <w:rsid w:val="00433044"/>
    <w:rsid w:val="00434886"/>
    <w:rsid w:val="00436B72"/>
    <w:rsid w:val="00436D08"/>
    <w:rsid w:val="0044155F"/>
    <w:rsid w:val="00442E07"/>
    <w:rsid w:val="00444264"/>
    <w:rsid w:val="004443A7"/>
    <w:rsid w:val="00444AE4"/>
    <w:rsid w:val="00446282"/>
    <w:rsid w:val="00446394"/>
    <w:rsid w:val="004464EB"/>
    <w:rsid w:val="004514E4"/>
    <w:rsid w:val="004514F3"/>
    <w:rsid w:val="00452BE3"/>
    <w:rsid w:val="0045375E"/>
    <w:rsid w:val="00455C51"/>
    <w:rsid w:val="00455D45"/>
    <w:rsid w:val="00456253"/>
    <w:rsid w:val="00456A36"/>
    <w:rsid w:val="004576E7"/>
    <w:rsid w:val="004604A5"/>
    <w:rsid w:val="00461B2F"/>
    <w:rsid w:val="00462897"/>
    <w:rsid w:val="00463618"/>
    <w:rsid w:val="004637C3"/>
    <w:rsid w:val="00464595"/>
    <w:rsid w:val="004646F9"/>
    <w:rsid w:val="00464B2B"/>
    <w:rsid w:val="004650C5"/>
    <w:rsid w:val="0046590D"/>
    <w:rsid w:val="0046664F"/>
    <w:rsid w:val="00466AD4"/>
    <w:rsid w:val="0047188F"/>
    <w:rsid w:val="00472147"/>
    <w:rsid w:val="004728BF"/>
    <w:rsid w:val="0048157E"/>
    <w:rsid w:val="0048367B"/>
    <w:rsid w:val="004839A8"/>
    <w:rsid w:val="00483D4D"/>
    <w:rsid w:val="004844FC"/>
    <w:rsid w:val="00484E92"/>
    <w:rsid w:val="0048573B"/>
    <w:rsid w:val="004867E2"/>
    <w:rsid w:val="004868AF"/>
    <w:rsid w:val="0048707F"/>
    <w:rsid w:val="00487FB8"/>
    <w:rsid w:val="004903E0"/>
    <w:rsid w:val="00490E22"/>
    <w:rsid w:val="00491B3A"/>
    <w:rsid w:val="00492CFD"/>
    <w:rsid w:val="00492E55"/>
    <w:rsid w:val="0049437A"/>
    <w:rsid w:val="00494BC9"/>
    <w:rsid w:val="004962D2"/>
    <w:rsid w:val="00496487"/>
    <w:rsid w:val="00496560"/>
    <w:rsid w:val="00496768"/>
    <w:rsid w:val="0049693E"/>
    <w:rsid w:val="00496D74"/>
    <w:rsid w:val="00496FA8"/>
    <w:rsid w:val="004A0DA1"/>
    <w:rsid w:val="004A0F9B"/>
    <w:rsid w:val="004A1EE3"/>
    <w:rsid w:val="004A2F35"/>
    <w:rsid w:val="004A3A39"/>
    <w:rsid w:val="004A3ECD"/>
    <w:rsid w:val="004A45EC"/>
    <w:rsid w:val="004A6029"/>
    <w:rsid w:val="004A6597"/>
    <w:rsid w:val="004A7EBF"/>
    <w:rsid w:val="004B0B9B"/>
    <w:rsid w:val="004B1318"/>
    <w:rsid w:val="004B1A26"/>
    <w:rsid w:val="004B1CB4"/>
    <w:rsid w:val="004B209A"/>
    <w:rsid w:val="004B2F18"/>
    <w:rsid w:val="004B3DDB"/>
    <w:rsid w:val="004B44E0"/>
    <w:rsid w:val="004B44FD"/>
    <w:rsid w:val="004B5CFC"/>
    <w:rsid w:val="004B61FF"/>
    <w:rsid w:val="004C4AED"/>
    <w:rsid w:val="004D1894"/>
    <w:rsid w:val="004D1CC8"/>
    <w:rsid w:val="004E0EB8"/>
    <w:rsid w:val="004E2ADC"/>
    <w:rsid w:val="004E43B2"/>
    <w:rsid w:val="004E61F8"/>
    <w:rsid w:val="004E699E"/>
    <w:rsid w:val="004F0F70"/>
    <w:rsid w:val="004F16D0"/>
    <w:rsid w:val="004F1D02"/>
    <w:rsid w:val="004F2515"/>
    <w:rsid w:val="004F2679"/>
    <w:rsid w:val="004F45D1"/>
    <w:rsid w:val="004F7865"/>
    <w:rsid w:val="005008DF"/>
    <w:rsid w:val="005013A5"/>
    <w:rsid w:val="00504EA4"/>
    <w:rsid w:val="00506928"/>
    <w:rsid w:val="00506D8B"/>
    <w:rsid w:val="00510842"/>
    <w:rsid w:val="00510EAF"/>
    <w:rsid w:val="005125BD"/>
    <w:rsid w:val="005152B5"/>
    <w:rsid w:val="005157C2"/>
    <w:rsid w:val="0052040B"/>
    <w:rsid w:val="00520E56"/>
    <w:rsid w:val="00521319"/>
    <w:rsid w:val="005219C2"/>
    <w:rsid w:val="005225CA"/>
    <w:rsid w:val="00522884"/>
    <w:rsid w:val="00523C28"/>
    <w:rsid w:val="00525B8F"/>
    <w:rsid w:val="00531512"/>
    <w:rsid w:val="0053268A"/>
    <w:rsid w:val="00532C7A"/>
    <w:rsid w:val="0053307A"/>
    <w:rsid w:val="00537834"/>
    <w:rsid w:val="005413D6"/>
    <w:rsid w:val="00542C44"/>
    <w:rsid w:val="00546BC1"/>
    <w:rsid w:val="00547E4F"/>
    <w:rsid w:val="00550CC0"/>
    <w:rsid w:val="0055281A"/>
    <w:rsid w:val="00552BD3"/>
    <w:rsid w:val="00552FE2"/>
    <w:rsid w:val="005546DB"/>
    <w:rsid w:val="005546EA"/>
    <w:rsid w:val="00555109"/>
    <w:rsid w:val="00555575"/>
    <w:rsid w:val="00555644"/>
    <w:rsid w:val="00556615"/>
    <w:rsid w:val="0056291A"/>
    <w:rsid w:val="005635B9"/>
    <w:rsid w:val="005660C9"/>
    <w:rsid w:val="0056696F"/>
    <w:rsid w:val="0056772D"/>
    <w:rsid w:val="00567FA3"/>
    <w:rsid w:val="00571F99"/>
    <w:rsid w:val="00573874"/>
    <w:rsid w:val="00575D8D"/>
    <w:rsid w:val="00576972"/>
    <w:rsid w:val="00576E77"/>
    <w:rsid w:val="005777B5"/>
    <w:rsid w:val="005802F1"/>
    <w:rsid w:val="00581226"/>
    <w:rsid w:val="00583699"/>
    <w:rsid w:val="0058555B"/>
    <w:rsid w:val="00585897"/>
    <w:rsid w:val="00586049"/>
    <w:rsid w:val="00586C37"/>
    <w:rsid w:val="00590254"/>
    <w:rsid w:val="005922B4"/>
    <w:rsid w:val="00593C5C"/>
    <w:rsid w:val="005945A9"/>
    <w:rsid w:val="005945BD"/>
    <w:rsid w:val="005949D6"/>
    <w:rsid w:val="0059521A"/>
    <w:rsid w:val="00596886"/>
    <w:rsid w:val="00597D80"/>
    <w:rsid w:val="005A14E3"/>
    <w:rsid w:val="005A1FF1"/>
    <w:rsid w:val="005A25CF"/>
    <w:rsid w:val="005A325D"/>
    <w:rsid w:val="005A7932"/>
    <w:rsid w:val="005B01B0"/>
    <w:rsid w:val="005B20BD"/>
    <w:rsid w:val="005B27DC"/>
    <w:rsid w:val="005B3879"/>
    <w:rsid w:val="005B4F9D"/>
    <w:rsid w:val="005B5857"/>
    <w:rsid w:val="005B6D31"/>
    <w:rsid w:val="005B707A"/>
    <w:rsid w:val="005B7CC0"/>
    <w:rsid w:val="005B7F46"/>
    <w:rsid w:val="005C1B83"/>
    <w:rsid w:val="005C1FE9"/>
    <w:rsid w:val="005C2852"/>
    <w:rsid w:val="005C2A31"/>
    <w:rsid w:val="005C32CB"/>
    <w:rsid w:val="005C33CB"/>
    <w:rsid w:val="005C346B"/>
    <w:rsid w:val="005C45E1"/>
    <w:rsid w:val="005C614B"/>
    <w:rsid w:val="005C61E8"/>
    <w:rsid w:val="005D0416"/>
    <w:rsid w:val="005D044D"/>
    <w:rsid w:val="005D08A7"/>
    <w:rsid w:val="005D18AD"/>
    <w:rsid w:val="005D283C"/>
    <w:rsid w:val="005D299C"/>
    <w:rsid w:val="005D3105"/>
    <w:rsid w:val="005D3EE1"/>
    <w:rsid w:val="005D5414"/>
    <w:rsid w:val="005D5C46"/>
    <w:rsid w:val="005D7D2E"/>
    <w:rsid w:val="005E0044"/>
    <w:rsid w:val="005E0A37"/>
    <w:rsid w:val="005E15DD"/>
    <w:rsid w:val="005E1D5E"/>
    <w:rsid w:val="005E2845"/>
    <w:rsid w:val="005E2EC3"/>
    <w:rsid w:val="005E5C36"/>
    <w:rsid w:val="005E68AC"/>
    <w:rsid w:val="005E7022"/>
    <w:rsid w:val="005E73C0"/>
    <w:rsid w:val="005F021E"/>
    <w:rsid w:val="005F0EE6"/>
    <w:rsid w:val="005F2706"/>
    <w:rsid w:val="005F33D8"/>
    <w:rsid w:val="005F353F"/>
    <w:rsid w:val="005F6251"/>
    <w:rsid w:val="005F6A8F"/>
    <w:rsid w:val="00600DA6"/>
    <w:rsid w:val="00603A0C"/>
    <w:rsid w:val="00604207"/>
    <w:rsid w:val="006043E6"/>
    <w:rsid w:val="00605179"/>
    <w:rsid w:val="00605F1B"/>
    <w:rsid w:val="00606B6F"/>
    <w:rsid w:val="00607669"/>
    <w:rsid w:val="00611221"/>
    <w:rsid w:val="0061144B"/>
    <w:rsid w:val="00612F97"/>
    <w:rsid w:val="0061313C"/>
    <w:rsid w:val="0061623D"/>
    <w:rsid w:val="0061643D"/>
    <w:rsid w:val="0061679E"/>
    <w:rsid w:val="00616802"/>
    <w:rsid w:val="00617E12"/>
    <w:rsid w:val="00621477"/>
    <w:rsid w:val="00622557"/>
    <w:rsid w:val="00622FA6"/>
    <w:rsid w:val="006230F5"/>
    <w:rsid w:val="00625818"/>
    <w:rsid w:val="006259EC"/>
    <w:rsid w:val="00627788"/>
    <w:rsid w:val="00631512"/>
    <w:rsid w:val="00631D6B"/>
    <w:rsid w:val="00633E25"/>
    <w:rsid w:val="0063479F"/>
    <w:rsid w:val="006364A1"/>
    <w:rsid w:val="00637BFD"/>
    <w:rsid w:val="00641663"/>
    <w:rsid w:val="00644103"/>
    <w:rsid w:val="00644104"/>
    <w:rsid w:val="006471CC"/>
    <w:rsid w:val="00647B28"/>
    <w:rsid w:val="0065079F"/>
    <w:rsid w:val="00650B4E"/>
    <w:rsid w:val="00652969"/>
    <w:rsid w:val="006550C2"/>
    <w:rsid w:val="006559AC"/>
    <w:rsid w:val="00660940"/>
    <w:rsid w:val="00663DEC"/>
    <w:rsid w:val="00665C76"/>
    <w:rsid w:val="0066686A"/>
    <w:rsid w:val="00667E8A"/>
    <w:rsid w:val="0067287F"/>
    <w:rsid w:val="00672BF4"/>
    <w:rsid w:val="006733CA"/>
    <w:rsid w:val="00674E42"/>
    <w:rsid w:val="006757F1"/>
    <w:rsid w:val="00676148"/>
    <w:rsid w:val="00676B56"/>
    <w:rsid w:val="00680519"/>
    <w:rsid w:val="00682112"/>
    <w:rsid w:val="006843EE"/>
    <w:rsid w:val="00685BE3"/>
    <w:rsid w:val="006863E8"/>
    <w:rsid w:val="00686838"/>
    <w:rsid w:val="00686F0B"/>
    <w:rsid w:val="006871BC"/>
    <w:rsid w:val="006871EA"/>
    <w:rsid w:val="006872BA"/>
    <w:rsid w:val="006872F6"/>
    <w:rsid w:val="0068796E"/>
    <w:rsid w:val="00690673"/>
    <w:rsid w:val="00690841"/>
    <w:rsid w:val="00690F31"/>
    <w:rsid w:val="006917D7"/>
    <w:rsid w:val="00692E59"/>
    <w:rsid w:val="00694F44"/>
    <w:rsid w:val="006961A4"/>
    <w:rsid w:val="006A0046"/>
    <w:rsid w:val="006A0F5B"/>
    <w:rsid w:val="006A3792"/>
    <w:rsid w:val="006A383E"/>
    <w:rsid w:val="006A40BD"/>
    <w:rsid w:val="006A4AE3"/>
    <w:rsid w:val="006A5AFB"/>
    <w:rsid w:val="006A795E"/>
    <w:rsid w:val="006B0E43"/>
    <w:rsid w:val="006B3E33"/>
    <w:rsid w:val="006B3FC0"/>
    <w:rsid w:val="006B5090"/>
    <w:rsid w:val="006B56DD"/>
    <w:rsid w:val="006B5717"/>
    <w:rsid w:val="006B6BC0"/>
    <w:rsid w:val="006B72FB"/>
    <w:rsid w:val="006C025F"/>
    <w:rsid w:val="006C16DC"/>
    <w:rsid w:val="006C2A8E"/>
    <w:rsid w:val="006C2C6B"/>
    <w:rsid w:val="006C2F6D"/>
    <w:rsid w:val="006C35F6"/>
    <w:rsid w:val="006C555E"/>
    <w:rsid w:val="006C5E77"/>
    <w:rsid w:val="006C620C"/>
    <w:rsid w:val="006C64C8"/>
    <w:rsid w:val="006C7B55"/>
    <w:rsid w:val="006D15B0"/>
    <w:rsid w:val="006D3C7D"/>
    <w:rsid w:val="006D5BF8"/>
    <w:rsid w:val="006D5C27"/>
    <w:rsid w:val="006D5D5F"/>
    <w:rsid w:val="006D6E13"/>
    <w:rsid w:val="006E0BAA"/>
    <w:rsid w:val="006E1505"/>
    <w:rsid w:val="006E222F"/>
    <w:rsid w:val="006E2CED"/>
    <w:rsid w:val="006E3D96"/>
    <w:rsid w:val="006E4315"/>
    <w:rsid w:val="006E5EFD"/>
    <w:rsid w:val="006E6094"/>
    <w:rsid w:val="006E61E0"/>
    <w:rsid w:val="006E65D6"/>
    <w:rsid w:val="006F12DE"/>
    <w:rsid w:val="006F1C23"/>
    <w:rsid w:val="006F21AF"/>
    <w:rsid w:val="006F33BA"/>
    <w:rsid w:val="006F3605"/>
    <w:rsid w:val="006F36FF"/>
    <w:rsid w:val="006F3BEA"/>
    <w:rsid w:val="006F63A5"/>
    <w:rsid w:val="006F7970"/>
    <w:rsid w:val="007002BF"/>
    <w:rsid w:val="0070083B"/>
    <w:rsid w:val="00701CC4"/>
    <w:rsid w:val="00701D61"/>
    <w:rsid w:val="0070276E"/>
    <w:rsid w:val="00702F8F"/>
    <w:rsid w:val="007045D7"/>
    <w:rsid w:val="00711A36"/>
    <w:rsid w:val="00713910"/>
    <w:rsid w:val="00714445"/>
    <w:rsid w:val="00714783"/>
    <w:rsid w:val="00714A97"/>
    <w:rsid w:val="007169B7"/>
    <w:rsid w:val="007172AD"/>
    <w:rsid w:val="007215ED"/>
    <w:rsid w:val="00721B10"/>
    <w:rsid w:val="007224AA"/>
    <w:rsid w:val="007238EB"/>
    <w:rsid w:val="0072416F"/>
    <w:rsid w:val="007255E5"/>
    <w:rsid w:val="007256EC"/>
    <w:rsid w:val="007323D3"/>
    <w:rsid w:val="00733B56"/>
    <w:rsid w:val="00735328"/>
    <w:rsid w:val="007361DA"/>
    <w:rsid w:val="0073685B"/>
    <w:rsid w:val="00736B2F"/>
    <w:rsid w:val="00737895"/>
    <w:rsid w:val="00740326"/>
    <w:rsid w:val="00743293"/>
    <w:rsid w:val="00745BFB"/>
    <w:rsid w:val="00747F76"/>
    <w:rsid w:val="00750466"/>
    <w:rsid w:val="0075153E"/>
    <w:rsid w:val="00752B35"/>
    <w:rsid w:val="00754E5B"/>
    <w:rsid w:val="007566C9"/>
    <w:rsid w:val="007570E7"/>
    <w:rsid w:val="00757637"/>
    <w:rsid w:val="00757B09"/>
    <w:rsid w:val="00763528"/>
    <w:rsid w:val="00763B1D"/>
    <w:rsid w:val="00765259"/>
    <w:rsid w:val="00765EE6"/>
    <w:rsid w:val="00774A1B"/>
    <w:rsid w:val="00775B57"/>
    <w:rsid w:val="00775E7B"/>
    <w:rsid w:val="00777783"/>
    <w:rsid w:val="007809AF"/>
    <w:rsid w:val="00781B80"/>
    <w:rsid w:val="007839AF"/>
    <w:rsid w:val="00785C89"/>
    <w:rsid w:val="00790459"/>
    <w:rsid w:val="007905A9"/>
    <w:rsid w:val="00792ACB"/>
    <w:rsid w:val="00793F82"/>
    <w:rsid w:val="007951F5"/>
    <w:rsid w:val="00795DCA"/>
    <w:rsid w:val="00796031"/>
    <w:rsid w:val="007A0A12"/>
    <w:rsid w:val="007A1377"/>
    <w:rsid w:val="007A2E28"/>
    <w:rsid w:val="007A5BB3"/>
    <w:rsid w:val="007A676E"/>
    <w:rsid w:val="007A6777"/>
    <w:rsid w:val="007B0B24"/>
    <w:rsid w:val="007B0C9A"/>
    <w:rsid w:val="007B11C4"/>
    <w:rsid w:val="007B251D"/>
    <w:rsid w:val="007B2903"/>
    <w:rsid w:val="007B426E"/>
    <w:rsid w:val="007B4399"/>
    <w:rsid w:val="007B53FF"/>
    <w:rsid w:val="007B65B6"/>
    <w:rsid w:val="007B77D1"/>
    <w:rsid w:val="007C2CA6"/>
    <w:rsid w:val="007C361D"/>
    <w:rsid w:val="007C4BCC"/>
    <w:rsid w:val="007C585B"/>
    <w:rsid w:val="007D0B38"/>
    <w:rsid w:val="007D15B5"/>
    <w:rsid w:val="007D1FF8"/>
    <w:rsid w:val="007D23A3"/>
    <w:rsid w:val="007D516A"/>
    <w:rsid w:val="007D7040"/>
    <w:rsid w:val="007E01CD"/>
    <w:rsid w:val="007E2722"/>
    <w:rsid w:val="007E37F9"/>
    <w:rsid w:val="007E725A"/>
    <w:rsid w:val="007E72B9"/>
    <w:rsid w:val="007E7C5B"/>
    <w:rsid w:val="007F0BA9"/>
    <w:rsid w:val="007F1017"/>
    <w:rsid w:val="007F4A3F"/>
    <w:rsid w:val="007F6946"/>
    <w:rsid w:val="007F7BFE"/>
    <w:rsid w:val="008013BB"/>
    <w:rsid w:val="008016CE"/>
    <w:rsid w:val="008024B8"/>
    <w:rsid w:val="00802F3B"/>
    <w:rsid w:val="00803FE5"/>
    <w:rsid w:val="00804B84"/>
    <w:rsid w:val="00804F92"/>
    <w:rsid w:val="00805142"/>
    <w:rsid w:val="00805BFE"/>
    <w:rsid w:val="00807A8B"/>
    <w:rsid w:val="008104CC"/>
    <w:rsid w:val="00812149"/>
    <w:rsid w:val="008149C6"/>
    <w:rsid w:val="0081555A"/>
    <w:rsid w:val="008161EB"/>
    <w:rsid w:val="008166EF"/>
    <w:rsid w:val="008169D2"/>
    <w:rsid w:val="00820D0E"/>
    <w:rsid w:val="00821C2E"/>
    <w:rsid w:val="008237C3"/>
    <w:rsid w:val="008243E5"/>
    <w:rsid w:val="008264EB"/>
    <w:rsid w:val="0082733E"/>
    <w:rsid w:val="00830623"/>
    <w:rsid w:val="00833B05"/>
    <w:rsid w:val="008356D4"/>
    <w:rsid w:val="00835FC4"/>
    <w:rsid w:val="00840CA2"/>
    <w:rsid w:val="00841F65"/>
    <w:rsid w:val="00844254"/>
    <w:rsid w:val="00844822"/>
    <w:rsid w:val="008458E2"/>
    <w:rsid w:val="00845990"/>
    <w:rsid w:val="008506C5"/>
    <w:rsid w:val="00851FB5"/>
    <w:rsid w:val="0085330E"/>
    <w:rsid w:val="008534CC"/>
    <w:rsid w:val="00853F5C"/>
    <w:rsid w:val="00855DBE"/>
    <w:rsid w:val="00856E9A"/>
    <w:rsid w:val="00857461"/>
    <w:rsid w:val="008578D7"/>
    <w:rsid w:val="00862107"/>
    <w:rsid w:val="008622C0"/>
    <w:rsid w:val="00862502"/>
    <w:rsid w:val="008656FC"/>
    <w:rsid w:val="008665FC"/>
    <w:rsid w:val="00867844"/>
    <w:rsid w:val="00867F15"/>
    <w:rsid w:val="00870EE6"/>
    <w:rsid w:val="00871112"/>
    <w:rsid w:val="008727CA"/>
    <w:rsid w:val="00873581"/>
    <w:rsid w:val="008742F0"/>
    <w:rsid w:val="00874A82"/>
    <w:rsid w:val="008757C5"/>
    <w:rsid w:val="0087645C"/>
    <w:rsid w:val="0087680C"/>
    <w:rsid w:val="00876EE8"/>
    <w:rsid w:val="008778F6"/>
    <w:rsid w:val="00882874"/>
    <w:rsid w:val="00883168"/>
    <w:rsid w:val="00883787"/>
    <w:rsid w:val="00885DF9"/>
    <w:rsid w:val="00885ED0"/>
    <w:rsid w:val="00886DF7"/>
    <w:rsid w:val="008902AD"/>
    <w:rsid w:val="0089068B"/>
    <w:rsid w:val="00890F59"/>
    <w:rsid w:val="00891FB4"/>
    <w:rsid w:val="00894087"/>
    <w:rsid w:val="00894489"/>
    <w:rsid w:val="00894CFF"/>
    <w:rsid w:val="008950A6"/>
    <w:rsid w:val="00896039"/>
    <w:rsid w:val="008963A5"/>
    <w:rsid w:val="00896594"/>
    <w:rsid w:val="00897F6A"/>
    <w:rsid w:val="008A07DF"/>
    <w:rsid w:val="008A0A2E"/>
    <w:rsid w:val="008A12DA"/>
    <w:rsid w:val="008A196A"/>
    <w:rsid w:val="008A3C3E"/>
    <w:rsid w:val="008A54BA"/>
    <w:rsid w:val="008A71B7"/>
    <w:rsid w:val="008A79DE"/>
    <w:rsid w:val="008B018B"/>
    <w:rsid w:val="008B0652"/>
    <w:rsid w:val="008B1C25"/>
    <w:rsid w:val="008B527E"/>
    <w:rsid w:val="008B7D7E"/>
    <w:rsid w:val="008B7F3F"/>
    <w:rsid w:val="008C2152"/>
    <w:rsid w:val="008C2AC5"/>
    <w:rsid w:val="008C2CB3"/>
    <w:rsid w:val="008C32F6"/>
    <w:rsid w:val="008C4E90"/>
    <w:rsid w:val="008C566F"/>
    <w:rsid w:val="008C5B3F"/>
    <w:rsid w:val="008C5EBE"/>
    <w:rsid w:val="008C7194"/>
    <w:rsid w:val="008C7ECB"/>
    <w:rsid w:val="008D17EC"/>
    <w:rsid w:val="008D2319"/>
    <w:rsid w:val="008D7472"/>
    <w:rsid w:val="008E161F"/>
    <w:rsid w:val="008E1B9E"/>
    <w:rsid w:val="008E1E94"/>
    <w:rsid w:val="008E2AF6"/>
    <w:rsid w:val="008E2F61"/>
    <w:rsid w:val="008E37D3"/>
    <w:rsid w:val="008E39BC"/>
    <w:rsid w:val="008E50F9"/>
    <w:rsid w:val="008E5849"/>
    <w:rsid w:val="008E5D9D"/>
    <w:rsid w:val="008E6055"/>
    <w:rsid w:val="008E6787"/>
    <w:rsid w:val="008E7604"/>
    <w:rsid w:val="008F0AE2"/>
    <w:rsid w:val="008F1173"/>
    <w:rsid w:val="008F120A"/>
    <w:rsid w:val="008F48EB"/>
    <w:rsid w:val="008F4F0B"/>
    <w:rsid w:val="008F64E6"/>
    <w:rsid w:val="008F6BA5"/>
    <w:rsid w:val="008F6F63"/>
    <w:rsid w:val="009020B3"/>
    <w:rsid w:val="0090284B"/>
    <w:rsid w:val="00903EE4"/>
    <w:rsid w:val="009062A5"/>
    <w:rsid w:val="00910241"/>
    <w:rsid w:val="009105B3"/>
    <w:rsid w:val="00911272"/>
    <w:rsid w:val="00911460"/>
    <w:rsid w:val="00911BBF"/>
    <w:rsid w:val="009138B8"/>
    <w:rsid w:val="00913FAC"/>
    <w:rsid w:val="0091622C"/>
    <w:rsid w:val="00916403"/>
    <w:rsid w:val="009172A4"/>
    <w:rsid w:val="00921712"/>
    <w:rsid w:val="00922DB4"/>
    <w:rsid w:val="00924DAC"/>
    <w:rsid w:val="00926EF6"/>
    <w:rsid w:val="00927A0F"/>
    <w:rsid w:val="00931A47"/>
    <w:rsid w:val="00931CC0"/>
    <w:rsid w:val="00931F47"/>
    <w:rsid w:val="00934166"/>
    <w:rsid w:val="009347BA"/>
    <w:rsid w:val="0093630F"/>
    <w:rsid w:val="0093641B"/>
    <w:rsid w:val="00943C51"/>
    <w:rsid w:val="0094432B"/>
    <w:rsid w:val="00944923"/>
    <w:rsid w:val="00946886"/>
    <w:rsid w:val="009476A0"/>
    <w:rsid w:val="00951395"/>
    <w:rsid w:val="009554DA"/>
    <w:rsid w:val="00955698"/>
    <w:rsid w:val="00960265"/>
    <w:rsid w:val="00960758"/>
    <w:rsid w:val="00962CB9"/>
    <w:rsid w:val="00962E89"/>
    <w:rsid w:val="0096321F"/>
    <w:rsid w:val="00964312"/>
    <w:rsid w:val="0096439A"/>
    <w:rsid w:val="0096564D"/>
    <w:rsid w:val="00965F20"/>
    <w:rsid w:val="0096759A"/>
    <w:rsid w:val="009705A6"/>
    <w:rsid w:val="00971A70"/>
    <w:rsid w:val="009730D4"/>
    <w:rsid w:val="009743FC"/>
    <w:rsid w:val="00974638"/>
    <w:rsid w:val="00974E0D"/>
    <w:rsid w:val="009774BE"/>
    <w:rsid w:val="00982211"/>
    <w:rsid w:val="00983E57"/>
    <w:rsid w:val="00984CE8"/>
    <w:rsid w:val="00985A04"/>
    <w:rsid w:val="00991483"/>
    <w:rsid w:val="009919F8"/>
    <w:rsid w:val="00992EE7"/>
    <w:rsid w:val="00994ED5"/>
    <w:rsid w:val="00996088"/>
    <w:rsid w:val="00996B1A"/>
    <w:rsid w:val="00997DEB"/>
    <w:rsid w:val="009A1339"/>
    <w:rsid w:val="009A4EDB"/>
    <w:rsid w:val="009A6512"/>
    <w:rsid w:val="009A7914"/>
    <w:rsid w:val="009B05C4"/>
    <w:rsid w:val="009B17D0"/>
    <w:rsid w:val="009B20DD"/>
    <w:rsid w:val="009B2F3D"/>
    <w:rsid w:val="009B39DD"/>
    <w:rsid w:val="009B3A40"/>
    <w:rsid w:val="009B3B4F"/>
    <w:rsid w:val="009B3E26"/>
    <w:rsid w:val="009B43E8"/>
    <w:rsid w:val="009B4EA3"/>
    <w:rsid w:val="009B5F3D"/>
    <w:rsid w:val="009B60FB"/>
    <w:rsid w:val="009C10F0"/>
    <w:rsid w:val="009C37AB"/>
    <w:rsid w:val="009C42D1"/>
    <w:rsid w:val="009C481D"/>
    <w:rsid w:val="009C724E"/>
    <w:rsid w:val="009C7AC0"/>
    <w:rsid w:val="009D0800"/>
    <w:rsid w:val="009D0A70"/>
    <w:rsid w:val="009D344D"/>
    <w:rsid w:val="009D57CC"/>
    <w:rsid w:val="009D5B91"/>
    <w:rsid w:val="009D6185"/>
    <w:rsid w:val="009D7E45"/>
    <w:rsid w:val="009E136E"/>
    <w:rsid w:val="009E434F"/>
    <w:rsid w:val="009E4C07"/>
    <w:rsid w:val="009E6C26"/>
    <w:rsid w:val="009E6C7F"/>
    <w:rsid w:val="009F05F5"/>
    <w:rsid w:val="009F0A56"/>
    <w:rsid w:val="009F0CE9"/>
    <w:rsid w:val="009F219E"/>
    <w:rsid w:val="009F39FC"/>
    <w:rsid w:val="009F4876"/>
    <w:rsid w:val="009F50AF"/>
    <w:rsid w:val="009F5D14"/>
    <w:rsid w:val="009F5D6F"/>
    <w:rsid w:val="009F5FAD"/>
    <w:rsid w:val="009F7038"/>
    <w:rsid w:val="00A00E3C"/>
    <w:rsid w:val="00A01A95"/>
    <w:rsid w:val="00A03D43"/>
    <w:rsid w:val="00A03DE9"/>
    <w:rsid w:val="00A04380"/>
    <w:rsid w:val="00A1034B"/>
    <w:rsid w:val="00A10BDC"/>
    <w:rsid w:val="00A11BDD"/>
    <w:rsid w:val="00A130C0"/>
    <w:rsid w:val="00A13948"/>
    <w:rsid w:val="00A14373"/>
    <w:rsid w:val="00A15FE4"/>
    <w:rsid w:val="00A16DC6"/>
    <w:rsid w:val="00A1700A"/>
    <w:rsid w:val="00A1704B"/>
    <w:rsid w:val="00A17A08"/>
    <w:rsid w:val="00A2097D"/>
    <w:rsid w:val="00A21976"/>
    <w:rsid w:val="00A229CF"/>
    <w:rsid w:val="00A24779"/>
    <w:rsid w:val="00A25A13"/>
    <w:rsid w:val="00A264AB"/>
    <w:rsid w:val="00A268A1"/>
    <w:rsid w:val="00A26A30"/>
    <w:rsid w:val="00A27AEC"/>
    <w:rsid w:val="00A27F4F"/>
    <w:rsid w:val="00A3086E"/>
    <w:rsid w:val="00A313F3"/>
    <w:rsid w:val="00A33318"/>
    <w:rsid w:val="00A340DB"/>
    <w:rsid w:val="00A34C49"/>
    <w:rsid w:val="00A3542B"/>
    <w:rsid w:val="00A35B59"/>
    <w:rsid w:val="00A35D16"/>
    <w:rsid w:val="00A4081A"/>
    <w:rsid w:val="00A41D99"/>
    <w:rsid w:val="00A422A3"/>
    <w:rsid w:val="00A43C59"/>
    <w:rsid w:val="00A44252"/>
    <w:rsid w:val="00A45461"/>
    <w:rsid w:val="00A46158"/>
    <w:rsid w:val="00A475C6"/>
    <w:rsid w:val="00A4762F"/>
    <w:rsid w:val="00A50ECD"/>
    <w:rsid w:val="00A52729"/>
    <w:rsid w:val="00A53675"/>
    <w:rsid w:val="00A53BFE"/>
    <w:rsid w:val="00A55EC5"/>
    <w:rsid w:val="00A56064"/>
    <w:rsid w:val="00A56B6A"/>
    <w:rsid w:val="00A578DC"/>
    <w:rsid w:val="00A57DFC"/>
    <w:rsid w:val="00A60C6E"/>
    <w:rsid w:val="00A614D2"/>
    <w:rsid w:val="00A61549"/>
    <w:rsid w:val="00A61E5A"/>
    <w:rsid w:val="00A635A1"/>
    <w:rsid w:val="00A641D0"/>
    <w:rsid w:val="00A6538D"/>
    <w:rsid w:val="00A6725B"/>
    <w:rsid w:val="00A70768"/>
    <w:rsid w:val="00A72577"/>
    <w:rsid w:val="00A76491"/>
    <w:rsid w:val="00A823E6"/>
    <w:rsid w:val="00A82B01"/>
    <w:rsid w:val="00A8476C"/>
    <w:rsid w:val="00A84848"/>
    <w:rsid w:val="00A84B1A"/>
    <w:rsid w:val="00A85599"/>
    <w:rsid w:val="00A85F9D"/>
    <w:rsid w:val="00A86E8B"/>
    <w:rsid w:val="00A87977"/>
    <w:rsid w:val="00A905B0"/>
    <w:rsid w:val="00A9277F"/>
    <w:rsid w:val="00A93072"/>
    <w:rsid w:val="00A934CC"/>
    <w:rsid w:val="00A94C61"/>
    <w:rsid w:val="00A959D8"/>
    <w:rsid w:val="00A963B6"/>
    <w:rsid w:val="00A969E8"/>
    <w:rsid w:val="00A97969"/>
    <w:rsid w:val="00AA26ED"/>
    <w:rsid w:val="00AA2F65"/>
    <w:rsid w:val="00AA400D"/>
    <w:rsid w:val="00AA4045"/>
    <w:rsid w:val="00AA5773"/>
    <w:rsid w:val="00AA5D4A"/>
    <w:rsid w:val="00AA5F5C"/>
    <w:rsid w:val="00AA6487"/>
    <w:rsid w:val="00AA6C4B"/>
    <w:rsid w:val="00AB042A"/>
    <w:rsid w:val="00AB13B3"/>
    <w:rsid w:val="00AB1733"/>
    <w:rsid w:val="00AB2BCF"/>
    <w:rsid w:val="00AB2D34"/>
    <w:rsid w:val="00AB3430"/>
    <w:rsid w:val="00AB3485"/>
    <w:rsid w:val="00AB69BA"/>
    <w:rsid w:val="00AB6A8F"/>
    <w:rsid w:val="00AB7CFA"/>
    <w:rsid w:val="00AC1CCE"/>
    <w:rsid w:val="00AC1DE1"/>
    <w:rsid w:val="00AC278D"/>
    <w:rsid w:val="00AC2C17"/>
    <w:rsid w:val="00AC546E"/>
    <w:rsid w:val="00AC7C72"/>
    <w:rsid w:val="00AD0A5B"/>
    <w:rsid w:val="00AD188E"/>
    <w:rsid w:val="00AD4130"/>
    <w:rsid w:val="00AD59F2"/>
    <w:rsid w:val="00AD6411"/>
    <w:rsid w:val="00AD7A22"/>
    <w:rsid w:val="00AE0335"/>
    <w:rsid w:val="00AE4A38"/>
    <w:rsid w:val="00AE535E"/>
    <w:rsid w:val="00AE6D8C"/>
    <w:rsid w:val="00AF0297"/>
    <w:rsid w:val="00AF1998"/>
    <w:rsid w:val="00AF1E2E"/>
    <w:rsid w:val="00AF2EE0"/>
    <w:rsid w:val="00AF465F"/>
    <w:rsid w:val="00AF700B"/>
    <w:rsid w:val="00AF7121"/>
    <w:rsid w:val="00B005B6"/>
    <w:rsid w:val="00B00C0E"/>
    <w:rsid w:val="00B05187"/>
    <w:rsid w:val="00B05EB0"/>
    <w:rsid w:val="00B064B7"/>
    <w:rsid w:val="00B07504"/>
    <w:rsid w:val="00B07DBC"/>
    <w:rsid w:val="00B14807"/>
    <w:rsid w:val="00B16114"/>
    <w:rsid w:val="00B16B17"/>
    <w:rsid w:val="00B205AE"/>
    <w:rsid w:val="00B20695"/>
    <w:rsid w:val="00B20A47"/>
    <w:rsid w:val="00B218B9"/>
    <w:rsid w:val="00B23704"/>
    <w:rsid w:val="00B24622"/>
    <w:rsid w:val="00B25471"/>
    <w:rsid w:val="00B32469"/>
    <w:rsid w:val="00B3616B"/>
    <w:rsid w:val="00B40D64"/>
    <w:rsid w:val="00B42851"/>
    <w:rsid w:val="00B42BCD"/>
    <w:rsid w:val="00B4337D"/>
    <w:rsid w:val="00B45198"/>
    <w:rsid w:val="00B45B48"/>
    <w:rsid w:val="00B47A22"/>
    <w:rsid w:val="00B50DB8"/>
    <w:rsid w:val="00B53905"/>
    <w:rsid w:val="00B53E3B"/>
    <w:rsid w:val="00B54B5B"/>
    <w:rsid w:val="00B5562E"/>
    <w:rsid w:val="00B557D2"/>
    <w:rsid w:val="00B56A51"/>
    <w:rsid w:val="00B57000"/>
    <w:rsid w:val="00B572BA"/>
    <w:rsid w:val="00B57625"/>
    <w:rsid w:val="00B57628"/>
    <w:rsid w:val="00B57E7A"/>
    <w:rsid w:val="00B60939"/>
    <w:rsid w:val="00B60AFD"/>
    <w:rsid w:val="00B61193"/>
    <w:rsid w:val="00B62715"/>
    <w:rsid w:val="00B64307"/>
    <w:rsid w:val="00B643D1"/>
    <w:rsid w:val="00B65260"/>
    <w:rsid w:val="00B66AAE"/>
    <w:rsid w:val="00B66FC4"/>
    <w:rsid w:val="00B67A49"/>
    <w:rsid w:val="00B710E4"/>
    <w:rsid w:val="00B71213"/>
    <w:rsid w:val="00B71681"/>
    <w:rsid w:val="00B716DF"/>
    <w:rsid w:val="00B71878"/>
    <w:rsid w:val="00B7225F"/>
    <w:rsid w:val="00B72DA2"/>
    <w:rsid w:val="00B7328D"/>
    <w:rsid w:val="00B7446D"/>
    <w:rsid w:val="00B74861"/>
    <w:rsid w:val="00B74C08"/>
    <w:rsid w:val="00B76B12"/>
    <w:rsid w:val="00B76B91"/>
    <w:rsid w:val="00B76EBB"/>
    <w:rsid w:val="00B777B2"/>
    <w:rsid w:val="00B8100F"/>
    <w:rsid w:val="00B818A4"/>
    <w:rsid w:val="00B83E43"/>
    <w:rsid w:val="00B84680"/>
    <w:rsid w:val="00B84BC6"/>
    <w:rsid w:val="00B8571E"/>
    <w:rsid w:val="00B85A7A"/>
    <w:rsid w:val="00B8649C"/>
    <w:rsid w:val="00B86D13"/>
    <w:rsid w:val="00B92D0B"/>
    <w:rsid w:val="00B94945"/>
    <w:rsid w:val="00BA004B"/>
    <w:rsid w:val="00BA1977"/>
    <w:rsid w:val="00BA27D3"/>
    <w:rsid w:val="00BA2A1B"/>
    <w:rsid w:val="00BA2F50"/>
    <w:rsid w:val="00BA576E"/>
    <w:rsid w:val="00BA5B69"/>
    <w:rsid w:val="00BA6DA6"/>
    <w:rsid w:val="00BB0531"/>
    <w:rsid w:val="00BB0FC1"/>
    <w:rsid w:val="00BB12E2"/>
    <w:rsid w:val="00BB1B68"/>
    <w:rsid w:val="00BB1F38"/>
    <w:rsid w:val="00BB2D7F"/>
    <w:rsid w:val="00BB36C6"/>
    <w:rsid w:val="00BB375A"/>
    <w:rsid w:val="00BB5DD3"/>
    <w:rsid w:val="00BB6CF8"/>
    <w:rsid w:val="00BB7405"/>
    <w:rsid w:val="00BB7661"/>
    <w:rsid w:val="00BC1AD1"/>
    <w:rsid w:val="00BC531D"/>
    <w:rsid w:val="00BC7380"/>
    <w:rsid w:val="00BC757A"/>
    <w:rsid w:val="00BD13D8"/>
    <w:rsid w:val="00BD1643"/>
    <w:rsid w:val="00BD3A10"/>
    <w:rsid w:val="00BD5983"/>
    <w:rsid w:val="00BD6336"/>
    <w:rsid w:val="00BD690C"/>
    <w:rsid w:val="00BD6CF3"/>
    <w:rsid w:val="00BE1667"/>
    <w:rsid w:val="00BE2180"/>
    <w:rsid w:val="00BE2EC5"/>
    <w:rsid w:val="00BE4275"/>
    <w:rsid w:val="00BE46A0"/>
    <w:rsid w:val="00BF0048"/>
    <w:rsid w:val="00BF0C1F"/>
    <w:rsid w:val="00BF2433"/>
    <w:rsid w:val="00BF25CC"/>
    <w:rsid w:val="00BF28FD"/>
    <w:rsid w:val="00BF2925"/>
    <w:rsid w:val="00BF3947"/>
    <w:rsid w:val="00BF5BD0"/>
    <w:rsid w:val="00BF61C9"/>
    <w:rsid w:val="00BF7430"/>
    <w:rsid w:val="00BF7AFE"/>
    <w:rsid w:val="00C000A8"/>
    <w:rsid w:val="00C006E5"/>
    <w:rsid w:val="00C012EB"/>
    <w:rsid w:val="00C03D97"/>
    <w:rsid w:val="00C03DA8"/>
    <w:rsid w:val="00C04AA7"/>
    <w:rsid w:val="00C0573A"/>
    <w:rsid w:val="00C073D7"/>
    <w:rsid w:val="00C117C3"/>
    <w:rsid w:val="00C1188B"/>
    <w:rsid w:val="00C11A59"/>
    <w:rsid w:val="00C124C5"/>
    <w:rsid w:val="00C17042"/>
    <w:rsid w:val="00C1715A"/>
    <w:rsid w:val="00C20D57"/>
    <w:rsid w:val="00C210FB"/>
    <w:rsid w:val="00C22827"/>
    <w:rsid w:val="00C2282C"/>
    <w:rsid w:val="00C230AA"/>
    <w:rsid w:val="00C25418"/>
    <w:rsid w:val="00C25C82"/>
    <w:rsid w:val="00C25CA2"/>
    <w:rsid w:val="00C25D9C"/>
    <w:rsid w:val="00C27CD3"/>
    <w:rsid w:val="00C31649"/>
    <w:rsid w:val="00C35BE1"/>
    <w:rsid w:val="00C35D59"/>
    <w:rsid w:val="00C360E0"/>
    <w:rsid w:val="00C37990"/>
    <w:rsid w:val="00C4014D"/>
    <w:rsid w:val="00C40385"/>
    <w:rsid w:val="00C408FA"/>
    <w:rsid w:val="00C43E6E"/>
    <w:rsid w:val="00C46C2E"/>
    <w:rsid w:val="00C46FB2"/>
    <w:rsid w:val="00C47458"/>
    <w:rsid w:val="00C508B1"/>
    <w:rsid w:val="00C50979"/>
    <w:rsid w:val="00C50E3F"/>
    <w:rsid w:val="00C5108A"/>
    <w:rsid w:val="00C51B88"/>
    <w:rsid w:val="00C52CDD"/>
    <w:rsid w:val="00C5589C"/>
    <w:rsid w:val="00C57045"/>
    <w:rsid w:val="00C572EF"/>
    <w:rsid w:val="00C576B4"/>
    <w:rsid w:val="00C57BD5"/>
    <w:rsid w:val="00C60173"/>
    <w:rsid w:val="00C6020D"/>
    <w:rsid w:val="00C60418"/>
    <w:rsid w:val="00C62182"/>
    <w:rsid w:val="00C65576"/>
    <w:rsid w:val="00C65E0F"/>
    <w:rsid w:val="00C66165"/>
    <w:rsid w:val="00C71399"/>
    <w:rsid w:val="00C726E4"/>
    <w:rsid w:val="00C73F72"/>
    <w:rsid w:val="00C73FD5"/>
    <w:rsid w:val="00C750C8"/>
    <w:rsid w:val="00C75B80"/>
    <w:rsid w:val="00C7727B"/>
    <w:rsid w:val="00C8054A"/>
    <w:rsid w:val="00C80E87"/>
    <w:rsid w:val="00C81FC6"/>
    <w:rsid w:val="00C8213F"/>
    <w:rsid w:val="00C83057"/>
    <w:rsid w:val="00C84A4B"/>
    <w:rsid w:val="00C853CD"/>
    <w:rsid w:val="00C87963"/>
    <w:rsid w:val="00C8797A"/>
    <w:rsid w:val="00C92986"/>
    <w:rsid w:val="00C93341"/>
    <w:rsid w:val="00C938CF"/>
    <w:rsid w:val="00C94970"/>
    <w:rsid w:val="00C952F8"/>
    <w:rsid w:val="00C96CDB"/>
    <w:rsid w:val="00CA1098"/>
    <w:rsid w:val="00CA2D10"/>
    <w:rsid w:val="00CA432A"/>
    <w:rsid w:val="00CA4535"/>
    <w:rsid w:val="00CA5245"/>
    <w:rsid w:val="00CA7B09"/>
    <w:rsid w:val="00CB38D2"/>
    <w:rsid w:val="00CB3DAB"/>
    <w:rsid w:val="00CB5B1A"/>
    <w:rsid w:val="00CC1BE0"/>
    <w:rsid w:val="00CC25E3"/>
    <w:rsid w:val="00CC3D02"/>
    <w:rsid w:val="00CC4F6A"/>
    <w:rsid w:val="00CC591F"/>
    <w:rsid w:val="00CC5ABE"/>
    <w:rsid w:val="00CC5F30"/>
    <w:rsid w:val="00CC66CD"/>
    <w:rsid w:val="00CC6A74"/>
    <w:rsid w:val="00CD0DBB"/>
    <w:rsid w:val="00CD1775"/>
    <w:rsid w:val="00CD1C88"/>
    <w:rsid w:val="00CD2641"/>
    <w:rsid w:val="00CD2755"/>
    <w:rsid w:val="00CD3D84"/>
    <w:rsid w:val="00CD64D7"/>
    <w:rsid w:val="00CD65BF"/>
    <w:rsid w:val="00CD6ADC"/>
    <w:rsid w:val="00CD6DE8"/>
    <w:rsid w:val="00CD7BA5"/>
    <w:rsid w:val="00CE29DC"/>
    <w:rsid w:val="00CE565F"/>
    <w:rsid w:val="00CE6274"/>
    <w:rsid w:val="00CE6954"/>
    <w:rsid w:val="00CE6D47"/>
    <w:rsid w:val="00CF005C"/>
    <w:rsid w:val="00CF231C"/>
    <w:rsid w:val="00CF456B"/>
    <w:rsid w:val="00CF5A22"/>
    <w:rsid w:val="00CF61E5"/>
    <w:rsid w:val="00CF7A81"/>
    <w:rsid w:val="00D001D4"/>
    <w:rsid w:val="00D01129"/>
    <w:rsid w:val="00D0262E"/>
    <w:rsid w:val="00D02D0F"/>
    <w:rsid w:val="00D0326D"/>
    <w:rsid w:val="00D03E7D"/>
    <w:rsid w:val="00D05009"/>
    <w:rsid w:val="00D05603"/>
    <w:rsid w:val="00D0705C"/>
    <w:rsid w:val="00D07CA5"/>
    <w:rsid w:val="00D110BD"/>
    <w:rsid w:val="00D11C7E"/>
    <w:rsid w:val="00D11DB4"/>
    <w:rsid w:val="00D14809"/>
    <w:rsid w:val="00D14B35"/>
    <w:rsid w:val="00D14FA6"/>
    <w:rsid w:val="00D16018"/>
    <w:rsid w:val="00D17D6C"/>
    <w:rsid w:val="00D20FCC"/>
    <w:rsid w:val="00D21D27"/>
    <w:rsid w:val="00D2334C"/>
    <w:rsid w:val="00D2607F"/>
    <w:rsid w:val="00D26A19"/>
    <w:rsid w:val="00D2726D"/>
    <w:rsid w:val="00D301B7"/>
    <w:rsid w:val="00D3165B"/>
    <w:rsid w:val="00D31C73"/>
    <w:rsid w:val="00D33F70"/>
    <w:rsid w:val="00D33F98"/>
    <w:rsid w:val="00D349EC"/>
    <w:rsid w:val="00D357FF"/>
    <w:rsid w:val="00D37085"/>
    <w:rsid w:val="00D442B8"/>
    <w:rsid w:val="00D44392"/>
    <w:rsid w:val="00D453C3"/>
    <w:rsid w:val="00D4739F"/>
    <w:rsid w:val="00D50866"/>
    <w:rsid w:val="00D5303C"/>
    <w:rsid w:val="00D567CF"/>
    <w:rsid w:val="00D5753D"/>
    <w:rsid w:val="00D6048E"/>
    <w:rsid w:val="00D61511"/>
    <w:rsid w:val="00D62D00"/>
    <w:rsid w:val="00D62F21"/>
    <w:rsid w:val="00D66866"/>
    <w:rsid w:val="00D66F9C"/>
    <w:rsid w:val="00D676B3"/>
    <w:rsid w:val="00D7397A"/>
    <w:rsid w:val="00D74DFF"/>
    <w:rsid w:val="00D7665C"/>
    <w:rsid w:val="00D76A44"/>
    <w:rsid w:val="00D77229"/>
    <w:rsid w:val="00D82552"/>
    <w:rsid w:val="00D82566"/>
    <w:rsid w:val="00D83D84"/>
    <w:rsid w:val="00D848ED"/>
    <w:rsid w:val="00D84B0D"/>
    <w:rsid w:val="00D850C2"/>
    <w:rsid w:val="00D85392"/>
    <w:rsid w:val="00D87A93"/>
    <w:rsid w:val="00D91F6D"/>
    <w:rsid w:val="00D92969"/>
    <w:rsid w:val="00D93753"/>
    <w:rsid w:val="00D94297"/>
    <w:rsid w:val="00D95EB0"/>
    <w:rsid w:val="00D97EC4"/>
    <w:rsid w:val="00DA3BBD"/>
    <w:rsid w:val="00DA4A36"/>
    <w:rsid w:val="00DA6237"/>
    <w:rsid w:val="00DA737E"/>
    <w:rsid w:val="00DA77A5"/>
    <w:rsid w:val="00DB2A8A"/>
    <w:rsid w:val="00DB3DC8"/>
    <w:rsid w:val="00DB488C"/>
    <w:rsid w:val="00DB63F9"/>
    <w:rsid w:val="00DB7FD9"/>
    <w:rsid w:val="00DC0179"/>
    <w:rsid w:val="00DC1DE9"/>
    <w:rsid w:val="00DC24AE"/>
    <w:rsid w:val="00DC2660"/>
    <w:rsid w:val="00DC38FB"/>
    <w:rsid w:val="00DC4236"/>
    <w:rsid w:val="00DC43C7"/>
    <w:rsid w:val="00DC49A4"/>
    <w:rsid w:val="00DC4DC3"/>
    <w:rsid w:val="00DC5501"/>
    <w:rsid w:val="00DD098F"/>
    <w:rsid w:val="00DD37D5"/>
    <w:rsid w:val="00DD3F28"/>
    <w:rsid w:val="00DD3FE1"/>
    <w:rsid w:val="00DD4537"/>
    <w:rsid w:val="00DD4E15"/>
    <w:rsid w:val="00DD5039"/>
    <w:rsid w:val="00DD6432"/>
    <w:rsid w:val="00DD6BDE"/>
    <w:rsid w:val="00DD6D8D"/>
    <w:rsid w:val="00DE1C84"/>
    <w:rsid w:val="00DE1DD8"/>
    <w:rsid w:val="00DE240C"/>
    <w:rsid w:val="00DE2A07"/>
    <w:rsid w:val="00DE42F4"/>
    <w:rsid w:val="00DE45EF"/>
    <w:rsid w:val="00DE4FCB"/>
    <w:rsid w:val="00DE5B1E"/>
    <w:rsid w:val="00DE6BB2"/>
    <w:rsid w:val="00DE71DA"/>
    <w:rsid w:val="00DF14CC"/>
    <w:rsid w:val="00DF3F61"/>
    <w:rsid w:val="00DF52CE"/>
    <w:rsid w:val="00DF55C9"/>
    <w:rsid w:val="00DF5D2B"/>
    <w:rsid w:val="00DF6017"/>
    <w:rsid w:val="00E00B21"/>
    <w:rsid w:val="00E038A4"/>
    <w:rsid w:val="00E04C0A"/>
    <w:rsid w:val="00E10149"/>
    <w:rsid w:val="00E11461"/>
    <w:rsid w:val="00E16372"/>
    <w:rsid w:val="00E20283"/>
    <w:rsid w:val="00E20ED6"/>
    <w:rsid w:val="00E21358"/>
    <w:rsid w:val="00E2161B"/>
    <w:rsid w:val="00E21E43"/>
    <w:rsid w:val="00E2200B"/>
    <w:rsid w:val="00E2249B"/>
    <w:rsid w:val="00E22A0D"/>
    <w:rsid w:val="00E24AFE"/>
    <w:rsid w:val="00E2771E"/>
    <w:rsid w:val="00E314B2"/>
    <w:rsid w:val="00E31575"/>
    <w:rsid w:val="00E32818"/>
    <w:rsid w:val="00E33421"/>
    <w:rsid w:val="00E3357D"/>
    <w:rsid w:val="00E33E65"/>
    <w:rsid w:val="00E37569"/>
    <w:rsid w:val="00E375D4"/>
    <w:rsid w:val="00E37F77"/>
    <w:rsid w:val="00E40435"/>
    <w:rsid w:val="00E410F8"/>
    <w:rsid w:val="00E41692"/>
    <w:rsid w:val="00E4187B"/>
    <w:rsid w:val="00E41E30"/>
    <w:rsid w:val="00E42169"/>
    <w:rsid w:val="00E43D70"/>
    <w:rsid w:val="00E44356"/>
    <w:rsid w:val="00E44544"/>
    <w:rsid w:val="00E448A7"/>
    <w:rsid w:val="00E456CB"/>
    <w:rsid w:val="00E46B7E"/>
    <w:rsid w:val="00E472D2"/>
    <w:rsid w:val="00E47B2C"/>
    <w:rsid w:val="00E50284"/>
    <w:rsid w:val="00E505FB"/>
    <w:rsid w:val="00E50E1B"/>
    <w:rsid w:val="00E51066"/>
    <w:rsid w:val="00E513C5"/>
    <w:rsid w:val="00E51560"/>
    <w:rsid w:val="00E51A11"/>
    <w:rsid w:val="00E52871"/>
    <w:rsid w:val="00E5324C"/>
    <w:rsid w:val="00E5372E"/>
    <w:rsid w:val="00E54FC2"/>
    <w:rsid w:val="00E55424"/>
    <w:rsid w:val="00E55BB5"/>
    <w:rsid w:val="00E562A6"/>
    <w:rsid w:val="00E56674"/>
    <w:rsid w:val="00E578F4"/>
    <w:rsid w:val="00E61100"/>
    <w:rsid w:val="00E62B13"/>
    <w:rsid w:val="00E63425"/>
    <w:rsid w:val="00E63A0B"/>
    <w:rsid w:val="00E64724"/>
    <w:rsid w:val="00E65E79"/>
    <w:rsid w:val="00E662DD"/>
    <w:rsid w:val="00E66A6B"/>
    <w:rsid w:val="00E66A98"/>
    <w:rsid w:val="00E66C08"/>
    <w:rsid w:val="00E66FDF"/>
    <w:rsid w:val="00E67416"/>
    <w:rsid w:val="00E70851"/>
    <w:rsid w:val="00E70D0C"/>
    <w:rsid w:val="00E7159A"/>
    <w:rsid w:val="00E718B6"/>
    <w:rsid w:val="00E71B69"/>
    <w:rsid w:val="00E73581"/>
    <w:rsid w:val="00E741C3"/>
    <w:rsid w:val="00E74DD5"/>
    <w:rsid w:val="00E76B54"/>
    <w:rsid w:val="00E77453"/>
    <w:rsid w:val="00E82013"/>
    <w:rsid w:val="00E83BDF"/>
    <w:rsid w:val="00E851D7"/>
    <w:rsid w:val="00E87578"/>
    <w:rsid w:val="00E90CE0"/>
    <w:rsid w:val="00E91327"/>
    <w:rsid w:val="00E92968"/>
    <w:rsid w:val="00E92BB2"/>
    <w:rsid w:val="00E9335B"/>
    <w:rsid w:val="00E93B4F"/>
    <w:rsid w:val="00E95881"/>
    <w:rsid w:val="00E95D4E"/>
    <w:rsid w:val="00E962F4"/>
    <w:rsid w:val="00E96D7F"/>
    <w:rsid w:val="00EA06B4"/>
    <w:rsid w:val="00EA233E"/>
    <w:rsid w:val="00EA2D96"/>
    <w:rsid w:val="00EA3864"/>
    <w:rsid w:val="00EA62B6"/>
    <w:rsid w:val="00EA6E35"/>
    <w:rsid w:val="00EB0C6B"/>
    <w:rsid w:val="00EB15B6"/>
    <w:rsid w:val="00EB3ABE"/>
    <w:rsid w:val="00EB4916"/>
    <w:rsid w:val="00EC00C9"/>
    <w:rsid w:val="00EC33B6"/>
    <w:rsid w:val="00EC3A3B"/>
    <w:rsid w:val="00EC435D"/>
    <w:rsid w:val="00EC49B9"/>
    <w:rsid w:val="00ED3AE0"/>
    <w:rsid w:val="00ED4574"/>
    <w:rsid w:val="00ED6268"/>
    <w:rsid w:val="00ED6AF1"/>
    <w:rsid w:val="00EE0363"/>
    <w:rsid w:val="00EE07D3"/>
    <w:rsid w:val="00EE1637"/>
    <w:rsid w:val="00EE2418"/>
    <w:rsid w:val="00EE2DAA"/>
    <w:rsid w:val="00EE46D5"/>
    <w:rsid w:val="00EE593F"/>
    <w:rsid w:val="00EE7CA9"/>
    <w:rsid w:val="00EF02A4"/>
    <w:rsid w:val="00EF2058"/>
    <w:rsid w:val="00EF2C89"/>
    <w:rsid w:val="00EF36BD"/>
    <w:rsid w:val="00EF42E2"/>
    <w:rsid w:val="00EF70A3"/>
    <w:rsid w:val="00EF7C11"/>
    <w:rsid w:val="00F01115"/>
    <w:rsid w:val="00F01494"/>
    <w:rsid w:val="00F0212B"/>
    <w:rsid w:val="00F022F7"/>
    <w:rsid w:val="00F026F5"/>
    <w:rsid w:val="00F03D80"/>
    <w:rsid w:val="00F04342"/>
    <w:rsid w:val="00F05A24"/>
    <w:rsid w:val="00F0643C"/>
    <w:rsid w:val="00F067A2"/>
    <w:rsid w:val="00F07302"/>
    <w:rsid w:val="00F07433"/>
    <w:rsid w:val="00F10B56"/>
    <w:rsid w:val="00F1128C"/>
    <w:rsid w:val="00F11BF5"/>
    <w:rsid w:val="00F11E18"/>
    <w:rsid w:val="00F12596"/>
    <w:rsid w:val="00F131D9"/>
    <w:rsid w:val="00F14E8F"/>
    <w:rsid w:val="00F2094F"/>
    <w:rsid w:val="00F21A79"/>
    <w:rsid w:val="00F220AC"/>
    <w:rsid w:val="00F220ED"/>
    <w:rsid w:val="00F22494"/>
    <w:rsid w:val="00F24837"/>
    <w:rsid w:val="00F25362"/>
    <w:rsid w:val="00F2575F"/>
    <w:rsid w:val="00F306D8"/>
    <w:rsid w:val="00F31126"/>
    <w:rsid w:val="00F31857"/>
    <w:rsid w:val="00F31EA0"/>
    <w:rsid w:val="00F32234"/>
    <w:rsid w:val="00F33487"/>
    <w:rsid w:val="00F33DE9"/>
    <w:rsid w:val="00F3619A"/>
    <w:rsid w:val="00F3678B"/>
    <w:rsid w:val="00F42B93"/>
    <w:rsid w:val="00F46CB6"/>
    <w:rsid w:val="00F47613"/>
    <w:rsid w:val="00F50225"/>
    <w:rsid w:val="00F543D1"/>
    <w:rsid w:val="00F54A17"/>
    <w:rsid w:val="00F55E73"/>
    <w:rsid w:val="00F55FE5"/>
    <w:rsid w:val="00F56A93"/>
    <w:rsid w:val="00F6001B"/>
    <w:rsid w:val="00F60092"/>
    <w:rsid w:val="00F60BAD"/>
    <w:rsid w:val="00F60D8F"/>
    <w:rsid w:val="00F60F7C"/>
    <w:rsid w:val="00F6135A"/>
    <w:rsid w:val="00F634C9"/>
    <w:rsid w:val="00F64A93"/>
    <w:rsid w:val="00F655A4"/>
    <w:rsid w:val="00F6615F"/>
    <w:rsid w:val="00F66719"/>
    <w:rsid w:val="00F66D7B"/>
    <w:rsid w:val="00F701FF"/>
    <w:rsid w:val="00F705F3"/>
    <w:rsid w:val="00F70C41"/>
    <w:rsid w:val="00F711DF"/>
    <w:rsid w:val="00F71609"/>
    <w:rsid w:val="00F71F93"/>
    <w:rsid w:val="00F72CD0"/>
    <w:rsid w:val="00F779B3"/>
    <w:rsid w:val="00F800A4"/>
    <w:rsid w:val="00F80928"/>
    <w:rsid w:val="00F80E5D"/>
    <w:rsid w:val="00F80FF6"/>
    <w:rsid w:val="00F836E3"/>
    <w:rsid w:val="00F84A79"/>
    <w:rsid w:val="00F851CE"/>
    <w:rsid w:val="00F8520D"/>
    <w:rsid w:val="00F879FB"/>
    <w:rsid w:val="00F904F3"/>
    <w:rsid w:val="00F90975"/>
    <w:rsid w:val="00F90B5E"/>
    <w:rsid w:val="00F90F64"/>
    <w:rsid w:val="00F933D0"/>
    <w:rsid w:val="00F945F3"/>
    <w:rsid w:val="00F94AB6"/>
    <w:rsid w:val="00F94CA5"/>
    <w:rsid w:val="00F94D62"/>
    <w:rsid w:val="00F97A78"/>
    <w:rsid w:val="00FA0250"/>
    <w:rsid w:val="00FA1E75"/>
    <w:rsid w:val="00FA22B6"/>
    <w:rsid w:val="00FA24E7"/>
    <w:rsid w:val="00FA262F"/>
    <w:rsid w:val="00FA2FDE"/>
    <w:rsid w:val="00FA3B60"/>
    <w:rsid w:val="00FA63B6"/>
    <w:rsid w:val="00FA7C07"/>
    <w:rsid w:val="00FB2FCB"/>
    <w:rsid w:val="00FB3D30"/>
    <w:rsid w:val="00FB51A1"/>
    <w:rsid w:val="00FB5F9B"/>
    <w:rsid w:val="00FC1074"/>
    <w:rsid w:val="00FC1884"/>
    <w:rsid w:val="00FC2560"/>
    <w:rsid w:val="00FC3261"/>
    <w:rsid w:val="00FC3F41"/>
    <w:rsid w:val="00FC43EC"/>
    <w:rsid w:val="00FC4D3B"/>
    <w:rsid w:val="00FC54DC"/>
    <w:rsid w:val="00FC5804"/>
    <w:rsid w:val="00FC6983"/>
    <w:rsid w:val="00FC7907"/>
    <w:rsid w:val="00FD0D19"/>
    <w:rsid w:val="00FD1532"/>
    <w:rsid w:val="00FD1A8B"/>
    <w:rsid w:val="00FD1B24"/>
    <w:rsid w:val="00FD2100"/>
    <w:rsid w:val="00FD446D"/>
    <w:rsid w:val="00FD4776"/>
    <w:rsid w:val="00FD4C13"/>
    <w:rsid w:val="00FD583B"/>
    <w:rsid w:val="00FE06ED"/>
    <w:rsid w:val="00FE25B3"/>
    <w:rsid w:val="00FE5C7C"/>
    <w:rsid w:val="00FE5DA3"/>
    <w:rsid w:val="00FE74D2"/>
    <w:rsid w:val="00FF1B3F"/>
    <w:rsid w:val="00FF1EE4"/>
    <w:rsid w:val="00FF3120"/>
    <w:rsid w:val="00FF34E4"/>
    <w:rsid w:val="00FF35AB"/>
    <w:rsid w:val="00FF3DCF"/>
    <w:rsid w:val="00FF41C5"/>
    <w:rsid w:val="00FF45C0"/>
    <w:rsid w:val="00FF5143"/>
    <w:rsid w:val="00FF599C"/>
    <w:rsid w:val="00FF5AA3"/>
    <w:rsid w:val="00FF5B4D"/>
    <w:rsid w:val="00FF6E1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067A6D"/>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B24622"/>
    <w:pPr>
      <w:keepNext/>
      <w:widowControl/>
      <w:spacing w:after="200" w:line="276" w:lineRule="auto"/>
      <w:outlineLvl w:val="1"/>
    </w:pPr>
    <w:rPr>
      <w:b/>
      <w:bCs/>
      <w:i/>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B24622"/>
    <w:rPr>
      <w:rFonts w:ascii="Arial" w:hAnsi="Arial" w:cs="Arial"/>
      <w:b/>
      <w:bCs/>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PBAC Caption Tables + Figures,Caption Char1 Char,Caption Char Char Char,Caption Char1 Char Char Char,Caption Char Char Char Char Char,Caption Char Char1 Char,Caption Char1 Char1,Caption Char Char Char1,Caption Char1,Caption Char Char,IB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PBAC Caption Tables + Figures Char,Caption Char1 Char Char,Caption Char Char Char Char,Caption Char1 Char Char Char Char,Caption Char Char Char Char Char Char,Caption Char Char1 Char Char,Caption Char1 Char1 Char,Caption Char1 Char2"/>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paragraph" w:styleId="FootnoteText">
    <w:name w:val="footnote text"/>
    <w:basedOn w:val="Normal"/>
    <w:link w:val="FootnoteTextChar"/>
    <w:semiHidden/>
    <w:unhideWhenUsed/>
    <w:rsid w:val="005B4F9D"/>
    <w:rPr>
      <w:sz w:val="20"/>
    </w:rPr>
  </w:style>
  <w:style w:type="character" w:customStyle="1" w:styleId="FootnoteTextChar">
    <w:name w:val="Footnote Text Char"/>
    <w:basedOn w:val="DefaultParagraphFont"/>
    <w:link w:val="FootnoteText"/>
    <w:semiHidden/>
    <w:rsid w:val="005B4F9D"/>
    <w:rPr>
      <w:rFonts w:ascii="Arial" w:hAnsi="Arial" w:cs="Arial"/>
      <w:snapToGrid w:val="0"/>
      <w:lang w:eastAsia="en-US"/>
    </w:rPr>
  </w:style>
  <w:style w:type="character" w:styleId="FootnoteReference">
    <w:name w:val="footnote reference"/>
    <w:basedOn w:val="DefaultParagraphFont"/>
    <w:semiHidden/>
    <w:unhideWhenUsed/>
    <w:rsid w:val="005B4F9D"/>
    <w:rPr>
      <w:vertAlign w:val="superscript"/>
    </w:rPr>
  </w:style>
  <w:style w:type="paragraph" w:customStyle="1" w:styleId="TableHeaderRow">
    <w:name w:val="Table Header Row"/>
    <w:qFormat/>
    <w:rsid w:val="00A635A1"/>
    <w:pPr>
      <w:keepNext/>
      <w:spacing w:before="60" w:after="60"/>
      <w:jc w:val="center"/>
    </w:pPr>
    <w:rPr>
      <w:rFonts w:ascii="Arial" w:hAnsi="Arial"/>
      <w:b/>
      <w:sz w:val="22"/>
      <w:lang w:eastAsia="en-GB"/>
    </w:rPr>
  </w:style>
  <w:style w:type="character" w:styleId="FollowedHyperlink">
    <w:name w:val="FollowedHyperlink"/>
    <w:basedOn w:val="DefaultParagraphFont"/>
    <w:semiHidden/>
    <w:unhideWhenUsed/>
    <w:rsid w:val="001D6AED"/>
    <w:rPr>
      <w:color w:val="800080" w:themeColor="followedHyperlink"/>
      <w:u w:val="single"/>
    </w:rPr>
  </w:style>
  <w:style w:type="character" w:styleId="PlaceholderText">
    <w:name w:val="Placeholder Text"/>
    <w:basedOn w:val="DefaultParagraphFont"/>
    <w:uiPriority w:val="99"/>
    <w:semiHidden/>
    <w:rsid w:val="000253EB"/>
    <w:rPr>
      <w:color w:val="808080"/>
    </w:rPr>
  </w:style>
  <w:style w:type="character" w:customStyle="1" w:styleId="ListParagraphChar">
    <w:name w:val="List Paragraph Char"/>
    <w:link w:val="ListParagraph"/>
    <w:uiPriority w:val="72"/>
    <w:rsid w:val="009347BA"/>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85897"/>
    <w:pPr>
      <w:widowControl/>
      <w:spacing w:after="160" w:line="240" w:lineRule="exact"/>
      <w:jc w:val="left"/>
    </w:pPr>
    <w:rPr>
      <w:rFonts w:ascii="Verdana" w:eastAsia="MS Mincho" w:hAnsi="Verdana" w:cs="Verdana"/>
      <w:snapToGrid/>
      <w:sz w:val="20"/>
      <w:szCs w:val="20"/>
      <w:lang w:val="en-US"/>
    </w:rPr>
  </w:style>
  <w:style w:type="paragraph" w:customStyle="1" w:styleId="CharChar2Char">
    <w:name w:val="Char Char2 Char"/>
    <w:basedOn w:val="Normal"/>
    <w:rsid w:val="00A17A08"/>
    <w:pPr>
      <w:widowControl/>
      <w:spacing w:after="160" w:line="240" w:lineRule="exact"/>
      <w:jc w:val="left"/>
    </w:pPr>
    <w:rPr>
      <w:rFonts w:ascii="Verdana" w:eastAsia="SimSun" w:hAnsi="Verdana" w:cs="Verdana"/>
      <w:snapToGrid/>
      <w:sz w:val="20"/>
      <w:szCs w:val="20"/>
      <w:lang w:val="en-US"/>
    </w:rPr>
  </w:style>
  <w:style w:type="paragraph" w:customStyle="1" w:styleId="CharChar2Char0">
    <w:name w:val="Char Char2 Char"/>
    <w:basedOn w:val="Normal"/>
    <w:rsid w:val="002C40CA"/>
    <w:pPr>
      <w:widowControl/>
      <w:spacing w:after="160" w:line="240" w:lineRule="exact"/>
      <w:jc w:val="left"/>
    </w:pPr>
    <w:rPr>
      <w:rFonts w:ascii="Verdana" w:eastAsia="SimSun" w:hAnsi="Verdana" w:cs="Verdana"/>
      <w:snapToGrid/>
      <w:sz w:val="20"/>
      <w:szCs w:val="20"/>
      <w:lang w:val="en-US"/>
    </w:rPr>
  </w:style>
  <w:style w:type="paragraph" w:customStyle="1" w:styleId="CharChar2Char1">
    <w:name w:val="Char Char2 Char"/>
    <w:basedOn w:val="Normal"/>
    <w:rsid w:val="00B557D2"/>
    <w:pPr>
      <w:widowControl/>
      <w:spacing w:after="160" w:line="240" w:lineRule="exact"/>
      <w:jc w:val="left"/>
    </w:pPr>
    <w:rPr>
      <w:rFonts w:ascii="Verdana" w:eastAsia="SimSun" w:hAnsi="Verdana" w:cs="Verdana"/>
      <w:snapToGrid/>
      <w:sz w:val="20"/>
      <w:szCs w:val="20"/>
      <w:lang w:val="en-US"/>
    </w:rPr>
  </w:style>
  <w:style w:type="character" w:styleId="IntenseReference">
    <w:name w:val="Intense Reference"/>
    <w:basedOn w:val="DefaultParagraphFont"/>
    <w:uiPriority w:val="32"/>
    <w:qFormat/>
    <w:rsid w:val="00885DF9"/>
    <w:rPr>
      <w:b/>
      <w:bCs/>
      <w:i/>
      <w:smallCaps/>
      <w:color w:val="C0504D" w:themeColor="accent2"/>
      <w:spacing w:val="5"/>
      <w:u w:val="none"/>
    </w:rPr>
  </w:style>
  <w:style w:type="paragraph" w:styleId="ListBullet">
    <w:name w:val="List Bullet"/>
    <w:basedOn w:val="Normal"/>
    <w:autoRedefine/>
    <w:rsid w:val="00AD6411"/>
    <w:pPr>
      <w:widowControl/>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067A6D"/>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B24622"/>
    <w:pPr>
      <w:keepNext/>
      <w:widowControl/>
      <w:spacing w:after="200" w:line="276" w:lineRule="auto"/>
      <w:outlineLvl w:val="1"/>
    </w:pPr>
    <w:rPr>
      <w:b/>
      <w:bCs/>
      <w:i/>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B24622"/>
    <w:rPr>
      <w:rFonts w:ascii="Arial" w:hAnsi="Arial" w:cs="Arial"/>
      <w:b/>
      <w:bCs/>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PBAC Caption Tables + Figures,Caption Char1 Char,Caption Char Char Char,Caption Char1 Char Char Char,Caption Char Char Char Char Char,Caption Char Char1 Char,Caption Char1 Char1,Caption Char Char Char1,Caption Char1,Caption Char Char,IB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PBAC Caption Tables + Figures Char,Caption Char1 Char Char,Caption Char Char Char Char,Caption Char1 Char Char Char Char,Caption Char Char Char Char Char Char,Caption Char Char1 Char Char,Caption Char1 Char1 Char,Caption Char1 Char2"/>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paragraph" w:styleId="FootnoteText">
    <w:name w:val="footnote text"/>
    <w:basedOn w:val="Normal"/>
    <w:link w:val="FootnoteTextChar"/>
    <w:semiHidden/>
    <w:unhideWhenUsed/>
    <w:rsid w:val="005B4F9D"/>
    <w:rPr>
      <w:sz w:val="20"/>
    </w:rPr>
  </w:style>
  <w:style w:type="character" w:customStyle="1" w:styleId="FootnoteTextChar">
    <w:name w:val="Footnote Text Char"/>
    <w:basedOn w:val="DefaultParagraphFont"/>
    <w:link w:val="FootnoteText"/>
    <w:semiHidden/>
    <w:rsid w:val="005B4F9D"/>
    <w:rPr>
      <w:rFonts w:ascii="Arial" w:hAnsi="Arial" w:cs="Arial"/>
      <w:snapToGrid w:val="0"/>
      <w:lang w:eastAsia="en-US"/>
    </w:rPr>
  </w:style>
  <w:style w:type="character" w:styleId="FootnoteReference">
    <w:name w:val="footnote reference"/>
    <w:basedOn w:val="DefaultParagraphFont"/>
    <w:semiHidden/>
    <w:unhideWhenUsed/>
    <w:rsid w:val="005B4F9D"/>
    <w:rPr>
      <w:vertAlign w:val="superscript"/>
    </w:rPr>
  </w:style>
  <w:style w:type="paragraph" w:customStyle="1" w:styleId="TableHeaderRow">
    <w:name w:val="Table Header Row"/>
    <w:qFormat/>
    <w:rsid w:val="00A635A1"/>
    <w:pPr>
      <w:keepNext/>
      <w:spacing w:before="60" w:after="60"/>
      <w:jc w:val="center"/>
    </w:pPr>
    <w:rPr>
      <w:rFonts w:ascii="Arial" w:hAnsi="Arial"/>
      <w:b/>
      <w:sz w:val="22"/>
      <w:lang w:eastAsia="en-GB"/>
    </w:rPr>
  </w:style>
  <w:style w:type="character" w:styleId="FollowedHyperlink">
    <w:name w:val="FollowedHyperlink"/>
    <w:basedOn w:val="DefaultParagraphFont"/>
    <w:semiHidden/>
    <w:unhideWhenUsed/>
    <w:rsid w:val="001D6AED"/>
    <w:rPr>
      <w:color w:val="800080" w:themeColor="followedHyperlink"/>
      <w:u w:val="single"/>
    </w:rPr>
  </w:style>
  <w:style w:type="character" w:styleId="PlaceholderText">
    <w:name w:val="Placeholder Text"/>
    <w:basedOn w:val="DefaultParagraphFont"/>
    <w:uiPriority w:val="99"/>
    <w:semiHidden/>
    <w:rsid w:val="000253EB"/>
    <w:rPr>
      <w:color w:val="808080"/>
    </w:rPr>
  </w:style>
  <w:style w:type="character" w:customStyle="1" w:styleId="ListParagraphChar">
    <w:name w:val="List Paragraph Char"/>
    <w:link w:val="ListParagraph"/>
    <w:uiPriority w:val="72"/>
    <w:rsid w:val="009347BA"/>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85897"/>
    <w:pPr>
      <w:widowControl/>
      <w:spacing w:after="160" w:line="240" w:lineRule="exact"/>
      <w:jc w:val="left"/>
    </w:pPr>
    <w:rPr>
      <w:rFonts w:ascii="Verdana" w:eastAsia="MS Mincho" w:hAnsi="Verdana" w:cs="Verdana"/>
      <w:snapToGrid/>
      <w:sz w:val="20"/>
      <w:szCs w:val="20"/>
      <w:lang w:val="en-US"/>
    </w:rPr>
  </w:style>
  <w:style w:type="paragraph" w:customStyle="1" w:styleId="CharChar2Char">
    <w:name w:val="Char Char2 Char"/>
    <w:basedOn w:val="Normal"/>
    <w:rsid w:val="00A17A08"/>
    <w:pPr>
      <w:widowControl/>
      <w:spacing w:after="160" w:line="240" w:lineRule="exact"/>
      <w:jc w:val="left"/>
    </w:pPr>
    <w:rPr>
      <w:rFonts w:ascii="Verdana" w:eastAsia="SimSun" w:hAnsi="Verdana" w:cs="Verdana"/>
      <w:snapToGrid/>
      <w:sz w:val="20"/>
      <w:szCs w:val="20"/>
      <w:lang w:val="en-US"/>
    </w:rPr>
  </w:style>
  <w:style w:type="paragraph" w:customStyle="1" w:styleId="CharChar2Char0">
    <w:name w:val="Char Char2 Char"/>
    <w:basedOn w:val="Normal"/>
    <w:rsid w:val="002C40CA"/>
    <w:pPr>
      <w:widowControl/>
      <w:spacing w:after="160" w:line="240" w:lineRule="exact"/>
      <w:jc w:val="left"/>
    </w:pPr>
    <w:rPr>
      <w:rFonts w:ascii="Verdana" w:eastAsia="SimSun" w:hAnsi="Verdana" w:cs="Verdana"/>
      <w:snapToGrid/>
      <w:sz w:val="20"/>
      <w:szCs w:val="20"/>
      <w:lang w:val="en-US"/>
    </w:rPr>
  </w:style>
  <w:style w:type="paragraph" w:customStyle="1" w:styleId="CharChar2Char1">
    <w:name w:val="Char Char2 Char"/>
    <w:basedOn w:val="Normal"/>
    <w:rsid w:val="00B557D2"/>
    <w:pPr>
      <w:widowControl/>
      <w:spacing w:after="160" w:line="240" w:lineRule="exact"/>
      <w:jc w:val="left"/>
    </w:pPr>
    <w:rPr>
      <w:rFonts w:ascii="Verdana" w:eastAsia="SimSun" w:hAnsi="Verdana" w:cs="Verdana"/>
      <w:snapToGrid/>
      <w:sz w:val="20"/>
      <w:szCs w:val="20"/>
      <w:lang w:val="en-US"/>
    </w:rPr>
  </w:style>
  <w:style w:type="character" w:styleId="IntenseReference">
    <w:name w:val="Intense Reference"/>
    <w:basedOn w:val="DefaultParagraphFont"/>
    <w:uiPriority w:val="32"/>
    <w:qFormat/>
    <w:rsid w:val="00885DF9"/>
    <w:rPr>
      <w:b/>
      <w:bCs/>
      <w:i/>
      <w:smallCaps/>
      <w:color w:val="C0504D" w:themeColor="accent2"/>
      <w:spacing w:val="5"/>
      <w:u w:val="none"/>
    </w:rPr>
  </w:style>
  <w:style w:type="paragraph" w:styleId="ListBullet">
    <w:name w:val="List Bullet"/>
    <w:basedOn w:val="Normal"/>
    <w:autoRedefine/>
    <w:rsid w:val="00AD6411"/>
    <w:pPr>
      <w:widowControl/>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22308">
      <w:bodyDiv w:val="1"/>
      <w:marLeft w:val="0"/>
      <w:marRight w:val="0"/>
      <w:marTop w:val="0"/>
      <w:marBottom w:val="0"/>
      <w:divBdr>
        <w:top w:val="none" w:sz="0" w:space="0" w:color="auto"/>
        <w:left w:val="none" w:sz="0" w:space="0" w:color="auto"/>
        <w:bottom w:val="none" w:sz="0" w:space="0" w:color="auto"/>
        <w:right w:val="none" w:sz="0" w:space="0" w:color="auto"/>
      </w:divBdr>
    </w:div>
    <w:div w:id="351686134">
      <w:bodyDiv w:val="1"/>
      <w:marLeft w:val="0"/>
      <w:marRight w:val="0"/>
      <w:marTop w:val="0"/>
      <w:marBottom w:val="0"/>
      <w:divBdr>
        <w:top w:val="none" w:sz="0" w:space="0" w:color="auto"/>
        <w:left w:val="none" w:sz="0" w:space="0" w:color="auto"/>
        <w:bottom w:val="none" w:sz="0" w:space="0" w:color="auto"/>
        <w:right w:val="none" w:sz="0" w:space="0" w:color="auto"/>
      </w:divBdr>
    </w:div>
    <w:div w:id="393049472">
      <w:bodyDiv w:val="1"/>
      <w:marLeft w:val="0"/>
      <w:marRight w:val="0"/>
      <w:marTop w:val="0"/>
      <w:marBottom w:val="0"/>
      <w:divBdr>
        <w:top w:val="none" w:sz="0" w:space="0" w:color="auto"/>
        <w:left w:val="none" w:sz="0" w:space="0" w:color="auto"/>
        <w:bottom w:val="none" w:sz="0" w:space="0" w:color="auto"/>
        <w:right w:val="none" w:sz="0" w:space="0" w:color="auto"/>
      </w:divBdr>
    </w:div>
    <w:div w:id="448936808">
      <w:bodyDiv w:val="1"/>
      <w:marLeft w:val="0"/>
      <w:marRight w:val="0"/>
      <w:marTop w:val="0"/>
      <w:marBottom w:val="0"/>
      <w:divBdr>
        <w:top w:val="none" w:sz="0" w:space="0" w:color="auto"/>
        <w:left w:val="none" w:sz="0" w:space="0" w:color="auto"/>
        <w:bottom w:val="none" w:sz="0" w:space="0" w:color="auto"/>
        <w:right w:val="none" w:sz="0" w:space="0" w:color="auto"/>
      </w:divBdr>
    </w:div>
    <w:div w:id="464584806">
      <w:bodyDiv w:val="1"/>
      <w:marLeft w:val="0"/>
      <w:marRight w:val="0"/>
      <w:marTop w:val="0"/>
      <w:marBottom w:val="0"/>
      <w:divBdr>
        <w:top w:val="none" w:sz="0" w:space="0" w:color="auto"/>
        <w:left w:val="none" w:sz="0" w:space="0" w:color="auto"/>
        <w:bottom w:val="none" w:sz="0" w:space="0" w:color="auto"/>
        <w:right w:val="none" w:sz="0" w:space="0" w:color="auto"/>
      </w:divBdr>
    </w:div>
    <w:div w:id="479620122">
      <w:bodyDiv w:val="1"/>
      <w:marLeft w:val="0"/>
      <w:marRight w:val="0"/>
      <w:marTop w:val="0"/>
      <w:marBottom w:val="0"/>
      <w:divBdr>
        <w:top w:val="none" w:sz="0" w:space="0" w:color="auto"/>
        <w:left w:val="none" w:sz="0" w:space="0" w:color="auto"/>
        <w:bottom w:val="none" w:sz="0" w:space="0" w:color="auto"/>
        <w:right w:val="none" w:sz="0" w:space="0" w:color="auto"/>
      </w:divBdr>
    </w:div>
    <w:div w:id="491726874">
      <w:bodyDiv w:val="1"/>
      <w:marLeft w:val="0"/>
      <w:marRight w:val="0"/>
      <w:marTop w:val="0"/>
      <w:marBottom w:val="0"/>
      <w:divBdr>
        <w:top w:val="none" w:sz="0" w:space="0" w:color="auto"/>
        <w:left w:val="none" w:sz="0" w:space="0" w:color="auto"/>
        <w:bottom w:val="none" w:sz="0" w:space="0" w:color="auto"/>
        <w:right w:val="none" w:sz="0" w:space="0" w:color="auto"/>
      </w:divBdr>
      <w:divsChild>
        <w:div w:id="1787037832">
          <w:marLeft w:val="547"/>
          <w:marRight w:val="0"/>
          <w:marTop w:val="120"/>
          <w:marBottom w:val="0"/>
          <w:divBdr>
            <w:top w:val="none" w:sz="0" w:space="0" w:color="auto"/>
            <w:left w:val="none" w:sz="0" w:space="0" w:color="auto"/>
            <w:bottom w:val="none" w:sz="0" w:space="0" w:color="auto"/>
            <w:right w:val="none" w:sz="0" w:space="0" w:color="auto"/>
          </w:divBdr>
        </w:div>
        <w:div w:id="699428557">
          <w:marLeft w:val="547"/>
          <w:marRight w:val="0"/>
          <w:marTop w:val="120"/>
          <w:marBottom w:val="0"/>
          <w:divBdr>
            <w:top w:val="none" w:sz="0" w:space="0" w:color="auto"/>
            <w:left w:val="none" w:sz="0" w:space="0" w:color="auto"/>
            <w:bottom w:val="none" w:sz="0" w:space="0" w:color="auto"/>
            <w:right w:val="none" w:sz="0" w:space="0" w:color="auto"/>
          </w:divBdr>
        </w:div>
        <w:div w:id="125398802">
          <w:marLeft w:val="547"/>
          <w:marRight w:val="0"/>
          <w:marTop w:val="120"/>
          <w:marBottom w:val="0"/>
          <w:divBdr>
            <w:top w:val="none" w:sz="0" w:space="0" w:color="auto"/>
            <w:left w:val="none" w:sz="0" w:space="0" w:color="auto"/>
            <w:bottom w:val="none" w:sz="0" w:space="0" w:color="auto"/>
            <w:right w:val="none" w:sz="0" w:space="0" w:color="auto"/>
          </w:divBdr>
        </w:div>
      </w:divsChild>
    </w:div>
    <w:div w:id="542446088">
      <w:bodyDiv w:val="1"/>
      <w:marLeft w:val="0"/>
      <w:marRight w:val="0"/>
      <w:marTop w:val="0"/>
      <w:marBottom w:val="0"/>
      <w:divBdr>
        <w:top w:val="none" w:sz="0" w:space="0" w:color="auto"/>
        <w:left w:val="none" w:sz="0" w:space="0" w:color="auto"/>
        <w:bottom w:val="none" w:sz="0" w:space="0" w:color="auto"/>
        <w:right w:val="none" w:sz="0" w:space="0" w:color="auto"/>
      </w:divBdr>
    </w:div>
    <w:div w:id="861209204">
      <w:bodyDiv w:val="1"/>
      <w:marLeft w:val="0"/>
      <w:marRight w:val="0"/>
      <w:marTop w:val="0"/>
      <w:marBottom w:val="0"/>
      <w:divBdr>
        <w:top w:val="none" w:sz="0" w:space="0" w:color="auto"/>
        <w:left w:val="none" w:sz="0" w:space="0" w:color="auto"/>
        <w:bottom w:val="none" w:sz="0" w:space="0" w:color="auto"/>
        <w:right w:val="none" w:sz="0" w:space="0" w:color="auto"/>
      </w:divBdr>
    </w:div>
    <w:div w:id="943994234">
      <w:bodyDiv w:val="1"/>
      <w:marLeft w:val="0"/>
      <w:marRight w:val="0"/>
      <w:marTop w:val="0"/>
      <w:marBottom w:val="0"/>
      <w:divBdr>
        <w:top w:val="none" w:sz="0" w:space="0" w:color="auto"/>
        <w:left w:val="none" w:sz="0" w:space="0" w:color="auto"/>
        <w:bottom w:val="none" w:sz="0" w:space="0" w:color="auto"/>
        <w:right w:val="none" w:sz="0" w:space="0" w:color="auto"/>
      </w:divBdr>
    </w:div>
    <w:div w:id="1303463452">
      <w:bodyDiv w:val="1"/>
      <w:marLeft w:val="0"/>
      <w:marRight w:val="0"/>
      <w:marTop w:val="0"/>
      <w:marBottom w:val="0"/>
      <w:divBdr>
        <w:top w:val="none" w:sz="0" w:space="0" w:color="auto"/>
        <w:left w:val="none" w:sz="0" w:space="0" w:color="auto"/>
        <w:bottom w:val="none" w:sz="0" w:space="0" w:color="auto"/>
        <w:right w:val="none" w:sz="0" w:space="0" w:color="auto"/>
      </w:divBdr>
    </w:div>
    <w:div w:id="1399282633">
      <w:bodyDiv w:val="1"/>
      <w:marLeft w:val="0"/>
      <w:marRight w:val="0"/>
      <w:marTop w:val="0"/>
      <w:marBottom w:val="0"/>
      <w:divBdr>
        <w:top w:val="none" w:sz="0" w:space="0" w:color="auto"/>
        <w:left w:val="none" w:sz="0" w:space="0" w:color="auto"/>
        <w:bottom w:val="none" w:sz="0" w:space="0" w:color="auto"/>
        <w:right w:val="none" w:sz="0" w:space="0" w:color="auto"/>
      </w:divBdr>
    </w:div>
    <w:div w:id="1482191607">
      <w:bodyDiv w:val="1"/>
      <w:marLeft w:val="0"/>
      <w:marRight w:val="0"/>
      <w:marTop w:val="0"/>
      <w:marBottom w:val="0"/>
      <w:divBdr>
        <w:top w:val="none" w:sz="0" w:space="0" w:color="auto"/>
        <w:left w:val="none" w:sz="0" w:space="0" w:color="auto"/>
        <w:bottom w:val="none" w:sz="0" w:space="0" w:color="auto"/>
        <w:right w:val="none" w:sz="0" w:space="0" w:color="auto"/>
      </w:divBdr>
    </w:div>
    <w:div w:id="1739548698">
      <w:bodyDiv w:val="1"/>
      <w:marLeft w:val="0"/>
      <w:marRight w:val="0"/>
      <w:marTop w:val="0"/>
      <w:marBottom w:val="0"/>
      <w:divBdr>
        <w:top w:val="none" w:sz="0" w:space="0" w:color="auto"/>
        <w:left w:val="none" w:sz="0" w:space="0" w:color="auto"/>
        <w:bottom w:val="none" w:sz="0" w:space="0" w:color="auto"/>
        <w:right w:val="none" w:sz="0" w:space="0" w:color="auto"/>
      </w:divBdr>
    </w:div>
    <w:div w:id="1789280824">
      <w:bodyDiv w:val="1"/>
      <w:marLeft w:val="0"/>
      <w:marRight w:val="0"/>
      <w:marTop w:val="0"/>
      <w:marBottom w:val="0"/>
      <w:divBdr>
        <w:top w:val="none" w:sz="0" w:space="0" w:color="auto"/>
        <w:left w:val="none" w:sz="0" w:space="0" w:color="auto"/>
        <w:bottom w:val="none" w:sz="0" w:space="0" w:color="auto"/>
        <w:right w:val="none" w:sz="0" w:space="0" w:color="auto"/>
      </w:divBdr>
    </w:div>
    <w:div w:id="1796022752">
      <w:bodyDiv w:val="1"/>
      <w:marLeft w:val="0"/>
      <w:marRight w:val="0"/>
      <w:marTop w:val="0"/>
      <w:marBottom w:val="0"/>
      <w:divBdr>
        <w:top w:val="none" w:sz="0" w:space="0" w:color="auto"/>
        <w:left w:val="none" w:sz="0" w:space="0" w:color="auto"/>
        <w:bottom w:val="none" w:sz="0" w:space="0" w:color="auto"/>
        <w:right w:val="none" w:sz="0" w:space="0" w:color="auto"/>
      </w:divBdr>
    </w:div>
    <w:div w:id="2001881886">
      <w:bodyDiv w:val="1"/>
      <w:marLeft w:val="0"/>
      <w:marRight w:val="0"/>
      <w:marTop w:val="0"/>
      <w:marBottom w:val="0"/>
      <w:divBdr>
        <w:top w:val="none" w:sz="0" w:space="0" w:color="auto"/>
        <w:left w:val="none" w:sz="0" w:space="0" w:color="auto"/>
        <w:bottom w:val="none" w:sz="0" w:space="0" w:color="auto"/>
        <w:right w:val="none" w:sz="0" w:space="0" w:color="auto"/>
      </w:divBdr>
      <w:divsChild>
        <w:div w:id="1922835955">
          <w:marLeft w:val="547"/>
          <w:marRight w:val="0"/>
          <w:marTop w:val="130"/>
          <w:marBottom w:val="0"/>
          <w:divBdr>
            <w:top w:val="none" w:sz="0" w:space="0" w:color="auto"/>
            <w:left w:val="none" w:sz="0" w:space="0" w:color="auto"/>
            <w:bottom w:val="none" w:sz="0" w:space="0" w:color="auto"/>
            <w:right w:val="none" w:sz="0" w:space="0" w:color="auto"/>
          </w:divBdr>
        </w:div>
      </w:divsChild>
    </w:div>
    <w:div w:id="201826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7071F-FCF8-40E2-9A5A-4CB43BB3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7588</Words>
  <Characters>44466</Characters>
  <Application>Microsoft Office Word</Application>
  <DocSecurity>0</DocSecurity>
  <Lines>370</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2015-10-23T04:37:00Z</dcterms:created>
  <dcterms:modified xsi:type="dcterms:W3CDTF">2015-10-23T04:41:00Z</dcterms:modified>
</cp:coreProperties>
</file>