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81" w:rsidRPr="006D6EC7" w:rsidRDefault="00662381" w:rsidP="00662381">
      <w:pPr>
        <w:ind w:left="720" w:hanging="720"/>
        <w:rPr>
          <w:rFonts w:ascii="Arial" w:hAnsi="Arial"/>
          <w:b/>
          <w:sz w:val="28"/>
          <w:szCs w:val="28"/>
        </w:rPr>
      </w:pPr>
      <w:bookmarkStart w:id="0" w:name="_GoBack"/>
      <w:bookmarkEnd w:id="0"/>
      <w:r>
        <w:rPr>
          <w:rFonts w:ascii="Arial" w:hAnsi="Arial"/>
          <w:b/>
          <w:sz w:val="28"/>
          <w:szCs w:val="28"/>
        </w:rPr>
        <w:t>5.17</w:t>
      </w:r>
      <w:r w:rsidR="007C0F57" w:rsidRPr="006D6EC7">
        <w:rPr>
          <w:rFonts w:ascii="Arial" w:hAnsi="Arial"/>
          <w:b/>
          <w:sz w:val="28"/>
          <w:szCs w:val="28"/>
        </w:rPr>
        <w:tab/>
      </w:r>
      <w:r>
        <w:rPr>
          <w:rFonts w:ascii="Arial" w:hAnsi="Arial"/>
          <w:b/>
          <w:sz w:val="28"/>
          <w:szCs w:val="28"/>
        </w:rPr>
        <w:t xml:space="preserve">RIVASTIGMINE, </w:t>
      </w:r>
      <w:r w:rsidR="00B41FCF">
        <w:rPr>
          <w:rFonts w:ascii="Arial" w:hAnsi="Arial"/>
          <w:b/>
          <w:sz w:val="28"/>
          <w:szCs w:val="28"/>
        </w:rPr>
        <w:t>13.3</w:t>
      </w:r>
      <w:r>
        <w:rPr>
          <w:rFonts w:ascii="Arial" w:hAnsi="Arial"/>
          <w:b/>
          <w:sz w:val="28"/>
          <w:szCs w:val="28"/>
        </w:rPr>
        <w:t xml:space="preserve"> milligrams/24 hours patch, Exelon</w:t>
      </w:r>
      <w:r w:rsidRPr="006D6EC7">
        <w:rPr>
          <w:rFonts w:ascii="Arial" w:hAnsi="Arial"/>
          <w:b/>
          <w:sz w:val="28"/>
          <w:szCs w:val="28"/>
          <w:vertAlign w:val="superscript"/>
        </w:rPr>
        <w:t>®</w:t>
      </w:r>
      <w:r w:rsidR="00355B20">
        <w:rPr>
          <w:rFonts w:ascii="Arial" w:hAnsi="Arial"/>
          <w:b/>
          <w:sz w:val="28"/>
          <w:szCs w:val="28"/>
        </w:rPr>
        <w:t>15, Novar</w:t>
      </w:r>
      <w:r>
        <w:rPr>
          <w:rFonts w:ascii="Arial" w:hAnsi="Arial"/>
          <w:b/>
          <w:sz w:val="28"/>
          <w:szCs w:val="28"/>
        </w:rPr>
        <w:t>tis Pharmaceuticals Australia Pty Limited</w:t>
      </w:r>
    </w:p>
    <w:p w:rsidR="00CE10C4" w:rsidRDefault="00CE10C4" w:rsidP="00662381">
      <w:pPr>
        <w:ind w:left="720" w:hanging="720"/>
      </w:pPr>
    </w:p>
    <w:p w:rsidR="00C27B58" w:rsidRDefault="00C27B58" w:rsidP="00C27B58">
      <w:pPr>
        <w:pStyle w:val="NoSpacing"/>
      </w:pPr>
    </w:p>
    <w:p w:rsidR="00CE10C4" w:rsidRPr="00882085"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662381" w:rsidRPr="00662381" w:rsidRDefault="00EF44A0" w:rsidP="00882085">
      <w:pPr>
        <w:pStyle w:val="ListParagraph"/>
        <w:numPr>
          <w:ilvl w:val="1"/>
          <w:numId w:val="25"/>
        </w:numPr>
        <w:jc w:val="both"/>
        <w:rPr>
          <w:rFonts w:ascii="Arial" w:hAnsi="Arial"/>
          <w:b/>
          <w:sz w:val="22"/>
          <w:szCs w:val="22"/>
        </w:rPr>
      </w:pPr>
      <w:r>
        <w:rPr>
          <w:rFonts w:ascii="Arial" w:hAnsi="Arial"/>
          <w:sz w:val="22"/>
          <w:szCs w:val="22"/>
        </w:rPr>
        <w:t>The minor submission seeks to</w:t>
      </w:r>
      <w:r w:rsidR="00662381">
        <w:rPr>
          <w:rFonts w:ascii="Arial" w:hAnsi="Arial"/>
          <w:sz w:val="22"/>
          <w:szCs w:val="22"/>
        </w:rPr>
        <w:t xml:space="preserve"> list an additional strength of rivastigmine transdermal patches.  This will provide an additional dosing option for patients with mild to moderately severe Alzheimer-type dementia.</w:t>
      </w:r>
    </w:p>
    <w:p w:rsidR="00EF44A0" w:rsidRDefault="00EF44A0" w:rsidP="00C27B58">
      <w:pPr>
        <w:pStyle w:val="NoSpacing"/>
      </w:pPr>
    </w:p>
    <w:p w:rsidR="00F40F42" w:rsidRPr="00C27B58" w:rsidRDefault="00F40F42"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F9629A" w:rsidRPr="004465BD" w:rsidRDefault="00EF44A0" w:rsidP="00237140">
      <w:pPr>
        <w:pStyle w:val="ListParagraph"/>
        <w:numPr>
          <w:ilvl w:val="1"/>
          <w:numId w:val="25"/>
        </w:numPr>
        <w:jc w:val="both"/>
        <w:rPr>
          <w:rFonts w:ascii="Arial" w:hAnsi="Arial"/>
          <w:sz w:val="22"/>
          <w:szCs w:val="22"/>
        </w:rPr>
      </w:pPr>
      <w:r>
        <w:rPr>
          <w:rFonts w:ascii="Arial" w:hAnsi="Arial"/>
          <w:sz w:val="22"/>
          <w:szCs w:val="22"/>
        </w:rPr>
        <w:t>The submission s</w:t>
      </w:r>
      <w:r w:rsidR="0076420C">
        <w:rPr>
          <w:rFonts w:ascii="Arial" w:hAnsi="Arial"/>
          <w:sz w:val="22"/>
          <w:szCs w:val="22"/>
        </w:rPr>
        <w:t>eeks</w:t>
      </w:r>
      <w:r>
        <w:rPr>
          <w:rFonts w:ascii="Arial" w:hAnsi="Arial"/>
          <w:sz w:val="22"/>
          <w:szCs w:val="22"/>
        </w:rPr>
        <w:t xml:space="preserve"> </w:t>
      </w:r>
      <w:r w:rsidR="00532737">
        <w:rPr>
          <w:rFonts w:ascii="Arial" w:hAnsi="Arial"/>
          <w:sz w:val="22"/>
          <w:szCs w:val="22"/>
        </w:rPr>
        <w:t>to</w:t>
      </w:r>
      <w:r w:rsidR="0076420C">
        <w:rPr>
          <w:rFonts w:ascii="Arial" w:hAnsi="Arial"/>
          <w:sz w:val="22"/>
          <w:szCs w:val="22"/>
        </w:rPr>
        <w:t xml:space="preserve"> </w:t>
      </w:r>
      <w:r>
        <w:rPr>
          <w:rFonts w:ascii="Arial" w:hAnsi="Arial"/>
          <w:sz w:val="22"/>
          <w:szCs w:val="22"/>
        </w:rPr>
        <w:t>list</w:t>
      </w:r>
      <w:r w:rsidR="00741706">
        <w:rPr>
          <w:rFonts w:ascii="Arial" w:hAnsi="Arial"/>
          <w:sz w:val="22"/>
          <w:szCs w:val="22"/>
        </w:rPr>
        <w:t xml:space="preserve"> </w:t>
      </w:r>
      <w:r w:rsidR="003E1536">
        <w:rPr>
          <w:rFonts w:ascii="Arial" w:hAnsi="Arial"/>
          <w:sz w:val="22"/>
          <w:szCs w:val="22"/>
        </w:rPr>
        <w:t xml:space="preserve">13.3 milligrams/24 hours patch </w:t>
      </w:r>
      <w:r w:rsidR="00B41FCF">
        <w:rPr>
          <w:rFonts w:ascii="Arial" w:hAnsi="Arial"/>
          <w:sz w:val="22"/>
          <w:szCs w:val="22"/>
        </w:rPr>
        <w:t>strength of rivastigmine with the same General Schedule listing as the existing patch strength</w:t>
      </w:r>
      <w:r w:rsidR="003E1536">
        <w:rPr>
          <w:rFonts w:ascii="Arial" w:hAnsi="Arial"/>
          <w:sz w:val="22"/>
          <w:szCs w:val="22"/>
        </w:rPr>
        <w:t>s</w:t>
      </w:r>
      <w:r w:rsidR="00F40F42">
        <w:rPr>
          <w:rFonts w:ascii="Arial" w:hAnsi="Arial"/>
          <w:sz w:val="22"/>
          <w:szCs w:val="22"/>
        </w:rPr>
        <w:t>: 4.6 </w:t>
      </w:r>
      <w:r w:rsidR="00B41FCF">
        <w:rPr>
          <w:rFonts w:ascii="Arial" w:hAnsi="Arial"/>
          <w:sz w:val="22"/>
          <w:szCs w:val="22"/>
        </w:rPr>
        <w:t>milligrams/24 hours and 9.5 milligrams/24 hours.</w:t>
      </w:r>
    </w:p>
    <w:p w:rsidR="00BB7EC3" w:rsidRDefault="00BB7EC3" w:rsidP="00882085">
      <w:pPr>
        <w:jc w:val="both"/>
        <w:rPr>
          <w:rFonts w:ascii="Arial" w:hAnsi="Arial"/>
          <w:b/>
          <w:sz w:val="22"/>
          <w:szCs w:val="22"/>
        </w:rPr>
      </w:pPr>
    </w:p>
    <w:p w:rsidR="00F40F42" w:rsidRPr="00882085" w:rsidRDefault="00F40F42"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996530" w:rsidRPr="00476245" w:rsidRDefault="00996530" w:rsidP="00996530">
      <w:pPr>
        <w:pStyle w:val="ListParagraph"/>
        <w:numPr>
          <w:ilvl w:val="1"/>
          <w:numId w:val="25"/>
        </w:numPr>
        <w:jc w:val="both"/>
        <w:rPr>
          <w:rFonts w:ascii="Arial" w:hAnsi="Arial"/>
          <w:i/>
          <w:sz w:val="22"/>
          <w:szCs w:val="22"/>
        </w:rPr>
      </w:pPr>
      <w:r>
        <w:rPr>
          <w:rFonts w:ascii="Arial" w:hAnsi="Arial"/>
          <w:sz w:val="22"/>
          <w:szCs w:val="22"/>
        </w:rPr>
        <w:t xml:space="preserve">The currently-listed rivastigmine transdermal patch strengths were TGA approved in March 2008 for the treatment of patients with mild, moderate and severe dementia of the Alzheimer’s type.  The requested strength was registered on ARTG </w:t>
      </w:r>
      <w:r w:rsidR="00F40F42">
        <w:rPr>
          <w:rFonts w:ascii="Arial" w:hAnsi="Arial"/>
          <w:sz w:val="22"/>
          <w:szCs w:val="22"/>
        </w:rPr>
        <w:t>on 7 </w:t>
      </w:r>
      <w:r>
        <w:rPr>
          <w:rFonts w:ascii="Arial" w:hAnsi="Arial"/>
          <w:sz w:val="22"/>
          <w:szCs w:val="22"/>
        </w:rPr>
        <w:t>April 2015.</w:t>
      </w:r>
    </w:p>
    <w:p w:rsidR="00996530" w:rsidRPr="00882085" w:rsidRDefault="00996530" w:rsidP="00996530">
      <w:pPr>
        <w:pStyle w:val="ListParagraph"/>
        <w:jc w:val="both"/>
        <w:rPr>
          <w:rFonts w:ascii="Arial" w:hAnsi="Arial"/>
          <w:sz w:val="22"/>
          <w:szCs w:val="22"/>
        </w:rPr>
      </w:pPr>
    </w:p>
    <w:p w:rsidR="00996530" w:rsidRPr="00882085" w:rsidRDefault="00996530" w:rsidP="00996530">
      <w:pPr>
        <w:pStyle w:val="ListParagraph"/>
        <w:numPr>
          <w:ilvl w:val="1"/>
          <w:numId w:val="25"/>
        </w:numPr>
        <w:jc w:val="both"/>
        <w:rPr>
          <w:rFonts w:ascii="Arial" w:hAnsi="Arial"/>
          <w:sz w:val="22"/>
          <w:szCs w:val="22"/>
        </w:rPr>
      </w:pPr>
      <w:r>
        <w:rPr>
          <w:rFonts w:ascii="Arial" w:hAnsi="Arial"/>
          <w:sz w:val="22"/>
          <w:szCs w:val="22"/>
        </w:rPr>
        <w:t>The currently-listed rivastigmine transdermal patch strengths were recommended for PBS listing at the March 2008 PBAC meeting for the treatment for Alzheimer’s disease.  The requested strengths have not previously been considered by the PBAC.</w:t>
      </w:r>
    </w:p>
    <w:p w:rsidR="00BB7EC3" w:rsidRDefault="00BB7EC3" w:rsidP="00882085">
      <w:pPr>
        <w:jc w:val="both"/>
        <w:rPr>
          <w:rFonts w:ascii="Arial" w:hAnsi="Arial"/>
          <w:b/>
          <w:sz w:val="22"/>
          <w:szCs w:val="22"/>
        </w:rPr>
      </w:pPr>
    </w:p>
    <w:p w:rsidR="00F40F42" w:rsidRDefault="00F40F42"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F14F77" w:rsidRDefault="00F14F77" w:rsidP="00F14F77">
      <w:pPr>
        <w:pStyle w:val="ListParagraph"/>
        <w:numPr>
          <w:ilvl w:val="1"/>
          <w:numId w:val="25"/>
        </w:numPr>
        <w:jc w:val="both"/>
        <w:rPr>
          <w:rFonts w:ascii="Arial" w:hAnsi="Arial"/>
          <w:sz w:val="22"/>
          <w:szCs w:val="22"/>
        </w:rPr>
      </w:pPr>
      <w:r w:rsidRPr="00F14F77">
        <w:rPr>
          <w:rFonts w:ascii="Arial" w:hAnsi="Arial"/>
          <w:sz w:val="22"/>
          <w:szCs w:val="22"/>
        </w:rPr>
        <w:t>Dementia of the Alzheimer type is a progressive neurodegenerative condition characterised by deterioration in cognition and memory, progressive impairment in the ability to carry out activities of daily living and a number of neuropsychiatric symptoms.</w:t>
      </w:r>
    </w:p>
    <w:p w:rsidR="001124EA" w:rsidRPr="00CE644D" w:rsidRDefault="001124EA" w:rsidP="00CE644D">
      <w:pPr>
        <w:jc w:val="both"/>
        <w:rPr>
          <w:rFonts w:ascii="Arial" w:hAnsi="Arial"/>
          <w:sz w:val="22"/>
          <w:szCs w:val="22"/>
        </w:rPr>
      </w:pPr>
    </w:p>
    <w:p w:rsidR="008309F7" w:rsidRDefault="001124EA" w:rsidP="001124EA">
      <w:pPr>
        <w:pStyle w:val="ListParagraph"/>
        <w:numPr>
          <w:ilvl w:val="1"/>
          <w:numId w:val="25"/>
        </w:numPr>
        <w:jc w:val="both"/>
        <w:rPr>
          <w:rFonts w:ascii="Arial" w:hAnsi="Arial"/>
          <w:sz w:val="22"/>
          <w:szCs w:val="22"/>
        </w:rPr>
      </w:pPr>
      <w:r>
        <w:rPr>
          <w:rFonts w:ascii="Arial" w:hAnsi="Arial"/>
          <w:sz w:val="22"/>
          <w:szCs w:val="22"/>
        </w:rPr>
        <w:t>Rivastigmine is a c</w:t>
      </w:r>
      <w:r w:rsidRPr="001124EA">
        <w:rPr>
          <w:rFonts w:ascii="Arial" w:hAnsi="Arial"/>
          <w:sz w:val="22"/>
          <w:szCs w:val="22"/>
        </w:rPr>
        <w:t>holinesterase inhibitor</w:t>
      </w:r>
      <w:r w:rsidR="00CB609A">
        <w:rPr>
          <w:rFonts w:ascii="Arial" w:hAnsi="Arial"/>
          <w:sz w:val="22"/>
          <w:szCs w:val="22"/>
        </w:rPr>
        <w:t xml:space="preserve">. </w:t>
      </w:r>
      <w:r w:rsidR="008309F7">
        <w:rPr>
          <w:rFonts w:ascii="Arial" w:hAnsi="Arial"/>
          <w:sz w:val="22"/>
          <w:szCs w:val="22"/>
        </w:rPr>
        <w:t xml:space="preserve">The requested </w:t>
      </w:r>
      <w:r>
        <w:rPr>
          <w:rFonts w:ascii="Arial" w:hAnsi="Arial"/>
          <w:sz w:val="22"/>
          <w:szCs w:val="22"/>
        </w:rPr>
        <w:t>additional strength would</w:t>
      </w:r>
      <w:r w:rsidR="003B117D">
        <w:rPr>
          <w:rFonts w:ascii="Arial" w:hAnsi="Arial"/>
          <w:sz w:val="22"/>
          <w:szCs w:val="22"/>
        </w:rPr>
        <w:t xml:space="preserve"> </w:t>
      </w:r>
      <w:r w:rsidR="008309F7">
        <w:rPr>
          <w:rFonts w:ascii="Arial" w:hAnsi="Arial"/>
          <w:sz w:val="22"/>
          <w:szCs w:val="22"/>
        </w:rPr>
        <w:t>provide an additional dosing option for patients with mild to moderately severe Alzheimer-type dementia.</w:t>
      </w:r>
    </w:p>
    <w:p w:rsidR="008A1956" w:rsidRDefault="008A1956" w:rsidP="00882085">
      <w:pPr>
        <w:pStyle w:val="Header"/>
        <w:tabs>
          <w:tab w:val="clear" w:pos="4153"/>
          <w:tab w:val="clear" w:pos="8306"/>
        </w:tabs>
        <w:jc w:val="both"/>
        <w:rPr>
          <w:rFonts w:ascii="Arial" w:hAnsi="Arial"/>
          <w:sz w:val="22"/>
          <w:szCs w:val="22"/>
        </w:rPr>
      </w:pPr>
    </w:p>
    <w:p w:rsidR="00F40F42" w:rsidRPr="00882085" w:rsidRDefault="00F40F42"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3B117D" w:rsidRDefault="003B117D" w:rsidP="00476245">
      <w:pPr>
        <w:pStyle w:val="ListParagraph"/>
        <w:numPr>
          <w:ilvl w:val="1"/>
          <w:numId w:val="25"/>
        </w:numPr>
        <w:jc w:val="both"/>
        <w:rPr>
          <w:rFonts w:ascii="Arial" w:hAnsi="Arial"/>
          <w:sz w:val="22"/>
          <w:szCs w:val="22"/>
        </w:rPr>
      </w:pPr>
      <w:r w:rsidRPr="003B117D">
        <w:rPr>
          <w:rFonts w:ascii="Arial" w:hAnsi="Arial"/>
          <w:sz w:val="22"/>
          <w:szCs w:val="22"/>
        </w:rPr>
        <w:t xml:space="preserve">As </w:t>
      </w:r>
      <w:r w:rsidR="00476245" w:rsidRPr="003B117D">
        <w:rPr>
          <w:rFonts w:ascii="Arial" w:hAnsi="Arial"/>
          <w:sz w:val="22"/>
          <w:szCs w:val="22"/>
        </w:rPr>
        <w:t xml:space="preserve">a minor submission, </w:t>
      </w:r>
      <w:r>
        <w:rPr>
          <w:rFonts w:ascii="Arial" w:hAnsi="Arial"/>
          <w:sz w:val="22"/>
          <w:szCs w:val="22"/>
        </w:rPr>
        <w:t>there is no economic comparison</w:t>
      </w:r>
      <w:r w:rsidR="00DF583B">
        <w:rPr>
          <w:rFonts w:ascii="Arial" w:hAnsi="Arial"/>
          <w:sz w:val="22"/>
          <w:szCs w:val="22"/>
        </w:rPr>
        <w:t>.</w:t>
      </w:r>
    </w:p>
    <w:p w:rsidR="008A1956" w:rsidRDefault="008A1956" w:rsidP="00476245">
      <w:pPr>
        <w:jc w:val="both"/>
        <w:rPr>
          <w:rFonts w:ascii="Arial" w:hAnsi="Arial"/>
          <w:sz w:val="22"/>
          <w:szCs w:val="22"/>
        </w:rPr>
      </w:pPr>
    </w:p>
    <w:p w:rsidR="00F40F42" w:rsidRPr="00476245" w:rsidRDefault="00F40F42" w:rsidP="00476245">
      <w:pPr>
        <w:jc w:val="both"/>
        <w:rPr>
          <w:rFonts w:ascii="Arial" w:hAnsi="Arial"/>
          <w:sz w:val="22"/>
          <w:szCs w:val="22"/>
        </w:rPr>
      </w:pPr>
    </w:p>
    <w:p w:rsidR="000B558D" w:rsidRPr="00E565CE" w:rsidRDefault="008D7A41" w:rsidP="00F40F42">
      <w:pPr>
        <w:pStyle w:val="Header"/>
        <w:keepNext/>
        <w:numPr>
          <w:ilvl w:val="0"/>
          <w:numId w:val="25"/>
        </w:numPr>
        <w:tabs>
          <w:tab w:val="clear" w:pos="4153"/>
          <w:tab w:val="clear" w:pos="8306"/>
        </w:tabs>
        <w:jc w:val="both"/>
        <w:rPr>
          <w:rFonts w:ascii="Arial" w:hAnsi="Arial" w:cs="Arial"/>
          <w:b/>
          <w:sz w:val="22"/>
          <w:szCs w:val="22"/>
        </w:rPr>
      </w:pPr>
      <w:r w:rsidRPr="00E565CE">
        <w:rPr>
          <w:rFonts w:ascii="Arial" w:hAnsi="Arial" w:cs="Arial"/>
          <w:b/>
          <w:sz w:val="22"/>
          <w:szCs w:val="22"/>
        </w:rPr>
        <w:lastRenderedPageBreak/>
        <w:t>C</w:t>
      </w:r>
      <w:r w:rsidR="00D84934" w:rsidRPr="00E565CE">
        <w:rPr>
          <w:rFonts w:ascii="Arial" w:hAnsi="Arial" w:cs="Arial"/>
          <w:b/>
          <w:sz w:val="22"/>
          <w:szCs w:val="22"/>
        </w:rPr>
        <w:t>onsideration of the evidence</w:t>
      </w:r>
    </w:p>
    <w:p w:rsidR="00BB7EC3" w:rsidRPr="00E565CE" w:rsidRDefault="00BB7EC3" w:rsidP="00F40F42">
      <w:pPr>
        <w:keepNext/>
        <w:jc w:val="both"/>
        <w:rPr>
          <w:rFonts w:ascii="Arial" w:hAnsi="Arial" w:cs="Arial"/>
          <w:sz w:val="22"/>
          <w:szCs w:val="22"/>
        </w:rPr>
      </w:pPr>
    </w:p>
    <w:p w:rsidR="00E565CE" w:rsidRPr="00E565CE" w:rsidRDefault="00E565CE" w:rsidP="00E565CE">
      <w:pPr>
        <w:rPr>
          <w:rFonts w:ascii="Arial" w:hAnsi="Arial" w:cs="Arial"/>
          <w:b/>
          <w:i/>
          <w:sz w:val="22"/>
          <w:szCs w:val="22"/>
        </w:rPr>
      </w:pPr>
      <w:bookmarkStart w:id="1" w:name="_Toc419463266"/>
      <w:r w:rsidRPr="00E565CE">
        <w:rPr>
          <w:rFonts w:ascii="Arial" w:hAnsi="Arial" w:cs="Arial"/>
          <w:b/>
          <w:i/>
          <w:sz w:val="22"/>
          <w:szCs w:val="22"/>
        </w:rPr>
        <w:t>Sponsor hearing</w:t>
      </w:r>
    </w:p>
    <w:p w:rsidR="00E565CE" w:rsidRPr="00E565CE" w:rsidRDefault="00E565CE" w:rsidP="00E565CE">
      <w:pPr>
        <w:ind w:left="709"/>
        <w:rPr>
          <w:rFonts w:ascii="Arial" w:hAnsi="Arial" w:cs="Arial"/>
          <w:b/>
          <w:sz w:val="22"/>
          <w:szCs w:val="22"/>
        </w:rPr>
      </w:pPr>
    </w:p>
    <w:p w:rsidR="00E565CE" w:rsidRPr="00E565CE" w:rsidRDefault="00E565CE" w:rsidP="00E565CE">
      <w:pPr>
        <w:widowControl w:val="0"/>
        <w:numPr>
          <w:ilvl w:val="1"/>
          <w:numId w:val="25"/>
        </w:numPr>
        <w:contextualSpacing/>
        <w:jc w:val="both"/>
        <w:rPr>
          <w:rFonts w:ascii="Arial" w:hAnsi="Arial" w:cs="Arial"/>
          <w:sz w:val="22"/>
          <w:szCs w:val="22"/>
        </w:rPr>
      </w:pPr>
      <w:r w:rsidRPr="00E565CE">
        <w:rPr>
          <w:rFonts w:ascii="Arial" w:hAnsi="Arial" w:cs="Arial"/>
          <w:sz w:val="22"/>
          <w:szCs w:val="22"/>
        </w:rPr>
        <w:t>There was no hearing for this item</w:t>
      </w:r>
      <w:r w:rsidR="00DF745D">
        <w:rPr>
          <w:rFonts w:ascii="Arial" w:hAnsi="Arial" w:cs="Arial"/>
          <w:sz w:val="22"/>
          <w:szCs w:val="22"/>
        </w:rPr>
        <w:t xml:space="preserve"> as it was a minor submission</w:t>
      </w:r>
      <w:r w:rsidRPr="00E565CE">
        <w:rPr>
          <w:rFonts w:ascii="Arial" w:hAnsi="Arial" w:cs="Arial"/>
          <w:sz w:val="22"/>
          <w:szCs w:val="22"/>
        </w:rPr>
        <w:t>.</w:t>
      </w:r>
    </w:p>
    <w:p w:rsidR="00E565CE" w:rsidRPr="00E565CE" w:rsidRDefault="00E565CE" w:rsidP="00E565CE">
      <w:pPr>
        <w:ind w:left="709"/>
        <w:contextualSpacing/>
        <w:rPr>
          <w:rFonts w:ascii="Arial" w:hAnsi="Arial" w:cs="Arial"/>
          <w:sz w:val="22"/>
          <w:szCs w:val="22"/>
        </w:rPr>
      </w:pPr>
    </w:p>
    <w:p w:rsidR="00E565CE" w:rsidRPr="00E565CE" w:rsidRDefault="00E565CE" w:rsidP="00E565CE">
      <w:pPr>
        <w:rPr>
          <w:rFonts w:ascii="Arial" w:hAnsi="Arial" w:cs="Arial"/>
          <w:b/>
          <w:i/>
          <w:sz w:val="22"/>
          <w:szCs w:val="22"/>
        </w:rPr>
      </w:pPr>
      <w:r w:rsidRPr="00E565CE">
        <w:rPr>
          <w:rFonts w:ascii="Arial" w:hAnsi="Arial" w:cs="Arial"/>
          <w:b/>
          <w:i/>
          <w:sz w:val="22"/>
          <w:szCs w:val="22"/>
        </w:rPr>
        <w:t>Consumer comments</w:t>
      </w:r>
    </w:p>
    <w:p w:rsidR="00E565CE" w:rsidRPr="00E565CE" w:rsidRDefault="00E565CE" w:rsidP="00E565CE">
      <w:pPr>
        <w:ind w:left="709"/>
        <w:contextualSpacing/>
        <w:rPr>
          <w:rFonts w:ascii="Arial" w:hAnsi="Arial" w:cs="Arial"/>
          <w:sz w:val="22"/>
          <w:szCs w:val="22"/>
        </w:rPr>
      </w:pPr>
    </w:p>
    <w:p w:rsidR="00E565CE" w:rsidRPr="00E565CE" w:rsidRDefault="00E565CE" w:rsidP="00E565CE">
      <w:pPr>
        <w:widowControl w:val="0"/>
        <w:numPr>
          <w:ilvl w:val="1"/>
          <w:numId w:val="25"/>
        </w:numPr>
        <w:contextualSpacing/>
        <w:jc w:val="both"/>
        <w:rPr>
          <w:rFonts w:ascii="Arial" w:hAnsi="Arial" w:cs="Arial"/>
          <w:sz w:val="22"/>
          <w:szCs w:val="22"/>
        </w:rPr>
      </w:pPr>
      <w:r w:rsidRPr="00E565CE">
        <w:rPr>
          <w:rFonts w:ascii="Arial" w:hAnsi="Arial" w:cs="Arial"/>
          <w:sz w:val="22"/>
          <w:szCs w:val="22"/>
        </w:rPr>
        <w:t xml:space="preserve"> The PBAC noted that no consumer comments were received for this item.</w:t>
      </w:r>
    </w:p>
    <w:p w:rsidR="00E565CE" w:rsidRPr="00E565CE" w:rsidRDefault="00E565CE" w:rsidP="00E565CE">
      <w:pPr>
        <w:pStyle w:val="Heading2"/>
        <w:rPr>
          <w:rFonts w:ascii="Arial" w:hAnsi="Arial" w:cs="Arial"/>
          <w:sz w:val="22"/>
          <w:szCs w:val="22"/>
        </w:rPr>
      </w:pPr>
    </w:p>
    <w:bookmarkEnd w:id="1"/>
    <w:p w:rsidR="00D84934" w:rsidRPr="00E565CE" w:rsidRDefault="00D84934" w:rsidP="00D84934">
      <w:pPr>
        <w:jc w:val="both"/>
        <w:rPr>
          <w:rFonts w:ascii="Arial" w:hAnsi="Arial" w:cs="Arial"/>
          <w:b/>
          <w:i/>
          <w:sz w:val="22"/>
          <w:szCs w:val="22"/>
        </w:rPr>
      </w:pPr>
      <w:r w:rsidRPr="00E565CE">
        <w:rPr>
          <w:rFonts w:ascii="Arial" w:hAnsi="Arial" w:cs="Arial"/>
          <w:b/>
          <w:i/>
          <w:sz w:val="22"/>
          <w:szCs w:val="22"/>
        </w:rPr>
        <w:t>Clinical trials</w:t>
      </w:r>
    </w:p>
    <w:p w:rsidR="00D84934" w:rsidRPr="00F9629A" w:rsidRDefault="00D84934" w:rsidP="00F9629A">
      <w:pPr>
        <w:jc w:val="both"/>
        <w:rPr>
          <w:rFonts w:ascii="Arial" w:hAnsi="Arial"/>
          <w:sz w:val="22"/>
          <w:szCs w:val="22"/>
        </w:rPr>
      </w:pPr>
    </w:p>
    <w:p w:rsidR="009F4E46" w:rsidRPr="00DF583B" w:rsidRDefault="00DF583B" w:rsidP="0076420C">
      <w:pPr>
        <w:pStyle w:val="ListParagraph"/>
        <w:numPr>
          <w:ilvl w:val="1"/>
          <w:numId w:val="25"/>
        </w:numPr>
        <w:ind w:left="709"/>
        <w:jc w:val="both"/>
        <w:rPr>
          <w:rFonts w:ascii="Arial" w:hAnsi="Arial"/>
          <w:sz w:val="22"/>
          <w:szCs w:val="22"/>
        </w:rPr>
      </w:pPr>
      <w:r>
        <w:rPr>
          <w:rFonts w:ascii="Arial" w:hAnsi="Arial"/>
          <w:sz w:val="22"/>
          <w:szCs w:val="22"/>
        </w:rPr>
        <w:t>The</w:t>
      </w:r>
      <w:r w:rsidR="009F4E46" w:rsidRPr="00DF583B">
        <w:rPr>
          <w:rFonts w:ascii="Arial" w:hAnsi="Arial"/>
          <w:sz w:val="22"/>
          <w:szCs w:val="22"/>
        </w:rPr>
        <w:t xml:space="preserve"> minor submission presented the following clinical trial:</w:t>
      </w:r>
    </w:p>
    <w:p w:rsidR="0076420C" w:rsidRDefault="0076420C" w:rsidP="0076420C">
      <w:pPr>
        <w:ind w:left="709"/>
        <w:jc w:val="both"/>
        <w:rPr>
          <w:rFonts w:ascii="Arial" w:hAnsi="Arial"/>
          <w:sz w:val="22"/>
          <w:szCs w:val="22"/>
        </w:rPr>
      </w:pPr>
    </w:p>
    <w:p w:rsidR="0076420C" w:rsidRPr="00D84934" w:rsidRDefault="0076420C" w:rsidP="00D84934">
      <w:pPr>
        <w:pStyle w:val="NoSpacing"/>
        <w:ind w:left="709"/>
        <w:rPr>
          <w:rFonts w:ascii="Arial Narrow" w:hAnsi="Arial Narrow"/>
          <w:b/>
          <w:sz w:val="20"/>
        </w:rPr>
      </w:pPr>
      <w:r w:rsidRPr="00D84934">
        <w:rPr>
          <w:rFonts w:ascii="Arial Narrow" w:hAnsi="Arial Narrow"/>
          <w:b/>
          <w:sz w:val="20"/>
        </w:rPr>
        <w:t>Trials and associa</w:t>
      </w:r>
      <w:r w:rsidR="00051F04">
        <w:rPr>
          <w:rFonts w:ascii="Arial Narrow" w:hAnsi="Arial Narrow"/>
          <w:b/>
          <w:sz w:val="20"/>
        </w:rPr>
        <w:t xml:space="preserve">ted reports presented in the </w:t>
      </w:r>
      <w:r w:rsidRPr="00D84934">
        <w:rPr>
          <w:rFonts w:ascii="Arial Narrow" w:hAnsi="Arial Narrow"/>
          <w:b/>
          <w:sz w:val="20"/>
        </w:rPr>
        <w:t>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76420C" w:rsidRPr="005838CB" w:rsidTr="00C27B58">
        <w:trPr>
          <w:cantSplit/>
          <w:tblHeader/>
        </w:trPr>
        <w:tc>
          <w:tcPr>
            <w:tcW w:w="1701" w:type="dxa"/>
          </w:tcPr>
          <w:p w:rsidR="0076420C" w:rsidRPr="005838CB" w:rsidRDefault="0076420C" w:rsidP="00D84934">
            <w:pPr>
              <w:pStyle w:val="NoSpacing"/>
              <w:rPr>
                <w:rFonts w:ascii="Arial Narrow" w:hAnsi="Arial Narrow"/>
                <w:b/>
                <w:sz w:val="20"/>
              </w:rPr>
            </w:pPr>
            <w:r w:rsidRPr="005838CB">
              <w:rPr>
                <w:rFonts w:ascii="Arial Narrow" w:hAnsi="Arial Narrow"/>
                <w:b/>
                <w:sz w:val="20"/>
              </w:rPr>
              <w:t>Trial ID</w:t>
            </w:r>
          </w:p>
        </w:tc>
        <w:tc>
          <w:tcPr>
            <w:tcW w:w="4820" w:type="dxa"/>
          </w:tcPr>
          <w:p w:rsidR="0076420C" w:rsidRPr="005838CB" w:rsidRDefault="0076420C" w:rsidP="0062748A">
            <w:pPr>
              <w:keepNext/>
              <w:jc w:val="center"/>
              <w:rPr>
                <w:rFonts w:ascii="Arial Narrow" w:hAnsi="Arial Narrow"/>
                <w:b/>
                <w:sz w:val="20"/>
              </w:rPr>
            </w:pPr>
            <w:r w:rsidRPr="005838CB">
              <w:rPr>
                <w:rFonts w:ascii="Arial Narrow" w:hAnsi="Arial Narrow"/>
                <w:b/>
                <w:sz w:val="20"/>
              </w:rPr>
              <w:t>Protocol title/ Publication title</w:t>
            </w:r>
          </w:p>
        </w:tc>
        <w:tc>
          <w:tcPr>
            <w:tcW w:w="1843" w:type="dxa"/>
          </w:tcPr>
          <w:p w:rsidR="0076420C" w:rsidRPr="005838CB" w:rsidRDefault="0076420C" w:rsidP="0062748A">
            <w:pPr>
              <w:keepNext/>
              <w:rPr>
                <w:rFonts w:ascii="Arial Narrow" w:hAnsi="Arial Narrow"/>
                <w:b/>
                <w:sz w:val="20"/>
              </w:rPr>
            </w:pPr>
            <w:r w:rsidRPr="005838CB">
              <w:rPr>
                <w:rFonts w:ascii="Arial Narrow" w:hAnsi="Arial Narrow"/>
                <w:b/>
                <w:sz w:val="20"/>
              </w:rPr>
              <w:t>Publication citation</w:t>
            </w:r>
          </w:p>
        </w:tc>
      </w:tr>
      <w:tr w:rsidR="0076420C" w:rsidRPr="005838CB" w:rsidTr="00C27B58">
        <w:trPr>
          <w:cantSplit/>
        </w:trPr>
        <w:tc>
          <w:tcPr>
            <w:tcW w:w="8364" w:type="dxa"/>
            <w:gridSpan w:val="3"/>
          </w:tcPr>
          <w:p w:rsidR="0076420C" w:rsidRPr="005838CB" w:rsidRDefault="0076420C" w:rsidP="00D84934">
            <w:pPr>
              <w:pStyle w:val="NoSpacing"/>
              <w:rPr>
                <w:rFonts w:ascii="Arial Narrow" w:hAnsi="Arial Narrow"/>
                <w:b/>
                <w:sz w:val="20"/>
              </w:rPr>
            </w:pPr>
            <w:r w:rsidRPr="005838CB">
              <w:rPr>
                <w:rFonts w:ascii="Arial Narrow" w:hAnsi="Arial Narrow"/>
                <w:b/>
                <w:sz w:val="20"/>
              </w:rPr>
              <w:t>Direct randomised trials</w:t>
            </w:r>
          </w:p>
        </w:tc>
      </w:tr>
      <w:tr w:rsidR="0076420C" w:rsidRPr="005838CB" w:rsidTr="00C27B58">
        <w:trPr>
          <w:cantSplit/>
        </w:trPr>
        <w:tc>
          <w:tcPr>
            <w:tcW w:w="1701" w:type="dxa"/>
          </w:tcPr>
          <w:p w:rsidR="0076420C" w:rsidRPr="00D84934" w:rsidRDefault="005A7382" w:rsidP="00D84934">
            <w:pPr>
              <w:pStyle w:val="NoSpacing"/>
              <w:rPr>
                <w:rFonts w:ascii="Arial Narrow" w:hAnsi="Arial Narrow"/>
                <w:b/>
                <w:sz w:val="20"/>
              </w:rPr>
            </w:pPr>
            <w:r>
              <w:rPr>
                <w:rFonts w:ascii="Arial Narrow" w:hAnsi="Arial Narrow"/>
                <w:b/>
                <w:sz w:val="20"/>
              </w:rPr>
              <w:t>OPTIMA</w:t>
            </w:r>
          </w:p>
        </w:tc>
        <w:tc>
          <w:tcPr>
            <w:tcW w:w="4820" w:type="dxa"/>
          </w:tcPr>
          <w:p w:rsidR="0076420C" w:rsidRPr="00F40F42" w:rsidRDefault="00051F04" w:rsidP="0062748A">
            <w:pPr>
              <w:keepNext/>
              <w:rPr>
                <w:rFonts w:ascii="Arial Narrow" w:hAnsi="Arial Narrow"/>
                <w:sz w:val="20"/>
              </w:rPr>
            </w:pPr>
            <w:r w:rsidRPr="00F40F42">
              <w:rPr>
                <w:rFonts w:ascii="Arial Narrow" w:hAnsi="Arial Narrow"/>
                <w:sz w:val="20"/>
              </w:rPr>
              <w:t>Cummings, et al</w:t>
            </w:r>
            <w:r w:rsidR="009C1FA5" w:rsidRPr="00F40F42">
              <w:rPr>
                <w:rFonts w:ascii="Arial Narrow" w:hAnsi="Arial Narrow"/>
                <w:sz w:val="20"/>
              </w:rPr>
              <w:t xml:space="preserve">, </w:t>
            </w:r>
            <w:r w:rsidRPr="00F40F42">
              <w:rPr>
                <w:rFonts w:ascii="Arial Narrow" w:hAnsi="Arial Narrow"/>
                <w:sz w:val="20"/>
              </w:rPr>
              <w:t>Randomized, d</w:t>
            </w:r>
            <w:r w:rsidR="00F40F42">
              <w:rPr>
                <w:rFonts w:ascii="Arial Narrow" w:hAnsi="Arial Narrow"/>
                <w:sz w:val="20"/>
              </w:rPr>
              <w:t>ouble-blind, parallel-group, 48</w:t>
            </w:r>
            <w:r w:rsidR="00F40F42">
              <w:rPr>
                <w:rFonts w:ascii="Arial Narrow" w:hAnsi="Arial Narrow"/>
                <w:sz w:val="20"/>
              </w:rPr>
              <w:noBreakHyphen/>
            </w:r>
            <w:r w:rsidRPr="00F40F42">
              <w:rPr>
                <w:rFonts w:ascii="Arial Narrow" w:hAnsi="Arial Narrow"/>
                <w:sz w:val="20"/>
              </w:rPr>
              <w:t>Week study for efficacy and safety of a higher-dose rivastigmine patch (15 vs. 10cm</w:t>
            </w:r>
            <w:r w:rsidRPr="00F40F42">
              <w:rPr>
                <w:rFonts w:ascii="Arial Narrow" w:hAnsi="Arial Narrow"/>
                <w:sz w:val="20"/>
                <w:vertAlign w:val="superscript"/>
              </w:rPr>
              <w:t>2</w:t>
            </w:r>
            <w:r w:rsidRPr="00F40F42">
              <w:rPr>
                <w:rFonts w:ascii="Arial Narrow" w:hAnsi="Arial Narrow"/>
                <w:sz w:val="20"/>
              </w:rPr>
              <w:t>) in Alzheimer’s Disease]</w:t>
            </w:r>
          </w:p>
        </w:tc>
        <w:tc>
          <w:tcPr>
            <w:tcW w:w="1843" w:type="dxa"/>
          </w:tcPr>
          <w:p w:rsidR="0076420C" w:rsidRPr="00F40F42" w:rsidRDefault="00051F04" w:rsidP="0062748A">
            <w:pPr>
              <w:keepNext/>
              <w:rPr>
                <w:rFonts w:ascii="Arial Narrow" w:hAnsi="Arial Narrow"/>
                <w:sz w:val="20"/>
              </w:rPr>
            </w:pPr>
            <w:r w:rsidRPr="00F40F42">
              <w:rPr>
                <w:rFonts w:ascii="Arial Narrow" w:hAnsi="Arial Narrow"/>
                <w:sz w:val="20"/>
              </w:rPr>
              <w:t>Dement Geriatr Cogn Disord 2012;33:341-353</w:t>
            </w:r>
          </w:p>
        </w:tc>
      </w:tr>
    </w:tbl>
    <w:p w:rsidR="0076420C" w:rsidRDefault="0076420C" w:rsidP="0076420C">
      <w:pPr>
        <w:pStyle w:val="ListParagraph"/>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C7513E" w:rsidRPr="00CE644D" w:rsidRDefault="003E1536" w:rsidP="00CE644D">
      <w:pPr>
        <w:pStyle w:val="ListParagraph"/>
        <w:numPr>
          <w:ilvl w:val="1"/>
          <w:numId w:val="25"/>
        </w:numPr>
        <w:ind w:left="709"/>
        <w:jc w:val="both"/>
        <w:rPr>
          <w:rFonts w:ascii="Arial" w:hAnsi="Arial"/>
          <w:sz w:val="22"/>
          <w:szCs w:val="22"/>
        </w:rPr>
      </w:pPr>
      <w:r>
        <w:rPr>
          <w:rFonts w:ascii="Arial" w:hAnsi="Arial"/>
          <w:sz w:val="22"/>
          <w:szCs w:val="22"/>
        </w:rPr>
        <w:t xml:space="preserve">The submission provides </w:t>
      </w:r>
      <w:r w:rsidR="00C7513E" w:rsidRPr="00C7513E">
        <w:rPr>
          <w:rFonts w:ascii="Arial" w:hAnsi="Arial"/>
          <w:sz w:val="22"/>
          <w:szCs w:val="22"/>
        </w:rPr>
        <w:t>the phase III OPTIMA (OPtimizing Transdermal Exelon In Mild-to-moderate Alzheimer’s disease) study</w:t>
      </w:r>
      <w:r>
        <w:rPr>
          <w:rFonts w:ascii="Arial" w:hAnsi="Arial"/>
          <w:sz w:val="22"/>
          <w:szCs w:val="22"/>
        </w:rPr>
        <w:t>.  P</w:t>
      </w:r>
      <w:r w:rsidR="00C7513E" w:rsidRPr="00C7513E">
        <w:rPr>
          <w:rFonts w:ascii="Arial" w:hAnsi="Arial"/>
          <w:sz w:val="22"/>
          <w:szCs w:val="22"/>
        </w:rPr>
        <w:t>atients who experienced functional and cognitive decline on</w:t>
      </w:r>
      <w:r w:rsidR="003755FB">
        <w:rPr>
          <w:rFonts w:ascii="Arial" w:hAnsi="Arial"/>
          <w:sz w:val="22"/>
          <w:szCs w:val="22"/>
        </w:rPr>
        <w:t xml:space="preserve"> the</w:t>
      </w:r>
      <w:r w:rsidR="00C7513E" w:rsidRPr="00C7513E">
        <w:rPr>
          <w:rFonts w:ascii="Arial" w:hAnsi="Arial"/>
          <w:sz w:val="22"/>
          <w:szCs w:val="22"/>
        </w:rPr>
        <w:t xml:space="preserve"> 10cm</w:t>
      </w:r>
      <w:r w:rsidR="00C7513E" w:rsidRPr="003E1536">
        <w:rPr>
          <w:rFonts w:ascii="Arial" w:hAnsi="Arial"/>
          <w:sz w:val="22"/>
          <w:szCs w:val="22"/>
          <w:vertAlign w:val="superscript"/>
        </w:rPr>
        <w:t>2</w:t>
      </w:r>
      <w:r w:rsidR="00C7513E" w:rsidRPr="00C7513E">
        <w:rPr>
          <w:rFonts w:ascii="Arial" w:hAnsi="Arial"/>
          <w:sz w:val="22"/>
          <w:szCs w:val="22"/>
        </w:rPr>
        <w:t xml:space="preserve"> patch gained additional benefit when their dose was increased to 15cm</w:t>
      </w:r>
      <w:r w:rsidR="00C7513E" w:rsidRPr="003E1536">
        <w:rPr>
          <w:rFonts w:ascii="Arial" w:hAnsi="Arial"/>
          <w:sz w:val="22"/>
          <w:szCs w:val="22"/>
          <w:vertAlign w:val="superscript"/>
        </w:rPr>
        <w:t>2</w:t>
      </w:r>
      <w:r w:rsidR="00C7513E" w:rsidRPr="00C7513E">
        <w:rPr>
          <w:rFonts w:ascii="Arial" w:hAnsi="Arial"/>
          <w:sz w:val="22"/>
          <w:szCs w:val="22"/>
        </w:rPr>
        <w:t xml:space="preserve"> patch (Cummings, 2012). In this study, patients meeting pre-specified decline criteria were randomised to receive rivastigmine 10 or rivastigmine</w:t>
      </w:r>
      <w:r w:rsidR="00C7513E" w:rsidRPr="00C7513E" w:rsidDel="00F9516B">
        <w:rPr>
          <w:rFonts w:ascii="Arial" w:hAnsi="Arial"/>
          <w:sz w:val="22"/>
          <w:szCs w:val="22"/>
        </w:rPr>
        <w:t xml:space="preserve"> </w:t>
      </w:r>
      <w:r w:rsidR="00C7513E" w:rsidRPr="00C7513E">
        <w:rPr>
          <w:rFonts w:ascii="Arial" w:hAnsi="Arial"/>
          <w:sz w:val="22"/>
          <w:szCs w:val="22"/>
        </w:rPr>
        <w:t xml:space="preserve">15 patch during a 48-week double blind phase. The study co-primary endpoints were change from baseline to week 48 on the Instrumental Activities of Daily Living domain of the Alzheimer’s Disease Cooperative Study-Activities of Daily Living (ADCS-IADL) scale and the Alzheimer’s Disease Assessment </w:t>
      </w:r>
      <w:r w:rsidR="00F40F42">
        <w:rPr>
          <w:rFonts w:ascii="Arial" w:hAnsi="Arial"/>
          <w:sz w:val="22"/>
          <w:szCs w:val="22"/>
        </w:rPr>
        <w:t>Scale– cognitive subscale (ADAS</w:t>
      </w:r>
      <w:r w:rsidR="00F40F42">
        <w:rPr>
          <w:rFonts w:ascii="Arial" w:hAnsi="Arial"/>
          <w:sz w:val="22"/>
          <w:szCs w:val="22"/>
        </w:rPr>
        <w:noBreakHyphen/>
      </w:r>
      <w:r w:rsidR="00C7513E" w:rsidRPr="00C7513E">
        <w:rPr>
          <w:rFonts w:ascii="Arial" w:hAnsi="Arial"/>
          <w:sz w:val="22"/>
          <w:szCs w:val="22"/>
        </w:rPr>
        <w:t xml:space="preserve">cog). OPTIMA study enrolled 1,584 patients, of which 567 met decline criteria and were randomised. At all time-points, ADCS-IADL and ADAS-cog scores favoured the rivastigmine </w:t>
      </w:r>
      <w:r w:rsidR="00AD6CC2" w:rsidRPr="00C7513E">
        <w:rPr>
          <w:rFonts w:ascii="Arial" w:hAnsi="Arial"/>
          <w:sz w:val="22"/>
          <w:szCs w:val="22"/>
        </w:rPr>
        <w:t>15</w:t>
      </w:r>
      <w:r w:rsidR="00AD6CC2">
        <w:rPr>
          <w:rFonts w:ascii="Arial" w:hAnsi="Arial"/>
          <w:sz w:val="22"/>
          <w:szCs w:val="22"/>
        </w:rPr>
        <w:t>cm</w:t>
      </w:r>
      <w:r w:rsidR="00AD6CC2">
        <w:rPr>
          <w:rFonts w:ascii="Arial" w:hAnsi="Arial"/>
          <w:sz w:val="22"/>
          <w:szCs w:val="22"/>
          <w:vertAlign w:val="superscript"/>
        </w:rPr>
        <w:t>2</w:t>
      </w:r>
      <w:r w:rsidR="00C7513E" w:rsidRPr="00C7513E">
        <w:rPr>
          <w:rFonts w:ascii="Arial" w:hAnsi="Arial"/>
          <w:sz w:val="22"/>
          <w:szCs w:val="22"/>
        </w:rPr>
        <w:t xml:space="preserve"> (13.3mg/24 hours) patch. Rivastigmine 15</w:t>
      </w:r>
      <w:r w:rsidR="00AD6CC2">
        <w:rPr>
          <w:rFonts w:ascii="Arial" w:hAnsi="Arial"/>
          <w:sz w:val="22"/>
          <w:szCs w:val="22"/>
        </w:rPr>
        <w:t>cm</w:t>
      </w:r>
      <w:r w:rsidR="00AD6CC2">
        <w:rPr>
          <w:rFonts w:ascii="Arial" w:hAnsi="Arial"/>
          <w:sz w:val="22"/>
          <w:szCs w:val="22"/>
          <w:vertAlign w:val="superscript"/>
        </w:rPr>
        <w:t>2</w:t>
      </w:r>
      <w:r w:rsidR="00C7513E" w:rsidRPr="00C7513E">
        <w:rPr>
          <w:rFonts w:ascii="Arial" w:hAnsi="Arial"/>
          <w:sz w:val="22"/>
          <w:szCs w:val="22"/>
        </w:rPr>
        <w:t xml:space="preserve"> patch was statistically superior to rivastigmine 10</w:t>
      </w:r>
      <w:r w:rsidR="00AD6CC2">
        <w:rPr>
          <w:rFonts w:ascii="Arial" w:hAnsi="Arial"/>
          <w:sz w:val="22"/>
          <w:szCs w:val="22"/>
        </w:rPr>
        <w:t>cm</w:t>
      </w:r>
      <w:r w:rsidR="00AD6CC2">
        <w:rPr>
          <w:rFonts w:ascii="Arial" w:hAnsi="Arial"/>
          <w:sz w:val="22"/>
          <w:szCs w:val="22"/>
          <w:vertAlign w:val="superscript"/>
        </w:rPr>
        <w:t>2</w:t>
      </w:r>
      <w:r w:rsidR="00C7513E" w:rsidRPr="00C7513E">
        <w:rPr>
          <w:rFonts w:ascii="Arial" w:hAnsi="Arial"/>
          <w:sz w:val="22"/>
          <w:szCs w:val="22"/>
        </w:rPr>
        <w:t xml:space="preserve"> patch on the ADCS-IADL scale from week 16 (p =0.025) onwards including week 48 (p = 0.002</w:t>
      </w:r>
      <w:r w:rsidR="00F40F42">
        <w:rPr>
          <w:rFonts w:ascii="Arial" w:hAnsi="Arial"/>
          <w:sz w:val="22"/>
          <w:szCs w:val="22"/>
        </w:rPr>
        <w:t>), and ADAS-cog at week 24 (p = </w:t>
      </w:r>
      <w:r w:rsidR="00C7513E" w:rsidRPr="00C7513E">
        <w:rPr>
          <w:rFonts w:ascii="Arial" w:hAnsi="Arial"/>
          <w:sz w:val="22"/>
          <w:szCs w:val="22"/>
        </w:rPr>
        <w:t>0.027), but not at week 48 (p = 0.227) (Cummings, 2012).</w:t>
      </w:r>
      <w:r w:rsidR="00C7513E">
        <w:rPr>
          <w:rFonts w:ascii="Arial" w:hAnsi="Arial"/>
          <w:sz w:val="22"/>
          <w:szCs w:val="22"/>
        </w:rPr>
        <w:t xml:space="preserve"> </w:t>
      </w:r>
    </w:p>
    <w:p w:rsidR="00DF26A7" w:rsidRDefault="00DF26A7" w:rsidP="00882085">
      <w:pPr>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9B0F67" w:rsidRPr="00C7513E" w:rsidRDefault="00C7513E" w:rsidP="00C7513E">
      <w:pPr>
        <w:pStyle w:val="ListParagraph"/>
        <w:numPr>
          <w:ilvl w:val="1"/>
          <w:numId w:val="25"/>
        </w:numPr>
        <w:ind w:left="709"/>
        <w:jc w:val="both"/>
        <w:rPr>
          <w:rFonts w:ascii="Arial" w:hAnsi="Arial"/>
          <w:sz w:val="22"/>
          <w:szCs w:val="22"/>
        </w:rPr>
      </w:pPr>
      <w:r>
        <w:rPr>
          <w:rFonts w:ascii="Arial" w:hAnsi="Arial"/>
          <w:sz w:val="22"/>
          <w:szCs w:val="22"/>
        </w:rPr>
        <w:t>The submission claimed that the</w:t>
      </w:r>
      <w:r w:rsidRPr="00C7513E">
        <w:rPr>
          <w:rFonts w:ascii="Arial" w:hAnsi="Arial"/>
          <w:sz w:val="22"/>
          <w:szCs w:val="22"/>
        </w:rPr>
        <w:t xml:space="preserve"> administration of the higher-dose (13.3mg/24 hours) rivastigmine patch had no new or unexpected concerns relating to safety and tolerability </w:t>
      </w:r>
      <w:r w:rsidR="009C1FA5">
        <w:rPr>
          <w:rFonts w:ascii="Arial" w:hAnsi="Arial"/>
          <w:sz w:val="22"/>
          <w:szCs w:val="22"/>
        </w:rPr>
        <w:t xml:space="preserve">based on the publications of </w:t>
      </w:r>
      <w:r w:rsidRPr="00C7513E">
        <w:rPr>
          <w:rFonts w:ascii="Arial" w:hAnsi="Arial"/>
          <w:sz w:val="22"/>
          <w:szCs w:val="22"/>
        </w:rPr>
        <w:t>Cummings, 2012</w:t>
      </w:r>
      <w:r w:rsidR="009C1FA5">
        <w:rPr>
          <w:rFonts w:ascii="Arial" w:hAnsi="Arial"/>
          <w:sz w:val="22"/>
          <w:szCs w:val="22"/>
        </w:rPr>
        <w:t xml:space="preserve"> and</w:t>
      </w:r>
      <w:r w:rsidR="00DD3596">
        <w:rPr>
          <w:rFonts w:ascii="Arial" w:hAnsi="Arial"/>
          <w:sz w:val="22"/>
          <w:szCs w:val="22"/>
        </w:rPr>
        <w:t xml:space="preserve"> </w:t>
      </w:r>
      <w:r w:rsidRPr="00C7513E">
        <w:rPr>
          <w:rFonts w:ascii="Arial" w:hAnsi="Arial"/>
          <w:sz w:val="22"/>
          <w:szCs w:val="22"/>
        </w:rPr>
        <w:t>Frampton, 2014.</w:t>
      </w:r>
      <w:r w:rsidR="00C00DA7" w:rsidRPr="00C7513E">
        <w:rPr>
          <w:rFonts w:ascii="Arial" w:hAnsi="Arial"/>
          <w:sz w:val="22"/>
          <w:szCs w:val="22"/>
        </w:rPr>
        <w:t xml:space="preserve"> </w:t>
      </w:r>
    </w:p>
    <w:p w:rsidR="00F57A6D" w:rsidRPr="00882085" w:rsidRDefault="00F57A6D" w:rsidP="00CE644D">
      <w:pPr>
        <w:jc w:val="both"/>
        <w:rPr>
          <w:rFonts w:ascii="Arial" w:hAnsi="Arial"/>
          <w:sz w:val="22"/>
          <w:szCs w:val="22"/>
        </w:rPr>
      </w:pPr>
    </w:p>
    <w:p w:rsidR="005A3173" w:rsidRPr="00882085" w:rsidRDefault="005A3173" w:rsidP="00D84934">
      <w:pPr>
        <w:jc w:val="both"/>
        <w:rPr>
          <w:rFonts w:ascii="Arial" w:hAnsi="Arial"/>
          <w:b/>
          <w:i/>
          <w:sz w:val="22"/>
          <w:szCs w:val="22"/>
        </w:rPr>
      </w:pPr>
      <w:r w:rsidRPr="00882085">
        <w:rPr>
          <w:rFonts w:ascii="Arial" w:hAnsi="Arial"/>
          <w:b/>
          <w:i/>
          <w:sz w:val="22"/>
          <w:szCs w:val="22"/>
        </w:rPr>
        <w:t>Economic analysis</w:t>
      </w:r>
    </w:p>
    <w:p w:rsidR="005A3173" w:rsidRPr="00882085" w:rsidRDefault="005A3173" w:rsidP="00D84934">
      <w:pPr>
        <w:pStyle w:val="NoSpacing"/>
      </w:pPr>
    </w:p>
    <w:p w:rsidR="009B0F67" w:rsidRDefault="009B0F67" w:rsidP="001F46CF">
      <w:pPr>
        <w:pStyle w:val="ListParagraph"/>
        <w:numPr>
          <w:ilvl w:val="1"/>
          <w:numId w:val="25"/>
        </w:numPr>
        <w:jc w:val="both"/>
        <w:rPr>
          <w:rFonts w:ascii="Arial" w:hAnsi="Arial"/>
          <w:sz w:val="22"/>
          <w:szCs w:val="22"/>
        </w:rPr>
      </w:pPr>
      <w:r w:rsidRPr="001F46CF">
        <w:rPr>
          <w:rFonts w:ascii="Arial" w:hAnsi="Arial"/>
          <w:sz w:val="22"/>
          <w:szCs w:val="22"/>
        </w:rPr>
        <w:t>As a minor submission, there is no economic comparison presented</w:t>
      </w:r>
      <w:r w:rsidR="001F46CF">
        <w:rPr>
          <w:rFonts w:ascii="Arial" w:hAnsi="Arial"/>
          <w:sz w:val="22"/>
          <w:szCs w:val="22"/>
        </w:rPr>
        <w:t>.</w:t>
      </w:r>
    </w:p>
    <w:p w:rsidR="005963BB" w:rsidRDefault="005963BB" w:rsidP="00C00DA7">
      <w:pPr>
        <w:jc w:val="both"/>
        <w:rPr>
          <w:rFonts w:ascii="Arial" w:hAnsi="Arial"/>
          <w:sz w:val="22"/>
          <w:szCs w:val="22"/>
        </w:rPr>
      </w:pPr>
    </w:p>
    <w:p w:rsidR="005A3173" w:rsidRPr="00882085" w:rsidRDefault="005A3173" w:rsidP="00F40F42">
      <w:pPr>
        <w:keepNext/>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F40F42">
      <w:pPr>
        <w:keepNext/>
        <w:ind w:left="720" w:hanging="720"/>
        <w:jc w:val="both"/>
        <w:rPr>
          <w:rFonts w:ascii="Arial" w:hAnsi="Arial"/>
          <w:b/>
          <w:i/>
          <w:sz w:val="22"/>
          <w:szCs w:val="22"/>
        </w:rPr>
      </w:pPr>
    </w:p>
    <w:p w:rsidR="003872CF" w:rsidRDefault="001F46CF" w:rsidP="00CE644D">
      <w:pPr>
        <w:pStyle w:val="ListParagraph"/>
        <w:numPr>
          <w:ilvl w:val="1"/>
          <w:numId w:val="25"/>
        </w:numPr>
        <w:jc w:val="both"/>
        <w:rPr>
          <w:rFonts w:ascii="Arial" w:hAnsi="Arial"/>
          <w:sz w:val="22"/>
          <w:szCs w:val="22"/>
        </w:rPr>
      </w:pPr>
      <w:r>
        <w:rPr>
          <w:rFonts w:ascii="Arial" w:hAnsi="Arial"/>
          <w:sz w:val="22"/>
          <w:szCs w:val="22"/>
        </w:rPr>
        <w:t>The submission claims that no incremental cost to the PBS or the government is expected as the majority of the switch to rivastigmine patch 15</w:t>
      </w:r>
      <w:r w:rsidR="00B1139F">
        <w:rPr>
          <w:rFonts w:ascii="Arial" w:hAnsi="Arial"/>
          <w:sz w:val="22"/>
          <w:szCs w:val="22"/>
        </w:rPr>
        <w:t>cm</w:t>
      </w:r>
      <w:r w:rsidR="00B1139F">
        <w:rPr>
          <w:rFonts w:ascii="Arial" w:hAnsi="Arial"/>
          <w:sz w:val="22"/>
          <w:szCs w:val="22"/>
          <w:vertAlign w:val="superscript"/>
        </w:rPr>
        <w:t>2</w:t>
      </w:r>
      <w:r>
        <w:rPr>
          <w:rFonts w:ascii="Arial" w:hAnsi="Arial"/>
          <w:sz w:val="22"/>
          <w:szCs w:val="22"/>
        </w:rPr>
        <w:t xml:space="preserve"> will occur from an identical priced rivastigmine patch 10</w:t>
      </w:r>
      <w:r w:rsidR="00B1139F">
        <w:rPr>
          <w:rFonts w:ascii="Arial" w:hAnsi="Arial"/>
          <w:sz w:val="22"/>
          <w:szCs w:val="22"/>
        </w:rPr>
        <w:t>cm</w:t>
      </w:r>
      <w:r w:rsidR="00B1139F">
        <w:rPr>
          <w:rFonts w:ascii="Arial" w:hAnsi="Arial"/>
          <w:sz w:val="22"/>
          <w:szCs w:val="22"/>
          <w:vertAlign w:val="superscript"/>
        </w:rPr>
        <w:t>2</w:t>
      </w:r>
      <w:r>
        <w:rPr>
          <w:rFonts w:ascii="Arial" w:hAnsi="Arial"/>
          <w:sz w:val="22"/>
          <w:szCs w:val="22"/>
        </w:rPr>
        <w:t xml:space="preserve"> presentation</w:t>
      </w:r>
      <w:r w:rsidR="00B1139F">
        <w:rPr>
          <w:rFonts w:ascii="Arial" w:hAnsi="Arial"/>
          <w:sz w:val="22"/>
          <w:szCs w:val="22"/>
        </w:rPr>
        <w:t xml:space="preserve"> with a DPMQ of $</w:t>
      </w:r>
      <w:r w:rsidR="009055E0">
        <w:rPr>
          <w:rFonts w:ascii="Arial" w:hAnsi="Arial"/>
          <w:noProof/>
          <w:color w:val="000000"/>
          <w:sz w:val="22"/>
          <w:szCs w:val="22"/>
          <w:highlight w:val="black"/>
        </w:rPr>
        <w:t>''''''''''''''''''</w:t>
      </w:r>
      <w:r w:rsidR="00B1139F">
        <w:rPr>
          <w:rFonts w:ascii="Arial" w:hAnsi="Arial"/>
          <w:sz w:val="22"/>
          <w:szCs w:val="22"/>
        </w:rPr>
        <w:t>.</w:t>
      </w:r>
    </w:p>
    <w:p w:rsidR="00237140" w:rsidRDefault="00237140" w:rsidP="00237140">
      <w:pPr>
        <w:jc w:val="both"/>
        <w:rPr>
          <w:rFonts w:ascii="Arial" w:hAnsi="Arial"/>
          <w:sz w:val="22"/>
          <w:szCs w:val="22"/>
        </w:rPr>
      </w:pPr>
    </w:p>
    <w:p w:rsidR="00237140" w:rsidRPr="00237140" w:rsidRDefault="00237140" w:rsidP="00237140">
      <w:pPr>
        <w:jc w:val="both"/>
        <w:rPr>
          <w:rFonts w:ascii="Arial" w:hAnsi="Arial"/>
          <w:sz w:val="22"/>
          <w:szCs w:val="22"/>
        </w:rPr>
      </w:pPr>
    </w:p>
    <w:p w:rsidR="00E565CE" w:rsidRPr="00625531" w:rsidRDefault="00E565CE" w:rsidP="00625531">
      <w:pPr>
        <w:widowControl w:val="0"/>
        <w:numPr>
          <w:ilvl w:val="0"/>
          <w:numId w:val="25"/>
        </w:numPr>
        <w:jc w:val="both"/>
        <w:rPr>
          <w:rFonts w:ascii="Arial" w:hAnsi="Arial" w:cs="Arial"/>
          <w:b/>
          <w:bCs/>
          <w:snapToGrid w:val="0"/>
          <w:sz w:val="22"/>
          <w:szCs w:val="22"/>
        </w:rPr>
      </w:pPr>
      <w:r w:rsidRPr="00625531">
        <w:rPr>
          <w:rFonts w:ascii="Arial" w:hAnsi="Arial" w:cs="Arial"/>
          <w:b/>
          <w:bCs/>
          <w:snapToGrid w:val="0"/>
          <w:sz w:val="22"/>
          <w:szCs w:val="22"/>
        </w:rPr>
        <w:t>PBAC Outcome</w:t>
      </w:r>
    </w:p>
    <w:p w:rsidR="00E565CE" w:rsidRPr="00625531" w:rsidRDefault="00E565CE" w:rsidP="00625531">
      <w:pPr>
        <w:contextualSpacing/>
        <w:jc w:val="both"/>
        <w:rPr>
          <w:rFonts w:ascii="Arial" w:hAnsi="Arial" w:cs="Arial"/>
          <w:b/>
          <w:bCs/>
          <w:snapToGrid w:val="0"/>
          <w:sz w:val="22"/>
          <w:szCs w:val="22"/>
          <w:lang w:val="en-GB"/>
        </w:rPr>
      </w:pPr>
    </w:p>
    <w:p w:rsidR="00E565CE" w:rsidRPr="00625531" w:rsidRDefault="00E565CE" w:rsidP="00625531">
      <w:pPr>
        <w:pStyle w:val="ListParagraph"/>
        <w:numPr>
          <w:ilvl w:val="1"/>
          <w:numId w:val="25"/>
        </w:numPr>
        <w:rPr>
          <w:rFonts w:ascii="Arial" w:hAnsi="Arial"/>
          <w:sz w:val="22"/>
          <w:szCs w:val="22"/>
        </w:rPr>
      </w:pPr>
      <w:r w:rsidRPr="00625531">
        <w:rPr>
          <w:rFonts w:ascii="Arial" w:hAnsi="Arial" w:cs="Arial"/>
          <w:bCs/>
          <w:snapToGrid w:val="0"/>
          <w:sz w:val="22"/>
          <w:szCs w:val="22"/>
          <w:lang w:val="en-GB"/>
        </w:rPr>
        <w:t>The PBAC recommended the</w:t>
      </w:r>
      <w:r w:rsidR="00237140" w:rsidRPr="00625531">
        <w:rPr>
          <w:rFonts w:ascii="Arial" w:hAnsi="Arial" w:cs="Arial"/>
          <w:bCs/>
          <w:snapToGrid w:val="0"/>
          <w:sz w:val="22"/>
          <w:szCs w:val="22"/>
          <w:lang w:val="en-GB"/>
        </w:rPr>
        <w:t xml:space="preserve"> </w:t>
      </w:r>
      <w:r w:rsidRPr="00625531">
        <w:rPr>
          <w:rFonts w:ascii="Arial" w:hAnsi="Arial" w:cs="Arial"/>
          <w:bCs/>
          <w:snapToGrid w:val="0"/>
          <w:sz w:val="22"/>
          <w:szCs w:val="22"/>
          <w:lang w:val="en-GB"/>
        </w:rPr>
        <w:t xml:space="preserve">listing of </w:t>
      </w:r>
      <w:r w:rsidR="00237140" w:rsidRPr="00625531">
        <w:rPr>
          <w:rFonts w:ascii="Arial" w:hAnsi="Arial"/>
          <w:sz w:val="22"/>
          <w:szCs w:val="22"/>
        </w:rPr>
        <w:t xml:space="preserve">rivastigmine </w:t>
      </w:r>
      <w:r w:rsidR="007C6714" w:rsidRPr="00625531">
        <w:rPr>
          <w:rFonts w:ascii="Arial" w:hAnsi="Arial"/>
          <w:sz w:val="22"/>
          <w:szCs w:val="22"/>
        </w:rPr>
        <w:t>(</w:t>
      </w:r>
      <w:r w:rsidR="00237140" w:rsidRPr="00625531">
        <w:rPr>
          <w:rFonts w:ascii="Arial" w:hAnsi="Arial"/>
          <w:sz w:val="22"/>
          <w:szCs w:val="22"/>
        </w:rPr>
        <w:t>13.3 milligrams/24 hou</w:t>
      </w:r>
      <w:r w:rsidR="007C6714" w:rsidRPr="00625531">
        <w:rPr>
          <w:rFonts w:ascii="Arial" w:hAnsi="Arial"/>
          <w:sz w:val="22"/>
          <w:szCs w:val="22"/>
        </w:rPr>
        <w:t>rs patch) for the treatment of m</w:t>
      </w:r>
      <w:r w:rsidR="00237140" w:rsidRPr="00625531">
        <w:rPr>
          <w:rFonts w:ascii="Arial" w:hAnsi="Arial"/>
          <w:sz w:val="22"/>
          <w:szCs w:val="22"/>
        </w:rPr>
        <w:t>ild to moderately severe Alzheimer disease, under the same conditions as current PBS-listed strengths.</w:t>
      </w:r>
    </w:p>
    <w:p w:rsidR="007C6714" w:rsidRPr="00625531" w:rsidRDefault="007C6714" w:rsidP="007C6714">
      <w:pPr>
        <w:rPr>
          <w:rFonts w:ascii="Arial" w:hAnsi="Arial"/>
          <w:sz w:val="22"/>
          <w:szCs w:val="22"/>
        </w:rPr>
      </w:pPr>
    </w:p>
    <w:p w:rsidR="007C6714" w:rsidRPr="00625531" w:rsidRDefault="00E565CE" w:rsidP="00E565CE">
      <w:pPr>
        <w:widowControl w:val="0"/>
        <w:numPr>
          <w:ilvl w:val="1"/>
          <w:numId w:val="25"/>
        </w:numPr>
        <w:contextualSpacing/>
        <w:jc w:val="both"/>
        <w:rPr>
          <w:rFonts w:ascii="Arial" w:hAnsi="Arial" w:cs="Arial"/>
          <w:bCs/>
          <w:snapToGrid w:val="0"/>
          <w:sz w:val="22"/>
          <w:szCs w:val="22"/>
          <w:lang w:val="en-GB"/>
        </w:rPr>
      </w:pPr>
      <w:r w:rsidRPr="00625531">
        <w:rPr>
          <w:rFonts w:ascii="Arial" w:hAnsi="Arial" w:cs="Arial"/>
          <w:bCs/>
          <w:snapToGrid w:val="0"/>
          <w:sz w:val="22"/>
          <w:szCs w:val="22"/>
          <w:lang w:val="en-GB"/>
        </w:rPr>
        <w:t xml:space="preserve">The PBAC </w:t>
      </w:r>
      <w:r w:rsidR="007C6714" w:rsidRPr="00625531">
        <w:rPr>
          <w:rFonts w:ascii="Arial" w:hAnsi="Arial" w:cs="Arial"/>
          <w:bCs/>
          <w:snapToGrid w:val="0"/>
          <w:sz w:val="22"/>
          <w:szCs w:val="22"/>
          <w:lang w:val="en-GB"/>
        </w:rPr>
        <w:t>was</w:t>
      </w:r>
      <w:r w:rsidRPr="00625531">
        <w:rPr>
          <w:rFonts w:ascii="Arial" w:hAnsi="Arial" w:cs="Arial"/>
          <w:bCs/>
          <w:snapToGrid w:val="0"/>
          <w:sz w:val="22"/>
          <w:szCs w:val="22"/>
          <w:lang w:val="en-GB"/>
        </w:rPr>
        <w:t xml:space="preserve"> satisfied that </w:t>
      </w:r>
      <w:r w:rsidR="007C6714" w:rsidRPr="00625531">
        <w:rPr>
          <w:rFonts w:ascii="Arial" w:hAnsi="Arial"/>
          <w:sz w:val="22"/>
          <w:szCs w:val="22"/>
        </w:rPr>
        <w:t xml:space="preserve">rivastigmine (13.3 milligrams/24 hours patch) would provide patient treatment options given the persisting clinical need for treatments of mild to moderately severe Alzheimer disease. </w:t>
      </w:r>
    </w:p>
    <w:p w:rsidR="007C6714" w:rsidRPr="00625531" w:rsidRDefault="007C6714" w:rsidP="007C6714">
      <w:pPr>
        <w:pStyle w:val="ListParagraph"/>
        <w:rPr>
          <w:rFonts w:ascii="Arial" w:hAnsi="Arial" w:cs="Arial"/>
          <w:bCs/>
          <w:snapToGrid w:val="0"/>
          <w:sz w:val="22"/>
          <w:szCs w:val="22"/>
          <w:lang w:val="en-GB"/>
        </w:rPr>
      </w:pPr>
    </w:p>
    <w:p w:rsidR="000A2F6D" w:rsidRPr="00625531" w:rsidRDefault="007C6714" w:rsidP="000A2F6D">
      <w:pPr>
        <w:widowControl w:val="0"/>
        <w:numPr>
          <w:ilvl w:val="1"/>
          <w:numId w:val="25"/>
        </w:numPr>
        <w:contextualSpacing/>
        <w:jc w:val="both"/>
        <w:rPr>
          <w:rFonts w:ascii="Arial" w:hAnsi="Arial" w:cs="Arial"/>
          <w:bCs/>
          <w:snapToGrid w:val="0"/>
          <w:sz w:val="22"/>
          <w:szCs w:val="22"/>
          <w:lang w:val="en-GB"/>
        </w:rPr>
      </w:pPr>
      <w:r w:rsidRPr="00625531">
        <w:rPr>
          <w:rFonts w:ascii="Arial" w:hAnsi="Arial" w:cs="Arial"/>
          <w:bCs/>
          <w:snapToGrid w:val="0"/>
          <w:sz w:val="22"/>
          <w:szCs w:val="22"/>
          <w:lang w:val="en-GB"/>
        </w:rPr>
        <w:t xml:space="preserve">The PBAC noted the data on </w:t>
      </w:r>
      <w:r w:rsidRPr="00625531">
        <w:rPr>
          <w:rFonts w:ascii="Arial" w:hAnsi="Arial"/>
          <w:sz w:val="22"/>
          <w:szCs w:val="22"/>
        </w:rPr>
        <w:t xml:space="preserve">OPTIMA (OPtimizing Transdermal Exelon In Mild-to-moderate Alzheimer’s disease) </w:t>
      </w:r>
      <w:r w:rsidRPr="00625531">
        <w:rPr>
          <w:rFonts w:ascii="Arial" w:hAnsi="Arial" w:cs="Arial"/>
          <w:bCs/>
          <w:snapToGrid w:val="0"/>
          <w:sz w:val="22"/>
          <w:szCs w:val="22"/>
          <w:lang w:val="en-GB"/>
        </w:rPr>
        <w:t xml:space="preserve">clinical trial provided with the submission. The PBAC noted that </w:t>
      </w:r>
      <w:r w:rsidRPr="00625531">
        <w:rPr>
          <w:rFonts w:ascii="Arial" w:hAnsi="Arial"/>
          <w:sz w:val="22"/>
          <w:szCs w:val="22"/>
        </w:rPr>
        <w:t>Instrumental Activities of Daily Living domain of the Alzheimer’s Disease Cooperative Study-Activities of Daily Living (ADCS-IADL) scale and the Alzheimer’s Disease Assessment Scale– cognitive subscale (ADAS-cog) scores favoured the rivastigmine 15cm</w:t>
      </w:r>
      <w:r w:rsidRPr="00625531">
        <w:rPr>
          <w:rFonts w:ascii="Arial" w:hAnsi="Arial"/>
          <w:sz w:val="22"/>
          <w:szCs w:val="22"/>
          <w:vertAlign w:val="superscript"/>
        </w:rPr>
        <w:t>2</w:t>
      </w:r>
      <w:r w:rsidRPr="00625531">
        <w:rPr>
          <w:rFonts w:ascii="Arial" w:hAnsi="Arial"/>
          <w:sz w:val="22"/>
          <w:szCs w:val="22"/>
        </w:rPr>
        <w:t xml:space="preserve"> (13.3mg/24 hours) patch over the 10cm</w:t>
      </w:r>
      <w:r w:rsidRPr="00625531">
        <w:rPr>
          <w:rFonts w:ascii="Arial" w:hAnsi="Arial"/>
          <w:sz w:val="22"/>
          <w:szCs w:val="22"/>
          <w:vertAlign w:val="superscript"/>
        </w:rPr>
        <w:t>2</w:t>
      </w:r>
      <w:r w:rsidRPr="00625531">
        <w:rPr>
          <w:rFonts w:ascii="Arial" w:hAnsi="Arial"/>
          <w:sz w:val="22"/>
          <w:szCs w:val="22"/>
        </w:rPr>
        <w:t xml:space="preserve"> patch.</w:t>
      </w:r>
      <w:r w:rsidR="000A2F6D" w:rsidRPr="00625531">
        <w:rPr>
          <w:rFonts w:ascii="Arial" w:hAnsi="Arial"/>
          <w:sz w:val="22"/>
          <w:szCs w:val="22"/>
        </w:rPr>
        <w:t xml:space="preserve"> As this was a minor submission, the clinical </w:t>
      </w:r>
      <w:r w:rsidR="00625531" w:rsidRPr="00625531">
        <w:rPr>
          <w:rFonts w:ascii="Arial" w:hAnsi="Arial"/>
          <w:sz w:val="22"/>
          <w:szCs w:val="22"/>
        </w:rPr>
        <w:t>importance of these differences between 15cm</w:t>
      </w:r>
      <w:r w:rsidR="00625531" w:rsidRPr="00625531">
        <w:rPr>
          <w:rFonts w:ascii="Arial" w:hAnsi="Arial"/>
          <w:sz w:val="22"/>
          <w:szCs w:val="22"/>
          <w:vertAlign w:val="superscript"/>
        </w:rPr>
        <w:t>2</w:t>
      </w:r>
      <w:r w:rsidR="00625531">
        <w:rPr>
          <w:rFonts w:ascii="Arial" w:hAnsi="Arial"/>
          <w:sz w:val="22"/>
          <w:szCs w:val="22"/>
          <w:vertAlign w:val="superscript"/>
        </w:rPr>
        <w:t xml:space="preserve"> </w:t>
      </w:r>
      <w:r w:rsidR="00625531">
        <w:rPr>
          <w:rFonts w:ascii="Arial" w:hAnsi="Arial"/>
          <w:sz w:val="22"/>
          <w:szCs w:val="22"/>
        </w:rPr>
        <w:t>and 1</w:t>
      </w:r>
      <w:r w:rsidR="00625531" w:rsidRPr="00625531">
        <w:rPr>
          <w:rFonts w:ascii="Arial" w:hAnsi="Arial"/>
          <w:sz w:val="22"/>
          <w:szCs w:val="22"/>
        </w:rPr>
        <w:t>0cm</w:t>
      </w:r>
      <w:r w:rsidR="00625531" w:rsidRPr="00625531">
        <w:rPr>
          <w:rFonts w:ascii="Arial" w:hAnsi="Arial"/>
          <w:sz w:val="22"/>
          <w:szCs w:val="22"/>
          <w:vertAlign w:val="superscript"/>
        </w:rPr>
        <w:t>2</w:t>
      </w:r>
      <w:r w:rsidR="00625531">
        <w:rPr>
          <w:rFonts w:ascii="Arial" w:hAnsi="Arial"/>
          <w:sz w:val="22"/>
          <w:szCs w:val="22"/>
          <w:vertAlign w:val="superscript"/>
        </w:rPr>
        <w:t xml:space="preserve"> </w:t>
      </w:r>
      <w:r w:rsidR="00625531" w:rsidRPr="00625531">
        <w:rPr>
          <w:rFonts w:ascii="Arial" w:hAnsi="Arial"/>
          <w:sz w:val="22"/>
          <w:szCs w:val="22"/>
        </w:rPr>
        <w:t>patches was</w:t>
      </w:r>
      <w:r w:rsidR="000A2F6D" w:rsidRPr="00625531">
        <w:rPr>
          <w:rFonts w:ascii="Arial" w:hAnsi="Arial"/>
          <w:sz w:val="22"/>
          <w:szCs w:val="22"/>
        </w:rPr>
        <w:t xml:space="preserve"> not evaluated. </w:t>
      </w:r>
    </w:p>
    <w:p w:rsidR="00625531" w:rsidRPr="00625531" w:rsidRDefault="00625531" w:rsidP="00625531">
      <w:pPr>
        <w:widowControl w:val="0"/>
        <w:contextualSpacing/>
        <w:jc w:val="both"/>
        <w:rPr>
          <w:rFonts w:ascii="Arial" w:hAnsi="Arial" w:cs="Arial"/>
          <w:bCs/>
          <w:snapToGrid w:val="0"/>
          <w:sz w:val="22"/>
          <w:szCs w:val="22"/>
          <w:lang w:val="en-GB"/>
        </w:rPr>
      </w:pPr>
    </w:p>
    <w:p w:rsidR="007C6714" w:rsidRPr="00625531" w:rsidRDefault="007C6714" w:rsidP="00E565CE">
      <w:pPr>
        <w:widowControl w:val="0"/>
        <w:numPr>
          <w:ilvl w:val="1"/>
          <w:numId w:val="25"/>
        </w:numPr>
        <w:contextualSpacing/>
        <w:jc w:val="both"/>
        <w:rPr>
          <w:rFonts w:ascii="Arial" w:hAnsi="Arial" w:cs="Arial"/>
          <w:bCs/>
          <w:snapToGrid w:val="0"/>
          <w:sz w:val="22"/>
          <w:szCs w:val="22"/>
          <w:lang w:val="en-GB"/>
        </w:rPr>
      </w:pPr>
      <w:r w:rsidRPr="00625531">
        <w:rPr>
          <w:rFonts w:ascii="Arial" w:hAnsi="Arial"/>
          <w:sz w:val="22"/>
          <w:szCs w:val="22"/>
        </w:rPr>
        <w:t>The PBAC noted the submission’s claim that no incremental cost to the PBS or the government is expected as the majority of the switch to rivastigmine patch 15cm</w:t>
      </w:r>
      <w:r w:rsidRPr="00625531">
        <w:rPr>
          <w:rFonts w:ascii="Arial" w:hAnsi="Arial"/>
          <w:sz w:val="22"/>
          <w:szCs w:val="22"/>
          <w:vertAlign w:val="superscript"/>
        </w:rPr>
        <w:t>2</w:t>
      </w:r>
      <w:r w:rsidRPr="00625531">
        <w:rPr>
          <w:rFonts w:ascii="Arial" w:hAnsi="Arial"/>
          <w:sz w:val="22"/>
          <w:szCs w:val="22"/>
        </w:rPr>
        <w:t xml:space="preserve"> will occur from an identical priced rivastigmine patch 10cm</w:t>
      </w:r>
      <w:r w:rsidRPr="00625531">
        <w:rPr>
          <w:rFonts w:ascii="Arial" w:hAnsi="Arial"/>
          <w:sz w:val="22"/>
          <w:szCs w:val="22"/>
          <w:vertAlign w:val="superscript"/>
        </w:rPr>
        <w:t>2</w:t>
      </w:r>
      <w:r w:rsidRPr="00625531">
        <w:rPr>
          <w:rFonts w:ascii="Arial" w:hAnsi="Arial"/>
          <w:sz w:val="22"/>
          <w:szCs w:val="22"/>
        </w:rPr>
        <w:t xml:space="preserve"> presentation with </w:t>
      </w:r>
      <w:r w:rsidR="00625531">
        <w:rPr>
          <w:rFonts w:ascii="Arial" w:hAnsi="Arial"/>
          <w:sz w:val="22"/>
          <w:szCs w:val="22"/>
        </w:rPr>
        <w:t>same AEMP</w:t>
      </w:r>
      <w:r w:rsidRPr="00625531">
        <w:rPr>
          <w:rFonts w:ascii="Arial" w:hAnsi="Arial"/>
          <w:sz w:val="22"/>
          <w:szCs w:val="22"/>
        </w:rPr>
        <w:t>.</w:t>
      </w:r>
    </w:p>
    <w:p w:rsidR="00237140" w:rsidRPr="00625531" w:rsidRDefault="00237140" w:rsidP="00237140">
      <w:pPr>
        <w:pStyle w:val="ListParagraph"/>
        <w:jc w:val="both"/>
        <w:rPr>
          <w:rFonts w:ascii="Arial" w:hAnsi="Arial"/>
          <w:b/>
          <w:sz w:val="22"/>
          <w:szCs w:val="22"/>
        </w:rPr>
      </w:pPr>
    </w:p>
    <w:p w:rsidR="00237140" w:rsidRPr="00625531" w:rsidRDefault="000A2F6D" w:rsidP="00237140">
      <w:pPr>
        <w:pStyle w:val="ListParagraph"/>
        <w:numPr>
          <w:ilvl w:val="1"/>
          <w:numId w:val="25"/>
        </w:numPr>
        <w:jc w:val="both"/>
        <w:rPr>
          <w:rFonts w:ascii="Arial" w:hAnsi="Arial"/>
          <w:sz w:val="22"/>
          <w:szCs w:val="22"/>
        </w:rPr>
      </w:pPr>
      <w:r w:rsidRPr="00625531">
        <w:rPr>
          <w:rFonts w:ascii="Arial" w:hAnsi="Arial"/>
          <w:sz w:val="22"/>
          <w:szCs w:val="22"/>
        </w:rPr>
        <w:t xml:space="preserve">The PBAC considered it was appropriate that the Safety Net 20 day rule should apply to this and other forms of rivastigmine. </w:t>
      </w:r>
    </w:p>
    <w:p w:rsidR="00237140" w:rsidRPr="00625531" w:rsidRDefault="00237140" w:rsidP="00237140">
      <w:pPr>
        <w:pStyle w:val="ListParagraph"/>
        <w:jc w:val="both"/>
        <w:rPr>
          <w:rFonts w:ascii="Arial" w:hAnsi="Arial"/>
          <w:sz w:val="22"/>
          <w:szCs w:val="22"/>
        </w:rPr>
      </w:pPr>
    </w:p>
    <w:p w:rsidR="00237140" w:rsidRPr="00625531" w:rsidRDefault="00237140" w:rsidP="00237140">
      <w:pPr>
        <w:pStyle w:val="ListParagraph"/>
        <w:numPr>
          <w:ilvl w:val="1"/>
          <w:numId w:val="25"/>
        </w:numPr>
        <w:jc w:val="both"/>
        <w:rPr>
          <w:rFonts w:ascii="Arial" w:hAnsi="Arial"/>
          <w:i/>
          <w:sz w:val="22"/>
          <w:szCs w:val="22"/>
        </w:rPr>
      </w:pPr>
      <w:r w:rsidRPr="00625531">
        <w:rPr>
          <w:rFonts w:ascii="Arial" w:hAnsi="Arial"/>
          <w:sz w:val="22"/>
          <w:szCs w:val="22"/>
        </w:rPr>
        <w:t xml:space="preserve">The PBAC </w:t>
      </w:r>
      <w:r w:rsidR="000A2F6D" w:rsidRPr="00625531">
        <w:rPr>
          <w:rFonts w:ascii="Arial" w:hAnsi="Arial"/>
          <w:sz w:val="22"/>
          <w:szCs w:val="22"/>
        </w:rPr>
        <w:t>considered that</w:t>
      </w:r>
      <w:r w:rsidRPr="00625531">
        <w:rPr>
          <w:rFonts w:ascii="Arial" w:hAnsi="Arial"/>
          <w:sz w:val="22"/>
          <w:szCs w:val="22"/>
        </w:rPr>
        <w:t xml:space="preserve"> rivastigmine 13.3 milligrams/24 hours patch is suitable for inclusion in the PBS medicines for prescribing by nurse practitioners as continuing therapy only, as </w:t>
      </w:r>
      <w:r w:rsidR="000A2F6D" w:rsidRPr="00625531">
        <w:rPr>
          <w:rFonts w:ascii="Arial" w:hAnsi="Arial"/>
          <w:sz w:val="22"/>
          <w:szCs w:val="22"/>
        </w:rPr>
        <w:t xml:space="preserve">for </w:t>
      </w:r>
      <w:r w:rsidRPr="00625531">
        <w:rPr>
          <w:rFonts w:ascii="Arial" w:hAnsi="Arial"/>
          <w:sz w:val="22"/>
          <w:szCs w:val="22"/>
        </w:rPr>
        <w:t>the currently listed strengths.</w:t>
      </w:r>
    </w:p>
    <w:p w:rsidR="00237140" w:rsidRPr="00625531" w:rsidRDefault="00237140" w:rsidP="00237140">
      <w:pPr>
        <w:pStyle w:val="ListParagraph"/>
        <w:rPr>
          <w:rFonts w:ascii="Arial" w:hAnsi="Arial"/>
          <w:i/>
          <w:sz w:val="22"/>
          <w:szCs w:val="22"/>
        </w:rPr>
      </w:pPr>
    </w:p>
    <w:p w:rsidR="00E565CE" w:rsidRPr="00625531" w:rsidRDefault="00E565CE" w:rsidP="00E565CE">
      <w:pPr>
        <w:jc w:val="both"/>
        <w:rPr>
          <w:rFonts w:ascii="Arial" w:hAnsi="Arial" w:cs="Arial"/>
          <w:b/>
          <w:bCs/>
          <w:snapToGrid w:val="0"/>
          <w:sz w:val="22"/>
          <w:szCs w:val="22"/>
          <w:lang w:val="en-GB"/>
        </w:rPr>
      </w:pPr>
    </w:p>
    <w:p w:rsidR="00E565CE" w:rsidRPr="00625531" w:rsidRDefault="00E565CE" w:rsidP="00E565CE">
      <w:pPr>
        <w:jc w:val="both"/>
        <w:rPr>
          <w:rFonts w:ascii="Arial" w:hAnsi="Arial" w:cs="Arial"/>
          <w:b/>
          <w:bCs/>
          <w:snapToGrid w:val="0"/>
          <w:sz w:val="22"/>
          <w:szCs w:val="22"/>
          <w:lang w:val="en-GB"/>
        </w:rPr>
      </w:pPr>
      <w:r w:rsidRPr="00625531">
        <w:rPr>
          <w:rFonts w:ascii="Arial" w:hAnsi="Arial" w:cs="Arial"/>
          <w:b/>
          <w:bCs/>
          <w:snapToGrid w:val="0"/>
          <w:sz w:val="22"/>
          <w:szCs w:val="22"/>
          <w:lang w:val="en-GB"/>
        </w:rPr>
        <w:t>Outcome:</w:t>
      </w:r>
    </w:p>
    <w:p w:rsidR="00E565CE" w:rsidRPr="00625531" w:rsidRDefault="00E565CE" w:rsidP="00E565CE">
      <w:pPr>
        <w:jc w:val="both"/>
        <w:rPr>
          <w:rFonts w:ascii="Arial" w:hAnsi="Arial" w:cs="Arial"/>
          <w:bCs/>
          <w:snapToGrid w:val="0"/>
          <w:sz w:val="22"/>
          <w:szCs w:val="22"/>
          <w:lang w:val="en-GB"/>
        </w:rPr>
      </w:pPr>
      <w:r w:rsidRPr="00625531">
        <w:rPr>
          <w:rFonts w:ascii="Arial" w:hAnsi="Arial" w:cs="Arial"/>
          <w:bCs/>
          <w:snapToGrid w:val="0"/>
          <w:sz w:val="22"/>
          <w:szCs w:val="22"/>
          <w:lang w:val="en-GB"/>
        </w:rPr>
        <w:t>Recommended</w:t>
      </w:r>
    </w:p>
    <w:p w:rsidR="00E565CE" w:rsidRPr="00625531" w:rsidRDefault="00E565CE" w:rsidP="00E565CE">
      <w:pPr>
        <w:widowControl w:val="0"/>
        <w:jc w:val="both"/>
        <w:rPr>
          <w:rFonts w:ascii="Arial" w:hAnsi="Arial" w:cs="Arial"/>
          <w:b/>
          <w:bCs/>
          <w:snapToGrid w:val="0"/>
          <w:sz w:val="22"/>
          <w:szCs w:val="22"/>
        </w:rPr>
      </w:pPr>
    </w:p>
    <w:p w:rsidR="00E565CE" w:rsidRPr="00625531" w:rsidRDefault="00E565CE" w:rsidP="00E565CE">
      <w:pPr>
        <w:widowControl w:val="0"/>
        <w:jc w:val="both"/>
        <w:rPr>
          <w:rFonts w:ascii="Arial" w:hAnsi="Arial" w:cs="Arial"/>
          <w:bCs/>
          <w:snapToGrid w:val="0"/>
          <w:sz w:val="22"/>
          <w:szCs w:val="22"/>
        </w:rPr>
      </w:pPr>
    </w:p>
    <w:p w:rsidR="00E565CE" w:rsidRPr="00625531" w:rsidRDefault="00E565CE" w:rsidP="00E565CE">
      <w:pPr>
        <w:widowControl w:val="0"/>
        <w:numPr>
          <w:ilvl w:val="0"/>
          <w:numId w:val="25"/>
        </w:numPr>
        <w:jc w:val="both"/>
        <w:rPr>
          <w:rFonts w:ascii="Arial" w:hAnsi="Arial" w:cs="Arial"/>
          <w:b/>
          <w:bCs/>
          <w:i/>
          <w:snapToGrid w:val="0"/>
          <w:sz w:val="22"/>
          <w:szCs w:val="22"/>
          <w:lang w:val="en-GB"/>
        </w:rPr>
      </w:pPr>
      <w:r w:rsidRPr="00625531">
        <w:rPr>
          <w:rFonts w:ascii="Arial" w:hAnsi="Arial" w:cs="Arial"/>
          <w:b/>
          <w:bCs/>
          <w:snapToGrid w:val="0"/>
          <w:sz w:val="22"/>
          <w:szCs w:val="22"/>
          <w:lang w:val="en-GB"/>
        </w:rPr>
        <w:t>Recommended listing</w:t>
      </w:r>
    </w:p>
    <w:p w:rsidR="00E565CE" w:rsidRPr="00625531" w:rsidRDefault="00E565CE" w:rsidP="00E565CE">
      <w:pPr>
        <w:jc w:val="both"/>
        <w:rPr>
          <w:rFonts w:ascii="Arial" w:hAnsi="Arial" w:cs="Arial"/>
          <w:b/>
          <w:bCs/>
          <w:i/>
          <w:snapToGrid w:val="0"/>
          <w:sz w:val="22"/>
          <w:szCs w:val="22"/>
          <w:lang w:val="en-GB"/>
        </w:rPr>
      </w:pPr>
    </w:p>
    <w:p w:rsidR="00E565CE" w:rsidRPr="00E565CE" w:rsidRDefault="00E565CE" w:rsidP="00E565CE">
      <w:pPr>
        <w:widowControl w:val="0"/>
        <w:ind w:firstLine="720"/>
        <w:jc w:val="both"/>
        <w:rPr>
          <w:rFonts w:ascii="Arial" w:hAnsi="Arial" w:cs="Arial"/>
          <w:bCs/>
          <w:snapToGrid w:val="0"/>
          <w:sz w:val="22"/>
          <w:szCs w:val="22"/>
        </w:rPr>
      </w:pPr>
      <w:r w:rsidRPr="00625531">
        <w:rPr>
          <w:rFonts w:ascii="Arial" w:hAnsi="Arial" w:cs="Arial"/>
          <w:bCs/>
          <w:snapToGrid w:val="0"/>
          <w:sz w:val="22"/>
          <w:szCs w:val="22"/>
        </w:rPr>
        <w:t>Amend existing</w:t>
      </w:r>
      <w:r w:rsidRPr="00E565CE">
        <w:rPr>
          <w:rFonts w:ascii="Arial" w:hAnsi="Arial" w:cs="Arial"/>
          <w:bCs/>
          <w:snapToGrid w:val="0"/>
          <w:sz w:val="22"/>
          <w:szCs w:val="22"/>
        </w:rPr>
        <w:t xml:space="preserve"> listing as follows:</w:t>
      </w:r>
    </w:p>
    <w:p w:rsidR="00E565CE" w:rsidRDefault="00E565CE" w:rsidP="00E565CE">
      <w:pPr>
        <w:widowControl w:val="0"/>
        <w:ind w:firstLine="720"/>
        <w:jc w:val="both"/>
        <w:rPr>
          <w:rFonts w:ascii="Arial" w:hAnsi="Arial" w:cs="Arial"/>
          <w:bCs/>
          <w:snapToGrid w:val="0"/>
          <w:sz w:val="22"/>
          <w:szCs w:val="22"/>
          <w:highlight w:val="yellow"/>
        </w:rPr>
      </w:pPr>
    </w:p>
    <w:p w:rsidR="00E565CE" w:rsidRDefault="00E565CE" w:rsidP="00E565CE">
      <w:pPr>
        <w:widowControl w:val="0"/>
        <w:ind w:firstLine="720"/>
        <w:jc w:val="both"/>
        <w:rPr>
          <w:rFonts w:ascii="Arial" w:hAnsi="Arial" w:cs="Arial"/>
          <w:bCs/>
          <w:snapToGrid w:val="0"/>
          <w:sz w:val="22"/>
          <w:szCs w:val="22"/>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283"/>
        <w:gridCol w:w="1276"/>
        <w:gridCol w:w="2126"/>
      </w:tblGrid>
      <w:tr w:rsidR="00E565CE" w:rsidRPr="0039782C" w:rsidTr="00F40F42">
        <w:trPr>
          <w:cantSplit/>
          <w:trHeight w:val="471"/>
        </w:trPr>
        <w:tc>
          <w:tcPr>
            <w:tcW w:w="3119" w:type="dxa"/>
            <w:gridSpan w:val="2"/>
            <w:tcBorders>
              <w:bottom w:val="single" w:sz="4" w:space="0" w:color="auto"/>
            </w:tcBorders>
          </w:tcPr>
          <w:p w:rsidR="00E565CE" w:rsidRPr="0039782C" w:rsidRDefault="00E565CE" w:rsidP="00237140">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E565CE" w:rsidRPr="0039782C" w:rsidRDefault="00E565CE" w:rsidP="00237140">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E565CE" w:rsidRPr="0039782C" w:rsidRDefault="00E565CE" w:rsidP="00237140">
            <w:pPr>
              <w:keepNext/>
              <w:ind w:left="-108"/>
              <w:jc w:val="both"/>
              <w:rPr>
                <w:rFonts w:ascii="Arial Narrow" w:hAnsi="Arial Narrow" w:cs="Arial"/>
                <w:b/>
                <w:sz w:val="20"/>
                <w:szCs w:val="20"/>
              </w:rPr>
            </w:pPr>
            <w:r w:rsidRPr="0039782C">
              <w:rPr>
                <w:rFonts w:ascii="Arial Narrow" w:hAnsi="Arial Narrow" w:cs="Arial"/>
                <w:b/>
                <w:sz w:val="20"/>
                <w:szCs w:val="20"/>
              </w:rPr>
              <w:t>Max.</w:t>
            </w:r>
          </w:p>
          <w:p w:rsidR="00E565CE" w:rsidRPr="0039782C" w:rsidRDefault="00E565CE" w:rsidP="00237140">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E565CE" w:rsidRPr="0039782C" w:rsidRDefault="00E565CE" w:rsidP="00237140">
            <w:pPr>
              <w:keepNext/>
              <w:ind w:left="-108"/>
              <w:jc w:val="both"/>
              <w:rPr>
                <w:rFonts w:ascii="Arial Narrow" w:hAnsi="Arial Narrow" w:cs="Arial"/>
                <w:b/>
                <w:sz w:val="20"/>
                <w:szCs w:val="20"/>
              </w:rPr>
            </w:pPr>
            <w:r w:rsidRPr="0039782C">
              <w:rPr>
                <w:rFonts w:ascii="Arial Narrow" w:hAnsi="Arial Narrow" w:cs="Arial"/>
                <w:b/>
                <w:sz w:val="20"/>
                <w:szCs w:val="20"/>
              </w:rPr>
              <w:t>№.of</w:t>
            </w:r>
          </w:p>
          <w:p w:rsidR="00E565CE" w:rsidRPr="0039782C" w:rsidRDefault="00E565CE" w:rsidP="00237140">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83" w:type="dxa"/>
            <w:tcBorders>
              <w:bottom w:val="single" w:sz="4" w:space="0" w:color="auto"/>
            </w:tcBorders>
          </w:tcPr>
          <w:p w:rsidR="00E565CE" w:rsidRPr="0039782C" w:rsidRDefault="00E565CE" w:rsidP="00237140">
            <w:pPr>
              <w:keepNext/>
              <w:ind w:left="-108"/>
              <w:jc w:val="both"/>
              <w:rPr>
                <w:rFonts w:ascii="Arial Narrow" w:hAnsi="Arial Narrow" w:cs="Arial"/>
                <w:b/>
                <w:sz w:val="20"/>
                <w:szCs w:val="20"/>
              </w:rPr>
            </w:pPr>
          </w:p>
        </w:tc>
        <w:tc>
          <w:tcPr>
            <w:tcW w:w="3402" w:type="dxa"/>
            <w:gridSpan w:val="2"/>
            <w:tcBorders>
              <w:bottom w:val="single" w:sz="4" w:space="0" w:color="auto"/>
            </w:tcBorders>
          </w:tcPr>
          <w:p w:rsidR="00E565CE" w:rsidRPr="0039782C" w:rsidRDefault="00E565CE" w:rsidP="00237140">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565CE" w:rsidRPr="00260CE3" w:rsidTr="00F40F42">
        <w:trPr>
          <w:cantSplit/>
          <w:trHeight w:val="577"/>
        </w:trPr>
        <w:tc>
          <w:tcPr>
            <w:tcW w:w="3119" w:type="dxa"/>
            <w:gridSpan w:val="2"/>
          </w:tcPr>
          <w:p w:rsidR="00E565CE" w:rsidRPr="00260CE3" w:rsidRDefault="00E565CE" w:rsidP="00237140">
            <w:pPr>
              <w:keepNext/>
              <w:ind w:left="-108"/>
              <w:jc w:val="both"/>
              <w:rPr>
                <w:rFonts w:ascii="Arial Narrow" w:hAnsi="Arial Narrow" w:cs="Arial"/>
                <w:sz w:val="20"/>
                <w:szCs w:val="20"/>
              </w:rPr>
            </w:pPr>
            <w:r>
              <w:rPr>
                <w:rFonts w:ascii="Arial Narrow" w:hAnsi="Arial Narrow" w:cs="Arial"/>
                <w:smallCaps/>
                <w:sz w:val="20"/>
                <w:szCs w:val="20"/>
              </w:rPr>
              <w:t>RIVASTIGMINE</w:t>
            </w:r>
          </w:p>
          <w:p w:rsidR="00E565CE" w:rsidRPr="00260CE3" w:rsidRDefault="00E565CE" w:rsidP="00237140">
            <w:pPr>
              <w:keepNext/>
              <w:ind w:left="-108"/>
              <w:jc w:val="both"/>
              <w:rPr>
                <w:rFonts w:ascii="Arial Narrow" w:hAnsi="Arial Narrow" w:cs="Arial"/>
                <w:sz w:val="20"/>
                <w:szCs w:val="20"/>
              </w:rPr>
            </w:pPr>
            <w:r>
              <w:rPr>
                <w:rFonts w:ascii="Arial Narrow" w:hAnsi="Arial Narrow" w:cs="Arial"/>
                <w:sz w:val="20"/>
                <w:szCs w:val="20"/>
              </w:rPr>
              <w:t>13.3 milligrams/24 hours patch, 30</w:t>
            </w:r>
          </w:p>
        </w:tc>
        <w:tc>
          <w:tcPr>
            <w:tcW w:w="850" w:type="dxa"/>
          </w:tcPr>
          <w:p w:rsidR="00E565CE" w:rsidRPr="00260CE3" w:rsidRDefault="00E565CE" w:rsidP="00237140">
            <w:pPr>
              <w:keepNext/>
              <w:ind w:left="-108"/>
              <w:jc w:val="both"/>
              <w:rPr>
                <w:rFonts w:ascii="Arial Narrow" w:hAnsi="Arial Narrow" w:cs="Arial"/>
                <w:sz w:val="20"/>
                <w:szCs w:val="20"/>
              </w:rPr>
            </w:pPr>
          </w:p>
          <w:p w:rsidR="00E565CE" w:rsidRPr="00260CE3" w:rsidRDefault="00E565CE" w:rsidP="00237140">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E565CE" w:rsidRDefault="00E565CE" w:rsidP="00237140">
            <w:pPr>
              <w:keepNext/>
              <w:ind w:left="-108"/>
              <w:jc w:val="both"/>
              <w:rPr>
                <w:rFonts w:ascii="Arial Narrow" w:hAnsi="Arial Narrow" w:cs="Arial"/>
                <w:sz w:val="20"/>
                <w:szCs w:val="20"/>
              </w:rPr>
            </w:pPr>
          </w:p>
          <w:p w:rsidR="00E565CE" w:rsidRPr="00260CE3" w:rsidRDefault="00E565CE" w:rsidP="00237140">
            <w:pPr>
              <w:keepNext/>
              <w:ind w:left="-108"/>
              <w:jc w:val="both"/>
              <w:rPr>
                <w:rFonts w:ascii="Arial Narrow" w:hAnsi="Arial Narrow" w:cs="Arial"/>
                <w:sz w:val="20"/>
                <w:szCs w:val="20"/>
              </w:rPr>
            </w:pPr>
            <w:r>
              <w:rPr>
                <w:rFonts w:ascii="Arial Narrow" w:hAnsi="Arial Narrow" w:cs="Arial"/>
                <w:sz w:val="20"/>
                <w:szCs w:val="20"/>
              </w:rPr>
              <w:t>5</w:t>
            </w:r>
          </w:p>
        </w:tc>
        <w:tc>
          <w:tcPr>
            <w:tcW w:w="283" w:type="dxa"/>
          </w:tcPr>
          <w:p w:rsidR="00E565CE" w:rsidRPr="00260CE3" w:rsidRDefault="00E565CE" w:rsidP="00237140">
            <w:pPr>
              <w:keepNext/>
              <w:ind w:left="-108"/>
              <w:jc w:val="both"/>
              <w:rPr>
                <w:rFonts w:ascii="Arial Narrow" w:hAnsi="Arial Narrow" w:cs="Arial"/>
                <w:sz w:val="20"/>
                <w:szCs w:val="20"/>
              </w:rPr>
            </w:pPr>
          </w:p>
          <w:p w:rsidR="00E565CE" w:rsidRPr="00260CE3" w:rsidRDefault="00E565CE" w:rsidP="00237140">
            <w:pPr>
              <w:keepNext/>
              <w:ind w:left="-108"/>
              <w:jc w:val="both"/>
              <w:rPr>
                <w:rFonts w:ascii="Arial Narrow" w:hAnsi="Arial Narrow" w:cs="Arial"/>
                <w:sz w:val="20"/>
                <w:szCs w:val="20"/>
              </w:rPr>
            </w:pPr>
          </w:p>
        </w:tc>
        <w:tc>
          <w:tcPr>
            <w:tcW w:w="1276" w:type="dxa"/>
          </w:tcPr>
          <w:p w:rsidR="00E565CE" w:rsidRDefault="00E565CE" w:rsidP="00237140">
            <w:pPr>
              <w:keepNext/>
              <w:jc w:val="both"/>
              <w:rPr>
                <w:rFonts w:ascii="Arial Narrow" w:hAnsi="Arial Narrow" w:cs="Arial"/>
                <w:sz w:val="20"/>
                <w:szCs w:val="20"/>
              </w:rPr>
            </w:pPr>
          </w:p>
          <w:p w:rsidR="00E565CE" w:rsidRPr="00260CE3" w:rsidRDefault="00E565CE" w:rsidP="00237140">
            <w:pPr>
              <w:keepNext/>
              <w:jc w:val="both"/>
              <w:rPr>
                <w:rFonts w:ascii="Arial Narrow" w:hAnsi="Arial Narrow" w:cs="Arial"/>
                <w:sz w:val="20"/>
                <w:szCs w:val="20"/>
              </w:rPr>
            </w:pPr>
            <w:r>
              <w:rPr>
                <w:rFonts w:ascii="Arial Narrow" w:hAnsi="Arial Narrow" w:cs="Arial"/>
                <w:sz w:val="20"/>
                <w:szCs w:val="20"/>
              </w:rPr>
              <w:t>Exelon</w:t>
            </w:r>
            <w:r w:rsidRPr="009F00AA">
              <w:rPr>
                <w:rFonts w:ascii="Arial Narrow" w:hAnsi="Arial Narrow" w:cs="Arial"/>
                <w:sz w:val="20"/>
                <w:szCs w:val="20"/>
                <w:vertAlign w:val="superscript"/>
              </w:rPr>
              <w:t>®</w:t>
            </w:r>
            <w:r>
              <w:rPr>
                <w:rFonts w:ascii="Arial Narrow" w:hAnsi="Arial Narrow" w:cs="Arial"/>
                <w:sz w:val="20"/>
                <w:szCs w:val="20"/>
              </w:rPr>
              <w:t>15</w:t>
            </w:r>
          </w:p>
        </w:tc>
        <w:tc>
          <w:tcPr>
            <w:tcW w:w="2126" w:type="dxa"/>
          </w:tcPr>
          <w:p w:rsidR="00E565CE" w:rsidRDefault="00E565CE" w:rsidP="00237140">
            <w:pPr>
              <w:keepNext/>
              <w:jc w:val="both"/>
              <w:rPr>
                <w:rFonts w:ascii="Arial Narrow" w:hAnsi="Arial Narrow" w:cs="Arial"/>
                <w:sz w:val="20"/>
                <w:szCs w:val="20"/>
              </w:rPr>
            </w:pPr>
          </w:p>
          <w:p w:rsidR="00E565CE" w:rsidRPr="00260CE3" w:rsidRDefault="00355B20" w:rsidP="00237140">
            <w:pPr>
              <w:keepNext/>
              <w:jc w:val="both"/>
              <w:rPr>
                <w:rFonts w:ascii="Arial Narrow" w:hAnsi="Arial Narrow" w:cs="Arial"/>
                <w:sz w:val="20"/>
                <w:szCs w:val="20"/>
              </w:rPr>
            </w:pPr>
            <w:r>
              <w:rPr>
                <w:rFonts w:ascii="Arial Narrow" w:hAnsi="Arial Narrow" w:cs="Arial"/>
                <w:sz w:val="20"/>
                <w:szCs w:val="20"/>
              </w:rPr>
              <w:t>No</w:t>
            </w:r>
            <w:r w:rsidR="00E565CE">
              <w:rPr>
                <w:rFonts w:ascii="Arial Narrow" w:hAnsi="Arial Narrow" w:cs="Arial"/>
                <w:sz w:val="20"/>
                <w:szCs w:val="20"/>
              </w:rPr>
              <w:t>va</w:t>
            </w:r>
            <w:r>
              <w:rPr>
                <w:rFonts w:ascii="Arial Narrow" w:hAnsi="Arial Narrow" w:cs="Arial"/>
                <w:sz w:val="20"/>
                <w:szCs w:val="20"/>
              </w:rPr>
              <w:t>r</w:t>
            </w:r>
            <w:r w:rsidR="00E565CE">
              <w:rPr>
                <w:rFonts w:ascii="Arial Narrow" w:hAnsi="Arial Narrow" w:cs="Arial"/>
                <w:sz w:val="20"/>
                <w:szCs w:val="20"/>
              </w:rPr>
              <w:t>tis Pharmaceutical Australia Pty Ltd</w:t>
            </w:r>
          </w:p>
        </w:tc>
      </w:tr>
      <w:tr w:rsidR="00E565CE" w:rsidRPr="00260CE3" w:rsidTr="00237140">
        <w:trPr>
          <w:cantSplit/>
          <w:trHeight w:val="360"/>
        </w:trPr>
        <w:tc>
          <w:tcPr>
            <w:tcW w:w="8363" w:type="dxa"/>
            <w:gridSpan w:val="7"/>
            <w:tcBorders>
              <w:bottom w:val="single" w:sz="4" w:space="0" w:color="auto"/>
            </w:tcBorders>
          </w:tcPr>
          <w:p w:rsidR="00E565CE" w:rsidRPr="00260CE3" w:rsidRDefault="00E565CE" w:rsidP="00237140">
            <w:pPr>
              <w:jc w:val="both"/>
              <w:rPr>
                <w:rFonts w:ascii="Arial Narrow" w:hAnsi="Arial Narrow" w:cs="Arial"/>
                <w:sz w:val="20"/>
                <w:szCs w:val="20"/>
              </w:rPr>
            </w:pP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 xml:space="preserve">Category / </w:t>
            </w:r>
          </w:p>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t>GENERAL – General Schedule (Code GE)</w:t>
            </w:r>
          </w:p>
          <w:p w:rsidR="00E565CE" w:rsidRPr="00260CE3" w:rsidRDefault="00E565CE" w:rsidP="00237140">
            <w:pPr>
              <w:rPr>
                <w:rFonts w:ascii="Arial Narrow" w:hAnsi="Arial Narrow" w:cs="Arial"/>
                <w:sz w:val="20"/>
                <w:szCs w:val="20"/>
              </w:rPr>
            </w:pP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E565CE" w:rsidRDefault="00E565CE" w:rsidP="00237140">
            <w:pPr>
              <w:rPr>
                <w:rFonts w:ascii="Arial Narrow" w:hAnsi="Arial Narrow" w:cs="Arial"/>
                <w:sz w:val="20"/>
                <w:szCs w:val="20"/>
              </w:rPr>
            </w:pPr>
          </w:p>
          <w:p w:rsidR="00E565CE" w:rsidRPr="00260CE3" w:rsidRDefault="00E565CE" w:rsidP="00237140">
            <w:pPr>
              <w:rPr>
                <w:rFonts w:ascii="Arial Narrow" w:hAnsi="Arial Narrow" w:cs="Arial"/>
                <w:sz w:val="20"/>
                <w:szCs w:val="20"/>
              </w:rPr>
            </w:pP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Mild to moderately severe</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Alzheimer disease</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Mild to moderately severe Alzheimer disease</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Treatment phase:</w:t>
            </w:r>
          </w:p>
          <w:p w:rsidR="00E565CE" w:rsidRPr="00260CE3" w:rsidRDefault="00E565CE" w:rsidP="00237140">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Initial</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565CE" w:rsidRPr="00260CE3" w:rsidRDefault="00E565CE" w:rsidP="00237140">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106BCF" w:rsidRDefault="00E565CE" w:rsidP="00237140">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565CE" w:rsidRPr="00260CE3" w:rsidRDefault="00E565CE" w:rsidP="0023714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Clinical criteria:</w:t>
            </w:r>
          </w:p>
          <w:p w:rsidR="00E565CE" w:rsidRPr="00260CE3" w:rsidRDefault="00E565CE" w:rsidP="00237140">
            <w:pPr>
              <w:jc w:val="both"/>
              <w:rPr>
                <w:rFonts w:ascii="Arial Narrow" w:hAnsi="Arial Narrow" w:cs="Arial"/>
                <w:i/>
                <w:sz w:val="20"/>
                <w:szCs w:val="20"/>
              </w:rPr>
            </w:pPr>
          </w:p>
          <w:p w:rsidR="00E565CE" w:rsidRPr="00260CE3" w:rsidRDefault="00E565CE" w:rsidP="00237140">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 xml:space="preserve">Patient must have a baseline Mini-Mental State Examination (MMSE) or Standardised Mini-Mental State Examination (SMMSE) score of 10 or more, </w:t>
            </w:r>
          </w:p>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AND</w:t>
            </w:r>
          </w:p>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The condition must be confirmed by, or in consultation with, a specialist/consultant physician (including a psychiatrist),</w:t>
            </w:r>
          </w:p>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AND</w:t>
            </w:r>
          </w:p>
          <w:p w:rsidR="00E565CE" w:rsidRPr="00260CE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The treatment must be the sole PBS-subsidised therapy for this condition.</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Prescriber Instructions</w:t>
            </w:r>
          </w:p>
          <w:p w:rsidR="00E565CE" w:rsidRPr="00260CE3" w:rsidRDefault="00E565CE" w:rsidP="00237140">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 xml:space="preserve">The authority application must include the result of the baseline MMSE or SMMSE. If this score is 25 - 30 points, the result of a baseline Alzheimer Disease Assessment Scale, cognitive sub-scale (ADAS-Cog) may also be specified. </w:t>
            </w:r>
          </w:p>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The application must be made in writing, but initial supply may be sought by telephone.</w:t>
            </w:r>
          </w:p>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 xml:space="preserve">For telephone applications, up to a maximum of 2 months' initial therapy will be authorised. This telephone application must be followed by a written authority application for no more than 1 month's therapy and sufficient repeats to complete a maximum of up to 6 months' initial treatment. </w:t>
            </w:r>
          </w:p>
          <w:p w:rsidR="00E565CE" w:rsidRPr="00C36573" w:rsidRDefault="00E565CE" w:rsidP="00237140">
            <w:pPr>
              <w:spacing w:before="240" w:after="240" w:line="300" w:lineRule="atLeast"/>
              <w:rPr>
                <w:rFonts w:ascii="Arial Narrow" w:hAnsi="Arial Narrow" w:cs="Arial"/>
                <w:sz w:val="20"/>
                <w:szCs w:val="20"/>
              </w:rPr>
            </w:pPr>
            <w:r w:rsidRPr="00C36573">
              <w:rPr>
                <w:rFonts w:ascii="Arial Narrow" w:hAnsi="Arial Narrow" w:cs="Arial"/>
                <w:sz w:val="20"/>
                <w:szCs w:val="20"/>
              </w:rPr>
              <w:t xml:space="preserve">For written applications where no prior telephone approval has been issued, up to a maximum of 1 month's therapy plus 5 repeats will be authorised. </w:t>
            </w:r>
          </w:p>
        </w:tc>
      </w:tr>
      <w:tr w:rsidR="00E565CE" w:rsidRPr="00260CE3" w:rsidTr="00237140">
        <w:trPr>
          <w:cantSplit/>
          <w:trHeight w:val="360"/>
        </w:trPr>
        <w:tc>
          <w:tcPr>
            <w:tcW w:w="1985"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Administrative Advice</w:t>
            </w:r>
          </w:p>
          <w:p w:rsidR="00E565CE" w:rsidRPr="00260CE3" w:rsidRDefault="00E565CE" w:rsidP="00237140">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0F1787" w:rsidRDefault="00E565CE" w:rsidP="00237140">
            <w:pPr>
              <w:spacing w:before="240" w:after="240" w:line="300" w:lineRule="atLeast"/>
              <w:rPr>
                <w:rFonts w:ascii="Arial Narrow" w:hAnsi="Arial Narrow" w:cs="Arial"/>
                <w:sz w:val="20"/>
                <w:szCs w:val="20"/>
              </w:rPr>
            </w:pPr>
            <w:r w:rsidRPr="000F1787">
              <w:rPr>
                <w:rFonts w:ascii="Arial Narrow" w:hAnsi="Arial Narrow" w:cs="Arial"/>
                <w:sz w:val="20"/>
                <w:szCs w:val="20"/>
              </w:rPr>
              <w:t>Continuing Therapy Only:</w:t>
            </w:r>
          </w:p>
          <w:p w:rsidR="00E565CE" w:rsidRPr="00C36573" w:rsidRDefault="00E565CE" w:rsidP="00237140">
            <w:pPr>
              <w:spacing w:before="240" w:after="240" w:line="300" w:lineRule="atLeast"/>
              <w:rPr>
                <w:rFonts w:ascii="Arial Narrow" w:hAnsi="Arial Narrow" w:cs="Arial"/>
                <w:sz w:val="20"/>
                <w:szCs w:val="20"/>
              </w:rPr>
            </w:pPr>
            <w:r w:rsidRPr="000F1787">
              <w:rPr>
                <w:rFonts w:ascii="Arial Narrow" w:hAnsi="Arial Narrow" w:cs="Arial"/>
                <w:sz w:val="20"/>
                <w:szCs w:val="20"/>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E565CE" w:rsidRDefault="00E565CE" w:rsidP="00E565CE">
      <w:pPr>
        <w:pStyle w:val="ListParagraph"/>
        <w:jc w:val="both"/>
        <w:rPr>
          <w:rFonts w:ascii="Arial" w:hAnsi="Arial"/>
          <w:sz w:val="22"/>
          <w:szCs w:val="22"/>
        </w:rPr>
      </w:pPr>
    </w:p>
    <w:p w:rsidR="00D50EBC" w:rsidRDefault="00D50EBC" w:rsidP="00E565CE">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843"/>
        <w:gridCol w:w="142"/>
        <w:gridCol w:w="1134"/>
        <w:gridCol w:w="850"/>
        <w:gridCol w:w="709"/>
        <w:gridCol w:w="1134"/>
        <w:gridCol w:w="142"/>
        <w:gridCol w:w="2409"/>
      </w:tblGrid>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 xml:space="preserve">Category / </w:t>
            </w:r>
          </w:p>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t>GENERAL – General Schedule (Code GE)</w:t>
            </w:r>
          </w:p>
          <w:p w:rsidR="00E565CE" w:rsidRPr="00260CE3" w:rsidRDefault="00E565CE" w:rsidP="00237140">
            <w:pPr>
              <w:rPr>
                <w:rFonts w:ascii="Arial Narrow" w:hAnsi="Arial Narrow" w:cs="Arial"/>
                <w:sz w:val="20"/>
                <w:szCs w:val="20"/>
              </w:rPr>
            </w:pP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Mild to moderately severe</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Alzheimer disease</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Mild to moderately severe Alzheimer disease</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Treatment phase:</w:t>
            </w:r>
          </w:p>
          <w:p w:rsidR="00E565CE" w:rsidRPr="00260CE3" w:rsidRDefault="00E565CE" w:rsidP="00237140">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Initial</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565CE" w:rsidRPr="00260CE3" w:rsidRDefault="00E565CE" w:rsidP="00237140">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106BCF" w:rsidRDefault="00E565CE" w:rsidP="00237140">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565CE" w:rsidRPr="00260CE3" w:rsidRDefault="00E565CE" w:rsidP="0023714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Clinical criteria:</w:t>
            </w:r>
          </w:p>
          <w:p w:rsidR="00E565CE" w:rsidRPr="00260CE3" w:rsidRDefault="00E565CE" w:rsidP="00237140">
            <w:pPr>
              <w:jc w:val="both"/>
              <w:rPr>
                <w:rFonts w:ascii="Arial Narrow" w:hAnsi="Arial Narrow" w:cs="Arial"/>
                <w:i/>
                <w:sz w:val="20"/>
                <w:szCs w:val="20"/>
              </w:rPr>
            </w:pPr>
          </w:p>
          <w:p w:rsidR="00E565CE" w:rsidRPr="00260CE3" w:rsidRDefault="00E565CE" w:rsidP="00237140">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 xml:space="preserve">Patient must have a baseline Mini-Mental State Examination (MMSE) or Standardised Mini-Mental State Examination (SMMSE) score of 9 or less, </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AND</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The condition must be confirmed by, or in consultation with, a specialist/consultant physician (including a psychiatrist),</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AND</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The treatment must be the sole PBS-subsidised therapy for this condition.</w:t>
            </w:r>
          </w:p>
          <w:p w:rsidR="00E565CE" w:rsidRPr="00260CE3" w:rsidRDefault="00E565CE" w:rsidP="00237140">
            <w:pPr>
              <w:spacing w:after="240" w:line="300" w:lineRule="atLeast"/>
              <w:rPr>
                <w:rFonts w:ascii="Arial Narrow" w:hAnsi="Arial Narrow" w:cs="Arial"/>
                <w:sz w:val="20"/>
                <w:szCs w:val="20"/>
              </w:rPr>
            </w:pPr>
            <w:r w:rsidRPr="00DD3596">
              <w:rPr>
                <w:rFonts w:ascii="Arial Narrow" w:hAnsi="Arial Narrow" w:cs="Arial"/>
                <w:sz w:val="20"/>
                <w:szCs w:val="20"/>
              </w:rPr>
              <w:t>For</w:t>
            </w:r>
            <w:r w:rsidRPr="00DD3596">
              <w:rPr>
                <w:rFonts w:ascii="Arial Narrow" w:hAnsi="Arial Narrow"/>
                <w:color w:val="222222"/>
                <w:sz w:val="20"/>
                <w:szCs w:val="20"/>
              </w:rPr>
              <w:t xml:space="preserve"> written applications where no prior telephone approval has been issued, up to a maximum of 1 month's therapy plus 5 repeats will be authorised</w:t>
            </w:r>
            <w:r>
              <w:rPr>
                <w:rFonts w:ascii="Open Sans" w:hAnsi="Open Sans"/>
                <w:color w:val="222222"/>
                <w:sz w:val="20"/>
                <w:szCs w:val="20"/>
              </w:rPr>
              <w:t xml:space="preserve">. </w:t>
            </w:r>
          </w:p>
        </w:tc>
      </w:tr>
      <w:tr w:rsidR="00E565CE" w:rsidRPr="00260CE3" w:rsidTr="00F40F42">
        <w:trPr>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Prescriber Instructions</w:t>
            </w:r>
          </w:p>
          <w:p w:rsidR="00E565CE" w:rsidRPr="00260CE3" w:rsidRDefault="00E565CE" w:rsidP="00237140">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 xml:space="preserve">A patient who is unable to register a score of 10 or more for reasons other than their Alzheimer disease, as specified below. </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 xml:space="preserve">Such patients will need to be assessed using the Clinicians Interview Based Impression of Severity (CIBIS) scale. The authority application must include the result of the baseline (S)MMSE and specify to which group(s) (see below) the patient belongs. </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Patients who qualify under this criterion are from 1 or more of the following groups:</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(1) Unable to communicate adequately because of lack of competence in English, in people of non-English speaking background;</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(2) Limited education, as defined by less than 6 years of education, or who are illiterate or innumerate;</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(3) Aboriginal or Torres Strait Islanders who, by virtue of cultural factors, are unable to complete an (S)MMSE test;</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(4) Intellectual (developmental or acquired) disability, eg Down's syndrome;</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(5) Significant sensory impairment despite best correction, which precludes completion of an (S)MMSE test;</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(6) Prominent dysphasia, out of proportion to other cognitive and functional impairment.</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The application must be made in writing, but initial supply may be sought by telephone.</w:t>
            </w:r>
          </w:p>
          <w:p w:rsidR="00E565CE" w:rsidRPr="001826BA" w:rsidRDefault="00E565CE" w:rsidP="00237140">
            <w:pPr>
              <w:spacing w:after="240" w:line="300" w:lineRule="atLeast"/>
              <w:rPr>
                <w:rFonts w:ascii="Arial Narrow" w:hAnsi="Arial Narrow" w:cs="Arial"/>
                <w:sz w:val="20"/>
                <w:szCs w:val="20"/>
              </w:rPr>
            </w:pPr>
            <w:r w:rsidRPr="001826BA">
              <w:rPr>
                <w:rFonts w:ascii="Arial Narrow" w:hAnsi="Arial Narrow" w:cs="Arial"/>
                <w:sz w:val="20"/>
                <w:szCs w:val="20"/>
              </w:rPr>
              <w:t>For telephone applications, up to a maximum of 2 months' initial therapy will be authorised. This telephone application must be followed by a written</w:t>
            </w:r>
            <w:r w:rsidRPr="005F6C9D">
              <w:rPr>
                <w:rFonts w:ascii="Arial Narrow" w:hAnsi="Arial Narrow" w:cs="Arial"/>
                <w:sz w:val="20"/>
                <w:szCs w:val="20"/>
              </w:rPr>
              <w:t xml:space="preserve"> authority application for no more than 1 month's therapy and sufficient repeats to complete a maximum of up to 6 months' initial treatment. </w:t>
            </w:r>
          </w:p>
        </w:tc>
      </w:tr>
      <w:tr w:rsidR="00E565CE" w:rsidRPr="00260CE3" w:rsidTr="00237140">
        <w:trPr>
          <w:cantSplit/>
          <w:trHeight w:val="360"/>
        </w:trPr>
        <w:tc>
          <w:tcPr>
            <w:tcW w:w="1985" w:type="dxa"/>
            <w:gridSpan w:val="2"/>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Administrative Advice</w:t>
            </w:r>
          </w:p>
          <w:p w:rsidR="00E565CE" w:rsidRPr="00260CE3" w:rsidRDefault="00E565CE" w:rsidP="00237140">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565CE" w:rsidRPr="000F1787" w:rsidRDefault="00E565CE" w:rsidP="00237140">
            <w:pPr>
              <w:spacing w:before="240" w:after="240" w:line="300" w:lineRule="atLeast"/>
              <w:rPr>
                <w:rFonts w:ascii="Arial Narrow" w:hAnsi="Arial Narrow" w:cs="Arial"/>
                <w:sz w:val="20"/>
                <w:szCs w:val="20"/>
              </w:rPr>
            </w:pPr>
            <w:r w:rsidRPr="000F1787">
              <w:rPr>
                <w:rFonts w:ascii="Arial Narrow" w:hAnsi="Arial Narrow" w:cs="Arial"/>
                <w:sz w:val="20"/>
                <w:szCs w:val="20"/>
              </w:rPr>
              <w:t>Continuing Therapy Only:</w:t>
            </w:r>
          </w:p>
          <w:p w:rsidR="00E565CE" w:rsidRPr="001826BA" w:rsidRDefault="00E565CE" w:rsidP="00F40F42">
            <w:pPr>
              <w:spacing w:before="240" w:after="240" w:line="300" w:lineRule="atLeast"/>
              <w:rPr>
                <w:rFonts w:ascii="Arial Narrow" w:hAnsi="Arial Narrow" w:cs="Arial"/>
                <w:sz w:val="20"/>
                <w:szCs w:val="20"/>
              </w:rPr>
            </w:pPr>
            <w:r w:rsidRPr="000F1787">
              <w:rPr>
                <w:rFonts w:ascii="Arial Narrow" w:hAnsi="Arial Narrow" w:cs="Arial"/>
                <w:sz w:val="20"/>
                <w:szCs w:val="20"/>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r w:rsidR="00F40F42" w:rsidRPr="0039782C" w:rsidTr="00F40F42">
        <w:trPr>
          <w:cantSplit/>
          <w:trHeight w:val="471"/>
        </w:trPr>
        <w:tc>
          <w:tcPr>
            <w:tcW w:w="3119" w:type="dxa"/>
            <w:gridSpan w:val="3"/>
          </w:tcPr>
          <w:p w:rsidR="00F40F42" w:rsidRPr="0039782C" w:rsidRDefault="00F40F42" w:rsidP="00237140">
            <w:pPr>
              <w:keepNext/>
              <w:ind w:left="-108"/>
              <w:jc w:val="both"/>
              <w:rPr>
                <w:rFonts w:ascii="Arial Narrow" w:hAnsi="Arial Narrow" w:cs="Arial"/>
                <w:b/>
                <w:sz w:val="20"/>
                <w:szCs w:val="20"/>
              </w:rPr>
            </w:pPr>
          </w:p>
        </w:tc>
        <w:tc>
          <w:tcPr>
            <w:tcW w:w="850" w:type="dxa"/>
          </w:tcPr>
          <w:p w:rsidR="00F40F42" w:rsidRPr="0039782C" w:rsidRDefault="00F40F42" w:rsidP="00237140">
            <w:pPr>
              <w:keepNext/>
              <w:ind w:left="-108"/>
              <w:jc w:val="both"/>
              <w:rPr>
                <w:rFonts w:ascii="Arial Narrow" w:hAnsi="Arial Narrow" w:cs="Arial"/>
                <w:b/>
                <w:sz w:val="20"/>
                <w:szCs w:val="20"/>
              </w:rPr>
            </w:pPr>
          </w:p>
        </w:tc>
        <w:tc>
          <w:tcPr>
            <w:tcW w:w="709" w:type="dxa"/>
          </w:tcPr>
          <w:p w:rsidR="00F40F42" w:rsidRPr="0039782C" w:rsidRDefault="00F40F42" w:rsidP="00237140">
            <w:pPr>
              <w:keepNext/>
              <w:ind w:left="-108"/>
              <w:jc w:val="both"/>
              <w:rPr>
                <w:rFonts w:ascii="Arial Narrow" w:hAnsi="Arial Narrow" w:cs="Arial"/>
                <w:b/>
                <w:sz w:val="20"/>
                <w:szCs w:val="20"/>
              </w:rPr>
            </w:pPr>
          </w:p>
        </w:tc>
        <w:tc>
          <w:tcPr>
            <w:tcW w:w="1276" w:type="dxa"/>
            <w:gridSpan w:val="2"/>
          </w:tcPr>
          <w:p w:rsidR="00F40F42" w:rsidRPr="0039782C" w:rsidRDefault="00F40F42" w:rsidP="00237140">
            <w:pPr>
              <w:keepNext/>
              <w:ind w:left="-108"/>
              <w:jc w:val="both"/>
              <w:rPr>
                <w:rFonts w:ascii="Arial Narrow" w:hAnsi="Arial Narrow" w:cs="Arial"/>
                <w:b/>
                <w:sz w:val="20"/>
                <w:szCs w:val="20"/>
              </w:rPr>
            </w:pPr>
          </w:p>
        </w:tc>
        <w:tc>
          <w:tcPr>
            <w:tcW w:w="2409" w:type="dxa"/>
          </w:tcPr>
          <w:p w:rsidR="00F40F42" w:rsidRPr="0039782C" w:rsidRDefault="00F40F42" w:rsidP="00237140">
            <w:pPr>
              <w:keepNext/>
              <w:jc w:val="both"/>
              <w:rPr>
                <w:rFonts w:ascii="Arial Narrow" w:hAnsi="Arial Narrow" w:cs="Arial"/>
                <w:b/>
                <w:sz w:val="20"/>
                <w:szCs w:val="20"/>
              </w:rPr>
            </w:pPr>
          </w:p>
        </w:tc>
      </w:tr>
      <w:tr w:rsidR="00F40F42" w:rsidRPr="0039782C" w:rsidTr="001A4EE6">
        <w:trPr>
          <w:cantSplit/>
          <w:trHeight w:val="471"/>
        </w:trPr>
        <w:tc>
          <w:tcPr>
            <w:tcW w:w="3119" w:type="dxa"/>
            <w:gridSpan w:val="3"/>
            <w:tcBorders>
              <w:bottom w:val="single" w:sz="4" w:space="0" w:color="auto"/>
            </w:tcBorders>
          </w:tcPr>
          <w:p w:rsidR="00F40F42" w:rsidRPr="0039782C" w:rsidRDefault="00F40F42" w:rsidP="00237140">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F40F42" w:rsidRPr="0039782C" w:rsidRDefault="00F40F42" w:rsidP="00237140">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F40F42" w:rsidRPr="0039782C" w:rsidRDefault="00F40F42" w:rsidP="00237140">
            <w:pPr>
              <w:keepNext/>
              <w:ind w:left="-108"/>
              <w:jc w:val="both"/>
              <w:rPr>
                <w:rFonts w:ascii="Arial Narrow" w:hAnsi="Arial Narrow" w:cs="Arial"/>
                <w:b/>
                <w:sz w:val="20"/>
                <w:szCs w:val="20"/>
              </w:rPr>
            </w:pPr>
            <w:r w:rsidRPr="0039782C">
              <w:rPr>
                <w:rFonts w:ascii="Arial Narrow" w:hAnsi="Arial Narrow" w:cs="Arial"/>
                <w:b/>
                <w:sz w:val="20"/>
                <w:szCs w:val="20"/>
              </w:rPr>
              <w:t>Max.</w:t>
            </w:r>
          </w:p>
          <w:p w:rsidR="00F40F42" w:rsidRPr="0039782C" w:rsidRDefault="00F40F42" w:rsidP="00237140">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F40F42" w:rsidRPr="0039782C" w:rsidRDefault="00F40F42" w:rsidP="00237140">
            <w:pPr>
              <w:keepNext/>
              <w:ind w:left="-108"/>
              <w:jc w:val="both"/>
              <w:rPr>
                <w:rFonts w:ascii="Arial Narrow" w:hAnsi="Arial Narrow" w:cs="Arial"/>
                <w:b/>
                <w:sz w:val="20"/>
                <w:szCs w:val="20"/>
              </w:rPr>
            </w:pPr>
            <w:r w:rsidRPr="0039782C">
              <w:rPr>
                <w:rFonts w:ascii="Arial Narrow" w:hAnsi="Arial Narrow" w:cs="Arial"/>
                <w:b/>
                <w:sz w:val="20"/>
                <w:szCs w:val="20"/>
              </w:rPr>
              <w:t>№.of</w:t>
            </w:r>
          </w:p>
          <w:p w:rsidR="00F40F42" w:rsidRPr="0039782C" w:rsidRDefault="00F40F42" w:rsidP="00237140">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685" w:type="dxa"/>
            <w:gridSpan w:val="3"/>
            <w:tcBorders>
              <w:bottom w:val="single" w:sz="4" w:space="0" w:color="auto"/>
            </w:tcBorders>
          </w:tcPr>
          <w:p w:rsidR="00F40F42" w:rsidRPr="0039782C" w:rsidRDefault="00F40F42" w:rsidP="00237140">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40F42" w:rsidRPr="00260CE3" w:rsidTr="00F40F42">
        <w:trPr>
          <w:cantSplit/>
          <w:trHeight w:val="577"/>
        </w:trPr>
        <w:tc>
          <w:tcPr>
            <w:tcW w:w="3119" w:type="dxa"/>
            <w:gridSpan w:val="3"/>
          </w:tcPr>
          <w:p w:rsidR="00F40F42" w:rsidRPr="00260CE3" w:rsidRDefault="00F40F42" w:rsidP="00237140">
            <w:pPr>
              <w:keepNext/>
              <w:ind w:left="-108"/>
              <w:jc w:val="both"/>
              <w:rPr>
                <w:rFonts w:ascii="Arial Narrow" w:hAnsi="Arial Narrow" w:cs="Arial"/>
                <w:sz w:val="20"/>
                <w:szCs w:val="20"/>
              </w:rPr>
            </w:pPr>
            <w:r>
              <w:rPr>
                <w:rFonts w:ascii="Arial Narrow" w:hAnsi="Arial Narrow" w:cs="Arial"/>
                <w:smallCaps/>
                <w:sz w:val="20"/>
                <w:szCs w:val="20"/>
              </w:rPr>
              <w:t>RIVASTIGMINE</w:t>
            </w:r>
          </w:p>
          <w:p w:rsidR="00F40F42" w:rsidRPr="00260CE3" w:rsidRDefault="00F40F42" w:rsidP="00237140">
            <w:pPr>
              <w:keepNext/>
              <w:ind w:left="-108"/>
              <w:jc w:val="both"/>
              <w:rPr>
                <w:rFonts w:ascii="Arial Narrow" w:hAnsi="Arial Narrow" w:cs="Arial"/>
                <w:sz w:val="20"/>
                <w:szCs w:val="20"/>
              </w:rPr>
            </w:pPr>
            <w:r>
              <w:rPr>
                <w:rFonts w:ascii="Arial Narrow" w:hAnsi="Arial Narrow" w:cs="Arial"/>
                <w:sz w:val="20"/>
                <w:szCs w:val="20"/>
              </w:rPr>
              <w:t>13.3 milligrams/24 hours patch, 30</w:t>
            </w:r>
          </w:p>
        </w:tc>
        <w:tc>
          <w:tcPr>
            <w:tcW w:w="850" w:type="dxa"/>
          </w:tcPr>
          <w:p w:rsidR="00F40F42" w:rsidRPr="00260CE3" w:rsidRDefault="00F40F42" w:rsidP="00237140">
            <w:pPr>
              <w:keepNext/>
              <w:ind w:left="-108"/>
              <w:jc w:val="both"/>
              <w:rPr>
                <w:rFonts w:ascii="Arial Narrow" w:hAnsi="Arial Narrow" w:cs="Arial"/>
                <w:sz w:val="20"/>
                <w:szCs w:val="20"/>
              </w:rPr>
            </w:pPr>
          </w:p>
          <w:p w:rsidR="00F40F42" w:rsidRPr="00260CE3" w:rsidRDefault="00F40F42" w:rsidP="00237140">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F40F42" w:rsidRPr="00260CE3" w:rsidRDefault="00F40F42" w:rsidP="00237140">
            <w:pPr>
              <w:keepNext/>
              <w:ind w:left="-108"/>
              <w:jc w:val="both"/>
              <w:rPr>
                <w:rFonts w:ascii="Arial Narrow" w:hAnsi="Arial Narrow" w:cs="Arial"/>
                <w:sz w:val="20"/>
                <w:szCs w:val="20"/>
              </w:rPr>
            </w:pPr>
          </w:p>
          <w:p w:rsidR="00F40F42" w:rsidRPr="00260CE3" w:rsidRDefault="00F40F42" w:rsidP="00237140">
            <w:pPr>
              <w:keepNext/>
              <w:ind w:left="-108"/>
              <w:jc w:val="both"/>
              <w:rPr>
                <w:rFonts w:ascii="Arial Narrow" w:hAnsi="Arial Narrow" w:cs="Arial"/>
                <w:sz w:val="20"/>
                <w:szCs w:val="20"/>
              </w:rPr>
            </w:pPr>
            <w:r>
              <w:rPr>
                <w:rFonts w:ascii="Arial Narrow" w:hAnsi="Arial Narrow" w:cs="Arial"/>
                <w:sz w:val="20"/>
                <w:szCs w:val="20"/>
              </w:rPr>
              <w:t>5</w:t>
            </w:r>
          </w:p>
        </w:tc>
        <w:tc>
          <w:tcPr>
            <w:tcW w:w="1134" w:type="dxa"/>
          </w:tcPr>
          <w:p w:rsidR="00F40F42" w:rsidRDefault="00F40F42" w:rsidP="00237140">
            <w:pPr>
              <w:keepNext/>
              <w:jc w:val="both"/>
              <w:rPr>
                <w:rFonts w:ascii="Arial Narrow" w:hAnsi="Arial Narrow" w:cs="Arial"/>
                <w:sz w:val="20"/>
                <w:szCs w:val="20"/>
              </w:rPr>
            </w:pPr>
          </w:p>
          <w:p w:rsidR="00F40F42" w:rsidRPr="00260CE3" w:rsidRDefault="00F40F42" w:rsidP="00237140">
            <w:pPr>
              <w:keepNext/>
              <w:jc w:val="both"/>
              <w:rPr>
                <w:rFonts w:ascii="Arial Narrow" w:hAnsi="Arial Narrow" w:cs="Arial"/>
                <w:sz w:val="20"/>
                <w:szCs w:val="20"/>
              </w:rPr>
            </w:pPr>
            <w:r>
              <w:rPr>
                <w:rFonts w:ascii="Arial Narrow" w:hAnsi="Arial Narrow" w:cs="Arial"/>
                <w:sz w:val="20"/>
                <w:szCs w:val="20"/>
              </w:rPr>
              <w:t>Exelon</w:t>
            </w:r>
            <w:r w:rsidRPr="009F00AA">
              <w:rPr>
                <w:rFonts w:ascii="Arial Narrow" w:hAnsi="Arial Narrow" w:cs="Arial"/>
                <w:sz w:val="20"/>
                <w:szCs w:val="20"/>
                <w:vertAlign w:val="superscript"/>
              </w:rPr>
              <w:t>®</w:t>
            </w:r>
            <w:r>
              <w:rPr>
                <w:rFonts w:ascii="Arial Narrow" w:hAnsi="Arial Narrow" w:cs="Arial"/>
                <w:sz w:val="20"/>
                <w:szCs w:val="20"/>
              </w:rPr>
              <w:t>15</w:t>
            </w:r>
          </w:p>
        </w:tc>
        <w:tc>
          <w:tcPr>
            <w:tcW w:w="2551" w:type="dxa"/>
            <w:gridSpan w:val="2"/>
          </w:tcPr>
          <w:p w:rsidR="00F40F42" w:rsidRDefault="00F40F42" w:rsidP="00237140">
            <w:pPr>
              <w:keepNext/>
              <w:jc w:val="both"/>
              <w:rPr>
                <w:rFonts w:ascii="Arial Narrow" w:hAnsi="Arial Narrow" w:cs="Arial"/>
                <w:sz w:val="20"/>
                <w:szCs w:val="20"/>
              </w:rPr>
            </w:pPr>
          </w:p>
          <w:p w:rsidR="00F40F42" w:rsidRPr="00260CE3" w:rsidRDefault="00F40F42" w:rsidP="00F40F42">
            <w:pPr>
              <w:keepNext/>
              <w:rPr>
                <w:rFonts w:ascii="Arial Narrow" w:hAnsi="Arial Narrow" w:cs="Arial"/>
                <w:sz w:val="20"/>
                <w:szCs w:val="20"/>
              </w:rPr>
            </w:pPr>
            <w:r>
              <w:rPr>
                <w:rFonts w:ascii="Arial Narrow" w:hAnsi="Arial Narrow" w:cs="Arial"/>
                <w:sz w:val="20"/>
                <w:szCs w:val="20"/>
              </w:rPr>
              <w:t>Novartis Pharmaceutical Australia Pty Ltd</w:t>
            </w:r>
          </w:p>
        </w:tc>
      </w:tr>
      <w:tr w:rsidR="00E565CE" w:rsidRPr="00260CE3" w:rsidTr="00237140">
        <w:trPr>
          <w:cantSplit/>
          <w:trHeight w:val="360"/>
        </w:trPr>
        <w:tc>
          <w:tcPr>
            <w:tcW w:w="8363" w:type="dxa"/>
            <w:gridSpan w:val="8"/>
            <w:tcBorders>
              <w:bottom w:val="single" w:sz="4" w:space="0" w:color="auto"/>
            </w:tcBorders>
          </w:tcPr>
          <w:p w:rsidR="00E565CE" w:rsidRPr="00260CE3" w:rsidRDefault="00E565CE" w:rsidP="00237140">
            <w:pPr>
              <w:jc w:val="both"/>
              <w:rPr>
                <w:rFonts w:ascii="Arial Narrow" w:hAnsi="Arial Narrow" w:cs="Arial"/>
                <w:sz w:val="20"/>
                <w:szCs w:val="20"/>
              </w:rPr>
            </w:pP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 xml:space="preserve">Category / </w:t>
            </w:r>
          </w:p>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t>GENERAL – General Schedule (Code GE)</w:t>
            </w:r>
          </w:p>
          <w:p w:rsidR="00E565CE" w:rsidRPr="00260CE3" w:rsidRDefault="00E565CE" w:rsidP="00237140">
            <w:pPr>
              <w:rPr>
                <w:rFonts w:ascii="Arial Narrow" w:hAnsi="Arial Narrow" w:cs="Arial"/>
                <w:sz w:val="20"/>
                <w:szCs w:val="20"/>
              </w:rPr>
            </w:pP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565CE" w:rsidRPr="00260CE3" w:rsidRDefault="00E565CE" w:rsidP="0023714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Episodicity:</w:t>
            </w: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Severity:</w:t>
            </w: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Mild to moderately severe</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Condition:</w:t>
            </w: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Alzheimer disease</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Mild to moderately severe Alzheimer disease</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Treatment phase:</w:t>
            </w:r>
          </w:p>
          <w:p w:rsidR="00E565CE" w:rsidRPr="00260CE3" w:rsidRDefault="00E565CE" w:rsidP="00237140">
            <w:pPr>
              <w:jc w:val="both"/>
              <w:rPr>
                <w:rFonts w:ascii="Arial Narrow" w:hAnsi="Arial Narrow" w:cs="Arial"/>
                <w:i/>
                <w:sz w:val="20"/>
                <w:szCs w:val="20"/>
              </w:rPr>
            </w:pPr>
          </w:p>
        </w:tc>
        <w:tc>
          <w:tcPr>
            <w:tcW w:w="6520" w:type="dxa"/>
            <w:gridSpan w:val="7"/>
            <w:tcBorders>
              <w:top w:val="single" w:sz="4" w:space="0" w:color="auto"/>
              <w:left w:val="single" w:sz="4" w:space="0" w:color="auto"/>
              <w:bottom w:val="single" w:sz="4" w:space="0" w:color="auto"/>
              <w:right w:val="single" w:sz="4" w:space="0" w:color="auto"/>
            </w:tcBorders>
          </w:tcPr>
          <w:p w:rsidR="00E565CE" w:rsidRPr="00260CE3" w:rsidRDefault="00E565CE" w:rsidP="00237140">
            <w:pPr>
              <w:rPr>
                <w:rFonts w:ascii="Arial Narrow" w:hAnsi="Arial Narrow" w:cs="Arial"/>
                <w:sz w:val="20"/>
                <w:szCs w:val="20"/>
              </w:rPr>
            </w:pPr>
            <w:r>
              <w:rPr>
                <w:rFonts w:ascii="Arial Narrow" w:hAnsi="Arial Narrow" w:cs="Arial"/>
                <w:sz w:val="20"/>
                <w:szCs w:val="20"/>
              </w:rPr>
              <w:t>Continuing</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565CE" w:rsidRPr="00260CE3" w:rsidRDefault="00E565CE" w:rsidP="00237140">
            <w:pPr>
              <w:rPr>
                <w:rFonts w:ascii="Arial Narrow" w:hAnsi="Arial Narrow" w:cs="Arial"/>
                <w:sz w:val="20"/>
                <w:szCs w:val="20"/>
              </w:rPr>
            </w:pPr>
          </w:p>
        </w:tc>
        <w:tc>
          <w:tcPr>
            <w:tcW w:w="6520" w:type="dxa"/>
            <w:gridSpan w:val="7"/>
            <w:tcBorders>
              <w:top w:val="single" w:sz="4" w:space="0" w:color="auto"/>
              <w:left w:val="single" w:sz="4" w:space="0" w:color="auto"/>
              <w:bottom w:val="single" w:sz="4" w:space="0" w:color="auto"/>
              <w:right w:val="single" w:sz="4" w:space="0" w:color="auto"/>
            </w:tcBorders>
          </w:tcPr>
          <w:p w:rsidR="00E565CE" w:rsidRPr="00106BCF" w:rsidRDefault="00E565CE" w:rsidP="00237140">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E565CE" w:rsidRPr="00106BCF"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565CE" w:rsidRPr="00260CE3" w:rsidRDefault="00E565CE" w:rsidP="0023714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F7DEA">
              <w:rPr>
                <w:rFonts w:ascii="Arial Narrow" w:hAnsi="Arial Narrow" w:cs="Arial"/>
                <w:sz w:val="20"/>
                <w:szCs w:val="20"/>
              </w:rPr>
            </w:r>
            <w:r w:rsidR="00CF7DE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Clinical criteria:</w:t>
            </w:r>
          </w:p>
          <w:p w:rsidR="00E565CE" w:rsidRPr="00260CE3" w:rsidRDefault="00E565CE" w:rsidP="00237140">
            <w:pPr>
              <w:jc w:val="both"/>
              <w:rPr>
                <w:rFonts w:ascii="Arial Narrow" w:hAnsi="Arial Narrow" w:cs="Arial"/>
                <w:i/>
                <w:sz w:val="20"/>
                <w:szCs w:val="20"/>
              </w:rPr>
            </w:pPr>
          </w:p>
          <w:p w:rsidR="00E565CE" w:rsidRPr="00260CE3" w:rsidRDefault="00E565CE" w:rsidP="00237140">
            <w:pPr>
              <w:jc w:val="both"/>
              <w:rPr>
                <w:rFonts w:ascii="Arial Narrow" w:hAnsi="Arial Narrow" w:cs="Arial"/>
                <w:sz w:val="20"/>
                <w:szCs w:val="20"/>
              </w:rPr>
            </w:pPr>
          </w:p>
        </w:tc>
        <w:tc>
          <w:tcPr>
            <w:tcW w:w="6520" w:type="dxa"/>
            <w:gridSpan w:val="7"/>
            <w:tcBorders>
              <w:top w:val="single" w:sz="4" w:space="0" w:color="auto"/>
              <w:left w:val="single" w:sz="4" w:space="0" w:color="auto"/>
              <w:bottom w:val="single" w:sz="4" w:space="0" w:color="auto"/>
              <w:right w:val="single" w:sz="4" w:space="0" w:color="auto"/>
            </w:tcBorders>
          </w:tcPr>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Patient must have received six months of sole PBS-subsidised initial therapy with this drug,</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AND</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Patient must demonstrate a clinically meaningful response to the initial treatment,</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AND</w:t>
            </w:r>
          </w:p>
          <w:p w:rsidR="00E565CE" w:rsidRPr="00260CE3"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The treatment must be the sole PBS-subsidised therapy for this condition.</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Prescriber Instructions</w:t>
            </w:r>
          </w:p>
          <w:p w:rsidR="00E565CE" w:rsidRPr="00260CE3" w:rsidRDefault="00E565CE" w:rsidP="00237140">
            <w:pPr>
              <w:jc w:val="both"/>
              <w:rPr>
                <w:rFonts w:ascii="Arial Narrow" w:hAnsi="Arial Narrow" w:cs="Arial"/>
                <w:b/>
                <w:sz w:val="20"/>
                <w:szCs w:val="20"/>
              </w:rPr>
            </w:pPr>
          </w:p>
        </w:tc>
        <w:tc>
          <w:tcPr>
            <w:tcW w:w="6520" w:type="dxa"/>
            <w:gridSpan w:val="7"/>
            <w:tcBorders>
              <w:top w:val="single" w:sz="4" w:space="0" w:color="auto"/>
              <w:left w:val="single" w:sz="4" w:space="0" w:color="auto"/>
              <w:bottom w:val="single" w:sz="4" w:space="0" w:color="auto"/>
              <w:right w:val="single" w:sz="4" w:space="0" w:color="auto"/>
            </w:tcBorders>
          </w:tcPr>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 xml:space="preserve">Prior to continuing treatment, a comprehensive assessment must be undertaken and documented, involving the patient, the patient's family or carer and the treating physician to establish agreement that treatment is continuing to produce worthwhile benefit. </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Treatment should cease if there is no agreement of benefit as there is always the possibility of harm from unnecessary use.</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Re-assessments for a clinically meaningful response are to be undertaken and documented every six months.</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 xml:space="preserve">Clinically meaningful response to treatment is demonstrated in the following areas: </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 xml:space="preserve">Patient's quality of life including but not limited to level of independence and happiness; </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 xml:space="preserve">Patient's cognitive function including but not limited to memory, recognition and interest in environment; </w:t>
            </w:r>
          </w:p>
          <w:p w:rsidR="00E565CE" w:rsidRPr="005F6C9D" w:rsidRDefault="00E565CE" w:rsidP="00237140">
            <w:pPr>
              <w:spacing w:after="240" w:line="300" w:lineRule="atLeast"/>
              <w:rPr>
                <w:rFonts w:ascii="Arial Narrow" w:hAnsi="Arial Narrow" w:cs="Arial"/>
                <w:sz w:val="20"/>
                <w:szCs w:val="20"/>
              </w:rPr>
            </w:pPr>
            <w:r w:rsidRPr="005F6C9D">
              <w:rPr>
                <w:rFonts w:ascii="Arial Narrow" w:hAnsi="Arial Narrow" w:cs="Arial"/>
                <w:sz w:val="20"/>
                <w:szCs w:val="20"/>
              </w:rPr>
              <w:t>Patient's behavioural symptoms, including but not limited to hallucination, delusions, anxiety, marked agitation or associated aggressive behaviour.</w:t>
            </w:r>
            <w:r>
              <w:rPr>
                <w:rFonts w:ascii="Open Sans" w:hAnsi="Open Sans"/>
                <w:color w:val="222222"/>
                <w:sz w:val="20"/>
                <w:szCs w:val="20"/>
              </w:rPr>
              <w:t xml:space="preserve"> </w:t>
            </w:r>
          </w:p>
        </w:tc>
      </w:tr>
      <w:tr w:rsidR="00E565CE" w:rsidRPr="00260CE3" w:rsidTr="00F40F42">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65CE" w:rsidRPr="00260CE3" w:rsidRDefault="00E565CE" w:rsidP="00237140">
            <w:pPr>
              <w:jc w:val="both"/>
              <w:rPr>
                <w:rFonts w:ascii="Arial Narrow" w:hAnsi="Arial Narrow" w:cs="Arial"/>
                <w:b/>
                <w:sz w:val="20"/>
                <w:szCs w:val="20"/>
              </w:rPr>
            </w:pPr>
            <w:r w:rsidRPr="00260CE3">
              <w:rPr>
                <w:rFonts w:ascii="Arial Narrow" w:hAnsi="Arial Narrow" w:cs="Arial"/>
                <w:b/>
                <w:sz w:val="20"/>
                <w:szCs w:val="20"/>
              </w:rPr>
              <w:t>Administrative Advice</w:t>
            </w:r>
          </w:p>
          <w:p w:rsidR="00E565CE" w:rsidRPr="00260CE3" w:rsidRDefault="00E565CE" w:rsidP="00237140">
            <w:pPr>
              <w:jc w:val="both"/>
              <w:rPr>
                <w:rFonts w:ascii="Arial Narrow" w:hAnsi="Arial Narrow" w:cs="Arial"/>
                <w:b/>
                <w:sz w:val="20"/>
                <w:szCs w:val="20"/>
              </w:rPr>
            </w:pPr>
          </w:p>
        </w:tc>
        <w:tc>
          <w:tcPr>
            <w:tcW w:w="6520" w:type="dxa"/>
            <w:gridSpan w:val="7"/>
            <w:tcBorders>
              <w:top w:val="single" w:sz="4" w:space="0" w:color="auto"/>
              <w:left w:val="single" w:sz="4" w:space="0" w:color="auto"/>
              <w:bottom w:val="single" w:sz="4" w:space="0" w:color="auto"/>
              <w:right w:val="single" w:sz="4" w:space="0" w:color="auto"/>
            </w:tcBorders>
          </w:tcPr>
          <w:p w:rsidR="00E565CE" w:rsidRPr="000F1787" w:rsidRDefault="00E565CE" w:rsidP="00237140">
            <w:pPr>
              <w:spacing w:before="240" w:after="240" w:line="300" w:lineRule="atLeast"/>
              <w:rPr>
                <w:rFonts w:ascii="Arial Narrow" w:hAnsi="Arial Narrow" w:cs="Arial"/>
                <w:sz w:val="20"/>
                <w:szCs w:val="20"/>
              </w:rPr>
            </w:pPr>
            <w:r w:rsidRPr="000F1787">
              <w:rPr>
                <w:rFonts w:ascii="Arial Narrow" w:hAnsi="Arial Narrow" w:cs="Arial"/>
                <w:sz w:val="20"/>
                <w:szCs w:val="20"/>
              </w:rPr>
              <w:t>Continuing Therapy Only:</w:t>
            </w:r>
          </w:p>
          <w:p w:rsidR="00E565CE" w:rsidRPr="005F6C9D" w:rsidRDefault="00E565CE" w:rsidP="003755FB">
            <w:pPr>
              <w:spacing w:before="240" w:after="240" w:line="300" w:lineRule="atLeast"/>
              <w:rPr>
                <w:rFonts w:ascii="Arial Narrow" w:hAnsi="Arial Narrow" w:cs="Arial"/>
                <w:sz w:val="20"/>
                <w:szCs w:val="20"/>
              </w:rPr>
            </w:pPr>
            <w:r w:rsidRPr="000F1787">
              <w:rPr>
                <w:rFonts w:ascii="Arial Narrow" w:hAnsi="Arial Narrow" w:cs="Arial"/>
                <w:sz w:val="20"/>
                <w:szCs w:val="20"/>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F64CC1" w:rsidRDefault="00F64CC1" w:rsidP="00F64CC1">
      <w:pPr>
        <w:jc w:val="both"/>
        <w:rPr>
          <w:rFonts w:ascii="Arial" w:hAnsi="Arial"/>
          <w:sz w:val="22"/>
          <w:szCs w:val="22"/>
        </w:rPr>
      </w:pPr>
    </w:p>
    <w:p w:rsidR="00A42BCF" w:rsidRDefault="00A42BCF" w:rsidP="00F64CC1">
      <w:pPr>
        <w:jc w:val="both"/>
        <w:rPr>
          <w:rFonts w:ascii="Arial" w:hAnsi="Arial"/>
          <w:sz w:val="22"/>
          <w:szCs w:val="22"/>
        </w:rPr>
      </w:pPr>
    </w:p>
    <w:p w:rsidR="00A42BCF" w:rsidRDefault="00A42BCF" w:rsidP="00A42BCF">
      <w:pPr>
        <w:pStyle w:val="ListParagraph"/>
        <w:numPr>
          <w:ilvl w:val="0"/>
          <w:numId w:val="25"/>
        </w:numPr>
        <w:jc w:val="both"/>
        <w:rPr>
          <w:rFonts w:ascii="Arial" w:hAnsi="Arial"/>
          <w:b/>
          <w:sz w:val="22"/>
          <w:szCs w:val="22"/>
        </w:rPr>
      </w:pPr>
      <w:r w:rsidRPr="00A42BCF">
        <w:rPr>
          <w:rFonts w:ascii="Arial" w:hAnsi="Arial"/>
          <w:b/>
          <w:sz w:val="22"/>
          <w:szCs w:val="22"/>
        </w:rPr>
        <w:t xml:space="preserve">Context for Decision </w:t>
      </w:r>
    </w:p>
    <w:p w:rsidR="00E00874" w:rsidRPr="00A42BCF" w:rsidRDefault="00E00874" w:rsidP="00E00874">
      <w:pPr>
        <w:pStyle w:val="ListParagraph"/>
        <w:jc w:val="both"/>
        <w:rPr>
          <w:rFonts w:ascii="Arial" w:hAnsi="Arial"/>
          <w:b/>
          <w:sz w:val="22"/>
          <w:szCs w:val="22"/>
        </w:rPr>
      </w:pPr>
    </w:p>
    <w:p w:rsidR="00A42BCF" w:rsidRDefault="00A42BCF" w:rsidP="00A42BCF">
      <w:pPr>
        <w:pStyle w:val="ListParagraph"/>
        <w:jc w:val="both"/>
        <w:rPr>
          <w:rFonts w:ascii="Arial" w:hAnsi="Arial"/>
          <w:sz w:val="22"/>
          <w:szCs w:val="22"/>
        </w:rPr>
      </w:pPr>
      <w:r>
        <w:rPr>
          <w:rFonts w:ascii="Arial" w:hAnsi="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medicines. A company can resubmit to the PBAC or seek independent review of the PBAC decision.</w:t>
      </w:r>
    </w:p>
    <w:p w:rsidR="00E00874" w:rsidRDefault="00E00874" w:rsidP="00A42BCF">
      <w:pPr>
        <w:pStyle w:val="ListParagraph"/>
        <w:jc w:val="both"/>
        <w:rPr>
          <w:rFonts w:ascii="Arial" w:hAnsi="Arial"/>
          <w:sz w:val="22"/>
          <w:szCs w:val="22"/>
        </w:rPr>
      </w:pPr>
    </w:p>
    <w:p w:rsidR="00A42BCF" w:rsidRDefault="00A42BCF" w:rsidP="00A42BCF">
      <w:pPr>
        <w:pStyle w:val="ListParagraph"/>
        <w:jc w:val="both"/>
        <w:rPr>
          <w:rFonts w:ascii="Arial" w:hAnsi="Arial"/>
          <w:sz w:val="22"/>
          <w:szCs w:val="22"/>
        </w:rPr>
      </w:pPr>
    </w:p>
    <w:p w:rsidR="00E00874" w:rsidRDefault="00A42BCF" w:rsidP="00F40F42">
      <w:pPr>
        <w:pStyle w:val="ListParagraph"/>
        <w:numPr>
          <w:ilvl w:val="0"/>
          <w:numId w:val="25"/>
        </w:numPr>
        <w:jc w:val="both"/>
        <w:rPr>
          <w:rFonts w:ascii="Arial" w:hAnsi="Arial"/>
          <w:b/>
          <w:sz w:val="22"/>
          <w:szCs w:val="22"/>
        </w:rPr>
      </w:pPr>
      <w:r w:rsidRPr="00A42BCF">
        <w:rPr>
          <w:rFonts w:ascii="Arial" w:hAnsi="Arial"/>
          <w:b/>
          <w:sz w:val="22"/>
          <w:szCs w:val="22"/>
        </w:rPr>
        <w:t xml:space="preserve">Sponsor’s Comment </w:t>
      </w:r>
    </w:p>
    <w:p w:rsidR="00A43170" w:rsidRDefault="00A43170" w:rsidP="00A43170">
      <w:pPr>
        <w:pStyle w:val="ListParagraph"/>
        <w:jc w:val="both"/>
        <w:rPr>
          <w:rFonts w:ascii="Arial" w:hAnsi="Arial"/>
          <w:b/>
          <w:sz w:val="22"/>
          <w:szCs w:val="22"/>
        </w:rPr>
      </w:pPr>
    </w:p>
    <w:p w:rsidR="00A43170" w:rsidRPr="00A43170" w:rsidRDefault="00A43170" w:rsidP="00A43170">
      <w:pPr>
        <w:pStyle w:val="ListParagraph"/>
        <w:jc w:val="both"/>
        <w:rPr>
          <w:rFonts w:ascii="Arial" w:hAnsi="Arial"/>
          <w:sz w:val="22"/>
          <w:szCs w:val="22"/>
        </w:rPr>
      </w:pPr>
      <w:r>
        <w:rPr>
          <w:rFonts w:ascii="Arial" w:hAnsi="Arial"/>
          <w:sz w:val="22"/>
          <w:szCs w:val="22"/>
        </w:rPr>
        <w:t xml:space="preserve">The sponsor had no comment. </w:t>
      </w:r>
    </w:p>
    <w:sectPr w:rsidR="00A43170" w:rsidRPr="00A4317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36EF3" w15:done="0"/>
  <w15:commentEx w15:paraId="1984346D" w15:done="0"/>
  <w15:commentEx w15:paraId="7FDBEC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E0" w:rsidRDefault="009055E0">
      <w:r>
        <w:separator/>
      </w:r>
    </w:p>
    <w:p w:rsidR="009055E0" w:rsidRDefault="009055E0"/>
  </w:endnote>
  <w:endnote w:type="continuationSeparator" w:id="0">
    <w:p w:rsidR="009055E0" w:rsidRDefault="009055E0">
      <w:r>
        <w:continuationSeparator/>
      </w:r>
    </w:p>
    <w:p w:rsidR="009055E0" w:rsidRDefault="00905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7140" w:rsidTr="005A3173">
      <w:trPr>
        <w:trHeight w:val="151"/>
      </w:trPr>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7140" w:rsidRPr="005A3173" w:rsidRDefault="002371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r>
    <w:tr w:rsidR="00237140" w:rsidTr="005A3173">
      <w:trPr>
        <w:trHeight w:val="150"/>
      </w:trPr>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0" w:type="auto"/>
          <w:vMerge/>
          <w:vAlign w:val="center"/>
          <w:hideMark/>
        </w:tcPr>
        <w:p w:rsidR="00237140" w:rsidRPr="005A3173" w:rsidRDefault="002371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r>
  </w:tbl>
  <w:p w:rsidR="00237140" w:rsidRDefault="0023714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7140" w:rsidRDefault="00237140">
    <w:pPr>
      <w:pStyle w:val="Footer"/>
    </w:pPr>
  </w:p>
  <w:p w:rsidR="00237140" w:rsidRDefault="002371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40" w:rsidRDefault="00237140" w:rsidP="00EF44A0">
    <w:pPr>
      <w:pStyle w:val="Footer"/>
      <w:jc w:val="center"/>
      <w:rPr>
        <w:rFonts w:ascii="Arial" w:hAnsi="Arial" w:cs="Arial"/>
        <w:b/>
        <w:sz w:val="20"/>
        <w:szCs w:val="20"/>
      </w:rPr>
    </w:pPr>
  </w:p>
  <w:p w:rsidR="00237140" w:rsidRPr="003E3439" w:rsidRDefault="00237140" w:rsidP="003E3439">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CF7DEA">
      <w:rPr>
        <w:rFonts w:ascii="Arial" w:hAnsi="Arial" w:cs="Arial"/>
        <w:noProof/>
        <w:sz w:val="20"/>
        <w:szCs w:val="20"/>
      </w:rPr>
      <w:t>5</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37140" w:rsidTr="005A3173">
      <w:trPr>
        <w:trHeight w:val="151"/>
      </w:trPr>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7140" w:rsidRPr="005A3173" w:rsidRDefault="002371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r>
    <w:tr w:rsidR="00237140" w:rsidTr="005A3173">
      <w:trPr>
        <w:trHeight w:val="150"/>
      </w:trPr>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0" w:type="auto"/>
          <w:vMerge/>
          <w:vAlign w:val="center"/>
          <w:hideMark/>
        </w:tcPr>
        <w:p w:rsidR="00237140" w:rsidRPr="005A3173" w:rsidRDefault="002371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7140" w:rsidTr="005A3173">
      <w:trPr>
        <w:trHeight w:val="151"/>
      </w:trPr>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7140" w:rsidRPr="005A3173" w:rsidRDefault="002371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7140" w:rsidRPr="005A3173" w:rsidRDefault="00237140" w:rsidP="005A3173">
          <w:pPr>
            <w:pStyle w:val="Header"/>
            <w:spacing w:line="276" w:lineRule="auto"/>
            <w:rPr>
              <w:rFonts w:ascii="Calibri" w:eastAsia="MS Gothic" w:hAnsi="Calibri"/>
              <w:b/>
              <w:bCs/>
              <w:color w:val="4F81BD"/>
            </w:rPr>
          </w:pPr>
        </w:p>
      </w:tc>
    </w:tr>
    <w:tr w:rsidR="00237140" w:rsidTr="005A3173">
      <w:trPr>
        <w:trHeight w:val="150"/>
      </w:trPr>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c>
        <w:tcPr>
          <w:tcW w:w="0" w:type="auto"/>
          <w:vMerge/>
          <w:vAlign w:val="center"/>
          <w:hideMark/>
        </w:tcPr>
        <w:p w:rsidR="00237140" w:rsidRPr="005A3173" w:rsidRDefault="002371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7140" w:rsidRPr="005A3173" w:rsidRDefault="00237140" w:rsidP="005A3173">
          <w:pPr>
            <w:pStyle w:val="Header"/>
            <w:spacing w:line="276" w:lineRule="auto"/>
            <w:rPr>
              <w:rFonts w:ascii="Calibri" w:eastAsia="MS Gothic" w:hAnsi="Calibri"/>
              <w:b/>
              <w:bCs/>
              <w:color w:val="4F81BD"/>
            </w:rPr>
          </w:pPr>
        </w:p>
      </w:tc>
    </w:tr>
  </w:tbl>
  <w:p w:rsidR="00237140" w:rsidRPr="007C0F57" w:rsidRDefault="0023714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37140" w:rsidRPr="007C0F57" w:rsidRDefault="00237140" w:rsidP="007C0F57">
    <w:pPr>
      <w:pStyle w:val="Footer"/>
      <w:jc w:val="center"/>
      <w:rPr>
        <w:b/>
        <w:i/>
        <w:sz w:val="20"/>
        <w:szCs w:val="20"/>
      </w:rPr>
    </w:pPr>
    <w:r w:rsidRPr="007C0F57">
      <w:rPr>
        <w:b/>
        <w:i/>
        <w:sz w:val="20"/>
        <w:szCs w:val="20"/>
      </w:rPr>
      <w:t>Commercial-in-Confidence</w:t>
    </w:r>
  </w:p>
  <w:p w:rsidR="00237140" w:rsidRDefault="002371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E0" w:rsidRDefault="009055E0">
      <w:r>
        <w:separator/>
      </w:r>
    </w:p>
    <w:p w:rsidR="009055E0" w:rsidRDefault="009055E0"/>
  </w:footnote>
  <w:footnote w:type="continuationSeparator" w:id="0">
    <w:p w:rsidR="009055E0" w:rsidRDefault="009055E0">
      <w:r>
        <w:continuationSeparator/>
      </w:r>
    </w:p>
    <w:p w:rsidR="009055E0" w:rsidRDefault="00905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37140" w:rsidRPr="008E0D90" w:rsidTr="00A06225">
      <w:trPr>
        <w:trHeight w:val="151"/>
      </w:trPr>
      <w:tc>
        <w:tcPr>
          <w:tcW w:w="2389" w:type="pct"/>
          <w:tcBorders>
            <w:top w:val="nil"/>
            <w:left w:val="nil"/>
            <w:bottom w:val="single" w:sz="4" w:space="0" w:color="4F81BD"/>
            <w:right w:val="nil"/>
          </w:tcBorders>
        </w:tcPr>
        <w:p w:rsidR="00237140" w:rsidRPr="00A06225" w:rsidRDefault="00237140">
          <w:pPr>
            <w:pStyle w:val="Header"/>
            <w:spacing w:line="276" w:lineRule="auto"/>
            <w:rPr>
              <w:rFonts w:ascii="Cambria" w:eastAsia="MS Gothic" w:hAnsi="Cambria"/>
              <w:b/>
              <w:bCs/>
              <w:color w:val="4F81BD"/>
            </w:rPr>
          </w:pPr>
        </w:p>
      </w:tc>
      <w:tc>
        <w:tcPr>
          <w:tcW w:w="333" w:type="pct"/>
          <w:vMerge w:val="restart"/>
          <w:noWrap/>
          <w:vAlign w:val="center"/>
          <w:hideMark/>
        </w:tcPr>
        <w:p w:rsidR="00237140" w:rsidRPr="00A06225" w:rsidRDefault="0023714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37140" w:rsidRPr="00A06225" w:rsidRDefault="00237140">
          <w:pPr>
            <w:pStyle w:val="Header"/>
            <w:spacing w:line="276" w:lineRule="auto"/>
            <w:rPr>
              <w:rFonts w:ascii="Cambria" w:eastAsia="MS Gothic" w:hAnsi="Cambria"/>
              <w:b/>
              <w:bCs/>
              <w:color w:val="4F81BD"/>
            </w:rPr>
          </w:pPr>
        </w:p>
      </w:tc>
    </w:tr>
    <w:tr w:rsidR="00237140" w:rsidRPr="008E0D90" w:rsidTr="00A06225">
      <w:trPr>
        <w:trHeight w:val="150"/>
      </w:trPr>
      <w:tc>
        <w:tcPr>
          <w:tcW w:w="2389" w:type="pct"/>
          <w:tcBorders>
            <w:top w:val="single" w:sz="4" w:space="0" w:color="4F81BD"/>
            <w:left w:val="nil"/>
            <w:bottom w:val="nil"/>
            <w:right w:val="nil"/>
          </w:tcBorders>
        </w:tcPr>
        <w:p w:rsidR="00237140" w:rsidRPr="00A06225" w:rsidRDefault="00237140">
          <w:pPr>
            <w:pStyle w:val="Header"/>
            <w:spacing w:line="276" w:lineRule="auto"/>
            <w:rPr>
              <w:rFonts w:ascii="Cambria" w:eastAsia="MS Gothic" w:hAnsi="Cambria"/>
              <w:b/>
              <w:bCs/>
              <w:color w:val="4F81BD"/>
            </w:rPr>
          </w:pPr>
        </w:p>
      </w:tc>
      <w:tc>
        <w:tcPr>
          <w:tcW w:w="0" w:type="auto"/>
          <w:vMerge/>
          <w:vAlign w:val="center"/>
          <w:hideMark/>
        </w:tcPr>
        <w:p w:rsidR="00237140" w:rsidRPr="00A06225" w:rsidRDefault="00237140">
          <w:pPr>
            <w:rPr>
              <w:rFonts w:ascii="Cambria" w:hAnsi="Cambria"/>
              <w:color w:val="4F81BD"/>
              <w:sz w:val="22"/>
              <w:szCs w:val="22"/>
            </w:rPr>
          </w:pPr>
        </w:p>
      </w:tc>
      <w:tc>
        <w:tcPr>
          <w:tcW w:w="2278" w:type="pct"/>
          <w:tcBorders>
            <w:top w:val="single" w:sz="4" w:space="0" w:color="4F81BD"/>
            <w:left w:val="nil"/>
            <w:bottom w:val="nil"/>
            <w:right w:val="nil"/>
          </w:tcBorders>
        </w:tcPr>
        <w:p w:rsidR="00237140" w:rsidRPr="00A06225" w:rsidRDefault="00237140">
          <w:pPr>
            <w:pStyle w:val="Header"/>
            <w:spacing w:line="276" w:lineRule="auto"/>
            <w:rPr>
              <w:rFonts w:ascii="Cambria" w:eastAsia="MS Gothic" w:hAnsi="Cambria"/>
              <w:b/>
              <w:bCs/>
              <w:color w:val="4F81BD"/>
            </w:rPr>
          </w:pPr>
        </w:p>
      </w:tc>
    </w:tr>
  </w:tbl>
  <w:p w:rsidR="00237140" w:rsidRDefault="00237140">
    <w:pPr>
      <w:pStyle w:val="Header"/>
    </w:pPr>
  </w:p>
  <w:p w:rsidR="00237140" w:rsidRDefault="002371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40" w:rsidRPr="00DF217D" w:rsidRDefault="00A42BCF" w:rsidP="003E3439">
    <w:pPr>
      <w:pStyle w:val="Header"/>
      <w:ind w:left="360"/>
      <w:jc w:val="center"/>
      <w:rPr>
        <w:rFonts w:ascii="Arial" w:hAnsi="Arial" w:cs="Arial"/>
        <w:i/>
        <w:color w:val="808080"/>
        <w:sz w:val="22"/>
      </w:rPr>
    </w:pPr>
    <w:r>
      <w:rPr>
        <w:rFonts w:ascii="Arial" w:hAnsi="Arial" w:cs="Arial"/>
        <w:i/>
        <w:color w:val="808080"/>
        <w:sz w:val="22"/>
      </w:rPr>
      <w:t>Public Summary Document</w:t>
    </w:r>
    <w:r w:rsidR="003755FB">
      <w:rPr>
        <w:rFonts w:ascii="Arial" w:hAnsi="Arial" w:cs="Arial"/>
        <w:i/>
        <w:color w:val="808080"/>
        <w:sz w:val="22"/>
      </w:rPr>
      <w:t xml:space="preserve"> </w:t>
    </w:r>
    <w:r w:rsidR="00237140" w:rsidRPr="00DF217D">
      <w:rPr>
        <w:rFonts w:ascii="Arial" w:hAnsi="Arial" w:cs="Arial"/>
        <w:i/>
        <w:color w:val="808080"/>
        <w:sz w:val="22"/>
      </w:rPr>
      <w:t xml:space="preserve">– </w:t>
    </w:r>
    <w:r w:rsidR="003755FB">
      <w:rPr>
        <w:rFonts w:ascii="Arial" w:hAnsi="Arial" w:cs="Arial"/>
        <w:i/>
        <w:color w:val="808080"/>
        <w:sz w:val="22"/>
      </w:rPr>
      <w:t>July</w:t>
    </w:r>
    <w:r w:rsidR="00237140">
      <w:rPr>
        <w:rFonts w:ascii="Arial" w:hAnsi="Arial" w:cs="Arial"/>
        <w:i/>
        <w:color w:val="808080"/>
        <w:sz w:val="22"/>
      </w:rPr>
      <w:t xml:space="preserve"> 2015 </w:t>
    </w:r>
    <w:r w:rsidR="00237140" w:rsidRPr="00DF217D">
      <w:rPr>
        <w:rFonts w:ascii="Arial" w:hAnsi="Arial" w:cs="Arial"/>
        <w:i/>
        <w:color w:val="808080"/>
        <w:sz w:val="22"/>
      </w:rPr>
      <w:t>PBAC</w:t>
    </w:r>
    <w:r w:rsidR="00237140">
      <w:rPr>
        <w:rFonts w:ascii="Arial" w:hAnsi="Arial" w:cs="Arial"/>
        <w:i/>
        <w:color w:val="808080"/>
        <w:sz w:val="22"/>
      </w:rPr>
      <w:t xml:space="preserve"> </w:t>
    </w:r>
    <w:r w:rsidR="00237140" w:rsidRPr="00DF217D">
      <w:rPr>
        <w:rFonts w:ascii="Arial" w:hAnsi="Arial" w:cs="Arial"/>
        <w:i/>
        <w:color w:val="808080"/>
        <w:sz w:val="22"/>
      </w:rPr>
      <w:t>Meeting</w:t>
    </w:r>
  </w:p>
  <w:p w:rsidR="00237140" w:rsidRDefault="0023714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E0" w:rsidRDefault="00905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4A0750"/>
    <w:multiLevelType w:val="hybridMultilevel"/>
    <w:tmpl w:val="6D167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0C58D81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8"/>
  </w:num>
  <w:num w:numId="3">
    <w:abstractNumId w:val="22"/>
  </w:num>
  <w:num w:numId="4">
    <w:abstractNumId w:val="1"/>
  </w:num>
  <w:num w:numId="5">
    <w:abstractNumId w:val="7"/>
  </w:num>
  <w:num w:numId="6">
    <w:abstractNumId w:val="21"/>
  </w:num>
  <w:num w:numId="7">
    <w:abstractNumId w:val="18"/>
  </w:num>
  <w:num w:numId="8">
    <w:abstractNumId w:val="6"/>
  </w:num>
  <w:num w:numId="9">
    <w:abstractNumId w:val="9"/>
  </w:num>
  <w:num w:numId="10">
    <w:abstractNumId w:val="36"/>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9"/>
  </w:num>
  <w:num w:numId="15">
    <w:abstractNumId w:val="30"/>
  </w:num>
  <w:num w:numId="16">
    <w:abstractNumId w:val="25"/>
  </w:num>
  <w:num w:numId="17">
    <w:abstractNumId w:val="41"/>
  </w:num>
  <w:num w:numId="18">
    <w:abstractNumId w:val="14"/>
  </w:num>
  <w:num w:numId="19">
    <w:abstractNumId w:val="20"/>
  </w:num>
  <w:num w:numId="20">
    <w:abstractNumId w:val="5"/>
  </w:num>
  <w:num w:numId="21">
    <w:abstractNumId w:val="34"/>
  </w:num>
  <w:num w:numId="22">
    <w:abstractNumId w:val="37"/>
  </w:num>
  <w:num w:numId="23">
    <w:abstractNumId w:val="43"/>
  </w:num>
  <w:num w:numId="24">
    <w:abstractNumId w:val="17"/>
  </w:num>
  <w:num w:numId="25">
    <w:abstractNumId w:val="42"/>
  </w:num>
  <w:num w:numId="26">
    <w:abstractNumId w:val="31"/>
  </w:num>
  <w:num w:numId="27">
    <w:abstractNumId w:val="13"/>
  </w:num>
  <w:num w:numId="28">
    <w:abstractNumId w:val="8"/>
  </w:num>
  <w:num w:numId="29">
    <w:abstractNumId w:val="27"/>
  </w:num>
  <w:num w:numId="30">
    <w:abstractNumId w:val="4"/>
  </w:num>
  <w:num w:numId="31">
    <w:abstractNumId w:val="29"/>
  </w:num>
  <w:num w:numId="32">
    <w:abstractNumId w:val="40"/>
  </w:num>
  <w:num w:numId="33">
    <w:abstractNumId w:val="26"/>
  </w:num>
  <w:num w:numId="34">
    <w:abstractNumId w:val="44"/>
  </w:num>
  <w:num w:numId="35">
    <w:abstractNumId w:val="12"/>
  </w:num>
  <w:num w:numId="36">
    <w:abstractNumId w:val="24"/>
  </w:num>
  <w:num w:numId="37">
    <w:abstractNumId w:val="32"/>
  </w:num>
  <w:num w:numId="38">
    <w:abstractNumId w:val="10"/>
  </w:num>
  <w:num w:numId="39">
    <w:abstractNumId w:val="19"/>
  </w:num>
  <w:num w:numId="40">
    <w:abstractNumId w:val="2"/>
  </w:num>
  <w:num w:numId="41">
    <w:abstractNumId w:val="16"/>
  </w:num>
  <w:num w:numId="42">
    <w:abstractNumId w:val="35"/>
  </w:num>
  <w:num w:numId="43">
    <w:abstractNumId w:val="3"/>
  </w:num>
  <w:num w:numId="44">
    <w:abstractNumId w:val="33"/>
  </w:num>
  <w:num w:numId="45">
    <w:abstractNumId w:val="0"/>
  </w:num>
  <w:num w:numId="46">
    <w:abstractNumId w:val="15"/>
  </w:num>
  <w:num w:numId="47">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51F04"/>
    <w:rsid w:val="00060E64"/>
    <w:rsid w:val="00066755"/>
    <w:rsid w:val="000969AD"/>
    <w:rsid w:val="000A2F6D"/>
    <w:rsid w:val="000B558D"/>
    <w:rsid w:val="000C6996"/>
    <w:rsid w:val="000D23BA"/>
    <w:rsid w:val="000E681E"/>
    <w:rsid w:val="000F1787"/>
    <w:rsid w:val="000F4E6A"/>
    <w:rsid w:val="000F7BFE"/>
    <w:rsid w:val="001107BF"/>
    <w:rsid w:val="001124EA"/>
    <w:rsid w:val="0012417C"/>
    <w:rsid w:val="00142395"/>
    <w:rsid w:val="00142714"/>
    <w:rsid w:val="001452ED"/>
    <w:rsid w:val="001830CE"/>
    <w:rsid w:val="00196307"/>
    <w:rsid w:val="001B017F"/>
    <w:rsid w:val="001B5129"/>
    <w:rsid w:val="001C1195"/>
    <w:rsid w:val="001F46CF"/>
    <w:rsid w:val="00213CFB"/>
    <w:rsid w:val="00237140"/>
    <w:rsid w:val="00271BA1"/>
    <w:rsid w:val="00277505"/>
    <w:rsid w:val="0029458F"/>
    <w:rsid w:val="002A104C"/>
    <w:rsid w:val="002A4960"/>
    <w:rsid w:val="002B1AE6"/>
    <w:rsid w:val="002B30F8"/>
    <w:rsid w:val="002C212F"/>
    <w:rsid w:val="002E3153"/>
    <w:rsid w:val="002E72CA"/>
    <w:rsid w:val="00326E79"/>
    <w:rsid w:val="003367EF"/>
    <w:rsid w:val="00341AE4"/>
    <w:rsid w:val="00355B20"/>
    <w:rsid w:val="003755FB"/>
    <w:rsid w:val="003872CF"/>
    <w:rsid w:val="0039782C"/>
    <w:rsid w:val="003A4BEF"/>
    <w:rsid w:val="003A5B4A"/>
    <w:rsid w:val="003B117D"/>
    <w:rsid w:val="003B23C5"/>
    <w:rsid w:val="003B2A75"/>
    <w:rsid w:val="003D4AC4"/>
    <w:rsid w:val="003D63B7"/>
    <w:rsid w:val="003E1536"/>
    <w:rsid w:val="003E3439"/>
    <w:rsid w:val="003E468B"/>
    <w:rsid w:val="003F5C8C"/>
    <w:rsid w:val="004465BD"/>
    <w:rsid w:val="00462840"/>
    <w:rsid w:val="00466ADA"/>
    <w:rsid w:val="00476245"/>
    <w:rsid w:val="00485940"/>
    <w:rsid w:val="00494EE4"/>
    <w:rsid w:val="004A5A85"/>
    <w:rsid w:val="004B5640"/>
    <w:rsid w:val="004C1BD7"/>
    <w:rsid w:val="004C691D"/>
    <w:rsid w:val="004E692D"/>
    <w:rsid w:val="004F7E8E"/>
    <w:rsid w:val="00501554"/>
    <w:rsid w:val="00514CD7"/>
    <w:rsid w:val="005319B2"/>
    <w:rsid w:val="00532737"/>
    <w:rsid w:val="00532C74"/>
    <w:rsid w:val="00534E2E"/>
    <w:rsid w:val="00544552"/>
    <w:rsid w:val="00581932"/>
    <w:rsid w:val="005963BB"/>
    <w:rsid w:val="005A3173"/>
    <w:rsid w:val="005A3223"/>
    <w:rsid w:val="005A3DA3"/>
    <w:rsid w:val="005A52C4"/>
    <w:rsid w:val="005A7382"/>
    <w:rsid w:val="005D03AB"/>
    <w:rsid w:val="005D5017"/>
    <w:rsid w:val="00601A91"/>
    <w:rsid w:val="00602BA3"/>
    <w:rsid w:val="00610F67"/>
    <w:rsid w:val="00614159"/>
    <w:rsid w:val="00617C00"/>
    <w:rsid w:val="00625531"/>
    <w:rsid w:val="006263BF"/>
    <w:rsid w:val="0062748A"/>
    <w:rsid w:val="00630A2C"/>
    <w:rsid w:val="00651169"/>
    <w:rsid w:val="00653D69"/>
    <w:rsid w:val="00662381"/>
    <w:rsid w:val="00664CF5"/>
    <w:rsid w:val="00670A76"/>
    <w:rsid w:val="006711AA"/>
    <w:rsid w:val="00672B57"/>
    <w:rsid w:val="00675622"/>
    <w:rsid w:val="00685769"/>
    <w:rsid w:val="006906DB"/>
    <w:rsid w:val="006A12A5"/>
    <w:rsid w:val="006B0D94"/>
    <w:rsid w:val="006B485D"/>
    <w:rsid w:val="006C708E"/>
    <w:rsid w:val="006D68D3"/>
    <w:rsid w:val="006D6EC7"/>
    <w:rsid w:val="006F5125"/>
    <w:rsid w:val="00703B89"/>
    <w:rsid w:val="0070545F"/>
    <w:rsid w:val="007174BB"/>
    <w:rsid w:val="00741706"/>
    <w:rsid w:val="0076420C"/>
    <w:rsid w:val="007753C2"/>
    <w:rsid w:val="007838B8"/>
    <w:rsid w:val="007A24ED"/>
    <w:rsid w:val="007C0F57"/>
    <w:rsid w:val="007C40B6"/>
    <w:rsid w:val="007C6714"/>
    <w:rsid w:val="007C729F"/>
    <w:rsid w:val="007D1C86"/>
    <w:rsid w:val="007E1D28"/>
    <w:rsid w:val="007F2641"/>
    <w:rsid w:val="007F7C36"/>
    <w:rsid w:val="00806796"/>
    <w:rsid w:val="00826F6D"/>
    <w:rsid w:val="008309F7"/>
    <w:rsid w:val="00856DDD"/>
    <w:rsid w:val="00863E68"/>
    <w:rsid w:val="00882085"/>
    <w:rsid w:val="00883188"/>
    <w:rsid w:val="00897D58"/>
    <w:rsid w:val="008A1956"/>
    <w:rsid w:val="008A4937"/>
    <w:rsid w:val="008B4ED6"/>
    <w:rsid w:val="008D3C82"/>
    <w:rsid w:val="008D447E"/>
    <w:rsid w:val="008D629D"/>
    <w:rsid w:val="008D7A41"/>
    <w:rsid w:val="008E3680"/>
    <w:rsid w:val="008E5870"/>
    <w:rsid w:val="008F1434"/>
    <w:rsid w:val="008F7355"/>
    <w:rsid w:val="009055E0"/>
    <w:rsid w:val="009067B7"/>
    <w:rsid w:val="00930937"/>
    <w:rsid w:val="00933E6C"/>
    <w:rsid w:val="009416D8"/>
    <w:rsid w:val="00942160"/>
    <w:rsid w:val="009602C5"/>
    <w:rsid w:val="00974C21"/>
    <w:rsid w:val="00996530"/>
    <w:rsid w:val="009B0F67"/>
    <w:rsid w:val="009C1FA5"/>
    <w:rsid w:val="009C703C"/>
    <w:rsid w:val="009D3CAA"/>
    <w:rsid w:val="009F4E46"/>
    <w:rsid w:val="009F5B65"/>
    <w:rsid w:val="009F5F2E"/>
    <w:rsid w:val="00A06225"/>
    <w:rsid w:val="00A128E6"/>
    <w:rsid w:val="00A37C8D"/>
    <w:rsid w:val="00A42BCF"/>
    <w:rsid w:val="00A43170"/>
    <w:rsid w:val="00A5273B"/>
    <w:rsid w:val="00A53A9D"/>
    <w:rsid w:val="00A55FEE"/>
    <w:rsid w:val="00A62C1A"/>
    <w:rsid w:val="00A6426D"/>
    <w:rsid w:val="00A70622"/>
    <w:rsid w:val="00A70977"/>
    <w:rsid w:val="00A8390C"/>
    <w:rsid w:val="00A928BD"/>
    <w:rsid w:val="00AA4D1C"/>
    <w:rsid w:val="00AC5206"/>
    <w:rsid w:val="00AD6CC2"/>
    <w:rsid w:val="00AE11A5"/>
    <w:rsid w:val="00AE13E2"/>
    <w:rsid w:val="00AF68CC"/>
    <w:rsid w:val="00B1139F"/>
    <w:rsid w:val="00B11DF1"/>
    <w:rsid w:val="00B1337F"/>
    <w:rsid w:val="00B205AA"/>
    <w:rsid w:val="00B22E84"/>
    <w:rsid w:val="00B25F75"/>
    <w:rsid w:val="00B41FCF"/>
    <w:rsid w:val="00B43E90"/>
    <w:rsid w:val="00B56118"/>
    <w:rsid w:val="00B6773F"/>
    <w:rsid w:val="00B7651D"/>
    <w:rsid w:val="00B801BA"/>
    <w:rsid w:val="00BB69F5"/>
    <w:rsid w:val="00BB7EC3"/>
    <w:rsid w:val="00BC4B9A"/>
    <w:rsid w:val="00BC7ED3"/>
    <w:rsid w:val="00BD784C"/>
    <w:rsid w:val="00BF4CB6"/>
    <w:rsid w:val="00C00DA7"/>
    <w:rsid w:val="00C110B1"/>
    <w:rsid w:val="00C12768"/>
    <w:rsid w:val="00C27B58"/>
    <w:rsid w:val="00C35996"/>
    <w:rsid w:val="00C5342C"/>
    <w:rsid w:val="00C6256A"/>
    <w:rsid w:val="00C7513E"/>
    <w:rsid w:val="00C91449"/>
    <w:rsid w:val="00C92D10"/>
    <w:rsid w:val="00CB609A"/>
    <w:rsid w:val="00CE10C4"/>
    <w:rsid w:val="00CE27B5"/>
    <w:rsid w:val="00CE575C"/>
    <w:rsid w:val="00CE644D"/>
    <w:rsid w:val="00CF689F"/>
    <w:rsid w:val="00CF7DEA"/>
    <w:rsid w:val="00D0321E"/>
    <w:rsid w:val="00D1455A"/>
    <w:rsid w:val="00D3280C"/>
    <w:rsid w:val="00D3406A"/>
    <w:rsid w:val="00D37256"/>
    <w:rsid w:val="00D469B2"/>
    <w:rsid w:val="00D50EBC"/>
    <w:rsid w:val="00D741EB"/>
    <w:rsid w:val="00D84934"/>
    <w:rsid w:val="00D91271"/>
    <w:rsid w:val="00DA2CB5"/>
    <w:rsid w:val="00DA4BAC"/>
    <w:rsid w:val="00DB148A"/>
    <w:rsid w:val="00DD3596"/>
    <w:rsid w:val="00DD47B5"/>
    <w:rsid w:val="00DE6D27"/>
    <w:rsid w:val="00DF217D"/>
    <w:rsid w:val="00DF26A7"/>
    <w:rsid w:val="00DF583B"/>
    <w:rsid w:val="00DF745D"/>
    <w:rsid w:val="00E00874"/>
    <w:rsid w:val="00E164B3"/>
    <w:rsid w:val="00E16910"/>
    <w:rsid w:val="00E565CE"/>
    <w:rsid w:val="00E65E54"/>
    <w:rsid w:val="00E80155"/>
    <w:rsid w:val="00E848C0"/>
    <w:rsid w:val="00E91B96"/>
    <w:rsid w:val="00E91BC8"/>
    <w:rsid w:val="00E941A1"/>
    <w:rsid w:val="00E95CE3"/>
    <w:rsid w:val="00EA2825"/>
    <w:rsid w:val="00EB5088"/>
    <w:rsid w:val="00ED1644"/>
    <w:rsid w:val="00ED6477"/>
    <w:rsid w:val="00EF44A0"/>
    <w:rsid w:val="00EF4FED"/>
    <w:rsid w:val="00F050BD"/>
    <w:rsid w:val="00F05657"/>
    <w:rsid w:val="00F070BD"/>
    <w:rsid w:val="00F14F77"/>
    <w:rsid w:val="00F25578"/>
    <w:rsid w:val="00F258E5"/>
    <w:rsid w:val="00F300BC"/>
    <w:rsid w:val="00F3334E"/>
    <w:rsid w:val="00F40F42"/>
    <w:rsid w:val="00F50EC4"/>
    <w:rsid w:val="00F57A6D"/>
    <w:rsid w:val="00F638CC"/>
    <w:rsid w:val="00F64CC1"/>
    <w:rsid w:val="00F8247A"/>
    <w:rsid w:val="00F9629A"/>
    <w:rsid w:val="00FA5883"/>
    <w:rsid w:val="00FA6055"/>
    <w:rsid w:val="00FB322F"/>
    <w:rsid w:val="00FB442F"/>
    <w:rsid w:val="00FC1929"/>
    <w:rsid w:val="00FC21C7"/>
    <w:rsid w:val="00FC5B46"/>
    <w:rsid w:val="00FE1FE9"/>
    <w:rsid w:val="00FE6241"/>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CC9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E565CE"/>
    <w:pPr>
      <w:ind w:left="720" w:hanging="720"/>
    </w:pPr>
    <w:rPr>
      <w:rFonts w:ascii="Arial" w:hAnsi="Arial" w:cs="Arial"/>
      <w:b/>
      <w:snapToGrid w:val="0"/>
      <w:sz w:val="22"/>
      <w:szCs w:val="22"/>
      <w:lang w:eastAsia="en-US"/>
    </w:rPr>
  </w:style>
  <w:style w:type="character" w:styleId="Hyperlink">
    <w:name w:val="Hyperlink"/>
    <w:uiPriority w:val="99"/>
    <w:rsid w:val="00E565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E565CE"/>
    <w:pPr>
      <w:ind w:left="720" w:hanging="720"/>
    </w:pPr>
    <w:rPr>
      <w:rFonts w:ascii="Arial" w:hAnsi="Arial" w:cs="Arial"/>
      <w:b/>
      <w:snapToGrid w:val="0"/>
      <w:sz w:val="22"/>
      <w:szCs w:val="22"/>
      <w:lang w:eastAsia="en-US"/>
    </w:rPr>
  </w:style>
  <w:style w:type="character" w:styleId="Hyperlink">
    <w:name w:val="Hyperlink"/>
    <w:uiPriority w:val="99"/>
    <w:rsid w:val="00E56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0139054">
      <w:bodyDiv w:val="1"/>
      <w:marLeft w:val="0"/>
      <w:marRight w:val="0"/>
      <w:marTop w:val="0"/>
      <w:marBottom w:val="0"/>
      <w:divBdr>
        <w:top w:val="none" w:sz="0" w:space="0" w:color="auto"/>
        <w:left w:val="none" w:sz="0" w:space="0" w:color="auto"/>
        <w:bottom w:val="none" w:sz="0" w:space="0" w:color="auto"/>
        <w:right w:val="none" w:sz="0" w:space="0" w:color="auto"/>
      </w:divBdr>
      <w:divsChild>
        <w:div w:id="1020400038">
          <w:marLeft w:val="0"/>
          <w:marRight w:val="0"/>
          <w:marTop w:val="240"/>
          <w:marBottom w:val="480"/>
          <w:divBdr>
            <w:top w:val="none" w:sz="0" w:space="0" w:color="auto"/>
            <w:left w:val="none" w:sz="0" w:space="0" w:color="auto"/>
            <w:bottom w:val="none" w:sz="0" w:space="0" w:color="auto"/>
            <w:right w:val="none" w:sz="0" w:space="0" w:color="auto"/>
          </w:divBdr>
          <w:divsChild>
            <w:div w:id="1596594546">
              <w:marLeft w:val="0"/>
              <w:marRight w:val="0"/>
              <w:marTop w:val="0"/>
              <w:marBottom w:val="0"/>
              <w:divBdr>
                <w:top w:val="none" w:sz="0" w:space="0" w:color="auto"/>
                <w:left w:val="none" w:sz="0" w:space="0" w:color="auto"/>
                <w:bottom w:val="none" w:sz="0" w:space="0" w:color="auto"/>
                <w:right w:val="none" w:sz="0" w:space="0" w:color="auto"/>
              </w:divBdr>
              <w:divsChild>
                <w:div w:id="2079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4966928">
      <w:bodyDiv w:val="1"/>
      <w:marLeft w:val="0"/>
      <w:marRight w:val="0"/>
      <w:marTop w:val="0"/>
      <w:marBottom w:val="0"/>
      <w:divBdr>
        <w:top w:val="none" w:sz="0" w:space="0" w:color="auto"/>
        <w:left w:val="none" w:sz="0" w:space="0" w:color="auto"/>
        <w:bottom w:val="none" w:sz="0" w:space="0" w:color="auto"/>
        <w:right w:val="none" w:sz="0" w:space="0" w:color="auto"/>
      </w:divBdr>
      <w:divsChild>
        <w:div w:id="1658261997">
          <w:marLeft w:val="0"/>
          <w:marRight w:val="0"/>
          <w:marTop w:val="240"/>
          <w:marBottom w:val="480"/>
          <w:divBdr>
            <w:top w:val="none" w:sz="0" w:space="0" w:color="auto"/>
            <w:left w:val="none" w:sz="0" w:space="0" w:color="auto"/>
            <w:bottom w:val="none" w:sz="0" w:space="0" w:color="auto"/>
            <w:right w:val="none" w:sz="0" w:space="0" w:color="auto"/>
          </w:divBdr>
          <w:divsChild>
            <w:div w:id="1814178962">
              <w:marLeft w:val="0"/>
              <w:marRight w:val="0"/>
              <w:marTop w:val="0"/>
              <w:marBottom w:val="0"/>
              <w:divBdr>
                <w:top w:val="none" w:sz="0" w:space="0" w:color="auto"/>
                <w:left w:val="none" w:sz="0" w:space="0" w:color="auto"/>
                <w:bottom w:val="none" w:sz="0" w:space="0" w:color="auto"/>
                <w:right w:val="none" w:sz="0" w:space="0" w:color="auto"/>
              </w:divBdr>
              <w:divsChild>
                <w:div w:id="686176057">
                  <w:marLeft w:val="0"/>
                  <w:marRight w:val="0"/>
                  <w:marTop w:val="0"/>
                  <w:marBottom w:val="0"/>
                  <w:divBdr>
                    <w:top w:val="none" w:sz="0" w:space="0" w:color="auto"/>
                    <w:left w:val="none" w:sz="0" w:space="0" w:color="auto"/>
                    <w:bottom w:val="none" w:sz="0" w:space="0" w:color="auto"/>
                    <w:right w:val="none" w:sz="0" w:space="0" w:color="auto"/>
                  </w:divBdr>
                  <w:divsChild>
                    <w:div w:id="2071878333">
                      <w:marLeft w:val="0"/>
                      <w:marRight w:val="0"/>
                      <w:marTop w:val="0"/>
                      <w:marBottom w:val="0"/>
                      <w:divBdr>
                        <w:top w:val="none" w:sz="0" w:space="0" w:color="auto"/>
                        <w:left w:val="none" w:sz="0" w:space="0" w:color="auto"/>
                        <w:bottom w:val="none" w:sz="0" w:space="0" w:color="auto"/>
                        <w:right w:val="none" w:sz="0" w:space="0" w:color="auto"/>
                      </w:divBdr>
                      <w:divsChild>
                        <w:div w:id="516189064">
                          <w:marLeft w:val="0"/>
                          <w:marRight w:val="0"/>
                          <w:marTop w:val="0"/>
                          <w:marBottom w:val="0"/>
                          <w:divBdr>
                            <w:top w:val="none" w:sz="0" w:space="0" w:color="auto"/>
                            <w:left w:val="none" w:sz="0" w:space="0" w:color="auto"/>
                            <w:bottom w:val="none" w:sz="0" w:space="0" w:color="auto"/>
                            <w:right w:val="none" w:sz="0" w:space="0" w:color="auto"/>
                          </w:divBdr>
                          <w:divsChild>
                            <w:div w:id="316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7DF8-427F-4E50-8F65-038844F6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2015-10-16T04:11:00Z</dcterms:created>
  <dcterms:modified xsi:type="dcterms:W3CDTF">2015-10-16T04:13:00Z</dcterms:modified>
</cp:coreProperties>
</file>