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1FE" w:rsidRDefault="000A633E" w:rsidP="00804107">
      <w:pPr>
        <w:pStyle w:val="Heading1"/>
        <w:widowControl/>
        <w:rPr>
          <w:sz w:val="28"/>
        </w:rPr>
      </w:pPr>
      <w:bookmarkStart w:id="0" w:name="_Toc419207256"/>
      <w:bookmarkStart w:id="1" w:name="_GoBack"/>
      <w:bookmarkEnd w:id="1"/>
      <w:r>
        <w:rPr>
          <w:sz w:val="28"/>
        </w:rPr>
        <w:t>6.02</w:t>
      </w:r>
      <w:r w:rsidR="00B60939" w:rsidRPr="00207D00">
        <w:rPr>
          <w:sz w:val="28"/>
        </w:rPr>
        <w:tab/>
      </w:r>
      <w:r w:rsidR="000614B5">
        <w:rPr>
          <w:sz w:val="28"/>
        </w:rPr>
        <w:t>SAXAGLIPTIN</w:t>
      </w:r>
    </w:p>
    <w:p w:rsidR="00DB71FE" w:rsidRDefault="000614B5" w:rsidP="00804107">
      <w:pPr>
        <w:pStyle w:val="Heading1"/>
        <w:widowControl/>
        <w:ind w:firstLine="0"/>
        <w:rPr>
          <w:sz w:val="28"/>
        </w:rPr>
      </w:pPr>
      <w:r>
        <w:rPr>
          <w:caps w:val="0"/>
          <w:sz w:val="28"/>
        </w:rPr>
        <w:t>2.5mg and 5mg oral tablets</w:t>
      </w:r>
      <w:r w:rsidR="00B60939" w:rsidRPr="00207D00">
        <w:rPr>
          <w:sz w:val="28"/>
        </w:rPr>
        <w:t xml:space="preserve">, </w:t>
      </w:r>
      <w:r w:rsidR="00681067">
        <w:rPr>
          <w:caps w:val="0"/>
          <w:sz w:val="28"/>
        </w:rPr>
        <w:t>28</w:t>
      </w:r>
      <w:r w:rsidR="00DE4F3F">
        <w:rPr>
          <w:caps w:val="0"/>
          <w:sz w:val="28"/>
        </w:rPr>
        <w:t>,</w:t>
      </w:r>
    </w:p>
    <w:p w:rsidR="00B60939" w:rsidRPr="00207D00" w:rsidRDefault="00681067" w:rsidP="00804107">
      <w:pPr>
        <w:pStyle w:val="Heading1"/>
        <w:widowControl/>
        <w:ind w:firstLine="0"/>
        <w:rPr>
          <w:sz w:val="28"/>
        </w:rPr>
      </w:pPr>
      <w:r>
        <w:rPr>
          <w:caps w:val="0"/>
          <w:sz w:val="28"/>
        </w:rPr>
        <w:t>Onglyza</w:t>
      </w:r>
      <w:r w:rsidR="00B60939" w:rsidRPr="00207D00">
        <w:rPr>
          <w:sz w:val="28"/>
          <w:vertAlign w:val="superscript"/>
        </w:rPr>
        <w:t>®</w:t>
      </w:r>
      <w:r w:rsidR="00DE4F3F">
        <w:rPr>
          <w:sz w:val="28"/>
        </w:rPr>
        <w:t xml:space="preserve">, </w:t>
      </w:r>
      <w:r w:rsidRPr="00681067">
        <w:rPr>
          <w:caps w:val="0"/>
          <w:sz w:val="28"/>
        </w:rPr>
        <w:t xml:space="preserve">AstraZeneca Australia </w:t>
      </w:r>
      <w:bookmarkEnd w:id="0"/>
      <w:r w:rsidR="00DE4F3F">
        <w:rPr>
          <w:caps w:val="0"/>
          <w:sz w:val="28"/>
        </w:rPr>
        <w:t>Pty Ltd.</w:t>
      </w:r>
    </w:p>
    <w:p w:rsidR="00433044" w:rsidRPr="00DB71FE" w:rsidRDefault="00433044" w:rsidP="00804107">
      <w:pPr>
        <w:pStyle w:val="BodyText"/>
        <w:widowControl/>
        <w:rPr>
          <w:rFonts w:ascii="Arial Bold" w:hAnsi="Arial Bold"/>
          <w:b/>
          <w:caps/>
          <w:sz w:val="28"/>
        </w:rPr>
      </w:pPr>
    </w:p>
    <w:p w:rsidR="00B50DB8" w:rsidRPr="00407F2D" w:rsidRDefault="00B50DB8" w:rsidP="00804107">
      <w:pPr>
        <w:pStyle w:val="PBACHeading1"/>
      </w:pPr>
      <w:bookmarkStart w:id="2" w:name="_Toc419207258"/>
      <w:r w:rsidRPr="00407F2D">
        <w:t>Purpose of Application</w:t>
      </w:r>
      <w:bookmarkEnd w:id="2"/>
    </w:p>
    <w:p w:rsidR="00B60939" w:rsidRPr="00882085" w:rsidRDefault="00B60939" w:rsidP="00804107">
      <w:pPr>
        <w:widowControl/>
        <w:rPr>
          <w:szCs w:val="22"/>
        </w:rPr>
      </w:pPr>
    </w:p>
    <w:p w:rsidR="002C2775" w:rsidRPr="00B50DB8" w:rsidRDefault="00681067" w:rsidP="00804107">
      <w:pPr>
        <w:pStyle w:val="ListParagraph"/>
        <w:widowControl/>
        <w:numPr>
          <w:ilvl w:val="1"/>
          <w:numId w:val="5"/>
        </w:numPr>
        <w:rPr>
          <w:szCs w:val="22"/>
        </w:rPr>
      </w:pPr>
      <w:r>
        <w:t xml:space="preserve">The submission sought </w:t>
      </w:r>
      <w:r w:rsidR="00262079">
        <w:t>to extend the PBS listing of saxagliptin to include a</w:t>
      </w:r>
      <w:r w:rsidR="00277F96">
        <w:t>n</w:t>
      </w:r>
      <w:r w:rsidR="00262079">
        <w:t xml:space="preserve"> </w:t>
      </w:r>
      <w:r w:rsidRPr="004B3DDB">
        <w:t>Authority Required</w:t>
      </w:r>
      <w:r>
        <w:t xml:space="preserve"> (Streamlined)</w:t>
      </w:r>
      <w:r w:rsidRPr="004B3DDB">
        <w:t xml:space="preserve"> listing for </w:t>
      </w:r>
      <w:r>
        <w:t>saxagliptin</w:t>
      </w:r>
      <w:r w:rsidRPr="004B3DDB">
        <w:t xml:space="preserve"> </w:t>
      </w:r>
      <w:r>
        <w:t>2.5mg and 5mg tablets</w:t>
      </w:r>
      <w:r w:rsidRPr="004B3DDB">
        <w:t xml:space="preserve"> for </w:t>
      </w:r>
      <w:r>
        <w:t xml:space="preserve">the </w:t>
      </w:r>
      <w:r w:rsidRPr="004B3DDB">
        <w:t>treatment of</w:t>
      </w:r>
      <w:r>
        <w:t xml:space="preserve"> patients with</w:t>
      </w:r>
      <w:r w:rsidRPr="004B3DDB">
        <w:t xml:space="preserve"> </w:t>
      </w:r>
      <w:r>
        <w:t>type 2 diabetes</w:t>
      </w:r>
      <w:r w:rsidR="002D6D3A">
        <w:t xml:space="preserve"> mellitus (T2DM)</w:t>
      </w:r>
      <w:r>
        <w:t xml:space="preserve"> in combination with</w:t>
      </w:r>
      <w:r w:rsidRPr="004B3DDB">
        <w:t xml:space="preserve"> </w:t>
      </w:r>
      <w:r>
        <w:t xml:space="preserve">metformin </w:t>
      </w:r>
      <w:r w:rsidRPr="00681067">
        <w:rPr>
          <w:u w:val="single"/>
        </w:rPr>
        <w:t>and</w:t>
      </w:r>
      <w:r>
        <w:t xml:space="preserve"> a sulfonylurea (MET + SU)</w:t>
      </w:r>
      <w:r w:rsidR="001E238E" w:rsidRPr="004B3DDB">
        <w:t>.</w:t>
      </w:r>
    </w:p>
    <w:p w:rsidR="004E43B2" w:rsidRPr="00882085" w:rsidRDefault="004E43B2" w:rsidP="00804107">
      <w:pPr>
        <w:widowControl/>
      </w:pPr>
    </w:p>
    <w:p w:rsidR="00B50DB8" w:rsidRPr="00407F2D" w:rsidRDefault="00B50DB8" w:rsidP="00804107">
      <w:pPr>
        <w:pStyle w:val="PBACHeading1"/>
      </w:pPr>
      <w:bookmarkStart w:id="3" w:name="_Toc419207259"/>
      <w:r w:rsidRPr="00407F2D">
        <w:t>Requested listing</w:t>
      </w:r>
      <w:bookmarkEnd w:id="3"/>
    </w:p>
    <w:p w:rsidR="00617E12" w:rsidRDefault="00617E12" w:rsidP="00804107">
      <w:pPr>
        <w:widowControl/>
        <w:rPr>
          <w:szCs w:val="22"/>
        </w:rPr>
      </w:pPr>
    </w:p>
    <w:p w:rsidR="003B34BA" w:rsidRPr="005948C9" w:rsidRDefault="003B34BA" w:rsidP="00804107">
      <w:pPr>
        <w:pStyle w:val="ListParagraph"/>
        <w:widowControl/>
        <w:numPr>
          <w:ilvl w:val="1"/>
          <w:numId w:val="5"/>
        </w:numPr>
      </w:pPr>
      <w:r w:rsidRPr="005948C9">
        <w:t>Suggestions and additions proposed by the Secretariat to the requested listing are added in italics</w:t>
      </w:r>
      <w:r w:rsidR="00ED1355" w:rsidRPr="005948C9">
        <w:t>.</w:t>
      </w:r>
    </w:p>
    <w:p w:rsidR="00494262" w:rsidRPr="00FA597D" w:rsidRDefault="00494262" w:rsidP="00804107">
      <w:pPr>
        <w:widowControl/>
        <w:rPr>
          <w:szCs w:val="22"/>
        </w:rPr>
      </w:pPr>
    </w:p>
    <w:tbl>
      <w:tblPr>
        <w:tblW w:w="8505" w:type="dxa"/>
        <w:tblInd w:w="817" w:type="dxa"/>
        <w:tblLayout w:type="fixed"/>
        <w:tblLook w:val="0000" w:firstRow="0" w:lastRow="0" w:firstColumn="0" w:lastColumn="0" w:noHBand="0" w:noVBand="0"/>
      </w:tblPr>
      <w:tblGrid>
        <w:gridCol w:w="2126"/>
        <w:gridCol w:w="1276"/>
        <w:gridCol w:w="567"/>
        <w:gridCol w:w="567"/>
        <w:gridCol w:w="1559"/>
        <w:gridCol w:w="142"/>
        <w:gridCol w:w="1418"/>
        <w:gridCol w:w="850"/>
      </w:tblGrid>
      <w:tr w:rsidR="00494262" w:rsidRPr="00260CE3" w:rsidTr="00494262">
        <w:trPr>
          <w:cantSplit/>
          <w:trHeight w:val="471"/>
        </w:trPr>
        <w:tc>
          <w:tcPr>
            <w:tcW w:w="3402" w:type="dxa"/>
            <w:gridSpan w:val="2"/>
            <w:tcBorders>
              <w:bottom w:val="single" w:sz="4" w:space="0" w:color="auto"/>
            </w:tcBorders>
          </w:tcPr>
          <w:p w:rsidR="00494262" w:rsidRPr="00260CE3" w:rsidRDefault="00494262" w:rsidP="00804107">
            <w:pPr>
              <w:keepNext/>
              <w:widowControl/>
              <w:ind w:left="-108"/>
              <w:rPr>
                <w:rFonts w:ascii="Arial Narrow" w:hAnsi="Arial Narrow"/>
                <w:sz w:val="20"/>
              </w:rPr>
            </w:pPr>
            <w:r w:rsidRPr="00260CE3">
              <w:rPr>
                <w:rFonts w:ascii="Arial Narrow" w:hAnsi="Arial Narrow"/>
                <w:sz w:val="20"/>
              </w:rPr>
              <w:t>Name, Restriction,</w:t>
            </w:r>
          </w:p>
          <w:p w:rsidR="00494262" w:rsidRPr="00260CE3" w:rsidRDefault="00494262" w:rsidP="00804107">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494262" w:rsidRPr="00260CE3" w:rsidRDefault="00494262" w:rsidP="00804107">
            <w:pPr>
              <w:keepNext/>
              <w:widowControl/>
              <w:ind w:left="-108"/>
              <w:rPr>
                <w:rFonts w:ascii="Arial Narrow" w:hAnsi="Arial Narrow"/>
                <w:sz w:val="20"/>
              </w:rPr>
            </w:pPr>
            <w:r w:rsidRPr="00260CE3">
              <w:rPr>
                <w:rFonts w:ascii="Arial Narrow" w:hAnsi="Arial Narrow"/>
                <w:sz w:val="20"/>
              </w:rPr>
              <w:t>Max.</w:t>
            </w:r>
          </w:p>
          <w:p w:rsidR="00494262" w:rsidRPr="00260CE3" w:rsidRDefault="00494262" w:rsidP="00804107">
            <w:pPr>
              <w:keepNext/>
              <w:widowControl/>
              <w:ind w:left="-108"/>
              <w:rPr>
                <w:rFonts w:ascii="Arial Narrow" w:hAnsi="Arial Narrow"/>
                <w:sz w:val="20"/>
              </w:rPr>
            </w:pPr>
            <w:r w:rsidRPr="00260CE3">
              <w:rPr>
                <w:rFonts w:ascii="Arial Narrow" w:hAnsi="Arial Narrow"/>
                <w:sz w:val="20"/>
              </w:rPr>
              <w:t>Qty</w:t>
            </w:r>
          </w:p>
        </w:tc>
        <w:tc>
          <w:tcPr>
            <w:tcW w:w="567" w:type="dxa"/>
            <w:tcBorders>
              <w:bottom w:val="single" w:sz="4" w:space="0" w:color="auto"/>
            </w:tcBorders>
          </w:tcPr>
          <w:p w:rsidR="00494262" w:rsidRPr="00260CE3" w:rsidRDefault="00494262" w:rsidP="00804107">
            <w:pPr>
              <w:keepNext/>
              <w:widowControl/>
              <w:ind w:left="-108"/>
              <w:rPr>
                <w:rFonts w:ascii="Arial Narrow" w:hAnsi="Arial Narrow"/>
                <w:sz w:val="20"/>
              </w:rPr>
            </w:pPr>
            <w:r w:rsidRPr="00260CE3">
              <w:rPr>
                <w:rFonts w:ascii="Arial Narrow" w:hAnsi="Arial Narrow"/>
                <w:sz w:val="20"/>
              </w:rPr>
              <w:t>№.of</w:t>
            </w:r>
          </w:p>
          <w:p w:rsidR="00494262" w:rsidRPr="00260CE3" w:rsidRDefault="00494262" w:rsidP="00804107">
            <w:pPr>
              <w:keepNext/>
              <w:widowControl/>
              <w:ind w:left="-108"/>
              <w:rPr>
                <w:rFonts w:ascii="Arial Narrow" w:hAnsi="Arial Narrow"/>
                <w:sz w:val="20"/>
              </w:rPr>
            </w:pPr>
            <w:r w:rsidRPr="00260CE3">
              <w:rPr>
                <w:rFonts w:ascii="Arial Narrow" w:hAnsi="Arial Narrow"/>
                <w:sz w:val="20"/>
              </w:rPr>
              <w:t>Rpts</w:t>
            </w:r>
          </w:p>
        </w:tc>
        <w:tc>
          <w:tcPr>
            <w:tcW w:w="1559" w:type="dxa"/>
            <w:tcBorders>
              <w:bottom w:val="single" w:sz="4" w:space="0" w:color="auto"/>
            </w:tcBorders>
          </w:tcPr>
          <w:p w:rsidR="00494262" w:rsidRPr="00260CE3" w:rsidRDefault="00494262" w:rsidP="00804107">
            <w:pPr>
              <w:keepNext/>
              <w:widowControl/>
              <w:ind w:left="-108"/>
              <w:rPr>
                <w:rFonts w:ascii="Arial Narrow" w:hAnsi="Arial Narrow"/>
                <w:sz w:val="20"/>
              </w:rPr>
            </w:pPr>
            <w:r w:rsidRPr="00260CE3">
              <w:rPr>
                <w:rFonts w:ascii="Arial Narrow" w:hAnsi="Arial Narrow"/>
                <w:sz w:val="20"/>
              </w:rPr>
              <w:t>Dispensed Price for Max. Qty</w:t>
            </w:r>
          </w:p>
        </w:tc>
        <w:tc>
          <w:tcPr>
            <w:tcW w:w="2410" w:type="dxa"/>
            <w:gridSpan w:val="3"/>
            <w:tcBorders>
              <w:bottom w:val="single" w:sz="4" w:space="0" w:color="auto"/>
            </w:tcBorders>
          </w:tcPr>
          <w:p w:rsidR="00494262" w:rsidRPr="00260CE3" w:rsidRDefault="00494262" w:rsidP="00804107">
            <w:pPr>
              <w:keepNext/>
              <w:widowControl/>
              <w:rPr>
                <w:rFonts w:ascii="Arial Narrow" w:hAnsi="Arial Narrow"/>
                <w:sz w:val="20"/>
                <w:lang w:val="fr-FR"/>
              </w:rPr>
            </w:pPr>
            <w:r w:rsidRPr="00260CE3">
              <w:rPr>
                <w:rFonts w:ascii="Arial Narrow" w:hAnsi="Arial Narrow"/>
                <w:sz w:val="20"/>
              </w:rPr>
              <w:t>Proprietary Name and Manufacturer</w:t>
            </w:r>
          </w:p>
        </w:tc>
      </w:tr>
      <w:tr w:rsidR="00494262" w:rsidRPr="00260CE3" w:rsidTr="00494262">
        <w:trPr>
          <w:cantSplit/>
        </w:trPr>
        <w:tc>
          <w:tcPr>
            <w:tcW w:w="3402" w:type="dxa"/>
            <w:gridSpan w:val="2"/>
          </w:tcPr>
          <w:p w:rsidR="00494262" w:rsidRPr="00A72D21" w:rsidRDefault="00494262" w:rsidP="00804107">
            <w:pPr>
              <w:keepNext/>
              <w:widowControl/>
              <w:ind w:left="-108"/>
              <w:rPr>
                <w:rFonts w:ascii="Arial Narrow" w:hAnsi="Arial Narrow"/>
                <w:sz w:val="20"/>
              </w:rPr>
            </w:pPr>
            <w:r w:rsidRPr="00A72D21">
              <w:rPr>
                <w:rFonts w:ascii="Arial Narrow" w:hAnsi="Arial Narrow"/>
                <w:sz w:val="20"/>
              </w:rPr>
              <w:t>SAXAGLIPTIN</w:t>
            </w:r>
          </w:p>
          <w:p w:rsidR="00494262" w:rsidRDefault="00494262" w:rsidP="00804107">
            <w:pPr>
              <w:keepNext/>
              <w:widowControl/>
              <w:ind w:left="-108"/>
              <w:rPr>
                <w:rFonts w:ascii="Arial Narrow" w:hAnsi="Arial Narrow"/>
                <w:sz w:val="20"/>
              </w:rPr>
            </w:pPr>
            <w:r>
              <w:rPr>
                <w:rFonts w:ascii="Arial Narrow" w:hAnsi="Arial Narrow"/>
                <w:sz w:val="20"/>
              </w:rPr>
              <w:t>saxagliptin 5mg tablet, 28</w:t>
            </w:r>
          </w:p>
          <w:p w:rsidR="00494262" w:rsidRPr="00260CE3" w:rsidRDefault="00494262" w:rsidP="00804107">
            <w:pPr>
              <w:keepNext/>
              <w:widowControl/>
              <w:ind w:left="-108"/>
              <w:rPr>
                <w:rFonts w:ascii="Arial Narrow" w:hAnsi="Arial Narrow"/>
                <w:sz w:val="20"/>
              </w:rPr>
            </w:pPr>
            <w:r>
              <w:rPr>
                <w:rFonts w:ascii="Arial Narrow" w:hAnsi="Arial Narrow"/>
                <w:sz w:val="20"/>
              </w:rPr>
              <w:t xml:space="preserve">saxagliptin 2.5mg </w:t>
            </w:r>
            <w:r w:rsidRPr="00332418">
              <w:rPr>
                <w:rFonts w:ascii="Arial Narrow" w:hAnsi="Arial Narrow"/>
                <w:sz w:val="20"/>
              </w:rPr>
              <w:t>tablet</w:t>
            </w:r>
            <w:r>
              <w:rPr>
                <w:rFonts w:ascii="Arial Narrow" w:hAnsi="Arial Narrow"/>
                <w:sz w:val="20"/>
              </w:rPr>
              <w:t>, 28</w:t>
            </w:r>
          </w:p>
        </w:tc>
        <w:tc>
          <w:tcPr>
            <w:tcW w:w="567" w:type="dxa"/>
          </w:tcPr>
          <w:p w:rsidR="00494262" w:rsidRPr="00260CE3" w:rsidRDefault="00494262" w:rsidP="00804107">
            <w:pPr>
              <w:keepNext/>
              <w:widowControl/>
              <w:ind w:left="-108"/>
              <w:rPr>
                <w:rFonts w:ascii="Arial Narrow" w:hAnsi="Arial Narrow"/>
                <w:sz w:val="20"/>
              </w:rPr>
            </w:pPr>
          </w:p>
          <w:p w:rsidR="00494262" w:rsidRDefault="00494262" w:rsidP="00804107">
            <w:pPr>
              <w:keepNext/>
              <w:widowControl/>
              <w:ind w:left="-108"/>
              <w:rPr>
                <w:rFonts w:ascii="Arial Narrow" w:hAnsi="Arial Narrow"/>
                <w:sz w:val="20"/>
              </w:rPr>
            </w:pPr>
            <w:r>
              <w:rPr>
                <w:rFonts w:ascii="Arial Narrow" w:hAnsi="Arial Narrow"/>
                <w:sz w:val="20"/>
              </w:rPr>
              <w:t>1</w:t>
            </w:r>
          </w:p>
          <w:p w:rsidR="00494262" w:rsidRPr="00260CE3" w:rsidRDefault="00494262" w:rsidP="00804107">
            <w:pPr>
              <w:keepNext/>
              <w:widowControl/>
              <w:ind w:left="-108"/>
              <w:rPr>
                <w:rFonts w:ascii="Arial Narrow" w:hAnsi="Arial Narrow"/>
                <w:sz w:val="20"/>
              </w:rPr>
            </w:pPr>
            <w:r>
              <w:rPr>
                <w:rFonts w:ascii="Arial Narrow" w:hAnsi="Arial Narrow"/>
                <w:sz w:val="20"/>
              </w:rPr>
              <w:t>1</w:t>
            </w:r>
          </w:p>
        </w:tc>
        <w:tc>
          <w:tcPr>
            <w:tcW w:w="567" w:type="dxa"/>
          </w:tcPr>
          <w:p w:rsidR="00494262" w:rsidRPr="00260CE3" w:rsidRDefault="00494262" w:rsidP="00804107">
            <w:pPr>
              <w:keepNext/>
              <w:widowControl/>
              <w:ind w:left="-108"/>
              <w:rPr>
                <w:rFonts w:ascii="Arial Narrow" w:hAnsi="Arial Narrow"/>
                <w:sz w:val="20"/>
              </w:rPr>
            </w:pPr>
          </w:p>
          <w:p w:rsidR="00494262" w:rsidRDefault="00494262" w:rsidP="00804107">
            <w:pPr>
              <w:keepNext/>
              <w:widowControl/>
              <w:ind w:left="-108"/>
              <w:rPr>
                <w:rFonts w:ascii="Arial Narrow" w:hAnsi="Arial Narrow"/>
                <w:sz w:val="20"/>
              </w:rPr>
            </w:pPr>
            <w:r>
              <w:rPr>
                <w:rFonts w:ascii="Arial Narrow" w:hAnsi="Arial Narrow"/>
                <w:sz w:val="20"/>
              </w:rPr>
              <w:t>5</w:t>
            </w:r>
          </w:p>
          <w:p w:rsidR="00494262" w:rsidRPr="00260CE3" w:rsidRDefault="00494262" w:rsidP="00804107">
            <w:pPr>
              <w:keepNext/>
              <w:widowControl/>
              <w:ind w:left="-108"/>
              <w:rPr>
                <w:rFonts w:ascii="Arial Narrow" w:hAnsi="Arial Narrow"/>
                <w:sz w:val="20"/>
              </w:rPr>
            </w:pPr>
            <w:r>
              <w:rPr>
                <w:rFonts w:ascii="Arial Narrow" w:hAnsi="Arial Narrow"/>
                <w:sz w:val="20"/>
              </w:rPr>
              <w:t>5</w:t>
            </w:r>
          </w:p>
        </w:tc>
        <w:tc>
          <w:tcPr>
            <w:tcW w:w="1701" w:type="dxa"/>
            <w:gridSpan w:val="2"/>
          </w:tcPr>
          <w:p w:rsidR="00494262" w:rsidRPr="00260CE3" w:rsidRDefault="00494262" w:rsidP="00804107">
            <w:pPr>
              <w:keepNext/>
              <w:widowControl/>
              <w:ind w:left="-108"/>
              <w:rPr>
                <w:rFonts w:ascii="Arial Narrow" w:hAnsi="Arial Narrow"/>
                <w:sz w:val="20"/>
              </w:rPr>
            </w:pPr>
          </w:p>
          <w:p w:rsidR="00494262" w:rsidRDefault="00494262" w:rsidP="00804107">
            <w:pPr>
              <w:keepNext/>
              <w:widowControl/>
              <w:ind w:left="-108"/>
              <w:rPr>
                <w:rFonts w:ascii="Arial Narrow" w:hAnsi="Arial Narrow"/>
                <w:sz w:val="20"/>
              </w:rPr>
            </w:pPr>
            <w:r w:rsidRPr="00260CE3">
              <w:rPr>
                <w:rFonts w:ascii="Arial Narrow" w:hAnsi="Arial Narrow"/>
                <w:sz w:val="20"/>
              </w:rPr>
              <w:t>$</w:t>
            </w:r>
            <w:r>
              <w:rPr>
                <w:rFonts w:ascii="Arial Narrow" w:hAnsi="Arial Narrow"/>
                <w:sz w:val="20"/>
              </w:rPr>
              <w:t>TBC</w:t>
            </w:r>
          </w:p>
          <w:p w:rsidR="00494262" w:rsidRPr="00260CE3" w:rsidRDefault="00494262" w:rsidP="00804107">
            <w:pPr>
              <w:keepNext/>
              <w:widowControl/>
              <w:ind w:left="-108"/>
              <w:rPr>
                <w:rFonts w:ascii="Arial Narrow" w:hAnsi="Arial Narrow"/>
                <w:sz w:val="20"/>
              </w:rPr>
            </w:pPr>
            <w:r>
              <w:rPr>
                <w:rFonts w:ascii="Arial Narrow" w:hAnsi="Arial Narrow"/>
                <w:sz w:val="20"/>
              </w:rPr>
              <w:t>$TBC</w:t>
            </w:r>
          </w:p>
        </w:tc>
        <w:tc>
          <w:tcPr>
            <w:tcW w:w="1418" w:type="dxa"/>
          </w:tcPr>
          <w:p w:rsidR="00494262" w:rsidRDefault="00494262" w:rsidP="00804107">
            <w:pPr>
              <w:keepNext/>
              <w:widowControl/>
              <w:rPr>
                <w:rFonts w:ascii="Arial Narrow" w:hAnsi="Arial Narrow"/>
                <w:sz w:val="20"/>
              </w:rPr>
            </w:pPr>
            <w:r>
              <w:rPr>
                <w:rFonts w:ascii="Arial Narrow" w:hAnsi="Arial Narrow"/>
                <w:sz w:val="20"/>
              </w:rPr>
              <w:t>Onglyza</w:t>
            </w:r>
            <w:r w:rsidRPr="005E26D6">
              <w:rPr>
                <w:rFonts w:ascii="Arial Narrow" w:hAnsi="Arial Narrow"/>
                <w:sz w:val="20"/>
                <w:vertAlign w:val="superscript"/>
              </w:rPr>
              <w:t>®</w:t>
            </w:r>
          </w:p>
          <w:p w:rsidR="00494262" w:rsidRDefault="00494262" w:rsidP="00804107">
            <w:pPr>
              <w:keepNext/>
              <w:widowControl/>
              <w:rPr>
                <w:rFonts w:ascii="Arial Narrow" w:hAnsi="Arial Narrow"/>
                <w:sz w:val="20"/>
              </w:rPr>
            </w:pPr>
          </w:p>
          <w:p w:rsidR="00494262" w:rsidRPr="00260CE3" w:rsidRDefault="00494262" w:rsidP="00804107">
            <w:pPr>
              <w:keepNext/>
              <w:widowControl/>
              <w:rPr>
                <w:rFonts w:ascii="Arial Narrow" w:hAnsi="Arial Narrow"/>
                <w:sz w:val="20"/>
              </w:rPr>
            </w:pPr>
          </w:p>
        </w:tc>
        <w:tc>
          <w:tcPr>
            <w:tcW w:w="850" w:type="dxa"/>
          </w:tcPr>
          <w:p w:rsidR="00494262" w:rsidRDefault="00494262" w:rsidP="00804107">
            <w:pPr>
              <w:keepNext/>
              <w:widowControl/>
              <w:rPr>
                <w:rFonts w:ascii="Arial Narrow" w:hAnsi="Arial Narrow"/>
                <w:sz w:val="20"/>
              </w:rPr>
            </w:pPr>
            <w:r>
              <w:rPr>
                <w:rFonts w:ascii="Arial Narrow" w:hAnsi="Arial Narrow"/>
                <w:sz w:val="20"/>
              </w:rPr>
              <w:t>AZ</w:t>
            </w:r>
          </w:p>
          <w:p w:rsidR="00494262" w:rsidRPr="00260CE3" w:rsidRDefault="00494262" w:rsidP="00804107">
            <w:pPr>
              <w:keepNext/>
              <w:widowControl/>
              <w:rPr>
                <w:rFonts w:ascii="Arial Narrow" w:hAnsi="Arial Narrow"/>
                <w:sz w:val="20"/>
              </w:rPr>
            </w:pPr>
          </w:p>
        </w:tc>
      </w:tr>
      <w:tr w:rsidR="00494262" w:rsidRPr="00260CE3" w:rsidTr="00494262">
        <w:trPr>
          <w:cantSplit/>
        </w:trPr>
        <w:tc>
          <w:tcPr>
            <w:tcW w:w="2126" w:type="dxa"/>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b/>
                <w:sz w:val="20"/>
              </w:rPr>
            </w:pPr>
            <w:r w:rsidRPr="00260CE3">
              <w:rPr>
                <w:rFonts w:ascii="Arial Narrow" w:hAnsi="Arial Narrow"/>
                <w:b/>
                <w:sz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sz w:val="20"/>
              </w:rPr>
            </w:pPr>
            <w:r w:rsidRPr="00260CE3">
              <w:rPr>
                <w:rFonts w:ascii="Arial Narrow" w:hAnsi="Arial Narrow"/>
                <w:sz w:val="20"/>
              </w:rPr>
              <w:t>GENERAL – General Schedule (Code GE)</w:t>
            </w:r>
          </w:p>
        </w:tc>
      </w:tr>
      <w:tr w:rsidR="00494262" w:rsidRPr="00260CE3" w:rsidTr="00494262">
        <w:trPr>
          <w:cantSplit/>
        </w:trPr>
        <w:tc>
          <w:tcPr>
            <w:tcW w:w="2126" w:type="dxa"/>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b/>
                <w:sz w:val="20"/>
              </w:rPr>
            </w:pPr>
            <w:r w:rsidRPr="00260CE3">
              <w:rPr>
                <w:rFonts w:ascii="Arial Narrow" w:hAnsi="Arial Narrow"/>
                <w:b/>
                <w:sz w:val="20"/>
              </w:rPr>
              <w:t>Prescriber type</w:t>
            </w:r>
            <w:r>
              <w:rPr>
                <w:rFonts w:ascii="Arial Narrow" w:hAnsi="Arial Narrow"/>
                <w:b/>
                <w:sz w:val="20"/>
              </w:rPr>
              <w:t>:</w:t>
            </w:r>
          </w:p>
        </w:tc>
        <w:tc>
          <w:tcPr>
            <w:tcW w:w="6379" w:type="dxa"/>
            <w:gridSpan w:val="7"/>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sz w:val="20"/>
              </w:rPr>
            </w:pPr>
            <w:r w:rsidRPr="00D72941">
              <w:rPr>
                <w:rFonts w:ascii="Arial Narrow" w:hAnsi="Arial Narrow"/>
                <w:sz w:val="20"/>
              </w:rPr>
              <w:fldChar w:fldCharType="begin">
                <w:ffData>
                  <w:name w:val=""/>
                  <w:enabled/>
                  <w:calcOnExit w:val="0"/>
                  <w:checkBox>
                    <w:sizeAuto/>
                    <w:default w:val="1"/>
                  </w:checkBox>
                </w:ffData>
              </w:fldChar>
            </w:r>
            <w:r w:rsidRPr="00D72941">
              <w:rPr>
                <w:rFonts w:ascii="Arial Narrow" w:hAnsi="Arial Narrow"/>
                <w:sz w:val="20"/>
              </w:rPr>
              <w:instrText xml:space="preserve"> FORMCHECKBOX </w:instrText>
            </w:r>
            <w:r w:rsidR="002B6A1F">
              <w:rPr>
                <w:rFonts w:ascii="Arial Narrow" w:hAnsi="Arial Narrow"/>
                <w:sz w:val="20"/>
              </w:rPr>
            </w:r>
            <w:r w:rsidR="002B6A1F">
              <w:rPr>
                <w:rFonts w:ascii="Arial Narrow" w:hAnsi="Arial Narrow"/>
                <w:sz w:val="20"/>
              </w:rPr>
              <w:fldChar w:fldCharType="separate"/>
            </w:r>
            <w:r w:rsidRPr="00D72941">
              <w:rPr>
                <w:rFonts w:ascii="Arial Narrow" w:hAnsi="Arial Narrow"/>
                <w:sz w:val="20"/>
              </w:rPr>
              <w:fldChar w:fldCharType="end"/>
            </w:r>
            <w:r w:rsidRPr="00D72941">
              <w:rPr>
                <w:rFonts w:ascii="Arial Narrow" w:hAnsi="Arial Narrow"/>
                <w:sz w:val="20"/>
              </w:rPr>
              <w:t xml:space="preserve">Medical Practitioners  </w:t>
            </w:r>
            <w:r w:rsidRPr="00D72941">
              <w:rPr>
                <w:rFonts w:ascii="Arial Narrow" w:hAnsi="Arial Narrow"/>
                <w:sz w:val="20"/>
              </w:rPr>
              <w:fldChar w:fldCharType="begin">
                <w:ffData>
                  <w:name w:val="Check3"/>
                  <w:enabled/>
                  <w:calcOnExit w:val="0"/>
                  <w:checkBox>
                    <w:sizeAuto/>
                    <w:default w:val="1"/>
                  </w:checkBox>
                </w:ffData>
              </w:fldChar>
            </w:r>
            <w:bookmarkStart w:id="4" w:name="Check3"/>
            <w:r w:rsidRPr="00D72941">
              <w:rPr>
                <w:rFonts w:ascii="Arial Narrow" w:hAnsi="Arial Narrow"/>
                <w:sz w:val="20"/>
              </w:rPr>
              <w:instrText xml:space="preserve"> FORMCHECKBOX </w:instrText>
            </w:r>
            <w:r w:rsidR="002B6A1F">
              <w:rPr>
                <w:rFonts w:ascii="Arial Narrow" w:hAnsi="Arial Narrow"/>
                <w:sz w:val="20"/>
              </w:rPr>
            </w:r>
            <w:r w:rsidR="002B6A1F">
              <w:rPr>
                <w:rFonts w:ascii="Arial Narrow" w:hAnsi="Arial Narrow"/>
                <w:sz w:val="20"/>
              </w:rPr>
              <w:fldChar w:fldCharType="separate"/>
            </w:r>
            <w:r w:rsidRPr="00D72941">
              <w:rPr>
                <w:rFonts w:ascii="Arial Narrow" w:hAnsi="Arial Narrow"/>
                <w:sz w:val="20"/>
              </w:rPr>
              <w:fldChar w:fldCharType="end"/>
            </w:r>
            <w:bookmarkEnd w:id="4"/>
            <w:r w:rsidRPr="00D72941">
              <w:rPr>
                <w:rFonts w:ascii="Arial Narrow" w:hAnsi="Arial Narrow"/>
                <w:sz w:val="20"/>
              </w:rPr>
              <w:t xml:space="preserve">Nurse practitioners  </w:t>
            </w:r>
          </w:p>
        </w:tc>
      </w:tr>
      <w:tr w:rsidR="00494262" w:rsidRPr="00260CE3" w:rsidTr="00494262">
        <w:trPr>
          <w:cantSplit/>
        </w:trPr>
        <w:tc>
          <w:tcPr>
            <w:tcW w:w="2126" w:type="dxa"/>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b/>
                <w:sz w:val="20"/>
              </w:rPr>
            </w:pPr>
            <w:r w:rsidRPr="00260CE3">
              <w:rPr>
                <w:rFonts w:ascii="Arial Narrow" w:hAnsi="Arial Narrow"/>
                <w:b/>
                <w:sz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sz w:val="20"/>
              </w:rPr>
            </w:pPr>
            <w:r w:rsidRPr="00626736">
              <w:rPr>
                <w:rFonts w:ascii="Arial Narrow" w:hAnsi="Arial Narrow"/>
                <w:sz w:val="20"/>
              </w:rPr>
              <w:t xml:space="preserve">Diabetes mellitus type </w:t>
            </w:r>
            <w:r>
              <w:rPr>
                <w:rFonts w:ascii="Arial Narrow" w:hAnsi="Arial Narrow"/>
                <w:sz w:val="20"/>
              </w:rPr>
              <w:t>2</w:t>
            </w:r>
          </w:p>
        </w:tc>
      </w:tr>
      <w:tr w:rsidR="00494262" w:rsidRPr="00260CE3" w:rsidTr="00494262">
        <w:trPr>
          <w:cantSplit/>
        </w:trPr>
        <w:tc>
          <w:tcPr>
            <w:tcW w:w="2126" w:type="dxa"/>
            <w:tcBorders>
              <w:top w:val="single" w:sz="4" w:space="0" w:color="auto"/>
              <w:left w:val="single" w:sz="4" w:space="0" w:color="auto"/>
              <w:bottom w:val="single" w:sz="4" w:space="0" w:color="auto"/>
              <w:right w:val="single" w:sz="4" w:space="0" w:color="auto"/>
            </w:tcBorders>
          </w:tcPr>
          <w:p w:rsidR="00494262" w:rsidRPr="003E2182" w:rsidRDefault="00494262" w:rsidP="00804107">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7"/>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sz w:val="20"/>
              </w:rPr>
            </w:pPr>
            <w:r>
              <w:rPr>
                <w:rFonts w:ascii="Arial Narrow" w:hAnsi="Arial Narrow"/>
                <w:sz w:val="20"/>
              </w:rPr>
              <w:t>Authority required (Streamlined)</w:t>
            </w:r>
          </w:p>
        </w:tc>
      </w:tr>
      <w:tr w:rsidR="00494262" w:rsidRPr="00320096" w:rsidTr="0049426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b/>
                <w:sz w:val="20"/>
              </w:rPr>
            </w:pPr>
            <w:r w:rsidRPr="00260CE3">
              <w:rPr>
                <w:rFonts w:ascii="Arial Narrow" w:hAnsi="Arial Narrow"/>
                <w:b/>
                <w:sz w:val="20"/>
              </w:rPr>
              <w:t>Clinical criteria:</w:t>
            </w:r>
          </w:p>
          <w:p w:rsidR="00494262" w:rsidRPr="00260CE3" w:rsidRDefault="00494262" w:rsidP="00804107">
            <w:pPr>
              <w:widowControl/>
              <w:rPr>
                <w:rFonts w:ascii="Arial Narrow" w:hAnsi="Arial Narrow"/>
                <w:i/>
                <w:sz w:val="20"/>
              </w:rPr>
            </w:pPr>
          </w:p>
          <w:p w:rsidR="00494262" w:rsidRPr="00260CE3" w:rsidRDefault="00494262" w:rsidP="00804107">
            <w:pPr>
              <w:widowControl/>
              <w:rPr>
                <w:rFonts w:ascii="Arial Narrow" w:hAnsi="Arial Narrow"/>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494262" w:rsidRPr="00D72941" w:rsidRDefault="00494262" w:rsidP="00804107">
            <w:pPr>
              <w:pStyle w:val="TableText1"/>
              <w:spacing w:line="276" w:lineRule="auto"/>
              <w:rPr>
                <w:rFonts w:ascii="Arial Narrow" w:hAnsi="Arial Narrow"/>
              </w:rPr>
            </w:pPr>
            <w:r w:rsidRPr="00D72941">
              <w:rPr>
                <w:rFonts w:ascii="Arial Narrow" w:hAnsi="Arial Narrow"/>
              </w:rPr>
              <w:t xml:space="preserve">The treatment must be in combination with metformin, </w:t>
            </w:r>
          </w:p>
          <w:p w:rsidR="00494262" w:rsidRPr="00D72941" w:rsidRDefault="00494262" w:rsidP="00804107">
            <w:pPr>
              <w:pStyle w:val="TableText1"/>
              <w:spacing w:line="276" w:lineRule="auto"/>
              <w:rPr>
                <w:rFonts w:ascii="Arial Narrow" w:hAnsi="Arial Narrow"/>
              </w:rPr>
            </w:pPr>
            <w:r w:rsidRPr="00D72941">
              <w:rPr>
                <w:rFonts w:ascii="Arial Narrow" w:hAnsi="Arial Narrow"/>
              </w:rPr>
              <w:t>AND</w:t>
            </w:r>
          </w:p>
          <w:p w:rsidR="00494262" w:rsidRPr="00D72941" w:rsidRDefault="00494262" w:rsidP="00804107">
            <w:pPr>
              <w:pStyle w:val="TableText1"/>
              <w:spacing w:line="276" w:lineRule="auto"/>
              <w:rPr>
                <w:rFonts w:ascii="Arial Narrow" w:hAnsi="Arial Narrow"/>
              </w:rPr>
            </w:pPr>
            <w:r w:rsidRPr="00D72941">
              <w:rPr>
                <w:rFonts w:ascii="Arial Narrow" w:hAnsi="Arial Narrow"/>
              </w:rPr>
              <w:t>The treatment must be in combination with a sulfonylurea</w:t>
            </w:r>
          </w:p>
          <w:p w:rsidR="00494262" w:rsidRPr="00D72941" w:rsidRDefault="00494262" w:rsidP="00804107">
            <w:pPr>
              <w:pStyle w:val="TableText1"/>
              <w:spacing w:line="276" w:lineRule="auto"/>
              <w:rPr>
                <w:rFonts w:ascii="Arial Narrow" w:hAnsi="Arial Narrow"/>
              </w:rPr>
            </w:pPr>
            <w:r w:rsidRPr="00D72941">
              <w:rPr>
                <w:rFonts w:ascii="Arial Narrow" w:hAnsi="Arial Narrow"/>
              </w:rPr>
              <w:t>AND</w:t>
            </w:r>
          </w:p>
          <w:p w:rsidR="00494262" w:rsidRPr="00320096" w:rsidRDefault="00494262" w:rsidP="00804107">
            <w:pPr>
              <w:pStyle w:val="TableText1"/>
              <w:spacing w:line="276" w:lineRule="auto"/>
              <w:rPr>
                <w:rFonts w:ascii="Arial Narrow" w:hAnsi="Arial Narrow"/>
              </w:rPr>
            </w:pPr>
            <w:r w:rsidRPr="00D72941">
              <w:rPr>
                <w:rFonts w:ascii="Arial Narrow" w:hAnsi="Arial Narrow"/>
              </w:rPr>
              <w:t xml:space="preserve">Patient must have, or have had, a HbA1c measurement greater than 7% prior to the initiation of a dipeptidyl peptidase 4 inhibitor (gliptin), a thiazolidinedione (glitazone), a glucagon-like peptide-1 or a sodium-glucose co-transporter 2 (SGLT2) inhibitor despite treatment with maximally tolerated doses of metformin and a sulfonylurea; OR </w:t>
            </w:r>
          </w:p>
          <w:p w:rsidR="00494262" w:rsidRPr="00320096" w:rsidRDefault="00494262" w:rsidP="00804107">
            <w:pPr>
              <w:widowControl/>
              <w:rPr>
                <w:rFonts w:ascii="Arial Narrow" w:hAnsi="Arial Narrow"/>
                <w:sz w:val="20"/>
              </w:rPr>
            </w:pPr>
            <w:r w:rsidRPr="00320096">
              <w:rPr>
                <w:rFonts w:ascii="Arial Narrow" w:hAnsi="Arial Narrow"/>
                <w:sz w:val="20"/>
              </w:rPr>
              <w:t xml:space="preserve">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 maximally tolerated doses of metformin and a sulfonylurea. </w:t>
            </w:r>
          </w:p>
        </w:tc>
      </w:tr>
      <w:tr w:rsidR="00494262" w:rsidRPr="00260CE3" w:rsidTr="0049426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262" w:rsidRPr="00DC482C" w:rsidRDefault="00494262" w:rsidP="00804107">
            <w:pPr>
              <w:widowControl/>
              <w:rPr>
                <w:rFonts w:ascii="Arial Narrow" w:hAnsi="Arial Narrow"/>
                <w:b/>
                <w:sz w:val="20"/>
              </w:rPr>
            </w:pPr>
            <w:r w:rsidRPr="00260CE3">
              <w:rPr>
                <w:rFonts w:ascii="Arial Narrow" w:hAnsi="Arial Narrow"/>
                <w:b/>
                <w:sz w:val="20"/>
              </w:rPr>
              <w:lastRenderedPageBreak/>
              <w:t>Prescriber Instructions</w:t>
            </w:r>
          </w:p>
          <w:p w:rsidR="00494262" w:rsidRPr="00260CE3" w:rsidRDefault="00494262" w:rsidP="00804107">
            <w:pPr>
              <w:widowControl/>
              <w:rPr>
                <w:rFonts w:ascii="Arial Narrow" w:hAnsi="Arial Narrow"/>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494262" w:rsidRPr="00320096" w:rsidRDefault="00494262" w:rsidP="00804107">
            <w:pPr>
              <w:pStyle w:val="Table"/>
              <w:rPr>
                <w:rFonts w:ascii="Arial Narrow" w:hAnsi="Arial Narrow"/>
                <w:sz w:val="20"/>
                <w:szCs w:val="20"/>
              </w:rPr>
            </w:pPr>
            <w:r w:rsidRPr="00320096">
              <w:rPr>
                <w:rFonts w:ascii="Arial Narrow" w:hAnsi="Arial Narrow"/>
                <w:sz w:val="20"/>
                <w:szCs w:val="20"/>
              </w:rPr>
              <w:t xml:space="preserve">The date and level of the qualifying HbA1c measurement must be, or must have been, documented in the patient's medical records at the time treatment with a gliptin, a glitazone, a glucagon-like peptide-1 or a SGLT2 inhibitor is initiated. </w:t>
            </w:r>
          </w:p>
          <w:p w:rsidR="00494262" w:rsidRPr="00320096" w:rsidRDefault="00494262" w:rsidP="00804107">
            <w:pPr>
              <w:pStyle w:val="Table"/>
              <w:rPr>
                <w:rFonts w:ascii="Arial Narrow" w:hAnsi="Arial Narrow"/>
                <w:sz w:val="20"/>
                <w:szCs w:val="20"/>
              </w:rPr>
            </w:pPr>
          </w:p>
          <w:p w:rsidR="00494262" w:rsidRPr="00320096" w:rsidRDefault="00494262" w:rsidP="00804107">
            <w:pPr>
              <w:pStyle w:val="Table"/>
              <w:rPr>
                <w:rFonts w:ascii="Arial Narrow" w:hAnsi="Arial Narrow"/>
                <w:sz w:val="20"/>
                <w:szCs w:val="20"/>
              </w:rPr>
            </w:pPr>
            <w:r w:rsidRPr="00320096">
              <w:rPr>
                <w:rFonts w:ascii="Arial Narrow" w:hAnsi="Arial Narrow"/>
                <w:sz w:val="20"/>
                <w:szCs w:val="20"/>
              </w:rPr>
              <w:t xml:space="preserve">The HbA1c must be no more than 4 months old at the time treatment with a gliptin, a glitazone, a glucagon-like peptide-1 or a SGLT2 inhibitor was initiated. </w:t>
            </w:r>
          </w:p>
          <w:p w:rsidR="00494262" w:rsidRPr="00320096" w:rsidRDefault="00494262" w:rsidP="00804107">
            <w:pPr>
              <w:pStyle w:val="Table"/>
              <w:rPr>
                <w:rFonts w:ascii="Arial Narrow" w:hAnsi="Arial Narrow"/>
                <w:sz w:val="20"/>
                <w:szCs w:val="20"/>
              </w:rPr>
            </w:pPr>
          </w:p>
          <w:p w:rsidR="00494262" w:rsidRPr="00320096" w:rsidRDefault="00494262" w:rsidP="00804107">
            <w:pPr>
              <w:pStyle w:val="Table"/>
              <w:rPr>
                <w:rFonts w:ascii="Arial Narrow" w:hAnsi="Arial Narrow"/>
                <w:sz w:val="20"/>
                <w:szCs w:val="20"/>
              </w:rPr>
            </w:pPr>
            <w:r w:rsidRPr="00320096">
              <w:rPr>
                <w:rFonts w:ascii="Arial Narrow" w:hAnsi="Arial Narrow"/>
                <w:sz w:val="20"/>
                <w:szCs w:val="20"/>
              </w:rPr>
              <w:t>Blood glucose monitoring may be used as an alternative assessment to HbA1c levels in the following circumstances:</w:t>
            </w:r>
          </w:p>
          <w:p w:rsidR="00494262" w:rsidRPr="00320096" w:rsidRDefault="00494262" w:rsidP="00804107">
            <w:pPr>
              <w:pStyle w:val="Table"/>
              <w:rPr>
                <w:rFonts w:ascii="Arial Narrow" w:hAnsi="Arial Narrow"/>
                <w:sz w:val="20"/>
                <w:szCs w:val="20"/>
              </w:rPr>
            </w:pPr>
            <w:r w:rsidRPr="00320096">
              <w:rPr>
                <w:rFonts w:ascii="Arial Narrow" w:hAnsi="Arial Narrow"/>
                <w:sz w:val="20"/>
                <w:szCs w:val="20"/>
              </w:rPr>
              <w:t>a) A clinical condition with reduced red blood cell survival, including haemolytic anaemias and haemoglobinopathies; and/or</w:t>
            </w:r>
          </w:p>
          <w:p w:rsidR="00494262" w:rsidRPr="00320096" w:rsidRDefault="00494262" w:rsidP="00804107">
            <w:pPr>
              <w:pStyle w:val="Table"/>
              <w:rPr>
                <w:rFonts w:ascii="Arial Narrow" w:hAnsi="Arial Narrow"/>
                <w:sz w:val="20"/>
                <w:szCs w:val="20"/>
              </w:rPr>
            </w:pPr>
            <w:r w:rsidRPr="00320096">
              <w:rPr>
                <w:rFonts w:ascii="Arial Narrow" w:hAnsi="Arial Narrow"/>
                <w:sz w:val="20"/>
                <w:szCs w:val="20"/>
              </w:rPr>
              <w:t>b) Had red cell transfusion within the previous 3 months.</w:t>
            </w:r>
          </w:p>
          <w:p w:rsidR="00494262" w:rsidRPr="00320096" w:rsidRDefault="00494262" w:rsidP="00804107">
            <w:pPr>
              <w:pStyle w:val="Table"/>
              <w:rPr>
                <w:rFonts w:ascii="Arial Narrow" w:hAnsi="Arial Narrow"/>
                <w:sz w:val="20"/>
                <w:szCs w:val="20"/>
              </w:rPr>
            </w:pPr>
          </w:p>
          <w:p w:rsidR="00494262" w:rsidRDefault="00494262" w:rsidP="00804107">
            <w:pPr>
              <w:widowControl/>
              <w:rPr>
                <w:rFonts w:ascii="Arial Narrow" w:hAnsi="Arial Narrow"/>
                <w:sz w:val="20"/>
              </w:rPr>
            </w:pPr>
            <w:r w:rsidRPr="00320096">
              <w:rPr>
                <w:rFonts w:ascii="Arial Narrow" w:hAnsi="Arial Narrow"/>
                <w:sz w:val="20"/>
              </w:rPr>
              <w:t>The results of the blood glucose monitoring, which must be no more than 4 months old at the time of initiation of treatment with a gliptin, a glitazone, a glucagon-like peptide-1 or a SGLT2 inhibitor, must be documented in the patient's medical records.</w:t>
            </w:r>
          </w:p>
          <w:p w:rsidR="00494262" w:rsidRDefault="00494262" w:rsidP="00804107">
            <w:pPr>
              <w:widowControl/>
              <w:rPr>
                <w:rFonts w:ascii="Arial Narrow" w:hAnsi="Arial Narrow"/>
                <w:sz w:val="20"/>
              </w:rPr>
            </w:pPr>
          </w:p>
          <w:p w:rsidR="00494262" w:rsidRPr="009A701A" w:rsidRDefault="00494262" w:rsidP="00804107">
            <w:pPr>
              <w:widowControl/>
              <w:rPr>
                <w:rFonts w:ascii="Arial Narrow" w:hAnsi="Arial Narrow"/>
                <w:i/>
                <w:sz w:val="20"/>
              </w:rPr>
            </w:pPr>
            <w:r w:rsidRPr="009A701A">
              <w:rPr>
                <w:rFonts w:ascii="Arial Narrow" w:hAnsi="Arial Narrow"/>
                <w:i/>
                <w:sz w:val="20"/>
              </w:rPr>
              <w:t>A patient whose diabetes was previously demonstrated unable to be controlled with metformin or a sulfonylurea does not need to requalify on this criterion before being eligible for PBS-subsidi</w:t>
            </w:r>
            <w:r>
              <w:rPr>
                <w:rFonts w:ascii="Arial Narrow" w:hAnsi="Arial Narrow"/>
                <w:i/>
                <w:sz w:val="20"/>
              </w:rPr>
              <w:t>sed treatment with this drug.</w:t>
            </w:r>
          </w:p>
          <w:p w:rsidR="00494262" w:rsidRPr="00260CE3" w:rsidRDefault="00494262" w:rsidP="00804107">
            <w:pPr>
              <w:widowControl/>
              <w:rPr>
                <w:rFonts w:ascii="Arial Narrow" w:hAnsi="Arial Narrow"/>
                <w:sz w:val="20"/>
              </w:rPr>
            </w:pPr>
          </w:p>
        </w:tc>
      </w:tr>
      <w:tr w:rsidR="00494262" w:rsidRPr="00197A75" w:rsidTr="00494262">
        <w:trPr>
          <w:cantSplit/>
          <w:trHeight w:val="360"/>
        </w:trPr>
        <w:tc>
          <w:tcPr>
            <w:tcW w:w="2126" w:type="dxa"/>
            <w:tcBorders>
              <w:top w:val="single" w:sz="4" w:space="0" w:color="auto"/>
              <w:left w:val="single" w:sz="4" w:space="0" w:color="auto"/>
              <w:bottom w:val="single" w:sz="4" w:space="0" w:color="auto"/>
              <w:right w:val="single" w:sz="4" w:space="0" w:color="auto"/>
            </w:tcBorders>
          </w:tcPr>
          <w:p w:rsidR="00494262" w:rsidRPr="00260CE3" w:rsidRDefault="00494262" w:rsidP="00804107">
            <w:pPr>
              <w:widowControl/>
              <w:rPr>
                <w:rFonts w:ascii="Arial Narrow" w:hAnsi="Arial Narrow"/>
                <w:b/>
                <w:sz w:val="20"/>
              </w:rPr>
            </w:pPr>
            <w:r w:rsidRPr="00260CE3">
              <w:rPr>
                <w:rFonts w:ascii="Arial Narrow" w:hAnsi="Arial Narrow"/>
                <w:b/>
                <w:sz w:val="20"/>
              </w:rPr>
              <w:t>Administrative Advice</w:t>
            </w:r>
          </w:p>
          <w:p w:rsidR="00494262" w:rsidRPr="00260CE3" w:rsidRDefault="00494262" w:rsidP="00804107">
            <w:pPr>
              <w:widowControl/>
              <w:rPr>
                <w:rFonts w:ascii="Arial Narrow" w:hAnsi="Arial Narrow"/>
                <w:i/>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494262" w:rsidRPr="009A701A" w:rsidRDefault="00494262" w:rsidP="00804107">
            <w:pPr>
              <w:widowControl/>
              <w:rPr>
                <w:rFonts w:ascii="Arial Narrow" w:hAnsi="Arial Narrow"/>
                <w:b/>
                <w:i/>
                <w:color w:val="222222"/>
                <w:sz w:val="20"/>
                <w:u w:val="single"/>
                <w:shd w:val="clear" w:color="auto" w:fill="FFFFFF"/>
              </w:rPr>
            </w:pPr>
            <w:r w:rsidRPr="009A701A">
              <w:rPr>
                <w:rFonts w:ascii="Arial Narrow" w:hAnsi="Arial Narrow"/>
                <w:b/>
                <w:i/>
                <w:color w:val="222222"/>
                <w:sz w:val="20"/>
                <w:u w:val="single"/>
                <w:shd w:val="clear" w:color="auto" w:fill="FFFFFF"/>
              </w:rPr>
              <w:t>Note:</w:t>
            </w:r>
          </w:p>
          <w:p w:rsidR="00494262" w:rsidRPr="00494262" w:rsidRDefault="00494262" w:rsidP="00804107">
            <w:pPr>
              <w:widowControl/>
              <w:rPr>
                <w:rFonts w:ascii="Arial Narrow" w:hAnsi="Arial Narrow"/>
                <w:i/>
                <w:color w:val="222222"/>
                <w:sz w:val="20"/>
                <w:shd w:val="clear" w:color="auto" w:fill="FFFFFF"/>
              </w:rPr>
            </w:pPr>
            <w:r w:rsidRPr="00494262">
              <w:rPr>
                <w:rFonts w:ascii="Arial Narrow" w:hAnsi="Arial Narrow"/>
                <w:i/>
                <w:color w:val="222222"/>
                <w:sz w:val="20"/>
                <w:shd w:val="clear" w:color="auto" w:fill="FFFFFF"/>
              </w:rPr>
              <w:t xml:space="preserve">This drug is not PBS-subsidised for use as monotherapy or in combination with a thiazolidinedione (glitazone), </w:t>
            </w:r>
            <w:r w:rsidRPr="00494262">
              <w:rPr>
                <w:rFonts w:ascii="Arial Narrow" w:hAnsi="Arial Narrow"/>
                <w:i/>
                <w:sz w:val="20"/>
              </w:rPr>
              <w:t>a glucagon-like peptide-1 or an SGLT2 inhibitor.</w:t>
            </w:r>
          </w:p>
          <w:p w:rsidR="00494262" w:rsidRPr="00197A75" w:rsidRDefault="00494262" w:rsidP="00804107">
            <w:pPr>
              <w:widowControl/>
              <w:rPr>
                <w:rFonts w:ascii="Arial Narrow" w:hAnsi="Arial Narrow"/>
                <w:i/>
                <w:color w:val="222222"/>
                <w:sz w:val="20"/>
                <w:shd w:val="clear" w:color="auto" w:fill="FFFFFF"/>
              </w:rPr>
            </w:pPr>
          </w:p>
        </w:tc>
      </w:tr>
    </w:tbl>
    <w:p w:rsidR="00B60939" w:rsidRPr="00882085" w:rsidRDefault="00B60939" w:rsidP="00804107">
      <w:pPr>
        <w:widowControl/>
      </w:pPr>
    </w:p>
    <w:p w:rsidR="002C2775" w:rsidRDefault="00012BA6" w:rsidP="00804107">
      <w:pPr>
        <w:pStyle w:val="ListParagraph"/>
        <w:widowControl/>
        <w:numPr>
          <w:ilvl w:val="1"/>
          <w:numId w:val="5"/>
        </w:numPr>
        <w:rPr>
          <w:szCs w:val="22"/>
        </w:rPr>
      </w:pPr>
      <w:r w:rsidRPr="00012BA6">
        <w:rPr>
          <w:szCs w:val="22"/>
        </w:rPr>
        <w:t>The listing was requested on a cost minimisation basis compared to insulin glargine and exenatide</w:t>
      </w:r>
      <w:r>
        <w:rPr>
          <w:szCs w:val="22"/>
        </w:rPr>
        <w:t xml:space="preserve"> </w:t>
      </w:r>
      <w:r w:rsidRPr="00012BA6">
        <w:rPr>
          <w:szCs w:val="22"/>
        </w:rPr>
        <w:t>(including non-drug cost offsets)</w:t>
      </w:r>
      <w:r w:rsidR="00B60939" w:rsidRPr="00012BA6">
        <w:rPr>
          <w:szCs w:val="22"/>
        </w:rPr>
        <w:t>.</w:t>
      </w:r>
      <w:r>
        <w:rPr>
          <w:szCs w:val="22"/>
        </w:rPr>
        <w:t xml:space="preserve"> The submission request</w:t>
      </w:r>
      <w:r w:rsidR="00277F96">
        <w:rPr>
          <w:szCs w:val="22"/>
        </w:rPr>
        <w:t>ed</w:t>
      </w:r>
      <w:r>
        <w:rPr>
          <w:szCs w:val="22"/>
        </w:rPr>
        <w:t xml:space="preserve"> that the PBAC also consider list</w:t>
      </w:r>
      <w:r w:rsidR="00A4099D">
        <w:rPr>
          <w:szCs w:val="22"/>
        </w:rPr>
        <w:t>ing</w:t>
      </w:r>
      <w:r>
        <w:rPr>
          <w:szCs w:val="22"/>
        </w:rPr>
        <w:t xml:space="preserve"> the saxagliptin</w:t>
      </w:r>
      <w:r w:rsidR="00A4099D">
        <w:rPr>
          <w:szCs w:val="22"/>
        </w:rPr>
        <w:t>/metformin</w:t>
      </w:r>
      <w:r>
        <w:rPr>
          <w:szCs w:val="22"/>
        </w:rPr>
        <w:t xml:space="preserve"> fixed dose combination products</w:t>
      </w:r>
      <w:r w:rsidR="00FA597D">
        <w:rPr>
          <w:szCs w:val="22"/>
        </w:rPr>
        <w:t xml:space="preserve"> and provided a minor submission to t</w:t>
      </w:r>
      <w:r w:rsidR="003C5A8F">
        <w:rPr>
          <w:szCs w:val="22"/>
        </w:rPr>
        <w:t>hat effect (see agenda item 6.13</w:t>
      </w:r>
      <w:r w:rsidR="00FA597D">
        <w:rPr>
          <w:szCs w:val="22"/>
        </w:rPr>
        <w:t>)</w:t>
      </w:r>
      <w:r w:rsidR="0019040A">
        <w:rPr>
          <w:szCs w:val="22"/>
        </w:rPr>
        <w:t>.</w:t>
      </w:r>
    </w:p>
    <w:p w:rsidR="00971CC2" w:rsidRDefault="00971CC2" w:rsidP="00804107">
      <w:pPr>
        <w:pStyle w:val="ListParagraph"/>
        <w:widowControl/>
        <w:rPr>
          <w:szCs w:val="22"/>
        </w:rPr>
      </w:pPr>
    </w:p>
    <w:p w:rsidR="00971CC2" w:rsidRDefault="00971CC2" w:rsidP="00804107">
      <w:pPr>
        <w:pStyle w:val="ListParagraph"/>
        <w:widowControl/>
        <w:numPr>
          <w:ilvl w:val="1"/>
          <w:numId w:val="5"/>
        </w:numPr>
        <w:rPr>
          <w:szCs w:val="22"/>
        </w:rPr>
      </w:pPr>
      <w:r w:rsidRPr="005948C9">
        <w:rPr>
          <w:szCs w:val="22"/>
        </w:rPr>
        <w:t>The PSCR noted that if the PBAC considered that dapagliflozin was the appropriate comparator</w:t>
      </w:r>
      <w:r w:rsidR="00A67C3A" w:rsidRPr="005948C9">
        <w:rPr>
          <w:szCs w:val="22"/>
        </w:rPr>
        <w:t>, the listing is requested on a cost minimisation basis with dapagliflozin (excluding dapagliflozin’s cost offsets for urinary tract and genital infections).</w:t>
      </w:r>
    </w:p>
    <w:p w:rsidR="008068F6" w:rsidRPr="008068F6" w:rsidRDefault="008068F6" w:rsidP="00804107">
      <w:pPr>
        <w:pStyle w:val="ListParagraph"/>
        <w:widowControl/>
        <w:rPr>
          <w:szCs w:val="22"/>
        </w:rPr>
      </w:pPr>
    </w:p>
    <w:p w:rsidR="008068F6" w:rsidRPr="00BB7EC3" w:rsidRDefault="008068F6" w:rsidP="00804107">
      <w:pPr>
        <w:pStyle w:val="ListParagraph"/>
        <w:widowControl/>
        <w:ind w:left="709"/>
        <w:rPr>
          <w:i/>
          <w:szCs w:val="22"/>
        </w:rPr>
      </w:pPr>
      <w:r w:rsidRPr="00B05188">
        <w:rPr>
          <w:i/>
          <w:szCs w:val="22"/>
        </w:rPr>
        <w:t>For more detail on PBAC’s view, see section 7 “PBAC outcome”</w:t>
      </w:r>
    </w:p>
    <w:p w:rsidR="008068F6" w:rsidRPr="005948C9" w:rsidRDefault="008068F6" w:rsidP="00804107">
      <w:pPr>
        <w:pStyle w:val="ListParagraph"/>
        <w:widowControl/>
        <w:rPr>
          <w:szCs w:val="22"/>
        </w:rPr>
      </w:pPr>
    </w:p>
    <w:p w:rsidR="004E43B2" w:rsidRPr="00012BA6" w:rsidRDefault="004E43B2" w:rsidP="00804107">
      <w:pPr>
        <w:widowControl/>
      </w:pPr>
    </w:p>
    <w:p w:rsidR="00D300D5" w:rsidRPr="00407F2D" w:rsidRDefault="00B50DB8" w:rsidP="00804107">
      <w:pPr>
        <w:pStyle w:val="PBACHeading1"/>
        <w:keepNext/>
      </w:pPr>
      <w:bookmarkStart w:id="5" w:name="_Toc419207260"/>
      <w:r w:rsidRPr="00407F2D">
        <w:t>Background</w:t>
      </w:r>
      <w:bookmarkEnd w:id="5"/>
    </w:p>
    <w:p w:rsidR="00B60939" w:rsidRPr="00882085" w:rsidRDefault="00B60939" w:rsidP="00804107">
      <w:pPr>
        <w:keepNext/>
        <w:widowControl/>
        <w:rPr>
          <w:szCs w:val="22"/>
        </w:rPr>
      </w:pPr>
    </w:p>
    <w:p w:rsidR="00B60939" w:rsidRPr="00882085" w:rsidRDefault="00B60939" w:rsidP="00804107">
      <w:pPr>
        <w:pStyle w:val="ListParagraph"/>
        <w:widowControl/>
        <w:numPr>
          <w:ilvl w:val="1"/>
          <w:numId w:val="5"/>
        </w:numPr>
      </w:pPr>
      <w:r w:rsidRPr="003E18BE">
        <w:rPr>
          <w:b/>
          <w:szCs w:val="22"/>
        </w:rPr>
        <w:t>TGA status</w:t>
      </w:r>
      <w:r w:rsidR="007A134D" w:rsidRPr="003E18BE">
        <w:rPr>
          <w:b/>
          <w:szCs w:val="22"/>
        </w:rPr>
        <w:t xml:space="preserve"> </w:t>
      </w:r>
      <w:r w:rsidR="007A134D" w:rsidRPr="003E18BE">
        <w:rPr>
          <w:b/>
        </w:rPr>
        <w:t>at time of PBAC consideration</w:t>
      </w:r>
      <w:r w:rsidRPr="00DE535F">
        <w:rPr>
          <w:szCs w:val="22"/>
        </w:rPr>
        <w:t>:</w:t>
      </w:r>
      <w:r w:rsidRPr="00B50DB8">
        <w:rPr>
          <w:szCs w:val="22"/>
        </w:rPr>
        <w:t xml:space="preserve"> </w:t>
      </w:r>
      <w:r w:rsidR="00012BA6">
        <w:t>Saxagliptin (Onglyza</w:t>
      </w:r>
      <w:r w:rsidR="00012BA6" w:rsidRPr="00235061">
        <w:rPr>
          <w:vertAlign w:val="superscript"/>
        </w:rPr>
        <w:t>®</w:t>
      </w:r>
      <w:r w:rsidR="00012BA6">
        <w:t>) was first listed on the Australian Register of Therapeutic Goods in March 2011, and is currently approv</w:t>
      </w:r>
      <w:r w:rsidR="0019040A">
        <w:t xml:space="preserve">ed for use in </w:t>
      </w:r>
      <w:r w:rsidR="002D6D3A">
        <w:t>T2DM</w:t>
      </w:r>
      <w:r w:rsidR="00277F96">
        <w:t>:</w:t>
      </w:r>
      <w:r w:rsidR="0019040A">
        <w:t xml:space="preserve"> </w:t>
      </w:r>
      <w:r w:rsidR="0019040A" w:rsidRPr="0019040A">
        <w:t>as an adjunct to diet and exercise</w:t>
      </w:r>
      <w:r w:rsidR="0019040A">
        <w:t xml:space="preserve"> </w:t>
      </w:r>
      <w:r w:rsidR="0019040A" w:rsidRPr="00460B3D">
        <w:t xml:space="preserve">in </w:t>
      </w:r>
      <w:r w:rsidR="0019040A">
        <w:t xml:space="preserve">dual oral combination therapy </w:t>
      </w:r>
      <w:r w:rsidR="0019040A" w:rsidRPr="00460B3D">
        <w:t xml:space="preserve">with </w:t>
      </w:r>
      <w:r w:rsidR="002603C8">
        <w:t>MET</w:t>
      </w:r>
      <w:r w:rsidR="0019040A" w:rsidRPr="00460B3D">
        <w:t xml:space="preserve">, </w:t>
      </w:r>
      <w:r w:rsidR="0019040A" w:rsidRPr="00460B3D">
        <w:rPr>
          <w:u w:val="single"/>
        </w:rPr>
        <w:t>or</w:t>
      </w:r>
      <w:r w:rsidR="0019040A">
        <w:t xml:space="preserve"> </w:t>
      </w:r>
      <w:r w:rsidR="0019040A" w:rsidRPr="00460B3D">
        <w:t xml:space="preserve">a </w:t>
      </w:r>
      <w:r w:rsidR="002603C8">
        <w:t>SU</w:t>
      </w:r>
      <w:r w:rsidR="0019040A">
        <w:t xml:space="preserve">, </w:t>
      </w:r>
      <w:r w:rsidR="0019040A" w:rsidRPr="00460B3D">
        <w:rPr>
          <w:u w:val="single"/>
        </w:rPr>
        <w:t>or</w:t>
      </w:r>
      <w:r w:rsidR="0019040A">
        <w:t xml:space="preserve"> a thiazolidinedione</w:t>
      </w:r>
      <w:r w:rsidR="00277F96">
        <w:t>;</w:t>
      </w:r>
      <w:r w:rsidR="0019040A">
        <w:t xml:space="preserve"> in triple oral combination therapy with</w:t>
      </w:r>
      <w:r w:rsidR="0019040A" w:rsidRPr="00882085">
        <w:t xml:space="preserve"> </w:t>
      </w:r>
      <w:r w:rsidR="002603C8">
        <w:t>MET</w:t>
      </w:r>
      <w:r w:rsidR="002603C8" w:rsidRPr="00460B3D">
        <w:t xml:space="preserve"> </w:t>
      </w:r>
      <w:r w:rsidR="0019040A" w:rsidRPr="00460B3D">
        <w:rPr>
          <w:u w:val="single"/>
        </w:rPr>
        <w:t>and</w:t>
      </w:r>
      <w:r w:rsidR="0019040A">
        <w:t xml:space="preserve"> a </w:t>
      </w:r>
      <w:r w:rsidR="002603C8">
        <w:t>SU</w:t>
      </w:r>
      <w:r w:rsidR="00277F96">
        <w:t>;</w:t>
      </w:r>
      <w:r w:rsidR="0019040A">
        <w:t xml:space="preserve"> and in combination with insulin. </w:t>
      </w:r>
      <w:r w:rsidRPr="00882085">
        <w:t xml:space="preserve">At the time of PBAC consideration, </w:t>
      </w:r>
      <w:r w:rsidR="0019040A">
        <w:t>the TGA clinical evaluation and the ACPM resolution and minutes were available</w:t>
      </w:r>
      <w:r w:rsidRPr="00882085">
        <w:t>.</w:t>
      </w:r>
    </w:p>
    <w:p w:rsidR="00B60939" w:rsidRPr="00882085" w:rsidRDefault="00B60939" w:rsidP="00804107">
      <w:pPr>
        <w:pStyle w:val="ListParagraph"/>
        <w:widowControl/>
        <w:rPr>
          <w:szCs w:val="22"/>
        </w:rPr>
      </w:pPr>
    </w:p>
    <w:p w:rsidR="00A4099D" w:rsidRDefault="00A4099D" w:rsidP="00804107">
      <w:pPr>
        <w:pStyle w:val="ListParagraph"/>
        <w:widowControl/>
        <w:numPr>
          <w:ilvl w:val="1"/>
          <w:numId w:val="5"/>
        </w:numPr>
        <w:rPr>
          <w:szCs w:val="22"/>
        </w:rPr>
      </w:pPr>
      <w:r>
        <w:rPr>
          <w:szCs w:val="22"/>
        </w:rPr>
        <w:t>Saxagliptin was considered by the</w:t>
      </w:r>
      <w:r w:rsidRPr="00A4099D">
        <w:rPr>
          <w:szCs w:val="22"/>
        </w:rPr>
        <w:t xml:space="preserve"> PBAC </w:t>
      </w:r>
      <w:r>
        <w:rPr>
          <w:szCs w:val="22"/>
        </w:rPr>
        <w:t xml:space="preserve">at the </w:t>
      </w:r>
      <w:r w:rsidRPr="00A4099D">
        <w:rPr>
          <w:szCs w:val="22"/>
        </w:rPr>
        <w:t xml:space="preserve">March 2010 meeting, </w:t>
      </w:r>
      <w:r>
        <w:rPr>
          <w:szCs w:val="22"/>
        </w:rPr>
        <w:t>and</w:t>
      </w:r>
      <w:r w:rsidRPr="00A4099D">
        <w:rPr>
          <w:szCs w:val="22"/>
        </w:rPr>
        <w:t xml:space="preserve"> recommended </w:t>
      </w:r>
      <w:r>
        <w:rPr>
          <w:szCs w:val="22"/>
        </w:rPr>
        <w:t>for</w:t>
      </w:r>
      <w:r w:rsidRPr="00A4099D">
        <w:rPr>
          <w:szCs w:val="22"/>
        </w:rPr>
        <w:t xml:space="preserve"> listing as an Authority Required (STREAMLINED) benefit for the </w:t>
      </w:r>
      <w:r w:rsidRPr="00A4099D">
        <w:rPr>
          <w:szCs w:val="22"/>
        </w:rPr>
        <w:lastRenderedPageBreak/>
        <w:t xml:space="preserve">treatment of </w:t>
      </w:r>
      <w:r w:rsidR="002D6D3A">
        <w:rPr>
          <w:szCs w:val="22"/>
        </w:rPr>
        <w:t xml:space="preserve">T2DM </w:t>
      </w:r>
      <w:r w:rsidR="00277F96">
        <w:rPr>
          <w:szCs w:val="22"/>
        </w:rPr>
        <w:t>as</w:t>
      </w:r>
      <w:r>
        <w:rPr>
          <w:szCs w:val="22"/>
        </w:rPr>
        <w:t xml:space="preserve"> dual oral therapy </w:t>
      </w:r>
      <w:r w:rsidRPr="00A4099D">
        <w:rPr>
          <w:szCs w:val="22"/>
        </w:rPr>
        <w:t>wit</w:t>
      </w:r>
      <w:r>
        <w:rPr>
          <w:szCs w:val="22"/>
        </w:rPr>
        <w:t xml:space="preserve">h </w:t>
      </w:r>
      <w:r w:rsidR="002603C8">
        <w:rPr>
          <w:szCs w:val="22"/>
        </w:rPr>
        <w:t xml:space="preserve">MET </w:t>
      </w:r>
      <w:r>
        <w:rPr>
          <w:szCs w:val="22"/>
        </w:rPr>
        <w:t xml:space="preserve">or a </w:t>
      </w:r>
      <w:r w:rsidR="002603C8">
        <w:rPr>
          <w:szCs w:val="22"/>
        </w:rPr>
        <w:t>SU</w:t>
      </w:r>
      <w:r>
        <w:rPr>
          <w:szCs w:val="22"/>
        </w:rPr>
        <w:t xml:space="preserve">, </w:t>
      </w:r>
      <w:r w:rsidR="00277F96">
        <w:rPr>
          <w:szCs w:val="22"/>
        </w:rPr>
        <w:t>on</w:t>
      </w:r>
      <w:r>
        <w:rPr>
          <w:szCs w:val="22"/>
        </w:rPr>
        <w:t xml:space="preserve"> the basis of a</w:t>
      </w:r>
      <w:r w:rsidR="00277F96">
        <w:rPr>
          <w:szCs w:val="22"/>
        </w:rPr>
        <w:t xml:space="preserve"> </w:t>
      </w:r>
      <w:r>
        <w:rPr>
          <w:szCs w:val="22"/>
        </w:rPr>
        <w:t>cost minimisation analysis versus sitagliptin</w:t>
      </w:r>
      <w:r w:rsidRPr="00A4099D">
        <w:rPr>
          <w:szCs w:val="22"/>
        </w:rPr>
        <w:t>.</w:t>
      </w:r>
      <w:r>
        <w:rPr>
          <w:szCs w:val="22"/>
        </w:rPr>
        <w:t xml:space="preserve"> </w:t>
      </w:r>
    </w:p>
    <w:p w:rsidR="00A4099D" w:rsidRPr="00A4099D" w:rsidRDefault="00A4099D" w:rsidP="00804107">
      <w:pPr>
        <w:pStyle w:val="ListParagraph"/>
        <w:widowControl/>
        <w:rPr>
          <w:szCs w:val="22"/>
        </w:rPr>
      </w:pPr>
    </w:p>
    <w:p w:rsidR="00A4099D" w:rsidRPr="00B50DB8" w:rsidRDefault="00A4099D" w:rsidP="00804107">
      <w:pPr>
        <w:pStyle w:val="ListParagraph"/>
        <w:widowControl/>
        <w:numPr>
          <w:ilvl w:val="1"/>
          <w:numId w:val="5"/>
        </w:numPr>
        <w:rPr>
          <w:szCs w:val="22"/>
        </w:rPr>
      </w:pPr>
      <w:r>
        <w:rPr>
          <w:szCs w:val="22"/>
        </w:rPr>
        <w:t xml:space="preserve">Saxagliptin was also considered by the PBAC at the July 2012 meeting </w:t>
      </w:r>
      <w:r w:rsidR="00DC4E4F">
        <w:rPr>
          <w:szCs w:val="22"/>
        </w:rPr>
        <w:t>to</w:t>
      </w:r>
      <w:r>
        <w:rPr>
          <w:szCs w:val="22"/>
        </w:rPr>
        <w:t xml:space="preserve"> </w:t>
      </w:r>
      <w:r w:rsidR="00DC4E4F">
        <w:t xml:space="preserve">extend the existing Authority Required (Streamlined) listing to include treatment of patients with </w:t>
      </w:r>
      <w:r w:rsidR="002D6D3A">
        <w:t xml:space="preserve">T2DM </w:t>
      </w:r>
      <w:r w:rsidR="00DC4E4F">
        <w:t>in combination with insulin, but was rejected</w:t>
      </w:r>
      <w:r w:rsidR="00277F96">
        <w:rPr>
          <w:szCs w:val="22"/>
        </w:rPr>
        <w:t>.</w:t>
      </w:r>
    </w:p>
    <w:p w:rsidR="00A4099D" w:rsidRPr="00882085" w:rsidRDefault="00A4099D" w:rsidP="00804107">
      <w:pPr>
        <w:widowControl/>
      </w:pPr>
    </w:p>
    <w:p w:rsidR="002C2775" w:rsidRPr="00A67C3A" w:rsidRDefault="00012BA6" w:rsidP="00804107">
      <w:pPr>
        <w:pStyle w:val="ListParagraph"/>
        <w:widowControl/>
        <w:numPr>
          <w:ilvl w:val="1"/>
          <w:numId w:val="5"/>
        </w:numPr>
        <w:rPr>
          <w:szCs w:val="22"/>
        </w:rPr>
      </w:pPr>
      <w:r>
        <w:t xml:space="preserve">Saxagliptin (2.5mg and 5mg tablets) is currently listed on the PBS for dual oral therapy in combination with </w:t>
      </w:r>
      <w:r w:rsidR="002603C8">
        <w:t xml:space="preserve">MET </w:t>
      </w:r>
      <w:r>
        <w:t xml:space="preserve">or a </w:t>
      </w:r>
      <w:r w:rsidR="002603C8">
        <w:t>SU</w:t>
      </w:r>
      <w:r>
        <w:t xml:space="preserve"> in patients inadequately controlled on either </w:t>
      </w:r>
      <w:r w:rsidR="002603C8">
        <w:t>MET</w:t>
      </w:r>
      <w:r>
        <w:t xml:space="preserve"> or a </w:t>
      </w:r>
      <w:r w:rsidR="002603C8">
        <w:t>SU</w:t>
      </w:r>
      <w:r>
        <w:t xml:space="preserve"> alone. The fixed dose combinations with metformin (Kombiglyze</w:t>
      </w:r>
      <w:r w:rsidRPr="00235061">
        <w:rPr>
          <w:vertAlign w:val="superscript"/>
        </w:rPr>
        <w:t>®</w:t>
      </w:r>
      <w:r>
        <w:rPr>
          <w:vertAlign w:val="superscript"/>
        </w:rPr>
        <w:t xml:space="preserve"> </w:t>
      </w:r>
      <w:r>
        <w:t>XR, saxagliptin/metformin 2.5mg/1g, 5mg/500mg and 5mg/1g) are listed on the PBS for patients inadequately controlled on metformin alone.</w:t>
      </w:r>
    </w:p>
    <w:p w:rsidR="00A67C3A" w:rsidRPr="00A67C3A" w:rsidRDefault="00A67C3A" w:rsidP="00804107">
      <w:pPr>
        <w:pStyle w:val="ListParagraph"/>
        <w:widowControl/>
        <w:rPr>
          <w:i/>
          <w:szCs w:val="22"/>
        </w:rPr>
      </w:pPr>
    </w:p>
    <w:p w:rsidR="00A67C3A" w:rsidRPr="005948C9" w:rsidRDefault="00A67C3A" w:rsidP="00804107">
      <w:pPr>
        <w:pStyle w:val="ListParagraph"/>
        <w:widowControl/>
        <w:numPr>
          <w:ilvl w:val="1"/>
          <w:numId w:val="5"/>
        </w:numPr>
        <w:rPr>
          <w:szCs w:val="22"/>
        </w:rPr>
      </w:pPr>
      <w:r w:rsidRPr="005948C9">
        <w:rPr>
          <w:szCs w:val="22"/>
        </w:rPr>
        <w:t>The PBAC recommended extending the PBS listing of dapagliflozin for</w:t>
      </w:r>
      <w:r w:rsidRPr="005948C9">
        <w:t xml:space="preserve"> patients with </w:t>
      </w:r>
      <w:r w:rsidR="002D6D3A">
        <w:t xml:space="preserve">T2DM </w:t>
      </w:r>
      <w:r w:rsidRPr="005948C9">
        <w:t>in combination with MET + SU on a cost analysis basis compared with insulin</w:t>
      </w:r>
      <w:r w:rsidR="003E18BE">
        <w:t xml:space="preserve"> (including drug acquisition costs and costs of healthcare resource consumption)</w:t>
      </w:r>
      <w:r w:rsidRPr="005948C9">
        <w:t>.</w:t>
      </w:r>
    </w:p>
    <w:p w:rsidR="00A4099D" w:rsidRDefault="00A4099D" w:rsidP="00804107">
      <w:pPr>
        <w:pStyle w:val="ListParagraph"/>
        <w:widowControl/>
        <w:rPr>
          <w:szCs w:val="22"/>
        </w:rPr>
      </w:pPr>
    </w:p>
    <w:p w:rsidR="008B5BC1" w:rsidRPr="00A4099D" w:rsidRDefault="008B5BC1" w:rsidP="00804107">
      <w:pPr>
        <w:pStyle w:val="ListParagraph"/>
        <w:widowControl/>
        <w:rPr>
          <w:szCs w:val="22"/>
        </w:rPr>
      </w:pPr>
    </w:p>
    <w:p w:rsidR="00B50DB8" w:rsidRPr="00407F2D" w:rsidRDefault="00B50DB8" w:rsidP="00804107">
      <w:pPr>
        <w:pStyle w:val="PBACHeading1"/>
      </w:pPr>
      <w:bookmarkStart w:id="6" w:name="_Toc419207261"/>
      <w:r w:rsidRPr="00407F2D">
        <w:t>Clinical place for the proposed therapy</w:t>
      </w:r>
      <w:bookmarkEnd w:id="6"/>
    </w:p>
    <w:p w:rsidR="00B60939" w:rsidRPr="00882085" w:rsidRDefault="00B60939" w:rsidP="00804107">
      <w:pPr>
        <w:widowControl/>
        <w:rPr>
          <w:szCs w:val="22"/>
        </w:rPr>
      </w:pPr>
    </w:p>
    <w:p w:rsidR="00046B1F" w:rsidRDefault="002D6D3A" w:rsidP="00804107">
      <w:pPr>
        <w:pStyle w:val="ListParagraph"/>
        <w:widowControl/>
        <w:numPr>
          <w:ilvl w:val="1"/>
          <w:numId w:val="5"/>
        </w:numPr>
        <w:rPr>
          <w:szCs w:val="22"/>
        </w:rPr>
      </w:pPr>
      <w:r>
        <w:rPr>
          <w:szCs w:val="22"/>
        </w:rPr>
        <w:t xml:space="preserve">T2DM </w:t>
      </w:r>
      <w:r w:rsidR="00553166" w:rsidRPr="00EF064D">
        <w:rPr>
          <w:szCs w:val="22"/>
        </w:rPr>
        <w:t>is a chronic disease characterised by hyperglycaemia</w:t>
      </w:r>
      <w:r w:rsidR="00553166">
        <w:rPr>
          <w:szCs w:val="22"/>
        </w:rPr>
        <w:t xml:space="preserve"> and multiple long term co-morbidities</w:t>
      </w:r>
      <w:r w:rsidR="00553166" w:rsidRPr="00EF064D">
        <w:rPr>
          <w:szCs w:val="22"/>
        </w:rPr>
        <w:t xml:space="preserve">. Diet </w:t>
      </w:r>
      <w:r w:rsidR="00553166">
        <w:rPr>
          <w:szCs w:val="22"/>
        </w:rPr>
        <w:t xml:space="preserve">control </w:t>
      </w:r>
      <w:r w:rsidR="00553166" w:rsidRPr="00EF064D">
        <w:rPr>
          <w:szCs w:val="22"/>
        </w:rPr>
        <w:t xml:space="preserve">and exercise are the first steps in managing the disease, followed by the addition of </w:t>
      </w:r>
      <w:r w:rsidR="002603C8">
        <w:rPr>
          <w:szCs w:val="22"/>
        </w:rPr>
        <w:t>MET</w:t>
      </w:r>
      <w:r w:rsidR="00553166" w:rsidRPr="00EF064D">
        <w:rPr>
          <w:szCs w:val="22"/>
        </w:rPr>
        <w:t xml:space="preserve">. </w:t>
      </w:r>
      <w:r w:rsidR="00553166">
        <w:rPr>
          <w:szCs w:val="22"/>
        </w:rPr>
        <w:t>If blood glucose control is not achieved</w:t>
      </w:r>
      <w:r w:rsidR="00553166" w:rsidRPr="001A4A3A">
        <w:rPr>
          <w:szCs w:val="22"/>
        </w:rPr>
        <w:t xml:space="preserve">, treatment guidelines recommend adding a </w:t>
      </w:r>
      <w:r w:rsidR="002603C8">
        <w:rPr>
          <w:szCs w:val="22"/>
        </w:rPr>
        <w:t>SU</w:t>
      </w:r>
      <w:r w:rsidR="00553166">
        <w:rPr>
          <w:szCs w:val="22"/>
        </w:rPr>
        <w:t xml:space="preserve">, another oral diabetes medicine, a </w:t>
      </w:r>
      <w:r w:rsidR="00553166" w:rsidRPr="00EF064D">
        <w:rPr>
          <w:szCs w:val="22"/>
        </w:rPr>
        <w:t>glucagon like peptide 1 (GLP-1)</w:t>
      </w:r>
      <w:r w:rsidR="00553166">
        <w:rPr>
          <w:szCs w:val="22"/>
        </w:rPr>
        <w:t xml:space="preserve"> </w:t>
      </w:r>
      <w:r w:rsidR="00046B1F" w:rsidRPr="00EF064D">
        <w:rPr>
          <w:szCs w:val="22"/>
        </w:rPr>
        <w:t>receptor agonist</w:t>
      </w:r>
      <w:r w:rsidR="00046B1F">
        <w:rPr>
          <w:szCs w:val="22"/>
        </w:rPr>
        <w:t xml:space="preserve"> </w:t>
      </w:r>
      <w:r w:rsidR="00553166">
        <w:rPr>
          <w:szCs w:val="22"/>
        </w:rPr>
        <w:t xml:space="preserve">or insulin. </w:t>
      </w:r>
      <w:r w:rsidR="00553166" w:rsidRPr="00EF064D">
        <w:rPr>
          <w:szCs w:val="22"/>
        </w:rPr>
        <w:t xml:space="preserve">If dual therapy </w:t>
      </w:r>
      <w:r w:rsidR="00553166">
        <w:rPr>
          <w:szCs w:val="22"/>
        </w:rPr>
        <w:t>does not achieve control</w:t>
      </w:r>
      <w:r w:rsidR="00553166" w:rsidRPr="00EF064D">
        <w:rPr>
          <w:szCs w:val="22"/>
        </w:rPr>
        <w:t xml:space="preserve">, </w:t>
      </w:r>
      <w:r w:rsidR="00553166" w:rsidRPr="001A4A3A">
        <w:rPr>
          <w:szCs w:val="22"/>
        </w:rPr>
        <w:t xml:space="preserve">treatment guidelines recommend adding </w:t>
      </w:r>
      <w:r w:rsidR="00553166">
        <w:rPr>
          <w:szCs w:val="22"/>
        </w:rPr>
        <w:t>a third diabetes m</w:t>
      </w:r>
      <w:r w:rsidR="00046B1F">
        <w:rPr>
          <w:szCs w:val="22"/>
        </w:rPr>
        <w:t>edicine.</w:t>
      </w:r>
      <w:r w:rsidR="00553166">
        <w:rPr>
          <w:szCs w:val="22"/>
        </w:rPr>
        <w:t xml:space="preserve"> </w:t>
      </w:r>
    </w:p>
    <w:p w:rsidR="00046B1F" w:rsidRPr="00046B1F" w:rsidRDefault="00046B1F" w:rsidP="00804107">
      <w:pPr>
        <w:widowControl/>
        <w:rPr>
          <w:szCs w:val="22"/>
        </w:rPr>
      </w:pPr>
    </w:p>
    <w:p w:rsidR="00553166" w:rsidRPr="00EF064D" w:rsidRDefault="00046B1F" w:rsidP="00804107">
      <w:pPr>
        <w:pStyle w:val="ListParagraph"/>
        <w:widowControl/>
        <w:numPr>
          <w:ilvl w:val="1"/>
          <w:numId w:val="5"/>
        </w:numPr>
        <w:rPr>
          <w:szCs w:val="22"/>
        </w:rPr>
      </w:pPr>
      <w:r>
        <w:rPr>
          <w:szCs w:val="22"/>
        </w:rPr>
        <w:t xml:space="preserve">The submission proposed that saxagliptin be listed </w:t>
      </w:r>
      <w:r w:rsidR="00FA597D">
        <w:rPr>
          <w:szCs w:val="22"/>
        </w:rPr>
        <w:t>for</w:t>
      </w:r>
      <w:r>
        <w:rPr>
          <w:szCs w:val="22"/>
        </w:rPr>
        <w:t xml:space="preserve"> triple </w:t>
      </w:r>
      <w:r w:rsidR="00FA597D">
        <w:rPr>
          <w:szCs w:val="22"/>
        </w:rPr>
        <w:t xml:space="preserve">oral </w:t>
      </w:r>
      <w:r>
        <w:rPr>
          <w:szCs w:val="22"/>
        </w:rPr>
        <w:t xml:space="preserve">therapy, in combination with </w:t>
      </w:r>
      <w:r w:rsidR="002603C8">
        <w:rPr>
          <w:szCs w:val="22"/>
        </w:rPr>
        <w:t>MET</w:t>
      </w:r>
      <w:r>
        <w:rPr>
          <w:szCs w:val="22"/>
        </w:rPr>
        <w:t xml:space="preserve"> and a </w:t>
      </w:r>
      <w:r w:rsidR="002603C8">
        <w:rPr>
          <w:szCs w:val="22"/>
        </w:rPr>
        <w:t>SU</w:t>
      </w:r>
      <w:r>
        <w:rPr>
          <w:szCs w:val="22"/>
        </w:rPr>
        <w:t xml:space="preserve">. </w:t>
      </w:r>
      <w:r w:rsidR="00553166" w:rsidRPr="00EF064D">
        <w:rPr>
          <w:szCs w:val="22"/>
        </w:rPr>
        <w:t xml:space="preserve">Other options include GLP-1 receptor agonists, </w:t>
      </w:r>
      <w:r w:rsidR="007A4094">
        <w:rPr>
          <w:szCs w:val="22"/>
        </w:rPr>
        <w:t xml:space="preserve">other </w:t>
      </w:r>
      <w:r w:rsidR="00553166" w:rsidRPr="00EF064D">
        <w:rPr>
          <w:szCs w:val="22"/>
        </w:rPr>
        <w:t>DPP-4 inhibitors</w:t>
      </w:r>
      <w:r w:rsidR="007A4094">
        <w:rPr>
          <w:szCs w:val="22"/>
        </w:rPr>
        <w:t xml:space="preserve"> (‘gliptins’)</w:t>
      </w:r>
      <w:r w:rsidR="00553166" w:rsidRPr="00EF064D">
        <w:rPr>
          <w:szCs w:val="22"/>
        </w:rPr>
        <w:t>, thiazolidinediones (‘glitazones’) or acarbose.</w:t>
      </w:r>
    </w:p>
    <w:p w:rsidR="00E55BB5" w:rsidRDefault="00E55BB5" w:rsidP="00804107">
      <w:pPr>
        <w:pStyle w:val="Header"/>
        <w:widowControl/>
        <w:rPr>
          <w:szCs w:val="22"/>
        </w:rPr>
      </w:pPr>
    </w:p>
    <w:p w:rsidR="008B5BC1" w:rsidRPr="00882085" w:rsidRDefault="008B5BC1" w:rsidP="00804107">
      <w:pPr>
        <w:pStyle w:val="Header"/>
        <w:widowControl/>
        <w:rPr>
          <w:szCs w:val="22"/>
        </w:rPr>
      </w:pPr>
    </w:p>
    <w:p w:rsidR="00C135A0" w:rsidRPr="00407F2D" w:rsidRDefault="00C135A0" w:rsidP="00804107">
      <w:pPr>
        <w:pStyle w:val="PBACHeading1"/>
      </w:pPr>
      <w:bookmarkStart w:id="7" w:name="_Toc419207262"/>
      <w:r>
        <w:t>Comparator</w:t>
      </w:r>
      <w:bookmarkEnd w:id="7"/>
    </w:p>
    <w:p w:rsidR="00B60939" w:rsidRPr="00882085" w:rsidRDefault="00B60939" w:rsidP="00804107">
      <w:pPr>
        <w:widowControl/>
      </w:pPr>
    </w:p>
    <w:p w:rsidR="002C2775" w:rsidRPr="00D02EC2" w:rsidRDefault="00046B1F" w:rsidP="00804107">
      <w:pPr>
        <w:pStyle w:val="ListParagraph"/>
        <w:widowControl/>
        <w:numPr>
          <w:ilvl w:val="1"/>
          <w:numId w:val="5"/>
        </w:numPr>
        <w:rPr>
          <w:i/>
          <w:szCs w:val="22"/>
        </w:rPr>
      </w:pPr>
      <w:r w:rsidRPr="00046B1F">
        <w:t>Insulin glargine as the main comparator and exenatide as a secondary comparator.</w:t>
      </w:r>
      <w:r w:rsidR="00F067A2" w:rsidRPr="00046B1F">
        <w:t xml:space="preserve">  </w:t>
      </w:r>
      <w:r w:rsidRPr="007D07D1">
        <w:t xml:space="preserve">These </w:t>
      </w:r>
      <w:r w:rsidR="005927B3" w:rsidRPr="007D07D1">
        <w:t>we</w:t>
      </w:r>
      <w:r w:rsidRPr="007D07D1">
        <w:t>re</w:t>
      </w:r>
      <w:r w:rsidR="00F067A2" w:rsidRPr="007D07D1">
        <w:t xml:space="preserve"> appropriate comparator</w:t>
      </w:r>
      <w:r w:rsidRPr="007D07D1">
        <w:t>s</w:t>
      </w:r>
      <w:r w:rsidR="00F067A2" w:rsidRPr="007D07D1">
        <w:t xml:space="preserve">. </w:t>
      </w:r>
      <w:r w:rsidRPr="007D07D1">
        <w:t xml:space="preserve">However, dapagliflozin was recommended for triple </w:t>
      </w:r>
      <w:r w:rsidR="00FA597D" w:rsidRPr="007D07D1">
        <w:t xml:space="preserve">oral </w:t>
      </w:r>
      <w:r w:rsidRPr="007D07D1">
        <w:t>therapy at the March 2015 meeting and may be a more appropriate main comparator.</w:t>
      </w:r>
      <w:r w:rsidR="00D02EC2">
        <w:t xml:space="preserve"> </w:t>
      </w:r>
      <w:r w:rsidR="00F24124" w:rsidRPr="005948C9">
        <w:t>The ESC agreed that dapagliflozin is the appropriate main comparator.</w:t>
      </w:r>
      <w:r w:rsidR="005E039B" w:rsidRPr="005948C9">
        <w:t xml:space="preserve"> The </w:t>
      </w:r>
      <w:r w:rsidR="00C83A88">
        <w:t>Pre-PBAC Response</w:t>
      </w:r>
      <w:r w:rsidR="005E039B" w:rsidRPr="005948C9">
        <w:t xml:space="preserve"> stated </w:t>
      </w:r>
      <w:r w:rsidR="00C83A88">
        <w:t xml:space="preserve">that the sponsor is comfortable with dapagliflozin as the main comparator. </w:t>
      </w:r>
    </w:p>
    <w:p w:rsidR="00B60939" w:rsidRDefault="00B60939" w:rsidP="00804107">
      <w:pPr>
        <w:widowControl/>
        <w:rPr>
          <w:szCs w:val="22"/>
        </w:rPr>
      </w:pPr>
    </w:p>
    <w:p w:rsidR="008068F6" w:rsidRPr="00BB7EC3" w:rsidRDefault="008068F6" w:rsidP="00804107">
      <w:pPr>
        <w:pStyle w:val="ListParagraph"/>
        <w:widowControl/>
        <w:ind w:left="709"/>
        <w:rPr>
          <w:i/>
          <w:szCs w:val="22"/>
        </w:rPr>
      </w:pPr>
      <w:r w:rsidRPr="002C0AB5">
        <w:rPr>
          <w:i/>
          <w:szCs w:val="22"/>
        </w:rPr>
        <w:t>For more detail on PBAC’s view, see section 7 “PBAC outcome”</w:t>
      </w:r>
    </w:p>
    <w:p w:rsidR="008B5BC1" w:rsidRDefault="008B5BC1" w:rsidP="00804107">
      <w:pPr>
        <w:widowControl/>
        <w:rPr>
          <w:szCs w:val="22"/>
        </w:rPr>
      </w:pPr>
    </w:p>
    <w:p w:rsidR="00BD17A2" w:rsidRPr="00046B1F" w:rsidRDefault="00BD17A2" w:rsidP="00804107">
      <w:pPr>
        <w:widowControl/>
        <w:rPr>
          <w:szCs w:val="22"/>
        </w:rPr>
      </w:pPr>
    </w:p>
    <w:p w:rsidR="00B50DB8" w:rsidRPr="00407F2D" w:rsidRDefault="00BD6CF3" w:rsidP="00804107">
      <w:pPr>
        <w:pStyle w:val="PBACHeading1"/>
      </w:pPr>
      <w:bookmarkStart w:id="8" w:name="_Toc419207263"/>
      <w:r>
        <w:t>C</w:t>
      </w:r>
      <w:r w:rsidR="00B50DB8" w:rsidRPr="00407F2D">
        <w:t>onsideration of the evidence</w:t>
      </w:r>
      <w:bookmarkEnd w:id="8"/>
    </w:p>
    <w:p w:rsidR="00B60939" w:rsidRDefault="00B60939" w:rsidP="00804107">
      <w:pPr>
        <w:widowControl/>
      </w:pPr>
    </w:p>
    <w:p w:rsidR="00CD6E5C" w:rsidRPr="00CD6E5C" w:rsidRDefault="00CD6E5C" w:rsidP="00804107">
      <w:pPr>
        <w:widowControl/>
        <w:spacing w:after="200" w:line="276" w:lineRule="auto"/>
        <w:rPr>
          <w:b/>
          <w:bCs/>
          <w:i/>
          <w:szCs w:val="22"/>
        </w:rPr>
      </w:pPr>
      <w:r w:rsidRPr="00CD6E5C">
        <w:rPr>
          <w:b/>
          <w:bCs/>
          <w:i/>
          <w:szCs w:val="22"/>
        </w:rPr>
        <w:t>Sponsor hearing</w:t>
      </w:r>
    </w:p>
    <w:p w:rsidR="00CD6E5C" w:rsidRPr="00CD6E5C" w:rsidRDefault="00CD6E5C" w:rsidP="00804107">
      <w:pPr>
        <w:widowControl/>
        <w:numPr>
          <w:ilvl w:val="1"/>
          <w:numId w:val="5"/>
        </w:numPr>
        <w:contextualSpacing/>
        <w:rPr>
          <w:bCs/>
          <w:szCs w:val="22"/>
        </w:rPr>
      </w:pPr>
      <w:r w:rsidRPr="00CD6E5C">
        <w:rPr>
          <w:bCs/>
          <w:szCs w:val="22"/>
        </w:rPr>
        <w:t>Ther</w:t>
      </w:r>
      <w:r>
        <w:rPr>
          <w:bCs/>
          <w:szCs w:val="22"/>
        </w:rPr>
        <w:t>e was no hearing for this item.</w:t>
      </w:r>
    </w:p>
    <w:p w:rsidR="008068F6" w:rsidRPr="005E5D57" w:rsidRDefault="008068F6" w:rsidP="00804107">
      <w:pPr>
        <w:widowControl/>
        <w:rPr>
          <w:bCs/>
          <w:szCs w:val="22"/>
          <w:highlight w:val="yellow"/>
        </w:rPr>
      </w:pPr>
    </w:p>
    <w:p w:rsidR="008068F6" w:rsidRDefault="008068F6" w:rsidP="00804107">
      <w:pPr>
        <w:keepNext/>
        <w:widowControl/>
        <w:spacing w:after="200" w:line="276" w:lineRule="auto"/>
        <w:rPr>
          <w:b/>
          <w:bCs/>
          <w:i/>
          <w:szCs w:val="22"/>
        </w:rPr>
      </w:pPr>
      <w:r w:rsidRPr="00FC4202">
        <w:rPr>
          <w:b/>
          <w:bCs/>
          <w:i/>
          <w:szCs w:val="22"/>
        </w:rPr>
        <w:lastRenderedPageBreak/>
        <w:t>Consumer comments</w:t>
      </w:r>
    </w:p>
    <w:p w:rsidR="00CD6E5C" w:rsidRPr="00C22422" w:rsidRDefault="00CD6E5C" w:rsidP="00804107">
      <w:pPr>
        <w:widowControl/>
        <w:numPr>
          <w:ilvl w:val="1"/>
          <w:numId w:val="5"/>
        </w:numPr>
        <w:contextualSpacing/>
        <w:rPr>
          <w:bCs/>
          <w:szCs w:val="22"/>
        </w:rPr>
      </w:pPr>
      <w:r w:rsidRPr="00C22422">
        <w:rPr>
          <w:bCs/>
          <w:szCs w:val="22"/>
        </w:rPr>
        <w:t xml:space="preserve">The PBAC noted and welcomed the input from </w:t>
      </w:r>
      <w:r w:rsidR="00BA4F6D">
        <w:rPr>
          <w:bCs/>
          <w:szCs w:val="22"/>
        </w:rPr>
        <w:t xml:space="preserve">a </w:t>
      </w:r>
      <w:r w:rsidRPr="00C22422">
        <w:rPr>
          <w:bCs/>
          <w:szCs w:val="22"/>
        </w:rPr>
        <w:t>health care professional (1) via the Consumer Comments facility on the PBS website.  The comment described the benefits of listing saxagliptin for triple oral therapy, including the availability of an additional treatment before considering insulin and better compliance and outcomes for patients with poorly controlled diabetes.</w:t>
      </w:r>
    </w:p>
    <w:p w:rsidR="008068F6" w:rsidRPr="00882085" w:rsidRDefault="008068F6" w:rsidP="00804107">
      <w:pPr>
        <w:widowControl/>
      </w:pPr>
    </w:p>
    <w:p w:rsidR="00B60939" w:rsidRPr="002C2775" w:rsidRDefault="00B60939" w:rsidP="00804107">
      <w:pPr>
        <w:pStyle w:val="Heading2"/>
        <w:widowControl/>
        <w:rPr>
          <w:i/>
        </w:rPr>
      </w:pPr>
      <w:bookmarkStart w:id="9" w:name="_Toc419207264"/>
      <w:r w:rsidRPr="002C2775">
        <w:rPr>
          <w:i/>
        </w:rPr>
        <w:t>Clinical trials</w:t>
      </w:r>
      <w:bookmarkEnd w:id="9"/>
    </w:p>
    <w:p w:rsidR="00B60939" w:rsidRPr="00882085" w:rsidRDefault="00B60939" w:rsidP="00804107">
      <w:pPr>
        <w:widowControl/>
        <w:rPr>
          <w:szCs w:val="22"/>
        </w:rPr>
      </w:pPr>
    </w:p>
    <w:p w:rsidR="006B21B9" w:rsidRPr="006B21B9" w:rsidRDefault="00862502" w:rsidP="00804107">
      <w:pPr>
        <w:pStyle w:val="ListParagraph"/>
        <w:widowControl/>
        <w:numPr>
          <w:ilvl w:val="1"/>
          <w:numId w:val="5"/>
        </w:numPr>
        <w:rPr>
          <w:szCs w:val="22"/>
        </w:rPr>
      </w:pPr>
      <w:r w:rsidRPr="00862502">
        <w:t xml:space="preserve">The submission </w:t>
      </w:r>
      <w:r w:rsidR="005927B3">
        <w:t>wa</w:t>
      </w:r>
      <w:r w:rsidRPr="00862502">
        <w:t xml:space="preserve">s based on </w:t>
      </w:r>
      <w:r w:rsidR="00732EA1">
        <w:t>two</w:t>
      </w:r>
      <w:r w:rsidR="006B21B9">
        <w:t xml:space="preserve"> indirect comparisons</w:t>
      </w:r>
      <w:r w:rsidR="00732EA1">
        <w:t xml:space="preserve"> with insulin glargine and exenatide, and a third supporting comparison with dapagliflozin</w:t>
      </w:r>
      <w:r w:rsidR="006B21B9">
        <w:t>:</w:t>
      </w:r>
    </w:p>
    <w:p w:rsidR="006B21B9" w:rsidRDefault="006B21B9" w:rsidP="00804107">
      <w:pPr>
        <w:pStyle w:val="ListParagraph"/>
        <w:widowControl/>
        <w:numPr>
          <w:ilvl w:val="0"/>
          <w:numId w:val="8"/>
        </w:numPr>
        <w:ind w:left="1134"/>
      </w:pPr>
      <w:r>
        <w:t>Saxagliptin +MET+SU (Trial D006) vs insulin glargine +MET+SU (</w:t>
      </w:r>
      <w:r w:rsidR="00876566" w:rsidRPr="00876566">
        <w:t>Russell-Jones 2009</w:t>
      </w:r>
      <w:r>
        <w:t>), placebo +MET+SU as common comparator;</w:t>
      </w:r>
    </w:p>
    <w:p w:rsidR="006B21B9" w:rsidRDefault="006B21B9" w:rsidP="00804107">
      <w:pPr>
        <w:pStyle w:val="ListParagraph"/>
        <w:widowControl/>
        <w:numPr>
          <w:ilvl w:val="0"/>
          <w:numId w:val="8"/>
        </w:numPr>
        <w:ind w:left="1134"/>
      </w:pPr>
      <w:r>
        <w:t xml:space="preserve">Saxagliptin +MET+SU (Trial D006) vs exenatide 5ug +MET+SU and exenatide 10ug +MET+SU (Trial 115), placebo +MET+SU as common comparator; and </w:t>
      </w:r>
    </w:p>
    <w:p w:rsidR="006B21B9" w:rsidRDefault="006B21B9" w:rsidP="00804107">
      <w:pPr>
        <w:pStyle w:val="ListParagraph"/>
        <w:widowControl/>
        <w:numPr>
          <w:ilvl w:val="0"/>
          <w:numId w:val="8"/>
        </w:numPr>
        <w:ind w:left="1134"/>
      </w:pPr>
      <w:r>
        <w:t>Saxagliptin +MET+SU (Trial D006) vs dapagliflozin +MET+SU (Matthaei 2015), placebo +MET+SU as common comparator.</w:t>
      </w:r>
    </w:p>
    <w:p w:rsidR="00862502" w:rsidRPr="006B21B9" w:rsidRDefault="00862502" w:rsidP="00804107">
      <w:pPr>
        <w:widowControl/>
      </w:pPr>
    </w:p>
    <w:p w:rsidR="00862502" w:rsidRPr="00B50DB8" w:rsidRDefault="00862502" w:rsidP="00804107">
      <w:pPr>
        <w:pStyle w:val="ListParagraph"/>
        <w:widowControl/>
        <w:numPr>
          <w:ilvl w:val="1"/>
          <w:numId w:val="5"/>
        </w:numPr>
        <w:rPr>
          <w:szCs w:val="22"/>
        </w:rPr>
      </w:pPr>
      <w:r w:rsidRPr="00B50DB8">
        <w:rPr>
          <w:szCs w:val="22"/>
        </w:rPr>
        <w:t>Details of the trials presented in the submission ar</w:t>
      </w:r>
      <w:r w:rsidR="006F1CA5">
        <w:rPr>
          <w:szCs w:val="22"/>
        </w:rPr>
        <w:t xml:space="preserve">e provided in </w:t>
      </w:r>
      <w:r w:rsidR="00CB5E1D">
        <w:rPr>
          <w:szCs w:val="22"/>
        </w:rPr>
        <w:t>Table 1</w:t>
      </w:r>
      <w:r w:rsidR="006B21B9">
        <w:rPr>
          <w:szCs w:val="22"/>
        </w:rPr>
        <w:t xml:space="preserve">. </w:t>
      </w:r>
    </w:p>
    <w:p w:rsidR="00862502" w:rsidRPr="00862502" w:rsidRDefault="00862502" w:rsidP="00804107">
      <w:pPr>
        <w:widowControl/>
        <w:rPr>
          <w:szCs w:val="22"/>
        </w:rPr>
      </w:pPr>
    </w:p>
    <w:p w:rsidR="003731C2" w:rsidRPr="00D75C70" w:rsidRDefault="00CB5E1D" w:rsidP="00804107">
      <w:pPr>
        <w:keepNext/>
        <w:widowControl/>
        <w:ind w:left="709"/>
        <w:rPr>
          <w:rFonts w:ascii="Arial Narrow" w:hAnsi="Arial Narrow"/>
          <w:b/>
          <w:sz w:val="20"/>
          <w:szCs w:val="16"/>
        </w:rPr>
      </w:pPr>
      <w:r>
        <w:rPr>
          <w:rFonts w:ascii="Arial Narrow" w:hAnsi="Arial Narrow"/>
          <w:b/>
          <w:sz w:val="20"/>
          <w:szCs w:val="16"/>
        </w:rPr>
        <w:t xml:space="preserve">Table 1: </w:t>
      </w:r>
      <w:r w:rsidR="003731C2" w:rsidRPr="00D75C70">
        <w:rPr>
          <w:rFonts w:ascii="Arial Narrow" w:hAnsi="Arial Narrow"/>
          <w:b/>
          <w:sz w:val="20"/>
          <w:szCs w:val="16"/>
        </w:rPr>
        <w:t>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6"/>
        <w:gridCol w:w="5386"/>
        <w:gridCol w:w="1701"/>
      </w:tblGrid>
      <w:tr w:rsidR="003731C2" w:rsidRPr="00D75C70" w:rsidTr="00BD17A2">
        <w:trPr>
          <w:tblHeader/>
        </w:trPr>
        <w:tc>
          <w:tcPr>
            <w:tcW w:w="763" w:type="pct"/>
          </w:tcPr>
          <w:p w:rsidR="003731C2" w:rsidRPr="00D75C70" w:rsidRDefault="003731C2" w:rsidP="00804107">
            <w:pPr>
              <w:keepNext/>
              <w:widowControl/>
              <w:jc w:val="left"/>
              <w:rPr>
                <w:rFonts w:ascii="Arial Narrow" w:hAnsi="Arial Narrow"/>
                <w:b/>
                <w:sz w:val="20"/>
              </w:rPr>
            </w:pPr>
            <w:r w:rsidRPr="00D75C70">
              <w:rPr>
                <w:rFonts w:ascii="Arial Narrow" w:hAnsi="Arial Narrow"/>
                <w:b/>
                <w:sz w:val="20"/>
              </w:rPr>
              <w:t>Trial ID</w:t>
            </w:r>
          </w:p>
        </w:tc>
        <w:tc>
          <w:tcPr>
            <w:tcW w:w="3220" w:type="pct"/>
          </w:tcPr>
          <w:p w:rsidR="003731C2" w:rsidRPr="00D75C70" w:rsidRDefault="003731C2" w:rsidP="00804107">
            <w:pPr>
              <w:keepNext/>
              <w:widowControl/>
              <w:jc w:val="center"/>
              <w:rPr>
                <w:rFonts w:ascii="Arial Narrow" w:hAnsi="Arial Narrow"/>
                <w:b/>
                <w:sz w:val="20"/>
              </w:rPr>
            </w:pPr>
            <w:r w:rsidRPr="00D75C70">
              <w:rPr>
                <w:rFonts w:ascii="Arial Narrow" w:hAnsi="Arial Narrow"/>
                <w:b/>
                <w:sz w:val="20"/>
              </w:rPr>
              <w:t>Protocol title/ Publication title</w:t>
            </w:r>
          </w:p>
        </w:tc>
        <w:tc>
          <w:tcPr>
            <w:tcW w:w="1017" w:type="pct"/>
          </w:tcPr>
          <w:p w:rsidR="003731C2" w:rsidRPr="00D75C70" w:rsidRDefault="003731C2" w:rsidP="00804107">
            <w:pPr>
              <w:keepNext/>
              <w:widowControl/>
              <w:jc w:val="center"/>
              <w:rPr>
                <w:rFonts w:ascii="Arial Narrow" w:hAnsi="Arial Narrow"/>
                <w:b/>
                <w:sz w:val="20"/>
              </w:rPr>
            </w:pPr>
            <w:r w:rsidRPr="00D75C70">
              <w:rPr>
                <w:rFonts w:ascii="Arial Narrow" w:hAnsi="Arial Narrow"/>
                <w:b/>
                <w:sz w:val="20"/>
              </w:rPr>
              <w:t>Publication citation</w:t>
            </w:r>
          </w:p>
        </w:tc>
      </w:tr>
      <w:tr w:rsidR="003731C2" w:rsidRPr="00D75C70" w:rsidTr="00BD17A2">
        <w:tc>
          <w:tcPr>
            <w:tcW w:w="5000" w:type="pct"/>
            <w:gridSpan w:val="3"/>
          </w:tcPr>
          <w:p w:rsidR="003731C2" w:rsidRPr="00D75C70" w:rsidRDefault="003731C2" w:rsidP="00804107">
            <w:pPr>
              <w:keepNext/>
              <w:widowControl/>
              <w:jc w:val="left"/>
              <w:rPr>
                <w:rFonts w:ascii="Arial Narrow" w:hAnsi="Arial Narrow"/>
                <w:b/>
                <w:sz w:val="20"/>
              </w:rPr>
            </w:pPr>
            <w:r>
              <w:rPr>
                <w:rFonts w:ascii="Arial Narrow" w:hAnsi="Arial Narrow"/>
                <w:b/>
                <w:sz w:val="20"/>
              </w:rPr>
              <w:t>Saxagliptin vs</w:t>
            </w:r>
            <w:r w:rsidRPr="00D75C70">
              <w:rPr>
                <w:rFonts w:ascii="Arial Narrow" w:hAnsi="Arial Narrow"/>
                <w:b/>
                <w:sz w:val="20"/>
              </w:rPr>
              <w:t xml:space="preserve"> placebo</w:t>
            </w:r>
            <w:r>
              <w:rPr>
                <w:rFonts w:ascii="Arial Narrow" w:hAnsi="Arial Narrow"/>
                <w:b/>
                <w:sz w:val="20"/>
              </w:rPr>
              <w:t xml:space="preserve"> (metformin + sulfonylurea background)</w:t>
            </w:r>
          </w:p>
        </w:tc>
      </w:tr>
      <w:tr w:rsidR="003731C2" w:rsidRPr="00D75C70" w:rsidTr="00BD17A2">
        <w:trPr>
          <w:trHeight w:val="1128"/>
        </w:trPr>
        <w:tc>
          <w:tcPr>
            <w:tcW w:w="763" w:type="pct"/>
            <w:vMerge w:val="restart"/>
          </w:tcPr>
          <w:p w:rsidR="003731C2" w:rsidRPr="00D75C70" w:rsidRDefault="003731C2" w:rsidP="00804107">
            <w:pPr>
              <w:keepNext/>
              <w:widowControl/>
              <w:rPr>
                <w:rFonts w:ascii="Arial Narrow" w:hAnsi="Arial Narrow" w:cs="Arial Narrow"/>
                <w:snapToGrid/>
                <w:sz w:val="20"/>
              </w:rPr>
            </w:pPr>
            <w:r w:rsidRPr="00D75C70">
              <w:rPr>
                <w:rFonts w:ascii="Arial Narrow" w:hAnsi="Arial Narrow" w:cs="Arial Narrow"/>
                <w:snapToGrid/>
                <w:sz w:val="20"/>
              </w:rPr>
              <w:t xml:space="preserve">Trial </w:t>
            </w:r>
            <w:r>
              <w:rPr>
                <w:rFonts w:ascii="Arial Narrow" w:hAnsi="Arial Narrow" w:cs="Arial Narrow"/>
                <w:snapToGrid/>
                <w:sz w:val="20"/>
              </w:rPr>
              <w:t>D006</w:t>
            </w:r>
          </w:p>
          <w:p w:rsidR="003731C2" w:rsidRPr="00D75C70" w:rsidRDefault="003731C2" w:rsidP="00804107">
            <w:pPr>
              <w:keepNext/>
              <w:widowControl/>
              <w:jc w:val="left"/>
              <w:rPr>
                <w:rFonts w:ascii="Arial Narrow" w:hAnsi="Arial Narrow"/>
                <w:sz w:val="20"/>
              </w:rPr>
            </w:pPr>
          </w:p>
        </w:tc>
        <w:tc>
          <w:tcPr>
            <w:tcW w:w="3220" w:type="pct"/>
            <w:tcBorders>
              <w:bottom w:val="nil"/>
            </w:tcBorders>
          </w:tcPr>
          <w:p w:rsidR="003731C2" w:rsidRPr="00D75C70" w:rsidRDefault="003731C2" w:rsidP="00804107">
            <w:pPr>
              <w:keepNext/>
              <w:widowControl/>
              <w:jc w:val="left"/>
              <w:rPr>
                <w:rFonts w:ascii="Arial Narrow" w:hAnsi="Arial Narrow" w:cs="Arial Narrow"/>
                <w:snapToGrid/>
                <w:sz w:val="20"/>
              </w:rPr>
            </w:pPr>
            <w:r w:rsidRPr="00D75C70">
              <w:rPr>
                <w:rFonts w:ascii="Arial Narrow" w:hAnsi="Arial Narrow" w:cs="Arial Narrow"/>
                <w:snapToGrid/>
                <w:sz w:val="20"/>
              </w:rPr>
              <w:t>A 24</w:t>
            </w:r>
            <w:r>
              <w:rPr>
                <w:rFonts w:ascii="Arial Narrow" w:hAnsi="Arial Narrow" w:cs="Arial Narrow"/>
                <w:snapToGrid/>
                <w:sz w:val="20"/>
              </w:rPr>
              <w:t xml:space="preserve"> </w:t>
            </w:r>
            <w:r w:rsidRPr="00D75C70">
              <w:rPr>
                <w:rFonts w:ascii="Arial Narrow" w:hAnsi="Arial Narrow" w:cs="Arial Narrow"/>
                <w:snapToGrid/>
                <w:sz w:val="20"/>
              </w:rPr>
              <w:t>week, multicentre, randomised, double-blind, placebo-controlled, international phase III</w:t>
            </w:r>
            <w:r>
              <w:rPr>
                <w:rFonts w:ascii="Arial Narrow" w:hAnsi="Arial Narrow" w:cs="Arial Narrow"/>
                <w:snapToGrid/>
                <w:sz w:val="20"/>
              </w:rPr>
              <w:t>b</w:t>
            </w:r>
            <w:r w:rsidRPr="00D75C70">
              <w:rPr>
                <w:rFonts w:ascii="Arial Narrow" w:hAnsi="Arial Narrow" w:cs="Arial Narrow"/>
                <w:snapToGrid/>
                <w:sz w:val="20"/>
              </w:rPr>
              <w:t xml:space="preserve"> </w:t>
            </w:r>
            <w:r w:rsidR="008D1EC3">
              <w:rPr>
                <w:rFonts w:ascii="Arial Narrow" w:hAnsi="Arial Narrow" w:cs="Arial Narrow"/>
                <w:snapToGrid/>
                <w:sz w:val="20"/>
              </w:rPr>
              <w:t xml:space="preserve">to evaluate 5mg saxagliptin vs placebo </w:t>
            </w:r>
            <w:r w:rsidRPr="00D75C70">
              <w:rPr>
                <w:rFonts w:ascii="Arial Narrow" w:hAnsi="Arial Narrow" w:cs="Arial Narrow"/>
                <w:snapToGrid/>
                <w:sz w:val="20"/>
              </w:rPr>
              <w:t>in patients with Type 2 diabetes who have inadequate glycaemic control on a background combination of metformin and sulfonylurea. Report for the 24-week short-term treatment period.</w:t>
            </w:r>
            <w:r>
              <w:rPr>
                <w:rFonts w:ascii="Arial Narrow" w:hAnsi="Arial Narrow" w:cs="Arial Narrow"/>
                <w:snapToGrid/>
                <w:sz w:val="20"/>
              </w:rPr>
              <w:t xml:space="preserve"> NCT01128153; D1680L00006.</w:t>
            </w:r>
          </w:p>
        </w:tc>
        <w:tc>
          <w:tcPr>
            <w:tcW w:w="1017" w:type="pct"/>
            <w:tcBorders>
              <w:bottom w:val="nil"/>
            </w:tcBorders>
          </w:tcPr>
          <w:p w:rsidR="003731C2" w:rsidRPr="00D75C70" w:rsidRDefault="003731C2" w:rsidP="00804107">
            <w:pPr>
              <w:keepNext/>
              <w:widowControl/>
              <w:jc w:val="left"/>
              <w:rPr>
                <w:rFonts w:ascii="Arial Narrow" w:hAnsi="Arial Narrow" w:cs="Arial Narrow"/>
                <w:snapToGrid/>
                <w:sz w:val="20"/>
              </w:rPr>
            </w:pPr>
            <w:r w:rsidRPr="00D75C70">
              <w:rPr>
                <w:rFonts w:ascii="Arial Narrow" w:hAnsi="Arial Narrow" w:cs="Arial Narrow"/>
                <w:snapToGrid/>
                <w:sz w:val="20"/>
              </w:rPr>
              <w:t>18 July 2013</w:t>
            </w:r>
            <w:r>
              <w:rPr>
                <w:rFonts w:ascii="Arial Narrow" w:hAnsi="Arial Narrow" w:cs="Arial Narrow"/>
                <w:snapToGrid/>
                <w:sz w:val="20"/>
              </w:rPr>
              <w:t>.</w:t>
            </w:r>
          </w:p>
        </w:tc>
      </w:tr>
      <w:tr w:rsidR="003731C2" w:rsidRPr="00D75C70" w:rsidTr="00BD17A2">
        <w:trPr>
          <w:trHeight w:val="60"/>
        </w:trPr>
        <w:tc>
          <w:tcPr>
            <w:tcW w:w="763" w:type="pct"/>
            <w:vMerge/>
          </w:tcPr>
          <w:p w:rsidR="003731C2" w:rsidRPr="00D75C70" w:rsidRDefault="003731C2" w:rsidP="00804107">
            <w:pPr>
              <w:keepNext/>
              <w:widowControl/>
              <w:rPr>
                <w:rFonts w:ascii="Arial Narrow" w:hAnsi="Arial Narrow" w:cs="Arial Narrow"/>
                <w:snapToGrid/>
                <w:sz w:val="20"/>
              </w:rPr>
            </w:pPr>
          </w:p>
        </w:tc>
        <w:tc>
          <w:tcPr>
            <w:tcW w:w="3220" w:type="pct"/>
            <w:tcBorders>
              <w:top w:val="nil"/>
            </w:tcBorders>
          </w:tcPr>
          <w:p w:rsidR="003731C2" w:rsidRPr="00D75C70" w:rsidRDefault="003731C2" w:rsidP="00804107">
            <w:pPr>
              <w:keepNext/>
              <w:widowControl/>
              <w:ind w:left="-6"/>
              <w:jc w:val="left"/>
              <w:rPr>
                <w:rFonts w:ascii="Arial Narrow" w:hAnsi="Arial Narrow" w:cs="Arial Narrow"/>
                <w:snapToGrid/>
                <w:sz w:val="20"/>
              </w:rPr>
            </w:pPr>
            <w:r>
              <w:rPr>
                <w:rFonts w:ascii="Arial Narrow" w:hAnsi="Arial Narrow" w:cs="Arial Narrow"/>
                <w:snapToGrid/>
                <w:sz w:val="20"/>
              </w:rPr>
              <w:t xml:space="preserve">Moses et al. (2014) </w:t>
            </w:r>
            <w:r w:rsidRPr="005E1471">
              <w:rPr>
                <w:rFonts w:ascii="Arial Narrow" w:hAnsi="Arial Narrow" w:cs="Arial Narrow"/>
                <w:snapToGrid/>
                <w:sz w:val="20"/>
              </w:rPr>
              <w:t>A randomized controlled trial of the efficacy and safety of saxagliptin as add-on therapy in patients with type 2 diabetes and inadequate glycaemic control on metformin plus a sulphonylurea</w:t>
            </w:r>
            <w:r>
              <w:rPr>
                <w:rFonts w:ascii="Arial Narrow" w:hAnsi="Arial Narrow" w:cs="Arial Narrow"/>
                <w:snapToGrid/>
                <w:sz w:val="20"/>
              </w:rPr>
              <w:t>.</w:t>
            </w:r>
          </w:p>
        </w:tc>
        <w:tc>
          <w:tcPr>
            <w:tcW w:w="1017" w:type="pct"/>
            <w:tcBorders>
              <w:top w:val="nil"/>
            </w:tcBorders>
          </w:tcPr>
          <w:p w:rsidR="003731C2" w:rsidRPr="00D75C70" w:rsidRDefault="003731C2" w:rsidP="00804107">
            <w:pPr>
              <w:keepNext/>
              <w:widowControl/>
              <w:jc w:val="left"/>
              <w:rPr>
                <w:rFonts w:ascii="Arial Narrow" w:hAnsi="Arial Narrow"/>
                <w:sz w:val="20"/>
              </w:rPr>
            </w:pPr>
            <w:r w:rsidRPr="005E1471">
              <w:rPr>
                <w:rFonts w:ascii="Arial Narrow" w:hAnsi="Arial Narrow"/>
                <w:i/>
                <w:sz w:val="20"/>
              </w:rPr>
              <w:t>Diabetes, Obesity and metabolism</w:t>
            </w:r>
            <w:r>
              <w:rPr>
                <w:rFonts w:ascii="Arial Narrow" w:hAnsi="Arial Narrow"/>
                <w:sz w:val="20"/>
              </w:rPr>
              <w:t xml:space="preserve"> </w:t>
            </w:r>
            <w:r w:rsidRPr="00D75C70">
              <w:rPr>
                <w:rFonts w:ascii="Arial Narrow" w:hAnsi="Arial Narrow"/>
                <w:sz w:val="20"/>
              </w:rPr>
              <w:t>2014</w:t>
            </w:r>
            <w:r>
              <w:rPr>
                <w:rFonts w:ascii="Arial Narrow" w:hAnsi="Arial Narrow"/>
                <w:sz w:val="20"/>
              </w:rPr>
              <w:t>;</w:t>
            </w:r>
            <w:r w:rsidRPr="00D75C70">
              <w:rPr>
                <w:rFonts w:ascii="Arial Narrow" w:hAnsi="Arial Narrow"/>
                <w:sz w:val="20"/>
              </w:rPr>
              <w:t xml:space="preserve"> </w:t>
            </w:r>
            <w:r>
              <w:rPr>
                <w:rFonts w:ascii="Arial Narrow" w:hAnsi="Arial Narrow"/>
                <w:sz w:val="20"/>
              </w:rPr>
              <w:t>16</w:t>
            </w:r>
            <w:r w:rsidRPr="00D75C70">
              <w:rPr>
                <w:rFonts w:ascii="Arial Narrow" w:hAnsi="Arial Narrow"/>
                <w:sz w:val="20"/>
              </w:rPr>
              <w:t xml:space="preserve">: </w:t>
            </w:r>
            <w:r>
              <w:rPr>
                <w:rFonts w:ascii="Arial Narrow" w:hAnsi="Arial Narrow"/>
                <w:sz w:val="20"/>
              </w:rPr>
              <w:t>443</w:t>
            </w:r>
            <w:r w:rsidRPr="00D75C70">
              <w:rPr>
                <w:rFonts w:ascii="Arial Narrow" w:hAnsi="Arial Narrow"/>
                <w:sz w:val="20"/>
              </w:rPr>
              <w:t>-</w:t>
            </w:r>
            <w:r>
              <w:rPr>
                <w:rFonts w:ascii="Arial Narrow" w:hAnsi="Arial Narrow"/>
                <w:sz w:val="20"/>
              </w:rPr>
              <w:t>450.</w:t>
            </w:r>
          </w:p>
        </w:tc>
      </w:tr>
      <w:tr w:rsidR="003731C2" w:rsidRPr="00D75C70" w:rsidTr="00BD17A2">
        <w:trPr>
          <w:trHeight w:val="58"/>
        </w:trPr>
        <w:tc>
          <w:tcPr>
            <w:tcW w:w="5000" w:type="pct"/>
            <w:gridSpan w:val="3"/>
          </w:tcPr>
          <w:p w:rsidR="003731C2" w:rsidRPr="00D75C70" w:rsidRDefault="003731C2" w:rsidP="00804107">
            <w:pPr>
              <w:keepNext/>
              <w:keepLines/>
              <w:widowControl/>
              <w:jc w:val="left"/>
              <w:rPr>
                <w:rFonts w:ascii="Arial Narrow" w:hAnsi="Arial Narrow" w:cs="Arial Narrow"/>
                <w:b/>
                <w:snapToGrid/>
                <w:sz w:val="20"/>
              </w:rPr>
            </w:pPr>
            <w:r>
              <w:rPr>
                <w:rFonts w:ascii="Arial Narrow" w:hAnsi="Arial Narrow" w:cs="Arial Narrow"/>
                <w:b/>
                <w:snapToGrid/>
                <w:sz w:val="20"/>
              </w:rPr>
              <w:t>Insulin glargine vs placebo</w:t>
            </w:r>
            <w:r w:rsidRPr="00D75C70">
              <w:rPr>
                <w:rFonts w:ascii="Arial Narrow" w:hAnsi="Arial Narrow" w:cs="Arial Narrow"/>
                <w:b/>
                <w:snapToGrid/>
                <w:sz w:val="20"/>
              </w:rPr>
              <w:t xml:space="preserve"> </w:t>
            </w:r>
            <w:r>
              <w:rPr>
                <w:rFonts w:ascii="Arial Narrow" w:hAnsi="Arial Narrow" w:cs="Arial Narrow"/>
                <w:b/>
                <w:snapToGrid/>
                <w:sz w:val="20"/>
              </w:rPr>
              <w:t>(</w:t>
            </w:r>
            <w:r w:rsidRPr="00D75C70">
              <w:rPr>
                <w:rFonts w:ascii="Arial Narrow" w:hAnsi="Arial Narrow" w:cs="Arial Narrow"/>
                <w:b/>
                <w:snapToGrid/>
                <w:sz w:val="20"/>
              </w:rPr>
              <w:t xml:space="preserve">metformin </w:t>
            </w:r>
            <w:r>
              <w:rPr>
                <w:rFonts w:ascii="Arial Narrow" w:hAnsi="Arial Narrow" w:cs="Arial Narrow"/>
                <w:b/>
                <w:snapToGrid/>
                <w:sz w:val="20"/>
              </w:rPr>
              <w:t>+</w:t>
            </w:r>
            <w:r w:rsidRPr="00D75C70">
              <w:rPr>
                <w:rFonts w:ascii="Arial Narrow" w:hAnsi="Arial Narrow" w:cs="Arial Narrow"/>
                <w:b/>
                <w:snapToGrid/>
                <w:sz w:val="20"/>
              </w:rPr>
              <w:t xml:space="preserve"> sulfonylurea</w:t>
            </w:r>
            <w:r>
              <w:rPr>
                <w:rFonts w:ascii="Arial Narrow" w:hAnsi="Arial Narrow" w:cs="Arial Narrow"/>
                <w:b/>
                <w:snapToGrid/>
                <w:sz w:val="20"/>
              </w:rPr>
              <w:t xml:space="preserve"> </w:t>
            </w:r>
            <w:r>
              <w:rPr>
                <w:rFonts w:ascii="Arial Narrow" w:hAnsi="Arial Narrow"/>
                <w:b/>
                <w:sz w:val="20"/>
              </w:rPr>
              <w:t>background</w:t>
            </w:r>
            <w:r>
              <w:rPr>
                <w:rFonts w:ascii="Arial Narrow" w:hAnsi="Arial Narrow" w:cs="Arial Narrow"/>
                <w:b/>
                <w:snapToGrid/>
                <w:sz w:val="20"/>
              </w:rPr>
              <w:t>)</w:t>
            </w:r>
          </w:p>
        </w:tc>
      </w:tr>
      <w:tr w:rsidR="003731C2" w:rsidRPr="00D75C70" w:rsidTr="00BD17A2">
        <w:tc>
          <w:tcPr>
            <w:tcW w:w="763" w:type="pct"/>
            <w:vMerge w:val="restart"/>
          </w:tcPr>
          <w:p w:rsidR="003731C2" w:rsidRPr="00D75C70" w:rsidRDefault="005275CB" w:rsidP="00804107">
            <w:pPr>
              <w:keepNext/>
              <w:keepLines/>
              <w:widowControl/>
              <w:jc w:val="left"/>
              <w:rPr>
                <w:rFonts w:ascii="Arial Narrow" w:hAnsi="Arial Narrow"/>
                <w:sz w:val="20"/>
              </w:rPr>
            </w:pPr>
            <w:r>
              <w:rPr>
                <w:rFonts w:ascii="Arial Narrow" w:hAnsi="Arial Narrow"/>
                <w:sz w:val="20"/>
              </w:rPr>
              <w:t>Russell-Jones 2009</w:t>
            </w:r>
          </w:p>
        </w:tc>
        <w:tc>
          <w:tcPr>
            <w:tcW w:w="3220" w:type="pct"/>
            <w:tcBorders>
              <w:bottom w:val="nil"/>
            </w:tcBorders>
          </w:tcPr>
          <w:p w:rsidR="003731C2" w:rsidRPr="00D75C70" w:rsidRDefault="003731C2" w:rsidP="00804107">
            <w:pPr>
              <w:keepNext/>
              <w:keepLines/>
              <w:widowControl/>
              <w:jc w:val="left"/>
              <w:rPr>
                <w:rFonts w:ascii="Arial Narrow" w:hAnsi="Arial Narrow" w:cs="Arial Narrow"/>
                <w:bCs/>
                <w:iCs/>
                <w:sz w:val="20"/>
              </w:rPr>
            </w:pPr>
            <w:r w:rsidRPr="005E1471">
              <w:rPr>
                <w:rFonts w:ascii="Arial Narrow" w:hAnsi="Arial Narrow" w:cs="Arial Narrow"/>
                <w:bCs/>
                <w:iCs/>
                <w:sz w:val="20"/>
              </w:rPr>
              <w:t xml:space="preserve">A </w:t>
            </w:r>
            <w:r>
              <w:rPr>
                <w:rFonts w:ascii="Arial Narrow" w:hAnsi="Arial Narrow" w:cs="Arial Narrow"/>
                <w:bCs/>
                <w:iCs/>
                <w:sz w:val="20"/>
              </w:rPr>
              <w:t>26 week</w:t>
            </w:r>
            <w:r w:rsidRPr="005E1471">
              <w:rPr>
                <w:rFonts w:ascii="Arial Narrow" w:hAnsi="Arial Narrow" w:cs="Arial Narrow"/>
                <w:bCs/>
                <w:iCs/>
                <w:sz w:val="20"/>
              </w:rPr>
              <w:t>,</w:t>
            </w:r>
            <w:r>
              <w:rPr>
                <w:rFonts w:ascii="Arial Narrow" w:hAnsi="Arial Narrow" w:cs="Arial Narrow"/>
                <w:bCs/>
                <w:iCs/>
                <w:sz w:val="20"/>
              </w:rPr>
              <w:t xml:space="preserve"> multicentre,</w:t>
            </w:r>
            <w:r w:rsidRPr="005E1471">
              <w:rPr>
                <w:rFonts w:ascii="Arial Narrow" w:hAnsi="Arial Narrow" w:cs="Arial Narrow"/>
                <w:bCs/>
                <w:iCs/>
                <w:sz w:val="20"/>
              </w:rPr>
              <w:t xml:space="preserve"> randomised, parallel-group, </w:t>
            </w:r>
            <w:r>
              <w:rPr>
                <w:rFonts w:ascii="Arial Narrow" w:hAnsi="Arial Narrow" w:cs="Arial Narrow"/>
                <w:bCs/>
                <w:iCs/>
                <w:sz w:val="20"/>
              </w:rPr>
              <w:t xml:space="preserve">placebo </w:t>
            </w:r>
            <w:r w:rsidRPr="005E1471">
              <w:rPr>
                <w:rFonts w:ascii="Arial Narrow" w:hAnsi="Arial Narrow" w:cs="Arial Narrow"/>
                <w:bCs/>
                <w:iCs/>
                <w:sz w:val="20"/>
              </w:rPr>
              <w:t xml:space="preserve">controlled </w:t>
            </w:r>
            <w:r>
              <w:rPr>
                <w:rFonts w:ascii="Arial Narrow" w:hAnsi="Arial Narrow" w:cs="Arial Narrow"/>
                <w:bCs/>
                <w:iCs/>
                <w:sz w:val="20"/>
              </w:rPr>
              <w:t>phase III</w:t>
            </w:r>
            <w:r w:rsidRPr="005E1471">
              <w:rPr>
                <w:rFonts w:ascii="Arial Narrow" w:hAnsi="Arial Narrow" w:cs="Arial Narrow"/>
                <w:bCs/>
                <w:iCs/>
                <w:sz w:val="20"/>
              </w:rPr>
              <w:t xml:space="preserve"> </w:t>
            </w:r>
            <w:r>
              <w:rPr>
                <w:rFonts w:ascii="Arial Narrow" w:hAnsi="Arial Narrow" w:cs="Arial Narrow"/>
                <w:bCs/>
                <w:iCs/>
                <w:sz w:val="20"/>
              </w:rPr>
              <w:t>t</w:t>
            </w:r>
            <w:r w:rsidRPr="005E1471">
              <w:rPr>
                <w:rFonts w:ascii="Arial Narrow" w:hAnsi="Arial Narrow" w:cs="Arial Narrow"/>
                <w:bCs/>
                <w:iCs/>
                <w:sz w:val="20"/>
              </w:rPr>
              <w:t xml:space="preserve">rial to compare the efficacy and safety of liraglutide in type 2 diabetes mellitus vs placebo </w:t>
            </w:r>
            <w:r w:rsidRPr="00D95B68">
              <w:rPr>
                <w:rFonts w:ascii="Arial Narrow" w:hAnsi="Arial Narrow" w:cs="Arial Narrow"/>
                <w:bCs/>
                <w:iCs/>
                <w:sz w:val="20"/>
              </w:rPr>
              <w:t>with an open-label treat-to-target insulin glargine control arm</w:t>
            </w:r>
            <w:r w:rsidRPr="005E1471">
              <w:rPr>
                <w:rFonts w:ascii="Arial Narrow" w:hAnsi="Arial Narrow" w:cs="Arial Narrow"/>
                <w:bCs/>
                <w:iCs/>
                <w:sz w:val="20"/>
              </w:rPr>
              <w:t>, all in combination with metformin and glimepiride.</w:t>
            </w:r>
            <w:r>
              <w:rPr>
                <w:rFonts w:ascii="Arial Narrow" w:hAnsi="Arial Narrow" w:cs="Arial Narrow"/>
                <w:bCs/>
                <w:iCs/>
                <w:sz w:val="20"/>
              </w:rPr>
              <w:t xml:space="preserve"> NCT00331851.</w:t>
            </w:r>
          </w:p>
        </w:tc>
        <w:tc>
          <w:tcPr>
            <w:tcW w:w="1017" w:type="pct"/>
            <w:tcBorders>
              <w:bottom w:val="nil"/>
            </w:tcBorders>
          </w:tcPr>
          <w:p w:rsidR="003731C2" w:rsidRDefault="003731C2" w:rsidP="00804107">
            <w:pPr>
              <w:keepNext/>
              <w:widowControl/>
              <w:jc w:val="left"/>
              <w:rPr>
                <w:rFonts w:ascii="Arial Narrow" w:hAnsi="Arial Narrow"/>
                <w:sz w:val="20"/>
              </w:rPr>
            </w:pPr>
            <w:r>
              <w:rPr>
                <w:rFonts w:ascii="Arial Narrow" w:hAnsi="Arial Narrow"/>
                <w:sz w:val="20"/>
              </w:rPr>
              <w:t>15 February 2008.</w:t>
            </w:r>
          </w:p>
          <w:p w:rsidR="003731C2" w:rsidRPr="00D75C70" w:rsidRDefault="003731C2" w:rsidP="00804107">
            <w:pPr>
              <w:keepNext/>
              <w:widowControl/>
              <w:jc w:val="left"/>
              <w:rPr>
                <w:rFonts w:ascii="Arial Narrow" w:hAnsi="Arial Narrow"/>
                <w:sz w:val="20"/>
              </w:rPr>
            </w:pPr>
            <w:r>
              <w:rPr>
                <w:rFonts w:ascii="Arial Narrow" w:hAnsi="Arial Narrow"/>
                <w:sz w:val="20"/>
              </w:rPr>
              <w:t>(Report not available)</w:t>
            </w:r>
          </w:p>
        </w:tc>
      </w:tr>
      <w:tr w:rsidR="003731C2" w:rsidRPr="00D75C70" w:rsidTr="00BD17A2">
        <w:tc>
          <w:tcPr>
            <w:tcW w:w="763" w:type="pct"/>
            <w:vMerge/>
          </w:tcPr>
          <w:p w:rsidR="003731C2" w:rsidRPr="00D75C70" w:rsidRDefault="003731C2" w:rsidP="00804107">
            <w:pPr>
              <w:keepNext/>
              <w:keepLines/>
              <w:widowControl/>
              <w:jc w:val="left"/>
              <w:rPr>
                <w:rFonts w:ascii="Arial Narrow" w:hAnsi="Arial Narrow"/>
                <w:sz w:val="20"/>
              </w:rPr>
            </w:pPr>
          </w:p>
        </w:tc>
        <w:tc>
          <w:tcPr>
            <w:tcW w:w="3220" w:type="pct"/>
            <w:tcBorders>
              <w:top w:val="nil"/>
            </w:tcBorders>
          </w:tcPr>
          <w:p w:rsidR="003731C2" w:rsidRPr="00D75C70" w:rsidRDefault="003731C2" w:rsidP="00804107">
            <w:pPr>
              <w:keepNext/>
              <w:keepLines/>
              <w:widowControl/>
              <w:jc w:val="left"/>
              <w:rPr>
                <w:rFonts w:ascii="Arial Narrow" w:hAnsi="Arial Narrow" w:cs="Arial Narrow"/>
                <w:bCs/>
                <w:iCs/>
                <w:sz w:val="20"/>
              </w:rPr>
            </w:pPr>
            <w:r>
              <w:rPr>
                <w:rFonts w:ascii="Arial Narrow" w:hAnsi="Arial Narrow" w:cs="Arial Narrow"/>
                <w:bCs/>
                <w:iCs/>
                <w:sz w:val="20"/>
              </w:rPr>
              <w:t xml:space="preserve">Russell-Jones et al. (2009) </w:t>
            </w:r>
            <w:r w:rsidRPr="00D75C70">
              <w:rPr>
                <w:rFonts w:ascii="Arial Narrow" w:hAnsi="Arial Narrow" w:cs="Arial Narrow"/>
                <w:bCs/>
                <w:iCs/>
                <w:sz w:val="20"/>
              </w:rPr>
              <w:t xml:space="preserve">Liraglutide vs </w:t>
            </w:r>
            <w:r w:rsidRPr="00D75C70">
              <w:rPr>
                <w:rFonts w:ascii="Arial Narrow" w:hAnsi="Arial Narrow"/>
                <w:sz w:val="20"/>
              </w:rPr>
              <w:t>insulin</w:t>
            </w:r>
            <w:r w:rsidRPr="00D75C70">
              <w:rPr>
                <w:rFonts w:ascii="Arial Narrow" w:hAnsi="Arial Narrow" w:cs="Arial Narrow"/>
                <w:bCs/>
                <w:iCs/>
                <w:sz w:val="20"/>
              </w:rPr>
              <w:t xml:space="preserve"> glargine and placebo in combination with metformin and sulfonylurea therapy in type 2 diabetes mellitus (LEAD-5 MET+SU):</w:t>
            </w:r>
            <w:r>
              <w:rPr>
                <w:rFonts w:ascii="Arial Narrow" w:hAnsi="Arial Narrow" w:cs="Arial Narrow"/>
                <w:bCs/>
                <w:iCs/>
                <w:sz w:val="20"/>
              </w:rPr>
              <w:t xml:space="preserve"> A randomised controlled trial.</w:t>
            </w:r>
            <w:r w:rsidRPr="00D75C70">
              <w:rPr>
                <w:rFonts w:ascii="Arial Narrow" w:hAnsi="Arial Narrow" w:cs="Arial Narrow"/>
                <w:bCs/>
                <w:iCs/>
                <w:sz w:val="20"/>
              </w:rPr>
              <w:t xml:space="preserve"> </w:t>
            </w:r>
          </w:p>
        </w:tc>
        <w:tc>
          <w:tcPr>
            <w:tcW w:w="1017" w:type="pct"/>
            <w:tcBorders>
              <w:top w:val="nil"/>
            </w:tcBorders>
          </w:tcPr>
          <w:p w:rsidR="003731C2" w:rsidRPr="00D75C70" w:rsidRDefault="003731C2" w:rsidP="00804107">
            <w:pPr>
              <w:keepNext/>
              <w:widowControl/>
              <w:jc w:val="left"/>
              <w:rPr>
                <w:rFonts w:ascii="Arial Narrow" w:hAnsi="Arial Narrow"/>
                <w:sz w:val="20"/>
              </w:rPr>
            </w:pPr>
            <w:r w:rsidRPr="00D75C70">
              <w:rPr>
                <w:rFonts w:ascii="Arial Narrow" w:hAnsi="Arial Narrow"/>
                <w:i/>
                <w:sz w:val="20"/>
              </w:rPr>
              <w:t>Diabetologia</w:t>
            </w:r>
            <w:r w:rsidRPr="00D75C70">
              <w:rPr>
                <w:rFonts w:ascii="Arial Narrow" w:hAnsi="Arial Narrow" w:cs="Arial Narrow"/>
                <w:bCs/>
                <w:iCs/>
                <w:sz w:val="20"/>
              </w:rPr>
              <w:t xml:space="preserve"> 2009</w:t>
            </w:r>
            <w:r>
              <w:rPr>
                <w:rFonts w:ascii="Arial Narrow" w:hAnsi="Arial Narrow" w:cs="Arial Narrow"/>
                <w:bCs/>
                <w:iCs/>
                <w:sz w:val="20"/>
              </w:rPr>
              <w:t>;</w:t>
            </w:r>
            <w:r w:rsidRPr="00D75C70">
              <w:rPr>
                <w:rFonts w:ascii="Arial Narrow" w:hAnsi="Arial Narrow" w:cs="Arial Narrow"/>
                <w:bCs/>
                <w:iCs/>
                <w:sz w:val="20"/>
              </w:rPr>
              <w:t xml:space="preserve"> 52(10): 2046-2055.</w:t>
            </w:r>
          </w:p>
        </w:tc>
      </w:tr>
      <w:tr w:rsidR="003731C2" w:rsidRPr="00D75C70" w:rsidTr="00BD17A2">
        <w:tc>
          <w:tcPr>
            <w:tcW w:w="5000" w:type="pct"/>
            <w:gridSpan w:val="3"/>
          </w:tcPr>
          <w:p w:rsidR="003731C2" w:rsidRPr="00D75C70" w:rsidRDefault="003731C2" w:rsidP="00804107">
            <w:pPr>
              <w:keepNext/>
              <w:widowControl/>
              <w:rPr>
                <w:rFonts w:ascii="Arial Narrow" w:hAnsi="Arial Narrow" w:cs="Arial Narrow"/>
                <w:b/>
                <w:snapToGrid/>
                <w:sz w:val="20"/>
              </w:rPr>
            </w:pPr>
            <w:r>
              <w:rPr>
                <w:rFonts w:ascii="Arial Narrow" w:hAnsi="Arial Narrow" w:cs="Arial Narrow"/>
                <w:b/>
                <w:snapToGrid/>
                <w:sz w:val="20"/>
              </w:rPr>
              <w:t>Exenatide vs placebo</w:t>
            </w:r>
            <w:r w:rsidRPr="00D75C70">
              <w:rPr>
                <w:rFonts w:ascii="Arial Narrow" w:hAnsi="Arial Narrow" w:cs="Arial Narrow"/>
                <w:b/>
                <w:snapToGrid/>
                <w:sz w:val="20"/>
              </w:rPr>
              <w:t xml:space="preserve"> </w:t>
            </w:r>
            <w:r>
              <w:rPr>
                <w:rFonts w:ascii="Arial Narrow" w:hAnsi="Arial Narrow" w:cs="Arial Narrow"/>
                <w:b/>
                <w:snapToGrid/>
                <w:sz w:val="20"/>
              </w:rPr>
              <w:t>(</w:t>
            </w:r>
            <w:r w:rsidRPr="00D75C70">
              <w:rPr>
                <w:rFonts w:ascii="Arial Narrow" w:hAnsi="Arial Narrow" w:cs="Arial Narrow"/>
                <w:b/>
                <w:snapToGrid/>
                <w:sz w:val="20"/>
              </w:rPr>
              <w:t xml:space="preserve">metformin </w:t>
            </w:r>
            <w:r>
              <w:rPr>
                <w:rFonts w:ascii="Arial Narrow" w:hAnsi="Arial Narrow" w:cs="Arial Narrow"/>
                <w:b/>
                <w:snapToGrid/>
                <w:sz w:val="20"/>
              </w:rPr>
              <w:t>+</w:t>
            </w:r>
            <w:r w:rsidRPr="00D75C70">
              <w:rPr>
                <w:rFonts w:ascii="Arial Narrow" w:hAnsi="Arial Narrow" w:cs="Arial Narrow"/>
                <w:b/>
                <w:snapToGrid/>
                <w:sz w:val="20"/>
              </w:rPr>
              <w:t xml:space="preserve"> sulfonylurea</w:t>
            </w:r>
            <w:r>
              <w:rPr>
                <w:rFonts w:ascii="Arial Narrow" w:hAnsi="Arial Narrow" w:cs="Arial Narrow"/>
                <w:b/>
                <w:snapToGrid/>
                <w:sz w:val="20"/>
              </w:rPr>
              <w:t xml:space="preserve"> </w:t>
            </w:r>
            <w:r>
              <w:rPr>
                <w:rFonts w:ascii="Arial Narrow" w:hAnsi="Arial Narrow"/>
                <w:b/>
                <w:sz w:val="20"/>
              </w:rPr>
              <w:t>background</w:t>
            </w:r>
            <w:r>
              <w:rPr>
                <w:rFonts w:ascii="Arial Narrow" w:hAnsi="Arial Narrow" w:cs="Arial Narrow"/>
                <w:b/>
                <w:snapToGrid/>
                <w:sz w:val="20"/>
              </w:rPr>
              <w:t>)</w:t>
            </w:r>
          </w:p>
        </w:tc>
      </w:tr>
      <w:tr w:rsidR="003731C2" w:rsidRPr="00D75C70" w:rsidTr="00BD17A2">
        <w:trPr>
          <w:trHeight w:val="506"/>
        </w:trPr>
        <w:tc>
          <w:tcPr>
            <w:tcW w:w="763" w:type="pct"/>
            <w:vMerge w:val="restart"/>
          </w:tcPr>
          <w:p w:rsidR="003731C2" w:rsidRPr="00D75C70" w:rsidRDefault="003731C2" w:rsidP="00804107">
            <w:pPr>
              <w:keepNext/>
              <w:widowControl/>
              <w:jc w:val="left"/>
              <w:rPr>
                <w:rFonts w:ascii="Arial Narrow" w:hAnsi="Arial Narrow"/>
                <w:sz w:val="20"/>
              </w:rPr>
            </w:pPr>
            <w:r w:rsidRPr="00D75C70">
              <w:rPr>
                <w:rFonts w:ascii="Arial Narrow" w:hAnsi="Arial Narrow"/>
                <w:sz w:val="20"/>
              </w:rPr>
              <w:t>Trial 115</w:t>
            </w:r>
          </w:p>
        </w:tc>
        <w:tc>
          <w:tcPr>
            <w:tcW w:w="3220" w:type="pct"/>
            <w:tcBorders>
              <w:bottom w:val="nil"/>
            </w:tcBorders>
          </w:tcPr>
          <w:p w:rsidR="003731C2" w:rsidRPr="00D75C70" w:rsidRDefault="003731C2" w:rsidP="00804107">
            <w:pPr>
              <w:keepNext/>
              <w:widowControl/>
              <w:jc w:val="left"/>
              <w:rPr>
                <w:rFonts w:ascii="Arial Narrow" w:hAnsi="Arial Narrow" w:cs="Arial Narrow"/>
                <w:snapToGrid/>
                <w:sz w:val="20"/>
              </w:rPr>
            </w:pPr>
            <w:r w:rsidRPr="00D75C70">
              <w:rPr>
                <w:rFonts w:ascii="Arial Narrow" w:hAnsi="Arial Narrow" w:cs="Arial Narrow"/>
                <w:snapToGrid/>
                <w:sz w:val="20"/>
              </w:rPr>
              <w:t xml:space="preserve">A Phase </w:t>
            </w:r>
            <w:r>
              <w:rPr>
                <w:rFonts w:ascii="Arial Narrow" w:hAnsi="Arial Narrow" w:cs="Arial Narrow"/>
                <w:snapToGrid/>
                <w:sz w:val="20"/>
              </w:rPr>
              <w:t>III</w:t>
            </w:r>
            <w:r w:rsidRPr="00D75C70">
              <w:rPr>
                <w:rFonts w:ascii="Arial Narrow" w:hAnsi="Arial Narrow" w:cs="Arial Narrow"/>
                <w:snapToGrid/>
                <w:sz w:val="20"/>
              </w:rPr>
              <w:t>, randomized, double-blind, parallel-group, long-term, placebo-controlled, multicenter study to examine t</w:t>
            </w:r>
            <w:r>
              <w:rPr>
                <w:rFonts w:ascii="Arial Narrow" w:hAnsi="Arial Narrow" w:cs="Arial Narrow"/>
                <w:snapToGrid/>
                <w:sz w:val="20"/>
              </w:rPr>
              <w:t>he effect on glucose control (HbA</w:t>
            </w:r>
            <w:r w:rsidRPr="00D75C70">
              <w:rPr>
                <w:rFonts w:ascii="Arial Narrow" w:hAnsi="Arial Narrow" w:cs="Arial Narrow"/>
                <w:snapToGrid/>
                <w:sz w:val="20"/>
              </w:rPr>
              <w:t xml:space="preserve">1c) of exenatide given twice daily in subjects with type 2 diabetes mellitus treated with metformin and a sulfonylurea. </w:t>
            </w:r>
            <w:r>
              <w:rPr>
                <w:rFonts w:ascii="Arial Narrow" w:hAnsi="Arial Narrow" w:cs="Arial Narrow"/>
                <w:snapToGrid/>
                <w:sz w:val="20"/>
              </w:rPr>
              <w:t>Study AC2993-115; NCT00035984.</w:t>
            </w:r>
          </w:p>
        </w:tc>
        <w:tc>
          <w:tcPr>
            <w:tcW w:w="1017" w:type="pct"/>
            <w:tcBorders>
              <w:bottom w:val="nil"/>
            </w:tcBorders>
          </w:tcPr>
          <w:p w:rsidR="003731C2" w:rsidRPr="00D75C70" w:rsidRDefault="003731C2" w:rsidP="00804107">
            <w:pPr>
              <w:keepNext/>
              <w:widowControl/>
              <w:jc w:val="left"/>
              <w:rPr>
                <w:rFonts w:ascii="Arial Narrow" w:hAnsi="Arial Narrow" w:cs="Arial Narrow"/>
                <w:snapToGrid/>
                <w:sz w:val="20"/>
              </w:rPr>
            </w:pPr>
            <w:r w:rsidRPr="00D75C70">
              <w:rPr>
                <w:rFonts w:ascii="Arial Narrow" w:hAnsi="Arial Narrow" w:cs="Arial Narrow"/>
                <w:snapToGrid/>
                <w:sz w:val="20"/>
              </w:rPr>
              <w:t>27 April 2004</w:t>
            </w:r>
            <w:r>
              <w:rPr>
                <w:rFonts w:ascii="Arial Narrow" w:hAnsi="Arial Narrow" w:cs="Arial Narrow"/>
                <w:snapToGrid/>
                <w:sz w:val="20"/>
              </w:rPr>
              <w:t>.</w:t>
            </w:r>
          </w:p>
          <w:p w:rsidR="003731C2" w:rsidRPr="00D75C70" w:rsidRDefault="003731C2" w:rsidP="00804107">
            <w:pPr>
              <w:keepNext/>
              <w:widowControl/>
              <w:jc w:val="left"/>
              <w:rPr>
                <w:rFonts w:ascii="Arial Narrow" w:hAnsi="Arial Narrow" w:cs="Arial Narrow"/>
                <w:snapToGrid/>
                <w:sz w:val="20"/>
              </w:rPr>
            </w:pPr>
          </w:p>
        </w:tc>
      </w:tr>
      <w:tr w:rsidR="003731C2" w:rsidRPr="00D75C70" w:rsidTr="00BD17A2">
        <w:trPr>
          <w:trHeight w:val="218"/>
        </w:trPr>
        <w:tc>
          <w:tcPr>
            <w:tcW w:w="763" w:type="pct"/>
            <w:vMerge/>
          </w:tcPr>
          <w:p w:rsidR="003731C2" w:rsidRPr="00D75C70" w:rsidRDefault="003731C2" w:rsidP="00804107">
            <w:pPr>
              <w:keepNext/>
              <w:widowControl/>
              <w:jc w:val="left"/>
              <w:rPr>
                <w:rFonts w:ascii="Arial Narrow" w:hAnsi="Arial Narrow"/>
                <w:sz w:val="20"/>
              </w:rPr>
            </w:pPr>
          </w:p>
        </w:tc>
        <w:tc>
          <w:tcPr>
            <w:tcW w:w="3220" w:type="pct"/>
            <w:tcBorders>
              <w:top w:val="nil"/>
              <w:bottom w:val="nil"/>
            </w:tcBorders>
          </w:tcPr>
          <w:p w:rsidR="003731C2" w:rsidRPr="00D75C70" w:rsidRDefault="003731C2" w:rsidP="00804107">
            <w:pPr>
              <w:keepNext/>
              <w:widowControl/>
              <w:ind w:left="-6"/>
              <w:jc w:val="left"/>
              <w:rPr>
                <w:rFonts w:ascii="Arial Narrow" w:hAnsi="Arial Narrow" w:cs="Arial Narrow"/>
                <w:snapToGrid/>
                <w:sz w:val="20"/>
              </w:rPr>
            </w:pPr>
            <w:r>
              <w:rPr>
                <w:rFonts w:ascii="Arial Narrow" w:hAnsi="Arial Narrow" w:cs="Arial Narrow"/>
                <w:snapToGrid/>
                <w:sz w:val="20"/>
              </w:rPr>
              <w:t xml:space="preserve">Kendall et al. (2005) </w:t>
            </w:r>
            <w:r w:rsidRPr="00D75C70">
              <w:rPr>
                <w:rFonts w:ascii="Arial Narrow" w:hAnsi="Arial Narrow" w:cs="Arial Narrow"/>
                <w:snapToGrid/>
                <w:sz w:val="20"/>
              </w:rPr>
              <w:t>Effects of exenatide (exendin-4) on glycaemic control over 30 weeks in patients with type 2 diabetes treated with metformin and a sulfonylurea.</w:t>
            </w:r>
          </w:p>
        </w:tc>
        <w:tc>
          <w:tcPr>
            <w:tcW w:w="1017" w:type="pct"/>
            <w:tcBorders>
              <w:top w:val="nil"/>
              <w:bottom w:val="nil"/>
            </w:tcBorders>
          </w:tcPr>
          <w:p w:rsidR="003731C2" w:rsidRPr="00D75C70" w:rsidRDefault="003731C2" w:rsidP="00804107">
            <w:pPr>
              <w:keepNext/>
              <w:widowControl/>
              <w:ind w:left="-6"/>
              <w:jc w:val="left"/>
              <w:rPr>
                <w:rFonts w:ascii="Arial Narrow" w:hAnsi="Arial Narrow" w:cs="Arial Narrow"/>
                <w:snapToGrid/>
                <w:sz w:val="20"/>
              </w:rPr>
            </w:pPr>
            <w:r w:rsidRPr="00D75C70">
              <w:rPr>
                <w:rFonts w:ascii="Arial Narrow" w:hAnsi="Arial Narrow" w:cs="Arial Narrow"/>
                <w:i/>
                <w:snapToGrid/>
                <w:sz w:val="20"/>
              </w:rPr>
              <w:t>Diabetes Care</w:t>
            </w:r>
            <w:r w:rsidRPr="00D75C70">
              <w:rPr>
                <w:rFonts w:ascii="Arial Narrow" w:hAnsi="Arial Narrow" w:cs="Arial Narrow"/>
                <w:snapToGrid/>
                <w:sz w:val="20"/>
              </w:rPr>
              <w:t xml:space="preserve"> 2005</w:t>
            </w:r>
            <w:r>
              <w:rPr>
                <w:rFonts w:ascii="Arial Narrow" w:hAnsi="Arial Narrow" w:cs="Arial Narrow"/>
                <w:snapToGrid/>
                <w:sz w:val="20"/>
              </w:rPr>
              <w:t>;</w:t>
            </w:r>
            <w:r w:rsidRPr="00D75C70">
              <w:rPr>
                <w:rFonts w:ascii="Arial Narrow" w:hAnsi="Arial Narrow" w:cs="Arial Narrow"/>
                <w:snapToGrid/>
                <w:sz w:val="20"/>
              </w:rPr>
              <w:t xml:space="preserve"> 28(5): 1083-1091.</w:t>
            </w:r>
          </w:p>
        </w:tc>
      </w:tr>
      <w:tr w:rsidR="003731C2" w:rsidRPr="00D75C70" w:rsidTr="00BD17A2">
        <w:tc>
          <w:tcPr>
            <w:tcW w:w="5000" w:type="pct"/>
            <w:gridSpan w:val="3"/>
          </w:tcPr>
          <w:p w:rsidR="003731C2" w:rsidRPr="00D75C70" w:rsidRDefault="003731C2" w:rsidP="00804107">
            <w:pPr>
              <w:keepNext/>
              <w:widowControl/>
              <w:jc w:val="left"/>
              <w:rPr>
                <w:rFonts w:ascii="Arial Narrow" w:hAnsi="Arial Narrow"/>
                <w:b/>
                <w:sz w:val="20"/>
              </w:rPr>
            </w:pPr>
            <w:r>
              <w:rPr>
                <w:rFonts w:ascii="Arial Narrow" w:hAnsi="Arial Narrow"/>
                <w:b/>
                <w:sz w:val="20"/>
              </w:rPr>
              <w:t>Supportive analyses</w:t>
            </w:r>
          </w:p>
        </w:tc>
      </w:tr>
      <w:tr w:rsidR="003731C2" w:rsidRPr="00D75C70" w:rsidTr="00BD17A2">
        <w:tc>
          <w:tcPr>
            <w:tcW w:w="5000" w:type="pct"/>
            <w:gridSpan w:val="3"/>
          </w:tcPr>
          <w:p w:rsidR="003731C2" w:rsidRPr="00D75C70" w:rsidRDefault="003731C2" w:rsidP="00804107">
            <w:pPr>
              <w:keepNext/>
              <w:widowControl/>
              <w:jc w:val="left"/>
              <w:rPr>
                <w:rFonts w:ascii="Arial Narrow" w:hAnsi="Arial Narrow"/>
                <w:b/>
                <w:sz w:val="20"/>
              </w:rPr>
            </w:pPr>
            <w:r>
              <w:rPr>
                <w:rFonts w:ascii="Arial Narrow" w:hAnsi="Arial Narrow"/>
                <w:b/>
                <w:sz w:val="20"/>
              </w:rPr>
              <w:t>Dapagliflozin vs placebo (</w:t>
            </w:r>
            <w:r w:rsidRPr="00D75C70">
              <w:rPr>
                <w:rFonts w:ascii="Arial Narrow" w:hAnsi="Arial Narrow" w:cs="Arial Narrow"/>
                <w:b/>
                <w:snapToGrid/>
                <w:sz w:val="20"/>
              </w:rPr>
              <w:t xml:space="preserve">metformin </w:t>
            </w:r>
            <w:r>
              <w:rPr>
                <w:rFonts w:ascii="Arial Narrow" w:hAnsi="Arial Narrow" w:cs="Arial Narrow"/>
                <w:b/>
                <w:snapToGrid/>
                <w:sz w:val="20"/>
              </w:rPr>
              <w:t>+</w:t>
            </w:r>
            <w:r w:rsidRPr="00D75C70">
              <w:rPr>
                <w:rFonts w:ascii="Arial Narrow" w:hAnsi="Arial Narrow" w:cs="Arial Narrow"/>
                <w:b/>
                <w:snapToGrid/>
                <w:sz w:val="20"/>
              </w:rPr>
              <w:t xml:space="preserve"> sulfonylurea</w:t>
            </w:r>
            <w:r>
              <w:rPr>
                <w:rFonts w:ascii="Arial Narrow" w:hAnsi="Arial Narrow" w:cs="Arial Narrow"/>
                <w:b/>
                <w:snapToGrid/>
                <w:sz w:val="20"/>
              </w:rPr>
              <w:t xml:space="preserve"> </w:t>
            </w:r>
            <w:r>
              <w:rPr>
                <w:rFonts w:ascii="Arial Narrow" w:hAnsi="Arial Narrow"/>
                <w:b/>
                <w:sz w:val="20"/>
              </w:rPr>
              <w:t>background</w:t>
            </w:r>
            <w:r>
              <w:rPr>
                <w:rFonts w:ascii="Arial Narrow" w:hAnsi="Arial Narrow" w:cs="Arial Narrow"/>
                <w:b/>
                <w:snapToGrid/>
                <w:sz w:val="20"/>
              </w:rPr>
              <w:t>)</w:t>
            </w:r>
          </w:p>
        </w:tc>
      </w:tr>
      <w:tr w:rsidR="003731C2" w:rsidRPr="00D75C70" w:rsidTr="00BD17A2">
        <w:trPr>
          <w:trHeight w:val="990"/>
        </w:trPr>
        <w:tc>
          <w:tcPr>
            <w:tcW w:w="763" w:type="pct"/>
            <w:vMerge w:val="restart"/>
          </w:tcPr>
          <w:p w:rsidR="003731C2" w:rsidRDefault="003731C2" w:rsidP="00804107">
            <w:pPr>
              <w:keepNext/>
              <w:widowControl/>
              <w:jc w:val="left"/>
              <w:rPr>
                <w:rFonts w:ascii="Arial Narrow" w:hAnsi="Arial Narrow"/>
                <w:sz w:val="20"/>
              </w:rPr>
            </w:pPr>
            <w:r>
              <w:rPr>
                <w:rFonts w:ascii="Arial Narrow" w:hAnsi="Arial Narrow"/>
                <w:sz w:val="20"/>
              </w:rPr>
              <w:t>Matthaei 2015</w:t>
            </w:r>
          </w:p>
          <w:p w:rsidR="003731C2" w:rsidRPr="00D75C70" w:rsidRDefault="003731C2" w:rsidP="00804107">
            <w:pPr>
              <w:keepNext/>
              <w:widowControl/>
              <w:jc w:val="left"/>
              <w:rPr>
                <w:rFonts w:ascii="Arial Narrow" w:hAnsi="Arial Narrow"/>
                <w:sz w:val="20"/>
              </w:rPr>
            </w:pPr>
          </w:p>
        </w:tc>
        <w:tc>
          <w:tcPr>
            <w:tcW w:w="3220" w:type="pct"/>
            <w:tcBorders>
              <w:bottom w:val="nil"/>
            </w:tcBorders>
          </w:tcPr>
          <w:p w:rsidR="003731C2" w:rsidRPr="00D75C70" w:rsidRDefault="003731C2" w:rsidP="00804107">
            <w:pPr>
              <w:keepNext/>
              <w:widowControl/>
              <w:ind w:left="-6"/>
              <w:jc w:val="left"/>
              <w:rPr>
                <w:rFonts w:ascii="Arial Narrow" w:hAnsi="Arial Narrow" w:cs="Arial Narrow"/>
                <w:b/>
                <w:snapToGrid/>
                <w:sz w:val="20"/>
              </w:rPr>
            </w:pPr>
            <w:r w:rsidRPr="00641A53">
              <w:rPr>
                <w:rFonts w:ascii="Arial Narrow" w:hAnsi="Arial Narrow" w:cs="Arial Narrow"/>
                <w:snapToGrid/>
                <w:sz w:val="20"/>
              </w:rPr>
              <w:t>A 24-week, multicentre, randomised, double-blind, placebo-controlled, international phase III Study with a 28-week extension period to evaluate the safety and efficacy of dapagliflozin 10 mg once daily in patients with Type 2 diabetes who have inadequate glycaemic control on a background combination of metformin and sulfonylurea. Report for the 24-week short-term treatment period.</w:t>
            </w:r>
            <w:r>
              <w:rPr>
                <w:rFonts w:ascii="Arial Narrow" w:hAnsi="Arial Narrow" w:cs="Arial Narrow"/>
                <w:snapToGrid/>
                <w:sz w:val="20"/>
              </w:rPr>
              <w:t xml:space="preserve"> D1693C00005; NCT01392677.</w:t>
            </w:r>
          </w:p>
        </w:tc>
        <w:tc>
          <w:tcPr>
            <w:tcW w:w="1017" w:type="pct"/>
            <w:tcBorders>
              <w:bottom w:val="nil"/>
            </w:tcBorders>
          </w:tcPr>
          <w:p w:rsidR="003731C2" w:rsidRPr="00D75C70" w:rsidRDefault="003731C2" w:rsidP="00804107">
            <w:pPr>
              <w:keepNext/>
              <w:widowControl/>
              <w:ind w:left="-6"/>
              <w:jc w:val="left"/>
              <w:rPr>
                <w:rFonts w:ascii="Arial Narrow" w:hAnsi="Arial Narrow" w:cs="Arial Narrow"/>
                <w:b/>
                <w:snapToGrid/>
                <w:sz w:val="20"/>
              </w:rPr>
            </w:pPr>
            <w:r>
              <w:rPr>
                <w:rFonts w:ascii="Arial Narrow" w:hAnsi="Arial Narrow" w:cs="Arial Narrow"/>
                <w:snapToGrid/>
                <w:sz w:val="20"/>
              </w:rPr>
              <w:t>27</w:t>
            </w:r>
            <w:r w:rsidRPr="00641A53">
              <w:rPr>
                <w:rFonts w:ascii="Arial Narrow" w:hAnsi="Arial Narrow" w:cs="Arial Narrow"/>
                <w:snapToGrid/>
                <w:sz w:val="20"/>
              </w:rPr>
              <w:t xml:space="preserve"> September 2010.</w:t>
            </w:r>
          </w:p>
        </w:tc>
      </w:tr>
      <w:tr w:rsidR="003731C2" w:rsidRPr="00D75C70" w:rsidTr="00BD17A2">
        <w:trPr>
          <w:trHeight w:val="288"/>
        </w:trPr>
        <w:tc>
          <w:tcPr>
            <w:tcW w:w="763" w:type="pct"/>
            <w:vMerge/>
          </w:tcPr>
          <w:p w:rsidR="003731C2" w:rsidRPr="00D75C70" w:rsidRDefault="003731C2" w:rsidP="00804107">
            <w:pPr>
              <w:keepNext/>
              <w:widowControl/>
              <w:jc w:val="left"/>
              <w:rPr>
                <w:rFonts w:ascii="Arial Narrow" w:hAnsi="Arial Narrow"/>
                <w:sz w:val="20"/>
              </w:rPr>
            </w:pPr>
          </w:p>
        </w:tc>
        <w:tc>
          <w:tcPr>
            <w:tcW w:w="3220" w:type="pct"/>
            <w:tcBorders>
              <w:top w:val="nil"/>
              <w:bottom w:val="nil"/>
            </w:tcBorders>
          </w:tcPr>
          <w:p w:rsidR="003731C2" w:rsidRPr="00D75C70" w:rsidRDefault="003731C2" w:rsidP="00804107">
            <w:pPr>
              <w:keepNext/>
              <w:widowControl/>
              <w:ind w:left="-6"/>
              <w:jc w:val="left"/>
              <w:rPr>
                <w:rFonts w:ascii="Arial Narrow" w:hAnsi="Arial Narrow" w:cs="Arial Narrow"/>
                <w:snapToGrid/>
                <w:sz w:val="20"/>
              </w:rPr>
            </w:pPr>
            <w:r>
              <w:rPr>
                <w:rFonts w:ascii="Arial Narrow" w:hAnsi="Arial Narrow" w:cs="Arial Narrow"/>
                <w:snapToGrid/>
                <w:sz w:val="20"/>
              </w:rPr>
              <w:t xml:space="preserve">Grandy et al. (2014) </w:t>
            </w:r>
            <w:r w:rsidRPr="005C4570">
              <w:rPr>
                <w:rFonts w:ascii="Arial Narrow" w:hAnsi="Arial Narrow" w:cs="Arial Narrow"/>
                <w:snapToGrid/>
                <w:sz w:val="20"/>
              </w:rPr>
              <w:t>Weight-related quality of life and treatment satisfaction among type 2 diabetes mellitus patients treated with dapagliflozin in triple-therapy regimen</w:t>
            </w:r>
            <w:r>
              <w:rPr>
                <w:rFonts w:ascii="Arial Narrow" w:hAnsi="Arial Narrow" w:cs="Arial Narrow"/>
                <w:snapToGrid/>
                <w:sz w:val="20"/>
              </w:rPr>
              <w:t>.</w:t>
            </w:r>
          </w:p>
        </w:tc>
        <w:tc>
          <w:tcPr>
            <w:tcW w:w="1017" w:type="pct"/>
            <w:tcBorders>
              <w:top w:val="nil"/>
              <w:bottom w:val="nil"/>
            </w:tcBorders>
          </w:tcPr>
          <w:p w:rsidR="003731C2" w:rsidRPr="00D75C70" w:rsidRDefault="003731C2" w:rsidP="00804107">
            <w:pPr>
              <w:keepNext/>
              <w:widowControl/>
              <w:jc w:val="left"/>
              <w:rPr>
                <w:rFonts w:ascii="Arial Narrow" w:hAnsi="Arial Narrow" w:cs="Arial Narrow"/>
                <w:snapToGrid/>
                <w:sz w:val="20"/>
              </w:rPr>
            </w:pPr>
            <w:r w:rsidRPr="005C4570">
              <w:rPr>
                <w:rFonts w:ascii="Arial Narrow" w:hAnsi="Arial Narrow" w:cs="Arial Narrow"/>
                <w:i/>
                <w:snapToGrid/>
                <w:sz w:val="20"/>
              </w:rPr>
              <w:t>Diabetes</w:t>
            </w:r>
            <w:r w:rsidRPr="005C4570">
              <w:rPr>
                <w:rFonts w:ascii="Arial Narrow" w:hAnsi="Arial Narrow" w:cs="Arial Narrow"/>
                <w:snapToGrid/>
                <w:sz w:val="20"/>
              </w:rPr>
              <w:t xml:space="preserve"> </w:t>
            </w:r>
            <w:r>
              <w:rPr>
                <w:rFonts w:ascii="Arial Narrow" w:hAnsi="Arial Narrow" w:cs="Arial Narrow"/>
                <w:snapToGrid/>
                <w:sz w:val="20"/>
              </w:rPr>
              <w:t>2014; 63:</w:t>
            </w:r>
            <w:r w:rsidRPr="005C4570">
              <w:rPr>
                <w:rFonts w:ascii="Arial Narrow" w:hAnsi="Arial Narrow" w:cs="Arial Narrow"/>
                <w:snapToGrid/>
                <w:sz w:val="20"/>
              </w:rPr>
              <w:t>A204-A205</w:t>
            </w:r>
            <w:r>
              <w:rPr>
                <w:rFonts w:ascii="Arial Narrow" w:hAnsi="Arial Narrow" w:cs="Arial Narrow"/>
                <w:snapToGrid/>
                <w:sz w:val="20"/>
              </w:rPr>
              <w:t>.</w:t>
            </w:r>
          </w:p>
        </w:tc>
      </w:tr>
      <w:tr w:rsidR="003731C2" w:rsidRPr="00D75C70" w:rsidTr="00BD17A2">
        <w:trPr>
          <w:trHeight w:val="698"/>
        </w:trPr>
        <w:tc>
          <w:tcPr>
            <w:tcW w:w="763" w:type="pct"/>
            <w:vMerge/>
          </w:tcPr>
          <w:p w:rsidR="003731C2" w:rsidRPr="00D75C70" w:rsidRDefault="003731C2" w:rsidP="00804107">
            <w:pPr>
              <w:keepNext/>
              <w:widowControl/>
              <w:jc w:val="left"/>
              <w:rPr>
                <w:rFonts w:ascii="Arial Narrow" w:hAnsi="Arial Narrow"/>
                <w:sz w:val="20"/>
              </w:rPr>
            </w:pPr>
          </w:p>
        </w:tc>
        <w:tc>
          <w:tcPr>
            <w:tcW w:w="3220" w:type="pct"/>
            <w:tcBorders>
              <w:top w:val="nil"/>
              <w:bottom w:val="nil"/>
            </w:tcBorders>
          </w:tcPr>
          <w:p w:rsidR="003731C2" w:rsidRDefault="003731C2" w:rsidP="00804107">
            <w:pPr>
              <w:keepNext/>
              <w:widowControl/>
              <w:ind w:left="-6"/>
              <w:jc w:val="left"/>
              <w:rPr>
                <w:rFonts w:ascii="Arial Narrow" w:hAnsi="Arial Narrow" w:cs="Arial Narrow"/>
                <w:snapToGrid/>
                <w:sz w:val="20"/>
              </w:rPr>
            </w:pPr>
            <w:r>
              <w:rPr>
                <w:rFonts w:ascii="Arial Narrow" w:hAnsi="Arial Narrow" w:cs="Arial Narrow"/>
                <w:snapToGrid/>
                <w:sz w:val="20"/>
              </w:rPr>
              <w:t xml:space="preserve">Matthaei et al. (2014) </w:t>
            </w:r>
            <w:r w:rsidRPr="005C4570">
              <w:rPr>
                <w:rFonts w:ascii="Arial Narrow" w:hAnsi="Arial Narrow" w:cs="Arial Narrow"/>
                <w:snapToGrid/>
                <w:sz w:val="20"/>
              </w:rPr>
              <w:t>Improvement in glycaemic control and reduction in body weight over 52 weeks with dapagliflozin as add-on therapy to metformin plus sulphonylurea</w:t>
            </w:r>
            <w:r>
              <w:rPr>
                <w:rFonts w:ascii="Arial Narrow" w:hAnsi="Arial Narrow" w:cs="Arial Narrow"/>
                <w:snapToGrid/>
                <w:sz w:val="20"/>
              </w:rPr>
              <w:t>.</w:t>
            </w:r>
          </w:p>
        </w:tc>
        <w:tc>
          <w:tcPr>
            <w:tcW w:w="1017" w:type="pct"/>
            <w:tcBorders>
              <w:top w:val="nil"/>
              <w:bottom w:val="nil"/>
            </w:tcBorders>
          </w:tcPr>
          <w:p w:rsidR="003731C2" w:rsidRPr="005C4570" w:rsidRDefault="003731C2" w:rsidP="00804107">
            <w:pPr>
              <w:keepNext/>
              <w:widowControl/>
              <w:jc w:val="left"/>
              <w:rPr>
                <w:rFonts w:ascii="Arial Narrow" w:hAnsi="Arial Narrow" w:cs="Arial Narrow"/>
                <w:i/>
                <w:snapToGrid/>
                <w:sz w:val="20"/>
              </w:rPr>
            </w:pPr>
            <w:r w:rsidRPr="005C4570">
              <w:rPr>
                <w:rFonts w:ascii="Arial Narrow" w:hAnsi="Arial Narrow" w:cs="Arial Narrow"/>
                <w:i/>
                <w:snapToGrid/>
                <w:sz w:val="20"/>
              </w:rPr>
              <w:t xml:space="preserve">Diabetologia </w:t>
            </w:r>
            <w:r w:rsidRPr="005C4570">
              <w:rPr>
                <w:rFonts w:ascii="Arial Narrow" w:hAnsi="Arial Narrow" w:cs="Arial Narrow"/>
                <w:snapToGrid/>
                <w:sz w:val="20"/>
              </w:rPr>
              <w:t>2014</w:t>
            </w:r>
            <w:r>
              <w:rPr>
                <w:rFonts w:ascii="Arial Narrow" w:hAnsi="Arial Narrow" w:cs="Arial Narrow"/>
                <w:snapToGrid/>
                <w:sz w:val="20"/>
              </w:rPr>
              <w:t>; 57(1):</w:t>
            </w:r>
            <w:r w:rsidRPr="005C4570">
              <w:rPr>
                <w:rFonts w:ascii="Arial Narrow" w:hAnsi="Arial Narrow" w:cs="Arial Narrow"/>
                <w:snapToGrid/>
                <w:sz w:val="20"/>
              </w:rPr>
              <w:t>S347.</w:t>
            </w:r>
          </w:p>
        </w:tc>
      </w:tr>
      <w:tr w:rsidR="003731C2" w:rsidRPr="00D75C70" w:rsidTr="00BD17A2">
        <w:trPr>
          <w:trHeight w:val="94"/>
        </w:trPr>
        <w:tc>
          <w:tcPr>
            <w:tcW w:w="763" w:type="pct"/>
            <w:vMerge/>
          </w:tcPr>
          <w:p w:rsidR="003731C2" w:rsidRPr="00D75C70" w:rsidRDefault="003731C2" w:rsidP="00804107">
            <w:pPr>
              <w:keepNext/>
              <w:widowControl/>
              <w:jc w:val="left"/>
              <w:rPr>
                <w:rFonts w:ascii="Arial Narrow" w:hAnsi="Arial Narrow"/>
                <w:sz w:val="20"/>
              </w:rPr>
            </w:pPr>
          </w:p>
        </w:tc>
        <w:tc>
          <w:tcPr>
            <w:tcW w:w="3220" w:type="pct"/>
            <w:tcBorders>
              <w:top w:val="nil"/>
            </w:tcBorders>
          </w:tcPr>
          <w:p w:rsidR="003731C2" w:rsidRDefault="003731C2" w:rsidP="00804107">
            <w:pPr>
              <w:keepNext/>
              <w:widowControl/>
              <w:ind w:left="-6"/>
              <w:jc w:val="left"/>
              <w:rPr>
                <w:rFonts w:ascii="Arial Narrow" w:hAnsi="Arial Narrow" w:cs="Arial Narrow"/>
                <w:snapToGrid/>
                <w:sz w:val="20"/>
              </w:rPr>
            </w:pPr>
            <w:r>
              <w:rPr>
                <w:rFonts w:ascii="Arial Narrow" w:hAnsi="Arial Narrow" w:cs="Arial Narrow"/>
                <w:snapToGrid/>
                <w:sz w:val="20"/>
              </w:rPr>
              <w:t xml:space="preserve">Matthaei et al. (2013) </w:t>
            </w:r>
            <w:r w:rsidRPr="005C4570">
              <w:rPr>
                <w:rFonts w:ascii="Arial Narrow" w:hAnsi="Arial Narrow" w:cs="Arial Narrow"/>
                <w:snapToGrid/>
                <w:sz w:val="20"/>
              </w:rPr>
              <w:t>Dapagliflozin improves glycaemic control and reduces body weight as add-on therapy to metformin plus sulphonylurea</w:t>
            </w:r>
            <w:r>
              <w:rPr>
                <w:rFonts w:ascii="Arial Narrow" w:hAnsi="Arial Narrow" w:cs="Arial Narrow"/>
                <w:snapToGrid/>
                <w:sz w:val="20"/>
              </w:rPr>
              <w:t>.</w:t>
            </w:r>
          </w:p>
        </w:tc>
        <w:tc>
          <w:tcPr>
            <w:tcW w:w="1017" w:type="pct"/>
            <w:tcBorders>
              <w:top w:val="nil"/>
            </w:tcBorders>
          </w:tcPr>
          <w:p w:rsidR="003731C2" w:rsidRPr="005C4570" w:rsidRDefault="003731C2" w:rsidP="00804107">
            <w:pPr>
              <w:keepNext/>
              <w:widowControl/>
              <w:jc w:val="left"/>
              <w:rPr>
                <w:rFonts w:ascii="Arial Narrow" w:hAnsi="Arial Narrow" w:cs="Arial Narrow"/>
                <w:i/>
                <w:snapToGrid/>
                <w:sz w:val="20"/>
              </w:rPr>
            </w:pPr>
            <w:r w:rsidRPr="005C4570">
              <w:rPr>
                <w:rFonts w:ascii="Arial Narrow" w:hAnsi="Arial Narrow" w:cs="Arial Narrow"/>
                <w:i/>
                <w:snapToGrid/>
                <w:sz w:val="20"/>
              </w:rPr>
              <w:t xml:space="preserve">Diabetologia </w:t>
            </w:r>
            <w:r w:rsidRPr="005C4570">
              <w:rPr>
                <w:rFonts w:ascii="Arial Narrow" w:hAnsi="Arial Narrow" w:cs="Arial Narrow"/>
                <w:snapToGrid/>
                <w:sz w:val="20"/>
              </w:rPr>
              <w:t>2014</w:t>
            </w:r>
            <w:r>
              <w:rPr>
                <w:rFonts w:ascii="Arial Narrow" w:hAnsi="Arial Narrow" w:cs="Arial Narrow"/>
                <w:snapToGrid/>
                <w:sz w:val="20"/>
              </w:rPr>
              <w:t>; 56:</w:t>
            </w:r>
            <w:r w:rsidRPr="005C4570">
              <w:rPr>
                <w:rFonts w:ascii="Arial Narrow" w:hAnsi="Arial Narrow" w:cs="Arial Narrow"/>
                <w:snapToGrid/>
                <w:sz w:val="20"/>
              </w:rPr>
              <w:t>S3</w:t>
            </w:r>
            <w:r>
              <w:rPr>
                <w:rFonts w:ascii="Arial Narrow" w:hAnsi="Arial Narrow" w:cs="Arial Narrow"/>
                <w:snapToGrid/>
                <w:sz w:val="20"/>
              </w:rPr>
              <w:t>74-S375</w:t>
            </w:r>
            <w:r w:rsidRPr="005C4570">
              <w:rPr>
                <w:rFonts w:ascii="Arial Narrow" w:hAnsi="Arial Narrow" w:cs="Arial Narrow"/>
                <w:snapToGrid/>
                <w:sz w:val="20"/>
              </w:rPr>
              <w:t>.</w:t>
            </w:r>
          </w:p>
        </w:tc>
      </w:tr>
    </w:tbl>
    <w:p w:rsidR="008E3589" w:rsidRDefault="003731C2" w:rsidP="00804107">
      <w:pPr>
        <w:widowControl/>
        <w:ind w:left="709"/>
        <w:rPr>
          <w:rFonts w:ascii="Arial Narrow" w:hAnsi="Arial Narrow"/>
          <w:sz w:val="18"/>
        </w:rPr>
      </w:pPr>
      <w:r w:rsidRPr="00D75C70">
        <w:rPr>
          <w:rFonts w:ascii="Arial Narrow" w:hAnsi="Arial Narrow"/>
          <w:sz w:val="18"/>
        </w:rPr>
        <w:t>Source: Table B.</w:t>
      </w:r>
      <w:r>
        <w:rPr>
          <w:rFonts w:ascii="Arial Narrow" w:hAnsi="Arial Narrow"/>
          <w:sz w:val="18"/>
        </w:rPr>
        <w:t>4</w:t>
      </w:r>
      <w:r w:rsidRPr="00D75C70">
        <w:rPr>
          <w:rFonts w:ascii="Arial Narrow" w:hAnsi="Arial Narrow"/>
          <w:sz w:val="18"/>
        </w:rPr>
        <w:t>, p</w:t>
      </w:r>
      <w:r>
        <w:rPr>
          <w:rFonts w:ascii="Arial Narrow" w:hAnsi="Arial Narrow"/>
          <w:sz w:val="18"/>
        </w:rPr>
        <w:t>42-44</w:t>
      </w:r>
      <w:r w:rsidRPr="00D75C70">
        <w:rPr>
          <w:rFonts w:ascii="Arial Narrow" w:hAnsi="Arial Narrow"/>
          <w:sz w:val="18"/>
        </w:rPr>
        <w:t xml:space="preserve"> of the submission</w:t>
      </w:r>
      <w:r>
        <w:rPr>
          <w:rFonts w:ascii="Arial Narrow" w:hAnsi="Arial Narrow"/>
          <w:sz w:val="18"/>
        </w:rPr>
        <w:t>.</w:t>
      </w:r>
    </w:p>
    <w:p w:rsidR="00CD6E5C" w:rsidRPr="00CD6E5C" w:rsidRDefault="00CD6E5C" w:rsidP="00804107">
      <w:pPr>
        <w:widowControl/>
        <w:ind w:left="709"/>
        <w:rPr>
          <w:rFonts w:ascii="Arial Narrow" w:hAnsi="Arial Narrow"/>
          <w:szCs w:val="22"/>
        </w:rPr>
      </w:pPr>
    </w:p>
    <w:p w:rsidR="007F1017" w:rsidRPr="006B21B9" w:rsidRDefault="008068F6" w:rsidP="00804107">
      <w:pPr>
        <w:pStyle w:val="ListParagraph"/>
        <w:widowControl/>
        <w:numPr>
          <w:ilvl w:val="1"/>
          <w:numId w:val="5"/>
        </w:numPr>
        <w:rPr>
          <w:szCs w:val="22"/>
        </w:rPr>
      </w:pPr>
      <w:r>
        <w:rPr>
          <w:szCs w:val="22"/>
        </w:rPr>
        <w:t>T</w:t>
      </w:r>
      <w:r w:rsidR="008F120A" w:rsidRPr="006B21B9">
        <w:rPr>
          <w:szCs w:val="22"/>
        </w:rPr>
        <w:t>he key features</w:t>
      </w:r>
      <w:r w:rsidR="003731C2" w:rsidRPr="006B21B9">
        <w:rPr>
          <w:szCs w:val="22"/>
        </w:rPr>
        <w:t xml:space="preserve"> of the randomised trials</w:t>
      </w:r>
      <w:r w:rsidR="008F120A" w:rsidRPr="006B21B9">
        <w:rPr>
          <w:szCs w:val="22"/>
        </w:rPr>
        <w:t xml:space="preserve"> are summarised </w:t>
      </w:r>
      <w:r w:rsidR="009C714F">
        <w:rPr>
          <w:szCs w:val="22"/>
        </w:rPr>
        <w:t>below</w:t>
      </w:r>
      <w:r w:rsidR="008F120A" w:rsidRPr="006B21B9">
        <w:rPr>
          <w:szCs w:val="22"/>
        </w:rPr>
        <w:t>.</w:t>
      </w:r>
    </w:p>
    <w:p w:rsidR="006B21B9" w:rsidRPr="006B21B9" w:rsidRDefault="006B21B9" w:rsidP="00804107">
      <w:pPr>
        <w:pStyle w:val="ListParagraph"/>
        <w:widowControl/>
        <w:rPr>
          <w:szCs w:val="22"/>
        </w:rPr>
      </w:pPr>
    </w:p>
    <w:p w:rsidR="007F1017" w:rsidRDefault="00CB5E1D" w:rsidP="00804107">
      <w:pPr>
        <w:keepNext/>
        <w:widowControl/>
        <w:ind w:firstLine="720"/>
        <w:rPr>
          <w:rStyle w:val="CommentReference"/>
        </w:rPr>
      </w:pPr>
      <w:r>
        <w:rPr>
          <w:rStyle w:val="CommentReference"/>
        </w:rPr>
        <w:t xml:space="preserve">Table 2: </w:t>
      </w:r>
      <w:r w:rsidR="007F1017" w:rsidRPr="00E2771E">
        <w:rPr>
          <w:rStyle w:val="CommentReference"/>
        </w:rPr>
        <w:t>Key features of the included evidence</w:t>
      </w:r>
    </w:p>
    <w:tbl>
      <w:tblPr>
        <w:tblW w:w="4606"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0"/>
        <w:gridCol w:w="709"/>
        <w:gridCol w:w="991"/>
        <w:gridCol w:w="1984"/>
        <w:gridCol w:w="1988"/>
        <w:gridCol w:w="996"/>
        <w:gridCol w:w="708"/>
      </w:tblGrid>
      <w:tr w:rsidR="006B21B9" w:rsidRPr="00E574BA" w:rsidTr="006B21B9">
        <w:trPr>
          <w:tblHeader/>
        </w:trPr>
        <w:tc>
          <w:tcPr>
            <w:tcW w:w="592" w:type="pct"/>
            <w:shd w:val="clear" w:color="auto" w:fill="auto"/>
            <w:vAlign w:val="center"/>
          </w:tcPr>
          <w:p w:rsidR="003731C2" w:rsidRPr="00E574BA" w:rsidRDefault="003731C2" w:rsidP="00804107">
            <w:pPr>
              <w:pStyle w:val="COMtbl-HEADLeftAligned"/>
              <w:keepNext/>
              <w:widowControl/>
              <w:rPr>
                <w:lang w:val="en-US"/>
              </w:rPr>
            </w:pPr>
            <w:r w:rsidRPr="00E574BA">
              <w:rPr>
                <w:lang w:val="en-US"/>
              </w:rPr>
              <w:t>Trial</w:t>
            </w:r>
          </w:p>
        </w:tc>
        <w:tc>
          <w:tcPr>
            <w:tcW w:w="424" w:type="pct"/>
            <w:shd w:val="clear" w:color="auto" w:fill="auto"/>
            <w:vAlign w:val="center"/>
          </w:tcPr>
          <w:p w:rsidR="003731C2" w:rsidRPr="00E574BA" w:rsidRDefault="003731C2" w:rsidP="00804107">
            <w:pPr>
              <w:pStyle w:val="COMtbl-HEADCentred"/>
              <w:keepNext/>
              <w:widowControl/>
              <w:rPr>
                <w:vertAlign w:val="superscript"/>
                <w:lang w:val="en-US"/>
              </w:rPr>
            </w:pPr>
            <w:r w:rsidRPr="00E574BA">
              <w:rPr>
                <w:lang w:val="en-US"/>
              </w:rPr>
              <w:t>N</w:t>
            </w:r>
          </w:p>
        </w:tc>
        <w:tc>
          <w:tcPr>
            <w:tcW w:w="592" w:type="pct"/>
            <w:shd w:val="clear" w:color="auto" w:fill="auto"/>
            <w:vAlign w:val="center"/>
          </w:tcPr>
          <w:p w:rsidR="003731C2" w:rsidRPr="00E574BA" w:rsidRDefault="003731C2" w:rsidP="00804107">
            <w:pPr>
              <w:pStyle w:val="COMtbl-HEADCentred"/>
              <w:keepNext/>
              <w:widowControl/>
              <w:rPr>
                <w:lang w:val="en-US"/>
              </w:rPr>
            </w:pPr>
            <w:r w:rsidRPr="00E574BA">
              <w:rPr>
                <w:lang w:val="en-US"/>
              </w:rPr>
              <w:t>Design</w:t>
            </w:r>
          </w:p>
        </w:tc>
        <w:tc>
          <w:tcPr>
            <w:tcW w:w="1186" w:type="pct"/>
            <w:shd w:val="clear" w:color="auto" w:fill="auto"/>
            <w:vAlign w:val="center"/>
          </w:tcPr>
          <w:p w:rsidR="003731C2" w:rsidRPr="00E574BA" w:rsidRDefault="003731C2" w:rsidP="00804107">
            <w:pPr>
              <w:pStyle w:val="COMtbl-HEADCentred"/>
              <w:keepNext/>
              <w:widowControl/>
              <w:rPr>
                <w:lang w:val="en-US"/>
              </w:rPr>
            </w:pPr>
            <w:r w:rsidRPr="00E574BA">
              <w:rPr>
                <w:lang w:val="en-US"/>
              </w:rPr>
              <w:t>Comparison</w:t>
            </w:r>
          </w:p>
        </w:tc>
        <w:tc>
          <w:tcPr>
            <w:tcW w:w="1188" w:type="pct"/>
            <w:shd w:val="clear" w:color="auto" w:fill="auto"/>
            <w:vAlign w:val="center"/>
          </w:tcPr>
          <w:p w:rsidR="003731C2" w:rsidRPr="00E574BA" w:rsidRDefault="003731C2" w:rsidP="00804107">
            <w:pPr>
              <w:pStyle w:val="COMtbl-HEADCentred"/>
              <w:keepNext/>
              <w:widowControl/>
              <w:rPr>
                <w:lang w:val="en-US"/>
              </w:rPr>
            </w:pPr>
            <w:r w:rsidRPr="00E574BA">
              <w:rPr>
                <w:lang w:val="en-US"/>
              </w:rPr>
              <w:t>Background diabetes medicines</w:t>
            </w:r>
          </w:p>
        </w:tc>
        <w:tc>
          <w:tcPr>
            <w:tcW w:w="595" w:type="pct"/>
            <w:shd w:val="clear" w:color="auto" w:fill="auto"/>
            <w:vAlign w:val="center"/>
          </w:tcPr>
          <w:p w:rsidR="003731C2" w:rsidRPr="00E574BA" w:rsidRDefault="003731C2" w:rsidP="00804107">
            <w:pPr>
              <w:pStyle w:val="COMtbl-HEADCentred"/>
              <w:keepNext/>
              <w:widowControl/>
              <w:rPr>
                <w:lang w:val="en-US"/>
              </w:rPr>
            </w:pPr>
            <w:r w:rsidRPr="00E574BA">
              <w:rPr>
                <w:lang w:val="en-US"/>
              </w:rPr>
              <w:t>Patient population</w:t>
            </w:r>
          </w:p>
        </w:tc>
        <w:tc>
          <w:tcPr>
            <w:tcW w:w="424" w:type="pct"/>
          </w:tcPr>
          <w:p w:rsidR="003731C2" w:rsidRPr="00E574BA" w:rsidRDefault="003731C2" w:rsidP="00804107">
            <w:pPr>
              <w:pStyle w:val="COMtbl-HEADCentred"/>
              <w:keepNext/>
              <w:widowControl/>
              <w:rPr>
                <w:lang w:val="en-US"/>
              </w:rPr>
            </w:pPr>
            <w:r>
              <w:rPr>
                <w:lang w:val="en-US"/>
              </w:rPr>
              <w:t>Risk of bias</w:t>
            </w:r>
          </w:p>
        </w:tc>
      </w:tr>
      <w:tr w:rsidR="003731C2" w:rsidRPr="00E574BA" w:rsidTr="006B21B9">
        <w:tc>
          <w:tcPr>
            <w:tcW w:w="5000" w:type="pct"/>
            <w:gridSpan w:val="7"/>
            <w:shd w:val="clear" w:color="auto" w:fill="auto"/>
            <w:vAlign w:val="center"/>
          </w:tcPr>
          <w:p w:rsidR="003731C2" w:rsidRDefault="003731C2" w:rsidP="00804107">
            <w:pPr>
              <w:keepNext/>
              <w:widowControl/>
              <w:jc w:val="left"/>
              <w:rPr>
                <w:rFonts w:ascii="Arial Narrow" w:hAnsi="Arial Narrow"/>
                <w:b/>
                <w:sz w:val="20"/>
              </w:rPr>
            </w:pPr>
            <w:r>
              <w:rPr>
                <w:rFonts w:ascii="Arial Narrow" w:hAnsi="Arial Narrow"/>
                <w:b/>
                <w:sz w:val="20"/>
              </w:rPr>
              <w:t>Saxagliptin vs placebo (metformin + sulfonylurea background)</w:t>
            </w:r>
          </w:p>
        </w:tc>
      </w:tr>
      <w:tr w:rsidR="006B21B9" w:rsidRPr="00E574BA" w:rsidTr="006B21B9">
        <w:tc>
          <w:tcPr>
            <w:tcW w:w="592" w:type="pct"/>
            <w:shd w:val="clear" w:color="auto" w:fill="auto"/>
            <w:vAlign w:val="center"/>
          </w:tcPr>
          <w:p w:rsidR="003731C2" w:rsidRPr="00E574BA" w:rsidRDefault="003731C2" w:rsidP="00804107">
            <w:pPr>
              <w:keepNext/>
              <w:widowControl/>
              <w:jc w:val="left"/>
              <w:rPr>
                <w:rFonts w:ascii="Arial Narrow" w:hAnsi="Arial Narrow"/>
                <w:b/>
                <w:sz w:val="20"/>
              </w:rPr>
            </w:pPr>
            <w:r>
              <w:rPr>
                <w:rFonts w:ascii="Arial Narrow" w:hAnsi="Arial Narrow"/>
                <w:b/>
                <w:sz w:val="20"/>
              </w:rPr>
              <w:t>Trial D006</w:t>
            </w:r>
          </w:p>
          <w:p w:rsidR="003731C2" w:rsidRPr="00E574BA" w:rsidRDefault="003731C2" w:rsidP="00804107">
            <w:pPr>
              <w:keepNext/>
              <w:widowControl/>
              <w:jc w:val="left"/>
              <w:rPr>
                <w:rFonts w:ascii="Arial Narrow" w:hAnsi="Arial Narrow"/>
                <w:iCs/>
                <w:sz w:val="20"/>
                <w:lang w:val="en-US"/>
              </w:rPr>
            </w:pPr>
            <w:r>
              <w:rPr>
                <w:rFonts w:ascii="Arial Narrow" w:hAnsi="Arial Narrow"/>
                <w:sz w:val="20"/>
              </w:rPr>
              <w:t>24 wee</w:t>
            </w:r>
            <w:r w:rsidRPr="00E574BA">
              <w:rPr>
                <w:rFonts w:ascii="Arial Narrow" w:hAnsi="Arial Narrow"/>
                <w:sz w:val="20"/>
              </w:rPr>
              <w:t>ks</w:t>
            </w:r>
          </w:p>
        </w:tc>
        <w:tc>
          <w:tcPr>
            <w:tcW w:w="424" w:type="pct"/>
            <w:shd w:val="clear" w:color="auto" w:fill="auto"/>
            <w:vAlign w:val="center"/>
          </w:tcPr>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N=257</w:t>
            </w:r>
          </w:p>
        </w:tc>
        <w:tc>
          <w:tcPr>
            <w:tcW w:w="592" w:type="pct"/>
            <w:shd w:val="clear" w:color="auto" w:fill="auto"/>
            <w:vAlign w:val="center"/>
          </w:tcPr>
          <w:p w:rsidR="003731C2" w:rsidRDefault="003731C2" w:rsidP="00804107">
            <w:pPr>
              <w:keepNext/>
              <w:widowControl/>
              <w:jc w:val="center"/>
              <w:rPr>
                <w:rFonts w:ascii="Arial Narrow" w:hAnsi="Arial Narrow"/>
                <w:sz w:val="20"/>
                <w:lang w:val="en-US"/>
              </w:rPr>
            </w:pPr>
            <w:r>
              <w:rPr>
                <w:rFonts w:ascii="Arial Narrow" w:hAnsi="Arial Narrow"/>
                <w:sz w:val="20"/>
              </w:rPr>
              <w:t>RCT</w:t>
            </w:r>
          </w:p>
          <w:p w:rsidR="003731C2" w:rsidRPr="00E574BA" w:rsidRDefault="003731C2" w:rsidP="00804107">
            <w:pPr>
              <w:keepNext/>
              <w:widowControl/>
              <w:jc w:val="center"/>
              <w:rPr>
                <w:rFonts w:ascii="Arial Narrow" w:hAnsi="Arial Narrow"/>
                <w:sz w:val="20"/>
                <w:lang w:val="en-US"/>
              </w:rPr>
            </w:pPr>
            <w:r w:rsidRPr="00E574BA">
              <w:rPr>
                <w:rFonts w:ascii="Arial Narrow" w:hAnsi="Arial Narrow"/>
                <w:sz w:val="20"/>
                <w:lang w:val="en-US"/>
              </w:rPr>
              <w:t>double-blind</w:t>
            </w:r>
            <w:r>
              <w:rPr>
                <w:rFonts w:ascii="Arial Narrow" w:hAnsi="Arial Narrow"/>
                <w:sz w:val="20"/>
                <w:lang w:val="en-US"/>
              </w:rPr>
              <w:t xml:space="preserve"> multi </w:t>
            </w:r>
            <w:r w:rsidRPr="00926740">
              <w:rPr>
                <w:rFonts w:ascii="Arial Narrow" w:hAnsi="Arial Narrow"/>
                <w:sz w:val="20"/>
              </w:rPr>
              <w:t>centre</w:t>
            </w:r>
          </w:p>
        </w:tc>
        <w:tc>
          <w:tcPr>
            <w:tcW w:w="1186" w:type="pct"/>
            <w:shd w:val="clear" w:color="auto" w:fill="auto"/>
            <w:vAlign w:val="center"/>
          </w:tcPr>
          <w:p w:rsidR="003731C2" w:rsidRDefault="003731C2" w:rsidP="00804107">
            <w:pPr>
              <w:keepNext/>
              <w:widowControl/>
              <w:jc w:val="center"/>
              <w:rPr>
                <w:rFonts w:ascii="Arial Narrow" w:hAnsi="Arial Narrow"/>
                <w:sz w:val="20"/>
                <w:lang w:val="en-US"/>
              </w:rPr>
            </w:pPr>
            <w:r>
              <w:rPr>
                <w:rFonts w:ascii="Arial Narrow" w:hAnsi="Arial Narrow"/>
                <w:sz w:val="20"/>
                <w:lang w:val="en-US"/>
              </w:rPr>
              <w:t>SAXA</w:t>
            </w:r>
            <w:r w:rsidRPr="00E574BA">
              <w:rPr>
                <w:rFonts w:ascii="Arial Narrow" w:hAnsi="Arial Narrow"/>
                <w:sz w:val="20"/>
                <w:lang w:val="en-US"/>
              </w:rPr>
              <w:t xml:space="preserve"> </w:t>
            </w:r>
            <w:r w:rsidRPr="00744BE5">
              <w:rPr>
                <w:rFonts w:ascii="Arial Narrow" w:hAnsi="Arial Narrow"/>
                <w:sz w:val="20"/>
                <w:lang w:val="en-US"/>
              </w:rPr>
              <w:t>5mg</w:t>
            </w:r>
            <w:r>
              <w:rPr>
                <w:rFonts w:ascii="Arial Narrow" w:hAnsi="Arial Narrow"/>
                <w:sz w:val="20"/>
                <w:u w:val="single"/>
                <w:lang w:val="en-US"/>
              </w:rPr>
              <w:t xml:space="preserve"> </w:t>
            </w:r>
            <w:r>
              <w:rPr>
                <w:rFonts w:ascii="Arial Narrow" w:hAnsi="Arial Narrow"/>
                <w:sz w:val="20"/>
                <w:lang w:val="en-US"/>
              </w:rPr>
              <w:t xml:space="preserve">+MET+SU </w:t>
            </w:r>
            <w:r w:rsidRPr="00E574BA">
              <w:rPr>
                <w:rFonts w:ascii="Arial Narrow" w:hAnsi="Arial Narrow"/>
                <w:sz w:val="20"/>
                <w:lang w:val="en-US"/>
              </w:rPr>
              <w:t>vs</w:t>
            </w:r>
          </w:p>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placebo +MET+SU</w:t>
            </w:r>
          </w:p>
        </w:tc>
        <w:tc>
          <w:tcPr>
            <w:tcW w:w="1188" w:type="pct"/>
            <w:shd w:val="clear" w:color="auto" w:fill="auto"/>
            <w:vAlign w:val="center"/>
          </w:tcPr>
          <w:p w:rsidR="003731C2" w:rsidRPr="00E574BA" w:rsidRDefault="003731C2" w:rsidP="00804107">
            <w:pPr>
              <w:keepNext/>
              <w:widowControl/>
              <w:jc w:val="left"/>
              <w:rPr>
                <w:rFonts w:ascii="Arial Narrow" w:hAnsi="Arial Narrow"/>
                <w:sz w:val="20"/>
                <w:lang w:val="en-US"/>
              </w:rPr>
            </w:pPr>
            <w:r w:rsidRPr="00CE77FF">
              <w:rPr>
                <w:rFonts w:ascii="Arial Narrow" w:hAnsi="Arial Narrow"/>
                <w:sz w:val="20"/>
                <w:lang w:val="en-US"/>
              </w:rPr>
              <w:t>M</w:t>
            </w:r>
            <w:r>
              <w:rPr>
                <w:rFonts w:ascii="Arial Narrow" w:hAnsi="Arial Narrow"/>
                <w:sz w:val="20"/>
                <w:lang w:val="en-US"/>
              </w:rPr>
              <w:t>etformin and sulfonylurea continued at pre-study doses</w:t>
            </w:r>
          </w:p>
        </w:tc>
        <w:tc>
          <w:tcPr>
            <w:tcW w:w="595" w:type="pct"/>
            <w:shd w:val="clear" w:color="auto" w:fill="auto"/>
            <w:vAlign w:val="center"/>
          </w:tcPr>
          <w:p w:rsidR="003731C2" w:rsidRPr="00536FA3" w:rsidRDefault="003731C2" w:rsidP="00804107">
            <w:pPr>
              <w:keepNext/>
              <w:widowControl/>
              <w:jc w:val="center"/>
              <w:rPr>
                <w:rFonts w:ascii="Arial Narrow" w:hAnsi="Arial Narrow"/>
                <w:sz w:val="20"/>
                <w:lang w:val="en-US"/>
              </w:rPr>
            </w:pPr>
            <w:r w:rsidRPr="00755D9C">
              <w:rPr>
                <w:rFonts w:ascii="Arial Narrow" w:hAnsi="Arial Narrow"/>
                <w:sz w:val="20"/>
                <w:lang w:val="en-US"/>
              </w:rPr>
              <w:t>HbA1c 7.</w:t>
            </w:r>
            <w:r>
              <w:rPr>
                <w:rFonts w:ascii="Arial Narrow" w:hAnsi="Arial Narrow"/>
                <w:sz w:val="20"/>
                <w:lang w:val="en-US"/>
              </w:rPr>
              <w:t>0</w:t>
            </w:r>
            <w:r w:rsidRPr="00755D9C">
              <w:rPr>
                <w:rFonts w:ascii="Arial Narrow" w:hAnsi="Arial Narrow"/>
                <w:sz w:val="20"/>
                <w:lang w:val="en-US"/>
              </w:rPr>
              <w:t>%-1</w:t>
            </w:r>
            <w:r>
              <w:rPr>
                <w:rFonts w:ascii="Arial Narrow" w:hAnsi="Arial Narrow"/>
                <w:sz w:val="20"/>
                <w:lang w:val="en-US"/>
              </w:rPr>
              <w:t>0</w:t>
            </w:r>
            <w:r w:rsidRPr="00755D9C">
              <w:rPr>
                <w:rFonts w:ascii="Arial Narrow" w:hAnsi="Arial Narrow"/>
                <w:sz w:val="20"/>
                <w:lang w:val="en-US"/>
              </w:rPr>
              <w:t xml:space="preserve">% </w:t>
            </w:r>
          </w:p>
        </w:tc>
        <w:tc>
          <w:tcPr>
            <w:tcW w:w="424" w:type="pct"/>
            <w:vAlign w:val="center"/>
          </w:tcPr>
          <w:p w:rsidR="003731C2" w:rsidRPr="00755D9C" w:rsidRDefault="003731C2" w:rsidP="00804107">
            <w:pPr>
              <w:keepNext/>
              <w:widowControl/>
              <w:jc w:val="center"/>
              <w:rPr>
                <w:rFonts w:ascii="Arial Narrow" w:hAnsi="Arial Narrow"/>
                <w:sz w:val="20"/>
                <w:lang w:val="en-US"/>
              </w:rPr>
            </w:pPr>
            <w:r>
              <w:rPr>
                <w:rFonts w:ascii="Arial Narrow" w:hAnsi="Arial Narrow"/>
                <w:sz w:val="20"/>
                <w:lang w:val="en-US"/>
              </w:rPr>
              <w:t>Low</w:t>
            </w:r>
          </w:p>
        </w:tc>
      </w:tr>
      <w:tr w:rsidR="003731C2" w:rsidRPr="00E574BA" w:rsidTr="006B21B9">
        <w:tc>
          <w:tcPr>
            <w:tcW w:w="5000" w:type="pct"/>
            <w:gridSpan w:val="7"/>
            <w:shd w:val="clear" w:color="auto" w:fill="auto"/>
            <w:vAlign w:val="center"/>
          </w:tcPr>
          <w:p w:rsidR="003731C2" w:rsidRDefault="003731C2" w:rsidP="00804107">
            <w:pPr>
              <w:keepNext/>
              <w:widowControl/>
              <w:jc w:val="left"/>
              <w:rPr>
                <w:rFonts w:ascii="Arial Narrow" w:hAnsi="Arial Narrow"/>
                <w:b/>
                <w:sz w:val="20"/>
              </w:rPr>
            </w:pPr>
            <w:r>
              <w:rPr>
                <w:rFonts w:ascii="Arial Narrow" w:hAnsi="Arial Narrow"/>
                <w:b/>
                <w:sz w:val="20"/>
              </w:rPr>
              <w:t>I</w:t>
            </w:r>
            <w:r w:rsidRPr="00E574BA">
              <w:rPr>
                <w:rFonts w:ascii="Arial Narrow" w:hAnsi="Arial Narrow"/>
                <w:b/>
                <w:sz w:val="20"/>
              </w:rPr>
              <w:t xml:space="preserve">nsulin </w:t>
            </w:r>
            <w:r>
              <w:rPr>
                <w:rFonts w:ascii="Arial Narrow" w:hAnsi="Arial Narrow"/>
                <w:b/>
                <w:sz w:val="20"/>
              </w:rPr>
              <w:t>glargine vs</w:t>
            </w:r>
            <w:r w:rsidRPr="00E574BA">
              <w:rPr>
                <w:rFonts w:ascii="Arial Narrow" w:hAnsi="Arial Narrow"/>
                <w:b/>
                <w:sz w:val="20"/>
              </w:rPr>
              <w:t xml:space="preserve"> </w:t>
            </w:r>
            <w:r>
              <w:rPr>
                <w:rFonts w:ascii="Arial Narrow" w:hAnsi="Arial Narrow"/>
                <w:b/>
                <w:sz w:val="20"/>
              </w:rPr>
              <w:t>placebo (metformin + sulfonylurea background)</w:t>
            </w:r>
          </w:p>
        </w:tc>
      </w:tr>
      <w:tr w:rsidR="006B21B9" w:rsidRPr="00E574BA" w:rsidTr="006B21B9">
        <w:trPr>
          <w:trHeight w:val="599"/>
        </w:trPr>
        <w:tc>
          <w:tcPr>
            <w:tcW w:w="592" w:type="pct"/>
            <w:shd w:val="clear" w:color="auto" w:fill="auto"/>
            <w:vAlign w:val="center"/>
          </w:tcPr>
          <w:p w:rsidR="003731C2" w:rsidRPr="00E574BA" w:rsidRDefault="005275CB" w:rsidP="00804107">
            <w:pPr>
              <w:keepNext/>
              <w:widowControl/>
              <w:jc w:val="left"/>
              <w:rPr>
                <w:rFonts w:ascii="Arial Narrow" w:hAnsi="Arial Narrow"/>
                <w:b/>
                <w:iCs/>
                <w:sz w:val="20"/>
                <w:lang w:val="en-US"/>
              </w:rPr>
            </w:pPr>
            <w:r>
              <w:rPr>
                <w:rFonts w:ascii="Arial Narrow" w:hAnsi="Arial Narrow"/>
                <w:b/>
                <w:iCs/>
                <w:sz w:val="20"/>
                <w:lang w:val="en-US"/>
              </w:rPr>
              <w:t>Russell-Jones 2009</w:t>
            </w:r>
          </w:p>
          <w:p w:rsidR="003731C2" w:rsidRPr="00E574BA" w:rsidRDefault="003731C2" w:rsidP="00804107">
            <w:pPr>
              <w:keepNext/>
              <w:widowControl/>
              <w:jc w:val="left"/>
              <w:rPr>
                <w:rFonts w:ascii="Arial Narrow" w:hAnsi="Arial Narrow"/>
                <w:iCs/>
                <w:sz w:val="20"/>
                <w:lang w:val="en-US"/>
              </w:rPr>
            </w:pPr>
            <w:r>
              <w:rPr>
                <w:rFonts w:ascii="Arial Narrow" w:hAnsi="Arial Narrow"/>
                <w:iCs/>
                <w:sz w:val="20"/>
                <w:lang w:val="en-US"/>
              </w:rPr>
              <w:t>26 weeks</w:t>
            </w:r>
          </w:p>
        </w:tc>
        <w:tc>
          <w:tcPr>
            <w:tcW w:w="424" w:type="pct"/>
            <w:shd w:val="clear" w:color="auto" w:fill="auto"/>
            <w:vAlign w:val="center"/>
          </w:tcPr>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N=581</w:t>
            </w:r>
          </w:p>
        </w:tc>
        <w:tc>
          <w:tcPr>
            <w:tcW w:w="592" w:type="pct"/>
            <w:shd w:val="clear" w:color="auto" w:fill="auto"/>
            <w:vAlign w:val="center"/>
          </w:tcPr>
          <w:p w:rsidR="003731C2" w:rsidRDefault="003731C2" w:rsidP="00804107">
            <w:pPr>
              <w:keepNext/>
              <w:widowControl/>
              <w:jc w:val="center"/>
              <w:rPr>
                <w:rFonts w:ascii="Arial Narrow" w:hAnsi="Arial Narrow"/>
                <w:sz w:val="20"/>
                <w:lang w:val="en-US"/>
              </w:rPr>
            </w:pPr>
            <w:r>
              <w:rPr>
                <w:rFonts w:ascii="Arial Narrow" w:hAnsi="Arial Narrow"/>
                <w:sz w:val="20"/>
              </w:rPr>
              <w:t>RCT</w:t>
            </w:r>
          </w:p>
          <w:p w:rsidR="003731C2" w:rsidRDefault="003731C2" w:rsidP="00804107">
            <w:pPr>
              <w:keepNext/>
              <w:widowControl/>
              <w:jc w:val="center"/>
              <w:rPr>
                <w:rFonts w:ascii="Arial Narrow" w:hAnsi="Arial Narrow"/>
                <w:sz w:val="20"/>
                <w:lang w:val="en-US"/>
              </w:rPr>
            </w:pPr>
            <w:r>
              <w:rPr>
                <w:rFonts w:ascii="Arial Narrow" w:hAnsi="Arial Narrow"/>
                <w:sz w:val="20"/>
                <w:lang w:val="en-US"/>
              </w:rPr>
              <w:t>open label</w:t>
            </w:r>
          </w:p>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 xml:space="preserve">multi </w:t>
            </w:r>
            <w:r w:rsidRPr="00926740">
              <w:rPr>
                <w:rFonts w:ascii="Arial Narrow" w:hAnsi="Arial Narrow"/>
                <w:sz w:val="20"/>
              </w:rPr>
              <w:t>centre</w:t>
            </w:r>
          </w:p>
        </w:tc>
        <w:tc>
          <w:tcPr>
            <w:tcW w:w="1186" w:type="pct"/>
            <w:shd w:val="clear" w:color="auto" w:fill="auto"/>
            <w:vAlign w:val="center"/>
          </w:tcPr>
          <w:p w:rsidR="003731C2" w:rsidRDefault="003731C2" w:rsidP="00804107">
            <w:pPr>
              <w:keepNext/>
              <w:widowControl/>
              <w:jc w:val="center"/>
              <w:rPr>
                <w:rFonts w:ascii="Arial Narrow" w:hAnsi="Arial Narrow"/>
                <w:sz w:val="20"/>
                <w:lang w:val="en-US"/>
              </w:rPr>
            </w:pPr>
            <w:r>
              <w:rPr>
                <w:rFonts w:ascii="Arial Narrow" w:hAnsi="Arial Narrow"/>
                <w:sz w:val="20"/>
                <w:lang w:val="en-US"/>
              </w:rPr>
              <w:t>LIRA +MET+SU vs</w:t>
            </w:r>
          </w:p>
          <w:p w:rsidR="003731C2" w:rsidRDefault="003731C2" w:rsidP="00804107">
            <w:pPr>
              <w:keepNext/>
              <w:widowControl/>
              <w:jc w:val="center"/>
              <w:rPr>
                <w:rFonts w:ascii="Arial Narrow" w:hAnsi="Arial Narrow"/>
                <w:sz w:val="20"/>
                <w:lang w:val="en-US"/>
              </w:rPr>
            </w:pPr>
            <w:r>
              <w:rPr>
                <w:rFonts w:ascii="Arial Narrow" w:hAnsi="Arial Narrow"/>
                <w:sz w:val="20"/>
                <w:lang w:val="en-US"/>
              </w:rPr>
              <w:t>placebo +MET+SU vs</w:t>
            </w:r>
          </w:p>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 xml:space="preserve">Insulin glargine +MET+SU </w:t>
            </w:r>
          </w:p>
        </w:tc>
        <w:tc>
          <w:tcPr>
            <w:tcW w:w="1188" w:type="pct"/>
            <w:shd w:val="clear" w:color="auto" w:fill="auto"/>
            <w:vAlign w:val="center"/>
          </w:tcPr>
          <w:p w:rsidR="003731C2" w:rsidRDefault="003731C2" w:rsidP="00804107">
            <w:pPr>
              <w:keepNext/>
              <w:widowControl/>
              <w:jc w:val="left"/>
              <w:rPr>
                <w:rFonts w:ascii="Arial Narrow" w:hAnsi="Arial Narrow"/>
                <w:sz w:val="20"/>
                <w:lang w:val="en-US"/>
              </w:rPr>
            </w:pPr>
            <w:r w:rsidRPr="00536FA3">
              <w:rPr>
                <w:rFonts w:ascii="Arial Narrow" w:hAnsi="Arial Narrow"/>
                <w:sz w:val="20"/>
              </w:rPr>
              <w:t>Maximised</w:t>
            </w:r>
            <w:r>
              <w:rPr>
                <w:rFonts w:ascii="Arial Narrow" w:hAnsi="Arial Narrow"/>
                <w:sz w:val="20"/>
                <w:lang w:val="en-US"/>
              </w:rPr>
              <w:t xml:space="preserve"> metformin</w:t>
            </w:r>
            <w:r w:rsidRPr="003375B4">
              <w:rPr>
                <w:rFonts w:ascii="Arial Narrow" w:hAnsi="Arial Narrow"/>
                <w:sz w:val="20"/>
                <w:lang w:val="en-US"/>
              </w:rPr>
              <w:t xml:space="preserve"> 2g </w:t>
            </w:r>
          </w:p>
          <w:p w:rsidR="003731C2" w:rsidRPr="00E574BA" w:rsidRDefault="003731C2" w:rsidP="00804107">
            <w:pPr>
              <w:keepNext/>
              <w:widowControl/>
              <w:jc w:val="left"/>
              <w:rPr>
                <w:rFonts w:ascii="Arial Narrow" w:hAnsi="Arial Narrow"/>
                <w:sz w:val="20"/>
                <w:lang w:val="en-US"/>
              </w:rPr>
            </w:pPr>
            <w:r>
              <w:rPr>
                <w:rFonts w:ascii="Arial Narrow" w:hAnsi="Arial Narrow"/>
                <w:sz w:val="20"/>
                <w:lang w:val="en-US"/>
              </w:rPr>
              <w:t>G</w:t>
            </w:r>
            <w:r w:rsidRPr="003375B4">
              <w:rPr>
                <w:rFonts w:ascii="Arial Narrow" w:hAnsi="Arial Narrow"/>
                <w:sz w:val="20"/>
                <w:lang w:val="en-US"/>
              </w:rPr>
              <w:t>limepiride 4mg</w:t>
            </w:r>
          </w:p>
        </w:tc>
        <w:tc>
          <w:tcPr>
            <w:tcW w:w="595" w:type="pct"/>
            <w:shd w:val="clear" w:color="auto" w:fill="auto"/>
            <w:vAlign w:val="center"/>
          </w:tcPr>
          <w:p w:rsidR="003731C2" w:rsidRPr="00536FA3" w:rsidRDefault="003731C2" w:rsidP="00804107">
            <w:pPr>
              <w:keepNext/>
              <w:widowControl/>
              <w:jc w:val="center"/>
              <w:rPr>
                <w:rFonts w:ascii="Arial Narrow" w:hAnsi="Arial Narrow"/>
                <w:sz w:val="20"/>
                <w:lang w:val="en-US"/>
              </w:rPr>
            </w:pPr>
            <w:r>
              <w:rPr>
                <w:rFonts w:ascii="Arial Narrow" w:hAnsi="Arial Narrow"/>
                <w:sz w:val="20"/>
                <w:lang w:val="en-US"/>
              </w:rPr>
              <w:t>HbA1c 7.0%-10</w:t>
            </w:r>
            <w:r w:rsidRPr="00E574BA">
              <w:rPr>
                <w:rFonts w:ascii="Arial Narrow" w:hAnsi="Arial Narrow"/>
                <w:sz w:val="20"/>
                <w:lang w:val="en-US"/>
              </w:rPr>
              <w:t>%</w:t>
            </w:r>
          </w:p>
        </w:tc>
        <w:tc>
          <w:tcPr>
            <w:tcW w:w="424" w:type="pct"/>
            <w:vAlign w:val="center"/>
          </w:tcPr>
          <w:p w:rsidR="003731C2" w:rsidRDefault="003731C2" w:rsidP="00804107">
            <w:pPr>
              <w:keepNext/>
              <w:widowControl/>
              <w:jc w:val="center"/>
              <w:rPr>
                <w:rFonts w:ascii="Arial Narrow" w:hAnsi="Arial Narrow"/>
                <w:sz w:val="20"/>
                <w:lang w:val="en-US"/>
              </w:rPr>
            </w:pPr>
            <w:r>
              <w:rPr>
                <w:rFonts w:ascii="Arial Narrow" w:hAnsi="Arial Narrow"/>
                <w:sz w:val="20"/>
                <w:lang w:val="en-US"/>
              </w:rPr>
              <w:t>Low</w:t>
            </w:r>
          </w:p>
        </w:tc>
      </w:tr>
      <w:tr w:rsidR="003731C2" w:rsidRPr="00E574BA" w:rsidTr="006B21B9">
        <w:tc>
          <w:tcPr>
            <w:tcW w:w="5000" w:type="pct"/>
            <w:gridSpan w:val="7"/>
            <w:shd w:val="clear" w:color="auto" w:fill="auto"/>
            <w:vAlign w:val="center"/>
          </w:tcPr>
          <w:p w:rsidR="003731C2" w:rsidRDefault="003731C2" w:rsidP="00804107">
            <w:pPr>
              <w:keepNext/>
              <w:widowControl/>
              <w:jc w:val="left"/>
              <w:rPr>
                <w:rFonts w:ascii="Arial Narrow" w:hAnsi="Arial Narrow"/>
                <w:b/>
                <w:sz w:val="20"/>
              </w:rPr>
            </w:pPr>
            <w:r>
              <w:rPr>
                <w:rFonts w:ascii="Arial Narrow" w:hAnsi="Arial Narrow"/>
                <w:b/>
                <w:sz w:val="20"/>
              </w:rPr>
              <w:t>Exenatide vs placebo (metformin + sulfonylurea background)</w:t>
            </w:r>
          </w:p>
        </w:tc>
      </w:tr>
      <w:tr w:rsidR="006B21B9" w:rsidRPr="00E574BA" w:rsidTr="006B21B9">
        <w:tc>
          <w:tcPr>
            <w:tcW w:w="592" w:type="pct"/>
            <w:shd w:val="clear" w:color="auto" w:fill="auto"/>
            <w:vAlign w:val="center"/>
          </w:tcPr>
          <w:p w:rsidR="003731C2" w:rsidRPr="00E574BA" w:rsidRDefault="003731C2" w:rsidP="00804107">
            <w:pPr>
              <w:keepNext/>
              <w:widowControl/>
              <w:jc w:val="left"/>
              <w:rPr>
                <w:rFonts w:ascii="Arial Narrow" w:hAnsi="Arial Narrow"/>
                <w:b/>
                <w:sz w:val="20"/>
              </w:rPr>
            </w:pPr>
            <w:r>
              <w:rPr>
                <w:rFonts w:ascii="Arial Narrow" w:hAnsi="Arial Narrow"/>
                <w:b/>
                <w:sz w:val="20"/>
              </w:rPr>
              <w:t>Trial 115</w:t>
            </w:r>
          </w:p>
          <w:p w:rsidR="003731C2" w:rsidRPr="00E574BA" w:rsidRDefault="003731C2" w:rsidP="00804107">
            <w:pPr>
              <w:keepNext/>
              <w:widowControl/>
              <w:jc w:val="left"/>
              <w:rPr>
                <w:rFonts w:ascii="Arial Narrow" w:hAnsi="Arial Narrow"/>
                <w:iCs/>
                <w:sz w:val="20"/>
                <w:lang w:val="en-US"/>
              </w:rPr>
            </w:pPr>
            <w:r>
              <w:rPr>
                <w:rFonts w:ascii="Arial Narrow" w:hAnsi="Arial Narrow"/>
                <w:sz w:val="20"/>
              </w:rPr>
              <w:t>30 wee</w:t>
            </w:r>
            <w:r w:rsidRPr="00E574BA">
              <w:rPr>
                <w:rFonts w:ascii="Arial Narrow" w:hAnsi="Arial Narrow"/>
                <w:sz w:val="20"/>
              </w:rPr>
              <w:t>ks</w:t>
            </w:r>
          </w:p>
        </w:tc>
        <w:tc>
          <w:tcPr>
            <w:tcW w:w="424" w:type="pct"/>
            <w:shd w:val="clear" w:color="auto" w:fill="auto"/>
            <w:vAlign w:val="center"/>
          </w:tcPr>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N=734</w:t>
            </w:r>
          </w:p>
        </w:tc>
        <w:tc>
          <w:tcPr>
            <w:tcW w:w="592" w:type="pct"/>
            <w:shd w:val="clear" w:color="auto" w:fill="auto"/>
            <w:vAlign w:val="center"/>
          </w:tcPr>
          <w:p w:rsidR="003731C2" w:rsidRDefault="003731C2" w:rsidP="00804107">
            <w:pPr>
              <w:keepNext/>
              <w:widowControl/>
              <w:jc w:val="center"/>
              <w:rPr>
                <w:rFonts w:ascii="Arial Narrow" w:hAnsi="Arial Narrow"/>
                <w:sz w:val="20"/>
                <w:lang w:val="en-US"/>
              </w:rPr>
            </w:pPr>
            <w:r>
              <w:rPr>
                <w:rFonts w:ascii="Arial Narrow" w:hAnsi="Arial Narrow"/>
                <w:sz w:val="20"/>
              </w:rPr>
              <w:t>RCT</w:t>
            </w:r>
          </w:p>
          <w:p w:rsidR="003731C2" w:rsidRPr="00E574BA" w:rsidRDefault="003731C2" w:rsidP="00804107">
            <w:pPr>
              <w:keepNext/>
              <w:widowControl/>
              <w:jc w:val="center"/>
              <w:rPr>
                <w:rFonts w:ascii="Arial Narrow" w:hAnsi="Arial Narrow"/>
                <w:sz w:val="20"/>
                <w:lang w:val="en-US"/>
              </w:rPr>
            </w:pPr>
            <w:r w:rsidRPr="00E574BA">
              <w:rPr>
                <w:rFonts w:ascii="Arial Narrow" w:hAnsi="Arial Narrow"/>
                <w:sz w:val="20"/>
                <w:lang w:val="en-US"/>
              </w:rPr>
              <w:t>double-blind</w:t>
            </w:r>
            <w:r>
              <w:rPr>
                <w:rFonts w:ascii="Arial Narrow" w:hAnsi="Arial Narrow"/>
                <w:sz w:val="20"/>
                <w:lang w:val="en-US"/>
              </w:rPr>
              <w:t xml:space="preserve"> multi </w:t>
            </w:r>
            <w:r w:rsidRPr="00926740">
              <w:rPr>
                <w:rFonts w:ascii="Arial Narrow" w:hAnsi="Arial Narrow"/>
                <w:sz w:val="20"/>
              </w:rPr>
              <w:t>centre</w:t>
            </w:r>
          </w:p>
        </w:tc>
        <w:tc>
          <w:tcPr>
            <w:tcW w:w="1186" w:type="pct"/>
            <w:shd w:val="clear" w:color="auto" w:fill="auto"/>
            <w:vAlign w:val="center"/>
          </w:tcPr>
          <w:p w:rsidR="003731C2" w:rsidRDefault="003731C2" w:rsidP="00804107">
            <w:pPr>
              <w:keepNext/>
              <w:widowControl/>
              <w:jc w:val="center"/>
              <w:rPr>
                <w:rFonts w:ascii="Arial Narrow" w:hAnsi="Arial Narrow"/>
                <w:sz w:val="20"/>
                <w:lang w:val="en-US"/>
              </w:rPr>
            </w:pPr>
            <w:r>
              <w:rPr>
                <w:rFonts w:ascii="Arial Narrow" w:hAnsi="Arial Narrow"/>
                <w:sz w:val="20"/>
                <w:lang w:val="en-US"/>
              </w:rPr>
              <w:t>EXE</w:t>
            </w:r>
            <w:r w:rsidRPr="00E574BA">
              <w:rPr>
                <w:rFonts w:ascii="Arial Narrow" w:hAnsi="Arial Narrow"/>
                <w:sz w:val="20"/>
                <w:lang w:val="en-US"/>
              </w:rPr>
              <w:t xml:space="preserve"> </w:t>
            </w:r>
            <w:r w:rsidRPr="00536FA3">
              <w:rPr>
                <w:rFonts w:ascii="Arial Narrow" w:hAnsi="Arial Narrow"/>
                <w:sz w:val="20"/>
                <w:lang w:val="en-US"/>
              </w:rPr>
              <w:t>5</w:t>
            </w:r>
            <w:r>
              <w:rPr>
                <w:rFonts w:ascii="Arial Narrow" w:hAnsi="Arial Narrow"/>
                <w:sz w:val="20"/>
                <w:lang w:val="en-US"/>
              </w:rPr>
              <w:t>µ</w:t>
            </w:r>
            <w:r w:rsidRPr="00536FA3">
              <w:rPr>
                <w:rFonts w:ascii="Arial Narrow" w:hAnsi="Arial Narrow"/>
                <w:sz w:val="20"/>
                <w:lang w:val="en-US"/>
              </w:rPr>
              <w:t xml:space="preserve">g </w:t>
            </w:r>
            <w:r>
              <w:rPr>
                <w:rFonts w:ascii="Arial Narrow" w:hAnsi="Arial Narrow"/>
                <w:sz w:val="20"/>
                <w:lang w:val="en-US"/>
              </w:rPr>
              <w:t>+MET+SU</w:t>
            </w:r>
            <w:r w:rsidRPr="00E574BA">
              <w:rPr>
                <w:rFonts w:ascii="Arial Narrow" w:hAnsi="Arial Narrow"/>
                <w:sz w:val="20"/>
                <w:lang w:val="en-US"/>
              </w:rPr>
              <w:t xml:space="preserve"> vs </w:t>
            </w:r>
          </w:p>
          <w:p w:rsidR="003731C2" w:rsidRDefault="003731C2" w:rsidP="00804107">
            <w:pPr>
              <w:keepNext/>
              <w:widowControl/>
              <w:jc w:val="center"/>
              <w:rPr>
                <w:rFonts w:ascii="Arial Narrow" w:hAnsi="Arial Narrow"/>
                <w:sz w:val="20"/>
                <w:lang w:val="en-US"/>
              </w:rPr>
            </w:pPr>
            <w:r>
              <w:rPr>
                <w:rFonts w:ascii="Arial Narrow" w:hAnsi="Arial Narrow"/>
                <w:sz w:val="20"/>
                <w:lang w:val="en-US"/>
              </w:rPr>
              <w:t>E</w:t>
            </w:r>
            <w:r w:rsidRPr="00536FA3">
              <w:rPr>
                <w:rFonts w:ascii="Arial Narrow" w:hAnsi="Arial Narrow"/>
                <w:sz w:val="20"/>
                <w:lang w:val="en-US"/>
              </w:rPr>
              <w:t>XE 10</w:t>
            </w:r>
            <w:r>
              <w:rPr>
                <w:rFonts w:ascii="Arial Narrow" w:hAnsi="Arial Narrow"/>
                <w:sz w:val="20"/>
                <w:lang w:val="en-US"/>
              </w:rPr>
              <w:t>µ</w:t>
            </w:r>
            <w:r w:rsidRPr="00536FA3">
              <w:rPr>
                <w:rFonts w:ascii="Arial Narrow" w:hAnsi="Arial Narrow"/>
                <w:sz w:val="20"/>
                <w:lang w:val="en-US"/>
              </w:rPr>
              <w:t>g</w:t>
            </w:r>
            <w:r w:rsidRPr="008023AF">
              <w:rPr>
                <w:rFonts w:ascii="Arial Narrow" w:hAnsi="Arial Narrow"/>
                <w:sz w:val="20"/>
                <w:lang w:val="en-US"/>
              </w:rPr>
              <w:t xml:space="preserve"> </w:t>
            </w:r>
            <w:r>
              <w:rPr>
                <w:rFonts w:ascii="Arial Narrow" w:hAnsi="Arial Narrow"/>
                <w:sz w:val="20"/>
                <w:lang w:val="en-US"/>
              </w:rPr>
              <w:t>+MET+SU</w:t>
            </w:r>
            <w:r w:rsidRPr="00E574BA">
              <w:rPr>
                <w:rFonts w:ascii="Arial Narrow" w:hAnsi="Arial Narrow"/>
                <w:sz w:val="20"/>
                <w:lang w:val="en-US"/>
              </w:rPr>
              <w:t xml:space="preserve"> </w:t>
            </w:r>
            <w:r>
              <w:rPr>
                <w:rFonts w:ascii="Arial Narrow" w:hAnsi="Arial Narrow"/>
                <w:sz w:val="20"/>
                <w:lang w:val="en-US"/>
              </w:rPr>
              <w:t xml:space="preserve">vs </w:t>
            </w:r>
          </w:p>
          <w:p w:rsidR="003731C2" w:rsidRPr="00E574BA" w:rsidRDefault="003731C2" w:rsidP="00804107">
            <w:pPr>
              <w:keepNext/>
              <w:widowControl/>
              <w:jc w:val="center"/>
              <w:rPr>
                <w:rFonts w:ascii="Arial Narrow" w:hAnsi="Arial Narrow"/>
                <w:sz w:val="20"/>
                <w:lang w:val="en-US"/>
              </w:rPr>
            </w:pPr>
            <w:r w:rsidRPr="00E574BA">
              <w:rPr>
                <w:rFonts w:ascii="Arial Narrow" w:hAnsi="Arial Narrow"/>
                <w:sz w:val="20"/>
                <w:lang w:val="en-US"/>
              </w:rPr>
              <w:t>placebo</w:t>
            </w:r>
            <w:r>
              <w:rPr>
                <w:rFonts w:ascii="Arial Narrow" w:hAnsi="Arial Narrow"/>
                <w:sz w:val="20"/>
                <w:lang w:val="en-US"/>
              </w:rPr>
              <w:t xml:space="preserve"> +MET+SU</w:t>
            </w:r>
          </w:p>
        </w:tc>
        <w:tc>
          <w:tcPr>
            <w:tcW w:w="1188" w:type="pct"/>
            <w:shd w:val="clear" w:color="auto" w:fill="auto"/>
            <w:vAlign w:val="center"/>
          </w:tcPr>
          <w:p w:rsidR="003731C2" w:rsidRDefault="003731C2" w:rsidP="00804107">
            <w:pPr>
              <w:keepNext/>
              <w:widowControl/>
              <w:ind w:right="48"/>
              <w:jc w:val="left"/>
              <w:rPr>
                <w:rFonts w:ascii="Arial Narrow" w:hAnsi="Arial Narrow"/>
                <w:sz w:val="20"/>
                <w:lang w:val="en-US"/>
              </w:rPr>
            </w:pPr>
            <w:r w:rsidRPr="00CE77FF">
              <w:rPr>
                <w:rFonts w:ascii="Arial Narrow" w:hAnsi="Arial Narrow"/>
                <w:sz w:val="20"/>
                <w:lang w:val="en-US"/>
              </w:rPr>
              <w:t>M</w:t>
            </w:r>
            <w:r>
              <w:rPr>
                <w:rFonts w:ascii="Arial Narrow" w:hAnsi="Arial Narrow"/>
                <w:sz w:val="20"/>
                <w:lang w:val="en-US"/>
              </w:rPr>
              <w:t>etformin ≥1500</w:t>
            </w:r>
            <w:r w:rsidRPr="00CE77FF">
              <w:rPr>
                <w:rFonts w:ascii="Arial Narrow" w:hAnsi="Arial Narrow"/>
                <w:sz w:val="20"/>
                <w:lang w:val="en-US"/>
              </w:rPr>
              <w:t xml:space="preserve">mg/day </w:t>
            </w:r>
          </w:p>
          <w:p w:rsidR="003731C2" w:rsidRPr="00CE77FF" w:rsidRDefault="003731C2" w:rsidP="00804107">
            <w:pPr>
              <w:keepNext/>
              <w:widowControl/>
              <w:ind w:right="48"/>
              <w:jc w:val="left"/>
              <w:rPr>
                <w:rFonts w:ascii="Arial Narrow" w:hAnsi="Arial Narrow"/>
                <w:sz w:val="20"/>
                <w:lang w:val="en-US"/>
              </w:rPr>
            </w:pPr>
            <w:r>
              <w:rPr>
                <w:rFonts w:ascii="Arial Narrow" w:hAnsi="Arial Narrow"/>
                <w:sz w:val="20"/>
                <w:lang w:val="en-US"/>
              </w:rPr>
              <w:t>+SU at max</w:t>
            </w:r>
            <w:r w:rsidRPr="00CE77FF">
              <w:rPr>
                <w:rFonts w:ascii="Arial Narrow" w:hAnsi="Arial Narrow"/>
                <w:sz w:val="20"/>
                <w:lang w:val="en-US"/>
              </w:rPr>
              <w:t xml:space="preserve"> effective dose (</w:t>
            </w:r>
            <w:r>
              <w:rPr>
                <w:rFonts w:ascii="Arial Narrow" w:hAnsi="Arial Narrow"/>
                <w:sz w:val="20"/>
                <w:lang w:val="en-US"/>
              </w:rPr>
              <w:t>≥</w:t>
            </w:r>
            <w:r w:rsidRPr="00CE77FF">
              <w:rPr>
                <w:rFonts w:ascii="Arial Narrow" w:hAnsi="Arial Narrow"/>
                <w:sz w:val="20"/>
                <w:lang w:val="en-US"/>
              </w:rPr>
              <w:t xml:space="preserve">50% of max </w:t>
            </w:r>
            <w:r w:rsidR="005927B3">
              <w:rPr>
                <w:rFonts w:ascii="Arial Narrow" w:hAnsi="Arial Narrow"/>
                <w:sz w:val="20"/>
                <w:lang w:val="en-US"/>
              </w:rPr>
              <w:t>d</w:t>
            </w:r>
            <w:r w:rsidRPr="00CE77FF">
              <w:rPr>
                <w:rFonts w:ascii="Arial Narrow" w:hAnsi="Arial Narrow"/>
                <w:sz w:val="20"/>
                <w:lang w:val="en-US"/>
              </w:rPr>
              <w:t>ose)</w:t>
            </w:r>
            <w:r>
              <w:rPr>
                <w:rFonts w:ascii="Arial Narrow" w:hAnsi="Arial Narrow"/>
                <w:sz w:val="20"/>
                <w:lang w:val="en-US"/>
              </w:rPr>
              <w:t>, or</w:t>
            </w:r>
          </w:p>
          <w:p w:rsidR="003731C2" w:rsidRPr="00E574BA" w:rsidRDefault="003731C2" w:rsidP="00804107">
            <w:pPr>
              <w:keepNext/>
              <w:widowControl/>
              <w:ind w:right="48"/>
              <w:jc w:val="left"/>
              <w:rPr>
                <w:rFonts w:ascii="Arial Narrow" w:hAnsi="Arial Narrow"/>
                <w:sz w:val="20"/>
                <w:lang w:val="en-US"/>
              </w:rPr>
            </w:pPr>
            <w:r>
              <w:rPr>
                <w:rFonts w:ascii="Arial Narrow" w:hAnsi="Arial Narrow"/>
                <w:sz w:val="20"/>
                <w:lang w:val="en-US"/>
              </w:rPr>
              <w:t>min</w:t>
            </w:r>
            <w:r w:rsidRPr="00CE77FF">
              <w:rPr>
                <w:rFonts w:ascii="Arial Narrow" w:hAnsi="Arial Narrow"/>
                <w:sz w:val="20"/>
                <w:lang w:val="en-US"/>
              </w:rPr>
              <w:t xml:space="preserve"> recommended dose</w:t>
            </w:r>
          </w:p>
        </w:tc>
        <w:tc>
          <w:tcPr>
            <w:tcW w:w="595" w:type="pct"/>
            <w:shd w:val="clear" w:color="auto" w:fill="auto"/>
            <w:vAlign w:val="center"/>
          </w:tcPr>
          <w:p w:rsidR="003731C2" w:rsidRPr="00E574BA" w:rsidRDefault="003731C2" w:rsidP="00804107">
            <w:pPr>
              <w:keepNext/>
              <w:widowControl/>
              <w:jc w:val="center"/>
              <w:rPr>
                <w:rFonts w:ascii="Arial Narrow" w:hAnsi="Arial Narrow"/>
                <w:i/>
                <w:sz w:val="20"/>
                <w:lang w:val="en-US"/>
              </w:rPr>
            </w:pPr>
            <w:r w:rsidRPr="00755D9C">
              <w:rPr>
                <w:rFonts w:ascii="Arial Narrow" w:hAnsi="Arial Narrow"/>
                <w:sz w:val="20"/>
                <w:lang w:val="en-US"/>
              </w:rPr>
              <w:t xml:space="preserve">HbA1c 7.5%-11% </w:t>
            </w:r>
          </w:p>
        </w:tc>
        <w:tc>
          <w:tcPr>
            <w:tcW w:w="424" w:type="pct"/>
            <w:vAlign w:val="center"/>
          </w:tcPr>
          <w:p w:rsidR="003731C2" w:rsidRPr="00755D9C" w:rsidRDefault="003731C2" w:rsidP="00804107">
            <w:pPr>
              <w:keepNext/>
              <w:widowControl/>
              <w:jc w:val="center"/>
              <w:rPr>
                <w:rFonts w:ascii="Arial Narrow" w:hAnsi="Arial Narrow"/>
                <w:sz w:val="20"/>
                <w:lang w:val="en-US"/>
              </w:rPr>
            </w:pPr>
            <w:r>
              <w:rPr>
                <w:rFonts w:ascii="Arial Narrow" w:hAnsi="Arial Narrow"/>
                <w:sz w:val="20"/>
                <w:lang w:val="en-US"/>
              </w:rPr>
              <w:t>Unclear</w:t>
            </w:r>
          </w:p>
        </w:tc>
      </w:tr>
      <w:tr w:rsidR="003731C2" w:rsidRPr="00E574BA" w:rsidTr="006B21B9">
        <w:tc>
          <w:tcPr>
            <w:tcW w:w="5000" w:type="pct"/>
            <w:gridSpan w:val="7"/>
            <w:shd w:val="clear" w:color="auto" w:fill="auto"/>
            <w:vAlign w:val="center"/>
          </w:tcPr>
          <w:p w:rsidR="003731C2" w:rsidRPr="00E574BA" w:rsidRDefault="003731C2" w:rsidP="00804107">
            <w:pPr>
              <w:keepNext/>
              <w:widowControl/>
              <w:jc w:val="left"/>
              <w:rPr>
                <w:rFonts w:ascii="Arial Narrow" w:hAnsi="Arial Narrow"/>
                <w:b/>
                <w:sz w:val="20"/>
              </w:rPr>
            </w:pPr>
            <w:r w:rsidRPr="00E574BA">
              <w:rPr>
                <w:rFonts w:ascii="Arial Narrow" w:hAnsi="Arial Narrow"/>
                <w:b/>
                <w:sz w:val="20"/>
              </w:rPr>
              <w:t>Dapagliflozin vs placebo</w:t>
            </w:r>
            <w:r>
              <w:rPr>
                <w:rFonts w:ascii="Arial Narrow" w:hAnsi="Arial Narrow"/>
                <w:b/>
                <w:sz w:val="20"/>
              </w:rPr>
              <w:t xml:space="preserve"> (metformin + sulfonylurea background)</w:t>
            </w:r>
          </w:p>
        </w:tc>
      </w:tr>
      <w:tr w:rsidR="006B21B9" w:rsidRPr="00E574BA" w:rsidTr="006B21B9">
        <w:tc>
          <w:tcPr>
            <w:tcW w:w="592" w:type="pct"/>
            <w:shd w:val="clear" w:color="auto" w:fill="auto"/>
            <w:vAlign w:val="center"/>
          </w:tcPr>
          <w:p w:rsidR="003731C2" w:rsidRPr="00E574BA" w:rsidRDefault="003731C2" w:rsidP="00804107">
            <w:pPr>
              <w:pStyle w:val="TableText0"/>
              <w:spacing w:before="0" w:after="0"/>
              <w:rPr>
                <w:rFonts w:cs="Arial"/>
                <w:b/>
              </w:rPr>
            </w:pPr>
            <w:r>
              <w:rPr>
                <w:rFonts w:cs="Arial"/>
                <w:b/>
              </w:rPr>
              <w:t>Matthaei 2015</w:t>
            </w:r>
          </w:p>
          <w:p w:rsidR="003731C2" w:rsidRPr="00E574BA" w:rsidRDefault="003731C2" w:rsidP="00804107">
            <w:pPr>
              <w:keepNext/>
              <w:widowControl/>
              <w:jc w:val="left"/>
              <w:rPr>
                <w:rFonts w:ascii="Arial Narrow" w:hAnsi="Arial Narrow"/>
                <w:iCs/>
                <w:sz w:val="20"/>
                <w:lang w:val="en-US"/>
              </w:rPr>
            </w:pPr>
            <w:r>
              <w:rPr>
                <w:rFonts w:ascii="Arial Narrow" w:hAnsi="Arial Narrow"/>
                <w:sz w:val="20"/>
              </w:rPr>
              <w:t>24 wee</w:t>
            </w:r>
            <w:r w:rsidRPr="00E574BA">
              <w:rPr>
                <w:rFonts w:ascii="Arial Narrow" w:hAnsi="Arial Narrow"/>
                <w:sz w:val="20"/>
              </w:rPr>
              <w:t>ks</w:t>
            </w:r>
          </w:p>
        </w:tc>
        <w:tc>
          <w:tcPr>
            <w:tcW w:w="424" w:type="pct"/>
            <w:shd w:val="clear" w:color="auto" w:fill="auto"/>
            <w:vAlign w:val="center"/>
          </w:tcPr>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N=218</w:t>
            </w:r>
          </w:p>
        </w:tc>
        <w:tc>
          <w:tcPr>
            <w:tcW w:w="592" w:type="pct"/>
            <w:shd w:val="clear" w:color="auto" w:fill="auto"/>
            <w:vAlign w:val="center"/>
          </w:tcPr>
          <w:p w:rsidR="003731C2" w:rsidRDefault="003731C2" w:rsidP="00804107">
            <w:pPr>
              <w:keepNext/>
              <w:widowControl/>
              <w:jc w:val="center"/>
              <w:rPr>
                <w:rFonts w:ascii="Arial Narrow" w:hAnsi="Arial Narrow"/>
                <w:sz w:val="20"/>
              </w:rPr>
            </w:pPr>
            <w:r>
              <w:rPr>
                <w:rFonts w:ascii="Arial Narrow" w:hAnsi="Arial Narrow"/>
                <w:sz w:val="20"/>
              </w:rPr>
              <w:t>RCT</w:t>
            </w:r>
          </w:p>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double-blind</w:t>
            </w:r>
            <w:r w:rsidRPr="00E574BA">
              <w:rPr>
                <w:rFonts w:ascii="Arial Narrow" w:hAnsi="Arial Narrow"/>
                <w:sz w:val="20"/>
                <w:lang w:val="en-US"/>
              </w:rPr>
              <w:t xml:space="preserve"> multi </w:t>
            </w:r>
            <w:r w:rsidRPr="00926740">
              <w:rPr>
                <w:rFonts w:ascii="Arial Narrow" w:hAnsi="Arial Narrow"/>
                <w:sz w:val="20"/>
              </w:rPr>
              <w:t>centre</w:t>
            </w:r>
          </w:p>
        </w:tc>
        <w:tc>
          <w:tcPr>
            <w:tcW w:w="1186" w:type="pct"/>
            <w:shd w:val="clear" w:color="auto" w:fill="auto"/>
            <w:vAlign w:val="center"/>
          </w:tcPr>
          <w:p w:rsidR="003731C2" w:rsidRDefault="003731C2" w:rsidP="00804107">
            <w:pPr>
              <w:keepNext/>
              <w:widowControl/>
              <w:jc w:val="center"/>
              <w:rPr>
                <w:rFonts w:ascii="Arial Narrow" w:hAnsi="Arial Narrow"/>
                <w:sz w:val="20"/>
                <w:lang w:val="en-US"/>
              </w:rPr>
            </w:pPr>
            <w:r>
              <w:rPr>
                <w:rFonts w:ascii="Arial Narrow" w:hAnsi="Arial Narrow"/>
                <w:sz w:val="20"/>
                <w:lang w:val="en-US"/>
              </w:rPr>
              <w:t>DAPA 10mg +MET+SU</w:t>
            </w:r>
            <w:r w:rsidRPr="00E574BA">
              <w:rPr>
                <w:rFonts w:ascii="Arial Narrow" w:hAnsi="Arial Narrow"/>
                <w:sz w:val="20"/>
                <w:lang w:val="en-US"/>
              </w:rPr>
              <w:t xml:space="preserve"> vs </w:t>
            </w:r>
          </w:p>
          <w:p w:rsidR="003731C2" w:rsidRPr="00E574BA" w:rsidRDefault="003731C2" w:rsidP="00804107">
            <w:pPr>
              <w:keepNext/>
              <w:widowControl/>
              <w:jc w:val="center"/>
              <w:rPr>
                <w:rFonts w:ascii="Arial Narrow" w:hAnsi="Arial Narrow"/>
                <w:sz w:val="20"/>
                <w:lang w:val="en-US"/>
              </w:rPr>
            </w:pPr>
            <w:r w:rsidRPr="00E574BA">
              <w:rPr>
                <w:rFonts w:ascii="Arial Narrow" w:hAnsi="Arial Narrow"/>
                <w:sz w:val="20"/>
                <w:lang w:val="en-US"/>
              </w:rPr>
              <w:t>placebo</w:t>
            </w:r>
            <w:r>
              <w:rPr>
                <w:rFonts w:ascii="Arial Narrow" w:hAnsi="Arial Narrow"/>
                <w:sz w:val="20"/>
                <w:lang w:val="en-US"/>
              </w:rPr>
              <w:t xml:space="preserve"> +MET+SU</w:t>
            </w:r>
            <w:r w:rsidRPr="00E574BA">
              <w:rPr>
                <w:rFonts w:ascii="Arial Narrow" w:hAnsi="Arial Narrow"/>
                <w:sz w:val="20"/>
                <w:lang w:val="en-US"/>
              </w:rPr>
              <w:t xml:space="preserve"> </w:t>
            </w:r>
          </w:p>
        </w:tc>
        <w:tc>
          <w:tcPr>
            <w:tcW w:w="1188" w:type="pct"/>
            <w:shd w:val="clear" w:color="auto" w:fill="auto"/>
            <w:vAlign w:val="center"/>
          </w:tcPr>
          <w:p w:rsidR="003731C2" w:rsidRPr="00E574BA" w:rsidRDefault="003731C2" w:rsidP="00804107">
            <w:pPr>
              <w:keepNext/>
              <w:widowControl/>
              <w:ind w:right="62"/>
              <w:jc w:val="left"/>
              <w:rPr>
                <w:rFonts w:ascii="Arial Narrow" w:hAnsi="Arial Narrow"/>
                <w:sz w:val="20"/>
                <w:lang w:val="en-US"/>
              </w:rPr>
            </w:pPr>
            <w:r>
              <w:rPr>
                <w:rFonts w:ascii="Arial Narrow" w:hAnsi="Arial Narrow"/>
                <w:sz w:val="20"/>
                <w:lang w:val="en-US"/>
              </w:rPr>
              <w:t>Metformin</w:t>
            </w:r>
            <w:r w:rsidRPr="003375B4">
              <w:rPr>
                <w:rFonts w:ascii="Arial Narrow" w:hAnsi="Arial Narrow"/>
                <w:sz w:val="20"/>
                <w:lang w:val="en-US"/>
              </w:rPr>
              <w:t xml:space="preserve"> ≥1500 mg/day </w:t>
            </w:r>
            <w:r>
              <w:rPr>
                <w:rFonts w:ascii="Arial Narrow" w:hAnsi="Arial Narrow"/>
                <w:sz w:val="20"/>
                <w:lang w:val="en-US"/>
              </w:rPr>
              <w:t>SU at</w:t>
            </w:r>
            <w:r w:rsidRPr="003375B4">
              <w:rPr>
                <w:rFonts w:ascii="Arial Narrow" w:hAnsi="Arial Narrow"/>
                <w:sz w:val="20"/>
                <w:lang w:val="en-US"/>
              </w:rPr>
              <w:t xml:space="preserve"> maximum tolerated dose </w:t>
            </w:r>
            <w:r>
              <w:rPr>
                <w:rFonts w:ascii="Arial Narrow" w:hAnsi="Arial Narrow"/>
                <w:sz w:val="20"/>
                <w:lang w:val="en-US"/>
              </w:rPr>
              <w:t>(≥</w:t>
            </w:r>
            <w:r w:rsidRPr="003375B4">
              <w:rPr>
                <w:rFonts w:ascii="Arial Narrow" w:hAnsi="Arial Narrow"/>
                <w:sz w:val="20"/>
                <w:lang w:val="en-US"/>
              </w:rPr>
              <w:t>50% of max dose</w:t>
            </w:r>
            <w:r>
              <w:rPr>
                <w:rFonts w:ascii="Arial Narrow" w:hAnsi="Arial Narrow"/>
                <w:sz w:val="20"/>
                <w:lang w:val="en-US"/>
              </w:rPr>
              <w:t>)</w:t>
            </w:r>
          </w:p>
        </w:tc>
        <w:tc>
          <w:tcPr>
            <w:tcW w:w="595" w:type="pct"/>
            <w:shd w:val="clear" w:color="auto" w:fill="auto"/>
            <w:vAlign w:val="center"/>
          </w:tcPr>
          <w:p w:rsidR="003731C2" w:rsidRPr="00E574BA" w:rsidRDefault="003731C2" w:rsidP="00804107">
            <w:pPr>
              <w:keepNext/>
              <w:widowControl/>
              <w:jc w:val="center"/>
              <w:rPr>
                <w:rFonts w:ascii="Arial Narrow" w:hAnsi="Arial Narrow"/>
                <w:i/>
                <w:sz w:val="20"/>
                <w:lang w:val="en-US"/>
              </w:rPr>
            </w:pPr>
            <w:r w:rsidRPr="00E574BA">
              <w:rPr>
                <w:rFonts w:ascii="Arial Narrow" w:hAnsi="Arial Narrow"/>
                <w:sz w:val="20"/>
                <w:lang w:val="en-US"/>
              </w:rPr>
              <w:t xml:space="preserve">HbA1c </w:t>
            </w:r>
            <w:r>
              <w:rPr>
                <w:rFonts w:ascii="Arial Narrow" w:hAnsi="Arial Narrow"/>
                <w:sz w:val="20"/>
                <w:lang w:val="en-US"/>
              </w:rPr>
              <w:t>7.0%</w:t>
            </w:r>
            <w:r w:rsidRPr="00E574BA">
              <w:rPr>
                <w:rFonts w:ascii="Arial Narrow" w:hAnsi="Arial Narrow"/>
                <w:sz w:val="20"/>
                <w:lang w:val="en-US"/>
              </w:rPr>
              <w:t xml:space="preserve">-10.5% </w:t>
            </w:r>
          </w:p>
        </w:tc>
        <w:tc>
          <w:tcPr>
            <w:tcW w:w="424" w:type="pct"/>
            <w:vAlign w:val="center"/>
          </w:tcPr>
          <w:p w:rsidR="003731C2" w:rsidRPr="00E574BA" w:rsidRDefault="003731C2" w:rsidP="00804107">
            <w:pPr>
              <w:keepNext/>
              <w:widowControl/>
              <w:jc w:val="center"/>
              <w:rPr>
                <w:rFonts w:ascii="Arial Narrow" w:hAnsi="Arial Narrow"/>
                <w:sz w:val="20"/>
                <w:lang w:val="en-US"/>
              </w:rPr>
            </w:pPr>
            <w:r>
              <w:rPr>
                <w:rFonts w:ascii="Arial Narrow" w:hAnsi="Arial Narrow"/>
                <w:sz w:val="20"/>
                <w:lang w:val="en-US"/>
              </w:rPr>
              <w:t>Low</w:t>
            </w:r>
          </w:p>
        </w:tc>
      </w:tr>
    </w:tbl>
    <w:p w:rsidR="003731C2" w:rsidRPr="006A6511" w:rsidRDefault="003731C2" w:rsidP="00804107">
      <w:pPr>
        <w:keepNext/>
        <w:keepLines/>
        <w:widowControl/>
        <w:ind w:left="709"/>
        <w:rPr>
          <w:rFonts w:ascii="Arial Narrow" w:hAnsi="Arial Narrow"/>
          <w:sz w:val="18"/>
          <w:szCs w:val="18"/>
        </w:rPr>
      </w:pPr>
      <w:r w:rsidRPr="006A6511">
        <w:rPr>
          <w:rFonts w:ascii="Arial Narrow" w:hAnsi="Arial Narrow"/>
          <w:sz w:val="18"/>
          <w:szCs w:val="18"/>
        </w:rPr>
        <w:t xml:space="preserve">Source: </w:t>
      </w:r>
      <w:r>
        <w:rPr>
          <w:rFonts w:ascii="Arial Narrow" w:hAnsi="Arial Narrow"/>
          <w:sz w:val="18"/>
          <w:szCs w:val="18"/>
        </w:rPr>
        <w:t>c</w:t>
      </w:r>
      <w:r w:rsidRPr="006A6511">
        <w:rPr>
          <w:rFonts w:ascii="Arial Narrow" w:hAnsi="Arial Narrow"/>
          <w:sz w:val="18"/>
          <w:szCs w:val="18"/>
        </w:rPr>
        <w:t>ompiled during the evaluation</w:t>
      </w:r>
      <w:r>
        <w:rPr>
          <w:rFonts w:ascii="Arial Narrow" w:hAnsi="Arial Narrow"/>
          <w:sz w:val="18"/>
          <w:szCs w:val="18"/>
        </w:rPr>
        <w:t>.</w:t>
      </w:r>
    </w:p>
    <w:p w:rsidR="003731C2" w:rsidRDefault="003731C2" w:rsidP="00804107">
      <w:pPr>
        <w:keepNext/>
        <w:keepLines/>
        <w:widowControl/>
        <w:tabs>
          <w:tab w:val="left" w:pos="1134"/>
        </w:tabs>
        <w:ind w:left="709"/>
        <w:rPr>
          <w:rFonts w:ascii="Arial Narrow" w:hAnsi="Arial Narrow"/>
          <w:sz w:val="18"/>
          <w:szCs w:val="18"/>
        </w:rPr>
      </w:pPr>
      <w:r w:rsidRPr="003375B4">
        <w:rPr>
          <w:rFonts w:ascii="Arial Narrow" w:hAnsi="Arial Narrow"/>
          <w:sz w:val="18"/>
          <w:szCs w:val="18"/>
        </w:rPr>
        <w:t>A</w:t>
      </w:r>
      <w:r>
        <w:rPr>
          <w:rFonts w:ascii="Arial Narrow" w:hAnsi="Arial Narrow"/>
          <w:sz w:val="18"/>
          <w:szCs w:val="18"/>
        </w:rPr>
        <w:t xml:space="preserve">bbreviations: DAPA, dapagliflozin; EXE, exenatide; HbA1c, </w:t>
      </w:r>
      <w:r w:rsidRPr="0026199B">
        <w:rPr>
          <w:rFonts w:ascii="Arial Narrow" w:hAnsi="Arial Narrow"/>
          <w:sz w:val="18"/>
        </w:rPr>
        <w:t>glycated haemoglobin</w:t>
      </w:r>
      <w:r>
        <w:rPr>
          <w:rFonts w:ascii="Arial Narrow" w:hAnsi="Arial Narrow"/>
          <w:sz w:val="18"/>
          <w:szCs w:val="18"/>
        </w:rPr>
        <w:t>; LIRA, liraglutide; max, maximum; MET, metformin; min, minimum; RCT, randomised controlled trial; SAXA, saxagliptin; SU, sulfonylurea.</w:t>
      </w:r>
    </w:p>
    <w:p w:rsidR="007F1017" w:rsidRDefault="007F1017" w:rsidP="00804107">
      <w:pPr>
        <w:widowControl/>
      </w:pPr>
    </w:p>
    <w:p w:rsidR="00732EA1" w:rsidRPr="007D07D1" w:rsidRDefault="00732EA1" w:rsidP="00804107">
      <w:pPr>
        <w:pStyle w:val="ListParagraph"/>
        <w:widowControl/>
        <w:numPr>
          <w:ilvl w:val="1"/>
          <w:numId w:val="5"/>
        </w:numPr>
        <w:rPr>
          <w:szCs w:val="22"/>
        </w:rPr>
      </w:pPr>
      <w:r w:rsidRPr="007D07D1">
        <w:rPr>
          <w:szCs w:val="22"/>
        </w:rPr>
        <w:t xml:space="preserve">There were differences between trials in terms of baseline patient characteristics and sulfonylurea </w:t>
      </w:r>
      <w:r w:rsidR="006E52A2" w:rsidRPr="007D07D1">
        <w:rPr>
          <w:szCs w:val="22"/>
        </w:rPr>
        <w:t xml:space="preserve">use, particularly between the saxagliptin Trial D006, and the insulin glargine </w:t>
      </w:r>
      <w:r w:rsidR="005927B3" w:rsidRPr="007D07D1">
        <w:rPr>
          <w:szCs w:val="22"/>
        </w:rPr>
        <w:t>t</w:t>
      </w:r>
      <w:r w:rsidR="006E52A2" w:rsidRPr="007D07D1">
        <w:rPr>
          <w:szCs w:val="22"/>
        </w:rPr>
        <w:t xml:space="preserve">rial </w:t>
      </w:r>
      <w:r w:rsidR="005275CB" w:rsidRPr="007D07D1">
        <w:rPr>
          <w:szCs w:val="22"/>
        </w:rPr>
        <w:t xml:space="preserve">Russell-Jones 2009 </w:t>
      </w:r>
      <w:r w:rsidR="006E52A2" w:rsidRPr="007D07D1">
        <w:rPr>
          <w:szCs w:val="22"/>
        </w:rPr>
        <w:t xml:space="preserve">and exenatide </w:t>
      </w:r>
      <w:r w:rsidR="005275CB" w:rsidRPr="007D07D1">
        <w:rPr>
          <w:szCs w:val="22"/>
        </w:rPr>
        <w:t>T</w:t>
      </w:r>
      <w:r w:rsidR="006E52A2" w:rsidRPr="007D07D1">
        <w:rPr>
          <w:szCs w:val="22"/>
        </w:rPr>
        <w:t xml:space="preserve">rial 115. </w:t>
      </w:r>
    </w:p>
    <w:p w:rsidR="006E52A2" w:rsidRPr="007D07D1" w:rsidRDefault="006E52A2" w:rsidP="00804107">
      <w:pPr>
        <w:pStyle w:val="BodyText"/>
        <w:widowControl/>
        <w:numPr>
          <w:ilvl w:val="0"/>
          <w:numId w:val="20"/>
        </w:numPr>
        <w:ind w:left="1134"/>
        <w:jc w:val="both"/>
      </w:pPr>
      <w:r w:rsidRPr="007D07D1">
        <w:t xml:space="preserve">The saxagliptin </w:t>
      </w:r>
      <w:r w:rsidR="000475DE" w:rsidRPr="007D07D1">
        <w:t xml:space="preserve">Trial </w:t>
      </w:r>
      <w:r w:rsidRPr="007D07D1">
        <w:t xml:space="preserve">D006 included a mostly Asian population (55%), but subgroup analyses showed no </w:t>
      </w:r>
      <w:r w:rsidR="005927B3" w:rsidRPr="007D07D1">
        <w:t>significant interaction between race and treatment effect</w:t>
      </w:r>
      <w:r w:rsidRPr="007D07D1">
        <w:t xml:space="preserve"> (p=0.3566).</w:t>
      </w:r>
    </w:p>
    <w:p w:rsidR="006E52A2" w:rsidRPr="007D07D1" w:rsidRDefault="0029046F" w:rsidP="00804107">
      <w:pPr>
        <w:pStyle w:val="BodyText"/>
        <w:widowControl/>
        <w:numPr>
          <w:ilvl w:val="0"/>
          <w:numId w:val="20"/>
        </w:numPr>
        <w:ind w:left="1134"/>
        <w:jc w:val="both"/>
      </w:pPr>
      <w:r w:rsidRPr="007D07D1">
        <w:t xml:space="preserve">Baseline use of </w:t>
      </w:r>
      <w:r w:rsidR="002603C8">
        <w:t>SUs</w:t>
      </w:r>
      <w:r w:rsidR="00B05188">
        <w:t xml:space="preserve"> </w:t>
      </w:r>
      <w:r w:rsidRPr="007D07D1">
        <w:t>varied in</w:t>
      </w:r>
      <w:r w:rsidR="005927B3" w:rsidRPr="007D07D1">
        <w:t xml:space="preserve"> both the</w:t>
      </w:r>
      <w:r w:rsidRPr="007D07D1">
        <w:t xml:space="preserve"> choice of </w:t>
      </w:r>
      <w:r w:rsidR="002603C8">
        <w:t>SU</w:t>
      </w:r>
      <w:r w:rsidR="002603C8" w:rsidRPr="007D07D1">
        <w:t xml:space="preserve"> </w:t>
      </w:r>
      <w:r w:rsidRPr="007D07D1">
        <w:t>and dose.</w:t>
      </w:r>
    </w:p>
    <w:p w:rsidR="00732EA1" w:rsidRPr="007D07D1" w:rsidRDefault="00732EA1" w:rsidP="00804107">
      <w:pPr>
        <w:widowControl/>
        <w:rPr>
          <w:szCs w:val="22"/>
        </w:rPr>
      </w:pPr>
    </w:p>
    <w:p w:rsidR="0029046F" w:rsidRPr="007D07D1" w:rsidRDefault="0029046F" w:rsidP="00804107">
      <w:pPr>
        <w:pStyle w:val="ListParagraph"/>
        <w:widowControl/>
        <w:numPr>
          <w:ilvl w:val="1"/>
          <w:numId w:val="5"/>
        </w:numPr>
        <w:rPr>
          <w:szCs w:val="22"/>
        </w:rPr>
      </w:pPr>
      <w:r w:rsidRPr="007D07D1">
        <w:rPr>
          <w:szCs w:val="22"/>
        </w:rPr>
        <w:t xml:space="preserve">There were substantial differences between trials in terms of concomitant </w:t>
      </w:r>
      <w:r w:rsidR="002603C8">
        <w:rPr>
          <w:szCs w:val="22"/>
        </w:rPr>
        <w:t xml:space="preserve">SU </w:t>
      </w:r>
      <w:r w:rsidRPr="007D07D1">
        <w:rPr>
          <w:szCs w:val="22"/>
        </w:rPr>
        <w:t xml:space="preserve">use, particularly between the saxagliptin </w:t>
      </w:r>
      <w:r w:rsidR="005275CB" w:rsidRPr="007D07D1">
        <w:rPr>
          <w:szCs w:val="22"/>
        </w:rPr>
        <w:t>T</w:t>
      </w:r>
      <w:r w:rsidRPr="007D07D1">
        <w:rPr>
          <w:szCs w:val="22"/>
        </w:rPr>
        <w:t xml:space="preserve">rial D006, and the insulin glargine </w:t>
      </w:r>
      <w:r w:rsidR="005927B3" w:rsidRPr="007D07D1">
        <w:rPr>
          <w:szCs w:val="22"/>
        </w:rPr>
        <w:t>t</w:t>
      </w:r>
      <w:r w:rsidRPr="007D07D1">
        <w:rPr>
          <w:szCs w:val="22"/>
        </w:rPr>
        <w:t xml:space="preserve">rial </w:t>
      </w:r>
      <w:r w:rsidR="005275CB" w:rsidRPr="007D07D1">
        <w:rPr>
          <w:szCs w:val="22"/>
        </w:rPr>
        <w:t xml:space="preserve">Russell-Jones 2009 </w:t>
      </w:r>
      <w:r w:rsidRPr="007D07D1">
        <w:rPr>
          <w:szCs w:val="22"/>
        </w:rPr>
        <w:t xml:space="preserve">and exenatide </w:t>
      </w:r>
      <w:r w:rsidR="005275CB" w:rsidRPr="007D07D1">
        <w:rPr>
          <w:szCs w:val="22"/>
        </w:rPr>
        <w:t>T</w:t>
      </w:r>
      <w:r w:rsidRPr="007D07D1">
        <w:rPr>
          <w:szCs w:val="22"/>
        </w:rPr>
        <w:t xml:space="preserve">rial 115. </w:t>
      </w:r>
    </w:p>
    <w:p w:rsidR="0029046F" w:rsidRPr="007D07D1" w:rsidRDefault="0029046F" w:rsidP="00804107">
      <w:pPr>
        <w:pStyle w:val="BodyText"/>
        <w:widowControl/>
        <w:numPr>
          <w:ilvl w:val="0"/>
          <w:numId w:val="20"/>
        </w:numPr>
        <w:ind w:left="1134"/>
        <w:jc w:val="both"/>
      </w:pPr>
      <w:r w:rsidRPr="007D07D1">
        <w:t xml:space="preserve">In the saxagliptin </w:t>
      </w:r>
      <w:r w:rsidR="000475DE" w:rsidRPr="007D07D1">
        <w:t xml:space="preserve">Trial </w:t>
      </w:r>
      <w:r w:rsidRPr="007D07D1">
        <w:t xml:space="preserve">D006 patients continued on pre-trial </w:t>
      </w:r>
      <w:r w:rsidR="002603C8">
        <w:t>SU</w:t>
      </w:r>
      <w:r w:rsidRPr="007D07D1">
        <w:t xml:space="preserve"> regimens including several kinds of sulfonylurea. In the insulin glargine </w:t>
      </w:r>
      <w:r w:rsidR="005927B3" w:rsidRPr="007D07D1">
        <w:t>t</w:t>
      </w:r>
      <w:r w:rsidRPr="007D07D1">
        <w:t xml:space="preserve">rial </w:t>
      </w:r>
      <w:r w:rsidR="005275CB" w:rsidRPr="007D07D1">
        <w:t>Russell-Jones 2009</w:t>
      </w:r>
      <w:r w:rsidR="00C320EB" w:rsidRPr="007D07D1">
        <w:t>,</w:t>
      </w:r>
      <w:r w:rsidRPr="007D07D1">
        <w:t xml:space="preserve"> patients were commenced on an optimised glimepiride regimen. In the exenatide </w:t>
      </w:r>
      <w:r w:rsidR="000475DE" w:rsidRPr="007D07D1">
        <w:t xml:space="preserve">Trial </w:t>
      </w:r>
      <w:r w:rsidRPr="007D07D1">
        <w:t>115, patient</w:t>
      </w:r>
      <w:r w:rsidR="005927B3" w:rsidRPr="007D07D1">
        <w:t>s</w:t>
      </w:r>
      <w:r w:rsidRPr="007D07D1">
        <w:t xml:space="preserve"> were randomised (1:1)</w:t>
      </w:r>
      <w:r w:rsidR="00BA4F24" w:rsidRPr="007D07D1">
        <w:t>, within each treatment arm,</w:t>
      </w:r>
      <w:r w:rsidRPr="007D07D1">
        <w:t xml:space="preserve"> to either a minimum or maximum </w:t>
      </w:r>
      <w:r w:rsidR="002603C8">
        <w:t>SU</w:t>
      </w:r>
      <w:r w:rsidRPr="007D07D1">
        <w:t xml:space="preserve"> dose subgroup including several kinds of </w:t>
      </w:r>
      <w:r w:rsidR="002603C8">
        <w:t>SUs</w:t>
      </w:r>
      <w:r w:rsidRPr="007D07D1">
        <w:t>.</w:t>
      </w:r>
    </w:p>
    <w:p w:rsidR="005927B3" w:rsidRPr="007D07D1" w:rsidRDefault="005927B3" w:rsidP="00804107">
      <w:pPr>
        <w:pStyle w:val="BodyText"/>
        <w:widowControl/>
        <w:ind w:left="774"/>
        <w:jc w:val="both"/>
      </w:pPr>
    </w:p>
    <w:p w:rsidR="0029046F" w:rsidRPr="007D07D1" w:rsidRDefault="0029046F" w:rsidP="00804107">
      <w:pPr>
        <w:pStyle w:val="ListParagraph"/>
        <w:widowControl/>
        <w:numPr>
          <w:ilvl w:val="1"/>
          <w:numId w:val="5"/>
        </w:numPr>
        <w:rPr>
          <w:szCs w:val="22"/>
        </w:rPr>
      </w:pPr>
      <w:r w:rsidRPr="007D07D1">
        <w:rPr>
          <w:szCs w:val="22"/>
        </w:rPr>
        <w:t xml:space="preserve">It </w:t>
      </w:r>
      <w:r w:rsidR="00971CC2">
        <w:rPr>
          <w:szCs w:val="22"/>
        </w:rPr>
        <w:t>wa</w:t>
      </w:r>
      <w:r w:rsidRPr="007D07D1">
        <w:rPr>
          <w:szCs w:val="22"/>
        </w:rPr>
        <w:t xml:space="preserve">s unclear if differences in background </w:t>
      </w:r>
      <w:r w:rsidR="002603C8">
        <w:rPr>
          <w:szCs w:val="22"/>
        </w:rPr>
        <w:t>SU</w:t>
      </w:r>
      <w:r w:rsidR="002603C8" w:rsidRPr="007D07D1">
        <w:rPr>
          <w:szCs w:val="22"/>
        </w:rPr>
        <w:t xml:space="preserve"> </w:t>
      </w:r>
      <w:r w:rsidRPr="007D07D1">
        <w:rPr>
          <w:szCs w:val="22"/>
        </w:rPr>
        <w:t>regimens resulted in a bias in favour of saxagliptin or the comparators in the indirect comparisons.</w:t>
      </w:r>
    </w:p>
    <w:p w:rsidR="0029046F" w:rsidRPr="007D07D1" w:rsidRDefault="0029046F" w:rsidP="00804107">
      <w:pPr>
        <w:widowControl/>
        <w:rPr>
          <w:szCs w:val="22"/>
        </w:rPr>
      </w:pPr>
    </w:p>
    <w:p w:rsidR="0029046F" w:rsidRPr="007D07D1" w:rsidRDefault="0029046F" w:rsidP="00804107">
      <w:pPr>
        <w:pStyle w:val="ListParagraph"/>
        <w:widowControl/>
        <w:numPr>
          <w:ilvl w:val="1"/>
          <w:numId w:val="5"/>
        </w:numPr>
        <w:rPr>
          <w:szCs w:val="22"/>
        </w:rPr>
      </w:pPr>
      <w:r w:rsidRPr="007D07D1">
        <w:rPr>
          <w:szCs w:val="22"/>
        </w:rPr>
        <w:t xml:space="preserve">The saxagliptin </w:t>
      </w:r>
      <w:r w:rsidR="000475DE" w:rsidRPr="007D07D1">
        <w:rPr>
          <w:szCs w:val="22"/>
        </w:rPr>
        <w:t xml:space="preserve">Trial </w:t>
      </w:r>
      <w:r w:rsidRPr="007D07D1">
        <w:rPr>
          <w:szCs w:val="22"/>
        </w:rPr>
        <w:t xml:space="preserve">D006 and the dapagliflozin trial </w:t>
      </w:r>
      <w:r w:rsidR="005927B3" w:rsidRPr="007D07D1">
        <w:rPr>
          <w:szCs w:val="22"/>
        </w:rPr>
        <w:t>(</w:t>
      </w:r>
      <w:r w:rsidRPr="007D07D1">
        <w:rPr>
          <w:szCs w:val="22"/>
        </w:rPr>
        <w:t>Matthaei 2015</w:t>
      </w:r>
      <w:r w:rsidR="005927B3" w:rsidRPr="007D07D1">
        <w:rPr>
          <w:szCs w:val="22"/>
        </w:rPr>
        <w:t>)</w:t>
      </w:r>
      <w:r w:rsidRPr="007D07D1">
        <w:rPr>
          <w:szCs w:val="22"/>
        </w:rPr>
        <w:t xml:space="preserve"> were similar in design and population.</w:t>
      </w:r>
    </w:p>
    <w:p w:rsidR="007F1017" w:rsidRDefault="007F1017" w:rsidP="00804107">
      <w:pPr>
        <w:widowControl/>
      </w:pPr>
    </w:p>
    <w:p w:rsidR="008068F6" w:rsidRDefault="008068F6" w:rsidP="00804107">
      <w:pPr>
        <w:widowControl/>
      </w:pPr>
    </w:p>
    <w:p w:rsidR="00B60939" w:rsidRPr="002C2775" w:rsidRDefault="00B60939" w:rsidP="00804107">
      <w:pPr>
        <w:pStyle w:val="Heading2"/>
        <w:keepNext/>
        <w:widowControl/>
        <w:rPr>
          <w:i/>
        </w:rPr>
      </w:pPr>
      <w:bookmarkStart w:id="10" w:name="_Toc419207265"/>
      <w:r w:rsidRPr="002C2775">
        <w:rPr>
          <w:i/>
        </w:rPr>
        <w:t>Comparative effectiveness</w:t>
      </w:r>
      <w:bookmarkEnd w:id="10"/>
    </w:p>
    <w:p w:rsidR="007F1017" w:rsidRPr="00FA597D" w:rsidRDefault="007F1017" w:rsidP="00804107">
      <w:pPr>
        <w:keepNext/>
        <w:widowControl/>
        <w:rPr>
          <w:szCs w:val="22"/>
        </w:rPr>
      </w:pPr>
    </w:p>
    <w:p w:rsidR="00793314" w:rsidRDefault="00CB5E1D" w:rsidP="00804107">
      <w:pPr>
        <w:keepNext/>
        <w:keepLines/>
        <w:widowControl/>
        <w:ind w:left="709"/>
        <w:rPr>
          <w:rFonts w:ascii="Arial Narrow" w:hAnsi="Arial Narrow"/>
          <w:b/>
          <w:sz w:val="20"/>
        </w:rPr>
      </w:pPr>
      <w:r>
        <w:rPr>
          <w:rStyle w:val="CommentReference"/>
        </w:rPr>
        <w:t xml:space="preserve">Table 3: </w:t>
      </w:r>
      <w:r w:rsidR="00793314">
        <w:rPr>
          <w:rStyle w:val="CommentReference"/>
        </w:rPr>
        <w:t>Mean</w:t>
      </w:r>
      <w:r w:rsidR="00793314" w:rsidRPr="00F17581">
        <w:rPr>
          <w:rStyle w:val="CommentReference"/>
        </w:rPr>
        <w:t xml:space="preserve"> change in HbA1c from baseline </w:t>
      </w:r>
      <w:r w:rsidR="00793314" w:rsidRPr="00F17581">
        <w:rPr>
          <w:rFonts w:ascii="Arial Narrow" w:hAnsi="Arial Narrow"/>
          <w:b/>
          <w:sz w:val="20"/>
        </w:rPr>
        <w:t>to end point</w:t>
      </w:r>
      <w:r w:rsidR="00256ED1">
        <w:rPr>
          <w:rFonts w:ascii="Arial Narrow" w:hAnsi="Arial Narrow"/>
          <w:b/>
          <w:sz w:val="20"/>
        </w:rPr>
        <w:t>, i</w:t>
      </w:r>
      <w:r w:rsidR="00E608D6">
        <w:rPr>
          <w:rFonts w:ascii="Arial Narrow" w:hAnsi="Arial Narrow"/>
          <w:b/>
          <w:sz w:val="20"/>
        </w:rPr>
        <w:t>ndirect comparison between treatments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0"/>
        <w:gridCol w:w="1417"/>
        <w:gridCol w:w="423"/>
        <w:gridCol w:w="1561"/>
        <w:gridCol w:w="427"/>
        <w:gridCol w:w="1276"/>
        <w:gridCol w:w="1699"/>
      </w:tblGrid>
      <w:tr w:rsidR="00793314" w:rsidRPr="005927B3" w:rsidTr="00793314">
        <w:trPr>
          <w:trHeight w:val="458"/>
          <w:tblHeader/>
        </w:trPr>
        <w:tc>
          <w:tcPr>
            <w:tcW w:w="933" w:type="pct"/>
            <w:vMerge w:val="restart"/>
            <w:vAlign w:val="center"/>
          </w:tcPr>
          <w:p w:rsidR="00793314" w:rsidRPr="005927B3" w:rsidRDefault="00793314" w:rsidP="00804107">
            <w:pPr>
              <w:keepNext/>
              <w:widowControl/>
              <w:ind w:right="-108"/>
              <w:jc w:val="left"/>
              <w:rPr>
                <w:rFonts w:ascii="Arial Narrow" w:hAnsi="Arial Narrow" w:cs="Times New Roman"/>
                <w:b/>
                <w:sz w:val="20"/>
              </w:rPr>
            </w:pPr>
            <w:r w:rsidRPr="005927B3">
              <w:rPr>
                <w:rFonts w:ascii="Arial Narrow" w:hAnsi="Arial Narrow" w:cs="Times New Roman"/>
                <w:b/>
                <w:sz w:val="20"/>
              </w:rPr>
              <w:t>Trial ID</w:t>
            </w:r>
          </w:p>
        </w:tc>
        <w:tc>
          <w:tcPr>
            <w:tcW w:w="847" w:type="pct"/>
            <w:vMerge w:val="restart"/>
            <w:vAlign w:val="center"/>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cs="Times New Roman"/>
                <w:b/>
                <w:sz w:val="20"/>
              </w:rPr>
              <w:t xml:space="preserve">Duration; population </w:t>
            </w:r>
          </w:p>
        </w:tc>
        <w:tc>
          <w:tcPr>
            <w:tcW w:w="2204" w:type="pct"/>
            <w:gridSpan w:val="4"/>
            <w:tcBorders>
              <w:bottom w:val="single" w:sz="4" w:space="0" w:color="auto"/>
            </w:tcBorders>
            <w:vAlign w:val="center"/>
          </w:tcPr>
          <w:p w:rsidR="00793314" w:rsidRPr="005927B3" w:rsidRDefault="00793314" w:rsidP="00804107">
            <w:pPr>
              <w:keepNext/>
              <w:widowControl/>
              <w:jc w:val="center"/>
              <w:rPr>
                <w:rFonts w:ascii="Arial Narrow" w:hAnsi="Arial Narrow"/>
                <w:b/>
                <w:sz w:val="20"/>
              </w:rPr>
            </w:pPr>
            <w:r w:rsidRPr="005927B3">
              <w:rPr>
                <w:rFonts w:ascii="Arial Narrow" w:hAnsi="Arial Narrow"/>
                <w:b/>
                <w:sz w:val="20"/>
              </w:rPr>
              <w:t xml:space="preserve">LS mean change in HbA1c from baseline </w:t>
            </w:r>
          </w:p>
          <w:p w:rsidR="00793314" w:rsidRPr="005927B3" w:rsidRDefault="00793314" w:rsidP="00804107">
            <w:pPr>
              <w:keepNext/>
              <w:widowControl/>
              <w:jc w:val="center"/>
              <w:rPr>
                <w:rFonts w:ascii="Arial Narrow" w:hAnsi="Arial Narrow"/>
                <w:b/>
                <w:sz w:val="20"/>
              </w:rPr>
            </w:pPr>
            <w:r w:rsidRPr="005927B3">
              <w:rPr>
                <w:rFonts w:ascii="Arial Narrow" w:hAnsi="Arial Narrow"/>
                <w:b/>
                <w:sz w:val="20"/>
              </w:rPr>
              <w:t>(SE)</w:t>
            </w:r>
          </w:p>
        </w:tc>
        <w:tc>
          <w:tcPr>
            <w:tcW w:w="1016" w:type="pct"/>
            <w:vMerge w:val="restart"/>
            <w:vAlign w:val="center"/>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cs="Times New Roman"/>
                <w:b/>
                <w:sz w:val="20"/>
              </w:rPr>
              <w:t>Difference in</w:t>
            </w:r>
          </w:p>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cs="Times New Roman"/>
                <w:b/>
                <w:sz w:val="20"/>
              </w:rPr>
              <w:t xml:space="preserve">LS mean change </w:t>
            </w:r>
          </w:p>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cs="Times New Roman"/>
                <w:b/>
                <w:sz w:val="20"/>
              </w:rPr>
              <w:t>(95% CI)</w:t>
            </w:r>
          </w:p>
        </w:tc>
      </w:tr>
      <w:tr w:rsidR="00793314" w:rsidRPr="005927B3" w:rsidTr="00793314">
        <w:trPr>
          <w:trHeight w:val="58"/>
          <w:tblHeader/>
        </w:trPr>
        <w:tc>
          <w:tcPr>
            <w:tcW w:w="933" w:type="pct"/>
            <w:vMerge/>
            <w:tcBorders>
              <w:bottom w:val="single" w:sz="4" w:space="0" w:color="auto"/>
            </w:tcBorders>
            <w:vAlign w:val="center"/>
          </w:tcPr>
          <w:p w:rsidR="00793314" w:rsidRPr="005927B3" w:rsidRDefault="00793314" w:rsidP="00804107">
            <w:pPr>
              <w:keepNext/>
              <w:widowControl/>
              <w:ind w:right="-108"/>
              <w:jc w:val="left"/>
              <w:rPr>
                <w:rFonts w:ascii="Arial Narrow" w:hAnsi="Arial Narrow" w:cs="Times New Roman"/>
                <w:b/>
                <w:sz w:val="20"/>
              </w:rPr>
            </w:pPr>
          </w:p>
        </w:tc>
        <w:tc>
          <w:tcPr>
            <w:tcW w:w="847" w:type="pct"/>
            <w:vMerge/>
            <w:tcBorders>
              <w:bottom w:val="single" w:sz="4" w:space="0" w:color="auto"/>
            </w:tcBorders>
            <w:vAlign w:val="center"/>
          </w:tcPr>
          <w:p w:rsidR="00793314" w:rsidRPr="005927B3" w:rsidRDefault="00793314" w:rsidP="00804107">
            <w:pPr>
              <w:keepNext/>
              <w:widowControl/>
              <w:ind w:right="-108"/>
              <w:jc w:val="center"/>
              <w:rPr>
                <w:rFonts w:ascii="Arial Narrow" w:hAnsi="Arial Narrow" w:cs="Times New Roman"/>
                <w:b/>
                <w:sz w:val="20"/>
              </w:rPr>
            </w:pPr>
          </w:p>
        </w:tc>
        <w:tc>
          <w:tcPr>
            <w:tcW w:w="253" w:type="pct"/>
            <w:tcBorders>
              <w:bottom w:val="single" w:sz="4" w:space="0" w:color="auto"/>
            </w:tcBorders>
            <w:vAlign w:val="center"/>
          </w:tcPr>
          <w:p w:rsidR="00793314" w:rsidRPr="005927B3" w:rsidRDefault="00793314" w:rsidP="00804107">
            <w:pPr>
              <w:keepNext/>
              <w:widowControl/>
              <w:ind w:right="-28"/>
              <w:jc w:val="center"/>
              <w:rPr>
                <w:rFonts w:ascii="Arial Narrow" w:hAnsi="Arial Narrow" w:cs="Times New Roman"/>
                <w:b/>
                <w:sz w:val="20"/>
              </w:rPr>
            </w:pPr>
            <w:r w:rsidRPr="005927B3">
              <w:rPr>
                <w:rFonts w:ascii="Arial Narrow" w:hAnsi="Arial Narrow" w:cs="Times New Roman"/>
                <w:b/>
                <w:sz w:val="20"/>
              </w:rPr>
              <w:t>n</w:t>
            </w:r>
          </w:p>
        </w:tc>
        <w:tc>
          <w:tcPr>
            <w:tcW w:w="933" w:type="pct"/>
            <w:tcBorders>
              <w:bottom w:val="single" w:sz="4" w:space="0" w:color="auto"/>
            </w:tcBorders>
            <w:vAlign w:val="center"/>
          </w:tcPr>
          <w:p w:rsidR="00793314" w:rsidRPr="005927B3" w:rsidRDefault="00793314" w:rsidP="00804107">
            <w:pPr>
              <w:keepNext/>
              <w:widowControl/>
              <w:ind w:right="67"/>
              <w:jc w:val="center"/>
              <w:rPr>
                <w:rFonts w:ascii="Arial Narrow" w:hAnsi="Arial Narrow" w:cs="Times New Roman"/>
                <w:b/>
                <w:sz w:val="20"/>
              </w:rPr>
            </w:pPr>
            <w:r w:rsidRPr="005927B3">
              <w:rPr>
                <w:rFonts w:ascii="Arial Narrow" w:hAnsi="Arial Narrow" w:cs="Times New Roman"/>
                <w:b/>
                <w:sz w:val="20"/>
              </w:rPr>
              <w:t>Active Treatment</w:t>
            </w:r>
          </w:p>
        </w:tc>
        <w:tc>
          <w:tcPr>
            <w:tcW w:w="255" w:type="pct"/>
            <w:tcBorders>
              <w:bottom w:val="single" w:sz="4" w:space="0" w:color="auto"/>
            </w:tcBorders>
            <w:vAlign w:val="center"/>
          </w:tcPr>
          <w:p w:rsidR="00793314" w:rsidRPr="005927B3" w:rsidRDefault="00793314" w:rsidP="00804107">
            <w:pPr>
              <w:keepNext/>
              <w:widowControl/>
              <w:ind w:right="-28"/>
              <w:jc w:val="center"/>
              <w:rPr>
                <w:rFonts w:ascii="Arial Narrow" w:hAnsi="Arial Narrow" w:cs="Times New Roman"/>
                <w:b/>
                <w:sz w:val="20"/>
              </w:rPr>
            </w:pPr>
            <w:r w:rsidRPr="005927B3">
              <w:rPr>
                <w:rFonts w:ascii="Arial Narrow" w:hAnsi="Arial Narrow" w:cs="Times New Roman"/>
                <w:b/>
                <w:sz w:val="20"/>
              </w:rPr>
              <w:t>n</w:t>
            </w:r>
          </w:p>
        </w:tc>
        <w:tc>
          <w:tcPr>
            <w:tcW w:w="763" w:type="pct"/>
            <w:tcBorders>
              <w:bottom w:val="single" w:sz="4" w:space="0" w:color="auto"/>
            </w:tcBorders>
            <w:vAlign w:val="center"/>
          </w:tcPr>
          <w:p w:rsidR="00793314" w:rsidRPr="005927B3" w:rsidRDefault="00793314" w:rsidP="00804107">
            <w:pPr>
              <w:keepNext/>
              <w:widowControl/>
              <w:ind w:right="69"/>
              <w:jc w:val="center"/>
              <w:rPr>
                <w:rFonts w:ascii="Arial Narrow" w:hAnsi="Arial Narrow" w:cs="Times New Roman"/>
                <w:b/>
                <w:sz w:val="20"/>
              </w:rPr>
            </w:pPr>
            <w:r w:rsidRPr="005927B3">
              <w:rPr>
                <w:rFonts w:ascii="Arial Narrow" w:hAnsi="Arial Narrow" w:cs="Times New Roman"/>
                <w:b/>
                <w:sz w:val="20"/>
              </w:rPr>
              <w:t>Placebo</w:t>
            </w:r>
          </w:p>
        </w:tc>
        <w:tc>
          <w:tcPr>
            <w:tcW w:w="1016" w:type="pct"/>
            <w:vMerge/>
            <w:tcBorders>
              <w:bottom w:val="single" w:sz="4" w:space="0" w:color="auto"/>
            </w:tcBorders>
            <w:vAlign w:val="center"/>
          </w:tcPr>
          <w:p w:rsidR="00793314" w:rsidRPr="005927B3" w:rsidRDefault="00793314" w:rsidP="00804107">
            <w:pPr>
              <w:keepNext/>
              <w:widowControl/>
              <w:jc w:val="center"/>
              <w:rPr>
                <w:rFonts w:ascii="Arial Narrow" w:hAnsi="Arial Narrow" w:cs="Times New Roman"/>
                <w:b/>
                <w:sz w:val="20"/>
              </w:rPr>
            </w:pPr>
          </w:p>
        </w:tc>
      </w:tr>
      <w:tr w:rsidR="00793314" w:rsidRPr="005927B3" w:rsidTr="00793314">
        <w:tc>
          <w:tcPr>
            <w:tcW w:w="2966" w:type="pct"/>
            <w:gridSpan w:val="4"/>
            <w:tcBorders>
              <w:right w:val="nil"/>
            </w:tcBorders>
            <w:vAlign w:val="center"/>
          </w:tcPr>
          <w:p w:rsidR="00793314" w:rsidRPr="005927B3" w:rsidRDefault="00793314" w:rsidP="00804107">
            <w:pPr>
              <w:keepNext/>
              <w:widowControl/>
              <w:jc w:val="left"/>
              <w:rPr>
                <w:rFonts w:ascii="Arial Narrow" w:hAnsi="Arial Narrow"/>
                <w:b/>
                <w:sz w:val="20"/>
              </w:rPr>
            </w:pPr>
            <w:r w:rsidRPr="005927B3">
              <w:rPr>
                <w:rFonts w:ascii="Arial Narrow" w:hAnsi="Arial Narrow" w:cs="Times New Roman"/>
                <w:b/>
                <w:sz w:val="20"/>
              </w:rPr>
              <w:t>Saxagliptin 5mg vs placebo (with MET + SU)</w:t>
            </w:r>
          </w:p>
        </w:tc>
        <w:tc>
          <w:tcPr>
            <w:tcW w:w="1018" w:type="pct"/>
            <w:gridSpan w:val="2"/>
            <w:tcBorders>
              <w:left w:val="nil"/>
              <w:right w:val="nil"/>
            </w:tcBorders>
            <w:vAlign w:val="bottom"/>
          </w:tcPr>
          <w:p w:rsidR="00793314" w:rsidRPr="005927B3" w:rsidRDefault="00793314" w:rsidP="00804107">
            <w:pPr>
              <w:keepNext/>
              <w:widowControl/>
              <w:jc w:val="center"/>
              <w:rPr>
                <w:rFonts w:ascii="Arial Narrow" w:hAnsi="Arial Narrow"/>
                <w:b/>
                <w:sz w:val="20"/>
              </w:rPr>
            </w:pPr>
          </w:p>
        </w:tc>
        <w:tc>
          <w:tcPr>
            <w:tcW w:w="1016" w:type="pct"/>
            <w:tcBorders>
              <w:left w:val="nil"/>
            </w:tcBorders>
            <w:vAlign w:val="bottom"/>
          </w:tcPr>
          <w:p w:rsidR="00793314" w:rsidRPr="005927B3" w:rsidRDefault="00793314" w:rsidP="00804107">
            <w:pPr>
              <w:keepNext/>
              <w:widowControl/>
              <w:jc w:val="center"/>
              <w:rPr>
                <w:rFonts w:ascii="Arial Narrow" w:hAnsi="Arial Narrow"/>
                <w:b/>
                <w:sz w:val="20"/>
              </w:rPr>
            </w:pPr>
          </w:p>
        </w:tc>
      </w:tr>
      <w:tr w:rsidR="00793314" w:rsidRPr="005927B3" w:rsidTr="00793314">
        <w:tc>
          <w:tcPr>
            <w:tcW w:w="933" w:type="pct"/>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sz w:val="20"/>
              </w:rPr>
              <w:t>Trial D006</w:t>
            </w:r>
          </w:p>
        </w:tc>
        <w:tc>
          <w:tcPr>
            <w:tcW w:w="847" w:type="pct"/>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 week; FAS</w:t>
            </w:r>
          </w:p>
        </w:tc>
        <w:tc>
          <w:tcPr>
            <w:tcW w:w="25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127</w:t>
            </w:r>
          </w:p>
        </w:tc>
        <w:tc>
          <w:tcPr>
            <w:tcW w:w="93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-0.74 (0.08)</w:t>
            </w:r>
          </w:p>
        </w:tc>
        <w:tc>
          <w:tcPr>
            <w:tcW w:w="255"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127</w:t>
            </w:r>
          </w:p>
        </w:tc>
        <w:tc>
          <w:tcPr>
            <w:tcW w:w="76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-0.08 (0.07)</w:t>
            </w:r>
          </w:p>
        </w:tc>
        <w:tc>
          <w:tcPr>
            <w:tcW w:w="1016" w:type="pct"/>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-0.66 (-0.86, -0.47)</w:t>
            </w:r>
          </w:p>
        </w:tc>
      </w:tr>
      <w:tr w:rsidR="00793314" w:rsidRPr="005927B3" w:rsidTr="00793314">
        <w:tc>
          <w:tcPr>
            <w:tcW w:w="3984" w:type="pct"/>
            <w:gridSpan w:val="6"/>
            <w:tcBorders>
              <w:right w:val="nil"/>
            </w:tcBorders>
            <w:vAlign w:val="center"/>
          </w:tcPr>
          <w:p w:rsidR="00793314" w:rsidRPr="005927B3" w:rsidRDefault="00793314" w:rsidP="00804107">
            <w:pPr>
              <w:keepNext/>
              <w:widowControl/>
              <w:jc w:val="left"/>
              <w:rPr>
                <w:rFonts w:ascii="Arial Narrow" w:hAnsi="Arial Narrow"/>
                <w:b/>
                <w:sz w:val="20"/>
              </w:rPr>
            </w:pPr>
            <w:r w:rsidRPr="005927B3">
              <w:rPr>
                <w:rFonts w:ascii="Arial Narrow" w:hAnsi="Arial Narrow" w:cs="Times New Roman"/>
                <w:b/>
                <w:sz w:val="20"/>
              </w:rPr>
              <w:t>Insulin glargine (mean dose 24IU) vs placebo (with MET + SU)</w:t>
            </w:r>
          </w:p>
        </w:tc>
        <w:tc>
          <w:tcPr>
            <w:tcW w:w="1016" w:type="pct"/>
            <w:tcBorders>
              <w:left w:val="nil"/>
            </w:tcBorders>
            <w:vAlign w:val="bottom"/>
          </w:tcPr>
          <w:p w:rsidR="00793314" w:rsidRPr="005927B3" w:rsidRDefault="00793314" w:rsidP="00804107">
            <w:pPr>
              <w:keepNext/>
              <w:widowControl/>
              <w:jc w:val="center"/>
              <w:rPr>
                <w:rFonts w:ascii="Arial Narrow" w:hAnsi="Arial Narrow"/>
                <w:b/>
                <w:sz w:val="20"/>
              </w:rPr>
            </w:pPr>
          </w:p>
        </w:tc>
      </w:tr>
      <w:tr w:rsidR="00793314" w:rsidRPr="005927B3" w:rsidTr="00793314">
        <w:tc>
          <w:tcPr>
            <w:tcW w:w="933" w:type="pct"/>
            <w:vAlign w:val="center"/>
          </w:tcPr>
          <w:p w:rsidR="00793314" w:rsidRPr="005927B3" w:rsidRDefault="005275CB" w:rsidP="00804107">
            <w:pPr>
              <w:keepNext/>
              <w:widowControl/>
              <w:jc w:val="left"/>
              <w:rPr>
                <w:rFonts w:ascii="Arial Narrow" w:hAnsi="Arial Narrow" w:cs="Times New Roman"/>
                <w:sz w:val="20"/>
              </w:rPr>
            </w:pPr>
            <w:r>
              <w:rPr>
                <w:rFonts w:ascii="Arial Narrow" w:hAnsi="Arial Narrow" w:cs="Times New Roman"/>
                <w:sz w:val="20"/>
              </w:rPr>
              <w:t>Russell-Jones 2009</w:t>
            </w:r>
          </w:p>
        </w:tc>
        <w:tc>
          <w:tcPr>
            <w:tcW w:w="847" w:type="pct"/>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26 week; ITT</w:t>
            </w:r>
          </w:p>
        </w:tc>
        <w:tc>
          <w:tcPr>
            <w:tcW w:w="25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232</w:t>
            </w:r>
          </w:p>
        </w:tc>
        <w:tc>
          <w:tcPr>
            <w:tcW w:w="93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-1.09 (0.09)</w:t>
            </w:r>
          </w:p>
        </w:tc>
        <w:tc>
          <w:tcPr>
            <w:tcW w:w="255"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114</w:t>
            </w:r>
          </w:p>
        </w:tc>
        <w:tc>
          <w:tcPr>
            <w:tcW w:w="76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-0.24 (0.11)</w:t>
            </w:r>
          </w:p>
        </w:tc>
        <w:tc>
          <w:tcPr>
            <w:tcW w:w="1016" w:type="pct"/>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-0.85 (-1.04, -0.66)</w:t>
            </w:r>
          </w:p>
        </w:tc>
      </w:tr>
      <w:tr w:rsidR="00793314" w:rsidRPr="005927B3" w:rsidTr="00793314">
        <w:tc>
          <w:tcPr>
            <w:tcW w:w="2966" w:type="pct"/>
            <w:gridSpan w:val="4"/>
            <w:tcBorders>
              <w:right w:val="nil"/>
            </w:tcBorders>
            <w:vAlign w:val="center"/>
          </w:tcPr>
          <w:p w:rsidR="00793314" w:rsidRPr="005927B3" w:rsidRDefault="00793314" w:rsidP="00804107">
            <w:pPr>
              <w:keepNext/>
              <w:widowControl/>
              <w:jc w:val="left"/>
              <w:rPr>
                <w:rFonts w:ascii="Arial Narrow" w:hAnsi="Arial Narrow"/>
                <w:b/>
                <w:sz w:val="20"/>
              </w:rPr>
            </w:pPr>
            <w:r w:rsidRPr="005927B3">
              <w:rPr>
                <w:rFonts w:ascii="Arial Narrow" w:hAnsi="Arial Narrow" w:cs="Times New Roman"/>
                <w:b/>
                <w:sz w:val="20"/>
              </w:rPr>
              <w:t>Exenatide 10µg BID vs placebo (with MET + SU)</w:t>
            </w:r>
          </w:p>
        </w:tc>
        <w:tc>
          <w:tcPr>
            <w:tcW w:w="1018" w:type="pct"/>
            <w:gridSpan w:val="2"/>
            <w:tcBorders>
              <w:left w:val="nil"/>
              <w:right w:val="nil"/>
            </w:tcBorders>
            <w:vAlign w:val="bottom"/>
          </w:tcPr>
          <w:p w:rsidR="00793314" w:rsidRPr="005927B3" w:rsidRDefault="00793314" w:rsidP="00804107">
            <w:pPr>
              <w:keepNext/>
              <w:widowControl/>
              <w:jc w:val="center"/>
              <w:rPr>
                <w:rFonts w:ascii="Arial Narrow" w:hAnsi="Arial Narrow"/>
                <w:b/>
                <w:sz w:val="20"/>
              </w:rPr>
            </w:pPr>
          </w:p>
        </w:tc>
        <w:tc>
          <w:tcPr>
            <w:tcW w:w="1016" w:type="pct"/>
            <w:tcBorders>
              <w:left w:val="nil"/>
            </w:tcBorders>
            <w:vAlign w:val="bottom"/>
          </w:tcPr>
          <w:p w:rsidR="00793314" w:rsidRPr="005927B3" w:rsidRDefault="00793314" w:rsidP="00804107">
            <w:pPr>
              <w:keepNext/>
              <w:widowControl/>
              <w:jc w:val="center"/>
              <w:rPr>
                <w:rFonts w:ascii="Arial Narrow" w:hAnsi="Arial Narrow"/>
                <w:b/>
                <w:sz w:val="20"/>
              </w:rPr>
            </w:pPr>
          </w:p>
        </w:tc>
      </w:tr>
      <w:tr w:rsidR="00793314" w:rsidRPr="005927B3" w:rsidTr="00793314">
        <w:tc>
          <w:tcPr>
            <w:tcW w:w="933" w:type="pct"/>
            <w:vMerge w:val="restart"/>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sz w:val="20"/>
              </w:rPr>
              <w:t>Trial 115</w:t>
            </w:r>
          </w:p>
        </w:tc>
        <w:tc>
          <w:tcPr>
            <w:tcW w:w="847" w:type="pct"/>
            <w:tcBorders>
              <w:bottom w:val="single" w:sz="4" w:space="0" w:color="auto"/>
            </w:tcBorders>
            <w:vAlign w:val="center"/>
          </w:tcPr>
          <w:p w:rsidR="00793314" w:rsidRPr="005927B3" w:rsidDel="00683CD4"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30 week; ITT</w:t>
            </w:r>
          </w:p>
        </w:tc>
        <w:tc>
          <w:tcPr>
            <w:tcW w:w="253" w:type="pct"/>
            <w:vMerge w:val="restart"/>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241</w:t>
            </w:r>
          </w:p>
        </w:tc>
        <w:tc>
          <w:tcPr>
            <w:tcW w:w="93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-0.88 (0.08)</w:t>
            </w:r>
          </w:p>
        </w:tc>
        <w:tc>
          <w:tcPr>
            <w:tcW w:w="255" w:type="pct"/>
            <w:vMerge w:val="restart"/>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247</w:t>
            </w:r>
          </w:p>
        </w:tc>
        <w:tc>
          <w:tcPr>
            <w:tcW w:w="76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0.12 (0.08)</w:t>
            </w:r>
          </w:p>
        </w:tc>
        <w:tc>
          <w:tcPr>
            <w:tcW w:w="1016"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-1.00 (-1.20, -0.80)</w:t>
            </w:r>
          </w:p>
        </w:tc>
      </w:tr>
      <w:tr w:rsidR="00793314" w:rsidRPr="005927B3" w:rsidTr="00793314">
        <w:tc>
          <w:tcPr>
            <w:tcW w:w="933" w:type="pct"/>
            <w:vMerge/>
            <w:vAlign w:val="center"/>
          </w:tcPr>
          <w:p w:rsidR="00793314" w:rsidRPr="005927B3" w:rsidRDefault="00793314" w:rsidP="00804107">
            <w:pPr>
              <w:keepNext/>
              <w:widowControl/>
              <w:jc w:val="left"/>
              <w:rPr>
                <w:rFonts w:ascii="Arial Narrow" w:hAnsi="Arial Narrow" w:cs="Times New Roman"/>
                <w:sz w:val="20"/>
              </w:rPr>
            </w:pPr>
          </w:p>
        </w:tc>
        <w:tc>
          <w:tcPr>
            <w:tcW w:w="847"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 week; ITT</w:t>
            </w:r>
          </w:p>
        </w:tc>
        <w:tc>
          <w:tcPr>
            <w:tcW w:w="253" w:type="pct"/>
            <w:vMerge/>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p>
        </w:tc>
        <w:tc>
          <w:tcPr>
            <w:tcW w:w="933"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-1.04 (0.08)</w:t>
            </w:r>
          </w:p>
        </w:tc>
        <w:tc>
          <w:tcPr>
            <w:tcW w:w="255" w:type="pct"/>
            <w:vMerge/>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p>
        </w:tc>
        <w:tc>
          <w:tcPr>
            <w:tcW w:w="763"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0.06 (0.08)</w:t>
            </w:r>
          </w:p>
        </w:tc>
        <w:tc>
          <w:tcPr>
            <w:tcW w:w="1016"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cs="Times New Roman"/>
                <w:b/>
                <w:sz w:val="20"/>
              </w:rPr>
              <w:t>-1.10 (-1.29, -0.92)</w:t>
            </w:r>
          </w:p>
        </w:tc>
      </w:tr>
      <w:tr w:rsidR="00793314" w:rsidRPr="005927B3" w:rsidTr="00793314">
        <w:tc>
          <w:tcPr>
            <w:tcW w:w="933" w:type="pct"/>
            <w:vMerge/>
            <w:tcBorders>
              <w:bottom w:val="single" w:sz="4" w:space="0" w:color="auto"/>
            </w:tcBorders>
            <w:vAlign w:val="center"/>
          </w:tcPr>
          <w:p w:rsidR="00793314" w:rsidRPr="005927B3" w:rsidRDefault="00793314" w:rsidP="00804107">
            <w:pPr>
              <w:keepNext/>
              <w:widowControl/>
              <w:jc w:val="left"/>
              <w:rPr>
                <w:rFonts w:ascii="Arial Narrow" w:hAnsi="Arial Narrow" w:cs="Times New Roman"/>
                <w:sz w:val="20"/>
              </w:rPr>
            </w:pPr>
          </w:p>
        </w:tc>
        <w:tc>
          <w:tcPr>
            <w:tcW w:w="847"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30 week; Max SU</w:t>
            </w:r>
          </w:p>
        </w:tc>
        <w:tc>
          <w:tcPr>
            <w:tcW w:w="253" w:type="pct"/>
            <w:tcBorders>
              <w:bottom w:val="single" w:sz="4" w:space="0" w:color="auto"/>
            </w:tcBorders>
            <w:vAlign w:val="bottom"/>
          </w:tcPr>
          <w:p w:rsidR="00793314" w:rsidRPr="005927B3" w:rsidRDefault="005927B3" w:rsidP="00804107">
            <w:pPr>
              <w:keepNext/>
              <w:widowControl/>
              <w:jc w:val="center"/>
              <w:rPr>
                <w:rFonts w:ascii="Arial Narrow" w:hAnsi="Arial Narrow" w:cs="Times New Roman"/>
                <w:sz w:val="20"/>
              </w:rPr>
            </w:pPr>
            <w:r>
              <w:rPr>
                <w:rFonts w:ascii="Arial Narrow" w:hAnsi="Arial Narrow" w:cs="Times New Roman"/>
                <w:sz w:val="20"/>
              </w:rPr>
              <w:t>119</w:t>
            </w:r>
          </w:p>
        </w:tc>
        <w:tc>
          <w:tcPr>
            <w:tcW w:w="93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-1.05 (0.12)</w:t>
            </w:r>
          </w:p>
        </w:tc>
        <w:tc>
          <w:tcPr>
            <w:tcW w:w="255" w:type="pct"/>
            <w:tcBorders>
              <w:bottom w:val="single" w:sz="4" w:space="0" w:color="auto"/>
            </w:tcBorders>
            <w:vAlign w:val="bottom"/>
          </w:tcPr>
          <w:p w:rsidR="00793314" w:rsidRPr="005927B3" w:rsidRDefault="005927B3" w:rsidP="00804107">
            <w:pPr>
              <w:keepNext/>
              <w:widowControl/>
              <w:jc w:val="center"/>
              <w:rPr>
                <w:rFonts w:ascii="Arial Narrow" w:hAnsi="Arial Narrow" w:cs="Times New Roman"/>
                <w:sz w:val="20"/>
              </w:rPr>
            </w:pPr>
            <w:r>
              <w:rPr>
                <w:rFonts w:ascii="Arial Narrow" w:hAnsi="Arial Narrow" w:cs="Times New Roman"/>
                <w:sz w:val="20"/>
              </w:rPr>
              <w:t>120</w:t>
            </w:r>
          </w:p>
        </w:tc>
        <w:tc>
          <w:tcPr>
            <w:tcW w:w="76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-0.03 (0.11)</w:t>
            </w:r>
          </w:p>
        </w:tc>
        <w:tc>
          <w:tcPr>
            <w:tcW w:w="1016"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-1.02 (-1.30, -0.73)</w:t>
            </w:r>
          </w:p>
        </w:tc>
      </w:tr>
      <w:tr w:rsidR="00793314" w:rsidRPr="005927B3" w:rsidTr="00793314">
        <w:tc>
          <w:tcPr>
            <w:tcW w:w="2966" w:type="pct"/>
            <w:gridSpan w:val="4"/>
            <w:tcBorders>
              <w:right w:val="nil"/>
            </w:tcBorders>
            <w:vAlign w:val="center"/>
          </w:tcPr>
          <w:p w:rsidR="00793314" w:rsidRPr="005927B3" w:rsidRDefault="00793314" w:rsidP="00804107">
            <w:pPr>
              <w:keepNext/>
              <w:widowControl/>
              <w:jc w:val="left"/>
              <w:rPr>
                <w:rFonts w:ascii="Arial Narrow" w:hAnsi="Arial Narrow"/>
                <w:b/>
                <w:sz w:val="20"/>
              </w:rPr>
            </w:pPr>
            <w:r w:rsidRPr="005927B3">
              <w:rPr>
                <w:rFonts w:ascii="Arial Narrow" w:hAnsi="Arial Narrow" w:cs="Times New Roman"/>
                <w:b/>
                <w:sz w:val="20"/>
              </w:rPr>
              <w:t>Exenatide 5µg BID vs placebo (with MET + SU)</w:t>
            </w:r>
          </w:p>
        </w:tc>
        <w:tc>
          <w:tcPr>
            <w:tcW w:w="1018" w:type="pct"/>
            <w:gridSpan w:val="2"/>
            <w:tcBorders>
              <w:left w:val="nil"/>
              <w:right w:val="nil"/>
            </w:tcBorders>
            <w:vAlign w:val="bottom"/>
          </w:tcPr>
          <w:p w:rsidR="00793314" w:rsidRPr="005927B3" w:rsidRDefault="00793314" w:rsidP="00804107">
            <w:pPr>
              <w:keepNext/>
              <w:widowControl/>
              <w:jc w:val="center"/>
              <w:rPr>
                <w:rFonts w:ascii="Arial Narrow" w:hAnsi="Arial Narrow"/>
                <w:b/>
                <w:sz w:val="20"/>
              </w:rPr>
            </w:pPr>
          </w:p>
        </w:tc>
        <w:tc>
          <w:tcPr>
            <w:tcW w:w="1016" w:type="pct"/>
            <w:tcBorders>
              <w:left w:val="nil"/>
            </w:tcBorders>
            <w:vAlign w:val="bottom"/>
          </w:tcPr>
          <w:p w:rsidR="00793314" w:rsidRPr="005927B3" w:rsidRDefault="00793314" w:rsidP="00804107">
            <w:pPr>
              <w:keepNext/>
              <w:widowControl/>
              <w:jc w:val="center"/>
              <w:rPr>
                <w:rFonts w:ascii="Arial Narrow" w:hAnsi="Arial Narrow"/>
                <w:b/>
                <w:sz w:val="20"/>
              </w:rPr>
            </w:pPr>
          </w:p>
        </w:tc>
      </w:tr>
      <w:tr w:rsidR="00793314" w:rsidRPr="005927B3" w:rsidTr="00793314">
        <w:tc>
          <w:tcPr>
            <w:tcW w:w="933" w:type="pct"/>
            <w:vMerge w:val="restart"/>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sz w:val="20"/>
              </w:rPr>
              <w:t>Trial 115</w:t>
            </w:r>
          </w:p>
        </w:tc>
        <w:tc>
          <w:tcPr>
            <w:tcW w:w="847" w:type="pct"/>
            <w:tcBorders>
              <w:bottom w:val="single" w:sz="4" w:space="0" w:color="auto"/>
            </w:tcBorders>
            <w:vAlign w:val="center"/>
          </w:tcPr>
          <w:p w:rsidR="00793314" w:rsidRPr="005927B3" w:rsidDel="00683CD4"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30 week; ITT</w:t>
            </w:r>
          </w:p>
        </w:tc>
        <w:tc>
          <w:tcPr>
            <w:tcW w:w="253" w:type="pct"/>
            <w:vMerge w:val="restart"/>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245</w:t>
            </w:r>
          </w:p>
        </w:tc>
        <w:tc>
          <w:tcPr>
            <w:tcW w:w="93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-0.66 (0.08)</w:t>
            </w:r>
          </w:p>
        </w:tc>
        <w:tc>
          <w:tcPr>
            <w:tcW w:w="255" w:type="pct"/>
            <w:vMerge w:val="restart"/>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247</w:t>
            </w:r>
          </w:p>
        </w:tc>
        <w:tc>
          <w:tcPr>
            <w:tcW w:w="76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0.12 (0.08)</w:t>
            </w:r>
          </w:p>
        </w:tc>
        <w:tc>
          <w:tcPr>
            <w:tcW w:w="1016"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-0.78 (-0.98, -0.58)</w:t>
            </w:r>
          </w:p>
        </w:tc>
      </w:tr>
      <w:tr w:rsidR="00793314" w:rsidRPr="005927B3" w:rsidTr="00793314">
        <w:tc>
          <w:tcPr>
            <w:tcW w:w="933" w:type="pct"/>
            <w:vMerge/>
            <w:vAlign w:val="center"/>
          </w:tcPr>
          <w:p w:rsidR="00793314" w:rsidRPr="005927B3" w:rsidRDefault="00793314" w:rsidP="00804107">
            <w:pPr>
              <w:keepNext/>
              <w:widowControl/>
              <w:jc w:val="center"/>
              <w:rPr>
                <w:rFonts w:ascii="Arial Narrow" w:hAnsi="Arial Narrow" w:cs="Times New Roman"/>
                <w:sz w:val="20"/>
              </w:rPr>
            </w:pPr>
          </w:p>
        </w:tc>
        <w:tc>
          <w:tcPr>
            <w:tcW w:w="847"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 week; ITT</w:t>
            </w:r>
          </w:p>
        </w:tc>
        <w:tc>
          <w:tcPr>
            <w:tcW w:w="253" w:type="pct"/>
            <w:vMerge/>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p>
        </w:tc>
        <w:tc>
          <w:tcPr>
            <w:tcW w:w="933"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-0.72 (0.07)</w:t>
            </w:r>
          </w:p>
        </w:tc>
        <w:tc>
          <w:tcPr>
            <w:tcW w:w="255" w:type="pct"/>
            <w:vMerge/>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p>
        </w:tc>
        <w:tc>
          <w:tcPr>
            <w:tcW w:w="763"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0.06 (0.08)</w:t>
            </w:r>
          </w:p>
        </w:tc>
        <w:tc>
          <w:tcPr>
            <w:tcW w:w="1016"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cs="Times New Roman"/>
                <w:b/>
                <w:sz w:val="20"/>
              </w:rPr>
              <w:t>-0.78 (-0.97, -0.60)</w:t>
            </w:r>
          </w:p>
        </w:tc>
      </w:tr>
      <w:tr w:rsidR="00793314" w:rsidRPr="005927B3" w:rsidTr="00793314">
        <w:tc>
          <w:tcPr>
            <w:tcW w:w="933" w:type="pct"/>
            <w:vMerge/>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p>
        </w:tc>
        <w:tc>
          <w:tcPr>
            <w:tcW w:w="847"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30 week; Max SU</w:t>
            </w:r>
          </w:p>
        </w:tc>
        <w:tc>
          <w:tcPr>
            <w:tcW w:w="253" w:type="pct"/>
            <w:tcBorders>
              <w:bottom w:val="single" w:sz="4" w:space="0" w:color="auto"/>
            </w:tcBorders>
            <w:vAlign w:val="bottom"/>
          </w:tcPr>
          <w:p w:rsidR="00793314" w:rsidRPr="005927B3" w:rsidRDefault="005927B3" w:rsidP="00804107">
            <w:pPr>
              <w:keepNext/>
              <w:widowControl/>
              <w:jc w:val="center"/>
              <w:rPr>
                <w:rFonts w:ascii="Arial Narrow" w:hAnsi="Arial Narrow" w:cs="Times New Roman"/>
                <w:sz w:val="20"/>
              </w:rPr>
            </w:pPr>
            <w:r>
              <w:rPr>
                <w:rFonts w:ascii="Arial Narrow" w:hAnsi="Arial Narrow" w:cs="Times New Roman"/>
                <w:sz w:val="20"/>
              </w:rPr>
              <w:t>123</w:t>
            </w:r>
          </w:p>
        </w:tc>
        <w:tc>
          <w:tcPr>
            <w:tcW w:w="93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-0.80 (0.11)</w:t>
            </w:r>
          </w:p>
        </w:tc>
        <w:tc>
          <w:tcPr>
            <w:tcW w:w="255" w:type="pct"/>
            <w:tcBorders>
              <w:bottom w:val="single" w:sz="4" w:space="0" w:color="auto"/>
            </w:tcBorders>
            <w:vAlign w:val="bottom"/>
          </w:tcPr>
          <w:p w:rsidR="00793314" w:rsidRPr="005927B3" w:rsidRDefault="005927B3" w:rsidP="00804107">
            <w:pPr>
              <w:keepNext/>
              <w:widowControl/>
              <w:jc w:val="center"/>
              <w:rPr>
                <w:rFonts w:ascii="Arial Narrow" w:hAnsi="Arial Narrow" w:cs="Times New Roman"/>
                <w:sz w:val="20"/>
              </w:rPr>
            </w:pPr>
            <w:r>
              <w:rPr>
                <w:rFonts w:ascii="Arial Narrow" w:hAnsi="Arial Narrow" w:cs="Times New Roman"/>
                <w:sz w:val="20"/>
              </w:rPr>
              <w:t>120</w:t>
            </w:r>
          </w:p>
        </w:tc>
        <w:tc>
          <w:tcPr>
            <w:tcW w:w="763"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-0.03 (0.11)</w:t>
            </w:r>
          </w:p>
        </w:tc>
        <w:tc>
          <w:tcPr>
            <w:tcW w:w="1016"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-0.77 (-1.05, -0.49)</w:t>
            </w:r>
          </w:p>
        </w:tc>
      </w:tr>
      <w:tr w:rsidR="00793314" w:rsidRPr="005927B3" w:rsidTr="00793314">
        <w:tc>
          <w:tcPr>
            <w:tcW w:w="2966" w:type="pct"/>
            <w:gridSpan w:val="4"/>
            <w:tcBorders>
              <w:top w:val="single" w:sz="4" w:space="0" w:color="auto"/>
              <w:right w:val="nil"/>
            </w:tcBorders>
            <w:vAlign w:val="center"/>
          </w:tcPr>
          <w:p w:rsidR="00793314" w:rsidRPr="005927B3" w:rsidRDefault="00793314" w:rsidP="00804107">
            <w:pPr>
              <w:keepNext/>
              <w:widowControl/>
              <w:jc w:val="left"/>
              <w:rPr>
                <w:rFonts w:ascii="Arial Narrow" w:hAnsi="Arial Narrow"/>
                <w:b/>
                <w:sz w:val="20"/>
              </w:rPr>
            </w:pPr>
            <w:r w:rsidRPr="005927B3">
              <w:rPr>
                <w:rFonts w:ascii="Arial Narrow" w:hAnsi="Arial Narrow" w:cs="Times New Roman"/>
                <w:b/>
                <w:sz w:val="20"/>
              </w:rPr>
              <w:t>Dapagliflozin 10mg vs placebo (with MET + SU)</w:t>
            </w:r>
          </w:p>
        </w:tc>
        <w:tc>
          <w:tcPr>
            <w:tcW w:w="1018" w:type="pct"/>
            <w:gridSpan w:val="2"/>
            <w:tcBorders>
              <w:top w:val="single" w:sz="4" w:space="0" w:color="auto"/>
              <w:left w:val="nil"/>
              <w:right w:val="nil"/>
            </w:tcBorders>
            <w:vAlign w:val="bottom"/>
          </w:tcPr>
          <w:p w:rsidR="00793314" w:rsidRPr="005927B3" w:rsidRDefault="00793314" w:rsidP="00804107">
            <w:pPr>
              <w:keepNext/>
              <w:widowControl/>
              <w:jc w:val="center"/>
              <w:rPr>
                <w:rFonts w:ascii="Arial Narrow" w:hAnsi="Arial Narrow"/>
                <w:b/>
                <w:sz w:val="20"/>
              </w:rPr>
            </w:pPr>
          </w:p>
        </w:tc>
        <w:tc>
          <w:tcPr>
            <w:tcW w:w="1016" w:type="pct"/>
            <w:tcBorders>
              <w:top w:val="single" w:sz="4" w:space="0" w:color="auto"/>
              <w:left w:val="nil"/>
            </w:tcBorders>
            <w:vAlign w:val="bottom"/>
          </w:tcPr>
          <w:p w:rsidR="00793314" w:rsidRPr="005927B3" w:rsidRDefault="00793314" w:rsidP="00804107">
            <w:pPr>
              <w:keepNext/>
              <w:widowControl/>
              <w:jc w:val="center"/>
              <w:rPr>
                <w:rFonts w:ascii="Arial Narrow" w:hAnsi="Arial Narrow"/>
                <w:b/>
                <w:sz w:val="20"/>
              </w:rPr>
            </w:pPr>
          </w:p>
        </w:tc>
      </w:tr>
      <w:tr w:rsidR="00793314" w:rsidRPr="005927B3" w:rsidTr="00793314">
        <w:tc>
          <w:tcPr>
            <w:tcW w:w="933" w:type="pct"/>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sz w:val="20"/>
              </w:rPr>
              <w:t>Matthaei 2015</w:t>
            </w:r>
          </w:p>
        </w:tc>
        <w:tc>
          <w:tcPr>
            <w:tcW w:w="847" w:type="pct"/>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24 week; FAS</w:t>
            </w:r>
          </w:p>
        </w:tc>
        <w:tc>
          <w:tcPr>
            <w:tcW w:w="25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108</w:t>
            </w:r>
          </w:p>
        </w:tc>
        <w:tc>
          <w:tcPr>
            <w:tcW w:w="93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-0.86 (0.07)</w:t>
            </w:r>
          </w:p>
        </w:tc>
        <w:tc>
          <w:tcPr>
            <w:tcW w:w="255"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108</w:t>
            </w:r>
          </w:p>
        </w:tc>
        <w:tc>
          <w:tcPr>
            <w:tcW w:w="763" w:type="pct"/>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-0.17 (0.07)</w:t>
            </w:r>
          </w:p>
        </w:tc>
        <w:tc>
          <w:tcPr>
            <w:tcW w:w="1016" w:type="pct"/>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-0.69 (-0.89, -0.49)</w:t>
            </w:r>
          </w:p>
        </w:tc>
      </w:tr>
      <w:tr w:rsidR="00793314" w:rsidRPr="005927B3" w:rsidTr="00793314">
        <w:tc>
          <w:tcPr>
            <w:tcW w:w="1780" w:type="pct"/>
            <w:gridSpan w:val="2"/>
            <w:tcBorders>
              <w:top w:val="double" w:sz="4" w:space="0" w:color="auto"/>
              <w:bottom w:val="single" w:sz="4" w:space="0" w:color="auto"/>
              <w:right w:val="nil"/>
            </w:tcBorders>
            <w:shd w:val="clear" w:color="auto" w:fill="auto"/>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b/>
                <w:sz w:val="20"/>
              </w:rPr>
              <w:t>Indirect comparisons</w:t>
            </w:r>
          </w:p>
        </w:tc>
        <w:tc>
          <w:tcPr>
            <w:tcW w:w="1186" w:type="pct"/>
            <w:gridSpan w:val="2"/>
            <w:tcBorders>
              <w:top w:val="double" w:sz="4" w:space="0" w:color="auto"/>
              <w:left w:val="nil"/>
              <w:bottom w:val="single" w:sz="4" w:space="0" w:color="auto"/>
              <w:right w:val="nil"/>
            </w:tcBorders>
            <w:shd w:val="clear" w:color="auto" w:fill="auto"/>
            <w:vAlign w:val="center"/>
          </w:tcPr>
          <w:p w:rsidR="00793314" w:rsidRPr="005927B3" w:rsidRDefault="00793314" w:rsidP="00804107">
            <w:pPr>
              <w:keepNext/>
              <w:widowControl/>
              <w:jc w:val="left"/>
              <w:rPr>
                <w:rFonts w:ascii="Arial Narrow" w:hAnsi="Arial Narrow" w:cs="Times New Roman"/>
                <w:sz w:val="20"/>
              </w:rPr>
            </w:pPr>
          </w:p>
        </w:tc>
        <w:tc>
          <w:tcPr>
            <w:tcW w:w="1018" w:type="pct"/>
            <w:gridSpan w:val="2"/>
            <w:tcBorders>
              <w:top w:val="double" w:sz="4" w:space="0" w:color="auto"/>
              <w:left w:val="nil"/>
              <w:bottom w:val="single" w:sz="4" w:space="0" w:color="auto"/>
              <w:right w:val="nil"/>
            </w:tcBorders>
            <w:shd w:val="clear" w:color="auto" w:fill="auto"/>
            <w:vAlign w:val="center"/>
          </w:tcPr>
          <w:p w:rsidR="00793314" w:rsidRPr="005927B3" w:rsidRDefault="00793314" w:rsidP="00804107">
            <w:pPr>
              <w:keepNext/>
              <w:widowControl/>
              <w:jc w:val="left"/>
              <w:rPr>
                <w:rFonts w:ascii="Arial Narrow" w:hAnsi="Arial Narrow" w:cs="Times New Roman"/>
                <w:sz w:val="20"/>
              </w:rPr>
            </w:pPr>
          </w:p>
        </w:tc>
        <w:tc>
          <w:tcPr>
            <w:tcW w:w="1016" w:type="pct"/>
            <w:tcBorders>
              <w:top w:val="double" w:sz="4" w:space="0" w:color="auto"/>
              <w:left w:val="nil"/>
              <w:bottom w:val="single" w:sz="4" w:space="0" w:color="auto"/>
            </w:tcBorders>
            <w:shd w:val="clear" w:color="auto" w:fill="auto"/>
            <w:vAlign w:val="center"/>
          </w:tcPr>
          <w:p w:rsidR="00793314" w:rsidRPr="005927B3" w:rsidRDefault="00793314" w:rsidP="00804107">
            <w:pPr>
              <w:keepNext/>
              <w:widowControl/>
              <w:jc w:val="left"/>
              <w:rPr>
                <w:rFonts w:ascii="Arial Narrow" w:hAnsi="Arial Narrow" w:cs="Times New Roman"/>
                <w:sz w:val="20"/>
              </w:rPr>
            </w:pPr>
          </w:p>
        </w:tc>
      </w:tr>
      <w:tr w:rsidR="00793314" w:rsidRPr="005927B3" w:rsidTr="00793314">
        <w:trPr>
          <w:trHeight w:val="203"/>
        </w:trPr>
        <w:tc>
          <w:tcPr>
            <w:tcW w:w="2966" w:type="pct"/>
            <w:gridSpan w:val="4"/>
            <w:tcBorders>
              <w:bottom w:val="single" w:sz="4" w:space="0" w:color="auto"/>
              <w:right w:val="nil"/>
            </w:tcBorders>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iCs/>
                <w:sz w:val="20"/>
              </w:rPr>
              <w:t>Saxagliptin vs insulin glargine</w:t>
            </w:r>
            <w:r w:rsidRPr="005927B3">
              <w:rPr>
                <w:rFonts w:ascii="Arial Narrow" w:hAnsi="Arial Narrow" w:cs="Times New Roman"/>
                <w:sz w:val="20"/>
              </w:rPr>
              <w:t> (with MET + SU)</w:t>
            </w:r>
          </w:p>
        </w:tc>
        <w:tc>
          <w:tcPr>
            <w:tcW w:w="1018" w:type="pct"/>
            <w:gridSpan w:val="2"/>
            <w:tcBorders>
              <w:left w:val="nil"/>
              <w:bottom w:val="single" w:sz="4" w:space="0" w:color="auto"/>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24/26 weeks</w:t>
            </w:r>
          </w:p>
        </w:tc>
        <w:tc>
          <w:tcPr>
            <w:tcW w:w="1016" w:type="pct"/>
            <w:tcBorders>
              <w:bottom w:val="single" w:sz="4" w:space="0" w:color="auto"/>
            </w:tcBorders>
            <w:vAlign w:val="center"/>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sz w:val="20"/>
              </w:rPr>
              <w:t>0.19 (-0.08, 0.46)</w:t>
            </w:r>
          </w:p>
        </w:tc>
      </w:tr>
      <w:tr w:rsidR="00793314" w:rsidRPr="005927B3" w:rsidTr="00793314">
        <w:tc>
          <w:tcPr>
            <w:tcW w:w="2966" w:type="pct"/>
            <w:gridSpan w:val="4"/>
            <w:vMerge w:val="restart"/>
            <w:tcBorders>
              <w:right w:val="nil"/>
            </w:tcBorders>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iCs/>
                <w:sz w:val="20"/>
              </w:rPr>
              <w:t>Saxagliptin vs exenatide</w:t>
            </w:r>
            <w:r w:rsidRPr="005927B3">
              <w:rPr>
                <w:rFonts w:ascii="Arial Narrow" w:hAnsi="Arial Narrow" w:cs="Times New Roman"/>
                <w:sz w:val="20"/>
              </w:rPr>
              <w:t> 10µg BID (with MET + SU)</w:t>
            </w:r>
          </w:p>
        </w:tc>
        <w:tc>
          <w:tcPr>
            <w:tcW w:w="1018" w:type="pct"/>
            <w:gridSpan w:val="2"/>
            <w:tcBorders>
              <w:left w:val="nil"/>
              <w:bottom w:val="nil"/>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24/30 weeks</w:t>
            </w:r>
          </w:p>
        </w:tc>
        <w:tc>
          <w:tcPr>
            <w:tcW w:w="1016" w:type="pct"/>
            <w:tcBorders>
              <w:bottom w:val="single" w:sz="4" w:space="0" w:color="auto"/>
            </w:tcBorders>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0.34 (0.06, 0.62)</w:t>
            </w:r>
          </w:p>
        </w:tc>
      </w:tr>
      <w:tr w:rsidR="00793314" w:rsidRPr="005927B3" w:rsidTr="00793314">
        <w:trPr>
          <w:trHeight w:val="69"/>
        </w:trPr>
        <w:tc>
          <w:tcPr>
            <w:tcW w:w="2966" w:type="pct"/>
            <w:gridSpan w:val="4"/>
            <w:vMerge/>
            <w:tcBorders>
              <w:right w:val="nil"/>
            </w:tcBorders>
            <w:vAlign w:val="center"/>
          </w:tcPr>
          <w:p w:rsidR="00793314" w:rsidRPr="005927B3" w:rsidRDefault="00793314" w:rsidP="00804107">
            <w:pPr>
              <w:keepNext/>
              <w:widowControl/>
              <w:jc w:val="left"/>
              <w:rPr>
                <w:rFonts w:ascii="Arial Narrow" w:hAnsi="Arial Narrow" w:cs="Times New Roman"/>
                <w:sz w:val="20"/>
              </w:rPr>
            </w:pPr>
          </w:p>
        </w:tc>
        <w:tc>
          <w:tcPr>
            <w:tcW w:w="1018" w:type="pct"/>
            <w:gridSpan w:val="2"/>
            <w:tcBorders>
              <w:top w:val="nil"/>
              <w:left w:val="nil"/>
              <w:bottom w:val="nil"/>
              <w:right w:val="single" w:sz="4" w:space="0" w:color="auto"/>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24/24 weeks</w:t>
            </w:r>
          </w:p>
        </w:tc>
        <w:tc>
          <w:tcPr>
            <w:tcW w:w="1016" w:type="pct"/>
            <w:tcBorders>
              <w:left w:val="single" w:sz="4" w:space="0" w:color="auto"/>
              <w:bottom w:val="single" w:sz="4" w:space="0" w:color="auto"/>
            </w:tcBorders>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0.44 (0.17, 0.71)</w:t>
            </w:r>
          </w:p>
        </w:tc>
      </w:tr>
      <w:tr w:rsidR="00793314" w:rsidRPr="005927B3" w:rsidTr="00793314">
        <w:tc>
          <w:tcPr>
            <w:tcW w:w="2966" w:type="pct"/>
            <w:gridSpan w:val="4"/>
            <w:vMerge/>
            <w:tcBorders>
              <w:bottom w:val="single" w:sz="4" w:space="0" w:color="auto"/>
              <w:right w:val="nil"/>
            </w:tcBorders>
            <w:vAlign w:val="center"/>
          </w:tcPr>
          <w:p w:rsidR="00793314" w:rsidRPr="005927B3" w:rsidRDefault="00793314" w:rsidP="00804107">
            <w:pPr>
              <w:keepNext/>
              <w:widowControl/>
              <w:jc w:val="left"/>
              <w:rPr>
                <w:rFonts w:ascii="Arial Narrow" w:hAnsi="Arial Narrow" w:cs="Times New Roman"/>
                <w:sz w:val="20"/>
              </w:rPr>
            </w:pPr>
          </w:p>
        </w:tc>
        <w:tc>
          <w:tcPr>
            <w:tcW w:w="1018" w:type="pct"/>
            <w:gridSpan w:val="2"/>
            <w:tcBorders>
              <w:top w:val="nil"/>
              <w:left w:val="nil"/>
              <w:bottom w:val="single" w:sz="4" w:space="0" w:color="auto"/>
              <w:right w:val="single" w:sz="4" w:space="0" w:color="auto"/>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24/30 Max SU weeks</w:t>
            </w:r>
          </w:p>
        </w:tc>
        <w:tc>
          <w:tcPr>
            <w:tcW w:w="1016" w:type="pct"/>
            <w:tcBorders>
              <w:left w:val="single" w:sz="4" w:space="0" w:color="auto"/>
              <w:bottom w:val="single" w:sz="4" w:space="0" w:color="auto"/>
            </w:tcBorders>
            <w:vAlign w:val="bottom"/>
          </w:tcPr>
          <w:p w:rsidR="00793314" w:rsidRPr="005927B3" w:rsidRDefault="00793314" w:rsidP="00804107">
            <w:pPr>
              <w:keepNext/>
              <w:widowControl/>
              <w:jc w:val="center"/>
              <w:rPr>
                <w:rFonts w:ascii="Arial Narrow" w:hAnsi="Arial Narrow" w:cs="Times New Roman"/>
                <w:b/>
                <w:sz w:val="20"/>
              </w:rPr>
            </w:pPr>
            <w:r w:rsidRPr="005927B3">
              <w:rPr>
                <w:rFonts w:ascii="Arial Narrow" w:hAnsi="Arial Narrow"/>
                <w:b/>
                <w:sz w:val="20"/>
              </w:rPr>
              <w:t>0.36 (0.02, 0.71)</w:t>
            </w:r>
          </w:p>
        </w:tc>
      </w:tr>
      <w:tr w:rsidR="00793314" w:rsidRPr="005927B3" w:rsidTr="00793314">
        <w:tc>
          <w:tcPr>
            <w:tcW w:w="2966" w:type="pct"/>
            <w:gridSpan w:val="4"/>
            <w:vMerge w:val="restart"/>
            <w:tcBorders>
              <w:right w:val="nil"/>
            </w:tcBorders>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iCs/>
                <w:sz w:val="20"/>
              </w:rPr>
              <w:t>Saxagliptin vs exenatide</w:t>
            </w:r>
            <w:r w:rsidRPr="005927B3">
              <w:rPr>
                <w:rFonts w:ascii="Arial Narrow" w:hAnsi="Arial Narrow" w:cs="Times New Roman"/>
                <w:sz w:val="20"/>
              </w:rPr>
              <w:t> 5µg BID (with MET + SU)</w:t>
            </w:r>
          </w:p>
        </w:tc>
        <w:tc>
          <w:tcPr>
            <w:tcW w:w="1018" w:type="pct"/>
            <w:gridSpan w:val="2"/>
            <w:tcBorders>
              <w:top w:val="single" w:sz="4" w:space="0" w:color="auto"/>
              <w:left w:val="nil"/>
              <w:bottom w:val="nil"/>
              <w:right w:val="single" w:sz="4" w:space="0" w:color="auto"/>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24/30 weeks</w:t>
            </w:r>
          </w:p>
        </w:tc>
        <w:tc>
          <w:tcPr>
            <w:tcW w:w="1016" w:type="pct"/>
            <w:tcBorders>
              <w:top w:val="single" w:sz="4" w:space="0" w:color="auto"/>
              <w:left w:val="single" w:sz="4" w:space="0" w:color="auto"/>
              <w:bottom w:val="single" w:sz="4" w:space="0" w:color="auto"/>
              <w:right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0.12 (-0.16, 0.40)</w:t>
            </w:r>
          </w:p>
        </w:tc>
      </w:tr>
      <w:tr w:rsidR="00793314" w:rsidRPr="005927B3" w:rsidTr="00793314">
        <w:tc>
          <w:tcPr>
            <w:tcW w:w="2966" w:type="pct"/>
            <w:gridSpan w:val="4"/>
            <w:vMerge/>
            <w:tcBorders>
              <w:right w:val="nil"/>
            </w:tcBorders>
            <w:vAlign w:val="center"/>
          </w:tcPr>
          <w:p w:rsidR="00793314" w:rsidRPr="005927B3" w:rsidRDefault="00793314" w:rsidP="00804107">
            <w:pPr>
              <w:keepNext/>
              <w:widowControl/>
              <w:jc w:val="right"/>
              <w:rPr>
                <w:rFonts w:ascii="Arial Narrow" w:hAnsi="Arial Narrow" w:cs="Times New Roman"/>
                <w:sz w:val="20"/>
              </w:rPr>
            </w:pPr>
          </w:p>
        </w:tc>
        <w:tc>
          <w:tcPr>
            <w:tcW w:w="1018" w:type="pct"/>
            <w:gridSpan w:val="2"/>
            <w:tcBorders>
              <w:top w:val="nil"/>
              <w:left w:val="nil"/>
              <w:bottom w:val="nil"/>
              <w:right w:val="single" w:sz="4" w:space="0" w:color="auto"/>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24/24 weeks</w:t>
            </w:r>
          </w:p>
        </w:tc>
        <w:tc>
          <w:tcPr>
            <w:tcW w:w="1016" w:type="pct"/>
            <w:tcBorders>
              <w:top w:val="single" w:sz="4" w:space="0" w:color="auto"/>
              <w:left w:val="single" w:sz="4" w:space="0" w:color="auto"/>
              <w:bottom w:val="single" w:sz="4" w:space="0" w:color="auto"/>
              <w:right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0.12 (-0.24, 0.48)</w:t>
            </w:r>
          </w:p>
        </w:tc>
      </w:tr>
      <w:tr w:rsidR="00793314" w:rsidRPr="005927B3" w:rsidTr="00793314">
        <w:tc>
          <w:tcPr>
            <w:tcW w:w="2966" w:type="pct"/>
            <w:gridSpan w:val="4"/>
            <w:vMerge/>
            <w:tcBorders>
              <w:bottom w:val="single" w:sz="4" w:space="0" w:color="auto"/>
              <w:right w:val="nil"/>
            </w:tcBorders>
            <w:vAlign w:val="center"/>
          </w:tcPr>
          <w:p w:rsidR="00793314" w:rsidRPr="005927B3" w:rsidRDefault="00793314" w:rsidP="00804107">
            <w:pPr>
              <w:keepNext/>
              <w:widowControl/>
              <w:jc w:val="right"/>
              <w:rPr>
                <w:rFonts w:ascii="Arial Narrow" w:hAnsi="Arial Narrow" w:cs="Times New Roman"/>
                <w:sz w:val="20"/>
              </w:rPr>
            </w:pPr>
          </w:p>
        </w:tc>
        <w:tc>
          <w:tcPr>
            <w:tcW w:w="1018" w:type="pct"/>
            <w:gridSpan w:val="2"/>
            <w:tcBorders>
              <w:top w:val="nil"/>
              <w:left w:val="nil"/>
              <w:bottom w:val="single" w:sz="4" w:space="0" w:color="auto"/>
              <w:right w:val="single" w:sz="4" w:space="0" w:color="auto"/>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24/30 Max SU weeks</w:t>
            </w:r>
          </w:p>
        </w:tc>
        <w:tc>
          <w:tcPr>
            <w:tcW w:w="1016" w:type="pct"/>
            <w:tcBorders>
              <w:top w:val="single" w:sz="4" w:space="0" w:color="auto"/>
              <w:left w:val="single" w:sz="4" w:space="0" w:color="auto"/>
              <w:bottom w:val="single" w:sz="4" w:space="0" w:color="auto"/>
              <w:right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0.11 (-0.23, 0.45)</w:t>
            </w:r>
          </w:p>
        </w:tc>
      </w:tr>
      <w:tr w:rsidR="00793314" w:rsidRPr="005927B3" w:rsidTr="00793314">
        <w:tc>
          <w:tcPr>
            <w:tcW w:w="2966" w:type="pct"/>
            <w:gridSpan w:val="4"/>
            <w:tcBorders>
              <w:top w:val="single" w:sz="4" w:space="0" w:color="auto"/>
              <w:bottom w:val="single" w:sz="4" w:space="0" w:color="auto"/>
              <w:right w:val="nil"/>
            </w:tcBorders>
            <w:vAlign w:val="center"/>
          </w:tcPr>
          <w:p w:rsidR="00793314" w:rsidRPr="005927B3" w:rsidRDefault="00793314" w:rsidP="00804107">
            <w:pPr>
              <w:keepNext/>
              <w:widowControl/>
              <w:jc w:val="left"/>
              <w:rPr>
                <w:rFonts w:ascii="Arial Narrow" w:hAnsi="Arial Narrow" w:cs="Times New Roman"/>
                <w:sz w:val="20"/>
              </w:rPr>
            </w:pPr>
            <w:r w:rsidRPr="005927B3">
              <w:rPr>
                <w:rFonts w:ascii="Arial Narrow" w:hAnsi="Arial Narrow" w:cs="Times New Roman"/>
                <w:iCs/>
                <w:sz w:val="20"/>
              </w:rPr>
              <w:t>Saxagliptin vs dapagliflozin</w:t>
            </w:r>
            <w:r w:rsidRPr="005927B3">
              <w:rPr>
                <w:rFonts w:ascii="Arial Narrow" w:hAnsi="Arial Narrow" w:cs="Times New Roman"/>
                <w:sz w:val="20"/>
              </w:rPr>
              <w:t> (with MET + SU)</w:t>
            </w:r>
          </w:p>
        </w:tc>
        <w:tc>
          <w:tcPr>
            <w:tcW w:w="1018" w:type="pct"/>
            <w:gridSpan w:val="2"/>
            <w:tcBorders>
              <w:top w:val="single" w:sz="4" w:space="0" w:color="auto"/>
              <w:left w:val="nil"/>
              <w:bottom w:val="single" w:sz="4" w:space="0" w:color="auto"/>
              <w:right w:val="single" w:sz="4" w:space="0" w:color="auto"/>
            </w:tcBorders>
            <w:vAlign w:val="center"/>
          </w:tcPr>
          <w:p w:rsidR="00793314" w:rsidRPr="005927B3" w:rsidRDefault="00793314" w:rsidP="00804107">
            <w:pPr>
              <w:keepNext/>
              <w:widowControl/>
              <w:jc w:val="right"/>
              <w:rPr>
                <w:rFonts w:ascii="Arial Narrow" w:hAnsi="Arial Narrow" w:cs="Times New Roman"/>
                <w:sz w:val="20"/>
              </w:rPr>
            </w:pPr>
            <w:r w:rsidRPr="005927B3">
              <w:rPr>
                <w:rFonts w:ascii="Arial Narrow" w:hAnsi="Arial Narrow" w:cs="Times New Roman"/>
                <w:sz w:val="20"/>
              </w:rPr>
              <w:t>24/24 weeks</w:t>
            </w:r>
          </w:p>
        </w:tc>
        <w:tc>
          <w:tcPr>
            <w:tcW w:w="1016" w:type="pct"/>
            <w:tcBorders>
              <w:top w:val="single" w:sz="4" w:space="0" w:color="auto"/>
              <w:left w:val="single" w:sz="4" w:space="0" w:color="auto"/>
              <w:bottom w:val="single" w:sz="4" w:space="0" w:color="auto"/>
              <w:right w:val="single" w:sz="4" w:space="0" w:color="auto"/>
            </w:tcBorders>
            <w:vAlign w:val="bottom"/>
          </w:tcPr>
          <w:p w:rsidR="00793314" w:rsidRPr="005927B3" w:rsidRDefault="00793314" w:rsidP="00804107">
            <w:pPr>
              <w:keepNext/>
              <w:widowControl/>
              <w:jc w:val="center"/>
              <w:rPr>
                <w:rFonts w:ascii="Arial Narrow" w:hAnsi="Arial Narrow" w:cs="Times New Roman"/>
                <w:sz w:val="20"/>
              </w:rPr>
            </w:pPr>
            <w:r w:rsidRPr="005927B3">
              <w:rPr>
                <w:rFonts w:ascii="Arial Narrow" w:hAnsi="Arial Narrow" w:cs="Times New Roman"/>
                <w:sz w:val="20"/>
              </w:rPr>
              <w:t>0.03 (-0.25, 0.31)</w:t>
            </w:r>
          </w:p>
        </w:tc>
      </w:tr>
    </w:tbl>
    <w:p w:rsidR="00793314" w:rsidRPr="00000239" w:rsidRDefault="00793314" w:rsidP="00804107">
      <w:pPr>
        <w:pStyle w:val="TableFooter"/>
        <w:keepNext/>
        <w:keepLines/>
        <w:widowControl/>
        <w:ind w:left="709"/>
        <w:rPr>
          <w:szCs w:val="16"/>
        </w:rPr>
      </w:pPr>
      <w:r w:rsidRPr="00000239">
        <w:rPr>
          <w:szCs w:val="16"/>
        </w:rPr>
        <w:t xml:space="preserve">Source: </w:t>
      </w:r>
      <w:r>
        <w:rPr>
          <w:szCs w:val="16"/>
        </w:rPr>
        <w:t>Table B-48, p.112</w:t>
      </w:r>
      <w:r w:rsidRPr="00000239">
        <w:rPr>
          <w:szCs w:val="16"/>
        </w:rPr>
        <w:t xml:space="preserve"> of the submission</w:t>
      </w:r>
      <w:r>
        <w:rPr>
          <w:szCs w:val="16"/>
        </w:rPr>
        <w:t>; Table B.23, p.31 of the Section B Dapagliflozin Supplementary Evaluation.</w:t>
      </w:r>
    </w:p>
    <w:p w:rsidR="00793314" w:rsidRDefault="00793314" w:rsidP="00804107">
      <w:pPr>
        <w:pStyle w:val="TableFooter"/>
        <w:keepNext/>
        <w:keepLines/>
        <w:widowControl/>
        <w:ind w:left="709"/>
        <w:rPr>
          <w:szCs w:val="16"/>
        </w:rPr>
      </w:pPr>
      <w:r>
        <w:rPr>
          <w:szCs w:val="16"/>
        </w:rPr>
        <w:t>Abbreviations:  CI, c</w:t>
      </w:r>
      <w:r w:rsidRPr="00000239">
        <w:rPr>
          <w:szCs w:val="16"/>
        </w:rPr>
        <w:t>onfi</w:t>
      </w:r>
      <w:r>
        <w:rPr>
          <w:szCs w:val="16"/>
        </w:rPr>
        <w:t>dence interval; FAS, f</w:t>
      </w:r>
      <w:r w:rsidRPr="00000239">
        <w:rPr>
          <w:szCs w:val="16"/>
        </w:rPr>
        <w:t xml:space="preserve">ull analysis set; HbA1c, Glycosylated haemoglobin; </w:t>
      </w:r>
      <w:r>
        <w:rPr>
          <w:szCs w:val="16"/>
        </w:rPr>
        <w:t xml:space="preserve">ITT, intention to treat; </w:t>
      </w:r>
      <w:r w:rsidRPr="00000239">
        <w:rPr>
          <w:szCs w:val="16"/>
        </w:rPr>
        <w:t>LS, least squares; Max</w:t>
      </w:r>
      <w:r>
        <w:rPr>
          <w:szCs w:val="16"/>
        </w:rPr>
        <w:t xml:space="preserve"> SU</w:t>
      </w:r>
      <w:r w:rsidRPr="00000239">
        <w:rPr>
          <w:szCs w:val="16"/>
        </w:rPr>
        <w:t>, maximum</w:t>
      </w:r>
      <w:r>
        <w:rPr>
          <w:szCs w:val="16"/>
        </w:rPr>
        <w:t xml:space="preserve"> sulfonylurea dosing</w:t>
      </w:r>
      <w:r w:rsidRPr="00000239">
        <w:rPr>
          <w:szCs w:val="16"/>
        </w:rPr>
        <w:t xml:space="preserve">; </w:t>
      </w:r>
      <w:r>
        <w:rPr>
          <w:szCs w:val="16"/>
        </w:rPr>
        <w:t>MET, metformin; PP, p</w:t>
      </w:r>
      <w:r w:rsidRPr="00000239">
        <w:rPr>
          <w:szCs w:val="16"/>
        </w:rPr>
        <w:t xml:space="preserve">er </w:t>
      </w:r>
      <w:r>
        <w:rPr>
          <w:szCs w:val="16"/>
        </w:rPr>
        <w:t>protocol; SE, standard error; SU, sulfonylurea.</w:t>
      </w:r>
    </w:p>
    <w:p w:rsidR="00793314" w:rsidRDefault="00793314" w:rsidP="00804107">
      <w:pPr>
        <w:pStyle w:val="TableFooter"/>
        <w:keepNext/>
        <w:keepLines/>
        <w:widowControl/>
        <w:ind w:left="709"/>
        <w:rPr>
          <w:szCs w:val="16"/>
        </w:rPr>
      </w:pPr>
      <w:r>
        <w:rPr>
          <w:szCs w:val="16"/>
        </w:rPr>
        <w:t>Note: Negative differences favour active treatment. In the indirect comparisons, negative differences favour saxagliptin. Statistically significant results in bold.</w:t>
      </w:r>
    </w:p>
    <w:p w:rsidR="00793314" w:rsidRDefault="00793314" w:rsidP="00804107">
      <w:pPr>
        <w:widowControl/>
      </w:pPr>
    </w:p>
    <w:p w:rsidR="00256ED1" w:rsidRPr="00256ED1" w:rsidRDefault="00256ED1" w:rsidP="00804107">
      <w:pPr>
        <w:pStyle w:val="ListParagraph"/>
        <w:widowControl/>
        <w:numPr>
          <w:ilvl w:val="1"/>
          <w:numId w:val="5"/>
        </w:numPr>
        <w:rPr>
          <w:szCs w:val="22"/>
        </w:rPr>
      </w:pPr>
      <w:r>
        <w:t>T</w:t>
      </w:r>
      <w:r w:rsidRPr="00256ED1">
        <w:t xml:space="preserve">he addition of saxagliptin 5mg, dapagliflozin 10mg, insulin glargine (titrated to effect) or exenatide 5 or 10µg twice daily to background </w:t>
      </w:r>
      <w:r w:rsidR="002603C8">
        <w:t>MET</w:t>
      </w:r>
      <w:r w:rsidR="002603C8" w:rsidRPr="00256ED1">
        <w:t xml:space="preserve"> </w:t>
      </w:r>
      <w:r w:rsidRPr="00256ED1">
        <w:t xml:space="preserve">and a </w:t>
      </w:r>
      <w:r w:rsidR="002603C8">
        <w:t>SU</w:t>
      </w:r>
      <w:r w:rsidR="002603C8" w:rsidRPr="00256ED1">
        <w:t xml:space="preserve"> </w:t>
      </w:r>
      <w:r w:rsidRPr="00256ED1">
        <w:t>produced statistically significant reductions in HbA1c compared to placebo over 24 to 30 weeks</w:t>
      </w:r>
      <w:r>
        <w:t>.</w:t>
      </w:r>
    </w:p>
    <w:p w:rsidR="00256ED1" w:rsidRPr="00256ED1" w:rsidRDefault="00256ED1" w:rsidP="00804107">
      <w:pPr>
        <w:pStyle w:val="ListParagraph"/>
        <w:widowControl/>
        <w:rPr>
          <w:szCs w:val="22"/>
        </w:rPr>
      </w:pPr>
    </w:p>
    <w:p w:rsidR="00256ED1" w:rsidRPr="00256ED1" w:rsidRDefault="00256ED1" w:rsidP="00804107">
      <w:pPr>
        <w:pStyle w:val="ListParagraph"/>
        <w:widowControl/>
        <w:numPr>
          <w:ilvl w:val="1"/>
          <w:numId w:val="5"/>
        </w:numPr>
        <w:rPr>
          <w:szCs w:val="22"/>
        </w:rPr>
      </w:pPr>
      <w:r w:rsidRPr="00256ED1">
        <w:rPr>
          <w:szCs w:val="22"/>
        </w:rPr>
        <w:t>Based on the indirect comparisons:</w:t>
      </w:r>
    </w:p>
    <w:p w:rsidR="00256ED1" w:rsidRPr="007D07D1" w:rsidRDefault="00790175" w:rsidP="00804107">
      <w:pPr>
        <w:pStyle w:val="BodyText"/>
        <w:widowControl/>
        <w:numPr>
          <w:ilvl w:val="0"/>
          <w:numId w:val="20"/>
        </w:numPr>
        <w:ind w:left="1134"/>
        <w:jc w:val="both"/>
      </w:pPr>
      <w:r w:rsidRPr="007D07D1">
        <w:t xml:space="preserve">saxagliptin 5mg showed no statistically significant difference compared to insulin glargine or exenatide 5µg twice daily, but did not demonstrate non-inferiority to insulin glargine or exenatide, with the upper limit of the confidence intervals exceeding the MCID of 0.4%; </w:t>
      </w:r>
    </w:p>
    <w:p w:rsidR="00256ED1" w:rsidRPr="007D07D1" w:rsidRDefault="00256ED1" w:rsidP="00804107">
      <w:pPr>
        <w:pStyle w:val="BodyText"/>
        <w:widowControl/>
        <w:numPr>
          <w:ilvl w:val="0"/>
          <w:numId w:val="20"/>
        </w:numPr>
        <w:ind w:left="1134"/>
        <w:jc w:val="both"/>
      </w:pPr>
      <w:r w:rsidRPr="007D07D1">
        <w:t>exenatide 10µg twice daily showed clinically meaningful and statistically significantly larger reductions in HbA1c compared to saxagliptin 5mg;</w:t>
      </w:r>
      <w:r w:rsidR="00971CC2">
        <w:t xml:space="preserve"> and</w:t>
      </w:r>
    </w:p>
    <w:p w:rsidR="00256ED1" w:rsidRPr="007D07D1" w:rsidRDefault="00256ED1" w:rsidP="00804107">
      <w:pPr>
        <w:pStyle w:val="BodyText"/>
        <w:widowControl/>
        <w:numPr>
          <w:ilvl w:val="0"/>
          <w:numId w:val="20"/>
        </w:numPr>
        <w:ind w:left="1134"/>
        <w:jc w:val="both"/>
      </w:pPr>
      <w:r w:rsidRPr="007D07D1">
        <w:t>saxagliptin 5mg demonstrated non-inferiority to dapagliflozin 10mg, with an upper limit of the confidence interval of 0.31%.</w:t>
      </w:r>
    </w:p>
    <w:p w:rsidR="00B60939" w:rsidRPr="00256ED1" w:rsidRDefault="00B60939" w:rsidP="00804107">
      <w:pPr>
        <w:widowControl/>
        <w:rPr>
          <w:szCs w:val="22"/>
        </w:rPr>
      </w:pPr>
    </w:p>
    <w:p w:rsidR="00790175" w:rsidRPr="00256ED1" w:rsidRDefault="00790175" w:rsidP="00804107">
      <w:pPr>
        <w:pStyle w:val="ListParagraph"/>
        <w:widowControl/>
        <w:numPr>
          <w:ilvl w:val="1"/>
          <w:numId w:val="5"/>
        </w:numPr>
        <w:rPr>
          <w:szCs w:val="22"/>
        </w:rPr>
      </w:pPr>
      <w:r>
        <w:t>Saxagliptin, insulin glargine, exenatide and dapagliflozin reported statistically significantly higher proportions of pa</w:t>
      </w:r>
      <w:r w:rsidR="00C56B61">
        <w:t>tients achieving HbA1c &lt;7%</w:t>
      </w:r>
      <w:r>
        <w:t xml:space="preserve"> versus placebo. In the indirect comparisons there were no statistically significant differences between saxagliptin and the comparators.</w:t>
      </w:r>
    </w:p>
    <w:p w:rsidR="00790175" w:rsidRPr="00256ED1" w:rsidRDefault="00790175" w:rsidP="00804107">
      <w:pPr>
        <w:pStyle w:val="ListParagraph"/>
        <w:widowControl/>
        <w:rPr>
          <w:szCs w:val="22"/>
        </w:rPr>
      </w:pPr>
    </w:p>
    <w:p w:rsidR="00790175" w:rsidRDefault="00790175" w:rsidP="00804107">
      <w:pPr>
        <w:pStyle w:val="ListParagraph"/>
        <w:widowControl/>
        <w:numPr>
          <w:ilvl w:val="1"/>
          <w:numId w:val="5"/>
        </w:numPr>
      </w:pPr>
      <w:r>
        <w:t xml:space="preserve">Patients taking saxagliptin and insulin glargine reported statistically significant weight </w:t>
      </w:r>
      <w:r w:rsidRPr="00790175">
        <w:t>gain</w:t>
      </w:r>
      <w:r>
        <w:t xml:space="preserve"> compared </w:t>
      </w:r>
      <w:r w:rsidR="00FA597D">
        <w:t xml:space="preserve">with </w:t>
      </w:r>
      <w:r>
        <w:t xml:space="preserve">placebo, while patients taking exenatide and dapagliflozin reported statistically significantly more weight </w:t>
      </w:r>
      <w:r w:rsidRPr="00790175">
        <w:t>loss</w:t>
      </w:r>
      <w:r>
        <w:t xml:space="preserve"> compared to placebo. In the indirect comparisons, </w:t>
      </w:r>
      <w:r w:rsidRPr="001918C3">
        <w:t xml:space="preserve">saxagliptin </w:t>
      </w:r>
      <w:r>
        <w:t>resulted in statistically significantly less weight gain compared to insulin glargine</w:t>
      </w:r>
      <w:r w:rsidR="00C56B61">
        <w:t xml:space="preserve"> but significantly more weight gain compared to dapagliflozin.</w:t>
      </w:r>
    </w:p>
    <w:p w:rsidR="008068F6" w:rsidRDefault="008068F6" w:rsidP="00804107">
      <w:pPr>
        <w:pStyle w:val="ListParagraph"/>
        <w:widowControl/>
      </w:pPr>
    </w:p>
    <w:p w:rsidR="008068F6" w:rsidRPr="00BB7EC3" w:rsidRDefault="008068F6" w:rsidP="00804107">
      <w:pPr>
        <w:pStyle w:val="ListParagraph"/>
        <w:widowControl/>
        <w:ind w:left="709"/>
        <w:rPr>
          <w:i/>
          <w:szCs w:val="22"/>
        </w:rPr>
      </w:pPr>
      <w:r w:rsidRPr="002C0AB5">
        <w:rPr>
          <w:i/>
          <w:szCs w:val="22"/>
        </w:rPr>
        <w:t>For more detail on PBAC’s view, see section 7 “PBAC outcome”</w:t>
      </w:r>
    </w:p>
    <w:p w:rsidR="008068F6" w:rsidRPr="00790175" w:rsidRDefault="008068F6" w:rsidP="00804107">
      <w:pPr>
        <w:pStyle w:val="ListParagraph"/>
        <w:widowControl/>
      </w:pPr>
    </w:p>
    <w:p w:rsidR="00790175" w:rsidRPr="00256ED1" w:rsidRDefault="00790175" w:rsidP="00804107">
      <w:pPr>
        <w:pStyle w:val="ListParagraph"/>
        <w:widowControl/>
        <w:rPr>
          <w:szCs w:val="22"/>
        </w:rPr>
      </w:pPr>
    </w:p>
    <w:p w:rsidR="00B60939" w:rsidRPr="002C2775" w:rsidRDefault="00B60939" w:rsidP="00804107">
      <w:pPr>
        <w:pStyle w:val="Heading2"/>
        <w:widowControl/>
        <w:rPr>
          <w:i/>
        </w:rPr>
      </w:pPr>
      <w:bookmarkStart w:id="11" w:name="_Toc419207266"/>
      <w:r w:rsidRPr="002C2775">
        <w:rPr>
          <w:i/>
        </w:rPr>
        <w:t>Comparative harms</w:t>
      </w:r>
      <w:bookmarkEnd w:id="11"/>
    </w:p>
    <w:p w:rsidR="00B60939" w:rsidRPr="00882085" w:rsidRDefault="00B60939" w:rsidP="00804107">
      <w:pPr>
        <w:widowControl/>
        <w:ind w:left="720" w:hanging="720"/>
        <w:rPr>
          <w:szCs w:val="22"/>
        </w:rPr>
      </w:pPr>
    </w:p>
    <w:p w:rsidR="00C56B61" w:rsidRDefault="00C56B61" w:rsidP="00804107">
      <w:pPr>
        <w:pStyle w:val="ListParagraph"/>
        <w:widowControl/>
        <w:numPr>
          <w:ilvl w:val="1"/>
          <w:numId w:val="5"/>
        </w:numPr>
      </w:pPr>
      <w:r>
        <w:t>T</w:t>
      </w:r>
      <w:r w:rsidRPr="00C56B61">
        <w:t>here were no statistically significant differences between saxagliptin and dapagliflozin or between saxagliptin and insulin glargine in terms of the proportion of patients reporting adverse even</w:t>
      </w:r>
      <w:r>
        <w:t>ts, including hypoglycaemia.</w:t>
      </w:r>
    </w:p>
    <w:p w:rsidR="00C56B61" w:rsidRPr="00C56B61" w:rsidRDefault="00C56B61" w:rsidP="00804107">
      <w:pPr>
        <w:pStyle w:val="ListParagraph"/>
        <w:widowControl/>
      </w:pPr>
    </w:p>
    <w:p w:rsidR="00B60939" w:rsidRPr="00291E90" w:rsidRDefault="00291E90" w:rsidP="00804107">
      <w:pPr>
        <w:pStyle w:val="ListParagraph"/>
        <w:widowControl/>
        <w:numPr>
          <w:ilvl w:val="1"/>
          <w:numId w:val="5"/>
        </w:numPr>
        <w:rPr>
          <w:szCs w:val="22"/>
        </w:rPr>
      </w:pPr>
      <w:r>
        <w:t xml:space="preserve">There were </w:t>
      </w:r>
      <w:r w:rsidRPr="00C56B61">
        <w:t xml:space="preserve">no statistically significant differences </w:t>
      </w:r>
      <w:r>
        <w:t>in</w:t>
      </w:r>
      <w:r w:rsidRPr="00C56B61">
        <w:t xml:space="preserve"> serious adverse events or hypoglycaemia</w:t>
      </w:r>
      <w:r>
        <w:t xml:space="preserve"> between saxagliptin and exenatide 5µg. However, a</w:t>
      </w:r>
      <w:r w:rsidR="00C56B61" w:rsidRPr="00C56B61">
        <w:t xml:space="preserve"> statistically significantly lower proportion of saxagliptin patients reported at least one adverse event c</w:t>
      </w:r>
      <w:r w:rsidR="00C56B61">
        <w:t xml:space="preserve">ompared to </w:t>
      </w:r>
      <w:r>
        <w:t xml:space="preserve">both </w:t>
      </w:r>
      <w:r w:rsidR="00C56B61">
        <w:t>exenatide 5</w:t>
      </w:r>
      <w:r w:rsidR="00302784">
        <w:t>µg</w:t>
      </w:r>
      <w:r>
        <w:t xml:space="preserve"> and 10µg, and there were statistically significantly more hypoglycaemia events and discontinuation</w:t>
      </w:r>
      <w:r w:rsidR="005927B3">
        <w:t>s</w:t>
      </w:r>
      <w:r>
        <w:t xml:space="preserve"> in patients treated with exenatide 10µg.</w:t>
      </w:r>
    </w:p>
    <w:p w:rsidR="00291E90" w:rsidRPr="00291E90" w:rsidRDefault="00291E90" w:rsidP="00804107">
      <w:pPr>
        <w:pStyle w:val="ListParagraph"/>
        <w:widowControl/>
        <w:rPr>
          <w:szCs w:val="22"/>
        </w:rPr>
      </w:pPr>
    </w:p>
    <w:p w:rsidR="00291E90" w:rsidRDefault="00291E90" w:rsidP="00804107">
      <w:pPr>
        <w:pStyle w:val="ListParagraph"/>
        <w:widowControl/>
        <w:numPr>
          <w:ilvl w:val="1"/>
          <w:numId w:val="5"/>
        </w:numPr>
        <w:rPr>
          <w:szCs w:val="22"/>
        </w:rPr>
      </w:pPr>
      <w:r>
        <w:rPr>
          <w:szCs w:val="22"/>
        </w:rPr>
        <w:t xml:space="preserve">The safety profiles of saxagliptin and dapagliflozin were similar, but dapagliflozin </w:t>
      </w:r>
      <w:r w:rsidR="005927B3">
        <w:rPr>
          <w:szCs w:val="22"/>
        </w:rPr>
        <w:t>i</w:t>
      </w:r>
      <w:r>
        <w:rPr>
          <w:szCs w:val="22"/>
        </w:rPr>
        <w:t xml:space="preserve">s associated with </w:t>
      </w:r>
      <w:r w:rsidR="00C03304">
        <w:rPr>
          <w:szCs w:val="22"/>
        </w:rPr>
        <w:t xml:space="preserve">genital and urinary tract </w:t>
      </w:r>
      <w:r>
        <w:rPr>
          <w:szCs w:val="22"/>
        </w:rPr>
        <w:t>infections.</w:t>
      </w:r>
    </w:p>
    <w:p w:rsidR="00291E90" w:rsidRPr="00291E90" w:rsidRDefault="00291E90" w:rsidP="00804107">
      <w:pPr>
        <w:pStyle w:val="ListParagraph"/>
        <w:widowControl/>
        <w:rPr>
          <w:szCs w:val="22"/>
        </w:rPr>
      </w:pPr>
    </w:p>
    <w:p w:rsidR="00047A68" w:rsidRPr="00D00EBC" w:rsidRDefault="00291E90" w:rsidP="00804107">
      <w:pPr>
        <w:pStyle w:val="ListParagraph"/>
        <w:widowControl/>
        <w:numPr>
          <w:ilvl w:val="1"/>
          <w:numId w:val="5"/>
        </w:numPr>
        <w:rPr>
          <w:szCs w:val="22"/>
        </w:rPr>
      </w:pPr>
      <w:r>
        <w:rPr>
          <w:szCs w:val="22"/>
        </w:rPr>
        <w:t xml:space="preserve">Results of the recently reported </w:t>
      </w:r>
      <w:r w:rsidRPr="001D6221">
        <w:t>Saxagliptin Assessment of Vascular Outcomes Recorded in Patients with</w:t>
      </w:r>
      <w:r>
        <w:t xml:space="preserve"> Diabetes Mellitus study (SAVOR; N=16,492), suggested a 27% increase in the rate of hospitalisations for heart failure in patients treated with saxagliptin compared to placebo (HR 1.27, 95% CI [1.07, 1.51]). However, </w:t>
      </w:r>
      <w:r w:rsidR="0084000C">
        <w:t xml:space="preserve">a subsequent FDA review of these data (14 April 2015) found </w:t>
      </w:r>
      <w:r w:rsidR="0084000C" w:rsidRPr="00935271">
        <w:t xml:space="preserve">the cardiovascular risk of saxagliptin </w:t>
      </w:r>
      <w:r w:rsidR="0084000C">
        <w:t>was</w:t>
      </w:r>
      <w:r w:rsidR="0084000C" w:rsidRPr="00935271">
        <w:t xml:space="preserve"> acceptable.</w:t>
      </w:r>
      <w:r w:rsidR="0084000C">
        <w:t xml:space="preserve"> </w:t>
      </w:r>
      <w:r w:rsidR="0084000C" w:rsidRPr="00935271">
        <w:t>There are no current TGA safety alerts for saxagliptin.</w:t>
      </w:r>
      <w:r w:rsidR="009C5C47">
        <w:t xml:space="preserve"> </w:t>
      </w:r>
      <w:r w:rsidR="009C5C47" w:rsidRPr="005948C9">
        <w:t>The PSCR provided a summary of the results from the SAVOR study</w:t>
      </w:r>
      <w:r w:rsidR="00E65F3F" w:rsidRPr="005948C9">
        <w:t xml:space="preserve">. It acknowledged the increased rate of hospitalisation for heart failure in patients treated with saxagliptin and </w:t>
      </w:r>
      <w:r w:rsidR="00A06B46" w:rsidRPr="005948C9">
        <w:t xml:space="preserve">noted that this information has been incorporated into the </w:t>
      </w:r>
      <w:r w:rsidR="00E65F3F" w:rsidRPr="005948C9">
        <w:t>Company Core Risk Man</w:t>
      </w:r>
      <w:r w:rsidR="00D00EBC" w:rsidRPr="005948C9">
        <w:t xml:space="preserve">agement Plan </w:t>
      </w:r>
      <w:r w:rsidR="00A06B46" w:rsidRPr="005948C9">
        <w:t>and the Australian Product Information (TGA approved 21 April 2015).</w:t>
      </w:r>
      <w:r w:rsidR="00D00EBC" w:rsidRPr="005948C9">
        <w:t xml:space="preserve"> It also stated that SAVOR met the primary safety endpoint </w:t>
      </w:r>
      <w:r w:rsidR="0051464F" w:rsidRPr="005948C9">
        <w:t>–</w:t>
      </w:r>
      <w:r w:rsidR="00D00EBC" w:rsidRPr="005948C9">
        <w:t xml:space="preserve"> </w:t>
      </w:r>
      <w:r w:rsidR="004202EB" w:rsidRPr="005948C9">
        <w:t>demonstrating</w:t>
      </w:r>
      <w:r w:rsidR="0051464F" w:rsidRPr="005948C9">
        <w:t xml:space="preserve"> </w:t>
      </w:r>
      <w:r w:rsidR="004202EB" w:rsidRPr="005948C9">
        <w:t>that saxagliptin did not increase the composite risk for cardiovascular death, nonfatal myocardial infarction and nonfatal ischemic stroke when added to a patient’s current standard of care (with or without other antidiabetic therapies), as compared to placebo</w:t>
      </w:r>
      <w:r w:rsidR="00D00EBC" w:rsidRPr="005948C9">
        <w:t xml:space="preserve"> and argued that “the entire body of evidence should be considered when determining whether the PBS use of saxagliptin should be broadened, not just one component of the secondary outcome.”</w:t>
      </w:r>
    </w:p>
    <w:p w:rsidR="001612E4" w:rsidRPr="001612E4" w:rsidRDefault="001612E4" w:rsidP="00804107">
      <w:pPr>
        <w:pStyle w:val="ListParagraph"/>
        <w:widowControl/>
        <w:rPr>
          <w:szCs w:val="22"/>
        </w:rPr>
      </w:pPr>
    </w:p>
    <w:p w:rsidR="001612E4" w:rsidRPr="005948C9" w:rsidRDefault="001612E4" w:rsidP="00804107">
      <w:pPr>
        <w:pStyle w:val="ListParagraph"/>
        <w:widowControl/>
        <w:numPr>
          <w:ilvl w:val="1"/>
          <w:numId w:val="5"/>
        </w:numPr>
        <w:rPr>
          <w:szCs w:val="22"/>
        </w:rPr>
      </w:pPr>
      <w:r w:rsidRPr="007D07D1">
        <w:rPr>
          <w:szCs w:val="22"/>
        </w:rPr>
        <w:t xml:space="preserve">On 15 May 2015, the FDA issued a </w:t>
      </w:r>
      <w:r w:rsidRPr="00076419">
        <w:rPr>
          <w:szCs w:val="22"/>
        </w:rPr>
        <w:t>warning</w:t>
      </w:r>
      <w:r w:rsidRPr="0057448E">
        <w:rPr>
          <w:szCs w:val="22"/>
        </w:rPr>
        <w:t xml:space="preserve"> </w:t>
      </w:r>
      <w:r w:rsidRPr="007D07D1">
        <w:rPr>
          <w:szCs w:val="22"/>
        </w:rPr>
        <w:t>that use of SGLT2 inhibitors (canagliflozin, dapagliflozin, and empagliflozin) may lead to ketoacidosis, a serious condition where the body produces high levels of blood acids called ketones, which may require hospitalization.</w:t>
      </w:r>
      <w:r w:rsidR="00FC6477">
        <w:rPr>
          <w:szCs w:val="22"/>
        </w:rPr>
        <w:t xml:space="preserve"> </w:t>
      </w:r>
      <w:r w:rsidR="00FC6477" w:rsidRPr="005948C9">
        <w:rPr>
          <w:szCs w:val="22"/>
        </w:rPr>
        <w:t>The European Medicines Agency</w:t>
      </w:r>
      <w:r w:rsidR="00A97A13" w:rsidRPr="005948C9">
        <w:rPr>
          <w:szCs w:val="22"/>
        </w:rPr>
        <w:t xml:space="preserve">’s Pharmacovigilance Risk Assessment Committee has recently commenced a </w:t>
      </w:r>
      <w:r w:rsidR="00A97A13" w:rsidRPr="00076419">
        <w:rPr>
          <w:szCs w:val="22"/>
        </w:rPr>
        <w:t>review of SGLT2 inhibitors</w:t>
      </w:r>
      <w:r w:rsidR="00A97A13" w:rsidRPr="005948C9">
        <w:rPr>
          <w:szCs w:val="22"/>
        </w:rPr>
        <w:t xml:space="preserve"> </w:t>
      </w:r>
      <w:r w:rsidR="00A97A13" w:rsidRPr="005948C9">
        <w:rPr>
          <w:color w:val="000000"/>
          <w:szCs w:val="22"/>
          <w:shd w:val="clear" w:color="auto" w:fill="FFFFFF"/>
        </w:rPr>
        <w:t xml:space="preserve">to evaluate the risk of diabetic ketoacidosis. </w:t>
      </w:r>
    </w:p>
    <w:p w:rsidR="00B60939" w:rsidRDefault="00B60939" w:rsidP="00804107">
      <w:pPr>
        <w:widowControl/>
      </w:pPr>
    </w:p>
    <w:p w:rsidR="008068F6" w:rsidRPr="00BB7EC3" w:rsidRDefault="008068F6" w:rsidP="00804107">
      <w:pPr>
        <w:pStyle w:val="ListParagraph"/>
        <w:widowControl/>
        <w:ind w:left="709"/>
        <w:rPr>
          <w:i/>
          <w:szCs w:val="22"/>
        </w:rPr>
      </w:pPr>
      <w:r w:rsidRPr="002C0AB5">
        <w:rPr>
          <w:i/>
          <w:szCs w:val="22"/>
        </w:rPr>
        <w:t>For more detail on PBAC’s view, see section 7 “PBAC outcome”</w:t>
      </w:r>
    </w:p>
    <w:p w:rsidR="008068F6" w:rsidRDefault="008068F6" w:rsidP="00804107">
      <w:pPr>
        <w:widowControl/>
      </w:pPr>
    </w:p>
    <w:p w:rsidR="00BD17A2" w:rsidRPr="00C56B61" w:rsidRDefault="00BD17A2" w:rsidP="00804107">
      <w:pPr>
        <w:widowControl/>
      </w:pPr>
    </w:p>
    <w:p w:rsidR="00B60939" w:rsidRPr="002C2775" w:rsidRDefault="00B60939" w:rsidP="00804107">
      <w:pPr>
        <w:pStyle w:val="Heading2"/>
        <w:keepNext/>
        <w:widowControl/>
        <w:rPr>
          <w:i/>
        </w:rPr>
      </w:pPr>
      <w:bookmarkStart w:id="12" w:name="_Toc419207267"/>
      <w:r w:rsidRPr="002C2775">
        <w:rPr>
          <w:i/>
        </w:rPr>
        <w:t>Clinical claim</w:t>
      </w:r>
      <w:bookmarkEnd w:id="12"/>
    </w:p>
    <w:p w:rsidR="00B60939" w:rsidRPr="00882085" w:rsidRDefault="00B60939" w:rsidP="00804107">
      <w:pPr>
        <w:keepNext/>
        <w:widowControl/>
        <w:ind w:left="720" w:hanging="720"/>
        <w:rPr>
          <w:szCs w:val="22"/>
        </w:rPr>
      </w:pPr>
    </w:p>
    <w:p w:rsidR="00F17C30" w:rsidRPr="00F17C30" w:rsidRDefault="00F17C30" w:rsidP="00804107">
      <w:pPr>
        <w:pStyle w:val="ListParagraph"/>
        <w:widowControl/>
        <w:numPr>
          <w:ilvl w:val="1"/>
          <w:numId w:val="5"/>
        </w:numPr>
      </w:pPr>
      <w:r w:rsidRPr="00F17C30">
        <w:t xml:space="preserve">The submission described saxagliptin 5mg as similar in terms of comparative effectiveness and non-inferior in terms of comparative safety </w:t>
      </w:r>
      <w:r w:rsidR="005927B3">
        <w:t>to</w:t>
      </w:r>
      <w:r w:rsidRPr="00F17C30">
        <w:t xml:space="preserve"> insulin glargine 24IU/day (in combination wit</w:t>
      </w:r>
      <w:r w:rsidR="00AD01B8">
        <w:t xml:space="preserve">h </w:t>
      </w:r>
      <w:r w:rsidR="002603C8">
        <w:t xml:space="preserve">MET </w:t>
      </w:r>
      <w:r w:rsidR="00AD01B8">
        <w:t xml:space="preserve">and a </w:t>
      </w:r>
      <w:r w:rsidR="002603C8">
        <w:t>SU</w:t>
      </w:r>
      <w:r w:rsidR="00AD01B8">
        <w:t>)</w:t>
      </w:r>
      <w:r w:rsidRPr="00F17C30">
        <w:t>:</w:t>
      </w:r>
    </w:p>
    <w:p w:rsidR="00F17C30" w:rsidRPr="007D07D1" w:rsidRDefault="00AD01B8" w:rsidP="00804107">
      <w:pPr>
        <w:pStyle w:val="BodyText"/>
        <w:widowControl/>
        <w:numPr>
          <w:ilvl w:val="0"/>
          <w:numId w:val="20"/>
        </w:numPr>
        <w:ind w:left="1134"/>
        <w:jc w:val="both"/>
      </w:pPr>
      <w:r w:rsidRPr="007D07D1">
        <w:t>This claim may not be adequately supported in terms of comparative efficacy. T</w:t>
      </w:r>
      <w:r w:rsidR="00F17C30" w:rsidRPr="007D07D1">
        <w:t xml:space="preserve">he indirect comparison showed no statistically significant difference in reduction of HbA1c between saxagliptin 5mg and insulin glargine 24IU daily. However, the upper limit of the 95% confidence interval exceeded the accepted MCID of 0.4% and </w:t>
      </w:r>
      <w:r w:rsidR="005927B3" w:rsidRPr="007D07D1">
        <w:t>non-inferiority was not</w:t>
      </w:r>
      <w:r w:rsidR="00F17C30" w:rsidRPr="007D07D1">
        <w:t xml:space="preserve"> demonstrate</w:t>
      </w:r>
      <w:r w:rsidR="005927B3" w:rsidRPr="007D07D1">
        <w:t>d</w:t>
      </w:r>
      <w:r w:rsidR="00F17C30" w:rsidRPr="007D07D1">
        <w:t>.</w:t>
      </w:r>
    </w:p>
    <w:p w:rsidR="00F17C30" w:rsidRPr="007D07D1" w:rsidRDefault="00AD01B8" w:rsidP="00804107">
      <w:pPr>
        <w:pStyle w:val="BodyText"/>
        <w:widowControl/>
        <w:numPr>
          <w:ilvl w:val="0"/>
          <w:numId w:val="20"/>
        </w:numPr>
        <w:ind w:left="1134"/>
        <w:jc w:val="both"/>
      </w:pPr>
      <w:r w:rsidRPr="007D07D1">
        <w:t xml:space="preserve">In terms of safety, </w:t>
      </w:r>
      <w:r w:rsidR="00F17C30" w:rsidRPr="007D07D1">
        <w:t xml:space="preserve">saxagliptin was associated with less weight gain compared </w:t>
      </w:r>
      <w:r w:rsidR="00C03304" w:rsidRPr="007D07D1">
        <w:t>with</w:t>
      </w:r>
      <w:r w:rsidR="00F17C30" w:rsidRPr="007D07D1">
        <w:t xml:space="preserve"> insulin glargine, and a lower risk of hypoglycaemia events in the long term safety studies.</w:t>
      </w:r>
    </w:p>
    <w:p w:rsidR="00F17C30" w:rsidRPr="00F17C30" w:rsidRDefault="00F17C30" w:rsidP="00804107">
      <w:pPr>
        <w:pStyle w:val="ListParagraph"/>
        <w:widowControl/>
      </w:pPr>
    </w:p>
    <w:p w:rsidR="00F17C30" w:rsidRPr="00F17C30" w:rsidRDefault="00F17C30" w:rsidP="00804107">
      <w:pPr>
        <w:pStyle w:val="ListParagraph"/>
        <w:widowControl/>
        <w:numPr>
          <w:ilvl w:val="1"/>
          <w:numId w:val="5"/>
        </w:numPr>
      </w:pPr>
      <w:r w:rsidRPr="00F17C30">
        <w:t xml:space="preserve">The submission described saxagliptin 5mg as similar in terms of comparative effectiveness and non-inferior in terms of comparative safety </w:t>
      </w:r>
      <w:r w:rsidR="005927B3">
        <w:t>to</w:t>
      </w:r>
      <w:r w:rsidRPr="00F17C30">
        <w:t xml:space="preserve"> exenatide 5µg and 10µg twice daily (</w:t>
      </w:r>
      <w:r w:rsidR="002603C8" w:rsidRPr="00F17C30">
        <w:t>in combination wit</w:t>
      </w:r>
      <w:r w:rsidR="002603C8">
        <w:t>h MET and a SU</w:t>
      </w:r>
      <w:r w:rsidR="00AD01B8">
        <w:t>)</w:t>
      </w:r>
      <w:r w:rsidRPr="00F17C30">
        <w:t>:</w:t>
      </w:r>
    </w:p>
    <w:p w:rsidR="00F17C30" w:rsidRPr="007D07D1" w:rsidRDefault="00AD01B8" w:rsidP="00804107">
      <w:pPr>
        <w:pStyle w:val="BodyText"/>
        <w:widowControl/>
        <w:numPr>
          <w:ilvl w:val="0"/>
          <w:numId w:val="20"/>
        </w:numPr>
        <w:ind w:left="1134"/>
        <w:jc w:val="both"/>
      </w:pPr>
      <w:r w:rsidRPr="007D07D1">
        <w:t>This claim was not adequately supported in terms of comparative efficacy. T</w:t>
      </w:r>
      <w:r w:rsidR="00F17C30" w:rsidRPr="007D07D1">
        <w:t>he indirect comparison showed no statistically significant difference in reduction of HbA1c between saxagliptin 5mg daily and exenatide 5µg twice daily.  However, the upper limit of the 95% confidence interval exceeded the accepted MCID of 0.4</w:t>
      </w:r>
      <w:r w:rsidR="005927B3" w:rsidRPr="007D07D1">
        <w:t>%, and therefore</w:t>
      </w:r>
      <w:r w:rsidR="00F17C30" w:rsidRPr="007D07D1">
        <w:t xml:space="preserve"> did not demonstrate non-inferiority.</w:t>
      </w:r>
    </w:p>
    <w:p w:rsidR="00F17C30" w:rsidRPr="007D07D1" w:rsidRDefault="00AD01B8" w:rsidP="00804107">
      <w:pPr>
        <w:pStyle w:val="BodyText"/>
        <w:widowControl/>
        <w:numPr>
          <w:ilvl w:val="0"/>
          <w:numId w:val="20"/>
        </w:numPr>
        <w:ind w:left="1134"/>
        <w:jc w:val="both"/>
      </w:pPr>
      <w:r w:rsidRPr="007D07D1">
        <w:t>E</w:t>
      </w:r>
      <w:r w:rsidR="00F17C30" w:rsidRPr="007D07D1">
        <w:t>xenatide 10µg twice daily showed clinically meaningful and statistically significantly larger reductions in HbA1c compared to saxagliptin 5mg, and may be superior.</w:t>
      </w:r>
    </w:p>
    <w:p w:rsidR="00F17C30" w:rsidRPr="00F17C30" w:rsidRDefault="00F17C30" w:rsidP="00804107">
      <w:pPr>
        <w:pStyle w:val="ListParagraph"/>
        <w:widowControl/>
      </w:pPr>
    </w:p>
    <w:p w:rsidR="00F17C30" w:rsidRPr="00F17C30" w:rsidRDefault="00F17C30" w:rsidP="00804107">
      <w:pPr>
        <w:pStyle w:val="ListParagraph"/>
        <w:widowControl/>
        <w:numPr>
          <w:ilvl w:val="1"/>
          <w:numId w:val="5"/>
        </w:numPr>
      </w:pPr>
      <w:r w:rsidRPr="00F17C30">
        <w:t xml:space="preserve">The submission described saxagliptin 5mg as non-inferior in terms of comparative effectiveness and non-inferior in terms of comparative safety </w:t>
      </w:r>
      <w:r w:rsidR="00A335B5">
        <w:t>to</w:t>
      </w:r>
      <w:r w:rsidRPr="00F17C30">
        <w:t xml:space="preserve"> dapagliflozin 10mg daily (</w:t>
      </w:r>
      <w:r w:rsidR="002603C8" w:rsidRPr="00F17C30">
        <w:t>in combination wit</w:t>
      </w:r>
      <w:r w:rsidR="002603C8">
        <w:t>h MET and a SU</w:t>
      </w:r>
      <w:r w:rsidR="00A335B5">
        <w:t>)</w:t>
      </w:r>
      <w:r w:rsidRPr="00F17C30">
        <w:t>:</w:t>
      </w:r>
    </w:p>
    <w:p w:rsidR="00F17C30" w:rsidRPr="007D07D1" w:rsidRDefault="00AD01B8" w:rsidP="00804107">
      <w:pPr>
        <w:pStyle w:val="BodyText"/>
        <w:widowControl/>
        <w:numPr>
          <w:ilvl w:val="0"/>
          <w:numId w:val="20"/>
        </w:numPr>
        <w:ind w:left="1134"/>
        <w:jc w:val="both"/>
      </w:pPr>
      <w:r w:rsidRPr="007D07D1">
        <w:t>This claim was adequately supported in terms of comparative efficacy. T</w:t>
      </w:r>
      <w:r w:rsidR="00F17C30" w:rsidRPr="007D07D1">
        <w:t>he indirect comparison showed no statistically significant difference in reduction of HbA1c between saxagliptin 5mg and dapagliflozin 10mg. The upper limit of the 95% confidence interval was within the accepted MCID of 0.4% (0.31%), demonstrating non-inferiority.</w:t>
      </w:r>
    </w:p>
    <w:p w:rsidR="007207C4" w:rsidRDefault="00AD01B8" w:rsidP="00804107">
      <w:pPr>
        <w:pStyle w:val="BodyText"/>
        <w:widowControl/>
        <w:numPr>
          <w:ilvl w:val="0"/>
          <w:numId w:val="20"/>
        </w:numPr>
        <w:ind w:left="1134"/>
        <w:jc w:val="both"/>
      </w:pPr>
      <w:r w:rsidRPr="007D07D1">
        <w:t>This claim may be adequately supported in terms of safety. T</w:t>
      </w:r>
      <w:r w:rsidR="00F17C30" w:rsidRPr="007D07D1">
        <w:t>he safety profile of saxagliptin is different to that of dapagliflozin, with dapagliflozin being associated with an increased incidence of genitourinary tract infections requiring treatment, particularly in women.</w:t>
      </w:r>
    </w:p>
    <w:p w:rsidR="00FF5C1A" w:rsidRDefault="00FF5C1A" w:rsidP="00804107">
      <w:pPr>
        <w:pStyle w:val="BodyText"/>
        <w:widowControl/>
        <w:ind w:left="1134"/>
        <w:jc w:val="both"/>
      </w:pPr>
    </w:p>
    <w:p w:rsidR="00FF5C1A" w:rsidRDefault="00FF5C1A" w:rsidP="00804107">
      <w:pPr>
        <w:pStyle w:val="ListParagraph"/>
        <w:widowControl/>
        <w:numPr>
          <w:ilvl w:val="1"/>
          <w:numId w:val="5"/>
        </w:numPr>
      </w:pPr>
      <w:r w:rsidRPr="005948C9">
        <w:t xml:space="preserve">The ESC considered that dapagliflozin was the appropriate main comparator and that </w:t>
      </w:r>
      <w:r w:rsidR="002F7CEF" w:rsidRPr="005948C9">
        <w:t>the claim of non-inferiority in terms of comparative effectiveness was adequately supported. The ESC noted the differences in the safety profiles of saxagliptin and dapagliflozin but considered that the claim of non-inferior comparative safety was adequately supported.</w:t>
      </w:r>
    </w:p>
    <w:p w:rsidR="004D503E" w:rsidRDefault="004D503E" w:rsidP="00804107">
      <w:pPr>
        <w:pStyle w:val="ListParagraph"/>
        <w:widowControl/>
      </w:pPr>
    </w:p>
    <w:p w:rsidR="004D503E" w:rsidRDefault="004D503E" w:rsidP="00804107">
      <w:pPr>
        <w:pStyle w:val="ListParagraph"/>
        <w:widowControl/>
        <w:numPr>
          <w:ilvl w:val="1"/>
          <w:numId w:val="5"/>
        </w:numPr>
        <w:jc w:val="left"/>
        <w:rPr>
          <w:bCs/>
          <w:szCs w:val="22"/>
        </w:rPr>
      </w:pPr>
      <w:r w:rsidRPr="004D503E">
        <w:rPr>
          <w:bCs/>
          <w:szCs w:val="22"/>
        </w:rPr>
        <w:t>The PBAC consid</w:t>
      </w:r>
      <w:r>
        <w:rPr>
          <w:bCs/>
          <w:szCs w:val="22"/>
        </w:rPr>
        <w:t>ered that the claim of non-inferior</w:t>
      </w:r>
      <w:r w:rsidRPr="004D503E">
        <w:rPr>
          <w:bCs/>
          <w:szCs w:val="22"/>
        </w:rPr>
        <w:t xml:space="preserve"> comparative effectiveness</w:t>
      </w:r>
      <w:r>
        <w:rPr>
          <w:bCs/>
          <w:szCs w:val="22"/>
        </w:rPr>
        <w:t xml:space="preserve"> to dapagliflozin was reasonable</w:t>
      </w:r>
      <w:r w:rsidRPr="004D503E">
        <w:rPr>
          <w:bCs/>
          <w:szCs w:val="22"/>
        </w:rPr>
        <w:t>.</w:t>
      </w:r>
    </w:p>
    <w:p w:rsidR="00E767A5" w:rsidRPr="00E767A5" w:rsidRDefault="00E767A5" w:rsidP="00804107">
      <w:pPr>
        <w:pStyle w:val="ListParagraph"/>
        <w:widowControl/>
        <w:rPr>
          <w:bCs/>
          <w:szCs w:val="22"/>
        </w:rPr>
      </w:pPr>
    </w:p>
    <w:p w:rsidR="00E767A5" w:rsidRPr="00E767A5" w:rsidRDefault="00E767A5" w:rsidP="00804107">
      <w:pPr>
        <w:pStyle w:val="ListParagraph"/>
        <w:widowControl/>
        <w:numPr>
          <w:ilvl w:val="1"/>
          <w:numId w:val="5"/>
        </w:numPr>
        <w:jc w:val="left"/>
        <w:rPr>
          <w:bCs/>
          <w:szCs w:val="22"/>
        </w:rPr>
      </w:pPr>
      <w:r>
        <w:rPr>
          <w:bCs/>
          <w:szCs w:val="22"/>
        </w:rPr>
        <w:t xml:space="preserve">The </w:t>
      </w:r>
      <w:r w:rsidRPr="00E767A5">
        <w:rPr>
          <w:szCs w:val="22"/>
        </w:rPr>
        <w:t xml:space="preserve">PBAC </w:t>
      </w:r>
      <w:r w:rsidR="00A612DD">
        <w:rPr>
          <w:szCs w:val="22"/>
        </w:rPr>
        <w:t>noted</w:t>
      </w:r>
      <w:r w:rsidRPr="00E767A5">
        <w:rPr>
          <w:szCs w:val="22"/>
        </w:rPr>
        <w:t xml:space="preserve"> that saxagliptin has a different safety profile to dapagliflozin but considered</w:t>
      </w:r>
      <w:r>
        <w:rPr>
          <w:szCs w:val="22"/>
        </w:rPr>
        <w:t xml:space="preserve"> </w:t>
      </w:r>
      <w:r w:rsidRPr="00E767A5">
        <w:rPr>
          <w:szCs w:val="22"/>
        </w:rPr>
        <w:t>that the claim of non-inferior com</w:t>
      </w:r>
      <w:r w:rsidR="00351FA5">
        <w:rPr>
          <w:szCs w:val="22"/>
        </w:rPr>
        <w:t>parative safety was reasonable.</w:t>
      </w:r>
    </w:p>
    <w:p w:rsidR="00E767A5" w:rsidRPr="00E767A5" w:rsidRDefault="00E767A5" w:rsidP="00804107">
      <w:pPr>
        <w:pStyle w:val="ListParagraph"/>
        <w:widowControl/>
        <w:rPr>
          <w:bCs/>
          <w:szCs w:val="22"/>
        </w:rPr>
      </w:pPr>
    </w:p>
    <w:p w:rsidR="00E767A5" w:rsidRDefault="00E767A5" w:rsidP="00804107">
      <w:pPr>
        <w:pStyle w:val="ListParagraph"/>
        <w:widowControl/>
        <w:numPr>
          <w:ilvl w:val="1"/>
          <w:numId w:val="5"/>
        </w:numPr>
        <w:jc w:val="left"/>
        <w:rPr>
          <w:bCs/>
          <w:szCs w:val="22"/>
        </w:rPr>
      </w:pPr>
      <w:r>
        <w:rPr>
          <w:bCs/>
          <w:szCs w:val="22"/>
        </w:rPr>
        <w:t xml:space="preserve">The PBAC considered that the claim of similar effectiveness and non-inferior </w:t>
      </w:r>
      <w:r w:rsidRPr="00E767A5">
        <w:rPr>
          <w:szCs w:val="22"/>
        </w:rPr>
        <w:t>comparative safety</w:t>
      </w:r>
      <w:r>
        <w:rPr>
          <w:bCs/>
          <w:szCs w:val="22"/>
        </w:rPr>
        <w:t xml:space="preserve"> to insulin glargine may not </w:t>
      </w:r>
      <w:r w:rsidR="002D76A3">
        <w:rPr>
          <w:bCs/>
          <w:szCs w:val="22"/>
        </w:rPr>
        <w:t xml:space="preserve">have been </w:t>
      </w:r>
      <w:r>
        <w:rPr>
          <w:bCs/>
          <w:szCs w:val="22"/>
        </w:rPr>
        <w:t>adequately supported by the data.</w:t>
      </w:r>
    </w:p>
    <w:p w:rsidR="00E767A5" w:rsidRPr="00E767A5" w:rsidRDefault="00E767A5" w:rsidP="00804107">
      <w:pPr>
        <w:pStyle w:val="ListParagraph"/>
        <w:widowControl/>
        <w:rPr>
          <w:bCs/>
          <w:szCs w:val="22"/>
        </w:rPr>
      </w:pPr>
    </w:p>
    <w:p w:rsidR="00E767A5" w:rsidRDefault="00E767A5" w:rsidP="00804107">
      <w:pPr>
        <w:pStyle w:val="ListParagraph"/>
        <w:widowControl/>
        <w:numPr>
          <w:ilvl w:val="1"/>
          <w:numId w:val="5"/>
        </w:numPr>
        <w:jc w:val="left"/>
        <w:rPr>
          <w:bCs/>
          <w:szCs w:val="22"/>
        </w:rPr>
      </w:pPr>
      <w:r>
        <w:rPr>
          <w:bCs/>
          <w:szCs w:val="22"/>
        </w:rPr>
        <w:t>The PBAC did not accept the claim of similar effectiveness and non-inferior comparative safety to exenatide.</w:t>
      </w:r>
    </w:p>
    <w:p w:rsidR="008068F6" w:rsidRDefault="008068F6" w:rsidP="00804107">
      <w:pPr>
        <w:pStyle w:val="PBACHeading1"/>
        <w:numPr>
          <w:ilvl w:val="0"/>
          <w:numId w:val="0"/>
        </w:numPr>
        <w:ind w:left="720"/>
      </w:pPr>
    </w:p>
    <w:p w:rsidR="008068F6" w:rsidRPr="008068F6" w:rsidRDefault="008068F6" w:rsidP="00804107">
      <w:pPr>
        <w:pStyle w:val="ListParagraph"/>
        <w:widowControl/>
        <w:ind w:left="709"/>
        <w:rPr>
          <w:i/>
          <w:szCs w:val="22"/>
        </w:rPr>
      </w:pPr>
      <w:r w:rsidRPr="002C0AB5">
        <w:rPr>
          <w:i/>
          <w:szCs w:val="22"/>
        </w:rPr>
        <w:t>For more detail on PBAC’s view, see section 7 “PBAC outcome”</w:t>
      </w:r>
    </w:p>
    <w:p w:rsidR="00FF5C1A" w:rsidRDefault="00FF5C1A" w:rsidP="00804107">
      <w:pPr>
        <w:pStyle w:val="BodyText"/>
        <w:widowControl/>
        <w:ind w:left="1134"/>
        <w:jc w:val="both"/>
      </w:pPr>
    </w:p>
    <w:p w:rsidR="00BD17A2" w:rsidRPr="007D07D1" w:rsidRDefault="00BD17A2" w:rsidP="00804107">
      <w:pPr>
        <w:pStyle w:val="BodyText"/>
        <w:widowControl/>
        <w:ind w:left="1134"/>
        <w:jc w:val="both"/>
      </w:pPr>
    </w:p>
    <w:p w:rsidR="00B60939" w:rsidRPr="002C2775" w:rsidRDefault="00B60939" w:rsidP="00804107">
      <w:pPr>
        <w:pStyle w:val="Heading2"/>
        <w:keepNext/>
        <w:widowControl/>
        <w:rPr>
          <w:i/>
        </w:rPr>
      </w:pPr>
      <w:bookmarkStart w:id="13" w:name="_Toc419207268"/>
      <w:r w:rsidRPr="002C2775">
        <w:rPr>
          <w:i/>
        </w:rPr>
        <w:t>Economic analysis</w:t>
      </w:r>
      <w:bookmarkEnd w:id="13"/>
      <w:r w:rsidR="00491B3A" w:rsidRPr="002C2775">
        <w:rPr>
          <w:i/>
        </w:rPr>
        <w:t xml:space="preserve"> </w:t>
      </w:r>
    </w:p>
    <w:p w:rsidR="00B60939" w:rsidRPr="00882085" w:rsidRDefault="00B60939" w:rsidP="00804107">
      <w:pPr>
        <w:keepNext/>
        <w:widowControl/>
        <w:ind w:left="720" w:hanging="720"/>
        <w:rPr>
          <w:szCs w:val="22"/>
        </w:rPr>
      </w:pPr>
    </w:p>
    <w:p w:rsidR="006F243B" w:rsidRPr="002C0D01" w:rsidRDefault="00011AA4" w:rsidP="00804107">
      <w:pPr>
        <w:pStyle w:val="ListParagraph"/>
        <w:keepLines/>
        <w:widowControl/>
        <w:numPr>
          <w:ilvl w:val="1"/>
          <w:numId w:val="5"/>
        </w:numPr>
      </w:pPr>
      <w:r w:rsidRPr="00EA5674">
        <w:t>The submission</w:t>
      </w:r>
      <w:r>
        <w:t xml:space="preserve"> presented a cost minimisation </w:t>
      </w:r>
      <w:r w:rsidR="0084000C">
        <w:t xml:space="preserve">analysis </w:t>
      </w:r>
      <w:r>
        <w:t xml:space="preserve">versus insulin glargine and exenatide, with a cost analysis including non-drug </w:t>
      </w:r>
      <w:r w:rsidRPr="00BC3586">
        <w:t xml:space="preserve">costs </w:t>
      </w:r>
      <w:r>
        <w:t xml:space="preserve">related to administration and diabetes management. </w:t>
      </w:r>
      <w:r w:rsidR="0084000C" w:rsidRPr="002C0D01">
        <w:t>An analysis versus dapagliflozin was not presented in the submission.</w:t>
      </w:r>
      <w:r w:rsidR="001B0EE7">
        <w:t xml:space="preserve"> </w:t>
      </w:r>
    </w:p>
    <w:p w:rsidR="006F243B" w:rsidRPr="006F243B" w:rsidRDefault="006F243B" w:rsidP="00804107">
      <w:pPr>
        <w:pStyle w:val="ListParagraph"/>
        <w:keepNext/>
        <w:keepLines/>
        <w:widowControl/>
        <w:rPr>
          <w:i/>
        </w:rPr>
      </w:pPr>
    </w:p>
    <w:p w:rsidR="002F7CEF" w:rsidRPr="00833906" w:rsidRDefault="00011AA4" w:rsidP="00804107">
      <w:pPr>
        <w:pStyle w:val="ListParagraph"/>
        <w:keepLines/>
        <w:widowControl/>
        <w:numPr>
          <w:ilvl w:val="1"/>
          <w:numId w:val="5"/>
        </w:numPr>
        <w:rPr>
          <w:i/>
        </w:rPr>
      </w:pPr>
      <w:r>
        <w:t>The equi-effective doses were estimated as saxagliptin 5mg (oral) = insulin glargine 24 IU/day</w:t>
      </w:r>
      <w:r w:rsidRPr="00BC3586">
        <w:t xml:space="preserve"> (subcutaneous)</w:t>
      </w:r>
      <w:r>
        <w:t xml:space="preserve"> = exenatide 20µg (subcutaneous). </w:t>
      </w:r>
      <w:r w:rsidRPr="007D07D1">
        <w:t>The equi</w:t>
      </w:r>
      <w:r w:rsidRPr="007D07D1">
        <w:noBreakHyphen/>
        <w:t>effective doses were derived from indirect comparisons using trials that may not be exchangeable</w:t>
      </w:r>
      <w:r w:rsidR="006F243B" w:rsidRPr="007D07D1">
        <w:t xml:space="preserve"> and that did not demonstrate non-inferiority between </w:t>
      </w:r>
      <w:r w:rsidR="0084000C" w:rsidRPr="007D07D1">
        <w:t xml:space="preserve">saxagliptin and the comparators. </w:t>
      </w:r>
    </w:p>
    <w:p w:rsidR="00275C5A" w:rsidRPr="00AC63C2" w:rsidRDefault="00275C5A" w:rsidP="00804107">
      <w:pPr>
        <w:widowControl/>
        <w:rPr>
          <w:sz w:val="20"/>
        </w:rPr>
      </w:pPr>
    </w:p>
    <w:p w:rsidR="006F243B" w:rsidRPr="0084000C" w:rsidRDefault="00CB5E1D" w:rsidP="00804107">
      <w:pPr>
        <w:keepNext/>
        <w:widowControl/>
        <w:ind w:left="709"/>
        <w:rPr>
          <w:rStyle w:val="CommentReference"/>
          <w:szCs w:val="20"/>
        </w:rPr>
      </w:pPr>
      <w:r>
        <w:rPr>
          <w:rStyle w:val="CommentReference"/>
          <w:szCs w:val="20"/>
        </w:rPr>
        <w:t xml:space="preserve">Table 4: </w:t>
      </w:r>
      <w:r w:rsidR="006F243B" w:rsidRPr="0084000C">
        <w:rPr>
          <w:rStyle w:val="CommentReference"/>
          <w:szCs w:val="20"/>
        </w:rPr>
        <w:t xml:space="preserve">Cost analysis: derived price for saxagliptin based on avoided costs associated with treatment with insulin glargine and exenatide </w:t>
      </w:r>
    </w:p>
    <w:tbl>
      <w:tblPr>
        <w:tblStyle w:val="TableGrid"/>
        <w:tblW w:w="0" w:type="auto"/>
        <w:tblInd w:w="817" w:type="dxa"/>
        <w:tblLayout w:type="fixed"/>
        <w:tblLook w:val="04A0" w:firstRow="1" w:lastRow="0" w:firstColumn="1" w:lastColumn="0" w:noHBand="0" w:noVBand="1"/>
        <w:tblCaption w:val="Table 4: Cost analysis: derived price for saxagliptin based on avoided costs associated with treatment with insulin glargine and exenatide "/>
        <w:tblDescription w:val="The table shows the results of the cost analysis, where the derived price for saxagliptin was based on avoided costs associated with treatment with insulin glargine and exenatide. "/>
      </w:tblPr>
      <w:tblGrid>
        <w:gridCol w:w="3260"/>
        <w:gridCol w:w="1721"/>
        <w:gridCol w:w="1722"/>
        <w:gridCol w:w="1660"/>
      </w:tblGrid>
      <w:tr w:rsidR="006F243B" w:rsidRPr="0084000C" w:rsidTr="00351FA5">
        <w:trPr>
          <w:tblHeader/>
        </w:trPr>
        <w:tc>
          <w:tcPr>
            <w:tcW w:w="3260" w:type="dxa"/>
          </w:tcPr>
          <w:p w:rsidR="006F243B" w:rsidRPr="0084000C" w:rsidRDefault="006F243B" w:rsidP="00804107">
            <w:pPr>
              <w:keepNext/>
              <w:widowControl/>
              <w:jc w:val="left"/>
              <w:rPr>
                <w:rFonts w:ascii="Arial Narrow" w:hAnsi="Arial Narrow"/>
                <w:b/>
                <w:sz w:val="20"/>
              </w:rPr>
            </w:pPr>
            <w:r w:rsidRPr="0084000C">
              <w:rPr>
                <w:rFonts w:ascii="Arial Narrow" w:hAnsi="Arial Narrow"/>
                <w:b/>
                <w:sz w:val="20"/>
              </w:rPr>
              <w:t>Description</w:t>
            </w:r>
          </w:p>
        </w:tc>
        <w:tc>
          <w:tcPr>
            <w:tcW w:w="1721" w:type="dxa"/>
          </w:tcPr>
          <w:p w:rsidR="006F243B" w:rsidRPr="0084000C" w:rsidRDefault="006F243B" w:rsidP="00804107">
            <w:pPr>
              <w:keepNext/>
              <w:widowControl/>
              <w:jc w:val="center"/>
              <w:rPr>
                <w:rFonts w:ascii="Arial Narrow" w:hAnsi="Arial Narrow"/>
                <w:b/>
                <w:sz w:val="20"/>
              </w:rPr>
            </w:pPr>
            <w:r w:rsidRPr="0084000C">
              <w:rPr>
                <w:rFonts w:ascii="Arial Narrow" w:hAnsi="Arial Narrow"/>
                <w:b/>
                <w:sz w:val="20"/>
              </w:rPr>
              <w:t>Saxagliptin</w:t>
            </w:r>
          </w:p>
        </w:tc>
        <w:tc>
          <w:tcPr>
            <w:tcW w:w="1722" w:type="dxa"/>
          </w:tcPr>
          <w:p w:rsidR="006F243B" w:rsidRPr="0084000C" w:rsidRDefault="006F243B" w:rsidP="00804107">
            <w:pPr>
              <w:keepNext/>
              <w:widowControl/>
              <w:jc w:val="center"/>
              <w:rPr>
                <w:rFonts w:ascii="Arial Narrow" w:hAnsi="Arial Narrow"/>
                <w:b/>
                <w:sz w:val="20"/>
              </w:rPr>
            </w:pPr>
            <w:r w:rsidRPr="0084000C">
              <w:rPr>
                <w:rFonts w:ascii="Arial Narrow" w:hAnsi="Arial Narrow"/>
                <w:b/>
                <w:sz w:val="20"/>
              </w:rPr>
              <w:t>Insulin glargine</w:t>
            </w:r>
          </w:p>
        </w:tc>
        <w:tc>
          <w:tcPr>
            <w:tcW w:w="1660" w:type="dxa"/>
          </w:tcPr>
          <w:p w:rsidR="006F243B" w:rsidRPr="0084000C" w:rsidRDefault="006F243B" w:rsidP="00804107">
            <w:pPr>
              <w:keepNext/>
              <w:widowControl/>
              <w:jc w:val="center"/>
              <w:rPr>
                <w:rFonts w:ascii="Arial Narrow" w:hAnsi="Arial Narrow"/>
                <w:b/>
                <w:sz w:val="20"/>
              </w:rPr>
            </w:pPr>
            <w:r w:rsidRPr="0084000C">
              <w:rPr>
                <w:rFonts w:ascii="Arial Narrow" w:hAnsi="Arial Narrow"/>
                <w:b/>
                <w:sz w:val="20"/>
              </w:rPr>
              <w:t>Exenatide</w:t>
            </w:r>
          </w:p>
        </w:tc>
      </w:tr>
      <w:tr w:rsidR="006F243B" w:rsidRPr="0084000C" w:rsidTr="008E3589">
        <w:tc>
          <w:tcPr>
            <w:tcW w:w="3260" w:type="dxa"/>
            <w:vAlign w:val="center"/>
          </w:tcPr>
          <w:p w:rsidR="006F243B" w:rsidRPr="007D07D1" w:rsidRDefault="006F243B" w:rsidP="00804107">
            <w:pPr>
              <w:keepNext/>
              <w:widowControl/>
              <w:jc w:val="left"/>
              <w:rPr>
                <w:rFonts w:ascii="Arial Narrow" w:hAnsi="Arial Narrow"/>
                <w:sz w:val="20"/>
              </w:rPr>
            </w:pPr>
            <w:r w:rsidRPr="007D07D1">
              <w:rPr>
                <w:rFonts w:ascii="Arial Narrow" w:hAnsi="Arial Narrow"/>
                <w:sz w:val="20"/>
              </w:rPr>
              <w:t>Assumed effective ex-manufacturer price</w:t>
            </w:r>
          </w:p>
        </w:tc>
        <w:tc>
          <w:tcPr>
            <w:tcW w:w="1721"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w:t>
            </w:r>
            <w:r w:rsidR="00076419">
              <w:rPr>
                <w:rFonts w:ascii="Arial Narrow" w:hAnsi="Arial Narrow"/>
                <w:noProof/>
                <w:color w:val="000000"/>
                <w:sz w:val="20"/>
                <w:highlight w:val="black"/>
              </w:rPr>
              <w:t>''''''''''''''''</w:t>
            </w:r>
          </w:p>
        </w:tc>
        <w:tc>
          <w:tcPr>
            <w:tcW w:w="1660" w:type="dxa"/>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5µg: $53.76</w:t>
            </w:r>
          </w:p>
          <w:p w:rsidR="006F243B" w:rsidRPr="007D07D1" w:rsidRDefault="006F243B" w:rsidP="00804107">
            <w:pPr>
              <w:keepNext/>
              <w:widowControl/>
              <w:jc w:val="center"/>
              <w:rPr>
                <w:rFonts w:ascii="Arial Narrow" w:hAnsi="Arial Narrow"/>
                <w:sz w:val="20"/>
              </w:rPr>
            </w:pPr>
            <w:r w:rsidRPr="007D07D1">
              <w:rPr>
                <w:rFonts w:ascii="Arial Narrow" w:hAnsi="Arial Narrow"/>
                <w:sz w:val="20"/>
              </w:rPr>
              <w:t>10µg: $76.80</w:t>
            </w:r>
          </w:p>
        </w:tc>
      </w:tr>
      <w:tr w:rsidR="006F243B" w:rsidRPr="0084000C" w:rsidTr="008E3589">
        <w:tc>
          <w:tcPr>
            <w:tcW w:w="8363" w:type="dxa"/>
            <w:gridSpan w:val="4"/>
          </w:tcPr>
          <w:p w:rsidR="006F243B" w:rsidRPr="007D07D1" w:rsidRDefault="006F243B" w:rsidP="00804107">
            <w:pPr>
              <w:keepNext/>
              <w:widowControl/>
              <w:jc w:val="left"/>
              <w:rPr>
                <w:rFonts w:ascii="Arial Narrow" w:hAnsi="Arial Narrow"/>
                <w:b/>
                <w:sz w:val="20"/>
              </w:rPr>
            </w:pPr>
            <w:r w:rsidRPr="007D07D1">
              <w:rPr>
                <w:rFonts w:ascii="Arial Narrow" w:hAnsi="Arial Narrow"/>
                <w:b/>
                <w:sz w:val="20"/>
              </w:rPr>
              <w:t>Treatment initiation</w:t>
            </w:r>
            <w:r w:rsidR="00841337" w:rsidRPr="007D07D1">
              <w:rPr>
                <w:rFonts w:ascii="Arial Narrow" w:hAnsi="Arial Narrow"/>
                <w:b/>
                <w:sz w:val="20"/>
              </w:rPr>
              <w:t xml:space="preserve"> (pro-rated over 3 years)</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eastAsia="SimSun" w:hAnsi="Arial Narrow" w:cs="Times New Roman"/>
                <w:bCs/>
                <w:snapToGrid/>
                <w:sz w:val="20"/>
                <w:lang w:eastAsia="zh-CN"/>
              </w:rPr>
              <w:t>GP consultations</w:t>
            </w:r>
          </w:p>
        </w:tc>
        <w:tc>
          <w:tcPr>
            <w:tcW w:w="1721" w:type="dxa"/>
            <w:vAlign w:val="center"/>
          </w:tcPr>
          <w:p w:rsidR="006F243B" w:rsidRPr="0057448E" w:rsidRDefault="006F243B" w:rsidP="00D54599">
            <w:pPr>
              <w:keepNext/>
              <w:widowControl/>
              <w:jc w:val="center"/>
              <w:rPr>
                <w:rFonts w:ascii="Arial Narrow" w:hAnsi="Arial Narrow"/>
                <w:sz w:val="20"/>
              </w:rPr>
            </w:pPr>
            <w:r w:rsidRPr="0057448E">
              <w:rPr>
                <w:rFonts w:ascii="Arial Narrow" w:hAnsi="Arial Narrow"/>
                <w:sz w:val="20"/>
              </w:rPr>
              <w:t>$</w:t>
            </w:r>
            <w:r w:rsidR="00076419">
              <w:rPr>
                <w:rFonts w:ascii="Arial Narrow" w:hAnsi="Arial Narrow"/>
                <w:noProof/>
                <w:color w:val="000000"/>
                <w:sz w:val="20"/>
                <w:highlight w:val="black"/>
              </w:rPr>
              <w:t>'''''''''''''</w:t>
            </w:r>
            <w:r w:rsidRPr="0057448E">
              <w:rPr>
                <w:rFonts w:ascii="Arial Narrow" w:hAnsi="Arial Narrow"/>
                <w:sz w:val="20"/>
              </w:rPr>
              <w:t xml:space="preserve"> (</w:t>
            </w:r>
            <w:r w:rsidR="00076419">
              <w:rPr>
                <w:rFonts w:ascii="Arial Narrow" w:hAnsi="Arial Narrow"/>
                <w:noProof/>
                <w:color w:val="000000"/>
                <w:sz w:val="20"/>
                <w:highlight w:val="black"/>
              </w:rPr>
              <w:t>''''</w:t>
            </w:r>
            <w:r w:rsidRPr="0057448E">
              <w:rPr>
                <w:rFonts w:ascii="Arial Narrow" w:hAnsi="Arial Narrow"/>
                <w:sz w:val="20"/>
              </w:rPr>
              <w:t>/</w:t>
            </w:r>
            <w:r w:rsidR="00076419">
              <w:rPr>
                <w:rFonts w:ascii="Arial Narrow" w:hAnsi="Arial Narrow"/>
                <w:noProof/>
                <w:color w:val="000000"/>
                <w:sz w:val="20"/>
                <w:highlight w:val="black"/>
              </w:rPr>
              <w:t>''''''''''</w:t>
            </w:r>
            <w:r w:rsidRPr="0057448E">
              <w:rPr>
                <w:rFonts w:ascii="Arial Narrow" w:hAnsi="Arial Narrow"/>
                <w:sz w:val="20"/>
              </w:rPr>
              <w:t>)</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$12.35 (1/year)</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$12.35 (1/year)</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eastAsia="SimSun" w:hAnsi="Arial Narrow" w:cs="Times New Roman"/>
                <w:bCs/>
                <w:snapToGrid/>
                <w:sz w:val="20"/>
                <w:lang w:eastAsia="zh-CN"/>
              </w:rPr>
              <w:t>Endocrinologist consultations</w:t>
            </w:r>
          </w:p>
        </w:tc>
        <w:tc>
          <w:tcPr>
            <w:tcW w:w="1721" w:type="dxa"/>
            <w:vAlign w:val="center"/>
          </w:tcPr>
          <w:p w:rsidR="006F243B" w:rsidRPr="0057448E" w:rsidRDefault="006F243B" w:rsidP="00804107">
            <w:pPr>
              <w:keepNext/>
              <w:widowControl/>
              <w:jc w:val="center"/>
              <w:rPr>
                <w:rFonts w:ascii="Arial Narrow" w:hAnsi="Arial Narrow"/>
                <w:sz w:val="20"/>
              </w:rPr>
            </w:pPr>
            <w:r w:rsidRPr="0057448E">
              <w:rPr>
                <w:rFonts w:ascii="Arial Narrow" w:hAnsi="Arial Narrow"/>
                <w:sz w:val="20"/>
              </w:rPr>
              <w:t>0</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$28.52 (1/year)</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0</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eastAsia="SimSun" w:hAnsi="Arial Narrow" w:cs="Times New Roman"/>
                <w:bCs/>
                <w:snapToGrid/>
                <w:sz w:val="20"/>
                <w:lang w:eastAsia="zh-CN"/>
              </w:rPr>
              <w:t>Diabetes educator visits</w:t>
            </w:r>
          </w:p>
        </w:tc>
        <w:tc>
          <w:tcPr>
            <w:tcW w:w="1721" w:type="dxa"/>
            <w:vAlign w:val="center"/>
          </w:tcPr>
          <w:p w:rsidR="006F243B" w:rsidRPr="0057448E" w:rsidRDefault="006F243B" w:rsidP="00804107">
            <w:pPr>
              <w:keepNext/>
              <w:widowControl/>
              <w:jc w:val="center"/>
              <w:rPr>
                <w:rFonts w:ascii="Arial Narrow" w:hAnsi="Arial Narrow"/>
                <w:sz w:val="20"/>
              </w:rPr>
            </w:pPr>
            <w:r w:rsidRPr="0057448E">
              <w:rPr>
                <w:rFonts w:ascii="Arial Narrow" w:hAnsi="Arial Narrow"/>
                <w:sz w:val="20"/>
              </w:rPr>
              <w:t>0</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$28.78 (1/year)</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$28.78 (1/year)</w:t>
            </w:r>
          </w:p>
        </w:tc>
      </w:tr>
      <w:tr w:rsidR="006F243B" w:rsidRPr="0084000C" w:rsidTr="008E3589">
        <w:tc>
          <w:tcPr>
            <w:tcW w:w="8363" w:type="dxa"/>
            <w:gridSpan w:val="4"/>
          </w:tcPr>
          <w:p w:rsidR="006F243B" w:rsidRPr="0057448E" w:rsidRDefault="006F243B" w:rsidP="00804107">
            <w:pPr>
              <w:keepNext/>
              <w:widowControl/>
              <w:jc w:val="left"/>
              <w:rPr>
                <w:rFonts w:ascii="Arial Narrow" w:hAnsi="Arial Narrow"/>
                <w:b/>
                <w:sz w:val="20"/>
              </w:rPr>
            </w:pPr>
            <w:r w:rsidRPr="0057448E">
              <w:rPr>
                <w:rFonts w:ascii="Arial Narrow" w:hAnsi="Arial Narrow"/>
                <w:b/>
                <w:sz w:val="20"/>
              </w:rPr>
              <w:t>Treatment titration to stabilisation</w:t>
            </w:r>
            <w:r w:rsidR="00841337" w:rsidRPr="0057448E">
              <w:rPr>
                <w:rFonts w:ascii="Arial Narrow" w:hAnsi="Arial Narrow"/>
                <w:b/>
                <w:sz w:val="20"/>
              </w:rPr>
              <w:t xml:space="preserve"> (pro-rated over 3 years)</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eastAsia="SimSun" w:hAnsi="Arial Narrow" w:cs="Times New Roman"/>
                <w:bCs/>
                <w:snapToGrid/>
                <w:sz w:val="20"/>
                <w:lang w:eastAsia="zh-CN"/>
              </w:rPr>
              <w:t>GP consultations</w:t>
            </w:r>
          </w:p>
        </w:tc>
        <w:tc>
          <w:tcPr>
            <w:tcW w:w="1721" w:type="dxa"/>
            <w:vAlign w:val="center"/>
          </w:tcPr>
          <w:p w:rsidR="006F243B" w:rsidRPr="0057448E" w:rsidRDefault="006F243B" w:rsidP="00D54599">
            <w:pPr>
              <w:keepNext/>
              <w:widowControl/>
              <w:jc w:val="center"/>
              <w:rPr>
                <w:rFonts w:ascii="Arial Narrow" w:hAnsi="Arial Narrow"/>
                <w:sz w:val="20"/>
              </w:rPr>
            </w:pPr>
            <w:r w:rsidRPr="0057448E">
              <w:rPr>
                <w:rFonts w:ascii="Arial Narrow" w:hAnsi="Arial Narrow"/>
                <w:sz w:val="20"/>
              </w:rPr>
              <w:t>$</w:t>
            </w:r>
            <w:r w:rsidR="00076419">
              <w:rPr>
                <w:rFonts w:ascii="Arial Narrow" w:hAnsi="Arial Narrow"/>
                <w:noProof/>
                <w:color w:val="000000"/>
                <w:sz w:val="20"/>
                <w:highlight w:val="black"/>
              </w:rPr>
              <w:t>''''''''''''''</w:t>
            </w:r>
            <w:r w:rsidRPr="0057448E">
              <w:rPr>
                <w:rFonts w:ascii="Arial Narrow" w:hAnsi="Arial Narrow"/>
                <w:sz w:val="20"/>
              </w:rPr>
              <w:t xml:space="preserve"> (</w:t>
            </w:r>
            <w:r w:rsidR="00076419">
              <w:rPr>
                <w:rFonts w:ascii="Arial Narrow" w:hAnsi="Arial Narrow"/>
                <w:noProof/>
                <w:color w:val="000000"/>
                <w:sz w:val="20"/>
                <w:highlight w:val="black"/>
              </w:rPr>
              <w:t>''''</w:t>
            </w:r>
            <w:r w:rsidRPr="0057448E">
              <w:rPr>
                <w:rFonts w:ascii="Arial Narrow" w:hAnsi="Arial Narrow"/>
                <w:sz w:val="20"/>
              </w:rPr>
              <w:t>/</w:t>
            </w:r>
            <w:r w:rsidR="00076419">
              <w:rPr>
                <w:rFonts w:ascii="Arial Narrow" w:hAnsi="Arial Narrow"/>
                <w:noProof/>
                <w:color w:val="000000"/>
                <w:sz w:val="20"/>
                <w:highlight w:val="black"/>
              </w:rPr>
              <w:t>'''''''''''</w:t>
            </w:r>
            <w:r w:rsidRPr="0057448E">
              <w:rPr>
                <w:rFonts w:ascii="Arial Narrow" w:hAnsi="Arial Narrow"/>
                <w:sz w:val="20"/>
              </w:rPr>
              <w:t>)</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eastAsia="SimSun" w:hAnsi="Arial Narrow" w:cs="Times New Roman"/>
                <w:bCs/>
                <w:snapToGrid/>
                <w:sz w:val="20"/>
                <w:lang w:eastAsia="zh-CN"/>
              </w:rPr>
              <w:t>$49.40</w:t>
            </w:r>
            <w:r w:rsidRPr="007D07D1">
              <w:rPr>
                <w:rFonts w:ascii="Arial Narrow" w:hAnsi="Arial Narrow"/>
                <w:sz w:val="20"/>
              </w:rPr>
              <w:t xml:space="preserve"> (4/year)</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$12.35 (1/year)</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eastAsia="SimSun" w:hAnsi="Arial Narrow" w:cs="Times New Roman"/>
                <w:bCs/>
                <w:snapToGrid/>
                <w:sz w:val="20"/>
                <w:lang w:eastAsia="zh-CN"/>
              </w:rPr>
              <w:t>Diabetes educator visits</w:t>
            </w:r>
          </w:p>
        </w:tc>
        <w:tc>
          <w:tcPr>
            <w:tcW w:w="1721"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0</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$21.10 (1/year)</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0</w:t>
            </w:r>
          </w:p>
        </w:tc>
      </w:tr>
      <w:tr w:rsidR="006F243B" w:rsidRPr="0084000C" w:rsidTr="008E3589">
        <w:tc>
          <w:tcPr>
            <w:tcW w:w="8363" w:type="dxa"/>
            <w:gridSpan w:val="4"/>
          </w:tcPr>
          <w:p w:rsidR="006F243B" w:rsidRPr="007D07D1" w:rsidRDefault="006F243B" w:rsidP="00804107">
            <w:pPr>
              <w:keepNext/>
              <w:widowControl/>
              <w:jc w:val="left"/>
              <w:rPr>
                <w:rFonts w:ascii="Arial Narrow" w:hAnsi="Arial Narrow"/>
                <w:b/>
                <w:sz w:val="20"/>
              </w:rPr>
            </w:pPr>
            <w:r w:rsidRPr="007D07D1">
              <w:rPr>
                <w:rFonts w:ascii="Arial Narrow" w:hAnsi="Arial Narrow"/>
                <w:b/>
                <w:sz w:val="20"/>
              </w:rPr>
              <w:t>Ongoing management</w:t>
            </w:r>
            <w:r w:rsidR="00841337" w:rsidRPr="007D07D1">
              <w:rPr>
                <w:rFonts w:ascii="Arial Narrow" w:hAnsi="Arial Narrow"/>
                <w:b/>
                <w:sz w:val="20"/>
              </w:rPr>
              <w:t xml:space="preserve"> (per year)</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eastAsia="SimSun" w:hAnsi="Arial Narrow" w:cs="Times New Roman"/>
                <w:bCs/>
                <w:snapToGrid/>
                <w:sz w:val="20"/>
                <w:lang w:eastAsia="zh-CN"/>
              </w:rPr>
              <w:t>Blood glucose monitoring (glucose indicator test strip)</w:t>
            </w:r>
            <w:r w:rsidRPr="007D07D1">
              <w:rPr>
                <w:rFonts w:ascii="Arial Narrow" w:eastAsia="SimSun" w:hAnsi="Arial Narrow" w:cs="Times New Roman"/>
                <w:bCs/>
                <w:snapToGrid/>
                <w:sz w:val="20"/>
                <w:vertAlign w:val="superscript"/>
                <w:lang w:eastAsia="zh-CN"/>
              </w:rPr>
              <w:t xml:space="preserve"> </w:t>
            </w:r>
          </w:p>
        </w:tc>
        <w:tc>
          <w:tcPr>
            <w:tcW w:w="1721" w:type="dxa"/>
            <w:vAlign w:val="center"/>
          </w:tcPr>
          <w:p w:rsidR="006F243B" w:rsidRPr="0057448E" w:rsidRDefault="006F243B" w:rsidP="00D54599">
            <w:pPr>
              <w:keepNext/>
              <w:widowControl/>
              <w:jc w:val="center"/>
              <w:rPr>
                <w:rFonts w:ascii="Arial Narrow" w:hAnsi="Arial Narrow"/>
                <w:sz w:val="20"/>
              </w:rPr>
            </w:pPr>
            <w:r w:rsidRPr="0057448E">
              <w:rPr>
                <w:rFonts w:ascii="Arial Narrow" w:eastAsia="SimSun" w:hAnsi="Arial Narrow" w:cs="Times New Roman"/>
                <w:bCs/>
                <w:snapToGrid/>
                <w:sz w:val="20"/>
                <w:lang w:eastAsia="zh-CN"/>
              </w:rPr>
              <w:t>$</w:t>
            </w:r>
            <w:r w:rsidR="00076419">
              <w:rPr>
                <w:rFonts w:ascii="Arial Narrow" w:eastAsia="SimSun" w:hAnsi="Arial Narrow" w:cs="Times New Roman"/>
                <w:bCs/>
                <w:noProof/>
                <w:snapToGrid/>
                <w:color w:val="000000"/>
                <w:sz w:val="20"/>
                <w:highlight w:val="black"/>
                <w:lang w:eastAsia="zh-CN"/>
              </w:rPr>
              <w:t>'''''''''''''''''</w:t>
            </w:r>
            <w:r w:rsidRPr="0057448E">
              <w:rPr>
                <w:rFonts w:ascii="Arial Narrow" w:hAnsi="Arial Narrow"/>
                <w:sz w:val="20"/>
              </w:rPr>
              <w:t xml:space="preserve"> (</w:t>
            </w:r>
            <w:r w:rsidR="00076419">
              <w:rPr>
                <w:rFonts w:ascii="Arial Narrow" w:hAnsi="Arial Narrow"/>
                <w:noProof/>
                <w:color w:val="000000"/>
                <w:sz w:val="20"/>
                <w:highlight w:val="black"/>
              </w:rPr>
              <w:t>'''</w:t>
            </w:r>
            <w:r w:rsidRPr="0057448E">
              <w:rPr>
                <w:rFonts w:ascii="Arial Narrow" w:hAnsi="Arial Narrow"/>
                <w:sz w:val="20"/>
              </w:rPr>
              <w:t>/</w:t>
            </w:r>
            <w:r w:rsidR="00076419">
              <w:rPr>
                <w:rFonts w:ascii="Arial Narrow" w:hAnsi="Arial Narrow"/>
                <w:noProof/>
                <w:color w:val="000000"/>
                <w:sz w:val="20"/>
                <w:highlight w:val="black"/>
              </w:rPr>
              <w:t>'''''''''</w:t>
            </w:r>
            <w:r w:rsidRPr="0057448E">
              <w:rPr>
                <w:rFonts w:ascii="Arial Narrow" w:hAnsi="Arial Narrow"/>
                <w:sz w:val="20"/>
              </w:rPr>
              <w:t>)</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w:t>
            </w:r>
            <w:r w:rsidRPr="007D07D1">
              <w:rPr>
                <w:rFonts w:ascii="Arial Narrow" w:eastAsia="SimSun" w:hAnsi="Arial Narrow" w:cs="Times New Roman"/>
                <w:bCs/>
                <w:snapToGrid/>
                <w:sz w:val="20"/>
                <w:lang w:eastAsia="zh-CN"/>
              </w:rPr>
              <w:t>533.27</w:t>
            </w:r>
            <w:r w:rsidRPr="007D07D1">
              <w:rPr>
                <w:rFonts w:ascii="Arial Narrow" w:hAnsi="Arial Narrow"/>
                <w:sz w:val="20"/>
              </w:rPr>
              <w:t xml:space="preserve"> (2/day)</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eastAsia="SimSun" w:hAnsi="Arial Narrow" w:cs="Times New Roman"/>
                <w:bCs/>
                <w:snapToGrid/>
                <w:sz w:val="20"/>
                <w:lang w:eastAsia="zh-CN"/>
              </w:rPr>
              <w:t>$266.63</w:t>
            </w:r>
            <w:r w:rsidRPr="007D07D1">
              <w:rPr>
                <w:rFonts w:ascii="Arial Narrow" w:hAnsi="Arial Narrow"/>
                <w:sz w:val="20"/>
              </w:rPr>
              <w:t xml:space="preserve"> (1/day)</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eastAsia="SimSun" w:hAnsi="Arial Narrow" w:cs="Times New Roman"/>
                <w:bCs/>
                <w:snapToGrid/>
                <w:sz w:val="20"/>
                <w:lang w:eastAsia="zh-CN"/>
              </w:rPr>
              <w:t>Needles for insulin pen</w:t>
            </w:r>
          </w:p>
        </w:tc>
        <w:tc>
          <w:tcPr>
            <w:tcW w:w="1721" w:type="dxa"/>
            <w:vAlign w:val="center"/>
          </w:tcPr>
          <w:p w:rsidR="006F243B" w:rsidRPr="0057448E" w:rsidRDefault="006F243B" w:rsidP="00804107">
            <w:pPr>
              <w:keepNext/>
              <w:widowControl/>
              <w:jc w:val="center"/>
              <w:rPr>
                <w:rFonts w:ascii="Arial Narrow" w:hAnsi="Arial Narrow"/>
                <w:sz w:val="20"/>
              </w:rPr>
            </w:pPr>
            <w:r w:rsidRPr="0057448E">
              <w:rPr>
                <w:rFonts w:ascii="Arial Narrow" w:hAnsi="Arial Narrow"/>
                <w:sz w:val="20"/>
              </w:rPr>
              <w:t>0</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$47.48 (1/day)</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$94.97 (2/day)</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hAnsi="Arial Narrow"/>
                <w:sz w:val="20"/>
              </w:rPr>
              <w:t>Community nurse visits</w:t>
            </w:r>
          </w:p>
        </w:tc>
        <w:tc>
          <w:tcPr>
            <w:tcW w:w="1721" w:type="dxa"/>
            <w:vAlign w:val="center"/>
          </w:tcPr>
          <w:p w:rsidR="006F243B" w:rsidRPr="0057448E" w:rsidRDefault="006F243B" w:rsidP="00804107">
            <w:pPr>
              <w:keepNext/>
              <w:widowControl/>
              <w:jc w:val="center"/>
              <w:rPr>
                <w:rFonts w:ascii="Arial Narrow" w:hAnsi="Arial Narrow"/>
                <w:sz w:val="20"/>
              </w:rPr>
            </w:pPr>
            <w:r w:rsidRPr="0057448E">
              <w:rPr>
                <w:rFonts w:ascii="Arial Narrow" w:hAnsi="Arial Narrow"/>
                <w:sz w:val="20"/>
              </w:rPr>
              <w:t>-</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$5.32 (0.07/year)</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w:t>
            </w:r>
          </w:p>
        </w:tc>
      </w:tr>
      <w:tr w:rsidR="006F243B" w:rsidRPr="0084000C" w:rsidTr="008E3589">
        <w:tc>
          <w:tcPr>
            <w:tcW w:w="8363" w:type="dxa"/>
            <w:gridSpan w:val="4"/>
          </w:tcPr>
          <w:p w:rsidR="006F243B" w:rsidRPr="0057448E" w:rsidRDefault="006F243B" w:rsidP="00804107">
            <w:pPr>
              <w:keepNext/>
              <w:widowControl/>
              <w:jc w:val="left"/>
              <w:rPr>
                <w:rFonts w:ascii="Arial Narrow" w:hAnsi="Arial Narrow"/>
                <w:b/>
                <w:sz w:val="20"/>
              </w:rPr>
            </w:pPr>
            <w:r w:rsidRPr="0057448E">
              <w:rPr>
                <w:rFonts w:ascii="Arial Narrow" w:hAnsi="Arial Narrow"/>
                <w:b/>
                <w:sz w:val="20"/>
              </w:rPr>
              <w:t>Derived price for saxagliptin, 5mg, 28</w:t>
            </w:r>
          </w:p>
        </w:tc>
      </w:tr>
      <w:tr w:rsidR="006F243B" w:rsidRPr="0084000C" w:rsidTr="008E3589">
        <w:tc>
          <w:tcPr>
            <w:tcW w:w="3260" w:type="dxa"/>
          </w:tcPr>
          <w:p w:rsidR="006F243B" w:rsidRPr="007D07D1" w:rsidRDefault="006F243B" w:rsidP="00804107">
            <w:pPr>
              <w:keepNext/>
              <w:widowControl/>
              <w:jc w:val="left"/>
              <w:rPr>
                <w:rFonts w:ascii="Arial Narrow" w:hAnsi="Arial Narrow"/>
                <w:sz w:val="20"/>
              </w:rPr>
            </w:pPr>
            <w:r w:rsidRPr="007D07D1">
              <w:rPr>
                <w:rFonts w:ascii="Arial Narrow" w:hAnsi="Arial Narrow"/>
                <w:sz w:val="20"/>
              </w:rPr>
              <w:t>Total non-drug cost of treatment</w:t>
            </w:r>
          </w:p>
        </w:tc>
        <w:tc>
          <w:tcPr>
            <w:tcW w:w="1721" w:type="dxa"/>
            <w:vAlign w:val="center"/>
          </w:tcPr>
          <w:p w:rsidR="006F243B" w:rsidRPr="0057448E" w:rsidRDefault="006F243B" w:rsidP="00D54599">
            <w:pPr>
              <w:keepNext/>
              <w:widowControl/>
              <w:jc w:val="center"/>
              <w:rPr>
                <w:rFonts w:ascii="Arial Narrow" w:hAnsi="Arial Narrow"/>
                <w:sz w:val="20"/>
              </w:rPr>
            </w:pPr>
            <w:r w:rsidRPr="0057448E">
              <w:rPr>
                <w:rFonts w:ascii="Arial Narrow" w:hAnsi="Arial Narrow"/>
                <w:sz w:val="20"/>
              </w:rPr>
              <w:t>$</w:t>
            </w:r>
            <w:r w:rsidR="00076419">
              <w:rPr>
                <w:rFonts w:ascii="Arial Narrow" w:hAnsi="Arial Narrow"/>
                <w:noProof/>
                <w:color w:val="000000"/>
                <w:sz w:val="20"/>
                <w:highlight w:val="black"/>
              </w:rPr>
              <w:t>'''''''''''''''''</w:t>
            </w:r>
          </w:p>
        </w:tc>
        <w:tc>
          <w:tcPr>
            <w:tcW w:w="1722" w:type="dxa"/>
            <w:vAlign w:val="center"/>
          </w:tcPr>
          <w:p w:rsidR="006F243B" w:rsidRPr="007D07D1" w:rsidRDefault="006F243B" w:rsidP="00804107">
            <w:pPr>
              <w:keepNext/>
              <w:widowControl/>
              <w:jc w:val="center"/>
              <w:rPr>
                <w:rFonts w:ascii="Arial Narrow" w:hAnsi="Arial Narrow"/>
                <w:sz w:val="20"/>
                <w:highlight w:val="yellow"/>
              </w:rPr>
            </w:pPr>
            <w:r w:rsidRPr="007D07D1">
              <w:rPr>
                <w:rFonts w:ascii="Arial Narrow" w:hAnsi="Arial Narrow"/>
                <w:sz w:val="20"/>
              </w:rPr>
              <w:t>$726.22</w:t>
            </w:r>
          </w:p>
        </w:tc>
        <w:tc>
          <w:tcPr>
            <w:tcW w:w="1660" w:type="dxa"/>
            <w:vAlign w:val="center"/>
          </w:tcPr>
          <w:p w:rsidR="006F243B" w:rsidRPr="007D07D1" w:rsidRDefault="006F243B" w:rsidP="00804107">
            <w:pPr>
              <w:keepNext/>
              <w:widowControl/>
              <w:jc w:val="center"/>
              <w:rPr>
                <w:rFonts w:ascii="Arial Narrow" w:hAnsi="Arial Narrow"/>
                <w:sz w:val="20"/>
                <w:highlight w:val="yellow"/>
              </w:rPr>
            </w:pPr>
            <w:r w:rsidRPr="007D07D1">
              <w:rPr>
                <w:rFonts w:ascii="Arial Narrow" w:hAnsi="Arial Narrow"/>
                <w:sz w:val="20"/>
              </w:rPr>
              <w:t>$415.08</w:t>
            </w:r>
          </w:p>
        </w:tc>
      </w:tr>
      <w:tr w:rsidR="00DF6B4C" w:rsidRPr="0084000C" w:rsidTr="008E3589">
        <w:tc>
          <w:tcPr>
            <w:tcW w:w="3260" w:type="dxa"/>
          </w:tcPr>
          <w:p w:rsidR="00DF6B4C" w:rsidRPr="007D07D1" w:rsidRDefault="00DF6B4C" w:rsidP="00804107">
            <w:pPr>
              <w:keepNext/>
              <w:widowControl/>
              <w:jc w:val="left"/>
              <w:rPr>
                <w:rFonts w:ascii="Arial Narrow" w:hAnsi="Arial Narrow"/>
                <w:sz w:val="20"/>
              </w:rPr>
            </w:pPr>
            <w:r w:rsidRPr="007D07D1">
              <w:rPr>
                <w:rFonts w:ascii="Arial Narrow" w:hAnsi="Arial Narrow"/>
                <w:sz w:val="20"/>
              </w:rPr>
              <w:t>Incremental non-drug cost of treatment</w:t>
            </w:r>
          </w:p>
        </w:tc>
        <w:tc>
          <w:tcPr>
            <w:tcW w:w="1721" w:type="dxa"/>
            <w:vAlign w:val="center"/>
          </w:tcPr>
          <w:p w:rsidR="00DF6B4C" w:rsidRPr="0057448E" w:rsidRDefault="00DF6B4C" w:rsidP="00804107">
            <w:pPr>
              <w:keepNext/>
              <w:widowControl/>
              <w:jc w:val="center"/>
              <w:rPr>
                <w:rFonts w:ascii="Arial Narrow" w:hAnsi="Arial Narrow"/>
                <w:sz w:val="20"/>
              </w:rPr>
            </w:pPr>
            <w:r w:rsidRPr="0057448E">
              <w:rPr>
                <w:rFonts w:ascii="Arial Narrow" w:hAnsi="Arial Narrow"/>
                <w:sz w:val="20"/>
              </w:rPr>
              <w:t>-</w:t>
            </w:r>
          </w:p>
        </w:tc>
        <w:tc>
          <w:tcPr>
            <w:tcW w:w="1722" w:type="dxa"/>
            <w:vAlign w:val="center"/>
          </w:tcPr>
          <w:p w:rsidR="00DF6B4C" w:rsidRPr="007D07D1" w:rsidRDefault="00DF6B4C" w:rsidP="00804107">
            <w:pPr>
              <w:keepNext/>
              <w:widowControl/>
              <w:jc w:val="center"/>
              <w:rPr>
                <w:rFonts w:ascii="Arial Narrow" w:hAnsi="Arial Narrow"/>
                <w:sz w:val="20"/>
                <w:highlight w:val="yellow"/>
              </w:rPr>
            </w:pPr>
            <w:r w:rsidRPr="007D07D1">
              <w:rPr>
                <w:rFonts w:ascii="Arial Narrow" w:hAnsi="Arial Narrow"/>
                <w:sz w:val="20"/>
              </w:rPr>
              <w:t>$434.89</w:t>
            </w:r>
          </w:p>
        </w:tc>
        <w:tc>
          <w:tcPr>
            <w:tcW w:w="1660" w:type="dxa"/>
            <w:vAlign w:val="center"/>
          </w:tcPr>
          <w:p w:rsidR="00DF6B4C" w:rsidRPr="007D07D1" w:rsidRDefault="00DF6B4C" w:rsidP="00804107">
            <w:pPr>
              <w:keepNext/>
              <w:widowControl/>
              <w:jc w:val="center"/>
              <w:rPr>
                <w:rFonts w:ascii="Arial Narrow" w:hAnsi="Arial Narrow"/>
                <w:sz w:val="20"/>
                <w:highlight w:val="yellow"/>
              </w:rPr>
            </w:pPr>
            <w:r w:rsidRPr="007D07D1">
              <w:rPr>
                <w:rFonts w:ascii="Arial Narrow" w:hAnsi="Arial Narrow"/>
                <w:sz w:val="20"/>
              </w:rPr>
              <w:t>$123.75</w:t>
            </w:r>
          </w:p>
        </w:tc>
      </w:tr>
      <w:tr w:rsidR="00DF6B4C" w:rsidRPr="0084000C" w:rsidTr="008E3589">
        <w:tc>
          <w:tcPr>
            <w:tcW w:w="3260" w:type="dxa"/>
          </w:tcPr>
          <w:p w:rsidR="00DF6B4C" w:rsidRPr="007D07D1" w:rsidRDefault="00DF6B4C" w:rsidP="00804107">
            <w:pPr>
              <w:keepNext/>
              <w:widowControl/>
              <w:jc w:val="left"/>
              <w:rPr>
                <w:rFonts w:ascii="Arial Narrow" w:hAnsi="Arial Narrow"/>
                <w:sz w:val="20"/>
              </w:rPr>
            </w:pPr>
            <w:r w:rsidRPr="007D07D1">
              <w:rPr>
                <w:rFonts w:ascii="Arial Narrow" w:hAnsi="Arial Narrow"/>
                <w:sz w:val="20"/>
              </w:rPr>
              <w:t xml:space="preserve">Incremental non-drug cost (28 days) </w:t>
            </w:r>
          </w:p>
        </w:tc>
        <w:tc>
          <w:tcPr>
            <w:tcW w:w="1721" w:type="dxa"/>
            <w:vAlign w:val="center"/>
          </w:tcPr>
          <w:p w:rsidR="00DF6B4C" w:rsidRPr="0057448E" w:rsidRDefault="00DF6B4C" w:rsidP="00804107">
            <w:pPr>
              <w:keepNext/>
              <w:widowControl/>
              <w:jc w:val="center"/>
              <w:rPr>
                <w:rFonts w:ascii="Arial Narrow" w:hAnsi="Arial Narrow"/>
                <w:sz w:val="20"/>
              </w:rPr>
            </w:pPr>
            <w:r w:rsidRPr="0057448E">
              <w:rPr>
                <w:rFonts w:ascii="Arial Narrow" w:hAnsi="Arial Narrow"/>
                <w:sz w:val="20"/>
              </w:rPr>
              <w:t>-</w:t>
            </w:r>
          </w:p>
        </w:tc>
        <w:tc>
          <w:tcPr>
            <w:tcW w:w="1722" w:type="dxa"/>
            <w:vAlign w:val="center"/>
          </w:tcPr>
          <w:p w:rsidR="00DF6B4C" w:rsidRPr="007D07D1" w:rsidRDefault="00DF6B4C" w:rsidP="00804107">
            <w:pPr>
              <w:keepNext/>
              <w:widowControl/>
              <w:jc w:val="center"/>
              <w:rPr>
                <w:rFonts w:ascii="Arial Narrow" w:hAnsi="Arial Narrow"/>
                <w:sz w:val="20"/>
                <w:highlight w:val="yellow"/>
              </w:rPr>
            </w:pPr>
            <w:r w:rsidRPr="007D07D1">
              <w:rPr>
                <w:rFonts w:ascii="Arial Narrow" w:hAnsi="Arial Narrow"/>
                <w:sz w:val="20"/>
              </w:rPr>
              <w:t>$33.34</w:t>
            </w:r>
          </w:p>
        </w:tc>
        <w:tc>
          <w:tcPr>
            <w:tcW w:w="1660" w:type="dxa"/>
            <w:vAlign w:val="center"/>
          </w:tcPr>
          <w:p w:rsidR="00DF6B4C" w:rsidRPr="007D07D1" w:rsidRDefault="00DF6B4C" w:rsidP="00804107">
            <w:pPr>
              <w:keepNext/>
              <w:widowControl/>
              <w:jc w:val="center"/>
              <w:rPr>
                <w:rFonts w:ascii="Arial Narrow" w:hAnsi="Arial Narrow"/>
                <w:sz w:val="20"/>
                <w:highlight w:val="yellow"/>
              </w:rPr>
            </w:pPr>
            <w:r w:rsidRPr="007D07D1">
              <w:rPr>
                <w:rFonts w:ascii="Arial Narrow" w:hAnsi="Arial Narrow"/>
                <w:sz w:val="20"/>
              </w:rPr>
              <w:t>$9.49</w:t>
            </w:r>
          </w:p>
        </w:tc>
      </w:tr>
      <w:tr w:rsidR="00DF6B4C" w:rsidRPr="0084000C" w:rsidTr="008E3589">
        <w:tc>
          <w:tcPr>
            <w:tcW w:w="3260" w:type="dxa"/>
          </w:tcPr>
          <w:p w:rsidR="00DF6B4C" w:rsidRPr="007D07D1" w:rsidRDefault="00DF6B4C" w:rsidP="00804107">
            <w:pPr>
              <w:keepNext/>
              <w:widowControl/>
              <w:jc w:val="left"/>
              <w:rPr>
                <w:rFonts w:ascii="Arial Narrow" w:hAnsi="Arial Narrow"/>
                <w:sz w:val="20"/>
              </w:rPr>
            </w:pPr>
            <w:r w:rsidRPr="007D07D1">
              <w:rPr>
                <w:rFonts w:ascii="Arial Narrow" w:hAnsi="Arial Narrow"/>
                <w:sz w:val="20"/>
              </w:rPr>
              <w:t>Total incremental cost of drug and non-drug treatment (28 days)</w:t>
            </w:r>
          </w:p>
        </w:tc>
        <w:tc>
          <w:tcPr>
            <w:tcW w:w="1721" w:type="dxa"/>
            <w:vAlign w:val="center"/>
          </w:tcPr>
          <w:p w:rsidR="00DF6B4C" w:rsidRPr="0057448E" w:rsidRDefault="00DF6B4C" w:rsidP="00804107">
            <w:pPr>
              <w:keepNext/>
              <w:widowControl/>
              <w:jc w:val="center"/>
              <w:rPr>
                <w:rFonts w:ascii="Arial Narrow" w:hAnsi="Arial Narrow"/>
                <w:sz w:val="20"/>
              </w:rPr>
            </w:pPr>
            <w:r w:rsidRPr="0057448E">
              <w:rPr>
                <w:rFonts w:ascii="Arial Narrow" w:hAnsi="Arial Narrow"/>
                <w:sz w:val="20"/>
              </w:rPr>
              <w:t>-</w:t>
            </w:r>
          </w:p>
        </w:tc>
        <w:tc>
          <w:tcPr>
            <w:tcW w:w="1722" w:type="dxa"/>
            <w:vAlign w:val="center"/>
          </w:tcPr>
          <w:p w:rsidR="00DF6B4C" w:rsidRPr="007D07D1" w:rsidRDefault="00DF6B4C" w:rsidP="00804107">
            <w:pPr>
              <w:keepNext/>
              <w:widowControl/>
              <w:jc w:val="center"/>
              <w:rPr>
                <w:rFonts w:ascii="Arial Narrow" w:hAnsi="Arial Narrow"/>
                <w:sz w:val="20"/>
              </w:rPr>
            </w:pPr>
            <w:r w:rsidRPr="007D07D1">
              <w:rPr>
                <w:rFonts w:ascii="Arial Narrow" w:hAnsi="Arial Narrow"/>
                <w:sz w:val="20"/>
              </w:rPr>
              <w:t>$</w:t>
            </w:r>
            <w:r w:rsidR="00076419">
              <w:rPr>
                <w:rFonts w:ascii="Arial Narrow" w:hAnsi="Arial Narrow"/>
                <w:noProof/>
                <w:color w:val="000000"/>
                <w:sz w:val="20"/>
                <w:highlight w:val="black"/>
              </w:rPr>
              <w:t>''''''''''''''</w:t>
            </w:r>
          </w:p>
        </w:tc>
        <w:tc>
          <w:tcPr>
            <w:tcW w:w="1660" w:type="dxa"/>
            <w:vAlign w:val="center"/>
          </w:tcPr>
          <w:p w:rsidR="00DF6B4C" w:rsidRPr="007D07D1" w:rsidRDefault="00DF6B4C" w:rsidP="00804107">
            <w:pPr>
              <w:keepNext/>
              <w:widowControl/>
              <w:jc w:val="center"/>
              <w:rPr>
                <w:rFonts w:ascii="Arial Narrow" w:hAnsi="Arial Narrow"/>
                <w:sz w:val="20"/>
              </w:rPr>
            </w:pPr>
            <w:r w:rsidRPr="007D07D1">
              <w:rPr>
                <w:rFonts w:ascii="Arial Narrow" w:hAnsi="Arial Narrow"/>
                <w:sz w:val="20"/>
              </w:rPr>
              <w:t>5µg: $75.59</w:t>
            </w:r>
          </w:p>
          <w:p w:rsidR="00DF6B4C" w:rsidRPr="007D07D1" w:rsidRDefault="00DF6B4C" w:rsidP="00804107">
            <w:pPr>
              <w:keepNext/>
              <w:widowControl/>
              <w:jc w:val="center"/>
              <w:rPr>
                <w:rFonts w:ascii="Arial Narrow" w:hAnsi="Arial Narrow"/>
                <w:sz w:val="20"/>
              </w:rPr>
            </w:pPr>
            <w:r w:rsidRPr="007D07D1">
              <w:rPr>
                <w:rFonts w:ascii="Arial Narrow" w:hAnsi="Arial Narrow"/>
                <w:sz w:val="20"/>
              </w:rPr>
              <w:t>10µg: $101.02</w:t>
            </w:r>
          </w:p>
        </w:tc>
      </w:tr>
      <w:tr w:rsidR="006F243B" w:rsidRPr="0084000C" w:rsidTr="008E3589">
        <w:tc>
          <w:tcPr>
            <w:tcW w:w="3260" w:type="dxa"/>
          </w:tcPr>
          <w:p w:rsidR="006F243B" w:rsidRPr="007D07D1" w:rsidRDefault="006F243B" w:rsidP="00804107">
            <w:pPr>
              <w:keepNext/>
              <w:widowControl/>
              <w:jc w:val="left"/>
              <w:rPr>
                <w:rFonts w:ascii="Arial Narrow" w:hAnsi="Arial Narrow"/>
                <w:b/>
                <w:sz w:val="20"/>
              </w:rPr>
            </w:pPr>
            <w:r w:rsidRPr="007D07D1">
              <w:rPr>
                <w:rFonts w:ascii="Arial Narrow" w:hAnsi="Arial Narrow"/>
                <w:b/>
                <w:sz w:val="20"/>
              </w:rPr>
              <w:t>Weighted price (and weightings) for saxagliptin (DPMQ)</w:t>
            </w:r>
          </w:p>
        </w:tc>
        <w:tc>
          <w:tcPr>
            <w:tcW w:w="1721" w:type="dxa"/>
            <w:vAlign w:val="center"/>
          </w:tcPr>
          <w:p w:rsidR="006F243B" w:rsidRPr="0057448E" w:rsidRDefault="006F243B" w:rsidP="00804107">
            <w:pPr>
              <w:keepNext/>
              <w:widowControl/>
              <w:jc w:val="center"/>
              <w:rPr>
                <w:rFonts w:ascii="Arial Narrow" w:hAnsi="Arial Narrow"/>
                <w:sz w:val="20"/>
              </w:rPr>
            </w:pPr>
            <w:r w:rsidRPr="0057448E">
              <w:rPr>
                <w:rFonts w:ascii="Arial Narrow" w:hAnsi="Arial Narrow"/>
                <w:sz w:val="20"/>
              </w:rPr>
              <w:t>$</w:t>
            </w:r>
            <w:r w:rsidR="00076419">
              <w:rPr>
                <w:rFonts w:ascii="Arial Narrow" w:hAnsi="Arial Narrow"/>
                <w:noProof/>
                <w:color w:val="000000"/>
                <w:sz w:val="20"/>
                <w:highlight w:val="black"/>
              </w:rPr>
              <w:t>''''''''''''</w:t>
            </w:r>
          </w:p>
        </w:tc>
        <w:tc>
          <w:tcPr>
            <w:tcW w:w="1722"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(75.8%)</w:t>
            </w:r>
          </w:p>
        </w:tc>
        <w:tc>
          <w:tcPr>
            <w:tcW w:w="1660" w:type="dxa"/>
            <w:vAlign w:val="center"/>
          </w:tcPr>
          <w:p w:rsidR="006F243B" w:rsidRPr="007D07D1" w:rsidRDefault="006F243B" w:rsidP="00804107">
            <w:pPr>
              <w:keepNext/>
              <w:widowControl/>
              <w:jc w:val="center"/>
              <w:rPr>
                <w:rFonts w:ascii="Arial Narrow" w:hAnsi="Arial Narrow"/>
                <w:sz w:val="20"/>
              </w:rPr>
            </w:pPr>
            <w:r w:rsidRPr="007D07D1">
              <w:rPr>
                <w:rFonts w:ascii="Arial Narrow" w:hAnsi="Arial Narrow"/>
                <w:sz w:val="20"/>
              </w:rPr>
              <w:t xml:space="preserve">(5µg: </w:t>
            </w:r>
            <w:r w:rsidR="005275CB" w:rsidRPr="007D07D1">
              <w:rPr>
                <w:rFonts w:ascii="Arial Narrow" w:hAnsi="Arial Narrow"/>
                <w:sz w:val="20"/>
              </w:rPr>
              <w:t>5.9</w:t>
            </w:r>
            <w:r w:rsidRPr="007D07D1">
              <w:rPr>
                <w:rFonts w:ascii="Arial Narrow" w:hAnsi="Arial Narrow"/>
                <w:sz w:val="20"/>
              </w:rPr>
              <w:t>%)</w:t>
            </w:r>
          </w:p>
          <w:p w:rsidR="006F243B" w:rsidRPr="007D07D1" w:rsidRDefault="006F243B" w:rsidP="00804107">
            <w:pPr>
              <w:keepNext/>
              <w:widowControl/>
              <w:jc w:val="center"/>
              <w:rPr>
                <w:rFonts w:ascii="Arial Narrow" w:hAnsi="Arial Narrow"/>
                <w:sz w:val="20"/>
              </w:rPr>
            </w:pPr>
            <w:r w:rsidRPr="007D07D1">
              <w:rPr>
                <w:rFonts w:ascii="Arial Narrow" w:hAnsi="Arial Narrow"/>
                <w:sz w:val="20"/>
              </w:rPr>
              <w:t xml:space="preserve">(10µg: </w:t>
            </w:r>
            <w:r w:rsidR="005275CB" w:rsidRPr="007D07D1">
              <w:rPr>
                <w:rFonts w:ascii="Arial Narrow" w:hAnsi="Arial Narrow"/>
                <w:sz w:val="20"/>
              </w:rPr>
              <w:t>18.3</w:t>
            </w:r>
            <w:r w:rsidRPr="007D07D1">
              <w:rPr>
                <w:rFonts w:ascii="Arial Narrow" w:hAnsi="Arial Narrow"/>
                <w:sz w:val="20"/>
              </w:rPr>
              <w:t>%)</w:t>
            </w:r>
          </w:p>
        </w:tc>
      </w:tr>
    </w:tbl>
    <w:p w:rsidR="006F243B" w:rsidRPr="004478BC" w:rsidRDefault="00841337" w:rsidP="00804107">
      <w:pPr>
        <w:pStyle w:val="TableFooter"/>
        <w:widowControl/>
        <w:ind w:firstLine="720"/>
        <w:rPr>
          <w:szCs w:val="18"/>
        </w:rPr>
      </w:pPr>
      <w:r>
        <w:rPr>
          <w:szCs w:val="18"/>
        </w:rPr>
        <w:t>Source: C</w:t>
      </w:r>
      <w:r w:rsidR="006F243B" w:rsidRPr="004478BC">
        <w:rPr>
          <w:szCs w:val="18"/>
        </w:rPr>
        <w:t>ompiled during the evaluation</w:t>
      </w:r>
      <w:r>
        <w:rPr>
          <w:szCs w:val="18"/>
        </w:rPr>
        <w:t>.</w:t>
      </w:r>
    </w:p>
    <w:p w:rsidR="006F243B" w:rsidRPr="00A35FBD" w:rsidRDefault="006F243B" w:rsidP="00804107">
      <w:pPr>
        <w:widowControl/>
        <w:rPr>
          <w:rFonts w:ascii="Arial Narrow" w:hAnsi="Arial Narrow"/>
          <w:sz w:val="20"/>
        </w:rPr>
      </w:pPr>
    </w:p>
    <w:p w:rsidR="008742B4" w:rsidRPr="005948C9" w:rsidRDefault="00D007D3" w:rsidP="00804107">
      <w:pPr>
        <w:pStyle w:val="ListParagraph"/>
        <w:widowControl/>
        <w:numPr>
          <w:ilvl w:val="1"/>
          <w:numId w:val="5"/>
        </w:numPr>
        <w:rPr>
          <w:szCs w:val="22"/>
        </w:rPr>
      </w:pPr>
      <w:r w:rsidRPr="005948C9">
        <w:rPr>
          <w:szCs w:val="22"/>
        </w:rPr>
        <w:t>If insulin glargine and exenatide were the appropriate comparators, t</w:t>
      </w:r>
      <w:r w:rsidR="008742B4" w:rsidRPr="005948C9">
        <w:rPr>
          <w:szCs w:val="22"/>
        </w:rPr>
        <w:t>he ESC considered it would be more appropriate to conduct the cost analysis against insulin glargine only</w:t>
      </w:r>
      <w:r w:rsidRPr="005948C9">
        <w:rPr>
          <w:szCs w:val="22"/>
        </w:rPr>
        <w:t>, since non-inferiority to exenatide had not been adequately demonstrated.</w:t>
      </w:r>
      <w:r w:rsidR="00EF0ACE" w:rsidRPr="005948C9">
        <w:rPr>
          <w:szCs w:val="22"/>
        </w:rPr>
        <w:t xml:space="preserve"> In this case, the ESC noted that the cost offsets accepted by the PBAC for dapagliflozin triple oral therapy versus insulin glargine should apply to saxagliptin (with the possible exception of the </w:t>
      </w:r>
      <w:r w:rsidRPr="005948C9">
        <w:rPr>
          <w:szCs w:val="22"/>
        </w:rPr>
        <w:t>cost for urinary tract and genital infections)</w:t>
      </w:r>
      <w:r w:rsidR="002D76A3">
        <w:rPr>
          <w:szCs w:val="22"/>
        </w:rPr>
        <w:t>.</w:t>
      </w:r>
      <w:r w:rsidRPr="005948C9">
        <w:rPr>
          <w:szCs w:val="22"/>
        </w:rPr>
        <w:t xml:space="preserve"> </w:t>
      </w:r>
      <w:r w:rsidR="008742B4" w:rsidRPr="005948C9">
        <w:t xml:space="preserve">The PSCR noted that conducting the cost minimisation against insulin glargine alone would be consistent with the approach taken for dapagliflozin in triple oral therapy and that the expected price of saxagliptin using this approach would be identical to that of dapagliflozin, excluding offsets for </w:t>
      </w:r>
      <w:r w:rsidR="008742B4" w:rsidRPr="005948C9">
        <w:rPr>
          <w:szCs w:val="22"/>
        </w:rPr>
        <w:t>genital and urinary tract infections.</w:t>
      </w:r>
    </w:p>
    <w:p w:rsidR="008742B4" w:rsidRPr="005948C9" w:rsidRDefault="008742B4" w:rsidP="00804107">
      <w:pPr>
        <w:pStyle w:val="ListParagraph"/>
        <w:keepLines/>
        <w:widowControl/>
      </w:pPr>
    </w:p>
    <w:p w:rsidR="002F7CEF" w:rsidRPr="005948C9" w:rsidRDefault="008742B4" w:rsidP="00804107">
      <w:pPr>
        <w:pStyle w:val="ListParagraph"/>
        <w:keepLines/>
        <w:widowControl/>
        <w:numPr>
          <w:ilvl w:val="1"/>
          <w:numId w:val="5"/>
        </w:numPr>
      </w:pPr>
      <w:r w:rsidRPr="005948C9">
        <w:t>However, t</w:t>
      </w:r>
      <w:r w:rsidR="002F7CEF" w:rsidRPr="005948C9">
        <w:t xml:space="preserve">he ESC considered that </w:t>
      </w:r>
      <w:r w:rsidRPr="005948C9">
        <w:t xml:space="preserve">dapagliflozin was the appropriate comparator and therefore </w:t>
      </w:r>
      <w:r w:rsidR="002F7CEF" w:rsidRPr="005948C9">
        <w:t>a cost minimisation analysis versus dapagliflozin (recommended for triple oral therapy at the March 2015 meeting) would</w:t>
      </w:r>
      <w:r w:rsidR="003E0749" w:rsidRPr="005948C9">
        <w:t xml:space="preserve"> </w:t>
      </w:r>
      <w:r w:rsidR="002F7CEF" w:rsidRPr="005948C9">
        <w:t>be more appropriate. The PSCR noted that the sponsor was willing to accept the current dapagliflozin price for saxagliptin, ex</w:t>
      </w:r>
      <w:r w:rsidR="00D007D3" w:rsidRPr="005948C9">
        <w:t xml:space="preserve">cluding offsets for urinary tract and genital </w:t>
      </w:r>
      <w:r w:rsidR="002F7CEF" w:rsidRPr="005948C9">
        <w:t>infections.</w:t>
      </w:r>
    </w:p>
    <w:p w:rsidR="002F7CEF" w:rsidRDefault="002F7CEF" w:rsidP="00804107">
      <w:pPr>
        <w:pStyle w:val="ListParagraph"/>
        <w:keepLines/>
        <w:widowControl/>
        <w:rPr>
          <w:i/>
        </w:rPr>
      </w:pPr>
    </w:p>
    <w:p w:rsidR="00271758" w:rsidRPr="005948C9" w:rsidRDefault="002F7CEF" w:rsidP="00804107">
      <w:pPr>
        <w:pStyle w:val="ListParagraph"/>
        <w:keepLines/>
        <w:widowControl/>
        <w:numPr>
          <w:ilvl w:val="1"/>
          <w:numId w:val="5"/>
        </w:numPr>
      </w:pPr>
      <w:r w:rsidRPr="005948C9">
        <w:t xml:space="preserve">The PSCR noted that the </w:t>
      </w:r>
      <w:r w:rsidRPr="00076419">
        <w:t>therapeutic relativity sheets</w:t>
      </w:r>
      <w:r w:rsidR="003E0749" w:rsidRPr="005948C9">
        <w:t xml:space="preserve"> (as at 1 June 2015)</w:t>
      </w:r>
      <w:r w:rsidRPr="005948C9">
        <w:t xml:space="preserve"> s</w:t>
      </w:r>
      <w:r w:rsidR="00271758" w:rsidRPr="005948C9">
        <w:t>tate:</w:t>
      </w:r>
    </w:p>
    <w:p w:rsidR="00271758" w:rsidRPr="005948C9" w:rsidRDefault="002F7CEF" w:rsidP="00804107">
      <w:pPr>
        <w:pStyle w:val="ListParagraph"/>
        <w:keepLines/>
        <w:widowControl/>
        <w:numPr>
          <w:ilvl w:val="1"/>
          <w:numId w:val="25"/>
        </w:numPr>
        <w:ind w:left="993" w:hanging="284"/>
      </w:pPr>
      <w:r w:rsidRPr="005948C9">
        <w:t xml:space="preserve">dapagliflozin 10 mg as equi-effective dose to sitagliptin 100 mg, and </w:t>
      </w:r>
    </w:p>
    <w:p w:rsidR="00271758" w:rsidRPr="005948C9" w:rsidRDefault="002F7CEF" w:rsidP="00804107">
      <w:pPr>
        <w:pStyle w:val="ListParagraph"/>
        <w:keepLines/>
        <w:widowControl/>
        <w:numPr>
          <w:ilvl w:val="1"/>
          <w:numId w:val="25"/>
        </w:numPr>
        <w:ind w:left="993" w:hanging="284"/>
      </w:pPr>
      <w:r w:rsidRPr="005948C9">
        <w:t>sitagliptin 100 mg as equi-effe</w:t>
      </w:r>
      <w:r w:rsidR="00271758" w:rsidRPr="005948C9">
        <w:t xml:space="preserve">ctive dose to saxagliptin 5 mg. </w:t>
      </w:r>
    </w:p>
    <w:p w:rsidR="002F7CEF" w:rsidRPr="005948C9" w:rsidRDefault="00271758" w:rsidP="00804107">
      <w:pPr>
        <w:keepLines/>
        <w:widowControl/>
        <w:ind w:left="709"/>
      </w:pPr>
      <w:r w:rsidRPr="005948C9">
        <w:t>By inference</w:t>
      </w:r>
      <w:r w:rsidR="008742B4" w:rsidRPr="005948C9">
        <w:t>, the PSCR claimed</w:t>
      </w:r>
      <w:r w:rsidRPr="005948C9">
        <w:t xml:space="preserve"> that </w:t>
      </w:r>
      <w:r w:rsidR="002F7CEF" w:rsidRPr="005948C9">
        <w:t>dapagliflozin 10 mg is equi-effective to saxagliptin 5 mg.</w:t>
      </w:r>
    </w:p>
    <w:p w:rsidR="000D48D0" w:rsidRPr="005948C9" w:rsidRDefault="000D48D0" w:rsidP="00804107">
      <w:pPr>
        <w:pStyle w:val="ListParagraph"/>
        <w:keepNext/>
        <w:keepLines/>
        <w:widowControl/>
      </w:pPr>
    </w:p>
    <w:p w:rsidR="004935C9" w:rsidRPr="005948C9" w:rsidRDefault="0084000C" w:rsidP="00804107">
      <w:pPr>
        <w:pStyle w:val="ListParagraph"/>
        <w:keepNext/>
        <w:keepLines/>
        <w:widowControl/>
        <w:numPr>
          <w:ilvl w:val="1"/>
          <w:numId w:val="5"/>
        </w:numPr>
      </w:pPr>
      <w:r w:rsidRPr="005948C9">
        <w:t>The submission note</w:t>
      </w:r>
      <w:r w:rsidR="00A335B5" w:rsidRPr="005948C9">
        <w:t>d</w:t>
      </w:r>
      <w:r w:rsidRPr="005948C9">
        <w:t xml:space="preserve"> that saxagliptin </w:t>
      </w:r>
      <w:r w:rsidR="00E01EA4" w:rsidRPr="005948C9">
        <w:t>is currently listed for dual oral therapy in combination with metformin or a sulfonylurea ($59.20, DPMQ), and request</w:t>
      </w:r>
      <w:r w:rsidR="003E0749" w:rsidRPr="005948C9">
        <w:t>ed</w:t>
      </w:r>
      <w:r w:rsidR="00E01EA4" w:rsidRPr="005948C9">
        <w:t xml:space="preserve"> a weight</w:t>
      </w:r>
      <w:r w:rsidR="00A335B5" w:rsidRPr="005948C9">
        <w:t>ed</w:t>
      </w:r>
      <w:r w:rsidR="00E01EA4" w:rsidRPr="005948C9">
        <w:t xml:space="preserve"> price across listings</w:t>
      </w:r>
      <w:r w:rsidRPr="005948C9">
        <w:t>.</w:t>
      </w:r>
      <w:r w:rsidR="001B0EE7" w:rsidRPr="005948C9">
        <w:t xml:space="preserve"> </w:t>
      </w:r>
      <w:r w:rsidR="006B065D" w:rsidRPr="005948C9">
        <w:t xml:space="preserve">The PSCR </w:t>
      </w:r>
      <w:r w:rsidR="004935C9" w:rsidRPr="005948C9">
        <w:t>claimed</w:t>
      </w:r>
      <w:r w:rsidR="006B065D" w:rsidRPr="005948C9">
        <w:t xml:space="preserve"> that </w:t>
      </w:r>
      <w:r w:rsidR="004935C9" w:rsidRPr="005948C9">
        <w:t>whether insulin glargine or dapagliflozin is the main comparator, it expects that the final price for saxagliptin will be unchanged from the current PBS price (i.e. $44.34 per pack ex-manufacturer or $59.20 DPMQ</w:t>
      </w:r>
      <w:r w:rsidR="00A612DD">
        <w:t>)</w:t>
      </w:r>
      <w:r w:rsidR="004935C9" w:rsidRPr="005948C9">
        <w:t>.</w:t>
      </w:r>
    </w:p>
    <w:p w:rsidR="0084000C" w:rsidRDefault="0084000C" w:rsidP="00804107">
      <w:pPr>
        <w:widowControl/>
        <w:rPr>
          <w:sz w:val="20"/>
        </w:rPr>
      </w:pPr>
    </w:p>
    <w:p w:rsidR="008068F6" w:rsidRPr="00BB7EC3" w:rsidRDefault="008068F6" w:rsidP="00804107">
      <w:pPr>
        <w:pStyle w:val="ListParagraph"/>
        <w:widowControl/>
        <w:ind w:left="709"/>
        <w:rPr>
          <w:i/>
          <w:szCs w:val="22"/>
        </w:rPr>
      </w:pPr>
      <w:r w:rsidRPr="002C0AB5">
        <w:rPr>
          <w:i/>
          <w:szCs w:val="22"/>
        </w:rPr>
        <w:t>For more detail on PBAC’s view, see section 7 “PBAC outcome”</w:t>
      </w:r>
    </w:p>
    <w:p w:rsidR="00BD17A2" w:rsidRPr="0084000C" w:rsidRDefault="00BD17A2" w:rsidP="00804107">
      <w:pPr>
        <w:widowControl/>
        <w:rPr>
          <w:sz w:val="20"/>
        </w:rPr>
      </w:pPr>
    </w:p>
    <w:p w:rsidR="00C25D9C" w:rsidRPr="002C2775" w:rsidRDefault="00C25D9C" w:rsidP="00804107">
      <w:pPr>
        <w:pStyle w:val="Heading2"/>
        <w:keepNext/>
        <w:widowControl/>
        <w:rPr>
          <w:i/>
          <w:szCs w:val="22"/>
        </w:rPr>
      </w:pPr>
      <w:bookmarkStart w:id="14" w:name="_Toc419207269"/>
      <w:r w:rsidRPr="002C2775">
        <w:rPr>
          <w:i/>
        </w:rPr>
        <w:t>Drug c</w:t>
      </w:r>
      <w:r w:rsidR="00FB58B7">
        <w:rPr>
          <w:i/>
        </w:rPr>
        <w:t>ost/patient/year: $</w:t>
      </w:r>
      <w:bookmarkEnd w:id="14"/>
      <w:r w:rsidR="00076419">
        <w:rPr>
          <w:i/>
          <w:noProof/>
          <w:color w:val="000000"/>
          <w:highlight w:val="black"/>
        </w:rPr>
        <w:t>'''''''''''''</w:t>
      </w:r>
    </w:p>
    <w:p w:rsidR="00C25D9C" w:rsidRPr="00C25D9C" w:rsidRDefault="00C25D9C" w:rsidP="00804107">
      <w:pPr>
        <w:keepNext/>
        <w:widowControl/>
        <w:rPr>
          <w:szCs w:val="22"/>
        </w:rPr>
      </w:pPr>
    </w:p>
    <w:p w:rsidR="00A86E8B" w:rsidRPr="005948C9" w:rsidRDefault="00FB58B7" w:rsidP="00804107">
      <w:pPr>
        <w:pStyle w:val="ListParagraph"/>
        <w:widowControl/>
        <w:numPr>
          <w:ilvl w:val="1"/>
          <w:numId w:val="5"/>
        </w:numPr>
        <w:rPr>
          <w:szCs w:val="22"/>
        </w:rPr>
      </w:pPr>
      <w:r w:rsidRPr="005948C9">
        <w:rPr>
          <w:szCs w:val="22"/>
        </w:rPr>
        <w:t xml:space="preserve">At the DPMQ </w:t>
      </w:r>
      <w:r w:rsidR="00347D9F" w:rsidRPr="005948C9">
        <w:rPr>
          <w:szCs w:val="22"/>
        </w:rPr>
        <w:t xml:space="preserve">requested in the </w:t>
      </w:r>
      <w:r w:rsidR="00347D9F" w:rsidRPr="00907563">
        <w:rPr>
          <w:szCs w:val="22"/>
        </w:rPr>
        <w:t xml:space="preserve">submission </w:t>
      </w:r>
      <w:r w:rsidRPr="00907563">
        <w:rPr>
          <w:szCs w:val="22"/>
        </w:rPr>
        <w:t>of $</w:t>
      </w:r>
      <w:r w:rsidR="00076419">
        <w:rPr>
          <w:noProof/>
          <w:color w:val="000000"/>
          <w:szCs w:val="22"/>
          <w:highlight w:val="black"/>
        </w:rPr>
        <w:t>''''''''''''''</w:t>
      </w:r>
      <w:r w:rsidRPr="00907563">
        <w:rPr>
          <w:szCs w:val="22"/>
        </w:rPr>
        <w:t xml:space="preserve"> for a 28 tablet pack of saxagliptin, the drug cost per patient per year </w:t>
      </w:r>
      <w:r w:rsidR="00347D9F" w:rsidRPr="00907563">
        <w:rPr>
          <w:szCs w:val="22"/>
        </w:rPr>
        <w:t>would have been</w:t>
      </w:r>
      <w:r w:rsidRPr="00907563">
        <w:rPr>
          <w:szCs w:val="22"/>
        </w:rPr>
        <w:t xml:space="preserve"> $</w:t>
      </w:r>
      <w:r w:rsidR="00076419">
        <w:rPr>
          <w:noProof/>
          <w:color w:val="000000"/>
          <w:szCs w:val="22"/>
          <w:highlight w:val="black"/>
        </w:rPr>
        <w:t>'''''''''''''''''</w:t>
      </w:r>
      <w:r w:rsidRPr="00907563">
        <w:rPr>
          <w:szCs w:val="22"/>
        </w:rPr>
        <w:t xml:space="preserve"> (assuming 13.04 packs per year).</w:t>
      </w:r>
      <w:r w:rsidR="00FA7FA5" w:rsidRPr="00907563">
        <w:rPr>
          <w:szCs w:val="22"/>
        </w:rPr>
        <w:t xml:space="preserve"> </w:t>
      </w:r>
      <w:r w:rsidR="00347D9F" w:rsidRPr="00907563">
        <w:rPr>
          <w:szCs w:val="22"/>
        </w:rPr>
        <w:t>At a DPMQ of $</w:t>
      </w:r>
      <w:r w:rsidR="00076419">
        <w:rPr>
          <w:noProof/>
          <w:color w:val="000000"/>
          <w:szCs w:val="22"/>
          <w:highlight w:val="black"/>
        </w:rPr>
        <w:t>'''''''''''''</w:t>
      </w:r>
      <w:r w:rsidR="00347D9F" w:rsidRPr="00907563">
        <w:rPr>
          <w:szCs w:val="22"/>
        </w:rPr>
        <w:t>, the drug cost per patient per year for saxagliptin would be $</w:t>
      </w:r>
      <w:r w:rsidR="00076419">
        <w:rPr>
          <w:noProof/>
          <w:color w:val="000000"/>
          <w:szCs w:val="22"/>
          <w:highlight w:val="black"/>
        </w:rPr>
        <w:t>''''''''''''''''''</w:t>
      </w:r>
      <w:r w:rsidR="00347D9F" w:rsidRPr="00907563">
        <w:rPr>
          <w:szCs w:val="22"/>
        </w:rPr>
        <w:t>.</w:t>
      </w:r>
    </w:p>
    <w:p w:rsidR="00BD17A2" w:rsidRPr="001E2B1E" w:rsidRDefault="00BD17A2" w:rsidP="00804107">
      <w:pPr>
        <w:widowControl/>
        <w:rPr>
          <w:szCs w:val="22"/>
        </w:rPr>
      </w:pPr>
    </w:p>
    <w:p w:rsidR="00B60939" w:rsidRPr="002C2775" w:rsidRDefault="00B60939" w:rsidP="00804107">
      <w:pPr>
        <w:pStyle w:val="Heading2"/>
        <w:keepNext/>
        <w:widowControl/>
        <w:rPr>
          <w:i/>
        </w:rPr>
      </w:pPr>
      <w:bookmarkStart w:id="15" w:name="_Toc419207270"/>
      <w:r w:rsidRPr="002C2775">
        <w:rPr>
          <w:i/>
        </w:rPr>
        <w:t>Estimated PBS usage &amp; financial implications</w:t>
      </w:r>
      <w:bookmarkEnd w:id="15"/>
    </w:p>
    <w:p w:rsidR="00B60939" w:rsidRPr="00882085" w:rsidRDefault="00B60939" w:rsidP="00804107">
      <w:pPr>
        <w:keepNext/>
        <w:widowControl/>
        <w:ind w:left="720" w:hanging="720"/>
        <w:rPr>
          <w:b/>
          <w:i/>
          <w:szCs w:val="22"/>
        </w:rPr>
      </w:pPr>
    </w:p>
    <w:p w:rsidR="00FB58B7" w:rsidRPr="008F4DBA" w:rsidRDefault="006F2D39" w:rsidP="00804107">
      <w:pPr>
        <w:pStyle w:val="ListParagraph"/>
        <w:widowControl/>
        <w:numPr>
          <w:ilvl w:val="1"/>
          <w:numId w:val="5"/>
        </w:numPr>
        <w:rPr>
          <w:szCs w:val="22"/>
        </w:rPr>
      </w:pPr>
      <w:r>
        <w:t xml:space="preserve">This submission </w:t>
      </w:r>
      <w:r w:rsidR="005C1CAD">
        <w:t>was not</w:t>
      </w:r>
      <w:r w:rsidR="00C25D9C">
        <w:t xml:space="preserve"> </w:t>
      </w:r>
      <w:r w:rsidR="00C25D9C" w:rsidRPr="00FB58B7">
        <w:t xml:space="preserve">considered by DUSC.  </w:t>
      </w:r>
      <w:r w:rsidR="00FB58B7" w:rsidRPr="00FB58B7">
        <w:t xml:space="preserve">The submission presented </w:t>
      </w:r>
      <w:r w:rsidR="00FB58B7">
        <w:t xml:space="preserve">a market share approach, with estimates based on extrapolated trends of use in triple therapy derived from an analysis of the 10% Medicare sample. </w:t>
      </w:r>
      <w:r w:rsidR="008F4DBA">
        <w:t xml:space="preserve">The submission did not expect </w:t>
      </w:r>
      <w:r w:rsidR="000A633E">
        <w:t xml:space="preserve">that listing of </w:t>
      </w:r>
      <w:r w:rsidR="008F4DBA">
        <w:t xml:space="preserve">saxagliptin </w:t>
      </w:r>
      <w:r w:rsidR="000A633E">
        <w:t xml:space="preserve">for triple oral therapy would </w:t>
      </w:r>
      <w:r w:rsidR="008F4DBA">
        <w:t xml:space="preserve">increase </w:t>
      </w:r>
      <w:r w:rsidR="000A633E">
        <w:t xml:space="preserve">the </w:t>
      </w:r>
      <w:r w:rsidR="008F4DBA">
        <w:t xml:space="preserve">overall market size, but acknowledged that the reimbursed market may increase in size as patients using diabetes medicines outside </w:t>
      </w:r>
      <w:r w:rsidR="00E01EA4">
        <w:t>PBS listed restrictions switch</w:t>
      </w:r>
      <w:r w:rsidR="008F4DBA">
        <w:t xml:space="preserve"> to saxagliptin.</w:t>
      </w:r>
    </w:p>
    <w:p w:rsidR="008F4DBA" w:rsidRPr="008F4DBA" w:rsidRDefault="008F4DBA" w:rsidP="00804107">
      <w:pPr>
        <w:pStyle w:val="ListParagraph"/>
        <w:widowControl/>
        <w:rPr>
          <w:szCs w:val="22"/>
        </w:rPr>
      </w:pPr>
    </w:p>
    <w:p w:rsidR="008F4DBA" w:rsidRPr="00FB58B7" w:rsidRDefault="008F4DBA" w:rsidP="00804107">
      <w:pPr>
        <w:pStyle w:val="ListParagraph"/>
        <w:widowControl/>
        <w:numPr>
          <w:ilvl w:val="1"/>
          <w:numId w:val="5"/>
        </w:numPr>
        <w:rPr>
          <w:szCs w:val="22"/>
        </w:rPr>
      </w:pPr>
      <w:r>
        <w:rPr>
          <w:szCs w:val="22"/>
        </w:rPr>
        <w:t>The submission included substantial non-drug related costs derived from differences in the costs of administration and diabetes management between saxagliptin and the comparators.</w:t>
      </w:r>
      <w:r w:rsidR="007207C4">
        <w:rPr>
          <w:szCs w:val="22"/>
        </w:rPr>
        <w:t xml:space="preserve"> </w:t>
      </w:r>
    </w:p>
    <w:p w:rsidR="00C25D9C" w:rsidRPr="00FB58B7" w:rsidRDefault="00C25D9C" w:rsidP="00804107">
      <w:pPr>
        <w:widowControl/>
        <w:rPr>
          <w:szCs w:val="22"/>
        </w:rPr>
      </w:pPr>
    </w:p>
    <w:p w:rsidR="00C25D9C" w:rsidRPr="00180AD2" w:rsidRDefault="00CB5E1D" w:rsidP="00804107">
      <w:pPr>
        <w:keepNext/>
        <w:widowControl/>
        <w:ind w:firstLine="709"/>
        <w:rPr>
          <w:rStyle w:val="CommentReference"/>
          <w:szCs w:val="20"/>
        </w:rPr>
      </w:pPr>
      <w:r>
        <w:rPr>
          <w:rStyle w:val="CommentReference"/>
          <w:szCs w:val="20"/>
        </w:rPr>
        <w:t xml:space="preserve">Table 5: </w:t>
      </w:r>
      <w:r w:rsidR="00C25D9C" w:rsidRPr="00180AD2">
        <w:rPr>
          <w:rStyle w:val="CommentReference"/>
          <w:szCs w:val="20"/>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1187"/>
        <w:gridCol w:w="1187"/>
        <w:gridCol w:w="1187"/>
        <w:gridCol w:w="1187"/>
        <w:gridCol w:w="1188"/>
      </w:tblGrid>
      <w:tr w:rsidR="00C25D9C" w:rsidRPr="00180AD2" w:rsidTr="00774E4B">
        <w:trPr>
          <w:tblHeader/>
        </w:trPr>
        <w:tc>
          <w:tcPr>
            <w:tcW w:w="1444" w:type="pct"/>
            <w:shd w:val="clear" w:color="auto" w:fill="auto"/>
            <w:vAlign w:val="center"/>
          </w:tcPr>
          <w:p w:rsidR="00C25D9C" w:rsidRPr="00180AD2" w:rsidRDefault="00C25D9C" w:rsidP="00804107">
            <w:pPr>
              <w:keepNext/>
              <w:widowControl/>
              <w:tabs>
                <w:tab w:val="left" w:pos="142"/>
              </w:tabs>
              <w:jc w:val="left"/>
              <w:rPr>
                <w:rFonts w:ascii="Arial Narrow" w:hAnsi="Arial Narrow"/>
                <w:b/>
                <w:sz w:val="20"/>
              </w:rPr>
            </w:pPr>
          </w:p>
        </w:tc>
        <w:tc>
          <w:tcPr>
            <w:tcW w:w="711" w:type="pct"/>
            <w:shd w:val="clear" w:color="auto" w:fill="auto"/>
            <w:vAlign w:val="center"/>
          </w:tcPr>
          <w:p w:rsidR="00C25D9C" w:rsidRPr="00180AD2" w:rsidRDefault="00C25D9C" w:rsidP="00804107">
            <w:pPr>
              <w:keepNext/>
              <w:widowControl/>
              <w:jc w:val="center"/>
              <w:rPr>
                <w:rFonts w:ascii="Arial Narrow" w:hAnsi="Arial Narrow"/>
                <w:b/>
                <w:sz w:val="20"/>
              </w:rPr>
            </w:pPr>
            <w:r w:rsidRPr="00180AD2">
              <w:rPr>
                <w:rFonts w:ascii="Arial Narrow" w:hAnsi="Arial Narrow"/>
                <w:b/>
                <w:sz w:val="20"/>
              </w:rPr>
              <w:t>Year 1</w:t>
            </w:r>
          </w:p>
        </w:tc>
        <w:tc>
          <w:tcPr>
            <w:tcW w:w="711" w:type="pct"/>
            <w:shd w:val="clear" w:color="auto" w:fill="auto"/>
            <w:vAlign w:val="center"/>
          </w:tcPr>
          <w:p w:rsidR="00C25D9C" w:rsidRPr="00180AD2" w:rsidRDefault="00C25D9C" w:rsidP="00804107">
            <w:pPr>
              <w:keepNext/>
              <w:widowControl/>
              <w:jc w:val="center"/>
              <w:rPr>
                <w:rFonts w:ascii="Arial Narrow" w:hAnsi="Arial Narrow"/>
                <w:b/>
                <w:sz w:val="20"/>
              </w:rPr>
            </w:pPr>
            <w:r w:rsidRPr="00180AD2">
              <w:rPr>
                <w:rFonts w:ascii="Arial Narrow" w:hAnsi="Arial Narrow"/>
                <w:b/>
                <w:sz w:val="20"/>
              </w:rPr>
              <w:t>Year 2</w:t>
            </w:r>
          </w:p>
        </w:tc>
        <w:tc>
          <w:tcPr>
            <w:tcW w:w="711" w:type="pct"/>
            <w:shd w:val="clear" w:color="auto" w:fill="auto"/>
            <w:vAlign w:val="center"/>
          </w:tcPr>
          <w:p w:rsidR="00C25D9C" w:rsidRPr="00180AD2" w:rsidRDefault="00C25D9C" w:rsidP="00804107">
            <w:pPr>
              <w:keepNext/>
              <w:widowControl/>
              <w:jc w:val="center"/>
              <w:rPr>
                <w:rFonts w:ascii="Arial Narrow" w:hAnsi="Arial Narrow"/>
                <w:b/>
                <w:sz w:val="20"/>
              </w:rPr>
            </w:pPr>
            <w:r w:rsidRPr="00180AD2">
              <w:rPr>
                <w:rFonts w:ascii="Arial Narrow" w:hAnsi="Arial Narrow"/>
                <w:b/>
                <w:sz w:val="20"/>
              </w:rPr>
              <w:t>Year 3</w:t>
            </w:r>
          </w:p>
        </w:tc>
        <w:tc>
          <w:tcPr>
            <w:tcW w:w="711" w:type="pct"/>
            <w:shd w:val="clear" w:color="auto" w:fill="auto"/>
            <w:vAlign w:val="center"/>
          </w:tcPr>
          <w:p w:rsidR="00C25D9C" w:rsidRPr="00180AD2" w:rsidRDefault="00C25D9C" w:rsidP="00804107">
            <w:pPr>
              <w:keepNext/>
              <w:widowControl/>
              <w:jc w:val="center"/>
              <w:rPr>
                <w:rFonts w:ascii="Arial Narrow" w:hAnsi="Arial Narrow"/>
                <w:b/>
                <w:sz w:val="20"/>
              </w:rPr>
            </w:pPr>
            <w:r w:rsidRPr="00180AD2">
              <w:rPr>
                <w:rFonts w:ascii="Arial Narrow" w:hAnsi="Arial Narrow"/>
                <w:b/>
                <w:sz w:val="20"/>
              </w:rPr>
              <w:t>Year 4</w:t>
            </w:r>
          </w:p>
        </w:tc>
        <w:tc>
          <w:tcPr>
            <w:tcW w:w="711" w:type="pct"/>
            <w:shd w:val="clear" w:color="auto" w:fill="auto"/>
            <w:vAlign w:val="center"/>
          </w:tcPr>
          <w:p w:rsidR="00C25D9C" w:rsidRPr="00180AD2" w:rsidRDefault="00C25D9C" w:rsidP="00804107">
            <w:pPr>
              <w:keepNext/>
              <w:widowControl/>
              <w:jc w:val="center"/>
              <w:rPr>
                <w:rFonts w:ascii="Arial Narrow" w:hAnsi="Arial Narrow"/>
                <w:b/>
                <w:sz w:val="20"/>
              </w:rPr>
            </w:pPr>
            <w:r w:rsidRPr="00180AD2">
              <w:rPr>
                <w:rFonts w:ascii="Arial Narrow" w:hAnsi="Arial Narrow"/>
                <w:b/>
                <w:sz w:val="20"/>
              </w:rPr>
              <w:t>Year 5</w:t>
            </w:r>
          </w:p>
        </w:tc>
      </w:tr>
      <w:tr w:rsidR="00C25D9C" w:rsidRPr="00180AD2" w:rsidTr="005D044D">
        <w:tc>
          <w:tcPr>
            <w:tcW w:w="5000" w:type="pct"/>
            <w:gridSpan w:val="6"/>
            <w:shd w:val="clear" w:color="auto" w:fill="auto"/>
            <w:vAlign w:val="center"/>
          </w:tcPr>
          <w:p w:rsidR="00C25D9C" w:rsidRPr="00180AD2" w:rsidRDefault="00C25D9C" w:rsidP="00804107">
            <w:pPr>
              <w:keepNext/>
              <w:widowControl/>
              <w:jc w:val="left"/>
              <w:rPr>
                <w:rFonts w:ascii="Arial Narrow" w:hAnsi="Arial Narrow"/>
                <w:b/>
                <w:bCs/>
                <w:color w:val="000000"/>
                <w:sz w:val="20"/>
              </w:rPr>
            </w:pPr>
            <w:r w:rsidRPr="00180AD2">
              <w:rPr>
                <w:rFonts w:ascii="Arial Narrow" w:hAnsi="Arial Narrow"/>
                <w:b/>
                <w:bCs/>
                <w:color w:val="000000"/>
                <w:sz w:val="20"/>
              </w:rPr>
              <w:t>Estimated extent of use</w:t>
            </w:r>
          </w:p>
        </w:tc>
      </w:tr>
      <w:tr w:rsidR="00180AD2" w:rsidRPr="00180AD2" w:rsidTr="00774E4B">
        <w:tc>
          <w:tcPr>
            <w:tcW w:w="1444" w:type="pct"/>
            <w:shd w:val="clear" w:color="auto" w:fill="auto"/>
            <w:vAlign w:val="center"/>
          </w:tcPr>
          <w:p w:rsidR="00180AD2" w:rsidRPr="00180AD2" w:rsidRDefault="00180AD2" w:rsidP="00804107">
            <w:pPr>
              <w:keepNext/>
              <w:widowControl/>
              <w:tabs>
                <w:tab w:val="left" w:pos="142"/>
              </w:tabs>
              <w:jc w:val="left"/>
              <w:rPr>
                <w:rFonts w:ascii="Arial Narrow" w:hAnsi="Arial Narrow"/>
                <w:sz w:val="20"/>
              </w:rPr>
            </w:pPr>
            <w:r w:rsidRPr="00180AD2">
              <w:rPr>
                <w:rFonts w:ascii="Arial Narrow" w:hAnsi="Arial Narrow"/>
                <w:sz w:val="20"/>
              </w:rPr>
              <w:t>Number treated</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r>
      <w:tr w:rsidR="00180AD2" w:rsidRPr="00180AD2" w:rsidTr="00774E4B">
        <w:tc>
          <w:tcPr>
            <w:tcW w:w="1444" w:type="pct"/>
            <w:shd w:val="clear" w:color="auto" w:fill="auto"/>
            <w:vAlign w:val="center"/>
          </w:tcPr>
          <w:p w:rsidR="00180AD2" w:rsidRPr="00180AD2" w:rsidRDefault="00180AD2" w:rsidP="00804107">
            <w:pPr>
              <w:keepNext/>
              <w:widowControl/>
              <w:tabs>
                <w:tab w:val="left" w:pos="142"/>
              </w:tabs>
              <w:jc w:val="left"/>
              <w:rPr>
                <w:rFonts w:ascii="Arial Narrow" w:hAnsi="Arial Narrow"/>
                <w:sz w:val="20"/>
              </w:rPr>
            </w:pPr>
            <w:r w:rsidRPr="00180AD2">
              <w:rPr>
                <w:rFonts w:ascii="Arial Narrow" w:hAnsi="Arial Narrow"/>
                <w:sz w:val="20"/>
              </w:rPr>
              <w:t>Market share</w:t>
            </w:r>
          </w:p>
        </w:tc>
        <w:tc>
          <w:tcPr>
            <w:tcW w:w="711" w:type="pct"/>
            <w:shd w:val="clear" w:color="auto" w:fill="auto"/>
            <w:vAlign w:val="bottom"/>
          </w:tcPr>
          <w:p w:rsidR="00180AD2" w:rsidRPr="00DF5D16" w:rsidRDefault="00076419" w:rsidP="00804107">
            <w:pPr>
              <w:keepNext/>
              <w:widowControl/>
              <w:jc w:val="center"/>
              <w:rPr>
                <w:rFonts w:ascii="Arial Narrow" w:hAnsi="Arial Narrow"/>
                <w:bCs/>
                <w:color w:val="000000"/>
                <w:sz w:val="20"/>
              </w:rPr>
            </w:pPr>
            <w:r>
              <w:rPr>
                <w:rFonts w:ascii="Arial Narrow" w:hAnsi="Arial Narrow"/>
                <w:noProof/>
                <w:color w:val="000000"/>
                <w:sz w:val="20"/>
                <w:highlight w:val="black"/>
              </w:rPr>
              <w:t>''''''''</w:t>
            </w:r>
            <w:r w:rsidR="00180AD2" w:rsidRPr="00DF5D16">
              <w:rPr>
                <w:rFonts w:ascii="Arial Narrow" w:hAnsi="Arial Narrow"/>
                <w:sz w:val="20"/>
              </w:rPr>
              <w:t>%</w:t>
            </w:r>
          </w:p>
        </w:tc>
        <w:tc>
          <w:tcPr>
            <w:tcW w:w="711" w:type="pct"/>
            <w:shd w:val="clear" w:color="auto" w:fill="auto"/>
            <w:vAlign w:val="bottom"/>
          </w:tcPr>
          <w:p w:rsidR="00180AD2" w:rsidRPr="00DF5D16" w:rsidRDefault="00076419" w:rsidP="00804107">
            <w:pPr>
              <w:keepNext/>
              <w:widowControl/>
              <w:jc w:val="center"/>
              <w:rPr>
                <w:rFonts w:ascii="Arial Narrow" w:hAnsi="Arial Narrow"/>
                <w:bCs/>
                <w:color w:val="000000"/>
                <w:sz w:val="20"/>
              </w:rPr>
            </w:pPr>
            <w:r>
              <w:rPr>
                <w:rFonts w:ascii="Arial Narrow" w:hAnsi="Arial Narrow"/>
                <w:noProof/>
                <w:color w:val="000000"/>
                <w:sz w:val="20"/>
                <w:highlight w:val="black"/>
              </w:rPr>
              <w:t>'''''''</w:t>
            </w:r>
            <w:r w:rsidR="00180AD2" w:rsidRPr="00DF5D16">
              <w:rPr>
                <w:rFonts w:ascii="Arial Narrow" w:hAnsi="Arial Narrow"/>
                <w:sz w:val="20"/>
              </w:rPr>
              <w:t>%</w:t>
            </w:r>
          </w:p>
        </w:tc>
        <w:tc>
          <w:tcPr>
            <w:tcW w:w="711" w:type="pct"/>
            <w:shd w:val="clear" w:color="auto" w:fill="auto"/>
            <w:vAlign w:val="bottom"/>
          </w:tcPr>
          <w:p w:rsidR="00180AD2" w:rsidRPr="00DF5D16" w:rsidRDefault="00076419" w:rsidP="00804107">
            <w:pPr>
              <w:keepNext/>
              <w:widowControl/>
              <w:jc w:val="center"/>
              <w:rPr>
                <w:rFonts w:ascii="Arial Narrow" w:hAnsi="Arial Narrow"/>
                <w:bCs/>
                <w:color w:val="000000"/>
                <w:sz w:val="20"/>
              </w:rPr>
            </w:pPr>
            <w:r>
              <w:rPr>
                <w:rFonts w:ascii="Arial Narrow" w:hAnsi="Arial Narrow"/>
                <w:noProof/>
                <w:color w:val="000000"/>
                <w:sz w:val="20"/>
                <w:highlight w:val="black"/>
              </w:rPr>
              <w:t>''''''''</w:t>
            </w:r>
            <w:r w:rsidR="00180AD2" w:rsidRPr="00DF5D16">
              <w:rPr>
                <w:rFonts w:ascii="Arial Narrow" w:hAnsi="Arial Narrow"/>
                <w:sz w:val="20"/>
              </w:rPr>
              <w:t>%</w:t>
            </w:r>
          </w:p>
        </w:tc>
        <w:tc>
          <w:tcPr>
            <w:tcW w:w="711" w:type="pct"/>
            <w:shd w:val="clear" w:color="auto" w:fill="auto"/>
            <w:vAlign w:val="bottom"/>
          </w:tcPr>
          <w:p w:rsidR="00180AD2" w:rsidRPr="00DF5D16" w:rsidRDefault="00076419" w:rsidP="00804107">
            <w:pPr>
              <w:keepNext/>
              <w:widowControl/>
              <w:jc w:val="center"/>
              <w:rPr>
                <w:rFonts w:ascii="Arial Narrow" w:hAnsi="Arial Narrow"/>
                <w:bCs/>
                <w:color w:val="000000"/>
                <w:sz w:val="20"/>
              </w:rPr>
            </w:pPr>
            <w:r>
              <w:rPr>
                <w:rFonts w:ascii="Arial Narrow" w:hAnsi="Arial Narrow"/>
                <w:noProof/>
                <w:color w:val="000000"/>
                <w:sz w:val="20"/>
                <w:highlight w:val="black"/>
              </w:rPr>
              <w:t>''''''''</w:t>
            </w:r>
            <w:r w:rsidR="00180AD2" w:rsidRPr="00DF5D16">
              <w:rPr>
                <w:rFonts w:ascii="Arial Narrow" w:hAnsi="Arial Narrow"/>
                <w:sz w:val="20"/>
              </w:rPr>
              <w:t>%</w:t>
            </w:r>
          </w:p>
        </w:tc>
        <w:tc>
          <w:tcPr>
            <w:tcW w:w="711" w:type="pct"/>
            <w:shd w:val="clear" w:color="auto" w:fill="auto"/>
            <w:vAlign w:val="bottom"/>
          </w:tcPr>
          <w:p w:rsidR="00180AD2" w:rsidRPr="00DF5D16" w:rsidRDefault="00076419" w:rsidP="00804107">
            <w:pPr>
              <w:keepNext/>
              <w:widowControl/>
              <w:jc w:val="center"/>
              <w:rPr>
                <w:rFonts w:ascii="Arial Narrow" w:hAnsi="Arial Narrow"/>
                <w:bCs/>
                <w:color w:val="000000"/>
                <w:sz w:val="20"/>
              </w:rPr>
            </w:pPr>
            <w:r>
              <w:rPr>
                <w:rFonts w:ascii="Arial Narrow" w:hAnsi="Arial Narrow"/>
                <w:noProof/>
                <w:color w:val="000000"/>
                <w:sz w:val="20"/>
                <w:highlight w:val="black"/>
              </w:rPr>
              <w:t>''''''''''</w:t>
            </w:r>
            <w:r w:rsidR="00180AD2" w:rsidRPr="00DF5D16">
              <w:rPr>
                <w:rFonts w:ascii="Arial Narrow" w:hAnsi="Arial Narrow"/>
                <w:sz w:val="20"/>
              </w:rPr>
              <w:t>%</w:t>
            </w:r>
          </w:p>
        </w:tc>
      </w:tr>
      <w:tr w:rsidR="00180AD2" w:rsidRPr="00180AD2" w:rsidTr="00774E4B">
        <w:tc>
          <w:tcPr>
            <w:tcW w:w="1444" w:type="pct"/>
            <w:shd w:val="clear" w:color="auto" w:fill="auto"/>
            <w:vAlign w:val="center"/>
          </w:tcPr>
          <w:p w:rsidR="00180AD2" w:rsidRPr="00180AD2" w:rsidRDefault="00180AD2" w:rsidP="00804107">
            <w:pPr>
              <w:keepNext/>
              <w:widowControl/>
              <w:tabs>
                <w:tab w:val="left" w:pos="142"/>
              </w:tabs>
              <w:jc w:val="left"/>
              <w:rPr>
                <w:rFonts w:ascii="Arial Narrow" w:hAnsi="Arial Narrow"/>
                <w:sz w:val="20"/>
              </w:rPr>
            </w:pPr>
            <w:r w:rsidRPr="00180AD2">
              <w:rPr>
                <w:rFonts w:ascii="Arial Narrow" w:hAnsi="Arial Narrow"/>
                <w:sz w:val="20"/>
              </w:rPr>
              <w:t>Scripts</w:t>
            </w:r>
            <w:r w:rsidRPr="00180AD2">
              <w:rPr>
                <w:rFonts w:ascii="Arial Narrow" w:hAnsi="Arial Narrow"/>
                <w:sz w:val="20"/>
                <w:vertAlign w:val="superscript"/>
              </w:rPr>
              <w:t>a</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r w:rsidR="00180AD2" w:rsidRPr="00076419">
              <w:rPr>
                <w:rFonts w:ascii="Arial Narrow" w:hAnsi="Arial Narrow"/>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r w:rsidR="00180AD2" w:rsidRPr="00076419">
              <w:rPr>
                <w:rFonts w:ascii="Arial Narrow" w:hAnsi="Arial Narrow"/>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c>
          <w:tcPr>
            <w:tcW w:w="711" w:type="pct"/>
            <w:shd w:val="clear" w:color="auto" w:fill="auto"/>
            <w:vAlign w:val="bottom"/>
          </w:tcPr>
          <w:p w:rsidR="00180AD2" w:rsidRPr="00076419" w:rsidRDefault="00076419" w:rsidP="0080410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 xml:space="preserve">'''''''''''''''''' </w:t>
            </w:r>
          </w:p>
        </w:tc>
      </w:tr>
      <w:tr w:rsidR="00C25D9C" w:rsidRPr="00180AD2" w:rsidTr="005D044D">
        <w:tc>
          <w:tcPr>
            <w:tcW w:w="5000" w:type="pct"/>
            <w:gridSpan w:val="6"/>
            <w:shd w:val="clear" w:color="auto" w:fill="auto"/>
            <w:vAlign w:val="center"/>
          </w:tcPr>
          <w:p w:rsidR="00C25D9C" w:rsidRPr="00DF5D16" w:rsidRDefault="00C25D9C" w:rsidP="00804107">
            <w:pPr>
              <w:keepNext/>
              <w:widowControl/>
              <w:jc w:val="left"/>
              <w:rPr>
                <w:rFonts w:ascii="Arial Narrow" w:hAnsi="Arial Narrow"/>
                <w:b/>
                <w:bCs/>
                <w:color w:val="000000"/>
                <w:sz w:val="20"/>
              </w:rPr>
            </w:pPr>
            <w:r w:rsidRPr="00DF5D16">
              <w:rPr>
                <w:rFonts w:ascii="Arial Narrow" w:hAnsi="Arial Narrow"/>
                <w:b/>
                <w:bCs/>
                <w:color w:val="000000"/>
                <w:sz w:val="20"/>
              </w:rPr>
              <w:t>Es</w:t>
            </w:r>
            <w:r w:rsidR="00180AD2" w:rsidRPr="00DF5D16">
              <w:rPr>
                <w:rFonts w:ascii="Arial Narrow" w:hAnsi="Arial Narrow"/>
                <w:b/>
                <w:bCs/>
                <w:color w:val="000000"/>
                <w:sz w:val="20"/>
              </w:rPr>
              <w:t>timated net cost to PBS/RPBS</w:t>
            </w:r>
          </w:p>
        </w:tc>
      </w:tr>
      <w:tr w:rsidR="00180AD2" w:rsidRPr="00180AD2" w:rsidTr="00774E4B">
        <w:tc>
          <w:tcPr>
            <w:tcW w:w="1444" w:type="pct"/>
            <w:shd w:val="clear" w:color="auto" w:fill="auto"/>
            <w:vAlign w:val="center"/>
          </w:tcPr>
          <w:p w:rsidR="00180AD2" w:rsidRPr="00180AD2" w:rsidRDefault="00A2449F" w:rsidP="00804107">
            <w:pPr>
              <w:keepNext/>
              <w:widowControl/>
              <w:tabs>
                <w:tab w:val="left" w:pos="142"/>
              </w:tabs>
              <w:jc w:val="left"/>
              <w:rPr>
                <w:rFonts w:ascii="Arial Narrow" w:hAnsi="Arial Narrow"/>
                <w:sz w:val="20"/>
              </w:rPr>
            </w:pPr>
            <w:r w:rsidRPr="00180AD2">
              <w:rPr>
                <w:rFonts w:ascii="Arial Narrow" w:hAnsi="Arial Narrow"/>
                <w:sz w:val="20"/>
              </w:rPr>
              <w:t>Cost of</w:t>
            </w:r>
            <w:r w:rsidR="00180AD2" w:rsidRPr="00180AD2">
              <w:rPr>
                <w:rFonts w:ascii="Arial Narrow" w:hAnsi="Arial Narrow"/>
                <w:sz w:val="20"/>
              </w:rPr>
              <w:t xml:space="preserve"> drug  to PBS/RPBS</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r>
      <w:tr w:rsidR="00180AD2" w:rsidRPr="00180AD2" w:rsidTr="00774E4B">
        <w:tc>
          <w:tcPr>
            <w:tcW w:w="1444" w:type="pct"/>
            <w:shd w:val="clear" w:color="auto" w:fill="auto"/>
            <w:vAlign w:val="center"/>
          </w:tcPr>
          <w:p w:rsidR="00180AD2" w:rsidRPr="00180AD2" w:rsidRDefault="00180AD2" w:rsidP="00804107">
            <w:pPr>
              <w:keepNext/>
              <w:widowControl/>
              <w:tabs>
                <w:tab w:val="left" w:pos="142"/>
              </w:tabs>
              <w:jc w:val="left"/>
              <w:rPr>
                <w:rFonts w:ascii="Arial Narrow" w:hAnsi="Arial Narrow"/>
                <w:sz w:val="20"/>
              </w:rPr>
            </w:pPr>
            <w:r w:rsidRPr="00180AD2">
              <w:rPr>
                <w:rFonts w:ascii="Arial Narrow" w:hAnsi="Arial Narrow"/>
                <w:sz w:val="20"/>
              </w:rPr>
              <w:t>Savings from substituted drugs</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r>
      <w:tr w:rsidR="00180AD2" w:rsidRPr="00180AD2" w:rsidTr="00774E4B">
        <w:tc>
          <w:tcPr>
            <w:tcW w:w="1444" w:type="pct"/>
            <w:shd w:val="clear" w:color="auto" w:fill="auto"/>
            <w:vAlign w:val="center"/>
          </w:tcPr>
          <w:p w:rsidR="00180AD2" w:rsidRPr="00180AD2" w:rsidRDefault="00180AD2" w:rsidP="00804107">
            <w:pPr>
              <w:keepNext/>
              <w:widowControl/>
              <w:tabs>
                <w:tab w:val="left" w:pos="142"/>
              </w:tabs>
              <w:jc w:val="left"/>
              <w:rPr>
                <w:rFonts w:ascii="Arial Narrow" w:hAnsi="Arial Narrow"/>
                <w:sz w:val="20"/>
              </w:rPr>
            </w:pPr>
            <w:r w:rsidRPr="00180AD2">
              <w:rPr>
                <w:rFonts w:ascii="Arial Narrow" w:hAnsi="Arial Narrow"/>
                <w:sz w:val="20"/>
              </w:rPr>
              <w:t>Net cost to PBS/RPBS</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bCs/>
                <w:color w:val="000000"/>
                <w:sz w:val="20"/>
              </w:rPr>
            </w:pPr>
            <w:r w:rsidRPr="00DF5D16">
              <w:rPr>
                <w:rFonts w:ascii="Arial Narrow" w:hAnsi="Arial Narrow"/>
                <w:b/>
                <w:sz w:val="20"/>
              </w:rPr>
              <w:t>$</w:t>
            </w:r>
            <w:r w:rsidR="00076419">
              <w:rPr>
                <w:rFonts w:ascii="Arial Narrow" w:hAnsi="Arial Narrow"/>
                <w:b/>
                <w:noProof/>
                <w:color w:val="000000"/>
                <w:sz w:val="20"/>
                <w:highlight w:val="black"/>
              </w:rPr>
              <w:t>''''''''''''''''''''</w:t>
            </w:r>
          </w:p>
        </w:tc>
      </w:tr>
      <w:tr w:rsidR="00C25D9C" w:rsidRPr="00180AD2" w:rsidTr="005D044D">
        <w:tc>
          <w:tcPr>
            <w:tcW w:w="5000" w:type="pct"/>
            <w:gridSpan w:val="6"/>
            <w:shd w:val="clear" w:color="auto" w:fill="auto"/>
            <w:vAlign w:val="center"/>
          </w:tcPr>
          <w:p w:rsidR="00C25D9C" w:rsidRPr="00DF5D16" w:rsidRDefault="00180AD2" w:rsidP="00804107">
            <w:pPr>
              <w:keepNext/>
              <w:widowControl/>
              <w:jc w:val="left"/>
              <w:rPr>
                <w:rFonts w:ascii="Arial Narrow" w:hAnsi="Arial Narrow"/>
                <w:b/>
                <w:color w:val="000000"/>
                <w:sz w:val="20"/>
              </w:rPr>
            </w:pPr>
            <w:r w:rsidRPr="00DF5D16">
              <w:rPr>
                <w:rFonts w:ascii="Arial Narrow" w:hAnsi="Arial Narrow"/>
                <w:b/>
                <w:bCs/>
                <w:color w:val="000000"/>
                <w:sz w:val="20"/>
              </w:rPr>
              <w:t>Estimated net cost to MBS</w:t>
            </w:r>
          </w:p>
        </w:tc>
      </w:tr>
      <w:tr w:rsidR="00180AD2" w:rsidRPr="00180AD2" w:rsidTr="00774E4B">
        <w:tc>
          <w:tcPr>
            <w:tcW w:w="1444" w:type="pct"/>
            <w:shd w:val="clear" w:color="auto" w:fill="auto"/>
            <w:vAlign w:val="center"/>
          </w:tcPr>
          <w:p w:rsidR="00180AD2" w:rsidRPr="00180AD2" w:rsidRDefault="00180AD2" w:rsidP="00804107">
            <w:pPr>
              <w:keepNext/>
              <w:widowControl/>
              <w:tabs>
                <w:tab w:val="left" w:pos="142"/>
              </w:tabs>
              <w:jc w:val="left"/>
              <w:rPr>
                <w:rFonts w:ascii="Arial Narrow" w:hAnsi="Arial Narrow"/>
                <w:b/>
                <w:sz w:val="20"/>
              </w:rPr>
            </w:pPr>
            <w:r w:rsidRPr="00180AD2">
              <w:rPr>
                <w:rFonts w:ascii="Arial Narrow" w:hAnsi="Arial Narrow"/>
                <w:b/>
                <w:bCs/>
                <w:color w:val="000000"/>
                <w:sz w:val="20"/>
              </w:rPr>
              <w:t>Net savings to MBS</w:t>
            </w:r>
          </w:p>
        </w:tc>
        <w:tc>
          <w:tcPr>
            <w:tcW w:w="711" w:type="pct"/>
            <w:shd w:val="clear" w:color="auto" w:fill="auto"/>
            <w:vAlign w:val="bottom"/>
          </w:tcPr>
          <w:p w:rsidR="00180AD2" w:rsidRPr="00DF5D16" w:rsidRDefault="00180AD2" w:rsidP="00804107">
            <w:pPr>
              <w:keepNext/>
              <w:widowControl/>
              <w:jc w:val="center"/>
              <w:rPr>
                <w:rFonts w:ascii="Arial Narrow" w:hAnsi="Arial Narrow"/>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c>
          <w:tcPr>
            <w:tcW w:w="711" w:type="pct"/>
            <w:shd w:val="clear" w:color="auto" w:fill="auto"/>
            <w:vAlign w:val="bottom"/>
          </w:tcPr>
          <w:p w:rsidR="00180AD2" w:rsidRPr="00DF5D16" w:rsidRDefault="00180AD2" w:rsidP="00804107">
            <w:pPr>
              <w:keepNext/>
              <w:widowControl/>
              <w:jc w:val="center"/>
              <w:rPr>
                <w:rFonts w:ascii="Arial Narrow" w:hAnsi="Arial Narrow"/>
                <w:color w:val="000000"/>
                <w:sz w:val="20"/>
              </w:rPr>
            </w:pPr>
            <w:r w:rsidRPr="00DF5D16">
              <w:rPr>
                <w:rFonts w:ascii="Arial Narrow" w:hAnsi="Arial Narrow"/>
                <w:sz w:val="20"/>
              </w:rPr>
              <w:t>-$</w:t>
            </w:r>
            <w:r w:rsidR="00076419">
              <w:rPr>
                <w:rFonts w:ascii="Arial Narrow" w:hAnsi="Arial Narrow"/>
                <w:noProof/>
                <w:color w:val="000000"/>
                <w:sz w:val="20"/>
                <w:highlight w:val="black"/>
              </w:rPr>
              <w:t>''''''''''''''''''''''''</w:t>
            </w:r>
          </w:p>
        </w:tc>
      </w:tr>
    </w:tbl>
    <w:p w:rsidR="00E01EA4" w:rsidRPr="00E01EA4" w:rsidRDefault="00E01EA4" w:rsidP="00804107">
      <w:pPr>
        <w:pStyle w:val="TableFooter"/>
        <w:keepNext/>
        <w:widowControl/>
        <w:ind w:firstLine="720"/>
      </w:pPr>
      <w:r>
        <w:t>Source: Compiled during the evaluation.</w:t>
      </w:r>
    </w:p>
    <w:p w:rsidR="00C25D9C" w:rsidRDefault="00C25D9C" w:rsidP="00804107">
      <w:pPr>
        <w:pStyle w:val="TableFooter"/>
        <w:widowControl/>
        <w:ind w:firstLine="720"/>
      </w:pPr>
      <w:r w:rsidRPr="001222FC">
        <w:rPr>
          <w:vertAlign w:val="superscript"/>
        </w:rPr>
        <w:t>a</w:t>
      </w:r>
      <w:r>
        <w:t xml:space="preserve"> </w:t>
      </w:r>
      <w:r w:rsidRPr="001222FC">
        <w:t xml:space="preserve">Assuming </w:t>
      </w:r>
      <w:r w:rsidR="00256658">
        <w:t>13.04</w:t>
      </w:r>
      <w:r w:rsidRPr="001222FC">
        <w:t xml:space="preserve"> per year as estimated by the submission.</w:t>
      </w:r>
    </w:p>
    <w:p w:rsidR="00A612DD" w:rsidRDefault="00A612DD" w:rsidP="00804107">
      <w:pPr>
        <w:pStyle w:val="TableFooter"/>
        <w:widowControl/>
        <w:ind w:firstLine="720"/>
      </w:pPr>
    </w:p>
    <w:p w:rsidR="00A612DD" w:rsidRPr="00C06093" w:rsidRDefault="00804107" w:rsidP="00804107">
      <w:pPr>
        <w:pStyle w:val="ListParagraph"/>
        <w:widowControl/>
        <w:numPr>
          <w:ilvl w:val="1"/>
          <w:numId w:val="5"/>
        </w:numPr>
        <w:rPr>
          <w:szCs w:val="22"/>
        </w:rPr>
      </w:pPr>
      <w:r>
        <w:rPr>
          <w:bCs/>
          <w:szCs w:val="22"/>
        </w:rPr>
        <w:t>The redacted table above shows that a</w:t>
      </w:r>
      <w:r w:rsidR="00A612DD" w:rsidRPr="00C06093">
        <w:rPr>
          <w:bCs/>
          <w:szCs w:val="22"/>
        </w:rPr>
        <w:t xml:space="preserve">t year 5, the estimated number of patients was </w:t>
      </w:r>
      <w:r>
        <w:rPr>
          <w:szCs w:val="22"/>
        </w:rPr>
        <w:t>less than 10,000 and the number of scripts was between 100,000 and 200,000</w:t>
      </w:r>
      <w:r w:rsidR="008F02D8">
        <w:rPr>
          <w:szCs w:val="22"/>
        </w:rPr>
        <w:t>;</w:t>
      </w:r>
      <w:r w:rsidR="00A612DD" w:rsidRPr="00C06093">
        <w:rPr>
          <w:szCs w:val="22"/>
        </w:rPr>
        <w:t xml:space="preserve"> </w:t>
      </w:r>
      <w:r w:rsidR="00A612DD" w:rsidRPr="00C06093">
        <w:rPr>
          <w:bCs/>
          <w:szCs w:val="22"/>
        </w:rPr>
        <w:t>and the net cost to the PBS</w:t>
      </w:r>
      <w:r w:rsidR="00C06093" w:rsidRPr="00C06093">
        <w:rPr>
          <w:bCs/>
          <w:szCs w:val="22"/>
        </w:rPr>
        <w:t>/RPBS</w:t>
      </w:r>
      <w:r w:rsidR="00A612DD" w:rsidRPr="00C06093">
        <w:rPr>
          <w:bCs/>
          <w:szCs w:val="22"/>
        </w:rPr>
        <w:t xml:space="preserve"> would be </w:t>
      </w:r>
      <w:r w:rsidR="008F02D8">
        <w:rPr>
          <w:bCs/>
          <w:szCs w:val="22"/>
        </w:rPr>
        <w:t>less than $10 million</w:t>
      </w:r>
      <w:r w:rsidR="00A612DD" w:rsidRPr="00C06093">
        <w:rPr>
          <w:bCs/>
          <w:szCs w:val="22"/>
        </w:rPr>
        <w:t>.</w:t>
      </w:r>
    </w:p>
    <w:p w:rsidR="00C25D9C" w:rsidRPr="00C25D9C" w:rsidRDefault="00C25D9C" w:rsidP="00804107">
      <w:pPr>
        <w:widowControl/>
        <w:rPr>
          <w:szCs w:val="22"/>
        </w:rPr>
      </w:pPr>
    </w:p>
    <w:p w:rsidR="00C25D9C" w:rsidRPr="00BA1DFF" w:rsidRDefault="008F4DBA" w:rsidP="00804107">
      <w:pPr>
        <w:pStyle w:val="ListParagraph"/>
        <w:widowControl/>
        <w:numPr>
          <w:ilvl w:val="1"/>
          <w:numId w:val="5"/>
        </w:numPr>
        <w:rPr>
          <w:szCs w:val="22"/>
        </w:rPr>
      </w:pPr>
      <w:r w:rsidRPr="008F4DBA">
        <w:t>T</w:t>
      </w:r>
      <w:r>
        <w:t>he submission estimated</w:t>
      </w:r>
      <w:r w:rsidRPr="008F4DBA">
        <w:t xml:space="preserve"> that extending the listing of saxagliptin to include triple therapy </w:t>
      </w:r>
      <w:r>
        <w:t>will result in a small additional cost to the PBS,</w:t>
      </w:r>
      <w:r w:rsidR="00BA1DFF">
        <w:t xml:space="preserve"> and savings to government health budgets of similar magnitude, resulting in a small overall savings to government. The estimate</w:t>
      </w:r>
      <w:r w:rsidR="00E01EA4">
        <w:t xml:space="preserve">d net savings </w:t>
      </w:r>
      <w:r w:rsidR="00A335B5">
        <w:t>are</w:t>
      </w:r>
      <w:r w:rsidR="00E01EA4">
        <w:t xml:space="preserve"> most likely an</w:t>
      </w:r>
      <w:r w:rsidR="00BA1DFF">
        <w:t xml:space="preserve"> overestimate:</w:t>
      </w:r>
    </w:p>
    <w:p w:rsidR="00BA1DFF" w:rsidRPr="007D07D1" w:rsidRDefault="00BA1DFF" w:rsidP="00804107">
      <w:pPr>
        <w:pStyle w:val="ListParagraph"/>
        <w:widowControl/>
        <w:numPr>
          <w:ilvl w:val="0"/>
          <w:numId w:val="4"/>
        </w:numPr>
        <w:ind w:left="1134"/>
      </w:pPr>
      <w:r w:rsidRPr="007D07D1">
        <w:t>estimated non-drug related savings derived from reductions in GP, endocrinologist, diabetes educator</w:t>
      </w:r>
      <w:r w:rsidR="00A335B5" w:rsidRPr="007D07D1">
        <w:t xml:space="preserve"> and</w:t>
      </w:r>
      <w:r w:rsidRPr="007D07D1">
        <w:t xml:space="preserve"> community nurse visits and blood glucose monitoring were not adequately justified, and unlikely to be realised in clinical practice;</w:t>
      </w:r>
    </w:p>
    <w:p w:rsidR="00011AA4" w:rsidRPr="007D07D1" w:rsidRDefault="00011AA4" w:rsidP="00804107">
      <w:pPr>
        <w:pStyle w:val="ListParagraph"/>
        <w:widowControl/>
        <w:numPr>
          <w:ilvl w:val="0"/>
          <w:numId w:val="4"/>
        </w:numPr>
        <w:ind w:left="1134"/>
      </w:pPr>
      <w:r w:rsidRPr="007D07D1">
        <w:t>the price of saxagliptin used in the estimates was derived from a cost minimisation versus insulin glargine and exenatide, where non-inferiority was not demonstrated;</w:t>
      </w:r>
    </w:p>
    <w:p w:rsidR="00011AA4" w:rsidRPr="007D07D1" w:rsidRDefault="00011AA4" w:rsidP="00804107">
      <w:pPr>
        <w:pStyle w:val="ListParagraph"/>
        <w:widowControl/>
        <w:numPr>
          <w:ilvl w:val="0"/>
          <w:numId w:val="4"/>
        </w:numPr>
        <w:ind w:left="1134"/>
      </w:pPr>
      <w:r w:rsidRPr="007D07D1">
        <w:t xml:space="preserve">estimated base case utilisation assumed the triple therapy market </w:t>
      </w:r>
      <w:r w:rsidR="00A335B5" w:rsidRPr="007D07D1">
        <w:t>comprised</w:t>
      </w:r>
      <w:r w:rsidRPr="007D07D1">
        <w:t xml:space="preserve"> insulin glargine and exenatide only, and therefore overestimated the savings likely to be derived from saxagliptin substituting other less costly oral diabetes medicines;</w:t>
      </w:r>
    </w:p>
    <w:p w:rsidR="00411DCE" w:rsidRPr="007D07D1" w:rsidRDefault="00011AA4" w:rsidP="00804107">
      <w:pPr>
        <w:pStyle w:val="ListParagraph"/>
        <w:widowControl/>
        <w:numPr>
          <w:ilvl w:val="0"/>
          <w:numId w:val="4"/>
        </w:numPr>
        <w:ind w:left="1134"/>
      </w:pPr>
      <w:r w:rsidRPr="007D07D1">
        <w:t xml:space="preserve">the use of the cost of insulin glargine as a </w:t>
      </w:r>
      <w:r w:rsidR="00A335B5" w:rsidRPr="007D07D1">
        <w:t>proxy</w:t>
      </w:r>
      <w:r w:rsidRPr="007D07D1">
        <w:t xml:space="preserve"> for all basal and pre-mixed insulins likely to be substituted by saxagliptin, overestimated savings likely to be derived from saxagliptin substituting other less costly basal and pre-mixed insulins</w:t>
      </w:r>
      <w:r w:rsidR="00BA1DFF" w:rsidRPr="007D07D1">
        <w:t>.</w:t>
      </w:r>
    </w:p>
    <w:p w:rsidR="00E22A0D" w:rsidRDefault="00E22A0D" w:rsidP="00804107">
      <w:pPr>
        <w:widowControl/>
        <w:rPr>
          <w:b/>
          <w:u w:val="single"/>
        </w:rPr>
      </w:pPr>
    </w:p>
    <w:p w:rsidR="00411DCE" w:rsidRPr="00C06093" w:rsidRDefault="00411DCE" w:rsidP="00804107">
      <w:pPr>
        <w:pStyle w:val="ListParagraph"/>
        <w:widowControl/>
        <w:numPr>
          <w:ilvl w:val="1"/>
          <w:numId w:val="5"/>
        </w:numPr>
        <w:rPr>
          <w:szCs w:val="22"/>
        </w:rPr>
      </w:pPr>
      <w:r>
        <w:rPr>
          <w:bCs/>
          <w:szCs w:val="22"/>
        </w:rPr>
        <w:t>The PSCR</w:t>
      </w:r>
      <w:r w:rsidRPr="005948C9">
        <w:t xml:space="preserve"> noted that the objective of the price proposed for this listing (i.e. the current PBS price for saxagliptin) is that the listing should be cost-neutral to Government health budgets.</w:t>
      </w:r>
    </w:p>
    <w:p w:rsidR="005F2375" w:rsidRPr="005948C9" w:rsidRDefault="005F2375" w:rsidP="00804107">
      <w:pPr>
        <w:widowControl/>
        <w:rPr>
          <w:b/>
          <w:u w:val="single"/>
        </w:rPr>
      </w:pPr>
    </w:p>
    <w:p w:rsidR="008068F6" w:rsidRPr="00BB7EC3" w:rsidRDefault="008068F6" w:rsidP="00804107">
      <w:pPr>
        <w:pStyle w:val="ListParagraph"/>
        <w:widowControl/>
        <w:ind w:left="709"/>
        <w:rPr>
          <w:i/>
          <w:szCs w:val="22"/>
        </w:rPr>
      </w:pPr>
      <w:r w:rsidRPr="002C0AB5">
        <w:rPr>
          <w:i/>
          <w:szCs w:val="22"/>
        </w:rPr>
        <w:t>For more detail on PBAC’s view, see section 7 “PBAC outcome”</w:t>
      </w:r>
    </w:p>
    <w:p w:rsidR="008F03CF" w:rsidRDefault="008F03CF" w:rsidP="00804107">
      <w:pPr>
        <w:widowControl/>
        <w:jc w:val="left"/>
        <w:rPr>
          <w:b/>
          <w:i/>
        </w:rPr>
      </w:pPr>
    </w:p>
    <w:p w:rsidR="00963CCD" w:rsidRDefault="00963CCD" w:rsidP="00804107">
      <w:pPr>
        <w:widowControl/>
        <w:jc w:val="left"/>
        <w:rPr>
          <w:b/>
          <w:i/>
        </w:rPr>
      </w:pPr>
    </w:p>
    <w:p w:rsidR="008F03CF" w:rsidRPr="00411DCE" w:rsidRDefault="008F03CF" w:rsidP="00804107">
      <w:pPr>
        <w:widowControl/>
        <w:numPr>
          <w:ilvl w:val="0"/>
          <w:numId w:val="5"/>
        </w:numPr>
        <w:rPr>
          <w:b/>
          <w:bCs/>
          <w:szCs w:val="22"/>
        </w:rPr>
      </w:pPr>
      <w:r w:rsidRPr="00411DCE">
        <w:rPr>
          <w:b/>
          <w:bCs/>
          <w:szCs w:val="22"/>
        </w:rPr>
        <w:t>PBAC Outcome</w:t>
      </w:r>
    </w:p>
    <w:p w:rsidR="008F03CF" w:rsidRPr="006C307E" w:rsidRDefault="008F03CF" w:rsidP="00804107">
      <w:pPr>
        <w:widowControl/>
        <w:contextualSpacing/>
        <w:rPr>
          <w:b/>
          <w:bCs/>
          <w:szCs w:val="22"/>
          <w:highlight w:val="yellow"/>
          <w:lang w:val="en-GB"/>
        </w:rPr>
      </w:pPr>
    </w:p>
    <w:p w:rsidR="008F03CF" w:rsidRDefault="00411DCE" w:rsidP="00804107">
      <w:pPr>
        <w:widowControl/>
        <w:numPr>
          <w:ilvl w:val="1"/>
          <w:numId w:val="5"/>
        </w:numPr>
        <w:contextualSpacing/>
        <w:rPr>
          <w:bCs/>
          <w:szCs w:val="22"/>
          <w:lang w:val="en-GB"/>
        </w:rPr>
      </w:pPr>
      <w:r>
        <w:rPr>
          <w:bCs/>
          <w:szCs w:val="22"/>
          <w:lang w:val="en-GB"/>
        </w:rPr>
        <w:t xml:space="preserve">The PBAC recommended the listing of saxagliptin for the treatment of </w:t>
      </w:r>
      <w:r w:rsidR="002D6D3A">
        <w:rPr>
          <w:bCs/>
          <w:szCs w:val="22"/>
          <w:lang w:val="en-GB"/>
        </w:rPr>
        <w:t xml:space="preserve">T2DM </w:t>
      </w:r>
      <w:r>
        <w:rPr>
          <w:bCs/>
          <w:szCs w:val="22"/>
          <w:lang w:val="en-GB"/>
        </w:rPr>
        <w:t xml:space="preserve">in combination with </w:t>
      </w:r>
      <w:r w:rsidR="002603C8">
        <w:rPr>
          <w:bCs/>
          <w:szCs w:val="22"/>
          <w:lang w:val="en-GB"/>
        </w:rPr>
        <w:t xml:space="preserve">MET </w:t>
      </w:r>
      <w:r>
        <w:rPr>
          <w:bCs/>
          <w:szCs w:val="22"/>
          <w:lang w:val="en-GB"/>
        </w:rPr>
        <w:t xml:space="preserve">and </w:t>
      </w:r>
      <w:r w:rsidR="002603C8">
        <w:rPr>
          <w:bCs/>
          <w:szCs w:val="22"/>
          <w:lang w:val="en-GB"/>
        </w:rPr>
        <w:t xml:space="preserve">SU </w:t>
      </w:r>
      <w:r>
        <w:rPr>
          <w:bCs/>
          <w:szCs w:val="22"/>
          <w:lang w:val="en-GB"/>
        </w:rPr>
        <w:t>(triple oral therapy). The recommendation wa</w:t>
      </w:r>
      <w:r w:rsidR="00963CCD">
        <w:rPr>
          <w:bCs/>
          <w:szCs w:val="22"/>
          <w:lang w:val="en-GB"/>
        </w:rPr>
        <w:t>s formed on the basis of a cost-</w:t>
      </w:r>
      <w:r>
        <w:rPr>
          <w:bCs/>
          <w:szCs w:val="22"/>
          <w:lang w:val="en-GB"/>
        </w:rPr>
        <w:t>minimisation analysis compared with dapagliflozin</w:t>
      </w:r>
      <w:r w:rsidR="004E4D44">
        <w:rPr>
          <w:bCs/>
          <w:szCs w:val="22"/>
          <w:lang w:val="en-GB"/>
        </w:rPr>
        <w:t xml:space="preserve"> in combination with MET and a SU</w:t>
      </w:r>
      <w:r>
        <w:rPr>
          <w:bCs/>
          <w:szCs w:val="22"/>
          <w:lang w:val="en-GB"/>
        </w:rPr>
        <w:t>. The equi-effective doses are saxagliptin 5mg and dapagliflozin 10mg.</w:t>
      </w:r>
    </w:p>
    <w:p w:rsidR="00A96593" w:rsidRDefault="00A96593" w:rsidP="00804107">
      <w:pPr>
        <w:widowControl/>
        <w:ind w:left="720"/>
        <w:contextualSpacing/>
        <w:rPr>
          <w:bCs/>
          <w:szCs w:val="22"/>
          <w:lang w:val="en-GB"/>
        </w:rPr>
      </w:pPr>
    </w:p>
    <w:p w:rsidR="000C2343" w:rsidRPr="00C67187" w:rsidRDefault="000C2343" w:rsidP="00804107">
      <w:pPr>
        <w:widowControl/>
        <w:numPr>
          <w:ilvl w:val="1"/>
          <w:numId w:val="5"/>
        </w:numPr>
        <w:contextualSpacing/>
        <w:rPr>
          <w:bCs/>
          <w:szCs w:val="22"/>
          <w:lang w:val="en-GB"/>
        </w:rPr>
      </w:pPr>
      <w:r>
        <w:rPr>
          <w:bCs/>
          <w:szCs w:val="22"/>
          <w:lang w:val="en-GB"/>
        </w:rPr>
        <w:t xml:space="preserve">The </w:t>
      </w:r>
      <w:r w:rsidRPr="00484293">
        <w:rPr>
          <w:rFonts w:cs="Times New Roman"/>
          <w:szCs w:val="22"/>
          <w:lang w:eastAsia="en-AU"/>
        </w:rPr>
        <w:t xml:space="preserve">PBAC accepted that </w:t>
      </w:r>
      <w:r>
        <w:rPr>
          <w:rFonts w:cs="Times New Roman"/>
          <w:szCs w:val="22"/>
          <w:lang w:eastAsia="en-AU"/>
        </w:rPr>
        <w:t xml:space="preserve">saxagliptin </w:t>
      </w:r>
      <w:r w:rsidRPr="00484293">
        <w:rPr>
          <w:rFonts w:cs="Times New Roman"/>
          <w:szCs w:val="22"/>
          <w:lang w:eastAsia="en-AU"/>
        </w:rPr>
        <w:t xml:space="preserve">used in combination with </w:t>
      </w:r>
      <w:r>
        <w:rPr>
          <w:rFonts w:cs="Times New Roman"/>
          <w:szCs w:val="22"/>
          <w:lang w:eastAsia="en-AU"/>
        </w:rPr>
        <w:t>MET</w:t>
      </w:r>
      <w:r w:rsidRPr="00484293">
        <w:rPr>
          <w:rFonts w:cs="Times New Roman"/>
          <w:szCs w:val="22"/>
          <w:lang w:eastAsia="en-AU"/>
        </w:rPr>
        <w:t xml:space="preserve"> and a </w:t>
      </w:r>
      <w:r>
        <w:rPr>
          <w:rFonts w:cs="Times New Roman"/>
          <w:szCs w:val="22"/>
          <w:lang w:eastAsia="en-AU"/>
        </w:rPr>
        <w:t>SU is non</w:t>
      </w:r>
      <w:r>
        <w:rPr>
          <w:rFonts w:cs="Times New Roman"/>
          <w:szCs w:val="22"/>
          <w:lang w:eastAsia="en-AU"/>
        </w:rPr>
        <w:noBreakHyphen/>
      </w:r>
      <w:r w:rsidRPr="00484293">
        <w:rPr>
          <w:rFonts w:cs="Times New Roman"/>
          <w:szCs w:val="22"/>
          <w:lang w:eastAsia="en-AU"/>
        </w:rPr>
        <w:t xml:space="preserve">inferior to </w:t>
      </w:r>
      <w:r>
        <w:rPr>
          <w:rFonts w:cs="Times New Roman"/>
          <w:szCs w:val="22"/>
          <w:lang w:eastAsia="en-AU"/>
        </w:rPr>
        <w:t xml:space="preserve">dapagliflozin </w:t>
      </w:r>
      <w:r w:rsidRPr="00484293">
        <w:rPr>
          <w:rFonts w:cs="Times New Roman"/>
          <w:szCs w:val="22"/>
          <w:lang w:eastAsia="en-AU"/>
        </w:rPr>
        <w:t xml:space="preserve">in combination with </w:t>
      </w:r>
      <w:r>
        <w:rPr>
          <w:rFonts w:cs="Times New Roman"/>
          <w:szCs w:val="22"/>
          <w:lang w:eastAsia="en-AU"/>
        </w:rPr>
        <w:t>MET</w:t>
      </w:r>
      <w:r w:rsidRPr="00484293">
        <w:rPr>
          <w:rFonts w:cs="Times New Roman"/>
          <w:szCs w:val="22"/>
          <w:lang w:eastAsia="en-AU"/>
        </w:rPr>
        <w:t xml:space="preserve"> and a </w:t>
      </w:r>
      <w:r>
        <w:rPr>
          <w:rFonts w:cs="Times New Roman"/>
          <w:szCs w:val="22"/>
          <w:lang w:eastAsia="en-AU"/>
        </w:rPr>
        <w:t>SU in terms of clinical effectiveness and safety</w:t>
      </w:r>
      <w:r w:rsidRPr="00484293">
        <w:rPr>
          <w:rFonts w:cs="Times New Roman"/>
          <w:szCs w:val="22"/>
          <w:lang w:eastAsia="en-AU"/>
        </w:rPr>
        <w:t xml:space="preserve">. </w:t>
      </w:r>
    </w:p>
    <w:p w:rsidR="00751AB9" w:rsidRPr="00CB1315" w:rsidRDefault="00751AB9" w:rsidP="00804107">
      <w:pPr>
        <w:widowControl/>
        <w:rPr>
          <w:bCs/>
          <w:szCs w:val="22"/>
          <w:lang w:val="en-GB"/>
        </w:rPr>
      </w:pPr>
    </w:p>
    <w:p w:rsidR="00B812D6" w:rsidRPr="00E864FF" w:rsidRDefault="005268EA" w:rsidP="00804107">
      <w:pPr>
        <w:widowControl/>
        <w:numPr>
          <w:ilvl w:val="1"/>
          <w:numId w:val="5"/>
        </w:numPr>
        <w:contextualSpacing/>
        <w:rPr>
          <w:bCs/>
          <w:szCs w:val="22"/>
          <w:lang w:val="en-GB"/>
        </w:rPr>
      </w:pPr>
      <w:r w:rsidRPr="003F08A9">
        <w:t xml:space="preserve">The PBAC recommended the inclusion of a grandfather </w:t>
      </w:r>
      <w:r>
        <w:t>clause, consistent with the current restriction for saxagliptin,</w:t>
      </w:r>
      <w:r w:rsidRPr="003F08A9">
        <w:t xml:space="preserve"> to enable</w:t>
      </w:r>
      <w:r>
        <w:t xml:space="preserve"> patients whose diabetes </w:t>
      </w:r>
      <w:r w:rsidR="009E628D">
        <w:t>has</w:t>
      </w:r>
      <w:r>
        <w:t xml:space="preserve"> previously </w:t>
      </w:r>
      <w:r w:rsidR="009E628D">
        <w:t xml:space="preserve">been </w:t>
      </w:r>
      <w:r>
        <w:t>demonstrated unable to be controlled with</w:t>
      </w:r>
      <w:r w:rsidR="002C0AB5">
        <w:t xml:space="preserve"> MET</w:t>
      </w:r>
      <w:r>
        <w:t xml:space="preserve"> or a</w:t>
      </w:r>
      <w:r w:rsidR="002C0AB5">
        <w:t xml:space="preserve"> SU</w:t>
      </w:r>
      <w:r>
        <w:t xml:space="preserve"> to be eligible </w:t>
      </w:r>
      <w:r w:rsidRPr="00E864FF">
        <w:rPr>
          <w:szCs w:val="22"/>
        </w:rPr>
        <w:t>for PBS</w:t>
      </w:r>
      <w:r w:rsidR="00963CCD">
        <w:rPr>
          <w:szCs w:val="22"/>
        </w:rPr>
        <w:noBreakHyphen/>
      </w:r>
      <w:r w:rsidRPr="00E864FF">
        <w:rPr>
          <w:szCs w:val="22"/>
        </w:rPr>
        <w:t>subsidised treatment with saxagliptin</w:t>
      </w:r>
      <w:r w:rsidR="00E864FF" w:rsidRPr="00E864FF">
        <w:rPr>
          <w:szCs w:val="22"/>
        </w:rPr>
        <w:t xml:space="preserve"> without having to requalify </w:t>
      </w:r>
      <w:r w:rsidR="00E864FF" w:rsidRPr="00E864FF">
        <w:rPr>
          <w:color w:val="222222"/>
          <w:szCs w:val="22"/>
          <w:shd w:val="clear" w:color="auto" w:fill="FFFFFF"/>
        </w:rPr>
        <w:t>with respect to glycosylated haemoglobin levels (HbA1c)</w:t>
      </w:r>
      <w:r w:rsidRPr="00E864FF">
        <w:rPr>
          <w:szCs w:val="22"/>
        </w:rPr>
        <w:t>.</w:t>
      </w:r>
    </w:p>
    <w:p w:rsidR="00E864FF" w:rsidRDefault="00E864FF" w:rsidP="00804107">
      <w:pPr>
        <w:pStyle w:val="ListParagraph"/>
        <w:widowControl/>
        <w:rPr>
          <w:bCs/>
          <w:szCs w:val="22"/>
          <w:lang w:val="en-GB"/>
        </w:rPr>
      </w:pPr>
    </w:p>
    <w:p w:rsidR="005268EA" w:rsidRPr="000C4C3B" w:rsidRDefault="00E864FF" w:rsidP="00804107">
      <w:pPr>
        <w:widowControl/>
        <w:numPr>
          <w:ilvl w:val="1"/>
          <w:numId w:val="5"/>
        </w:numPr>
        <w:contextualSpacing/>
        <w:rPr>
          <w:bCs/>
          <w:szCs w:val="22"/>
          <w:lang w:val="en-GB"/>
        </w:rPr>
      </w:pPr>
      <w:r w:rsidRPr="000C4C3B">
        <w:rPr>
          <w:bCs/>
          <w:szCs w:val="22"/>
          <w:lang w:val="en-GB"/>
        </w:rPr>
        <w:t xml:space="preserve">The PBAC </w:t>
      </w:r>
      <w:r w:rsidR="000C2343">
        <w:rPr>
          <w:bCs/>
          <w:szCs w:val="22"/>
          <w:lang w:val="en-GB"/>
        </w:rPr>
        <w:t>recommended</w:t>
      </w:r>
      <w:r w:rsidR="000C2343" w:rsidRPr="000C4C3B">
        <w:rPr>
          <w:bCs/>
          <w:szCs w:val="22"/>
          <w:lang w:val="en-GB"/>
        </w:rPr>
        <w:t xml:space="preserve"> </w:t>
      </w:r>
      <w:r w:rsidRPr="000C4C3B">
        <w:rPr>
          <w:bCs/>
          <w:szCs w:val="22"/>
          <w:lang w:val="en-GB"/>
        </w:rPr>
        <w:t xml:space="preserve">that the listing for saxagliptin should be </w:t>
      </w:r>
      <w:r w:rsidR="002A0E3B">
        <w:rPr>
          <w:bCs/>
          <w:szCs w:val="22"/>
          <w:lang w:val="en-GB"/>
        </w:rPr>
        <w:t xml:space="preserve">consistent with the </w:t>
      </w:r>
      <w:r w:rsidR="009E628D" w:rsidRPr="000C4C3B">
        <w:rPr>
          <w:bCs/>
          <w:szCs w:val="22"/>
          <w:lang w:val="en-GB"/>
        </w:rPr>
        <w:t>triple oral therapy restriction</w:t>
      </w:r>
      <w:r w:rsidR="001141A6" w:rsidRPr="000C4C3B">
        <w:rPr>
          <w:bCs/>
          <w:szCs w:val="22"/>
          <w:lang w:val="en-GB"/>
        </w:rPr>
        <w:t xml:space="preserve"> for sitagliptin. The PBAC further recommended that this restriction wording </w:t>
      </w:r>
      <w:r w:rsidR="000C4C3B" w:rsidRPr="000C4C3B">
        <w:rPr>
          <w:bCs/>
          <w:szCs w:val="22"/>
          <w:lang w:val="en-GB"/>
        </w:rPr>
        <w:t xml:space="preserve">should apply to </w:t>
      </w:r>
      <w:r w:rsidR="000C4C3B">
        <w:rPr>
          <w:bCs/>
          <w:szCs w:val="22"/>
          <w:lang w:val="en-GB"/>
        </w:rPr>
        <w:t>other</w:t>
      </w:r>
      <w:r w:rsidR="000C4C3B" w:rsidRPr="000C4C3B">
        <w:rPr>
          <w:bCs/>
          <w:szCs w:val="22"/>
          <w:lang w:val="en-GB"/>
        </w:rPr>
        <w:t xml:space="preserve"> </w:t>
      </w:r>
      <w:r w:rsidR="002A0E3B">
        <w:rPr>
          <w:bCs/>
          <w:szCs w:val="22"/>
          <w:lang w:val="en-GB"/>
        </w:rPr>
        <w:t xml:space="preserve">DPP-4 inhibitors and SGLT2 inhibitors </w:t>
      </w:r>
      <w:r w:rsidR="000C4C3B" w:rsidRPr="000C4C3B">
        <w:rPr>
          <w:bCs/>
          <w:szCs w:val="22"/>
          <w:lang w:val="en-GB"/>
        </w:rPr>
        <w:t xml:space="preserve">listed for triple oral therapy in </w:t>
      </w:r>
      <w:r w:rsidR="002D6D3A">
        <w:rPr>
          <w:bCs/>
          <w:szCs w:val="22"/>
          <w:lang w:val="en-GB"/>
        </w:rPr>
        <w:t xml:space="preserve">T2DM </w:t>
      </w:r>
      <w:r w:rsidR="000C4C3B" w:rsidRPr="000C4C3B">
        <w:rPr>
          <w:bCs/>
          <w:szCs w:val="22"/>
          <w:lang w:val="en-GB"/>
        </w:rPr>
        <w:t xml:space="preserve">to ensure consistency across listings. </w:t>
      </w:r>
      <w:r w:rsidR="000C2343" w:rsidRPr="000C2343">
        <w:rPr>
          <w:bCs/>
          <w:szCs w:val="22"/>
          <w:lang w:val="en-GB"/>
        </w:rPr>
        <w:t xml:space="preserve"> </w:t>
      </w:r>
      <w:r w:rsidR="000C2343">
        <w:rPr>
          <w:bCs/>
          <w:szCs w:val="22"/>
          <w:lang w:val="en-GB"/>
        </w:rPr>
        <w:t>The PBAC recommended the following wording to replace the words at the end of one of the clinical criteria: “…</w:t>
      </w:r>
      <w:r w:rsidR="000C2343" w:rsidRPr="00437272">
        <w:rPr>
          <w:bCs/>
          <w:szCs w:val="22"/>
          <w:lang w:val="en-GB"/>
        </w:rPr>
        <w:t xml:space="preserve">despite treatment with </w:t>
      </w:r>
      <w:r w:rsidR="004E3308" w:rsidRPr="004E3308">
        <w:rPr>
          <w:bCs/>
          <w:strike/>
          <w:szCs w:val="22"/>
          <w:lang w:val="en-GB"/>
        </w:rPr>
        <w:t xml:space="preserve">maximally tolerated doses of metformin and a sulfonylurea </w:t>
      </w:r>
      <w:r w:rsidR="000C2343" w:rsidRPr="004E3308">
        <w:rPr>
          <w:bCs/>
          <w:i/>
          <w:szCs w:val="22"/>
          <w:lang w:val="en-GB"/>
        </w:rPr>
        <w:t xml:space="preserve">either metformin </w:t>
      </w:r>
      <w:r w:rsidR="004E3308">
        <w:rPr>
          <w:bCs/>
          <w:i/>
          <w:szCs w:val="22"/>
          <w:lang w:val="en-GB"/>
        </w:rPr>
        <w:t>and</w:t>
      </w:r>
      <w:r w:rsidR="000C2343" w:rsidRPr="004E3308">
        <w:rPr>
          <w:bCs/>
          <w:i/>
          <w:szCs w:val="22"/>
          <w:lang w:val="en-GB"/>
        </w:rPr>
        <w:t xml:space="preserve"> a sulfonylurea</w:t>
      </w:r>
      <w:r w:rsidR="004E3308">
        <w:rPr>
          <w:bCs/>
          <w:i/>
          <w:szCs w:val="22"/>
          <w:lang w:val="en-GB"/>
        </w:rPr>
        <w:t>,</w:t>
      </w:r>
      <w:r w:rsidR="000C2343" w:rsidRPr="004E3308">
        <w:rPr>
          <w:bCs/>
          <w:i/>
          <w:szCs w:val="22"/>
          <w:lang w:val="en-GB"/>
        </w:rPr>
        <w:t xml:space="preserve"> or metformin and this drug</w:t>
      </w:r>
      <w:r w:rsidR="004E3308">
        <w:rPr>
          <w:bCs/>
          <w:i/>
          <w:szCs w:val="22"/>
          <w:lang w:val="en-GB"/>
        </w:rPr>
        <w:t>,</w:t>
      </w:r>
      <w:r w:rsidR="000C2343" w:rsidRPr="004E3308">
        <w:rPr>
          <w:bCs/>
          <w:i/>
          <w:szCs w:val="22"/>
          <w:lang w:val="en-GB"/>
        </w:rPr>
        <w:t xml:space="preserve"> or a sulfonylurea and this drug</w:t>
      </w:r>
      <w:r w:rsidR="000C2343">
        <w:rPr>
          <w:bCs/>
          <w:szCs w:val="22"/>
          <w:lang w:val="en-GB"/>
        </w:rPr>
        <w:t>” (with suggested additions in italics and deletions crossed out with strikethrough).</w:t>
      </w:r>
    </w:p>
    <w:p w:rsidR="005268EA" w:rsidRPr="005268EA" w:rsidRDefault="005268EA" w:rsidP="00804107">
      <w:pPr>
        <w:widowControl/>
        <w:contextualSpacing/>
        <w:rPr>
          <w:bCs/>
          <w:szCs w:val="22"/>
          <w:lang w:val="en-GB"/>
        </w:rPr>
      </w:pPr>
    </w:p>
    <w:p w:rsidR="002D6D3A" w:rsidRPr="002D6D3A" w:rsidRDefault="002D6D3A" w:rsidP="00804107">
      <w:pPr>
        <w:widowControl/>
        <w:numPr>
          <w:ilvl w:val="1"/>
          <w:numId w:val="5"/>
        </w:numPr>
        <w:contextualSpacing/>
        <w:rPr>
          <w:bCs/>
          <w:szCs w:val="22"/>
          <w:lang w:val="en-GB"/>
        </w:rPr>
      </w:pPr>
      <w:r>
        <w:rPr>
          <w:bCs/>
          <w:szCs w:val="22"/>
          <w:lang w:val="en-GB"/>
        </w:rPr>
        <w:t xml:space="preserve">The PBAC considered there was a clinical place for </w:t>
      </w:r>
      <w:r w:rsidR="000C2343">
        <w:rPr>
          <w:bCs/>
          <w:szCs w:val="22"/>
          <w:lang w:val="en-GB"/>
        </w:rPr>
        <w:t>saxagliptin</w:t>
      </w:r>
      <w:r>
        <w:rPr>
          <w:bCs/>
          <w:szCs w:val="22"/>
          <w:lang w:val="en-GB"/>
        </w:rPr>
        <w:t xml:space="preserve"> in triple oral therapy, noting that it may delay the introduction of insulin. As an aside, the PBAC noted that it did not see a clinical need for a</w:t>
      </w:r>
      <w:r w:rsidR="004E3308">
        <w:rPr>
          <w:bCs/>
          <w:szCs w:val="22"/>
          <w:lang w:val="en-GB"/>
        </w:rPr>
        <w:t>ny</w:t>
      </w:r>
      <w:r>
        <w:rPr>
          <w:bCs/>
          <w:szCs w:val="22"/>
          <w:lang w:val="en-GB"/>
        </w:rPr>
        <w:t xml:space="preserve"> future submissions requested listing for </w:t>
      </w:r>
      <w:r w:rsidR="000C2343">
        <w:rPr>
          <w:bCs/>
          <w:szCs w:val="22"/>
          <w:lang w:val="en-GB"/>
        </w:rPr>
        <w:t xml:space="preserve">saxagliptin </w:t>
      </w:r>
      <w:r>
        <w:rPr>
          <w:bCs/>
          <w:szCs w:val="22"/>
          <w:lang w:val="en-GB"/>
        </w:rPr>
        <w:t xml:space="preserve">in combination with metformin, a </w:t>
      </w:r>
      <w:r w:rsidR="00CA6776">
        <w:rPr>
          <w:bCs/>
          <w:szCs w:val="22"/>
          <w:lang w:val="en-GB"/>
        </w:rPr>
        <w:t>sulfonylurea</w:t>
      </w:r>
      <w:r>
        <w:rPr>
          <w:bCs/>
          <w:szCs w:val="22"/>
          <w:lang w:val="en-GB"/>
        </w:rPr>
        <w:t xml:space="preserve"> and insulin (triple oral therapy and insulin).</w:t>
      </w:r>
    </w:p>
    <w:p w:rsidR="002D6D3A" w:rsidRDefault="002D6D3A" w:rsidP="00804107">
      <w:pPr>
        <w:pStyle w:val="ListParagraph"/>
        <w:widowControl/>
        <w:rPr>
          <w:bCs/>
          <w:szCs w:val="22"/>
          <w:lang w:val="en-GB"/>
        </w:rPr>
      </w:pPr>
    </w:p>
    <w:p w:rsidR="004918B8" w:rsidRPr="004918B8" w:rsidRDefault="000C2343" w:rsidP="00804107">
      <w:pPr>
        <w:widowControl/>
        <w:numPr>
          <w:ilvl w:val="1"/>
          <w:numId w:val="5"/>
        </w:numPr>
        <w:contextualSpacing/>
        <w:rPr>
          <w:bCs/>
          <w:szCs w:val="22"/>
          <w:lang w:val="en-GB"/>
        </w:rPr>
      </w:pPr>
      <w:r>
        <w:rPr>
          <w:bCs/>
          <w:szCs w:val="22"/>
          <w:lang w:val="en-GB"/>
        </w:rPr>
        <w:t xml:space="preserve">The PBAC recalled that dapagliflozin was recommended for listing for triple oral therapy in March 2015. Dapagliflozin was recommended on the basis of a cost analysis compared with insulin (including drug acquisition costs and costs of healthcare resource consumption). </w:t>
      </w:r>
      <w:r w:rsidR="00A96593">
        <w:rPr>
          <w:bCs/>
          <w:szCs w:val="22"/>
          <w:lang w:val="en-GB"/>
        </w:rPr>
        <w:t xml:space="preserve">The PBAC </w:t>
      </w:r>
      <w:r w:rsidR="00541F1F">
        <w:rPr>
          <w:bCs/>
          <w:szCs w:val="22"/>
          <w:lang w:val="en-GB"/>
        </w:rPr>
        <w:t xml:space="preserve">agreed with ESC that dapagliflozin was the appropriate main comparator. </w:t>
      </w:r>
    </w:p>
    <w:p w:rsidR="004918B8" w:rsidRDefault="004918B8" w:rsidP="00804107">
      <w:pPr>
        <w:pStyle w:val="ListParagraph"/>
        <w:widowControl/>
        <w:rPr>
          <w:bCs/>
          <w:szCs w:val="22"/>
          <w:lang w:val="en-GB"/>
        </w:rPr>
      </w:pPr>
    </w:p>
    <w:p w:rsidR="00375F22" w:rsidRPr="004918B8" w:rsidRDefault="00C9377E" w:rsidP="00804107">
      <w:pPr>
        <w:widowControl/>
        <w:numPr>
          <w:ilvl w:val="1"/>
          <w:numId w:val="5"/>
        </w:numPr>
        <w:contextualSpacing/>
        <w:rPr>
          <w:bCs/>
          <w:szCs w:val="22"/>
          <w:lang w:val="en-GB"/>
        </w:rPr>
      </w:pPr>
      <w:r w:rsidRPr="00375F22">
        <w:rPr>
          <w:bCs/>
          <w:szCs w:val="22"/>
          <w:lang w:val="en-GB"/>
        </w:rPr>
        <w:t xml:space="preserve">The PBAC </w:t>
      </w:r>
      <w:r w:rsidRPr="00375F22">
        <w:rPr>
          <w:rFonts w:cs="Times New Roman"/>
          <w:szCs w:val="22"/>
          <w:lang w:eastAsia="en-AU"/>
        </w:rPr>
        <w:t>considered that saxagliptin has a different, but not worse, safety profile than dapagliflozin as measured by the occurrence of adverse events</w:t>
      </w:r>
      <w:r w:rsidR="00F44E34">
        <w:rPr>
          <w:rFonts w:cs="Times New Roman"/>
          <w:szCs w:val="22"/>
          <w:lang w:eastAsia="en-AU"/>
        </w:rPr>
        <w:t>,</w:t>
      </w:r>
      <w:r w:rsidRPr="00375F22">
        <w:rPr>
          <w:rFonts w:cs="Times New Roman"/>
          <w:szCs w:val="22"/>
          <w:lang w:eastAsia="en-AU"/>
        </w:rPr>
        <w:t xml:space="preserve"> significant adverse events and discontinuations due to adverse events. </w:t>
      </w:r>
    </w:p>
    <w:p w:rsidR="00CC2B67" w:rsidRDefault="00CC2B67" w:rsidP="00804107">
      <w:pPr>
        <w:pStyle w:val="ListParagraph"/>
        <w:widowControl/>
        <w:rPr>
          <w:rFonts w:cs="Times New Roman"/>
          <w:szCs w:val="22"/>
          <w:lang w:eastAsia="en-AU"/>
        </w:rPr>
      </w:pPr>
    </w:p>
    <w:p w:rsidR="00CC2B67" w:rsidRPr="004E4D44" w:rsidRDefault="00CC2B67" w:rsidP="00804107">
      <w:pPr>
        <w:widowControl/>
        <w:numPr>
          <w:ilvl w:val="1"/>
          <w:numId w:val="5"/>
        </w:numPr>
        <w:contextualSpacing/>
        <w:rPr>
          <w:rFonts w:cs="Times New Roman"/>
          <w:szCs w:val="22"/>
          <w:lang w:eastAsia="en-AU"/>
        </w:rPr>
      </w:pPr>
      <w:r>
        <w:rPr>
          <w:rFonts w:cs="Times New Roman"/>
          <w:szCs w:val="22"/>
          <w:lang w:eastAsia="en-AU"/>
        </w:rPr>
        <w:t xml:space="preserve">The PBAC noted that the PSCR claimed that </w:t>
      </w:r>
      <w:r w:rsidR="00422EE5">
        <w:rPr>
          <w:rFonts w:cs="Times New Roman"/>
          <w:szCs w:val="22"/>
          <w:lang w:eastAsia="en-AU"/>
        </w:rPr>
        <w:t xml:space="preserve">the </w:t>
      </w:r>
      <w:r w:rsidRPr="00CC2B67">
        <w:rPr>
          <w:rFonts w:cs="Times New Roman"/>
          <w:szCs w:val="22"/>
          <w:lang w:eastAsia="en-AU"/>
        </w:rPr>
        <w:t xml:space="preserve">objective of the </w:t>
      </w:r>
      <w:r>
        <w:rPr>
          <w:rFonts w:cs="Times New Roman"/>
          <w:szCs w:val="22"/>
          <w:lang w:eastAsia="en-AU"/>
        </w:rPr>
        <w:t>price proposed for this listing</w:t>
      </w:r>
      <w:r w:rsidRPr="00CC2B67">
        <w:rPr>
          <w:rFonts w:cs="Times New Roman"/>
          <w:szCs w:val="22"/>
          <w:lang w:eastAsia="en-AU"/>
        </w:rPr>
        <w:t xml:space="preserve"> is that the listing should be cost-neutral to Government health budgets</w:t>
      </w:r>
      <w:r>
        <w:rPr>
          <w:rFonts w:cs="Times New Roman"/>
          <w:szCs w:val="22"/>
          <w:lang w:eastAsia="en-AU"/>
        </w:rPr>
        <w:t>.</w:t>
      </w:r>
    </w:p>
    <w:p w:rsidR="00306816" w:rsidRPr="000D7864" w:rsidRDefault="00306816" w:rsidP="00804107">
      <w:pPr>
        <w:widowControl/>
        <w:contextualSpacing/>
        <w:rPr>
          <w:bCs/>
          <w:szCs w:val="22"/>
          <w:lang w:val="en-GB"/>
        </w:rPr>
      </w:pPr>
    </w:p>
    <w:p w:rsidR="004E4D44" w:rsidRPr="00CC2B67" w:rsidRDefault="004E4D44" w:rsidP="00804107">
      <w:pPr>
        <w:widowControl/>
        <w:numPr>
          <w:ilvl w:val="1"/>
          <w:numId w:val="5"/>
        </w:numPr>
        <w:contextualSpacing/>
        <w:rPr>
          <w:rFonts w:cs="Times New Roman"/>
          <w:szCs w:val="22"/>
          <w:lang w:eastAsia="en-AU"/>
        </w:rPr>
      </w:pPr>
      <w:r>
        <w:t>The PBAC advised the Minister that, under Section 101(3BA) of the National Health Act 1953, saxagliptin should be treated as interchangeable on an individual patient basis with sitagliptin for triple oral therapy for T2DM.</w:t>
      </w:r>
    </w:p>
    <w:p w:rsidR="004E4D44" w:rsidRDefault="004E4D44" w:rsidP="00804107">
      <w:pPr>
        <w:widowControl/>
        <w:contextualSpacing/>
        <w:rPr>
          <w:rFonts w:cs="Times New Roman"/>
          <w:szCs w:val="22"/>
          <w:lang w:eastAsia="en-AU"/>
        </w:rPr>
      </w:pPr>
    </w:p>
    <w:p w:rsidR="00C9377E" w:rsidRDefault="00C9377E" w:rsidP="00804107">
      <w:pPr>
        <w:pStyle w:val="ListParagraph"/>
        <w:widowControl/>
        <w:numPr>
          <w:ilvl w:val="1"/>
          <w:numId w:val="5"/>
        </w:numPr>
        <w:snapToGrid w:val="0"/>
        <w:rPr>
          <w:rFonts w:cs="Times New Roman"/>
          <w:szCs w:val="22"/>
          <w:lang w:eastAsia="en-AU"/>
        </w:rPr>
      </w:pPr>
      <w:r w:rsidRPr="00F906FE">
        <w:rPr>
          <w:rFonts w:cs="Times New Roman"/>
          <w:szCs w:val="22"/>
          <w:lang w:eastAsia="en-AU"/>
        </w:rPr>
        <w:t xml:space="preserve">The PBAC </w:t>
      </w:r>
      <w:r>
        <w:rPr>
          <w:rFonts w:cs="Times New Roman"/>
          <w:szCs w:val="22"/>
          <w:lang w:eastAsia="en-AU"/>
        </w:rPr>
        <w:t>advis</w:t>
      </w:r>
      <w:r w:rsidRPr="00F906FE">
        <w:rPr>
          <w:rFonts w:cs="Times New Roman"/>
          <w:szCs w:val="22"/>
          <w:lang w:eastAsia="en-AU"/>
        </w:rPr>
        <w:t>ed that the NOTE</w:t>
      </w:r>
      <w:r>
        <w:rPr>
          <w:rFonts w:cs="Times New Roman"/>
          <w:szCs w:val="22"/>
          <w:lang w:eastAsia="en-AU"/>
        </w:rPr>
        <w:t xml:space="preserve"> in the current restriction </w:t>
      </w:r>
      <w:r w:rsidR="00306816">
        <w:rPr>
          <w:rFonts w:cs="Times New Roman"/>
          <w:szCs w:val="22"/>
          <w:lang w:eastAsia="en-AU"/>
        </w:rPr>
        <w:t xml:space="preserve">of </w:t>
      </w:r>
      <w:r>
        <w:rPr>
          <w:rFonts w:cs="Times New Roman"/>
          <w:szCs w:val="22"/>
          <w:lang w:eastAsia="en-AU"/>
        </w:rPr>
        <w:t>s</w:t>
      </w:r>
      <w:r w:rsidR="00DB6DDC">
        <w:rPr>
          <w:rFonts w:cs="Times New Roman"/>
          <w:szCs w:val="22"/>
          <w:lang w:eastAsia="en-AU"/>
        </w:rPr>
        <w:t>axagliptin</w:t>
      </w:r>
      <w:r>
        <w:rPr>
          <w:rFonts w:cs="Times New Roman"/>
          <w:szCs w:val="22"/>
          <w:lang w:eastAsia="en-AU"/>
        </w:rPr>
        <w:t xml:space="preserve"> dual therapy will need to be amended to allow for triple oral combination therapy.</w:t>
      </w:r>
    </w:p>
    <w:p w:rsidR="00C9377E" w:rsidRPr="00534825" w:rsidRDefault="00C9377E" w:rsidP="00804107">
      <w:pPr>
        <w:widowControl/>
        <w:snapToGrid w:val="0"/>
        <w:rPr>
          <w:rFonts w:cs="Times New Roman"/>
          <w:szCs w:val="22"/>
          <w:lang w:eastAsia="en-AU"/>
        </w:rPr>
      </w:pPr>
    </w:p>
    <w:p w:rsidR="00C9377E" w:rsidRDefault="00C9377E" w:rsidP="00804107">
      <w:pPr>
        <w:pStyle w:val="ListParagraph"/>
        <w:widowControl/>
        <w:numPr>
          <w:ilvl w:val="1"/>
          <w:numId w:val="5"/>
        </w:numPr>
        <w:snapToGrid w:val="0"/>
        <w:rPr>
          <w:rFonts w:cs="Times New Roman"/>
          <w:szCs w:val="22"/>
          <w:lang w:eastAsia="en-AU"/>
        </w:rPr>
      </w:pPr>
      <w:r>
        <w:rPr>
          <w:rFonts w:cs="Times New Roman"/>
          <w:szCs w:val="22"/>
          <w:lang w:eastAsia="en-AU"/>
        </w:rPr>
        <w:t xml:space="preserve">The PBAC advised that </w:t>
      </w:r>
      <w:r w:rsidR="00DB6DDC">
        <w:rPr>
          <w:rFonts w:cs="Times New Roman"/>
          <w:szCs w:val="22"/>
          <w:lang w:eastAsia="en-AU"/>
        </w:rPr>
        <w:t>saxagliptin</w:t>
      </w:r>
      <w:r>
        <w:rPr>
          <w:rFonts w:cs="Times New Roman"/>
          <w:szCs w:val="22"/>
          <w:lang w:eastAsia="en-AU"/>
        </w:rPr>
        <w:t xml:space="preserve"> is suitable for prescribing by nurse practitioners within collaborative arrangements.</w:t>
      </w:r>
    </w:p>
    <w:p w:rsidR="00C9377E" w:rsidRPr="00534825" w:rsidRDefault="00C9377E" w:rsidP="00804107">
      <w:pPr>
        <w:widowControl/>
        <w:snapToGrid w:val="0"/>
        <w:rPr>
          <w:rFonts w:cs="Times New Roman"/>
          <w:szCs w:val="22"/>
          <w:lang w:eastAsia="en-AU"/>
        </w:rPr>
      </w:pPr>
    </w:p>
    <w:p w:rsidR="00C9377E" w:rsidRPr="007B445E" w:rsidRDefault="00C9377E" w:rsidP="00804107">
      <w:pPr>
        <w:widowControl/>
        <w:numPr>
          <w:ilvl w:val="1"/>
          <w:numId w:val="5"/>
        </w:numPr>
        <w:contextualSpacing/>
        <w:rPr>
          <w:bCs/>
          <w:szCs w:val="22"/>
          <w:lang w:val="en-GB"/>
        </w:rPr>
      </w:pPr>
      <w:r>
        <w:rPr>
          <w:bCs/>
          <w:szCs w:val="22"/>
          <w:lang w:val="en-GB"/>
        </w:rPr>
        <w:t xml:space="preserve">The </w:t>
      </w:r>
      <w:r>
        <w:rPr>
          <w:rFonts w:cs="Times New Roman"/>
          <w:szCs w:val="22"/>
          <w:lang w:eastAsia="en-AU"/>
        </w:rPr>
        <w:t>PBAC recommended that the Safety Net 20 Day Rule should apply.</w:t>
      </w:r>
    </w:p>
    <w:p w:rsidR="00DB6DDC" w:rsidRDefault="00DB6DDC" w:rsidP="00804107">
      <w:pPr>
        <w:widowControl/>
        <w:rPr>
          <w:szCs w:val="22"/>
          <w:lang w:val="en-GB"/>
        </w:rPr>
      </w:pPr>
    </w:p>
    <w:p w:rsidR="007E70F0" w:rsidRDefault="007E70F0" w:rsidP="00804107">
      <w:pPr>
        <w:widowControl/>
        <w:rPr>
          <w:szCs w:val="22"/>
          <w:lang w:val="en-GB"/>
        </w:rPr>
      </w:pPr>
    </w:p>
    <w:p w:rsidR="008F03CF" w:rsidRPr="00411DCE" w:rsidRDefault="008F03CF" w:rsidP="00804107">
      <w:pPr>
        <w:widowControl/>
        <w:rPr>
          <w:b/>
          <w:bCs/>
          <w:szCs w:val="22"/>
          <w:lang w:val="en-GB"/>
        </w:rPr>
      </w:pPr>
      <w:r w:rsidRPr="00411DCE">
        <w:rPr>
          <w:b/>
          <w:bCs/>
          <w:szCs w:val="22"/>
          <w:lang w:val="en-GB"/>
        </w:rPr>
        <w:t>Outcome:</w:t>
      </w:r>
    </w:p>
    <w:p w:rsidR="008F03CF" w:rsidRDefault="008F03CF" w:rsidP="00804107">
      <w:pPr>
        <w:widowControl/>
        <w:rPr>
          <w:bCs/>
          <w:szCs w:val="22"/>
          <w:lang w:val="en-GB"/>
        </w:rPr>
      </w:pPr>
      <w:r w:rsidRPr="00411DCE">
        <w:rPr>
          <w:bCs/>
          <w:szCs w:val="22"/>
          <w:lang w:val="en-GB"/>
        </w:rPr>
        <w:t>Recommended</w:t>
      </w:r>
    </w:p>
    <w:p w:rsidR="0030528A" w:rsidRPr="0030528A" w:rsidRDefault="0030528A" w:rsidP="00804107">
      <w:pPr>
        <w:widowControl/>
        <w:rPr>
          <w:bCs/>
          <w:szCs w:val="22"/>
          <w:lang w:val="en-GB"/>
        </w:rPr>
      </w:pPr>
    </w:p>
    <w:p w:rsidR="00963CCD" w:rsidRPr="007F6D9D" w:rsidRDefault="00963CCD" w:rsidP="00804107">
      <w:pPr>
        <w:widowControl/>
        <w:rPr>
          <w:bCs/>
          <w:szCs w:val="22"/>
          <w:highlight w:val="yellow"/>
        </w:rPr>
      </w:pPr>
    </w:p>
    <w:p w:rsidR="008F03CF" w:rsidRPr="004918B8" w:rsidRDefault="008F03CF" w:rsidP="00804107">
      <w:pPr>
        <w:widowControl/>
        <w:numPr>
          <w:ilvl w:val="0"/>
          <w:numId w:val="5"/>
        </w:numPr>
        <w:rPr>
          <w:b/>
          <w:bCs/>
          <w:i/>
          <w:szCs w:val="22"/>
          <w:lang w:val="en-GB"/>
        </w:rPr>
      </w:pPr>
      <w:r w:rsidRPr="004918B8">
        <w:rPr>
          <w:b/>
          <w:bCs/>
          <w:szCs w:val="22"/>
          <w:lang w:val="en-GB"/>
        </w:rPr>
        <w:t>Recommended listing</w:t>
      </w:r>
    </w:p>
    <w:p w:rsidR="008F03CF" w:rsidRPr="004918B8" w:rsidRDefault="008F03CF" w:rsidP="00804107">
      <w:pPr>
        <w:widowControl/>
        <w:rPr>
          <w:b/>
          <w:bCs/>
          <w:i/>
          <w:szCs w:val="22"/>
          <w:lang w:val="en-GB"/>
        </w:rPr>
      </w:pPr>
    </w:p>
    <w:p w:rsidR="008F03CF" w:rsidRPr="004918B8" w:rsidRDefault="00DB6DDC" w:rsidP="00804107">
      <w:pPr>
        <w:widowControl/>
        <w:numPr>
          <w:ilvl w:val="1"/>
          <w:numId w:val="5"/>
        </w:numPr>
        <w:contextualSpacing/>
        <w:rPr>
          <w:b/>
          <w:bCs/>
          <w:szCs w:val="22"/>
        </w:rPr>
      </w:pPr>
      <w:r w:rsidRPr="004918B8">
        <w:rPr>
          <w:bCs/>
          <w:szCs w:val="22"/>
        </w:rPr>
        <w:t>A</w:t>
      </w:r>
      <w:r w:rsidR="00282F27">
        <w:rPr>
          <w:bCs/>
          <w:szCs w:val="22"/>
        </w:rPr>
        <w:t>mend existing listing as follows:</w:t>
      </w:r>
      <w:r w:rsidRPr="004918B8">
        <w:rPr>
          <w:bCs/>
          <w:szCs w:val="22"/>
        </w:rPr>
        <w:t xml:space="preserve"> </w:t>
      </w:r>
    </w:p>
    <w:p w:rsidR="00477C3B" w:rsidRDefault="00477C3B" w:rsidP="00804107">
      <w:pPr>
        <w:widowControl/>
        <w:ind w:left="720"/>
        <w:contextualSpacing/>
        <w:rPr>
          <w:bCs/>
          <w:szCs w:val="22"/>
          <w:highlight w:val="yellow"/>
        </w:rPr>
      </w:pPr>
    </w:p>
    <w:tbl>
      <w:tblPr>
        <w:tblW w:w="8505" w:type="dxa"/>
        <w:tblInd w:w="817" w:type="dxa"/>
        <w:tblLayout w:type="fixed"/>
        <w:tblLook w:val="0000" w:firstRow="0" w:lastRow="0" w:firstColumn="0" w:lastColumn="0" w:noHBand="0" w:noVBand="0"/>
      </w:tblPr>
      <w:tblGrid>
        <w:gridCol w:w="2126"/>
        <w:gridCol w:w="1276"/>
        <w:gridCol w:w="567"/>
        <w:gridCol w:w="992"/>
        <w:gridCol w:w="567"/>
        <w:gridCol w:w="709"/>
        <w:gridCol w:w="1418"/>
        <w:gridCol w:w="850"/>
      </w:tblGrid>
      <w:tr w:rsidR="00477C3B" w:rsidRPr="00260CE3" w:rsidTr="0030528A">
        <w:trPr>
          <w:cantSplit/>
          <w:trHeight w:val="471"/>
        </w:trPr>
        <w:tc>
          <w:tcPr>
            <w:tcW w:w="3402" w:type="dxa"/>
            <w:gridSpan w:val="2"/>
            <w:tcBorders>
              <w:bottom w:val="single" w:sz="4" w:space="0" w:color="auto"/>
            </w:tcBorders>
          </w:tcPr>
          <w:p w:rsidR="00477C3B" w:rsidRPr="00260CE3" w:rsidRDefault="00477C3B" w:rsidP="00804107">
            <w:pPr>
              <w:keepNext/>
              <w:widowControl/>
              <w:ind w:left="-108"/>
              <w:rPr>
                <w:rFonts w:ascii="Arial Narrow" w:hAnsi="Arial Narrow"/>
                <w:sz w:val="20"/>
              </w:rPr>
            </w:pPr>
            <w:r w:rsidRPr="00260CE3">
              <w:rPr>
                <w:rFonts w:ascii="Arial Narrow" w:hAnsi="Arial Narrow"/>
                <w:sz w:val="20"/>
              </w:rPr>
              <w:t>Name, Restriction,</w:t>
            </w:r>
          </w:p>
          <w:p w:rsidR="00477C3B" w:rsidRPr="00260CE3" w:rsidRDefault="00477C3B" w:rsidP="00804107">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477C3B" w:rsidRPr="00260CE3" w:rsidRDefault="00477C3B" w:rsidP="00804107">
            <w:pPr>
              <w:keepNext/>
              <w:widowControl/>
              <w:ind w:left="-108"/>
              <w:rPr>
                <w:rFonts w:ascii="Arial Narrow" w:hAnsi="Arial Narrow"/>
                <w:sz w:val="20"/>
              </w:rPr>
            </w:pPr>
            <w:r w:rsidRPr="00260CE3">
              <w:rPr>
                <w:rFonts w:ascii="Arial Narrow" w:hAnsi="Arial Narrow"/>
                <w:sz w:val="20"/>
              </w:rPr>
              <w:t>Max.</w:t>
            </w:r>
          </w:p>
          <w:p w:rsidR="00477C3B" w:rsidRPr="00260CE3" w:rsidRDefault="00477C3B" w:rsidP="00804107">
            <w:pPr>
              <w:keepNext/>
              <w:widowControl/>
              <w:ind w:left="-108"/>
              <w:rPr>
                <w:rFonts w:ascii="Arial Narrow" w:hAnsi="Arial Narrow"/>
                <w:sz w:val="20"/>
              </w:rPr>
            </w:pPr>
            <w:r w:rsidRPr="00260CE3">
              <w:rPr>
                <w:rFonts w:ascii="Arial Narrow" w:hAnsi="Arial Narrow"/>
                <w:sz w:val="20"/>
              </w:rPr>
              <w:t>Qty</w:t>
            </w:r>
          </w:p>
        </w:tc>
        <w:tc>
          <w:tcPr>
            <w:tcW w:w="992" w:type="dxa"/>
            <w:tcBorders>
              <w:bottom w:val="single" w:sz="4" w:space="0" w:color="auto"/>
            </w:tcBorders>
          </w:tcPr>
          <w:p w:rsidR="00477C3B" w:rsidRPr="00260CE3" w:rsidRDefault="00477C3B" w:rsidP="00804107">
            <w:pPr>
              <w:keepNext/>
              <w:widowControl/>
              <w:ind w:left="-108"/>
              <w:rPr>
                <w:rFonts w:ascii="Arial Narrow" w:hAnsi="Arial Narrow"/>
                <w:sz w:val="20"/>
              </w:rPr>
            </w:pPr>
            <w:r w:rsidRPr="00260CE3">
              <w:rPr>
                <w:rFonts w:ascii="Arial Narrow" w:hAnsi="Arial Narrow"/>
                <w:sz w:val="20"/>
              </w:rPr>
              <w:t>№.of</w:t>
            </w:r>
          </w:p>
          <w:p w:rsidR="00477C3B" w:rsidRPr="00260CE3" w:rsidRDefault="00477C3B" w:rsidP="00804107">
            <w:pPr>
              <w:keepNext/>
              <w:widowControl/>
              <w:ind w:left="-108"/>
              <w:rPr>
                <w:rFonts w:ascii="Arial Narrow" w:hAnsi="Arial Narrow"/>
                <w:sz w:val="20"/>
              </w:rPr>
            </w:pPr>
            <w:r w:rsidRPr="00260CE3">
              <w:rPr>
                <w:rFonts w:ascii="Arial Narrow" w:hAnsi="Arial Narrow"/>
                <w:sz w:val="20"/>
              </w:rPr>
              <w:t>Rpts</w:t>
            </w:r>
          </w:p>
        </w:tc>
        <w:tc>
          <w:tcPr>
            <w:tcW w:w="567" w:type="dxa"/>
            <w:tcBorders>
              <w:bottom w:val="single" w:sz="4" w:space="0" w:color="auto"/>
            </w:tcBorders>
          </w:tcPr>
          <w:p w:rsidR="00477C3B" w:rsidRPr="00260CE3" w:rsidRDefault="00477C3B" w:rsidP="00804107">
            <w:pPr>
              <w:keepNext/>
              <w:widowControl/>
              <w:ind w:left="-108"/>
              <w:rPr>
                <w:rFonts w:ascii="Arial Narrow" w:hAnsi="Arial Narrow"/>
                <w:sz w:val="20"/>
              </w:rPr>
            </w:pPr>
          </w:p>
        </w:tc>
        <w:tc>
          <w:tcPr>
            <w:tcW w:w="2977" w:type="dxa"/>
            <w:gridSpan w:val="3"/>
            <w:tcBorders>
              <w:bottom w:val="single" w:sz="4" w:space="0" w:color="auto"/>
            </w:tcBorders>
          </w:tcPr>
          <w:p w:rsidR="00477C3B" w:rsidRPr="00260CE3" w:rsidRDefault="00477C3B" w:rsidP="00804107">
            <w:pPr>
              <w:keepNext/>
              <w:widowControl/>
              <w:rPr>
                <w:rFonts w:ascii="Arial Narrow" w:hAnsi="Arial Narrow"/>
                <w:sz w:val="20"/>
                <w:lang w:val="fr-FR"/>
              </w:rPr>
            </w:pPr>
            <w:r w:rsidRPr="00260CE3">
              <w:rPr>
                <w:rFonts w:ascii="Arial Narrow" w:hAnsi="Arial Narrow"/>
                <w:sz w:val="20"/>
              </w:rPr>
              <w:t>Proprietary Name and Manufacturer</w:t>
            </w:r>
          </w:p>
        </w:tc>
      </w:tr>
      <w:tr w:rsidR="00477C3B" w:rsidRPr="00260CE3" w:rsidTr="0030528A">
        <w:trPr>
          <w:cantSplit/>
        </w:trPr>
        <w:tc>
          <w:tcPr>
            <w:tcW w:w="3402" w:type="dxa"/>
            <w:gridSpan w:val="2"/>
          </w:tcPr>
          <w:p w:rsidR="00477C3B" w:rsidRPr="00A72D21" w:rsidRDefault="00477C3B" w:rsidP="00804107">
            <w:pPr>
              <w:keepNext/>
              <w:widowControl/>
              <w:ind w:left="-108"/>
              <w:rPr>
                <w:rFonts w:ascii="Arial Narrow" w:hAnsi="Arial Narrow"/>
                <w:sz w:val="20"/>
              </w:rPr>
            </w:pPr>
            <w:r w:rsidRPr="00A72D21">
              <w:rPr>
                <w:rFonts w:ascii="Arial Narrow" w:hAnsi="Arial Narrow"/>
                <w:sz w:val="20"/>
              </w:rPr>
              <w:t>SAXAGLIPTIN</w:t>
            </w:r>
          </w:p>
          <w:p w:rsidR="00477C3B" w:rsidRDefault="00477C3B" w:rsidP="00804107">
            <w:pPr>
              <w:keepNext/>
              <w:widowControl/>
              <w:ind w:left="-108"/>
              <w:rPr>
                <w:rFonts w:ascii="Arial Narrow" w:hAnsi="Arial Narrow"/>
                <w:sz w:val="20"/>
              </w:rPr>
            </w:pPr>
            <w:r>
              <w:rPr>
                <w:rFonts w:ascii="Arial Narrow" w:hAnsi="Arial Narrow"/>
                <w:sz w:val="20"/>
              </w:rPr>
              <w:t>saxagliptin 5mg tablet, 28</w:t>
            </w:r>
          </w:p>
          <w:p w:rsidR="00477C3B" w:rsidRPr="00260CE3" w:rsidRDefault="00477C3B" w:rsidP="00804107">
            <w:pPr>
              <w:keepNext/>
              <w:widowControl/>
              <w:ind w:left="-108"/>
              <w:rPr>
                <w:rFonts w:ascii="Arial Narrow" w:hAnsi="Arial Narrow"/>
                <w:sz w:val="20"/>
              </w:rPr>
            </w:pPr>
            <w:r>
              <w:rPr>
                <w:rFonts w:ascii="Arial Narrow" w:hAnsi="Arial Narrow"/>
                <w:sz w:val="20"/>
              </w:rPr>
              <w:t xml:space="preserve">saxagliptin 2.5mg </w:t>
            </w:r>
            <w:r w:rsidRPr="00332418">
              <w:rPr>
                <w:rFonts w:ascii="Arial Narrow" w:hAnsi="Arial Narrow"/>
                <w:sz w:val="20"/>
              </w:rPr>
              <w:t>tablet</w:t>
            </w:r>
            <w:r>
              <w:rPr>
                <w:rFonts w:ascii="Arial Narrow" w:hAnsi="Arial Narrow"/>
                <w:sz w:val="20"/>
              </w:rPr>
              <w:t>, 28</w:t>
            </w:r>
          </w:p>
        </w:tc>
        <w:tc>
          <w:tcPr>
            <w:tcW w:w="567" w:type="dxa"/>
          </w:tcPr>
          <w:p w:rsidR="00477C3B" w:rsidRPr="00260CE3" w:rsidRDefault="00477C3B" w:rsidP="00804107">
            <w:pPr>
              <w:keepNext/>
              <w:widowControl/>
              <w:ind w:left="-108"/>
              <w:rPr>
                <w:rFonts w:ascii="Arial Narrow" w:hAnsi="Arial Narrow"/>
                <w:sz w:val="20"/>
              </w:rPr>
            </w:pPr>
          </w:p>
          <w:p w:rsidR="00477C3B" w:rsidRDefault="00477C3B" w:rsidP="00804107">
            <w:pPr>
              <w:keepNext/>
              <w:widowControl/>
              <w:ind w:left="-108"/>
              <w:rPr>
                <w:rFonts w:ascii="Arial Narrow" w:hAnsi="Arial Narrow"/>
                <w:sz w:val="20"/>
              </w:rPr>
            </w:pPr>
            <w:r>
              <w:rPr>
                <w:rFonts w:ascii="Arial Narrow" w:hAnsi="Arial Narrow"/>
                <w:sz w:val="20"/>
              </w:rPr>
              <w:t>1</w:t>
            </w:r>
          </w:p>
          <w:p w:rsidR="00477C3B" w:rsidRPr="00260CE3" w:rsidRDefault="00477C3B" w:rsidP="00804107">
            <w:pPr>
              <w:keepNext/>
              <w:widowControl/>
              <w:ind w:left="-108"/>
              <w:rPr>
                <w:rFonts w:ascii="Arial Narrow" w:hAnsi="Arial Narrow"/>
                <w:sz w:val="20"/>
              </w:rPr>
            </w:pPr>
            <w:r>
              <w:rPr>
                <w:rFonts w:ascii="Arial Narrow" w:hAnsi="Arial Narrow"/>
                <w:sz w:val="20"/>
              </w:rPr>
              <w:t>1</w:t>
            </w:r>
          </w:p>
        </w:tc>
        <w:tc>
          <w:tcPr>
            <w:tcW w:w="992" w:type="dxa"/>
          </w:tcPr>
          <w:p w:rsidR="00477C3B" w:rsidRPr="00260CE3" w:rsidRDefault="00477C3B" w:rsidP="00804107">
            <w:pPr>
              <w:keepNext/>
              <w:widowControl/>
              <w:ind w:left="-108"/>
              <w:rPr>
                <w:rFonts w:ascii="Arial Narrow" w:hAnsi="Arial Narrow"/>
                <w:sz w:val="20"/>
              </w:rPr>
            </w:pPr>
          </w:p>
          <w:p w:rsidR="00477C3B" w:rsidRDefault="00477C3B" w:rsidP="00804107">
            <w:pPr>
              <w:keepNext/>
              <w:widowControl/>
              <w:ind w:left="-108"/>
              <w:rPr>
                <w:rFonts w:ascii="Arial Narrow" w:hAnsi="Arial Narrow"/>
                <w:sz w:val="20"/>
              </w:rPr>
            </w:pPr>
            <w:r>
              <w:rPr>
                <w:rFonts w:ascii="Arial Narrow" w:hAnsi="Arial Narrow"/>
                <w:sz w:val="20"/>
              </w:rPr>
              <w:t>5</w:t>
            </w:r>
          </w:p>
          <w:p w:rsidR="00477C3B" w:rsidRPr="00260CE3" w:rsidRDefault="00477C3B" w:rsidP="00804107">
            <w:pPr>
              <w:keepNext/>
              <w:widowControl/>
              <w:ind w:left="-108"/>
              <w:rPr>
                <w:rFonts w:ascii="Arial Narrow" w:hAnsi="Arial Narrow"/>
                <w:sz w:val="20"/>
              </w:rPr>
            </w:pPr>
            <w:r>
              <w:rPr>
                <w:rFonts w:ascii="Arial Narrow" w:hAnsi="Arial Narrow"/>
                <w:sz w:val="20"/>
              </w:rPr>
              <w:t>5</w:t>
            </w:r>
          </w:p>
        </w:tc>
        <w:tc>
          <w:tcPr>
            <w:tcW w:w="1276" w:type="dxa"/>
            <w:gridSpan w:val="2"/>
          </w:tcPr>
          <w:p w:rsidR="00477C3B" w:rsidRPr="00260CE3" w:rsidRDefault="00477C3B" w:rsidP="00804107">
            <w:pPr>
              <w:keepNext/>
              <w:widowControl/>
              <w:ind w:left="-108"/>
              <w:rPr>
                <w:rFonts w:ascii="Arial Narrow" w:hAnsi="Arial Narrow"/>
                <w:sz w:val="20"/>
              </w:rPr>
            </w:pPr>
          </w:p>
          <w:p w:rsidR="00477C3B" w:rsidRPr="00260CE3" w:rsidRDefault="00477C3B" w:rsidP="00804107">
            <w:pPr>
              <w:keepNext/>
              <w:widowControl/>
              <w:ind w:left="-108"/>
              <w:rPr>
                <w:rFonts w:ascii="Arial Narrow" w:hAnsi="Arial Narrow"/>
                <w:sz w:val="20"/>
              </w:rPr>
            </w:pPr>
          </w:p>
        </w:tc>
        <w:tc>
          <w:tcPr>
            <w:tcW w:w="1418" w:type="dxa"/>
          </w:tcPr>
          <w:p w:rsidR="00477C3B" w:rsidRDefault="00477C3B" w:rsidP="00804107">
            <w:pPr>
              <w:keepNext/>
              <w:widowControl/>
              <w:rPr>
                <w:rFonts w:ascii="Arial Narrow" w:hAnsi="Arial Narrow"/>
                <w:sz w:val="20"/>
              </w:rPr>
            </w:pPr>
            <w:r>
              <w:rPr>
                <w:rFonts w:ascii="Arial Narrow" w:hAnsi="Arial Narrow"/>
                <w:sz w:val="20"/>
              </w:rPr>
              <w:t>Onglyza</w:t>
            </w:r>
            <w:r w:rsidRPr="005E26D6">
              <w:rPr>
                <w:rFonts w:ascii="Arial Narrow" w:hAnsi="Arial Narrow"/>
                <w:sz w:val="20"/>
                <w:vertAlign w:val="superscript"/>
              </w:rPr>
              <w:t>®</w:t>
            </w:r>
          </w:p>
          <w:p w:rsidR="00477C3B" w:rsidRDefault="00477C3B" w:rsidP="00804107">
            <w:pPr>
              <w:keepNext/>
              <w:widowControl/>
              <w:rPr>
                <w:rFonts w:ascii="Arial Narrow" w:hAnsi="Arial Narrow"/>
                <w:sz w:val="20"/>
              </w:rPr>
            </w:pPr>
          </w:p>
          <w:p w:rsidR="00477C3B" w:rsidRPr="00260CE3" w:rsidRDefault="00477C3B" w:rsidP="00804107">
            <w:pPr>
              <w:keepNext/>
              <w:widowControl/>
              <w:rPr>
                <w:rFonts w:ascii="Arial Narrow" w:hAnsi="Arial Narrow"/>
                <w:sz w:val="20"/>
              </w:rPr>
            </w:pPr>
          </w:p>
        </w:tc>
        <w:tc>
          <w:tcPr>
            <w:tcW w:w="850" w:type="dxa"/>
          </w:tcPr>
          <w:p w:rsidR="00477C3B" w:rsidRDefault="00477C3B" w:rsidP="00804107">
            <w:pPr>
              <w:keepNext/>
              <w:widowControl/>
              <w:rPr>
                <w:rFonts w:ascii="Arial Narrow" w:hAnsi="Arial Narrow"/>
                <w:sz w:val="20"/>
              </w:rPr>
            </w:pPr>
            <w:r>
              <w:rPr>
                <w:rFonts w:ascii="Arial Narrow" w:hAnsi="Arial Narrow"/>
                <w:sz w:val="20"/>
              </w:rPr>
              <w:t>AZ</w:t>
            </w:r>
          </w:p>
          <w:p w:rsidR="00477C3B" w:rsidRPr="00260CE3" w:rsidRDefault="00477C3B" w:rsidP="00804107">
            <w:pPr>
              <w:keepNext/>
              <w:widowControl/>
              <w:rPr>
                <w:rFonts w:ascii="Arial Narrow" w:hAnsi="Arial Narrow"/>
                <w:sz w:val="20"/>
              </w:rPr>
            </w:pPr>
          </w:p>
        </w:tc>
      </w:tr>
      <w:tr w:rsidR="00477C3B" w:rsidRPr="00260CE3" w:rsidTr="00477C3B">
        <w:trPr>
          <w:cantSplit/>
        </w:trPr>
        <w:tc>
          <w:tcPr>
            <w:tcW w:w="2126" w:type="dxa"/>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b/>
                <w:sz w:val="20"/>
              </w:rPr>
            </w:pPr>
            <w:r w:rsidRPr="00260CE3">
              <w:rPr>
                <w:rFonts w:ascii="Arial Narrow" w:hAnsi="Arial Narrow"/>
                <w:b/>
                <w:sz w:val="20"/>
              </w:rPr>
              <w:t>Category / Program</w:t>
            </w:r>
          </w:p>
        </w:tc>
        <w:tc>
          <w:tcPr>
            <w:tcW w:w="6379" w:type="dxa"/>
            <w:gridSpan w:val="7"/>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sz w:val="20"/>
              </w:rPr>
            </w:pPr>
            <w:r w:rsidRPr="00260CE3">
              <w:rPr>
                <w:rFonts w:ascii="Arial Narrow" w:hAnsi="Arial Narrow"/>
                <w:sz w:val="20"/>
              </w:rPr>
              <w:t>GENERAL – General Schedule (Code GE)</w:t>
            </w:r>
          </w:p>
        </w:tc>
      </w:tr>
      <w:tr w:rsidR="00477C3B" w:rsidRPr="00260CE3" w:rsidTr="00477C3B">
        <w:trPr>
          <w:cantSplit/>
        </w:trPr>
        <w:tc>
          <w:tcPr>
            <w:tcW w:w="2126" w:type="dxa"/>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b/>
                <w:sz w:val="20"/>
              </w:rPr>
            </w:pPr>
            <w:r w:rsidRPr="00260CE3">
              <w:rPr>
                <w:rFonts w:ascii="Arial Narrow" w:hAnsi="Arial Narrow"/>
                <w:b/>
                <w:sz w:val="20"/>
              </w:rPr>
              <w:t>Prescriber type</w:t>
            </w:r>
            <w:r>
              <w:rPr>
                <w:rFonts w:ascii="Arial Narrow" w:hAnsi="Arial Narrow"/>
                <w:b/>
                <w:sz w:val="20"/>
              </w:rPr>
              <w:t>:</w:t>
            </w:r>
          </w:p>
        </w:tc>
        <w:tc>
          <w:tcPr>
            <w:tcW w:w="6379" w:type="dxa"/>
            <w:gridSpan w:val="7"/>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sz w:val="20"/>
              </w:rPr>
            </w:pPr>
            <w:r w:rsidRPr="00D72941">
              <w:rPr>
                <w:rFonts w:ascii="Arial Narrow" w:hAnsi="Arial Narrow"/>
                <w:sz w:val="20"/>
              </w:rPr>
              <w:fldChar w:fldCharType="begin">
                <w:ffData>
                  <w:name w:val=""/>
                  <w:enabled/>
                  <w:calcOnExit w:val="0"/>
                  <w:checkBox>
                    <w:sizeAuto/>
                    <w:default w:val="1"/>
                  </w:checkBox>
                </w:ffData>
              </w:fldChar>
            </w:r>
            <w:r w:rsidRPr="00D72941">
              <w:rPr>
                <w:rFonts w:ascii="Arial Narrow" w:hAnsi="Arial Narrow"/>
                <w:sz w:val="20"/>
              </w:rPr>
              <w:instrText xml:space="preserve"> FORMCHECKBOX </w:instrText>
            </w:r>
            <w:r w:rsidR="002B6A1F">
              <w:rPr>
                <w:rFonts w:ascii="Arial Narrow" w:hAnsi="Arial Narrow"/>
                <w:sz w:val="20"/>
              </w:rPr>
            </w:r>
            <w:r w:rsidR="002B6A1F">
              <w:rPr>
                <w:rFonts w:ascii="Arial Narrow" w:hAnsi="Arial Narrow"/>
                <w:sz w:val="20"/>
              </w:rPr>
              <w:fldChar w:fldCharType="separate"/>
            </w:r>
            <w:r w:rsidRPr="00D72941">
              <w:rPr>
                <w:rFonts w:ascii="Arial Narrow" w:hAnsi="Arial Narrow"/>
                <w:sz w:val="20"/>
              </w:rPr>
              <w:fldChar w:fldCharType="end"/>
            </w:r>
            <w:r w:rsidRPr="00D72941">
              <w:rPr>
                <w:rFonts w:ascii="Arial Narrow" w:hAnsi="Arial Narrow"/>
                <w:sz w:val="20"/>
              </w:rPr>
              <w:t xml:space="preserve">Medical Practitioners  </w:t>
            </w:r>
            <w:r w:rsidRPr="00D72941">
              <w:rPr>
                <w:rFonts w:ascii="Arial Narrow" w:hAnsi="Arial Narrow"/>
                <w:sz w:val="20"/>
              </w:rPr>
              <w:fldChar w:fldCharType="begin">
                <w:ffData>
                  <w:name w:val="Check3"/>
                  <w:enabled/>
                  <w:calcOnExit w:val="0"/>
                  <w:checkBox>
                    <w:sizeAuto/>
                    <w:default w:val="1"/>
                  </w:checkBox>
                </w:ffData>
              </w:fldChar>
            </w:r>
            <w:r w:rsidRPr="00D72941">
              <w:rPr>
                <w:rFonts w:ascii="Arial Narrow" w:hAnsi="Arial Narrow"/>
                <w:sz w:val="20"/>
              </w:rPr>
              <w:instrText xml:space="preserve"> FORMCHECKBOX </w:instrText>
            </w:r>
            <w:r w:rsidR="002B6A1F">
              <w:rPr>
                <w:rFonts w:ascii="Arial Narrow" w:hAnsi="Arial Narrow"/>
                <w:sz w:val="20"/>
              </w:rPr>
            </w:r>
            <w:r w:rsidR="002B6A1F">
              <w:rPr>
                <w:rFonts w:ascii="Arial Narrow" w:hAnsi="Arial Narrow"/>
                <w:sz w:val="20"/>
              </w:rPr>
              <w:fldChar w:fldCharType="separate"/>
            </w:r>
            <w:r w:rsidRPr="00D72941">
              <w:rPr>
                <w:rFonts w:ascii="Arial Narrow" w:hAnsi="Arial Narrow"/>
                <w:sz w:val="20"/>
              </w:rPr>
              <w:fldChar w:fldCharType="end"/>
            </w:r>
            <w:r w:rsidRPr="00D72941">
              <w:rPr>
                <w:rFonts w:ascii="Arial Narrow" w:hAnsi="Arial Narrow"/>
                <w:sz w:val="20"/>
              </w:rPr>
              <w:t xml:space="preserve">Nurse practitioners  </w:t>
            </w:r>
          </w:p>
        </w:tc>
      </w:tr>
      <w:tr w:rsidR="00477C3B" w:rsidRPr="00260CE3" w:rsidTr="00477C3B">
        <w:trPr>
          <w:cantSplit/>
        </w:trPr>
        <w:tc>
          <w:tcPr>
            <w:tcW w:w="2126" w:type="dxa"/>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b/>
                <w:sz w:val="20"/>
              </w:rPr>
            </w:pPr>
            <w:r w:rsidRPr="00260CE3">
              <w:rPr>
                <w:rFonts w:ascii="Arial Narrow" w:hAnsi="Arial Narrow"/>
                <w:b/>
                <w:sz w:val="20"/>
              </w:rPr>
              <w:t>PBS Indication:</w:t>
            </w:r>
          </w:p>
        </w:tc>
        <w:tc>
          <w:tcPr>
            <w:tcW w:w="6379" w:type="dxa"/>
            <w:gridSpan w:val="7"/>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sz w:val="20"/>
              </w:rPr>
            </w:pPr>
            <w:r w:rsidRPr="00626736">
              <w:rPr>
                <w:rFonts w:ascii="Arial Narrow" w:hAnsi="Arial Narrow"/>
                <w:sz w:val="20"/>
              </w:rPr>
              <w:t xml:space="preserve">Diabetes mellitus type </w:t>
            </w:r>
            <w:r>
              <w:rPr>
                <w:rFonts w:ascii="Arial Narrow" w:hAnsi="Arial Narrow"/>
                <w:sz w:val="20"/>
              </w:rPr>
              <w:t>2</w:t>
            </w:r>
          </w:p>
        </w:tc>
      </w:tr>
      <w:tr w:rsidR="00477C3B" w:rsidRPr="00260CE3" w:rsidTr="00477C3B">
        <w:trPr>
          <w:cantSplit/>
        </w:trPr>
        <w:tc>
          <w:tcPr>
            <w:tcW w:w="2126" w:type="dxa"/>
            <w:tcBorders>
              <w:top w:val="single" w:sz="4" w:space="0" w:color="auto"/>
              <w:left w:val="single" w:sz="4" w:space="0" w:color="auto"/>
              <w:bottom w:val="single" w:sz="4" w:space="0" w:color="auto"/>
              <w:right w:val="single" w:sz="4" w:space="0" w:color="auto"/>
            </w:tcBorders>
          </w:tcPr>
          <w:p w:rsidR="00477C3B" w:rsidRPr="003E2182" w:rsidRDefault="00477C3B" w:rsidP="00804107">
            <w:pPr>
              <w:widowControl/>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379" w:type="dxa"/>
            <w:gridSpan w:val="7"/>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sz w:val="20"/>
              </w:rPr>
            </w:pPr>
            <w:r>
              <w:rPr>
                <w:rFonts w:ascii="Arial Narrow" w:hAnsi="Arial Narrow"/>
                <w:sz w:val="20"/>
              </w:rPr>
              <w:t>Authority required (Streamlined)</w:t>
            </w:r>
          </w:p>
        </w:tc>
      </w:tr>
      <w:tr w:rsidR="00477C3B" w:rsidRPr="00320096" w:rsidTr="00477C3B">
        <w:trPr>
          <w:cantSplit/>
          <w:trHeight w:val="360"/>
        </w:trPr>
        <w:tc>
          <w:tcPr>
            <w:tcW w:w="2126" w:type="dxa"/>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b/>
                <w:sz w:val="20"/>
              </w:rPr>
            </w:pPr>
            <w:r w:rsidRPr="00260CE3">
              <w:rPr>
                <w:rFonts w:ascii="Arial Narrow" w:hAnsi="Arial Narrow"/>
                <w:b/>
                <w:sz w:val="20"/>
              </w:rPr>
              <w:t>Clinical criteria:</w:t>
            </w:r>
          </w:p>
          <w:p w:rsidR="00477C3B" w:rsidRPr="00260CE3" w:rsidRDefault="00477C3B" w:rsidP="00804107">
            <w:pPr>
              <w:widowControl/>
              <w:rPr>
                <w:rFonts w:ascii="Arial Narrow" w:hAnsi="Arial Narrow"/>
                <w:i/>
                <w:sz w:val="20"/>
              </w:rPr>
            </w:pPr>
          </w:p>
          <w:p w:rsidR="00477C3B" w:rsidRPr="00260CE3" w:rsidRDefault="00477C3B" w:rsidP="00804107">
            <w:pPr>
              <w:widowControl/>
              <w:rPr>
                <w:rFonts w:ascii="Arial Narrow" w:hAnsi="Arial Narrow"/>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477C3B" w:rsidRPr="00D72941" w:rsidRDefault="00477C3B" w:rsidP="00804107">
            <w:pPr>
              <w:pStyle w:val="TableText1"/>
              <w:spacing w:line="276" w:lineRule="auto"/>
              <w:rPr>
                <w:rFonts w:ascii="Arial Narrow" w:hAnsi="Arial Narrow"/>
              </w:rPr>
            </w:pPr>
            <w:r w:rsidRPr="00D72941">
              <w:rPr>
                <w:rFonts w:ascii="Arial Narrow" w:hAnsi="Arial Narrow"/>
              </w:rPr>
              <w:t xml:space="preserve">The treatment must be in combination with metformin, </w:t>
            </w:r>
          </w:p>
          <w:p w:rsidR="00477C3B" w:rsidRPr="00D72941" w:rsidRDefault="00477C3B" w:rsidP="00804107">
            <w:pPr>
              <w:pStyle w:val="TableText1"/>
              <w:spacing w:line="276" w:lineRule="auto"/>
              <w:rPr>
                <w:rFonts w:ascii="Arial Narrow" w:hAnsi="Arial Narrow"/>
              </w:rPr>
            </w:pPr>
            <w:r w:rsidRPr="00D72941">
              <w:rPr>
                <w:rFonts w:ascii="Arial Narrow" w:hAnsi="Arial Narrow"/>
              </w:rPr>
              <w:t>AND</w:t>
            </w:r>
          </w:p>
          <w:p w:rsidR="00477C3B" w:rsidRPr="00D72941" w:rsidRDefault="00477C3B" w:rsidP="00804107">
            <w:pPr>
              <w:pStyle w:val="TableText1"/>
              <w:spacing w:line="276" w:lineRule="auto"/>
              <w:rPr>
                <w:rFonts w:ascii="Arial Narrow" w:hAnsi="Arial Narrow"/>
              </w:rPr>
            </w:pPr>
            <w:r w:rsidRPr="00D72941">
              <w:rPr>
                <w:rFonts w:ascii="Arial Narrow" w:hAnsi="Arial Narrow"/>
              </w:rPr>
              <w:t>The treatment must be in combination with a sulfonylurea</w:t>
            </w:r>
          </w:p>
          <w:p w:rsidR="00477C3B" w:rsidRPr="00D72941" w:rsidRDefault="00477C3B" w:rsidP="00804107">
            <w:pPr>
              <w:pStyle w:val="TableText1"/>
              <w:spacing w:line="276" w:lineRule="auto"/>
              <w:rPr>
                <w:rFonts w:ascii="Arial Narrow" w:hAnsi="Arial Narrow"/>
              </w:rPr>
            </w:pPr>
            <w:r w:rsidRPr="00D72941">
              <w:rPr>
                <w:rFonts w:ascii="Arial Narrow" w:hAnsi="Arial Narrow"/>
              </w:rPr>
              <w:t>AND</w:t>
            </w:r>
          </w:p>
          <w:p w:rsidR="00F44E34" w:rsidRDefault="00477C3B" w:rsidP="00804107">
            <w:pPr>
              <w:pStyle w:val="TableText1"/>
              <w:spacing w:line="276" w:lineRule="auto"/>
              <w:rPr>
                <w:rFonts w:ascii="Arial Narrow" w:hAnsi="Arial Narrow"/>
              </w:rPr>
            </w:pPr>
            <w:r w:rsidRPr="00D72941">
              <w:rPr>
                <w:rFonts w:ascii="Arial Narrow" w:hAnsi="Arial Narrow"/>
              </w:rPr>
              <w:t>Patient must have, or have had, a HbA1c measurement greater than 7% prior to the initiation of a dipeptidyl peptidase 4 inhibitor (gliptin), a thiazolidinedione (glitazone), a glucagon-like peptide-1 or a sodium-glucose co-transporter 2 (SGLT2) inhibitor despite treatment with</w:t>
            </w:r>
            <w:r w:rsidR="00BD3363" w:rsidRPr="008F6B03">
              <w:rPr>
                <w:rFonts w:ascii="Arial Narrow" w:hAnsi="Arial Narrow"/>
              </w:rPr>
              <w:t xml:space="preserve"> </w:t>
            </w:r>
            <w:r w:rsidR="00BD3363" w:rsidRPr="004E4D44">
              <w:rPr>
                <w:rFonts w:ascii="Arial Narrow" w:hAnsi="Arial Narrow"/>
              </w:rPr>
              <w:t xml:space="preserve">either metformin </w:t>
            </w:r>
            <w:r w:rsidR="002D6D3A">
              <w:rPr>
                <w:rFonts w:ascii="Arial Narrow" w:hAnsi="Arial Narrow"/>
              </w:rPr>
              <w:t>and</w:t>
            </w:r>
            <w:r w:rsidR="002D6D3A" w:rsidRPr="004E4D44">
              <w:rPr>
                <w:rFonts w:ascii="Arial Narrow" w:hAnsi="Arial Narrow"/>
              </w:rPr>
              <w:t xml:space="preserve"> </w:t>
            </w:r>
            <w:r w:rsidR="00BD3363" w:rsidRPr="004E4D44">
              <w:rPr>
                <w:rFonts w:ascii="Arial Narrow" w:hAnsi="Arial Narrow"/>
              </w:rPr>
              <w:t>a sulfonylurea</w:t>
            </w:r>
            <w:r w:rsidR="002D6D3A">
              <w:rPr>
                <w:rFonts w:ascii="Arial Narrow" w:hAnsi="Arial Narrow"/>
              </w:rPr>
              <w:t>,</w:t>
            </w:r>
            <w:r w:rsidR="00BD3363" w:rsidRPr="004E4D44">
              <w:rPr>
                <w:rFonts w:ascii="Arial Narrow" w:hAnsi="Arial Narrow"/>
              </w:rPr>
              <w:t xml:space="preserve"> or metformin and this drug</w:t>
            </w:r>
            <w:r w:rsidR="002D6D3A">
              <w:rPr>
                <w:rFonts w:ascii="Arial Narrow" w:hAnsi="Arial Narrow"/>
              </w:rPr>
              <w:t>,</w:t>
            </w:r>
            <w:r w:rsidR="00BD3363" w:rsidRPr="004E4D44">
              <w:rPr>
                <w:rFonts w:ascii="Arial Narrow" w:hAnsi="Arial Narrow"/>
              </w:rPr>
              <w:t xml:space="preserve"> or a sulfonylurea and this drug</w:t>
            </w:r>
            <w:r w:rsidRPr="004E4D44">
              <w:rPr>
                <w:rFonts w:ascii="Arial Narrow" w:hAnsi="Arial Narrow"/>
              </w:rPr>
              <w:t xml:space="preserve">; </w:t>
            </w:r>
          </w:p>
          <w:p w:rsidR="00477C3B" w:rsidRPr="004E4D44" w:rsidRDefault="00477C3B" w:rsidP="00804107">
            <w:pPr>
              <w:pStyle w:val="TableText1"/>
              <w:spacing w:line="276" w:lineRule="auto"/>
              <w:rPr>
                <w:rFonts w:ascii="Arial Narrow" w:hAnsi="Arial Narrow"/>
              </w:rPr>
            </w:pPr>
            <w:r w:rsidRPr="004E4D44">
              <w:rPr>
                <w:rFonts w:ascii="Arial Narrow" w:hAnsi="Arial Narrow"/>
              </w:rPr>
              <w:t xml:space="preserve">OR </w:t>
            </w:r>
          </w:p>
          <w:p w:rsidR="00477C3B" w:rsidRPr="00320096" w:rsidRDefault="00477C3B" w:rsidP="00804107">
            <w:pPr>
              <w:widowControl/>
              <w:rPr>
                <w:rFonts w:ascii="Arial Narrow" w:hAnsi="Arial Narrow"/>
                <w:sz w:val="20"/>
              </w:rPr>
            </w:pPr>
            <w:r w:rsidRPr="004E4D44">
              <w:rPr>
                <w:rFonts w:ascii="Arial Narrow" w:hAnsi="Arial Narrow"/>
                <w:sz w:val="20"/>
              </w:rPr>
              <w:t>Patient must have, or have had, where HbA1c measurement is clinically inappropriate, blood glucose levels greater than 10 mmol per L in more than 20% of tests over a 2 week period prior to initiation with a gliptin, a glitazone, a glucagon-like peptide-1 or an SGLT2 despite treatment with</w:t>
            </w:r>
            <w:r w:rsidR="00BD3363" w:rsidRPr="004E4D44">
              <w:rPr>
                <w:rFonts w:ascii="Arial Narrow" w:hAnsi="Arial Narrow"/>
                <w:sz w:val="20"/>
              </w:rPr>
              <w:t xml:space="preserve"> either metformin </w:t>
            </w:r>
            <w:r w:rsidR="002D6D3A">
              <w:rPr>
                <w:rFonts w:ascii="Arial Narrow" w:hAnsi="Arial Narrow"/>
                <w:sz w:val="20"/>
              </w:rPr>
              <w:t>and</w:t>
            </w:r>
            <w:r w:rsidR="002D6D3A" w:rsidRPr="004E4D44">
              <w:rPr>
                <w:rFonts w:ascii="Arial Narrow" w:hAnsi="Arial Narrow"/>
                <w:sz w:val="20"/>
              </w:rPr>
              <w:t xml:space="preserve"> </w:t>
            </w:r>
            <w:r w:rsidR="00BD3363" w:rsidRPr="004E4D44">
              <w:rPr>
                <w:rFonts w:ascii="Arial Narrow" w:hAnsi="Arial Narrow"/>
                <w:sz w:val="20"/>
              </w:rPr>
              <w:t>a sulfonylurea</w:t>
            </w:r>
            <w:r w:rsidR="002D6D3A">
              <w:rPr>
                <w:rFonts w:ascii="Arial Narrow" w:hAnsi="Arial Narrow"/>
                <w:sz w:val="20"/>
              </w:rPr>
              <w:t>,</w:t>
            </w:r>
            <w:r w:rsidR="00BD3363" w:rsidRPr="004E4D44">
              <w:rPr>
                <w:rFonts w:ascii="Arial Narrow" w:hAnsi="Arial Narrow"/>
                <w:sz w:val="20"/>
              </w:rPr>
              <w:t xml:space="preserve"> or metformin and this drug</w:t>
            </w:r>
            <w:r w:rsidR="002D6D3A">
              <w:rPr>
                <w:rFonts w:ascii="Arial Narrow" w:hAnsi="Arial Narrow"/>
                <w:sz w:val="20"/>
              </w:rPr>
              <w:t>,</w:t>
            </w:r>
            <w:r w:rsidR="00BD3363" w:rsidRPr="004E4D44">
              <w:rPr>
                <w:rFonts w:ascii="Arial Narrow" w:hAnsi="Arial Narrow"/>
                <w:sz w:val="20"/>
              </w:rPr>
              <w:t xml:space="preserve"> or a sulfonylurea and this drug</w:t>
            </w:r>
            <w:r w:rsidRPr="004E4D44">
              <w:rPr>
                <w:rFonts w:ascii="Arial Narrow" w:hAnsi="Arial Narrow"/>
                <w:sz w:val="20"/>
              </w:rPr>
              <w:t xml:space="preserve">. </w:t>
            </w:r>
          </w:p>
        </w:tc>
      </w:tr>
      <w:tr w:rsidR="00477C3B" w:rsidRPr="00260CE3" w:rsidTr="00477C3B">
        <w:trPr>
          <w:cantSplit/>
          <w:trHeight w:val="360"/>
        </w:trPr>
        <w:tc>
          <w:tcPr>
            <w:tcW w:w="2126" w:type="dxa"/>
            <w:tcBorders>
              <w:top w:val="single" w:sz="4" w:space="0" w:color="auto"/>
              <w:left w:val="single" w:sz="4" w:space="0" w:color="auto"/>
              <w:bottom w:val="single" w:sz="4" w:space="0" w:color="auto"/>
              <w:right w:val="single" w:sz="4" w:space="0" w:color="auto"/>
            </w:tcBorders>
          </w:tcPr>
          <w:p w:rsidR="00477C3B" w:rsidRPr="00DC482C" w:rsidRDefault="00477C3B" w:rsidP="00804107">
            <w:pPr>
              <w:widowControl/>
              <w:rPr>
                <w:rFonts w:ascii="Arial Narrow" w:hAnsi="Arial Narrow"/>
                <w:b/>
                <w:sz w:val="20"/>
              </w:rPr>
            </w:pPr>
            <w:r w:rsidRPr="00260CE3">
              <w:rPr>
                <w:rFonts w:ascii="Arial Narrow" w:hAnsi="Arial Narrow"/>
                <w:b/>
                <w:sz w:val="20"/>
              </w:rPr>
              <w:t>Prescriber Instructions</w:t>
            </w:r>
          </w:p>
          <w:p w:rsidR="00477C3B" w:rsidRPr="00260CE3" w:rsidRDefault="00477C3B" w:rsidP="00804107">
            <w:pPr>
              <w:widowControl/>
              <w:rPr>
                <w:rFonts w:ascii="Arial Narrow" w:hAnsi="Arial Narrow"/>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477C3B" w:rsidRPr="004E4D44" w:rsidRDefault="00477C3B" w:rsidP="00804107">
            <w:pPr>
              <w:pStyle w:val="Table"/>
              <w:rPr>
                <w:rFonts w:ascii="Arial Narrow" w:hAnsi="Arial Narrow"/>
                <w:sz w:val="20"/>
                <w:szCs w:val="20"/>
              </w:rPr>
            </w:pPr>
            <w:r w:rsidRPr="004E4D44">
              <w:rPr>
                <w:rFonts w:ascii="Arial Narrow" w:hAnsi="Arial Narrow"/>
                <w:sz w:val="20"/>
                <w:szCs w:val="20"/>
              </w:rPr>
              <w:t xml:space="preserve">The date and level of the qualifying HbA1c measurement must be, or must have been, documented in the patient's medical records at the time treatment with a gliptin, a glitazone, a glucagon-like peptide-1 or a SGLT2 inhibitor is initiated. </w:t>
            </w:r>
          </w:p>
          <w:p w:rsidR="00477C3B" w:rsidRPr="004E4D44" w:rsidRDefault="00477C3B" w:rsidP="00804107">
            <w:pPr>
              <w:pStyle w:val="Table"/>
              <w:rPr>
                <w:rFonts w:ascii="Arial Narrow" w:hAnsi="Arial Narrow"/>
                <w:sz w:val="20"/>
                <w:szCs w:val="20"/>
              </w:rPr>
            </w:pPr>
          </w:p>
          <w:p w:rsidR="00477C3B" w:rsidRPr="004E4D44" w:rsidRDefault="00477C3B" w:rsidP="00804107">
            <w:pPr>
              <w:pStyle w:val="Table"/>
              <w:rPr>
                <w:rFonts w:ascii="Arial Narrow" w:hAnsi="Arial Narrow"/>
                <w:sz w:val="20"/>
                <w:szCs w:val="20"/>
              </w:rPr>
            </w:pPr>
            <w:r w:rsidRPr="004E4D44">
              <w:rPr>
                <w:rFonts w:ascii="Arial Narrow" w:hAnsi="Arial Narrow"/>
                <w:sz w:val="20"/>
                <w:szCs w:val="20"/>
              </w:rPr>
              <w:t xml:space="preserve">The HbA1c must be no more than 4 months old at the time treatment with a gliptin, a glitazone, a glucagon-like peptide-1 or a SGLT2 inhibitor was initiated. </w:t>
            </w:r>
          </w:p>
          <w:p w:rsidR="00477C3B" w:rsidRPr="004E4D44" w:rsidRDefault="00477C3B" w:rsidP="00804107">
            <w:pPr>
              <w:pStyle w:val="Table"/>
              <w:rPr>
                <w:rFonts w:ascii="Arial Narrow" w:hAnsi="Arial Narrow"/>
                <w:sz w:val="20"/>
                <w:szCs w:val="20"/>
              </w:rPr>
            </w:pPr>
          </w:p>
          <w:p w:rsidR="00477C3B" w:rsidRPr="004E4D44" w:rsidRDefault="00477C3B" w:rsidP="00804107">
            <w:pPr>
              <w:pStyle w:val="Table"/>
              <w:rPr>
                <w:rFonts w:ascii="Arial Narrow" w:hAnsi="Arial Narrow"/>
                <w:sz w:val="20"/>
                <w:szCs w:val="20"/>
              </w:rPr>
            </w:pPr>
            <w:r w:rsidRPr="004E4D44">
              <w:rPr>
                <w:rFonts w:ascii="Arial Narrow" w:hAnsi="Arial Narrow"/>
                <w:sz w:val="20"/>
                <w:szCs w:val="20"/>
              </w:rPr>
              <w:t>Blood glucose monitoring may be used as an alternative assessment to HbA1c levels in the following circumstances:</w:t>
            </w:r>
          </w:p>
          <w:p w:rsidR="00477C3B" w:rsidRPr="004E4D44" w:rsidRDefault="00477C3B" w:rsidP="00804107">
            <w:pPr>
              <w:pStyle w:val="Table"/>
              <w:rPr>
                <w:rFonts w:ascii="Arial Narrow" w:hAnsi="Arial Narrow"/>
                <w:sz w:val="20"/>
                <w:szCs w:val="20"/>
              </w:rPr>
            </w:pPr>
            <w:r w:rsidRPr="004E4D44">
              <w:rPr>
                <w:rFonts w:ascii="Arial Narrow" w:hAnsi="Arial Narrow"/>
                <w:sz w:val="20"/>
                <w:szCs w:val="20"/>
              </w:rPr>
              <w:t>a) A clinical condition with reduced red blood cell survival, including haemolytic anaemias and haemoglobinopathies; and/or</w:t>
            </w:r>
          </w:p>
          <w:p w:rsidR="00477C3B" w:rsidRPr="004E4D44" w:rsidRDefault="00477C3B" w:rsidP="00804107">
            <w:pPr>
              <w:pStyle w:val="Table"/>
              <w:rPr>
                <w:rFonts w:ascii="Arial Narrow" w:hAnsi="Arial Narrow"/>
                <w:sz w:val="20"/>
                <w:szCs w:val="20"/>
              </w:rPr>
            </w:pPr>
            <w:r w:rsidRPr="004E4D44">
              <w:rPr>
                <w:rFonts w:ascii="Arial Narrow" w:hAnsi="Arial Narrow"/>
                <w:sz w:val="20"/>
                <w:szCs w:val="20"/>
              </w:rPr>
              <w:t>b) Had red cell transfusion within the previous 3 months.</w:t>
            </w:r>
          </w:p>
          <w:p w:rsidR="00477C3B" w:rsidRPr="004E4D44" w:rsidRDefault="00477C3B" w:rsidP="00804107">
            <w:pPr>
              <w:pStyle w:val="Table"/>
              <w:rPr>
                <w:rFonts w:ascii="Arial Narrow" w:hAnsi="Arial Narrow"/>
                <w:sz w:val="20"/>
                <w:szCs w:val="20"/>
              </w:rPr>
            </w:pPr>
          </w:p>
          <w:p w:rsidR="00477C3B" w:rsidRPr="004E4D44" w:rsidRDefault="00477C3B" w:rsidP="00804107">
            <w:pPr>
              <w:widowControl/>
              <w:rPr>
                <w:rFonts w:ascii="Arial Narrow" w:hAnsi="Arial Narrow"/>
                <w:sz w:val="20"/>
              </w:rPr>
            </w:pPr>
            <w:r w:rsidRPr="004E4D44">
              <w:rPr>
                <w:rFonts w:ascii="Arial Narrow" w:hAnsi="Arial Narrow"/>
                <w:sz w:val="20"/>
              </w:rPr>
              <w:t>The results of the blood glucose monitoring, which must be no more than 4 months old at the time of initiation of treatment with a gliptin, a glitazone, a glucagon-like peptide-1 or a SGLT2 inhibitor, must be documented in the patient's medical records.</w:t>
            </w:r>
          </w:p>
          <w:p w:rsidR="00477C3B" w:rsidRPr="004E4D44" w:rsidRDefault="00477C3B" w:rsidP="00804107">
            <w:pPr>
              <w:widowControl/>
              <w:rPr>
                <w:rFonts w:ascii="Arial Narrow" w:hAnsi="Arial Narrow"/>
                <w:sz w:val="20"/>
              </w:rPr>
            </w:pPr>
          </w:p>
          <w:p w:rsidR="00477C3B" w:rsidRPr="004E4D44" w:rsidRDefault="00477C3B" w:rsidP="00804107">
            <w:pPr>
              <w:widowControl/>
              <w:rPr>
                <w:rFonts w:ascii="Arial Narrow" w:hAnsi="Arial Narrow"/>
                <w:sz w:val="20"/>
              </w:rPr>
            </w:pPr>
            <w:r w:rsidRPr="004E4D44">
              <w:rPr>
                <w:rFonts w:ascii="Arial Narrow" w:hAnsi="Arial Narrow"/>
                <w:sz w:val="20"/>
              </w:rPr>
              <w:t>A patient whose diabetes was previously demonstrated unable to be controlled with metformin or a sulfonylurea does not need to requalify on this criterion before being eligible for PBS-subsidised treatment with this drug.</w:t>
            </w:r>
          </w:p>
          <w:p w:rsidR="00477C3B" w:rsidRPr="004E4D44" w:rsidRDefault="00477C3B" w:rsidP="00804107">
            <w:pPr>
              <w:widowControl/>
              <w:rPr>
                <w:rFonts w:ascii="Arial Narrow" w:hAnsi="Arial Narrow"/>
                <w:sz w:val="20"/>
              </w:rPr>
            </w:pPr>
          </w:p>
        </w:tc>
      </w:tr>
      <w:tr w:rsidR="00477C3B" w:rsidRPr="00197A75" w:rsidTr="00477C3B">
        <w:trPr>
          <w:cantSplit/>
          <w:trHeight w:val="360"/>
        </w:trPr>
        <w:tc>
          <w:tcPr>
            <w:tcW w:w="2126" w:type="dxa"/>
            <w:tcBorders>
              <w:top w:val="single" w:sz="4" w:space="0" w:color="auto"/>
              <w:left w:val="single" w:sz="4" w:space="0" w:color="auto"/>
              <w:bottom w:val="single" w:sz="4" w:space="0" w:color="auto"/>
              <w:right w:val="single" w:sz="4" w:space="0" w:color="auto"/>
            </w:tcBorders>
          </w:tcPr>
          <w:p w:rsidR="00477C3B" w:rsidRPr="00260CE3" w:rsidRDefault="00477C3B" w:rsidP="00804107">
            <w:pPr>
              <w:widowControl/>
              <w:rPr>
                <w:rFonts w:ascii="Arial Narrow" w:hAnsi="Arial Narrow"/>
                <w:b/>
                <w:sz w:val="20"/>
              </w:rPr>
            </w:pPr>
            <w:r w:rsidRPr="00260CE3">
              <w:rPr>
                <w:rFonts w:ascii="Arial Narrow" w:hAnsi="Arial Narrow"/>
                <w:b/>
                <w:sz w:val="20"/>
              </w:rPr>
              <w:t>Administrative Advice</w:t>
            </w:r>
          </w:p>
          <w:p w:rsidR="00477C3B" w:rsidRPr="00260CE3" w:rsidRDefault="00477C3B" w:rsidP="00804107">
            <w:pPr>
              <w:widowControl/>
              <w:rPr>
                <w:rFonts w:ascii="Arial Narrow" w:hAnsi="Arial Narrow"/>
                <w:i/>
                <w:sz w:val="20"/>
              </w:rPr>
            </w:pPr>
          </w:p>
        </w:tc>
        <w:tc>
          <w:tcPr>
            <w:tcW w:w="6379" w:type="dxa"/>
            <w:gridSpan w:val="7"/>
            <w:tcBorders>
              <w:top w:val="single" w:sz="4" w:space="0" w:color="auto"/>
              <w:left w:val="single" w:sz="4" w:space="0" w:color="auto"/>
              <w:bottom w:val="single" w:sz="4" w:space="0" w:color="auto"/>
              <w:right w:val="single" w:sz="4" w:space="0" w:color="auto"/>
            </w:tcBorders>
          </w:tcPr>
          <w:p w:rsidR="00477C3B" w:rsidRPr="004E4D44" w:rsidRDefault="00477C3B" w:rsidP="00804107">
            <w:pPr>
              <w:widowControl/>
              <w:rPr>
                <w:rFonts w:ascii="Arial Narrow" w:hAnsi="Arial Narrow"/>
                <w:b/>
                <w:color w:val="222222"/>
                <w:sz w:val="20"/>
                <w:u w:val="single"/>
                <w:shd w:val="clear" w:color="auto" w:fill="FFFFFF"/>
              </w:rPr>
            </w:pPr>
            <w:r w:rsidRPr="004E4D44">
              <w:rPr>
                <w:rFonts w:ascii="Arial Narrow" w:hAnsi="Arial Narrow"/>
                <w:b/>
                <w:color w:val="222222"/>
                <w:sz w:val="20"/>
                <w:u w:val="single"/>
                <w:shd w:val="clear" w:color="auto" w:fill="FFFFFF"/>
              </w:rPr>
              <w:t>Note:</w:t>
            </w:r>
          </w:p>
          <w:p w:rsidR="00477C3B" w:rsidRPr="004E4D44" w:rsidRDefault="00477C3B" w:rsidP="00804107">
            <w:pPr>
              <w:widowControl/>
              <w:rPr>
                <w:rFonts w:ascii="Arial Narrow" w:hAnsi="Arial Narrow"/>
                <w:color w:val="222222"/>
                <w:sz w:val="20"/>
                <w:shd w:val="clear" w:color="auto" w:fill="FFFFFF"/>
              </w:rPr>
            </w:pPr>
            <w:r w:rsidRPr="004E4D44">
              <w:rPr>
                <w:rFonts w:ascii="Arial Narrow" w:hAnsi="Arial Narrow"/>
                <w:color w:val="222222"/>
                <w:sz w:val="20"/>
                <w:shd w:val="clear" w:color="auto" w:fill="FFFFFF"/>
              </w:rPr>
              <w:t xml:space="preserve">This drug is not PBS-subsidised for use as monotherapy or in combination with a thiazolidinedione (glitazone), </w:t>
            </w:r>
            <w:r w:rsidRPr="004E4D44">
              <w:rPr>
                <w:rFonts w:ascii="Arial Narrow" w:hAnsi="Arial Narrow"/>
                <w:sz w:val="20"/>
              </w:rPr>
              <w:t>a glucagon-like peptide-1 or an SGLT2 inhibitor.</w:t>
            </w:r>
          </w:p>
        </w:tc>
      </w:tr>
    </w:tbl>
    <w:p w:rsidR="008F03CF" w:rsidRDefault="008F03CF" w:rsidP="00804107">
      <w:pPr>
        <w:keepNext/>
        <w:widowControl/>
        <w:rPr>
          <w:rFonts w:ascii="Arial Narrow" w:eastAsia="SimSun" w:hAnsi="Arial Narrow" w:cs="Times New Roman"/>
          <w:i/>
          <w:snapToGrid/>
          <w:sz w:val="18"/>
          <w:szCs w:val="18"/>
          <w:lang w:eastAsia="zh-CN"/>
        </w:rPr>
      </w:pPr>
    </w:p>
    <w:p w:rsidR="00246057" w:rsidRDefault="00246057" w:rsidP="00804107">
      <w:pPr>
        <w:widowControl/>
        <w:rPr>
          <w:rFonts w:ascii="Arial Narrow" w:eastAsia="SimSun" w:hAnsi="Arial Narrow" w:cs="Times New Roman"/>
          <w:sz w:val="18"/>
          <w:szCs w:val="18"/>
          <w:lang w:eastAsia="zh-CN"/>
        </w:rPr>
      </w:pPr>
    </w:p>
    <w:p w:rsidR="008F02D8" w:rsidRDefault="008F02D8" w:rsidP="00804107">
      <w:pPr>
        <w:pStyle w:val="PBACHeading1"/>
        <w:rPr>
          <w:rFonts w:eastAsia="SimSun"/>
          <w:lang w:eastAsia="zh-CN"/>
        </w:rPr>
      </w:pPr>
      <w:r>
        <w:rPr>
          <w:rFonts w:eastAsia="SimSun"/>
          <w:lang w:eastAsia="zh-CN"/>
        </w:rPr>
        <w:t>Context for Decision</w:t>
      </w:r>
    </w:p>
    <w:p w:rsidR="00246057" w:rsidRDefault="00246057" w:rsidP="00804107">
      <w:pPr>
        <w:pStyle w:val="PBACHeading1"/>
        <w:numPr>
          <w:ilvl w:val="0"/>
          <w:numId w:val="0"/>
        </w:numPr>
        <w:ind w:left="720"/>
        <w:rPr>
          <w:rFonts w:eastAsia="SimSun"/>
          <w:lang w:eastAsia="zh-CN"/>
        </w:rPr>
      </w:pPr>
    </w:p>
    <w:p w:rsidR="008F02D8" w:rsidRPr="00246057" w:rsidRDefault="008F02D8" w:rsidP="00804107">
      <w:pPr>
        <w:pStyle w:val="PBACHeading1"/>
        <w:numPr>
          <w:ilvl w:val="0"/>
          <w:numId w:val="0"/>
        </w:numPr>
        <w:ind w:left="720"/>
        <w:rPr>
          <w:rFonts w:eastAsia="SimSun"/>
          <w:b w:val="0"/>
          <w:lang w:eastAsia="zh-CN"/>
        </w:rPr>
      </w:pPr>
      <w:r w:rsidRPr="00246057">
        <w:rPr>
          <w:rFonts w:eastAsia="SimSun"/>
          <w:b w:val="0"/>
          <w:lang w:eastAsia="zh-CN"/>
        </w:rPr>
        <w:t xml:space="preserve">The PBAC helps decide whether and, if so, how medicines should be subsidised in Australia. It considers </w:t>
      </w:r>
      <w:r w:rsidR="00246057" w:rsidRPr="00246057">
        <w:rPr>
          <w:rFonts w:eastAsia="SimSun"/>
          <w:b w:val="0"/>
          <w:lang w:eastAsia="zh-CN"/>
        </w:rPr>
        <w:t>submissions in</w:t>
      </w:r>
      <w:r w:rsidRPr="00246057">
        <w:rPr>
          <w:rFonts w:eastAsia="SimSun"/>
          <w:b w:val="0"/>
          <w:lang w:eastAsia="zh-CN"/>
        </w:rPr>
        <w:t xml:space="preserve"> this context. A PBAC decision not to recommend listing or not to recommend changing a listing does n</w:t>
      </w:r>
      <w:r w:rsidR="00246057" w:rsidRPr="00246057">
        <w:rPr>
          <w:rFonts w:eastAsia="SimSun"/>
          <w:b w:val="0"/>
          <w:lang w:eastAsia="zh-CN"/>
        </w:rPr>
        <w:t xml:space="preserve">ot represent a final PBAC view about the merits of the medicine. A company can resubmit to the PBAC or seek independent review of the PBAC decision. </w:t>
      </w:r>
    </w:p>
    <w:p w:rsidR="00246057" w:rsidRDefault="00246057" w:rsidP="00804107">
      <w:pPr>
        <w:pStyle w:val="PBACHeading1"/>
        <w:numPr>
          <w:ilvl w:val="0"/>
          <w:numId w:val="0"/>
        </w:numPr>
        <w:ind w:left="720"/>
        <w:rPr>
          <w:rFonts w:eastAsia="SimSun"/>
          <w:lang w:eastAsia="zh-CN"/>
        </w:rPr>
      </w:pPr>
    </w:p>
    <w:p w:rsidR="00246057" w:rsidRDefault="00246057" w:rsidP="00351FA5">
      <w:pPr>
        <w:pStyle w:val="PBACHeading1"/>
        <w:rPr>
          <w:rFonts w:eastAsia="SimSun"/>
          <w:lang w:eastAsia="zh-CN"/>
        </w:rPr>
      </w:pPr>
      <w:r>
        <w:rPr>
          <w:rFonts w:eastAsia="SimSun"/>
          <w:lang w:eastAsia="zh-CN"/>
        </w:rPr>
        <w:t xml:space="preserve">Sponsor’s Comment </w:t>
      </w:r>
    </w:p>
    <w:p w:rsidR="00DD631B" w:rsidRDefault="00DD631B" w:rsidP="00DD631B">
      <w:pPr>
        <w:pStyle w:val="PBACHeading1"/>
        <w:numPr>
          <w:ilvl w:val="0"/>
          <w:numId w:val="0"/>
        </w:numPr>
        <w:ind w:left="720"/>
        <w:rPr>
          <w:rFonts w:eastAsia="SimSun"/>
          <w:lang w:eastAsia="zh-CN"/>
        </w:rPr>
      </w:pPr>
    </w:p>
    <w:p w:rsidR="00DD631B" w:rsidRPr="00246057" w:rsidRDefault="00DD631B" w:rsidP="00DD631B">
      <w:pPr>
        <w:pStyle w:val="PBACHeading1"/>
        <w:numPr>
          <w:ilvl w:val="0"/>
          <w:numId w:val="0"/>
        </w:numPr>
        <w:ind w:left="720"/>
        <w:rPr>
          <w:rFonts w:eastAsia="SimSun"/>
          <w:b w:val="0"/>
          <w:lang w:eastAsia="zh-CN"/>
        </w:rPr>
      </w:pPr>
      <w:r w:rsidRPr="00246057">
        <w:rPr>
          <w:rFonts w:eastAsia="SimSun"/>
          <w:b w:val="0"/>
          <w:lang w:eastAsia="zh-CN"/>
        </w:rPr>
        <w:t xml:space="preserve">The </w:t>
      </w:r>
      <w:r>
        <w:rPr>
          <w:rFonts w:eastAsia="SimSun"/>
          <w:b w:val="0"/>
          <w:lang w:eastAsia="zh-CN"/>
        </w:rPr>
        <w:t>sponsor had no comment</w:t>
      </w:r>
      <w:r w:rsidRPr="00246057">
        <w:rPr>
          <w:rFonts w:eastAsia="SimSun"/>
          <w:b w:val="0"/>
          <w:lang w:eastAsia="zh-CN"/>
        </w:rPr>
        <w:t xml:space="preserve"> </w:t>
      </w:r>
    </w:p>
    <w:p w:rsidR="00DD631B" w:rsidRPr="00351FA5" w:rsidRDefault="00DD631B" w:rsidP="00DD631B">
      <w:pPr>
        <w:pStyle w:val="PBACHeading1"/>
        <w:numPr>
          <w:ilvl w:val="0"/>
          <w:numId w:val="0"/>
        </w:numPr>
        <w:ind w:left="720"/>
        <w:rPr>
          <w:rFonts w:eastAsia="SimSun"/>
          <w:lang w:eastAsia="zh-CN"/>
        </w:rPr>
      </w:pPr>
    </w:p>
    <w:sectPr w:rsidR="00DD631B" w:rsidRPr="00351FA5" w:rsidSect="005E14F4">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F47DB" w15:done="0"/>
  <w15:commentEx w15:paraId="572B4D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19" w:rsidRDefault="00076419" w:rsidP="00124A51">
      <w:r>
        <w:separator/>
      </w:r>
    </w:p>
  </w:endnote>
  <w:endnote w:type="continuationSeparator" w:id="0">
    <w:p w:rsidR="00076419" w:rsidRDefault="0007641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8E" w:rsidRDefault="0057448E" w:rsidP="00204807">
    <w:pPr>
      <w:pStyle w:val="Footer"/>
      <w:ind w:left="360"/>
      <w:jc w:val="center"/>
      <w:rPr>
        <w:sz w:val="20"/>
      </w:rPr>
    </w:pPr>
  </w:p>
  <w:p w:rsidR="0057448E" w:rsidRPr="00204807" w:rsidRDefault="0057448E" w:rsidP="00204807">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2B6A1F">
      <w:rPr>
        <w:noProof/>
        <w:sz w:val="20"/>
      </w:rPr>
      <w:t>2</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19" w:rsidRDefault="00076419" w:rsidP="00124A51">
      <w:r>
        <w:separator/>
      </w:r>
    </w:p>
  </w:footnote>
  <w:footnote w:type="continuationSeparator" w:id="0">
    <w:p w:rsidR="00076419" w:rsidRDefault="0007641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48E" w:rsidRPr="00DF217D" w:rsidRDefault="0057448E" w:rsidP="005948C9">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57448E" w:rsidRPr="008C7ECB" w:rsidRDefault="00574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0F86"/>
    <w:multiLevelType w:val="hybridMultilevel"/>
    <w:tmpl w:val="5824D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3658E3"/>
    <w:multiLevelType w:val="hybridMultilevel"/>
    <w:tmpl w:val="A6081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FE7392"/>
    <w:multiLevelType w:val="hybridMultilevel"/>
    <w:tmpl w:val="E824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9040C6"/>
    <w:multiLevelType w:val="hybridMultilevel"/>
    <w:tmpl w:val="634CC69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2F4B47"/>
    <w:multiLevelType w:val="hybridMultilevel"/>
    <w:tmpl w:val="A762E174"/>
    <w:lvl w:ilvl="0" w:tplc="371A6406">
      <w:start w:val="1"/>
      <w:numFmt w:val="lowerRoman"/>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nsid w:val="1E321912"/>
    <w:multiLevelType w:val="hybridMultilevel"/>
    <w:tmpl w:val="190E6C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F8C67EA"/>
    <w:multiLevelType w:val="hybridMultilevel"/>
    <w:tmpl w:val="965481E4"/>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25E872D4"/>
    <w:multiLevelType w:val="hybridMultilevel"/>
    <w:tmpl w:val="E4D66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9">
    <w:nsid w:val="2F422335"/>
    <w:multiLevelType w:val="hybridMultilevel"/>
    <w:tmpl w:val="9D56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B977C4"/>
    <w:multiLevelType w:val="hybridMultilevel"/>
    <w:tmpl w:val="BAC6CA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DF6A72"/>
    <w:multiLevelType w:val="hybridMultilevel"/>
    <w:tmpl w:val="D0B06906"/>
    <w:lvl w:ilvl="0" w:tplc="ED72AD2E">
      <w:start w:val="8"/>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3B7C34E2"/>
    <w:multiLevelType w:val="hybridMultilevel"/>
    <w:tmpl w:val="0B3A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4">
    <w:nsid w:val="41DC51D8"/>
    <w:multiLevelType w:val="hybridMultilevel"/>
    <w:tmpl w:val="42984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A25DF8"/>
    <w:multiLevelType w:val="hybridMultilevel"/>
    <w:tmpl w:val="9F38C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nsid w:val="54E52EE1"/>
    <w:multiLevelType w:val="hybridMultilevel"/>
    <w:tmpl w:val="34FE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D7781C"/>
    <w:multiLevelType w:val="hybridMultilevel"/>
    <w:tmpl w:val="85A6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504B14"/>
    <w:multiLevelType w:val="hybridMultilevel"/>
    <w:tmpl w:val="EF8C76B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0084FBF"/>
    <w:multiLevelType w:val="hybridMultilevel"/>
    <w:tmpl w:val="47C2347C"/>
    <w:lvl w:ilvl="0" w:tplc="6542353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611686"/>
    <w:multiLevelType w:val="hybridMultilevel"/>
    <w:tmpl w:val="5E2EA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A5A5AD7"/>
    <w:multiLevelType w:val="hybridMultilevel"/>
    <w:tmpl w:val="DF30E08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6BAA1615"/>
    <w:multiLevelType w:val="multilevel"/>
    <w:tmpl w:val="970C2C4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C7936E0"/>
    <w:multiLevelType w:val="hybridMultilevel"/>
    <w:tmpl w:val="ED48A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5C73123"/>
    <w:multiLevelType w:val="hybridMultilevel"/>
    <w:tmpl w:val="7B249A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5DA70F0"/>
    <w:multiLevelType w:val="hybridMultilevel"/>
    <w:tmpl w:val="C90EA582"/>
    <w:lvl w:ilvl="0" w:tplc="ED72AD2E">
      <w:start w:val="8"/>
      <w:numFmt w:val="bullet"/>
      <w:lvlText w:val="-"/>
      <w:lvlJc w:val="left"/>
      <w:pPr>
        <w:ind w:left="1004" w:hanging="360"/>
      </w:pPr>
      <w:rPr>
        <w:rFonts w:ascii="Times New Roman" w:eastAsia="Times New Roman" w:hAnsi="Times New Roman" w:cs="Times New Roman"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nsid w:val="780C3D70"/>
    <w:multiLevelType w:val="hybridMultilevel"/>
    <w:tmpl w:val="5E182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84D033C"/>
    <w:multiLevelType w:val="multilevel"/>
    <w:tmpl w:val="366049C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8"/>
  </w:num>
  <w:num w:numId="3">
    <w:abstractNumId w:val="17"/>
  </w:num>
  <w:num w:numId="4">
    <w:abstractNumId w:val="12"/>
  </w:num>
  <w:num w:numId="5">
    <w:abstractNumId w:val="30"/>
  </w:num>
  <w:num w:numId="6">
    <w:abstractNumId w:val="20"/>
  </w:num>
  <w:num w:numId="7">
    <w:abstractNumId w:val="26"/>
  </w:num>
  <w:num w:numId="8">
    <w:abstractNumId w:val="14"/>
  </w:num>
  <w:num w:numId="9">
    <w:abstractNumId w:val="15"/>
  </w:num>
  <w:num w:numId="10">
    <w:abstractNumId w:val="22"/>
  </w:num>
  <w:num w:numId="11">
    <w:abstractNumId w:val="4"/>
  </w:num>
  <w:num w:numId="12">
    <w:abstractNumId w:val="27"/>
  </w:num>
  <w:num w:numId="13">
    <w:abstractNumId w:val="2"/>
  </w:num>
  <w:num w:numId="14">
    <w:abstractNumId w:val="1"/>
  </w:num>
  <w:num w:numId="15">
    <w:abstractNumId w:val="19"/>
  </w:num>
  <w:num w:numId="16">
    <w:abstractNumId w:val="0"/>
  </w:num>
  <w:num w:numId="17">
    <w:abstractNumId w:val="7"/>
  </w:num>
  <w:num w:numId="18">
    <w:abstractNumId w:val="28"/>
  </w:num>
  <w:num w:numId="19">
    <w:abstractNumId w:val="21"/>
  </w:num>
  <w:num w:numId="20">
    <w:abstractNumId w:val="29"/>
  </w:num>
  <w:num w:numId="21">
    <w:abstractNumId w:val="5"/>
  </w:num>
  <w:num w:numId="22">
    <w:abstractNumId w:val="3"/>
  </w:num>
  <w:num w:numId="23">
    <w:abstractNumId w:val="23"/>
  </w:num>
  <w:num w:numId="24">
    <w:abstractNumId w:val="16"/>
  </w:num>
  <w:num w:numId="25">
    <w:abstractNumId w:val="25"/>
  </w:num>
  <w:num w:numId="26">
    <w:abstractNumId w:val="24"/>
  </w:num>
  <w:num w:numId="27">
    <w:abstractNumId w:val="9"/>
  </w:num>
  <w:num w:numId="28">
    <w:abstractNumId w:val="6"/>
  </w:num>
  <w:num w:numId="29">
    <w:abstractNumId w:val="18"/>
  </w:num>
  <w:num w:numId="30">
    <w:abstractNumId w:val="11"/>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499"/>
    <w:rsid w:val="00005C72"/>
    <w:rsid w:val="00011770"/>
    <w:rsid w:val="00011AA4"/>
    <w:rsid w:val="00011C94"/>
    <w:rsid w:val="000125E3"/>
    <w:rsid w:val="00012BA6"/>
    <w:rsid w:val="00013247"/>
    <w:rsid w:val="00015886"/>
    <w:rsid w:val="000162EF"/>
    <w:rsid w:val="000202E0"/>
    <w:rsid w:val="000205E2"/>
    <w:rsid w:val="0002225F"/>
    <w:rsid w:val="00022E7B"/>
    <w:rsid w:val="00023763"/>
    <w:rsid w:val="00024BE2"/>
    <w:rsid w:val="00031D93"/>
    <w:rsid w:val="00040895"/>
    <w:rsid w:val="000430DA"/>
    <w:rsid w:val="00043C37"/>
    <w:rsid w:val="00043CD0"/>
    <w:rsid w:val="000459F5"/>
    <w:rsid w:val="00046B1F"/>
    <w:rsid w:val="000475DE"/>
    <w:rsid w:val="00047A68"/>
    <w:rsid w:val="00051159"/>
    <w:rsid w:val="00052AB4"/>
    <w:rsid w:val="000546D7"/>
    <w:rsid w:val="000600EB"/>
    <w:rsid w:val="000614B5"/>
    <w:rsid w:val="000672A1"/>
    <w:rsid w:val="00070EC8"/>
    <w:rsid w:val="00071248"/>
    <w:rsid w:val="000720B9"/>
    <w:rsid w:val="00076419"/>
    <w:rsid w:val="0007676B"/>
    <w:rsid w:val="000801CF"/>
    <w:rsid w:val="000812CA"/>
    <w:rsid w:val="00082013"/>
    <w:rsid w:val="000842FD"/>
    <w:rsid w:val="000849CB"/>
    <w:rsid w:val="00086B7C"/>
    <w:rsid w:val="00090C7E"/>
    <w:rsid w:val="00094952"/>
    <w:rsid w:val="000A12DF"/>
    <w:rsid w:val="000A38B6"/>
    <w:rsid w:val="000A58C7"/>
    <w:rsid w:val="000A633E"/>
    <w:rsid w:val="000B40BA"/>
    <w:rsid w:val="000C1423"/>
    <w:rsid w:val="000C2343"/>
    <w:rsid w:val="000C4C3B"/>
    <w:rsid w:val="000C73D1"/>
    <w:rsid w:val="000D1BFC"/>
    <w:rsid w:val="000D48D0"/>
    <w:rsid w:val="000D5F1E"/>
    <w:rsid w:val="000E4FE6"/>
    <w:rsid w:val="000E7AD8"/>
    <w:rsid w:val="000E7D27"/>
    <w:rsid w:val="000F24BB"/>
    <w:rsid w:val="000F4BB8"/>
    <w:rsid w:val="000F5178"/>
    <w:rsid w:val="000F7127"/>
    <w:rsid w:val="001002F1"/>
    <w:rsid w:val="00100EDF"/>
    <w:rsid w:val="00100F8A"/>
    <w:rsid w:val="00101F7F"/>
    <w:rsid w:val="00102364"/>
    <w:rsid w:val="00104D07"/>
    <w:rsid w:val="0011032E"/>
    <w:rsid w:val="0011348B"/>
    <w:rsid w:val="001141A6"/>
    <w:rsid w:val="00120AA0"/>
    <w:rsid w:val="00121799"/>
    <w:rsid w:val="001222FC"/>
    <w:rsid w:val="00124A51"/>
    <w:rsid w:val="00125284"/>
    <w:rsid w:val="00126621"/>
    <w:rsid w:val="001301E9"/>
    <w:rsid w:val="00130712"/>
    <w:rsid w:val="00132767"/>
    <w:rsid w:val="0013570F"/>
    <w:rsid w:val="0013603E"/>
    <w:rsid w:val="0013637C"/>
    <w:rsid w:val="00136F91"/>
    <w:rsid w:val="00137645"/>
    <w:rsid w:val="001378C1"/>
    <w:rsid w:val="0014015A"/>
    <w:rsid w:val="00140E99"/>
    <w:rsid w:val="00141CA8"/>
    <w:rsid w:val="0014235F"/>
    <w:rsid w:val="00145540"/>
    <w:rsid w:val="001456B0"/>
    <w:rsid w:val="0015404F"/>
    <w:rsid w:val="00154779"/>
    <w:rsid w:val="00157130"/>
    <w:rsid w:val="001612E4"/>
    <w:rsid w:val="00161463"/>
    <w:rsid w:val="00162913"/>
    <w:rsid w:val="00163EFF"/>
    <w:rsid w:val="001661FB"/>
    <w:rsid w:val="00167239"/>
    <w:rsid w:val="001719C1"/>
    <w:rsid w:val="00176F2E"/>
    <w:rsid w:val="00180AD2"/>
    <w:rsid w:val="00182AEB"/>
    <w:rsid w:val="0018752F"/>
    <w:rsid w:val="0019040A"/>
    <w:rsid w:val="001918C3"/>
    <w:rsid w:val="00194AB3"/>
    <w:rsid w:val="00195222"/>
    <w:rsid w:val="00196101"/>
    <w:rsid w:val="00196147"/>
    <w:rsid w:val="00196A76"/>
    <w:rsid w:val="001975D8"/>
    <w:rsid w:val="001A0254"/>
    <w:rsid w:val="001A1EC9"/>
    <w:rsid w:val="001A3E25"/>
    <w:rsid w:val="001A65BB"/>
    <w:rsid w:val="001B0EE7"/>
    <w:rsid w:val="001B23A0"/>
    <w:rsid w:val="001B3443"/>
    <w:rsid w:val="001B4D91"/>
    <w:rsid w:val="001B67BA"/>
    <w:rsid w:val="001C1AC9"/>
    <w:rsid w:val="001C6776"/>
    <w:rsid w:val="001C67EB"/>
    <w:rsid w:val="001C6E66"/>
    <w:rsid w:val="001D2466"/>
    <w:rsid w:val="001D582C"/>
    <w:rsid w:val="001D7EDB"/>
    <w:rsid w:val="001E1021"/>
    <w:rsid w:val="001E238E"/>
    <w:rsid w:val="001E2B1E"/>
    <w:rsid w:val="001E52EB"/>
    <w:rsid w:val="001E5A28"/>
    <w:rsid w:val="001E6AB7"/>
    <w:rsid w:val="001E740C"/>
    <w:rsid w:val="001F022B"/>
    <w:rsid w:val="001F0AAF"/>
    <w:rsid w:val="001F1235"/>
    <w:rsid w:val="001F1CB3"/>
    <w:rsid w:val="001F5562"/>
    <w:rsid w:val="001F7361"/>
    <w:rsid w:val="001F7FEA"/>
    <w:rsid w:val="00200D1D"/>
    <w:rsid w:val="00200FD7"/>
    <w:rsid w:val="00202380"/>
    <w:rsid w:val="00202770"/>
    <w:rsid w:val="0020385F"/>
    <w:rsid w:val="00204807"/>
    <w:rsid w:val="00207021"/>
    <w:rsid w:val="00207D00"/>
    <w:rsid w:val="002105C1"/>
    <w:rsid w:val="00212573"/>
    <w:rsid w:val="00215332"/>
    <w:rsid w:val="00216FA6"/>
    <w:rsid w:val="00221A99"/>
    <w:rsid w:val="00223B49"/>
    <w:rsid w:val="00223CCA"/>
    <w:rsid w:val="00224DD4"/>
    <w:rsid w:val="002309CC"/>
    <w:rsid w:val="00230F92"/>
    <w:rsid w:val="00235061"/>
    <w:rsid w:val="00240033"/>
    <w:rsid w:val="002428AA"/>
    <w:rsid w:val="00246057"/>
    <w:rsid w:val="0025127A"/>
    <w:rsid w:val="00254DCF"/>
    <w:rsid w:val="0025534B"/>
    <w:rsid w:val="00255BB7"/>
    <w:rsid w:val="00256658"/>
    <w:rsid w:val="00256DD6"/>
    <w:rsid w:val="00256ED1"/>
    <w:rsid w:val="002603C8"/>
    <w:rsid w:val="00262079"/>
    <w:rsid w:val="00262A87"/>
    <w:rsid w:val="00266AF9"/>
    <w:rsid w:val="00271758"/>
    <w:rsid w:val="00271BB1"/>
    <w:rsid w:val="00275364"/>
    <w:rsid w:val="00275C5A"/>
    <w:rsid w:val="00277D88"/>
    <w:rsid w:val="00277F96"/>
    <w:rsid w:val="00281014"/>
    <w:rsid w:val="00282F27"/>
    <w:rsid w:val="00283CBC"/>
    <w:rsid w:val="00284AA2"/>
    <w:rsid w:val="0029046F"/>
    <w:rsid w:val="00291E90"/>
    <w:rsid w:val="00295E90"/>
    <w:rsid w:val="00295F17"/>
    <w:rsid w:val="002A049E"/>
    <w:rsid w:val="002A0E3B"/>
    <w:rsid w:val="002A14AB"/>
    <w:rsid w:val="002A3FAC"/>
    <w:rsid w:val="002A6112"/>
    <w:rsid w:val="002A6E1C"/>
    <w:rsid w:val="002B1C1F"/>
    <w:rsid w:val="002B432F"/>
    <w:rsid w:val="002B50C2"/>
    <w:rsid w:val="002B6A1F"/>
    <w:rsid w:val="002B6CCE"/>
    <w:rsid w:val="002C0AB5"/>
    <w:rsid w:val="002C0D01"/>
    <w:rsid w:val="002C2775"/>
    <w:rsid w:val="002C27C1"/>
    <w:rsid w:val="002C43AA"/>
    <w:rsid w:val="002C7167"/>
    <w:rsid w:val="002C7EBB"/>
    <w:rsid w:val="002D306A"/>
    <w:rsid w:val="002D5274"/>
    <w:rsid w:val="002D6D3A"/>
    <w:rsid w:val="002D72AE"/>
    <w:rsid w:val="002D76A3"/>
    <w:rsid w:val="002E649A"/>
    <w:rsid w:val="002F10ED"/>
    <w:rsid w:val="002F1428"/>
    <w:rsid w:val="002F6619"/>
    <w:rsid w:val="002F69A7"/>
    <w:rsid w:val="002F7CEF"/>
    <w:rsid w:val="0030028A"/>
    <w:rsid w:val="00300BB1"/>
    <w:rsid w:val="00301017"/>
    <w:rsid w:val="00302784"/>
    <w:rsid w:val="00303433"/>
    <w:rsid w:val="0030528A"/>
    <w:rsid w:val="003053B6"/>
    <w:rsid w:val="00306816"/>
    <w:rsid w:val="00306A4B"/>
    <w:rsid w:val="0030786C"/>
    <w:rsid w:val="0031031A"/>
    <w:rsid w:val="00310981"/>
    <w:rsid w:val="00314BB0"/>
    <w:rsid w:val="00315498"/>
    <w:rsid w:val="00316363"/>
    <w:rsid w:val="00320618"/>
    <w:rsid w:val="00325D0F"/>
    <w:rsid w:val="003266CB"/>
    <w:rsid w:val="003366C9"/>
    <w:rsid w:val="00336977"/>
    <w:rsid w:val="003371B0"/>
    <w:rsid w:val="003377C9"/>
    <w:rsid w:val="0034354C"/>
    <w:rsid w:val="003474FD"/>
    <w:rsid w:val="00347D9F"/>
    <w:rsid w:val="0035040F"/>
    <w:rsid w:val="00351FA5"/>
    <w:rsid w:val="0035620E"/>
    <w:rsid w:val="00356D39"/>
    <w:rsid w:val="00360BDB"/>
    <w:rsid w:val="003731C2"/>
    <w:rsid w:val="00373D9B"/>
    <w:rsid w:val="003740CD"/>
    <w:rsid w:val="00375F22"/>
    <w:rsid w:val="003813A1"/>
    <w:rsid w:val="003819FA"/>
    <w:rsid w:val="00382EC5"/>
    <w:rsid w:val="0038365C"/>
    <w:rsid w:val="00392BBF"/>
    <w:rsid w:val="00395E6F"/>
    <w:rsid w:val="00396FD0"/>
    <w:rsid w:val="003A1A49"/>
    <w:rsid w:val="003A1A7A"/>
    <w:rsid w:val="003A22FA"/>
    <w:rsid w:val="003A7A02"/>
    <w:rsid w:val="003B07B4"/>
    <w:rsid w:val="003B22FC"/>
    <w:rsid w:val="003B2FA3"/>
    <w:rsid w:val="003B34BA"/>
    <w:rsid w:val="003B4A67"/>
    <w:rsid w:val="003B4D58"/>
    <w:rsid w:val="003B5C27"/>
    <w:rsid w:val="003C3495"/>
    <w:rsid w:val="003C5A8F"/>
    <w:rsid w:val="003C5F31"/>
    <w:rsid w:val="003C7D29"/>
    <w:rsid w:val="003D1828"/>
    <w:rsid w:val="003D2422"/>
    <w:rsid w:val="003D3028"/>
    <w:rsid w:val="003D35D6"/>
    <w:rsid w:val="003D36BF"/>
    <w:rsid w:val="003D7034"/>
    <w:rsid w:val="003E0749"/>
    <w:rsid w:val="003E18BE"/>
    <w:rsid w:val="003E3EC7"/>
    <w:rsid w:val="003E406F"/>
    <w:rsid w:val="003E5092"/>
    <w:rsid w:val="003E7244"/>
    <w:rsid w:val="003F2268"/>
    <w:rsid w:val="003F3019"/>
    <w:rsid w:val="003F3C46"/>
    <w:rsid w:val="003F4156"/>
    <w:rsid w:val="003F69AA"/>
    <w:rsid w:val="003F740D"/>
    <w:rsid w:val="00400342"/>
    <w:rsid w:val="00404271"/>
    <w:rsid w:val="0040623F"/>
    <w:rsid w:val="00407170"/>
    <w:rsid w:val="00410671"/>
    <w:rsid w:val="00410708"/>
    <w:rsid w:val="00410EC7"/>
    <w:rsid w:val="00411DCE"/>
    <w:rsid w:val="00414476"/>
    <w:rsid w:val="00416204"/>
    <w:rsid w:val="00416D51"/>
    <w:rsid w:val="004202EB"/>
    <w:rsid w:val="00420B9F"/>
    <w:rsid w:val="00422EE5"/>
    <w:rsid w:val="004319F8"/>
    <w:rsid w:val="00432396"/>
    <w:rsid w:val="00432D54"/>
    <w:rsid w:val="00433044"/>
    <w:rsid w:val="00441C87"/>
    <w:rsid w:val="004443A7"/>
    <w:rsid w:val="004461E9"/>
    <w:rsid w:val="004464EB"/>
    <w:rsid w:val="00455D45"/>
    <w:rsid w:val="0045662A"/>
    <w:rsid w:val="00457F23"/>
    <w:rsid w:val="00460B3D"/>
    <w:rsid w:val="00464595"/>
    <w:rsid w:val="00467890"/>
    <w:rsid w:val="00476214"/>
    <w:rsid w:val="00477205"/>
    <w:rsid w:val="00477504"/>
    <w:rsid w:val="00477C3B"/>
    <w:rsid w:val="00482556"/>
    <w:rsid w:val="004867E2"/>
    <w:rsid w:val="004868B8"/>
    <w:rsid w:val="004918B8"/>
    <w:rsid w:val="00491B3A"/>
    <w:rsid w:val="004925C0"/>
    <w:rsid w:val="00492CFD"/>
    <w:rsid w:val="004935C9"/>
    <w:rsid w:val="00494262"/>
    <w:rsid w:val="004947CE"/>
    <w:rsid w:val="004962D2"/>
    <w:rsid w:val="004A0DA1"/>
    <w:rsid w:val="004A24FD"/>
    <w:rsid w:val="004A6597"/>
    <w:rsid w:val="004A7071"/>
    <w:rsid w:val="004B0D59"/>
    <w:rsid w:val="004B0F32"/>
    <w:rsid w:val="004B1CB4"/>
    <w:rsid w:val="004B2F18"/>
    <w:rsid w:val="004B3DDB"/>
    <w:rsid w:val="004B40B5"/>
    <w:rsid w:val="004B44FD"/>
    <w:rsid w:val="004B5CFC"/>
    <w:rsid w:val="004B5F75"/>
    <w:rsid w:val="004B773E"/>
    <w:rsid w:val="004C1200"/>
    <w:rsid w:val="004C2E1B"/>
    <w:rsid w:val="004C326F"/>
    <w:rsid w:val="004C3D12"/>
    <w:rsid w:val="004C4AED"/>
    <w:rsid w:val="004D503E"/>
    <w:rsid w:val="004D5A35"/>
    <w:rsid w:val="004E0EB8"/>
    <w:rsid w:val="004E2ADC"/>
    <w:rsid w:val="004E3308"/>
    <w:rsid w:val="004E43B2"/>
    <w:rsid w:val="004E47F1"/>
    <w:rsid w:val="004E4D44"/>
    <w:rsid w:val="004E6577"/>
    <w:rsid w:val="004F1D02"/>
    <w:rsid w:val="004F2532"/>
    <w:rsid w:val="004F2679"/>
    <w:rsid w:val="004F63AB"/>
    <w:rsid w:val="004F7584"/>
    <w:rsid w:val="004F7865"/>
    <w:rsid w:val="004F78B8"/>
    <w:rsid w:val="0050045A"/>
    <w:rsid w:val="00502499"/>
    <w:rsid w:val="00506928"/>
    <w:rsid w:val="0051040E"/>
    <w:rsid w:val="005108EA"/>
    <w:rsid w:val="0051464F"/>
    <w:rsid w:val="005152B5"/>
    <w:rsid w:val="0052026C"/>
    <w:rsid w:val="00520470"/>
    <w:rsid w:val="00521319"/>
    <w:rsid w:val="005235C9"/>
    <w:rsid w:val="00523C28"/>
    <w:rsid w:val="0052618B"/>
    <w:rsid w:val="005268EA"/>
    <w:rsid w:val="005274E1"/>
    <w:rsid w:val="005275CB"/>
    <w:rsid w:val="00536FA3"/>
    <w:rsid w:val="00541F1F"/>
    <w:rsid w:val="00544EE5"/>
    <w:rsid w:val="005463FD"/>
    <w:rsid w:val="00552BD3"/>
    <w:rsid w:val="00553166"/>
    <w:rsid w:val="00555109"/>
    <w:rsid w:val="00555D83"/>
    <w:rsid w:val="00564D8C"/>
    <w:rsid w:val="0056696F"/>
    <w:rsid w:val="00571AD9"/>
    <w:rsid w:val="00571C54"/>
    <w:rsid w:val="00572592"/>
    <w:rsid w:val="0057448E"/>
    <w:rsid w:val="00575D8D"/>
    <w:rsid w:val="00576972"/>
    <w:rsid w:val="00577156"/>
    <w:rsid w:val="005773B2"/>
    <w:rsid w:val="00582F13"/>
    <w:rsid w:val="00583699"/>
    <w:rsid w:val="00584386"/>
    <w:rsid w:val="0059258B"/>
    <w:rsid w:val="005927B3"/>
    <w:rsid w:val="0059349C"/>
    <w:rsid w:val="005948C9"/>
    <w:rsid w:val="00596544"/>
    <w:rsid w:val="00597FE7"/>
    <w:rsid w:val="005A21FD"/>
    <w:rsid w:val="005A7687"/>
    <w:rsid w:val="005A7DB4"/>
    <w:rsid w:val="005B300B"/>
    <w:rsid w:val="005B3D66"/>
    <w:rsid w:val="005B5857"/>
    <w:rsid w:val="005C1B83"/>
    <w:rsid w:val="005C1CAD"/>
    <w:rsid w:val="005C346B"/>
    <w:rsid w:val="005C4570"/>
    <w:rsid w:val="005C4F25"/>
    <w:rsid w:val="005C5498"/>
    <w:rsid w:val="005D044D"/>
    <w:rsid w:val="005D12B8"/>
    <w:rsid w:val="005D1506"/>
    <w:rsid w:val="005D18AD"/>
    <w:rsid w:val="005D19DC"/>
    <w:rsid w:val="005D3924"/>
    <w:rsid w:val="005E039B"/>
    <w:rsid w:val="005E0760"/>
    <w:rsid w:val="005E0AEB"/>
    <w:rsid w:val="005E1471"/>
    <w:rsid w:val="005E14F4"/>
    <w:rsid w:val="005E1675"/>
    <w:rsid w:val="005E31FC"/>
    <w:rsid w:val="005E5D57"/>
    <w:rsid w:val="005E6274"/>
    <w:rsid w:val="005E695D"/>
    <w:rsid w:val="005E73C0"/>
    <w:rsid w:val="005F2375"/>
    <w:rsid w:val="005F2491"/>
    <w:rsid w:val="005F2706"/>
    <w:rsid w:val="005F4DDA"/>
    <w:rsid w:val="005F6A8F"/>
    <w:rsid w:val="00607669"/>
    <w:rsid w:val="00612F97"/>
    <w:rsid w:val="00616802"/>
    <w:rsid w:val="00617E12"/>
    <w:rsid w:val="00621477"/>
    <w:rsid w:val="00622EB5"/>
    <w:rsid w:val="00631D6B"/>
    <w:rsid w:val="006327A5"/>
    <w:rsid w:val="00633857"/>
    <w:rsid w:val="0063479F"/>
    <w:rsid w:val="006364A1"/>
    <w:rsid w:val="00637BFD"/>
    <w:rsid w:val="00641A53"/>
    <w:rsid w:val="00643D2D"/>
    <w:rsid w:val="006440DB"/>
    <w:rsid w:val="006456CF"/>
    <w:rsid w:val="006471CC"/>
    <w:rsid w:val="0065079F"/>
    <w:rsid w:val="00652652"/>
    <w:rsid w:val="00652786"/>
    <w:rsid w:val="00652C48"/>
    <w:rsid w:val="00665E5B"/>
    <w:rsid w:val="006730A9"/>
    <w:rsid w:val="006748CD"/>
    <w:rsid w:val="00674E42"/>
    <w:rsid w:val="00677C91"/>
    <w:rsid w:val="00681067"/>
    <w:rsid w:val="00682112"/>
    <w:rsid w:val="00685FED"/>
    <w:rsid w:val="006869F9"/>
    <w:rsid w:val="006872BA"/>
    <w:rsid w:val="006917D7"/>
    <w:rsid w:val="00694F44"/>
    <w:rsid w:val="006A0322"/>
    <w:rsid w:val="006A2010"/>
    <w:rsid w:val="006A390E"/>
    <w:rsid w:val="006A6EE8"/>
    <w:rsid w:val="006B065D"/>
    <w:rsid w:val="006B21B9"/>
    <w:rsid w:val="006B33C5"/>
    <w:rsid w:val="006B5F62"/>
    <w:rsid w:val="006B7915"/>
    <w:rsid w:val="006C2A8E"/>
    <w:rsid w:val="006D230F"/>
    <w:rsid w:val="006D2C1D"/>
    <w:rsid w:val="006D3C7D"/>
    <w:rsid w:val="006D5D5F"/>
    <w:rsid w:val="006D691A"/>
    <w:rsid w:val="006D70BF"/>
    <w:rsid w:val="006E03BB"/>
    <w:rsid w:val="006E4595"/>
    <w:rsid w:val="006E46FD"/>
    <w:rsid w:val="006E4BF1"/>
    <w:rsid w:val="006E52A2"/>
    <w:rsid w:val="006E5684"/>
    <w:rsid w:val="006F09E3"/>
    <w:rsid w:val="006F1CA5"/>
    <w:rsid w:val="006F243B"/>
    <w:rsid w:val="006F2D39"/>
    <w:rsid w:val="006F63A5"/>
    <w:rsid w:val="006F7D9B"/>
    <w:rsid w:val="0070024A"/>
    <w:rsid w:val="007008E8"/>
    <w:rsid w:val="0070276E"/>
    <w:rsid w:val="00702BB6"/>
    <w:rsid w:val="00702F8F"/>
    <w:rsid w:val="007042D5"/>
    <w:rsid w:val="007109F1"/>
    <w:rsid w:val="00711A36"/>
    <w:rsid w:val="00712544"/>
    <w:rsid w:val="007172AD"/>
    <w:rsid w:val="007207C4"/>
    <w:rsid w:val="00721999"/>
    <w:rsid w:val="0072314C"/>
    <w:rsid w:val="00723FFB"/>
    <w:rsid w:val="0072416F"/>
    <w:rsid w:val="0072624A"/>
    <w:rsid w:val="007316A4"/>
    <w:rsid w:val="00732EA1"/>
    <w:rsid w:val="00734CD8"/>
    <w:rsid w:val="00735328"/>
    <w:rsid w:val="0073669C"/>
    <w:rsid w:val="0073685B"/>
    <w:rsid w:val="0073702F"/>
    <w:rsid w:val="00742AA2"/>
    <w:rsid w:val="007433C1"/>
    <w:rsid w:val="00744BE5"/>
    <w:rsid w:val="00747122"/>
    <w:rsid w:val="007472FE"/>
    <w:rsid w:val="00751AB9"/>
    <w:rsid w:val="00751B80"/>
    <w:rsid w:val="00752A61"/>
    <w:rsid w:val="00754C70"/>
    <w:rsid w:val="0077215E"/>
    <w:rsid w:val="00774E4B"/>
    <w:rsid w:val="00776003"/>
    <w:rsid w:val="00776636"/>
    <w:rsid w:val="00780373"/>
    <w:rsid w:val="00781663"/>
    <w:rsid w:val="00782B1F"/>
    <w:rsid w:val="007833D2"/>
    <w:rsid w:val="007835F1"/>
    <w:rsid w:val="00783796"/>
    <w:rsid w:val="00790175"/>
    <w:rsid w:val="00793314"/>
    <w:rsid w:val="00796C9F"/>
    <w:rsid w:val="007A0A12"/>
    <w:rsid w:val="007A134D"/>
    <w:rsid w:val="007A184A"/>
    <w:rsid w:val="007A4094"/>
    <w:rsid w:val="007B251D"/>
    <w:rsid w:val="007B435A"/>
    <w:rsid w:val="007B6C4F"/>
    <w:rsid w:val="007B77D1"/>
    <w:rsid w:val="007C361D"/>
    <w:rsid w:val="007C6ADE"/>
    <w:rsid w:val="007D0028"/>
    <w:rsid w:val="007D07D1"/>
    <w:rsid w:val="007D0B38"/>
    <w:rsid w:val="007D0E46"/>
    <w:rsid w:val="007D2DC2"/>
    <w:rsid w:val="007D35A9"/>
    <w:rsid w:val="007D752C"/>
    <w:rsid w:val="007E70F0"/>
    <w:rsid w:val="007F1017"/>
    <w:rsid w:val="007F4A3F"/>
    <w:rsid w:val="00800827"/>
    <w:rsid w:val="0080086E"/>
    <w:rsid w:val="008023AF"/>
    <w:rsid w:val="00803BE7"/>
    <w:rsid w:val="00804107"/>
    <w:rsid w:val="00805142"/>
    <w:rsid w:val="008052A6"/>
    <w:rsid w:val="00805C73"/>
    <w:rsid w:val="008068F6"/>
    <w:rsid w:val="0080779E"/>
    <w:rsid w:val="00807A8B"/>
    <w:rsid w:val="00810020"/>
    <w:rsid w:val="0081057A"/>
    <w:rsid w:val="00812149"/>
    <w:rsid w:val="008166EF"/>
    <w:rsid w:val="0082313E"/>
    <w:rsid w:val="00823646"/>
    <w:rsid w:val="008251EF"/>
    <w:rsid w:val="008264EB"/>
    <w:rsid w:val="008276B8"/>
    <w:rsid w:val="00831912"/>
    <w:rsid w:val="00833906"/>
    <w:rsid w:val="00833B05"/>
    <w:rsid w:val="00833E0B"/>
    <w:rsid w:val="0084000C"/>
    <w:rsid w:val="00840CA2"/>
    <w:rsid w:val="00841337"/>
    <w:rsid w:val="00844B44"/>
    <w:rsid w:val="008530A0"/>
    <w:rsid w:val="0085314F"/>
    <w:rsid w:val="00853847"/>
    <w:rsid w:val="00854B78"/>
    <w:rsid w:val="00856E9A"/>
    <w:rsid w:val="00857C13"/>
    <w:rsid w:val="00860E1C"/>
    <w:rsid w:val="00862502"/>
    <w:rsid w:val="008647DA"/>
    <w:rsid w:val="00864974"/>
    <w:rsid w:val="0087347A"/>
    <w:rsid w:val="008742B4"/>
    <w:rsid w:val="00876566"/>
    <w:rsid w:val="00882874"/>
    <w:rsid w:val="00883787"/>
    <w:rsid w:val="00885F65"/>
    <w:rsid w:val="00887FF0"/>
    <w:rsid w:val="00890F59"/>
    <w:rsid w:val="00894489"/>
    <w:rsid w:val="008963A5"/>
    <w:rsid w:val="008A1591"/>
    <w:rsid w:val="008A39A4"/>
    <w:rsid w:val="008A3C3E"/>
    <w:rsid w:val="008A64BA"/>
    <w:rsid w:val="008A79DE"/>
    <w:rsid w:val="008A7AF4"/>
    <w:rsid w:val="008B57AC"/>
    <w:rsid w:val="008B5BC1"/>
    <w:rsid w:val="008B5E6D"/>
    <w:rsid w:val="008B7738"/>
    <w:rsid w:val="008B7D7E"/>
    <w:rsid w:val="008C1173"/>
    <w:rsid w:val="008C14F7"/>
    <w:rsid w:val="008C7ECB"/>
    <w:rsid w:val="008D1EC3"/>
    <w:rsid w:val="008D20F0"/>
    <w:rsid w:val="008D34B3"/>
    <w:rsid w:val="008D7EEF"/>
    <w:rsid w:val="008E0B09"/>
    <w:rsid w:val="008E1B9E"/>
    <w:rsid w:val="008E2289"/>
    <w:rsid w:val="008E3589"/>
    <w:rsid w:val="008E578D"/>
    <w:rsid w:val="008E6936"/>
    <w:rsid w:val="008F02D8"/>
    <w:rsid w:val="008F03CF"/>
    <w:rsid w:val="008F08DB"/>
    <w:rsid w:val="008F120A"/>
    <w:rsid w:val="008F48EB"/>
    <w:rsid w:val="008F4DBA"/>
    <w:rsid w:val="008F4F0B"/>
    <w:rsid w:val="008F50BC"/>
    <w:rsid w:val="008F512C"/>
    <w:rsid w:val="008F54E8"/>
    <w:rsid w:val="00900871"/>
    <w:rsid w:val="009062A5"/>
    <w:rsid w:val="00907563"/>
    <w:rsid w:val="009108D2"/>
    <w:rsid w:val="00911272"/>
    <w:rsid w:val="00911537"/>
    <w:rsid w:val="0091406B"/>
    <w:rsid w:val="009144FD"/>
    <w:rsid w:val="00914F14"/>
    <w:rsid w:val="00915113"/>
    <w:rsid w:val="009174CE"/>
    <w:rsid w:val="00922E04"/>
    <w:rsid w:val="009265D0"/>
    <w:rsid w:val="00930355"/>
    <w:rsid w:val="00933733"/>
    <w:rsid w:val="00935271"/>
    <w:rsid w:val="0094074B"/>
    <w:rsid w:val="00940792"/>
    <w:rsid w:val="00941402"/>
    <w:rsid w:val="0094229B"/>
    <w:rsid w:val="00946679"/>
    <w:rsid w:val="0095054B"/>
    <w:rsid w:val="00953BD1"/>
    <w:rsid w:val="0095508B"/>
    <w:rsid w:val="00962CB9"/>
    <w:rsid w:val="00963061"/>
    <w:rsid w:val="00963CCD"/>
    <w:rsid w:val="009641D7"/>
    <w:rsid w:val="00964312"/>
    <w:rsid w:val="009644AC"/>
    <w:rsid w:val="009651B5"/>
    <w:rsid w:val="009679AF"/>
    <w:rsid w:val="0097107E"/>
    <w:rsid w:val="00971CC2"/>
    <w:rsid w:val="009734F4"/>
    <w:rsid w:val="00977971"/>
    <w:rsid w:val="00977D82"/>
    <w:rsid w:val="009835FB"/>
    <w:rsid w:val="00983E57"/>
    <w:rsid w:val="009907EE"/>
    <w:rsid w:val="00996B1A"/>
    <w:rsid w:val="009A4962"/>
    <w:rsid w:val="009A7976"/>
    <w:rsid w:val="009B1D1F"/>
    <w:rsid w:val="009B3E26"/>
    <w:rsid w:val="009C164A"/>
    <w:rsid w:val="009C433A"/>
    <w:rsid w:val="009C57BA"/>
    <w:rsid w:val="009C5C47"/>
    <w:rsid w:val="009C714F"/>
    <w:rsid w:val="009D5B91"/>
    <w:rsid w:val="009E01BA"/>
    <w:rsid w:val="009E1A59"/>
    <w:rsid w:val="009E1DE3"/>
    <w:rsid w:val="009E4C07"/>
    <w:rsid w:val="009E628D"/>
    <w:rsid w:val="009E6DEA"/>
    <w:rsid w:val="009F06C5"/>
    <w:rsid w:val="009F3D66"/>
    <w:rsid w:val="009F70A4"/>
    <w:rsid w:val="00A037AA"/>
    <w:rsid w:val="00A03D43"/>
    <w:rsid w:val="00A04380"/>
    <w:rsid w:val="00A058AB"/>
    <w:rsid w:val="00A06B46"/>
    <w:rsid w:val="00A07018"/>
    <w:rsid w:val="00A12F6A"/>
    <w:rsid w:val="00A13948"/>
    <w:rsid w:val="00A15F92"/>
    <w:rsid w:val="00A23733"/>
    <w:rsid w:val="00A2449F"/>
    <w:rsid w:val="00A273CE"/>
    <w:rsid w:val="00A27AEC"/>
    <w:rsid w:val="00A335B5"/>
    <w:rsid w:val="00A35D16"/>
    <w:rsid w:val="00A40150"/>
    <w:rsid w:val="00A4099D"/>
    <w:rsid w:val="00A4115F"/>
    <w:rsid w:val="00A43B6A"/>
    <w:rsid w:val="00A43C59"/>
    <w:rsid w:val="00A43EED"/>
    <w:rsid w:val="00A50ECD"/>
    <w:rsid w:val="00A52729"/>
    <w:rsid w:val="00A53675"/>
    <w:rsid w:val="00A54B7F"/>
    <w:rsid w:val="00A56B6A"/>
    <w:rsid w:val="00A578DC"/>
    <w:rsid w:val="00A612DD"/>
    <w:rsid w:val="00A64D26"/>
    <w:rsid w:val="00A6725B"/>
    <w:rsid w:val="00A67C3A"/>
    <w:rsid w:val="00A71A54"/>
    <w:rsid w:val="00A73383"/>
    <w:rsid w:val="00A807F8"/>
    <w:rsid w:val="00A83B56"/>
    <w:rsid w:val="00A85A37"/>
    <w:rsid w:val="00A86E7E"/>
    <w:rsid w:val="00A86E8B"/>
    <w:rsid w:val="00A87B5C"/>
    <w:rsid w:val="00A93072"/>
    <w:rsid w:val="00A93199"/>
    <w:rsid w:val="00A942A4"/>
    <w:rsid w:val="00A959D8"/>
    <w:rsid w:val="00A96593"/>
    <w:rsid w:val="00A97A13"/>
    <w:rsid w:val="00AA52C7"/>
    <w:rsid w:val="00AB042A"/>
    <w:rsid w:val="00AB2D34"/>
    <w:rsid w:val="00AB3430"/>
    <w:rsid w:val="00AB7CFA"/>
    <w:rsid w:val="00AC042E"/>
    <w:rsid w:val="00AC10CC"/>
    <w:rsid w:val="00AC1C40"/>
    <w:rsid w:val="00AC2C7E"/>
    <w:rsid w:val="00AC63C2"/>
    <w:rsid w:val="00AC71D2"/>
    <w:rsid w:val="00AC76F6"/>
    <w:rsid w:val="00AD01B8"/>
    <w:rsid w:val="00AD186B"/>
    <w:rsid w:val="00AD1FC1"/>
    <w:rsid w:val="00AD493B"/>
    <w:rsid w:val="00AD4AE1"/>
    <w:rsid w:val="00AD5D7B"/>
    <w:rsid w:val="00AE67B2"/>
    <w:rsid w:val="00AF178E"/>
    <w:rsid w:val="00B05188"/>
    <w:rsid w:val="00B072C1"/>
    <w:rsid w:val="00B12B83"/>
    <w:rsid w:val="00B14FC1"/>
    <w:rsid w:val="00B2445F"/>
    <w:rsid w:val="00B25BA9"/>
    <w:rsid w:val="00B340A6"/>
    <w:rsid w:val="00B40291"/>
    <w:rsid w:val="00B42141"/>
    <w:rsid w:val="00B42851"/>
    <w:rsid w:val="00B43A76"/>
    <w:rsid w:val="00B43D61"/>
    <w:rsid w:val="00B47CDD"/>
    <w:rsid w:val="00B50DB8"/>
    <w:rsid w:val="00B53905"/>
    <w:rsid w:val="00B54B5B"/>
    <w:rsid w:val="00B5562E"/>
    <w:rsid w:val="00B57000"/>
    <w:rsid w:val="00B60939"/>
    <w:rsid w:val="00B60AFD"/>
    <w:rsid w:val="00B6209E"/>
    <w:rsid w:val="00B62715"/>
    <w:rsid w:val="00B6692D"/>
    <w:rsid w:val="00B80C94"/>
    <w:rsid w:val="00B812D6"/>
    <w:rsid w:val="00B818A4"/>
    <w:rsid w:val="00B82677"/>
    <w:rsid w:val="00B8649C"/>
    <w:rsid w:val="00B87416"/>
    <w:rsid w:val="00B90437"/>
    <w:rsid w:val="00B90554"/>
    <w:rsid w:val="00B92D0B"/>
    <w:rsid w:val="00B945F9"/>
    <w:rsid w:val="00B94945"/>
    <w:rsid w:val="00B97F61"/>
    <w:rsid w:val="00BA1DFF"/>
    <w:rsid w:val="00BA4F24"/>
    <w:rsid w:val="00BA4F6D"/>
    <w:rsid w:val="00BA6C43"/>
    <w:rsid w:val="00BB1EB2"/>
    <w:rsid w:val="00BB3BD8"/>
    <w:rsid w:val="00BB7405"/>
    <w:rsid w:val="00BD17A2"/>
    <w:rsid w:val="00BD3363"/>
    <w:rsid w:val="00BD6CF3"/>
    <w:rsid w:val="00BD7FB7"/>
    <w:rsid w:val="00BE2180"/>
    <w:rsid w:val="00BE3BF7"/>
    <w:rsid w:val="00BE3D59"/>
    <w:rsid w:val="00BE4275"/>
    <w:rsid w:val="00BE748B"/>
    <w:rsid w:val="00BF2433"/>
    <w:rsid w:val="00BF4007"/>
    <w:rsid w:val="00BF53E1"/>
    <w:rsid w:val="00BF61C9"/>
    <w:rsid w:val="00BF6724"/>
    <w:rsid w:val="00C004BA"/>
    <w:rsid w:val="00C03304"/>
    <w:rsid w:val="00C03550"/>
    <w:rsid w:val="00C0506C"/>
    <w:rsid w:val="00C06093"/>
    <w:rsid w:val="00C06121"/>
    <w:rsid w:val="00C06326"/>
    <w:rsid w:val="00C10A77"/>
    <w:rsid w:val="00C135A0"/>
    <w:rsid w:val="00C13789"/>
    <w:rsid w:val="00C15E2C"/>
    <w:rsid w:val="00C22422"/>
    <w:rsid w:val="00C25418"/>
    <w:rsid w:val="00C25D9C"/>
    <w:rsid w:val="00C31649"/>
    <w:rsid w:val="00C320EB"/>
    <w:rsid w:val="00C342A7"/>
    <w:rsid w:val="00C3512E"/>
    <w:rsid w:val="00C35A27"/>
    <w:rsid w:val="00C40385"/>
    <w:rsid w:val="00C41EB5"/>
    <w:rsid w:val="00C56B61"/>
    <w:rsid w:val="00C626F8"/>
    <w:rsid w:val="00C64BB7"/>
    <w:rsid w:val="00C65576"/>
    <w:rsid w:val="00C66165"/>
    <w:rsid w:val="00C71023"/>
    <w:rsid w:val="00C7217C"/>
    <w:rsid w:val="00C74D1F"/>
    <w:rsid w:val="00C750C8"/>
    <w:rsid w:val="00C80460"/>
    <w:rsid w:val="00C8213F"/>
    <w:rsid w:val="00C83A88"/>
    <w:rsid w:val="00C84121"/>
    <w:rsid w:val="00C850D5"/>
    <w:rsid w:val="00C8797A"/>
    <w:rsid w:val="00C91363"/>
    <w:rsid w:val="00C9377E"/>
    <w:rsid w:val="00C938CF"/>
    <w:rsid w:val="00CA027C"/>
    <w:rsid w:val="00CA0879"/>
    <w:rsid w:val="00CA1803"/>
    <w:rsid w:val="00CA5245"/>
    <w:rsid w:val="00CA5926"/>
    <w:rsid w:val="00CA6776"/>
    <w:rsid w:val="00CA7B09"/>
    <w:rsid w:val="00CB1315"/>
    <w:rsid w:val="00CB32E4"/>
    <w:rsid w:val="00CB431F"/>
    <w:rsid w:val="00CB5A13"/>
    <w:rsid w:val="00CB5B1A"/>
    <w:rsid w:val="00CB5E1D"/>
    <w:rsid w:val="00CC2B67"/>
    <w:rsid w:val="00CC3256"/>
    <w:rsid w:val="00CC3CC7"/>
    <w:rsid w:val="00CC4D12"/>
    <w:rsid w:val="00CC6501"/>
    <w:rsid w:val="00CC6653"/>
    <w:rsid w:val="00CD05EC"/>
    <w:rsid w:val="00CD076C"/>
    <w:rsid w:val="00CD6ADC"/>
    <w:rsid w:val="00CD6E5C"/>
    <w:rsid w:val="00CE081B"/>
    <w:rsid w:val="00CE328D"/>
    <w:rsid w:val="00CE6274"/>
    <w:rsid w:val="00CE706A"/>
    <w:rsid w:val="00CF456B"/>
    <w:rsid w:val="00CF5A22"/>
    <w:rsid w:val="00D007D3"/>
    <w:rsid w:val="00D00EBC"/>
    <w:rsid w:val="00D0262E"/>
    <w:rsid w:val="00D02EC2"/>
    <w:rsid w:val="00D04A8A"/>
    <w:rsid w:val="00D06452"/>
    <w:rsid w:val="00D110BD"/>
    <w:rsid w:val="00D114AD"/>
    <w:rsid w:val="00D17526"/>
    <w:rsid w:val="00D17D6C"/>
    <w:rsid w:val="00D20A21"/>
    <w:rsid w:val="00D25860"/>
    <w:rsid w:val="00D300D5"/>
    <w:rsid w:val="00D30E53"/>
    <w:rsid w:val="00D34E4E"/>
    <w:rsid w:val="00D357FF"/>
    <w:rsid w:val="00D4193A"/>
    <w:rsid w:val="00D4455F"/>
    <w:rsid w:val="00D54599"/>
    <w:rsid w:val="00D56047"/>
    <w:rsid w:val="00D566D0"/>
    <w:rsid w:val="00D57C07"/>
    <w:rsid w:val="00D6635B"/>
    <w:rsid w:val="00D70B73"/>
    <w:rsid w:val="00D7228B"/>
    <w:rsid w:val="00D76A44"/>
    <w:rsid w:val="00D87519"/>
    <w:rsid w:val="00D93753"/>
    <w:rsid w:val="00D95B68"/>
    <w:rsid w:val="00DA77A5"/>
    <w:rsid w:val="00DB1B12"/>
    <w:rsid w:val="00DB6765"/>
    <w:rsid w:val="00DB6DDC"/>
    <w:rsid w:val="00DB71FE"/>
    <w:rsid w:val="00DB76FF"/>
    <w:rsid w:val="00DC0612"/>
    <w:rsid w:val="00DC4E4F"/>
    <w:rsid w:val="00DC5501"/>
    <w:rsid w:val="00DD0758"/>
    <w:rsid w:val="00DD1283"/>
    <w:rsid w:val="00DD2F62"/>
    <w:rsid w:val="00DD3BFD"/>
    <w:rsid w:val="00DD3F28"/>
    <w:rsid w:val="00DD4537"/>
    <w:rsid w:val="00DD4E15"/>
    <w:rsid w:val="00DD631B"/>
    <w:rsid w:val="00DD6920"/>
    <w:rsid w:val="00DE22B9"/>
    <w:rsid w:val="00DE4F3F"/>
    <w:rsid w:val="00DE4FCB"/>
    <w:rsid w:val="00DE535F"/>
    <w:rsid w:val="00DE6113"/>
    <w:rsid w:val="00DE7E68"/>
    <w:rsid w:val="00DF5BB2"/>
    <w:rsid w:val="00DF5D16"/>
    <w:rsid w:val="00DF5D2B"/>
    <w:rsid w:val="00DF6B4C"/>
    <w:rsid w:val="00E01C8F"/>
    <w:rsid w:val="00E01EA4"/>
    <w:rsid w:val="00E022F9"/>
    <w:rsid w:val="00E0549F"/>
    <w:rsid w:val="00E10149"/>
    <w:rsid w:val="00E16372"/>
    <w:rsid w:val="00E17B18"/>
    <w:rsid w:val="00E20ED6"/>
    <w:rsid w:val="00E21358"/>
    <w:rsid w:val="00E22114"/>
    <w:rsid w:val="00E2249B"/>
    <w:rsid w:val="00E22A0D"/>
    <w:rsid w:val="00E23F0D"/>
    <w:rsid w:val="00E26FAD"/>
    <w:rsid w:val="00E2771E"/>
    <w:rsid w:val="00E307E0"/>
    <w:rsid w:val="00E32C74"/>
    <w:rsid w:val="00E35E43"/>
    <w:rsid w:val="00E37569"/>
    <w:rsid w:val="00E41E30"/>
    <w:rsid w:val="00E43D70"/>
    <w:rsid w:val="00E47B2C"/>
    <w:rsid w:val="00E51560"/>
    <w:rsid w:val="00E55424"/>
    <w:rsid w:val="00E55BB5"/>
    <w:rsid w:val="00E608D6"/>
    <w:rsid w:val="00E61ACC"/>
    <w:rsid w:val="00E63998"/>
    <w:rsid w:val="00E649EE"/>
    <w:rsid w:val="00E65E79"/>
    <w:rsid w:val="00E65F3F"/>
    <w:rsid w:val="00E67416"/>
    <w:rsid w:val="00E71640"/>
    <w:rsid w:val="00E718B6"/>
    <w:rsid w:val="00E72F3E"/>
    <w:rsid w:val="00E73581"/>
    <w:rsid w:val="00E75EC3"/>
    <w:rsid w:val="00E767A5"/>
    <w:rsid w:val="00E77648"/>
    <w:rsid w:val="00E77AF6"/>
    <w:rsid w:val="00E839A2"/>
    <w:rsid w:val="00E83BDF"/>
    <w:rsid w:val="00E85A91"/>
    <w:rsid w:val="00E864FF"/>
    <w:rsid w:val="00EA3703"/>
    <w:rsid w:val="00EA3864"/>
    <w:rsid w:val="00EB02C6"/>
    <w:rsid w:val="00EB120B"/>
    <w:rsid w:val="00EB15B6"/>
    <w:rsid w:val="00EB1DE9"/>
    <w:rsid w:val="00EB2D5F"/>
    <w:rsid w:val="00EB4916"/>
    <w:rsid w:val="00EB4C68"/>
    <w:rsid w:val="00EC00C9"/>
    <w:rsid w:val="00EC36CD"/>
    <w:rsid w:val="00ED1355"/>
    <w:rsid w:val="00ED3E5B"/>
    <w:rsid w:val="00EE0273"/>
    <w:rsid w:val="00EE07D3"/>
    <w:rsid w:val="00EE6F8D"/>
    <w:rsid w:val="00EE735B"/>
    <w:rsid w:val="00EE792E"/>
    <w:rsid w:val="00EF0ACE"/>
    <w:rsid w:val="00EF2377"/>
    <w:rsid w:val="00EF2D62"/>
    <w:rsid w:val="00EF366E"/>
    <w:rsid w:val="00EF4BA7"/>
    <w:rsid w:val="00F017C3"/>
    <w:rsid w:val="00F067A2"/>
    <w:rsid w:val="00F0696C"/>
    <w:rsid w:val="00F12AB9"/>
    <w:rsid w:val="00F13A66"/>
    <w:rsid w:val="00F17581"/>
    <w:rsid w:val="00F17C30"/>
    <w:rsid w:val="00F24124"/>
    <w:rsid w:val="00F24837"/>
    <w:rsid w:val="00F24916"/>
    <w:rsid w:val="00F2575F"/>
    <w:rsid w:val="00F31960"/>
    <w:rsid w:val="00F33DE9"/>
    <w:rsid w:val="00F3619A"/>
    <w:rsid w:val="00F36755"/>
    <w:rsid w:val="00F36C79"/>
    <w:rsid w:val="00F44E34"/>
    <w:rsid w:val="00F46CB6"/>
    <w:rsid w:val="00F52B95"/>
    <w:rsid w:val="00F55E73"/>
    <w:rsid w:val="00F60092"/>
    <w:rsid w:val="00F61C43"/>
    <w:rsid w:val="00F623C1"/>
    <w:rsid w:val="00F646F8"/>
    <w:rsid w:val="00F73EC6"/>
    <w:rsid w:val="00F74FB3"/>
    <w:rsid w:val="00F772DB"/>
    <w:rsid w:val="00F8003D"/>
    <w:rsid w:val="00F80943"/>
    <w:rsid w:val="00F80E5D"/>
    <w:rsid w:val="00F851CE"/>
    <w:rsid w:val="00F85D92"/>
    <w:rsid w:val="00F906A7"/>
    <w:rsid w:val="00F91F96"/>
    <w:rsid w:val="00F92F84"/>
    <w:rsid w:val="00F97A78"/>
    <w:rsid w:val="00FA11A6"/>
    <w:rsid w:val="00FA24E7"/>
    <w:rsid w:val="00FA44CC"/>
    <w:rsid w:val="00FA597D"/>
    <w:rsid w:val="00FA7FA5"/>
    <w:rsid w:val="00FB11AE"/>
    <w:rsid w:val="00FB19BD"/>
    <w:rsid w:val="00FB2FCB"/>
    <w:rsid w:val="00FB58B7"/>
    <w:rsid w:val="00FB5F47"/>
    <w:rsid w:val="00FC1074"/>
    <w:rsid w:val="00FC1884"/>
    <w:rsid w:val="00FC33D6"/>
    <w:rsid w:val="00FC4202"/>
    <w:rsid w:val="00FC6477"/>
    <w:rsid w:val="00FD2100"/>
    <w:rsid w:val="00FD3634"/>
    <w:rsid w:val="00FD446D"/>
    <w:rsid w:val="00FD7A58"/>
    <w:rsid w:val="00FE6F1F"/>
    <w:rsid w:val="00FF1C1C"/>
    <w:rsid w:val="00FF2C33"/>
    <w:rsid w:val="00FF2DEC"/>
    <w:rsid w:val="00FF3DCF"/>
    <w:rsid w:val="00FF5AA3"/>
    <w:rsid w:val="00FF5C1A"/>
    <w:rsid w:val="00FF63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Table">
    <w:name w:val="Table"/>
    <w:basedOn w:val="Normal"/>
    <w:link w:val="TableChar"/>
    <w:qFormat/>
    <w:rsid w:val="00E72F3E"/>
    <w:pPr>
      <w:widowControl/>
      <w:spacing w:line="276" w:lineRule="auto"/>
      <w:jc w:val="left"/>
    </w:pPr>
    <w:rPr>
      <w:rFonts w:eastAsiaTheme="majorEastAsia" w:cstheme="majorBidi"/>
      <w:snapToGrid/>
      <w:sz w:val="18"/>
      <w:szCs w:val="22"/>
      <w:lang w:bidi="en-US"/>
    </w:rPr>
  </w:style>
  <w:style w:type="character" w:customStyle="1" w:styleId="TableChar">
    <w:name w:val="Table Char"/>
    <w:basedOn w:val="DefaultParagraphFont"/>
    <w:link w:val="Table"/>
    <w:locked/>
    <w:rsid w:val="00E72F3E"/>
    <w:rPr>
      <w:rFonts w:ascii="Arial" w:eastAsiaTheme="majorEastAsia" w:hAnsi="Arial" w:cstheme="majorBidi"/>
      <w:sz w:val="18"/>
      <w:szCs w:val="22"/>
      <w:lang w:eastAsia="en-US" w:bidi="en-US"/>
    </w:rPr>
  </w:style>
  <w:style w:type="paragraph" w:customStyle="1" w:styleId="TableText1">
    <w:name w:val="Table Text"/>
    <w:basedOn w:val="Normal"/>
    <w:link w:val="TableTextChar1"/>
    <w:qFormat/>
    <w:rsid w:val="00EB2D5F"/>
    <w:pPr>
      <w:widowControl/>
      <w:jc w:val="left"/>
    </w:pPr>
    <w:rPr>
      <w:rFonts w:eastAsia="SimSun" w:cs="Times New Roman"/>
      <w:snapToGrid/>
      <w:sz w:val="20"/>
      <w:lang w:eastAsia="zh-CN"/>
    </w:rPr>
  </w:style>
  <w:style w:type="character" w:customStyle="1" w:styleId="TableTextChar1">
    <w:name w:val="Table Text Char"/>
    <w:link w:val="TableText1"/>
    <w:rsid w:val="00EB2D5F"/>
    <w:rPr>
      <w:rFonts w:ascii="Arial" w:eastAsia="SimSun" w:hAnsi="Arial"/>
      <w:lang w:eastAsia="zh-CN"/>
    </w:rPr>
  </w:style>
  <w:style w:type="character" w:customStyle="1" w:styleId="Small">
    <w:name w:val="Small"/>
    <w:basedOn w:val="DefaultParagraphFont"/>
    <w:uiPriority w:val="4"/>
    <w:qFormat/>
    <w:rsid w:val="00C0506C"/>
    <w:rPr>
      <w:rFonts w:ascii="Arial" w:hAnsi="Arial"/>
      <w:sz w:val="20"/>
    </w:rPr>
  </w:style>
  <w:style w:type="character" w:customStyle="1" w:styleId="SmallBold">
    <w:name w:val="Small Bold"/>
    <w:basedOn w:val="Small"/>
    <w:uiPriority w:val="4"/>
    <w:qFormat/>
    <w:rsid w:val="00C0506C"/>
    <w:rPr>
      <w:rFonts w:ascii="Arial" w:hAnsi="Arial"/>
      <w:b/>
      <w:sz w:val="18"/>
      <w:lang w:val="en-AU"/>
    </w:rPr>
  </w:style>
  <w:style w:type="paragraph" w:customStyle="1" w:styleId="TableNotes4">
    <w:name w:val="Table Notes4"/>
    <w:basedOn w:val="Normal"/>
    <w:next w:val="Normal"/>
    <w:rsid w:val="00AC76F6"/>
    <w:pPr>
      <w:keepLines/>
      <w:widowControl/>
      <w:tabs>
        <w:tab w:val="left" w:pos="1134"/>
      </w:tabs>
      <w:ind w:left="1140" w:hanging="1140"/>
    </w:pPr>
    <w:rPr>
      <w:rFonts w:cs="Arial Narrow"/>
      <w:snapToGrid/>
      <w:sz w:val="16"/>
      <w:szCs w:val="18"/>
    </w:rPr>
  </w:style>
  <w:style w:type="character" w:customStyle="1" w:styleId="TableTextChar0">
    <w:name w:val="TableText Char"/>
    <w:link w:val="TableText0"/>
    <w:rsid w:val="00D7228B"/>
    <w:rPr>
      <w:rFonts w:ascii="Arial Narrow" w:hAnsi="Arial Narrow" w:cs="Arial Narrow"/>
      <w:lang w:eastAsia="en-US"/>
    </w:rPr>
  </w:style>
  <w:style w:type="paragraph" w:customStyle="1" w:styleId="COMtbl-HEADLeftAligned">
    <w:name w:val="COMtbl-HEAD Left Aligned"/>
    <w:basedOn w:val="Normal"/>
    <w:qFormat/>
    <w:rsid w:val="00D7228B"/>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D7228B"/>
    <w:pPr>
      <w:jc w:val="center"/>
    </w:pPr>
  </w:style>
  <w:style w:type="paragraph" w:customStyle="1" w:styleId="COMTbl-cap">
    <w:name w:val="COMTbl-cap"/>
    <w:basedOn w:val="Normal"/>
    <w:link w:val="COMTbl-capChar"/>
    <w:qFormat/>
    <w:rsid w:val="00D7228B"/>
    <w:pPr>
      <w:keepNext/>
    </w:pPr>
    <w:rPr>
      <w:rFonts w:ascii="Arial Narrow" w:hAnsi="Arial Narrow"/>
      <w:b/>
      <w:sz w:val="20"/>
    </w:rPr>
  </w:style>
  <w:style w:type="character" w:customStyle="1" w:styleId="COMTbl-capChar">
    <w:name w:val="COMTbl-cap Char"/>
    <w:basedOn w:val="DefaultParagraphFont"/>
    <w:link w:val="COMTbl-cap"/>
    <w:rsid w:val="00D7228B"/>
    <w:rPr>
      <w:rFonts w:ascii="Arial Narrow" w:hAnsi="Arial Narrow" w:cs="Arial"/>
      <w:b/>
      <w:snapToGrid w:val="0"/>
      <w:lang w:eastAsia="en-US"/>
    </w:rPr>
  </w:style>
  <w:style w:type="character" w:customStyle="1" w:styleId="TableFooterChar">
    <w:name w:val="Table Footer Char"/>
    <w:link w:val="TableFooter"/>
    <w:rsid w:val="005274E1"/>
    <w:rPr>
      <w:rFonts w:ascii="Arial Narrow" w:hAnsi="Arial Narrow" w:cs="Arial"/>
      <w:snapToGrid w:val="0"/>
      <w:sz w:val="18"/>
      <w:lang w:eastAsia="en-US"/>
    </w:rPr>
  </w:style>
  <w:style w:type="paragraph" w:customStyle="1" w:styleId="TableCentre">
    <w:name w:val="Table Centre"/>
    <w:basedOn w:val="Table"/>
    <w:qFormat/>
    <w:rsid w:val="000F24BB"/>
    <w:pPr>
      <w:spacing w:line="240" w:lineRule="auto"/>
      <w:jc w:val="center"/>
    </w:pPr>
  </w:style>
  <w:style w:type="paragraph" w:customStyle="1" w:styleId="TableText4">
    <w:name w:val="TableText4"/>
    <w:basedOn w:val="Normal"/>
    <w:qFormat/>
    <w:rsid w:val="00754C70"/>
    <w:pPr>
      <w:keepNext/>
      <w:widowControl/>
      <w:spacing w:before="40" w:after="40"/>
    </w:pPr>
    <w:rPr>
      <w:rFonts w:cs="Times New Roman"/>
      <w:snapToGrid/>
      <w:color w:val="000000"/>
      <w:sz w:val="18"/>
      <w:szCs w:val="21"/>
      <w:lang w:eastAsia="en-AU"/>
    </w:rPr>
  </w:style>
  <w:style w:type="character" w:customStyle="1" w:styleId="SmallSuperscript">
    <w:name w:val="Small Superscript"/>
    <w:basedOn w:val="DefaultParagraphFont"/>
    <w:uiPriority w:val="1"/>
    <w:qFormat/>
    <w:rsid w:val="001D582C"/>
    <w:rPr>
      <w:rFonts w:ascii="Candara" w:hAnsi="Candara"/>
      <w:sz w:val="20"/>
      <w:vertAlign w:val="superscript"/>
    </w:rPr>
  </w:style>
  <w:style w:type="paragraph" w:customStyle="1" w:styleId="Tableleft">
    <w:name w:val="Table left"/>
    <w:basedOn w:val="Normal"/>
    <w:link w:val="TableleftChar"/>
    <w:rsid w:val="00DD6920"/>
    <w:pPr>
      <w:widowControl/>
      <w:spacing w:before="40" w:after="40"/>
    </w:pPr>
    <w:rPr>
      <w:rFonts w:cs="Arial Narrow"/>
      <w:snapToGrid/>
      <w:sz w:val="18"/>
    </w:rPr>
  </w:style>
  <w:style w:type="character" w:customStyle="1" w:styleId="TableleftChar">
    <w:name w:val="Table left Char"/>
    <w:basedOn w:val="DefaultParagraphFont"/>
    <w:link w:val="Tableleft"/>
    <w:rsid w:val="00DD6920"/>
    <w:rPr>
      <w:rFonts w:ascii="Arial" w:hAnsi="Arial" w:cs="Arial Narrow"/>
      <w:sz w:val="18"/>
      <w:lang w:eastAsia="en-US"/>
    </w:rPr>
  </w:style>
  <w:style w:type="paragraph" w:customStyle="1" w:styleId="TableHeading3">
    <w:name w:val="TableHeading3"/>
    <w:basedOn w:val="Normal"/>
    <w:rsid w:val="00DD6920"/>
    <w:pPr>
      <w:keepNext/>
      <w:widowControl/>
      <w:spacing w:before="40" w:after="40"/>
    </w:pPr>
    <w:rPr>
      <w:rFonts w:cs="Times New Roman"/>
      <w:b/>
      <w:bCs/>
      <w:snapToGrid/>
      <w:color w:val="000000"/>
      <w:sz w:val="18"/>
      <w:szCs w:val="21"/>
      <w:lang w:eastAsia="en-AU"/>
    </w:rPr>
  </w:style>
  <w:style w:type="paragraph" w:customStyle="1" w:styleId="COMBody">
    <w:name w:val="COMBody"/>
    <w:basedOn w:val="Normal"/>
    <w:link w:val="COMBodyChar"/>
    <w:qFormat/>
    <w:rsid w:val="006D691A"/>
  </w:style>
  <w:style w:type="character" w:customStyle="1" w:styleId="COMBodyChar">
    <w:name w:val="COMBody Char"/>
    <w:basedOn w:val="DefaultParagraphFont"/>
    <w:link w:val="COMBody"/>
    <w:rsid w:val="006D691A"/>
    <w:rPr>
      <w:rFonts w:ascii="Arial" w:hAnsi="Arial" w:cs="Arial"/>
      <w:snapToGrid w:val="0"/>
      <w:sz w:val="22"/>
      <w:lang w:eastAsia="en-US"/>
    </w:rPr>
  </w:style>
  <w:style w:type="paragraph" w:customStyle="1" w:styleId="TableBullets">
    <w:name w:val="Table Bullets"/>
    <w:basedOn w:val="Normal"/>
    <w:uiPriority w:val="5"/>
    <w:qFormat/>
    <w:rsid w:val="006D691A"/>
    <w:pPr>
      <w:widowControl/>
      <w:numPr>
        <w:numId w:val="10"/>
      </w:numPr>
      <w:spacing w:line="276" w:lineRule="auto"/>
      <w:jc w:val="left"/>
    </w:pPr>
    <w:rPr>
      <w:rFonts w:eastAsiaTheme="majorEastAsia" w:cstheme="majorBidi"/>
      <w:snapToGrid/>
      <w:sz w:val="18"/>
      <w:szCs w:val="22"/>
      <w:lang w:bidi="en-US"/>
    </w:rPr>
  </w:style>
  <w:style w:type="paragraph" w:customStyle="1" w:styleId="CaptionFootnote">
    <w:name w:val="Caption Footnote"/>
    <w:basedOn w:val="Caption"/>
    <w:qFormat/>
    <w:rsid w:val="00652786"/>
    <w:pPr>
      <w:keepNext/>
      <w:spacing w:after="0"/>
    </w:pPr>
    <w:rPr>
      <w:rFonts w:eastAsiaTheme="majorEastAsia" w:cstheme="majorBidi"/>
      <w:b w:val="0"/>
      <w:snapToGrid/>
      <w:color w:val="auto"/>
      <w:sz w:val="16"/>
      <w:lang w:bidi="en-US"/>
    </w:rPr>
  </w:style>
  <w:style w:type="table" w:customStyle="1" w:styleId="TableGrid1">
    <w:name w:val="Table Grid1"/>
    <w:basedOn w:val="TableNormal"/>
    <w:next w:val="TableGrid"/>
    <w:rsid w:val="001A65BB"/>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ight">
    <w:name w:val="Table Right"/>
    <w:basedOn w:val="Table"/>
    <w:next w:val="Table"/>
    <w:qFormat/>
    <w:rsid w:val="00132767"/>
    <w:pPr>
      <w:spacing w:line="240" w:lineRule="auto"/>
      <w:jc w:val="right"/>
    </w:pPr>
  </w:style>
  <w:style w:type="character" w:customStyle="1" w:styleId="ListParagraphChar">
    <w:name w:val="List Paragraph Char"/>
    <w:link w:val="ListParagraph"/>
    <w:uiPriority w:val="72"/>
    <w:rsid w:val="00011AA4"/>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449F"/>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E864FF"/>
    <w:pPr>
      <w:ind w:left="720" w:hanging="720"/>
    </w:pPr>
    <w:rPr>
      <w:rFonts w:ascii="Arial"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paragraph" w:customStyle="1" w:styleId="Table">
    <w:name w:val="Table"/>
    <w:basedOn w:val="Normal"/>
    <w:link w:val="TableChar"/>
    <w:qFormat/>
    <w:rsid w:val="00E72F3E"/>
    <w:pPr>
      <w:widowControl/>
      <w:spacing w:line="276" w:lineRule="auto"/>
      <w:jc w:val="left"/>
    </w:pPr>
    <w:rPr>
      <w:rFonts w:eastAsiaTheme="majorEastAsia" w:cstheme="majorBidi"/>
      <w:snapToGrid/>
      <w:sz w:val="18"/>
      <w:szCs w:val="22"/>
      <w:lang w:bidi="en-US"/>
    </w:rPr>
  </w:style>
  <w:style w:type="character" w:customStyle="1" w:styleId="TableChar">
    <w:name w:val="Table Char"/>
    <w:basedOn w:val="DefaultParagraphFont"/>
    <w:link w:val="Table"/>
    <w:locked/>
    <w:rsid w:val="00E72F3E"/>
    <w:rPr>
      <w:rFonts w:ascii="Arial" w:eastAsiaTheme="majorEastAsia" w:hAnsi="Arial" w:cstheme="majorBidi"/>
      <w:sz w:val="18"/>
      <w:szCs w:val="22"/>
      <w:lang w:eastAsia="en-US" w:bidi="en-US"/>
    </w:rPr>
  </w:style>
  <w:style w:type="paragraph" w:customStyle="1" w:styleId="TableText1">
    <w:name w:val="Table Text"/>
    <w:basedOn w:val="Normal"/>
    <w:link w:val="TableTextChar1"/>
    <w:qFormat/>
    <w:rsid w:val="00EB2D5F"/>
    <w:pPr>
      <w:widowControl/>
      <w:jc w:val="left"/>
    </w:pPr>
    <w:rPr>
      <w:rFonts w:eastAsia="SimSun" w:cs="Times New Roman"/>
      <w:snapToGrid/>
      <w:sz w:val="20"/>
      <w:lang w:eastAsia="zh-CN"/>
    </w:rPr>
  </w:style>
  <w:style w:type="character" w:customStyle="1" w:styleId="TableTextChar1">
    <w:name w:val="Table Text Char"/>
    <w:link w:val="TableText1"/>
    <w:rsid w:val="00EB2D5F"/>
    <w:rPr>
      <w:rFonts w:ascii="Arial" w:eastAsia="SimSun" w:hAnsi="Arial"/>
      <w:lang w:eastAsia="zh-CN"/>
    </w:rPr>
  </w:style>
  <w:style w:type="character" w:customStyle="1" w:styleId="Small">
    <w:name w:val="Small"/>
    <w:basedOn w:val="DefaultParagraphFont"/>
    <w:uiPriority w:val="4"/>
    <w:qFormat/>
    <w:rsid w:val="00C0506C"/>
    <w:rPr>
      <w:rFonts w:ascii="Arial" w:hAnsi="Arial"/>
      <w:sz w:val="20"/>
    </w:rPr>
  </w:style>
  <w:style w:type="character" w:customStyle="1" w:styleId="SmallBold">
    <w:name w:val="Small Bold"/>
    <w:basedOn w:val="Small"/>
    <w:uiPriority w:val="4"/>
    <w:qFormat/>
    <w:rsid w:val="00C0506C"/>
    <w:rPr>
      <w:rFonts w:ascii="Arial" w:hAnsi="Arial"/>
      <w:b/>
      <w:sz w:val="18"/>
      <w:lang w:val="en-AU"/>
    </w:rPr>
  </w:style>
  <w:style w:type="paragraph" w:customStyle="1" w:styleId="TableNotes4">
    <w:name w:val="Table Notes4"/>
    <w:basedOn w:val="Normal"/>
    <w:next w:val="Normal"/>
    <w:rsid w:val="00AC76F6"/>
    <w:pPr>
      <w:keepLines/>
      <w:widowControl/>
      <w:tabs>
        <w:tab w:val="left" w:pos="1134"/>
      </w:tabs>
      <w:ind w:left="1140" w:hanging="1140"/>
    </w:pPr>
    <w:rPr>
      <w:rFonts w:cs="Arial Narrow"/>
      <w:snapToGrid/>
      <w:sz w:val="16"/>
      <w:szCs w:val="18"/>
    </w:rPr>
  </w:style>
  <w:style w:type="character" w:customStyle="1" w:styleId="TableTextChar0">
    <w:name w:val="TableText Char"/>
    <w:link w:val="TableText0"/>
    <w:rsid w:val="00D7228B"/>
    <w:rPr>
      <w:rFonts w:ascii="Arial Narrow" w:hAnsi="Arial Narrow" w:cs="Arial Narrow"/>
      <w:lang w:eastAsia="en-US"/>
    </w:rPr>
  </w:style>
  <w:style w:type="paragraph" w:customStyle="1" w:styleId="COMtbl-HEADLeftAligned">
    <w:name w:val="COMtbl-HEAD Left Aligned"/>
    <w:basedOn w:val="Normal"/>
    <w:qFormat/>
    <w:rsid w:val="00D7228B"/>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D7228B"/>
    <w:pPr>
      <w:jc w:val="center"/>
    </w:pPr>
  </w:style>
  <w:style w:type="paragraph" w:customStyle="1" w:styleId="COMTbl-cap">
    <w:name w:val="COMTbl-cap"/>
    <w:basedOn w:val="Normal"/>
    <w:link w:val="COMTbl-capChar"/>
    <w:qFormat/>
    <w:rsid w:val="00D7228B"/>
    <w:pPr>
      <w:keepNext/>
    </w:pPr>
    <w:rPr>
      <w:rFonts w:ascii="Arial Narrow" w:hAnsi="Arial Narrow"/>
      <w:b/>
      <w:sz w:val="20"/>
    </w:rPr>
  </w:style>
  <w:style w:type="character" w:customStyle="1" w:styleId="COMTbl-capChar">
    <w:name w:val="COMTbl-cap Char"/>
    <w:basedOn w:val="DefaultParagraphFont"/>
    <w:link w:val="COMTbl-cap"/>
    <w:rsid w:val="00D7228B"/>
    <w:rPr>
      <w:rFonts w:ascii="Arial Narrow" w:hAnsi="Arial Narrow" w:cs="Arial"/>
      <w:b/>
      <w:snapToGrid w:val="0"/>
      <w:lang w:eastAsia="en-US"/>
    </w:rPr>
  </w:style>
  <w:style w:type="character" w:customStyle="1" w:styleId="TableFooterChar">
    <w:name w:val="Table Footer Char"/>
    <w:link w:val="TableFooter"/>
    <w:rsid w:val="005274E1"/>
    <w:rPr>
      <w:rFonts w:ascii="Arial Narrow" w:hAnsi="Arial Narrow" w:cs="Arial"/>
      <w:snapToGrid w:val="0"/>
      <w:sz w:val="18"/>
      <w:lang w:eastAsia="en-US"/>
    </w:rPr>
  </w:style>
  <w:style w:type="paragraph" w:customStyle="1" w:styleId="TableCentre">
    <w:name w:val="Table Centre"/>
    <w:basedOn w:val="Table"/>
    <w:qFormat/>
    <w:rsid w:val="000F24BB"/>
    <w:pPr>
      <w:spacing w:line="240" w:lineRule="auto"/>
      <w:jc w:val="center"/>
    </w:pPr>
  </w:style>
  <w:style w:type="paragraph" w:customStyle="1" w:styleId="TableText4">
    <w:name w:val="TableText4"/>
    <w:basedOn w:val="Normal"/>
    <w:qFormat/>
    <w:rsid w:val="00754C70"/>
    <w:pPr>
      <w:keepNext/>
      <w:widowControl/>
      <w:spacing w:before="40" w:after="40"/>
    </w:pPr>
    <w:rPr>
      <w:rFonts w:cs="Times New Roman"/>
      <w:snapToGrid/>
      <w:color w:val="000000"/>
      <w:sz w:val="18"/>
      <w:szCs w:val="21"/>
      <w:lang w:eastAsia="en-AU"/>
    </w:rPr>
  </w:style>
  <w:style w:type="character" w:customStyle="1" w:styleId="SmallSuperscript">
    <w:name w:val="Small Superscript"/>
    <w:basedOn w:val="DefaultParagraphFont"/>
    <w:uiPriority w:val="1"/>
    <w:qFormat/>
    <w:rsid w:val="001D582C"/>
    <w:rPr>
      <w:rFonts w:ascii="Candara" w:hAnsi="Candara"/>
      <w:sz w:val="20"/>
      <w:vertAlign w:val="superscript"/>
    </w:rPr>
  </w:style>
  <w:style w:type="paragraph" w:customStyle="1" w:styleId="Tableleft">
    <w:name w:val="Table left"/>
    <w:basedOn w:val="Normal"/>
    <w:link w:val="TableleftChar"/>
    <w:rsid w:val="00DD6920"/>
    <w:pPr>
      <w:widowControl/>
      <w:spacing w:before="40" w:after="40"/>
    </w:pPr>
    <w:rPr>
      <w:rFonts w:cs="Arial Narrow"/>
      <w:snapToGrid/>
      <w:sz w:val="18"/>
    </w:rPr>
  </w:style>
  <w:style w:type="character" w:customStyle="1" w:styleId="TableleftChar">
    <w:name w:val="Table left Char"/>
    <w:basedOn w:val="DefaultParagraphFont"/>
    <w:link w:val="Tableleft"/>
    <w:rsid w:val="00DD6920"/>
    <w:rPr>
      <w:rFonts w:ascii="Arial" w:hAnsi="Arial" w:cs="Arial Narrow"/>
      <w:sz w:val="18"/>
      <w:lang w:eastAsia="en-US"/>
    </w:rPr>
  </w:style>
  <w:style w:type="paragraph" w:customStyle="1" w:styleId="TableHeading3">
    <w:name w:val="TableHeading3"/>
    <w:basedOn w:val="Normal"/>
    <w:rsid w:val="00DD6920"/>
    <w:pPr>
      <w:keepNext/>
      <w:widowControl/>
      <w:spacing w:before="40" w:after="40"/>
    </w:pPr>
    <w:rPr>
      <w:rFonts w:cs="Times New Roman"/>
      <w:b/>
      <w:bCs/>
      <w:snapToGrid/>
      <w:color w:val="000000"/>
      <w:sz w:val="18"/>
      <w:szCs w:val="21"/>
      <w:lang w:eastAsia="en-AU"/>
    </w:rPr>
  </w:style>
  <w:style w:type="paragraph" w:customStyle="1" w:styleId="COMBody">
    <w:name w:val="COMBody"/>
    <w:basedOn w:val="Normal"/>
    <w:link w:val="COMBodyChar"/>
    <w:qFormat/>
    <w:rsid w:val="006D691A"/>
  </w:style>
  <w:style w:type="character" w:customStyle="1" w:styleId="COMBodyChar">
    <w:name w:val="COMBody Char"/>
    <w:basedOn w:val="DefaultParagraphFont"/>
    <w:link w:val="COMBody"/>
    <w:rsid w:val="006D691A"/>
    <w:rPr>
      <w:rFonts w:ascii="Arial" w:hAnsi="Arial" w:cs="Arial"/>
      <w:snapToGrid w:val="0"/>
      <w:sz w:val="22"/>
      <w:lang w:eastAsia="en-US"/>
    </w:rPr>
  </w:style>
  <w:style w:type="paragraph" w:customStyle="1" w:styleId="TableBullets">
    <w:name w:val="Table Bullets"/>
    <w:basedOn w:val="Normal"/>
    <w:uiPriority w:val="5"/>
    <w:qFormat/>
    <w:rsid w:val="006D691A"/>
    <w:pPr>
      <w:widowControl/>
      <w:numPr>
        <w:numId w:val="10"/>
      </w:numPr>
      <w:spacing w:line="276" w:lineRule="auto"/>
      <w:jc w:val="left"/>
    </w:pPr>
    <w:rPr>
      <w:rFonts w:eastAsiaTheme="majorEastAsia" w:cstheme="majorBidi"/>
      <w:snapToGrid/>
      <w:sz w:val="18"/>
      <w:szCs w:val="22"/>
      <w:lang w:bidi="en-US"/>
    </w:rPr>
  </w:style>
  <w:style w:type="paragraph" w:customStyle="1" w:styleId="CaptionFootnote">
    <w:name w:val="Caption Footnote"/>
    <w:basedOn w:val="Caption"/>
    <w:qFormat/>
    <w:rsid w:val="00652786"/>
    <w:pPr>
      <w:keepNext/>
      <w:spacing w:after="0"/>
    </w:pPr>
    <w:rPr>
      <w:rFonts w:eastAsiaTheme="majorEastAsia" w:cstheme="majorBidi"/>
      <w:b w:val="0"/>
      <w:snapToGrid/>
      <w:color w:val="auto"/>
      <w:sz w:val="16"/>
      <w:lang w:bidi="en-US"/>
    </w:rPr>
  </w:style>
  <w:style w:type="table" w:customStyle="1" w:styleId="TableGrid1">
    <w:name w:val="Table Grid1"/>
    <w:basedOn w:val="TableNormal"/>
    <w:next w:val="TableGrid"/>
    <w:rsid w:val="001A65BB"/>
    <w:pPr>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ight">
    <w:name w:val="Table Right"/>
    <w:basedOn w:val="Table"/>
    <w:next w:val="Table"/>
    <w:qFormat/>
    <w:rsid w:val="00132767"/>
    <w:pPr>
      <w:spacing w:line="240" w:lineRule="auto"/>
      <w:jc w:val="right"/>
    </w:pPr>
  </w:style>
  <w:style w:type="character" w:customStyle="1" w:styleId="ListParagraphChar">
    <w:name w:val="List Paragraph Char"/>
    <w:link w:val="ListParagraph"/>
    <w:uiPriority w:val="72"/>
    <w:rsid w:val="00011AA4"/>
    <w:rPr>
      <w:rFonts w:ascii="Arial" w:hAnsi="Arial" w:cs="Arial"/>
      <w:snapToGrid w:val="0"/>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449F"/>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E864FF"/>
    <w:pPr>
      <w:ind w:left="720" w:hanging="720"/>
    </w:pPr>
    <w:rPr>
      <w:rFonts w:ascii="Arial"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2960">
      <w:bodyDiv w:val="1"/>
      <w:marLeft w:val="0"/>
      <w:marRight w:val="0"/>
      <w:marTop w:val="0"/>
      <w:marBottom w:val="0"/>
      <w:divBdr>
        <w:top w:val="none" w:sz="0" w:space="0" w:color="auto"/>
        <w:left w:val="none" w:sz="0" w:space="0" w:color="auto"/>
        <w:bottom w:val="none" w:sz="0" w:space="0" w:color="auto"/>
        <w:right w:val="none" w:sz="0" w:space="0" w:color="auto"/>
      </w:divBdr>
    </w:div>
    <w:div w:id="903377030">
      <w:bodyDiv w:val="1"/>
      <w:marLeft w:val="0"/>
      <w:marRight w:val="0"/>
      <w:marTop w:val="0"/>
      <w:marBottom w:val="0"/>
      <w:divBdr>
        <w:top w:val="none" w:sz="0" w:space="0" w:color="auto"/>
        <w:left w:val="none" w:sz="0" w:space="0" w:color="auto"/>
        <w:bottom w:val="none" w:sz="0" w:space="0" w:color="auto"/>
        <w:right w:val="none" w:sz="0" w:space="0" w:color="auto"/>
      </w:divBdr>
    </w:div>
    <w:div w:id="920716234">
      <w:bodyDiv w:val="1"/>
      <w:marLeft w:val="0"/>
      <w:marRight w:val="0"/>
      <w:marTop w:val="0"/>
      <w:marBottom w:val="0"/>
      <w:divBdr>
        <w:top w:val="none" w:sz="0" w:space="0" w:color="auto"/>
        <w:left w:val="none" w:sz="0" w:space="0" w:color="auto"/>
        <w:bottom w:val="none" w:sz="0" w:space="0" w:color="auto"/>
        <w:right w:val="none" w:sz="0" w:space="0" w:color="auto"/>
      </w:divBdr>
    </w:div>
    <w:div w:id="1064990206">
      <w:bodyDiv w:val="1"/>
      <w:marLeft w:val="0"/>
      <w:marRight w:val="0"/>
      <w:marTop w:val="0"/>
      <w:marBottom w:val="0"/>
      <w:divBdr>
        <w:top w:val="none" w:sz="0" w:space="0" w:color="auto"/>
        <w:left w:val="none" w:sz="0" w:space="0" w:color="auto"/>
        <w:bottom w:val="none" w:sz="0" w:space="0" w:color="auto"/>
        <w:right w:val="none" w:sz="0" w:space="0" w:color="auto"/>
      </w:divBdr>
    </w:div>
    <w:div w:id="1442263982">
      <w:bodyDiv w:val="1"/>
      <w:marLeft w:val="0"/>
      <w:marRight w:val="0"/>
      <w:marTop w:val="0"/>
      <w:marBottom w:val="0"/>
      <w:divBdr>
        <w:top w:val="none" w:sz="0" w:space="0" w:color="auto"/>
        <w:left w:val="none" w:sz="0" w:space="0" w:color="auto"/>
        <w:bottom w:val="none" w:sz="0" w:space="0" w:color="auto"/>
        <w:right w:val="none" w:sz="0" w:space="0" w:color="auto"/>
      </w:divBdr>
    </w:div>
    <w:div w:id="1627008577">
      <w:bodyDiv w:val="1"/>
      <w:marLeft w:val="0"/>
      <w:marRight w:val="0"/>
      <w:marTop w:val="0"/>
      <w:marBottom w:val="0"/>
      <w:divBdr>
        <w:top w:val="none" w:sz="0" w:space="0" w:color="auto"/>
        <w:left w:val="none" w:sz="0" w:space="0" w:color="auto"/>
        <w:bottom w:val="none" w:sz="0" w:space="0" w:color="auto"/>
        <w:right w:val="none" w:sz="0" w:space="0" w:color="auto"/>
      </w:divBdr>
    </w:div>
    <w:div w:id="16940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RAC14</b:Tag>
    <b:SourceType>DocumentFromInternetSite</b:SourceType>
    <b:Guid>{171A556C-0126-411D-9F5F-5A28FE516FDB}</b:Guid>
    <b:Author>
      <b:Author>
        <b:Corporate>RACGP</b:Corporate>
      </b:Author>
    </b:Author>
    <b:Title>General practice management of type 2 diabetes - 2014-2015</b:Title>
    <b:InternetSiteTitle>Melbourne: The Royal Australian College of General Practitioners and Diabetes Australia</b:InternetSiteTitle>
    <b:Year>2014</b:Year>
    <b:YearAccessed>2014</b:YearAccessed>
    <b:MonthAccessed>Dec</b:MonthAccessed>
    <b:DayAccessed>9</b:DayAccessed>
    <b:URL>http://www.diabetesaustralia.com.au/PageFiles/763/RACP%20Guidelines%20PDF.pdf </b:URL>
    <b:RefOrder>5</b:RefOrder>
  </b:Source>
  <b:Source>
    <b:Tag>Aus07</b:Tag>
    <b:SourceType>DocumentFromInternetSite</b:SourceType>
    <b:Guid>{2C185D22-1A6B-4B2A-ACC2-3B0EBAB866AB}</b:Guid>
    <b:Author>
      <b:Author>
        <b:Corporate>Australian Government</b:Corporate>
      </b:Author>
    </b:Author>
    <b:Title>Pioglitazone Public Summary Document</b:Title>
    <b:InternetSiteTitle>Department of Health and Ageing</b:InternetSiteTitle>
    <b:Year>2007</b:Year>
    <b:RefOrder>47</b:RefOrder>
  </b:Source>
  <b:Source>
    <b:Tag>Aus10</b:Tag>
    <b:SourceType>DocumentFromInternetSite</b:SourceType>
    <b:Guid>{FC484BA4-5674-4F04-881C-20131EB4429F}</b:Guid>
    <b:Author>
      <b:Author>
        <b:Corporate>Australian Government</b:Corporate>
      </b:Author>
    </b:Author>
    <b:Title>Liraglutide (Victoza) Public Summary Document</b:Title>
    <b:InternetSiteTitle>Department of Health and Ageing</b:InternetSiteTitle>
    <b:Year>2010</b:Year>
    <b:Month>November</b:Month>
    <b:RefOrder>48</b:RefOrder>
  </b:Source>
  <b:Source>
    <b:Tag>Aus101</b:Tag>
    <b:SourceType>DocumentFromInternetSite</b:SourceType>
    <b:Guid>{BE35923F-A661-4064-99F1-80A3ACB80412}</b:Guid>
    <b:Author>
      <b:Author>
        <b:Corporate>Australian Government</b:Corporate>
      </b:Author>
    </b:Author>
    <b:Title>Vildagliptin (Galvus) Public Summary Document</b:Title>
    <b:InternetSiteTitle>Department of Health and Ageing</b:InternetSiteTitle>
    <b:Year>2010</b:Year>
    <b:Month>March</b:Month>
    <b:RefOrder>49</b:RefOrder>
  </b:Source>
  <b:Source>
    <b:Tag>Aus071</b:Tag>
    <b:SourceType>DocumentFromInternetSite</b:SourceType>
    <b:Guid>{4AF4EDAC-EAF2-4AE9-90A5-8EEAAE179833}</b:Guid>
    <b:Author>
      <b:Author>
        <b:Corporate>Australian Government</b:Corporate>
      </b:Author>
    </b:Author>
    <b:Title>Rosiglitazone Public Summary Document</b:Title>
    <b:InternetSiteTitle>Department of Health and Ageing</b:InternetSiteTitle>
    <b:Year>2007</b:Year>
    <b:Month>November</b:Month>
    <b:RefOrder>50</b:RefOrder>
  </b:Source>
  <b:Source>
    <b:Tag>Pro142</b:Tag>
    <b:SourceType>Report</b:SourceType>
    <b:Guid>{65703199-EA99-4A23-8AFC-F2CA9E691D83}</b:Guid>
    <b:Title>Byetta (exenatide)</b:Title>
    <b:Year>2014</b:Year>
    <b:Author>
      <b:Author>
        <b:Corporate>Product Information</b:Corporate>
      </b:Author>
    </b:Author>
    <b:Publisher>AstraZeneca Pty Ltd</b:Publisher>
    <b:RefOrder>10</b:RefOrder>
  </b:Source>
</b:Sources>
</file>

<file path=customXml/itemProps1.xml><?xml version="1.0" encoding="utf-8"?>
<ds:datastoreItem xmlns:ds="http://schemas.openxmlformats.org/officeDocument/2006/customXml" ds:itemID="{C17CD9C8-0739-4C3E-8A2A-B73A8F07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5587</Words>
  <Characters>32733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2015-10-23T00:48:00Z</dcterms:created>
  <dcterms:modified xsi:type="dcterms:W3CDTF">2015-10-23T00:51:00Z</dcterms:modified>
</cp:coreProperties>
</file>