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00" w:rsidRDefault="00396A76" w:rsidP="00207D00">
      <w:pPr>
        <w:pStyle w:val="Heading1"/>
        <w:rPr>
          <w:sz w:val="28"/>
        </w:rPr>
      </w:pPr>
      <w:bookmarkStart w:id="0" w:name="_Toc419380188"/>
      <w:r w:rsidRPr="009F79B5">
        <w:rPr>
          <w:sz w:val="28"/>
        </w:rPr>
        <w:t>6.03</w:t>
      </w:r>
      <w:r w:rsidR="00B60939" w:rsidRPr="009F79B5">
        <w:rPr>
          <w:sz w:val="28"/>
        </w:rPr>
        <w:tab/>
      </w:r>
      <w:r w:rsidR="00723D54" w:rsidRPr="009F79B5">
        <w:rPr>
          <w:sz w:val="28"/>
        </w:rPr>
        <w:t>Simeprevir</w:t>
      </w:r>
      <w:r w:rsidR="00B60939" w:rsidRPr="009F79B5">
        <w:rPr>
          <w:sz w:val="28"/>
        </w:rPr>
        <w:t xml:space="preserve"> </w:t>
      </w:r>
    </w:p>
    <w:p w:rsidR="000E4400" w:rsidRDefault="00052B46" w:rsidP="000E4400">
      <w:pPr>
        <w:pStyle w:val="Heading1"/>
        <w:ind w:firstLine="0"/>
        <w:rPr>
          <w:sz w:val="28"/>
        </w:rPr>
      </w:pPr>
      <w:r w:rsidRPr="009F79B5">
        <w:rPr>
          <w:caps w:val="0"/>
          <w:sz w:val="28"/>
        </w:rPr>
        <w:t>capsule</w:t>
      </w:r>
      <w:r w:rsidR="00B60939" w:rsidRPr="009F79B5">
        <w:rPr>
          <w:sz w:val="28"/>
        </w:rPr>
        <w:t xml:space="preserve">, </w:t>
      </w:r>
      <w:r w:rsidR="00723D54" w:rsidRPr="009F79B5">
        <w:rPr>
          <w:sz w:val="28"/>
        </w:rPr>
        <w:t>150</w:t>
      </w:r>
      <w:r w:rsidR="00723D54" w:rsidRPr="009F79B5">
        <w:rPr>
          <w:caps w:val="0"/>
          <w:sz w:val="28"/>
        </w:rPr>
        <w:t>mg</w:t>
      </w:r>
      <w:r w:rsidR="00B60939" w:rsidRPr="009F79B5">
        <w:rPr>
          <w:sz w:val="28"/>
        </w:rPr>
        <w:t xml:space="preserve">, </w:t>
      </w:r>
      <w:r w:rsidR="00723D54" w:rsidRPr="009F79B5">
        <w:rPr>
          <w:caps w:val="0"/>
          <w:sz w:val="28"/>
        </w:rPr>
        <w:t>OLYSIO</w:t>
      </w:r>
      <w:r w:rsidR="00723D54" w:rsidRPr="009F79B5">
        <w:rPr>
          <w:caps w:val="0"/>
          <w:sz w:val="28"/>
          <w:vertAlign w:val="superscript"/>
        </w:rPr>
        <w:t>®</w:t>
      </w:r>
      <w:r w:rsidR="00AC21C3">
        <w:rPr>
          <w:sz w:val="28"/>
        </w:rPr>
        <w:t>;</w:t>
      </w:r>
      <w:bookmarkStart w:id="1" w:name="_GoBack"/>
      <w:bookmarkEnd w:id="1"/>
      <w:r w:rsidR="00B60939" w:rsidRPr="009F79B5">
        <w:rPr>
          <w:sz w:val="28"/>
        </w:rPr>
        <w:t xml:space="preserve"> </w:t>
      </w:r>
    </w:p>
    <w:p w:rsidR="00B60939" w:rsidRPr="009F79B5" w:rsidRDefault="00723D54" w:rsidP="000E4400">
      <w:pPr>
        <w:pStyle w:val="Heading1"/>
        <w:ind w:firstLine="0"/>
        <w:rPr>
          <w:sz w:val="28"/>
        </w:rPr>
      </w:pPr>
      <w:r w:rsidRPr="009F79B5">
        <w:rPr>
          <w:caps w:val="0"/>
          <w:sz w:val="28"/>
        </w:rPr>
        <w:t>Janssen-</w:t>
      </w:r>
      <w:proofErr w:type="spellStart"/>
      <w:r w:rsidRPr="009F79B5">
        <w:rPr>
          <w:caps w:val="0"/>
          <w:sz w:val="28"/>
        </w:rPr>
        <w:t>Cilag</w:t>
      </w:r>
      <w:proofErr w:type="spellEnd"/>
      <w:r w:rsidRPr="009F79B5">
        <w:rPr>
          <w:caps w:val="0"/>
          <w:sz w:val="28"/>
        </w:rPr>
        <w:t xml:space="preserve"> Pty Ltd</w:t>
      </w:r>
      <w:r w:rsidR="00B60939" w:rsidRPr="009F79B5">
        <w:rPr>
          <w:sz w:val="28"/>
        </w:rPr>
        <w:t>.</w:t>
      </w:r>
      <w:bookmarkEnd w:id="0"/>
    </w:p>
    <w:p w:rsidR="00B421A4" w:rsidRPr="009F79B5" w:rsidRDefault="00B421A4" w:rsidP="00B421A4"/>
    <w:p w:rsidR="00B421A4" w:rsidRPr="009F79B5" w:rsidRDefault="00B421A4" w:rsidP="00B421A4">
      <w:pPr>
        <w:pStyle w:val="PBACHeading1"/>
      </w:pPr>
      <w:bookmarkStart w:id="2" w:name="_Toc419380190"/>
      <w:r w:rsidRPr="009F79B5">
        <w:t>Purpose of Application</w:t>
      </w:r>
      <w:bookmarkEnd w:id="2"/>
    </w:p>
    <w:p w:rsidR="00B421A4" w:rsidRPr="009F79B5" w:rsidRDefault="00B421A4" w:rsidP="00B421A4">
      <w:pPr>
        <w:rPr>
          <w:szCs w:val="22"/>
        </w:rPr>
      </w:pPr>
    </w:p>
    <w:p w:rsidR="00B421A4" w:rsidRPr="009F79B5" w:rsidRDefault="00B421A4" w:rsidP="00B421A4">
      <w:pPr>
        <w:pStyle w:val="ListParagraph"/>
        <w:widowControl/>
        <w:numPr>
          <w:ilvl w:val="1"/>
          <w:numId w:val="4"/>
        </w:numPr>
        <w:rPr>
          <w:szCs w:val="22"/>
        </w:rPr>
      </w:pPr>
      <w:r w:rsidRPr="009F79B5">
        <w:t>The submission requested a Section 100 (Highly Specialised Drugs Program) Authority Required (Strea</w:t>
      </w:r>
      <w:r w:rsidR="00A60C90" w:rsidRPr="009F79B5">
        <w:t xml:space="preserve">mlined) listing for </w:t>
      </w:r>
      <w:proofErr w:type="spellStart"/>
      <w:r w:rsidR="00A60C90" w:rsidRPr="009F79B5">
        <w:t>simeprevir</w:t>
      </w:r>
      <w:proofErr w:type="spellEnd"/>
      <w:r w:rsidR="00A60C90" w:rsidRPr="009F79B5">
        <w:t xml:space="preserve"> </w:t>
      </w:r>
      <w:r w:rsidRPr="009F79B5">
        <w:t xml:space="preserve">in combination with </w:t>
      </w:r>
      <w:proofErr w:type="spellStart"/>
      <w:r w:rsidRPr="009F79B5">
        <w:t>sofosbuvir</w:t>
      </w:r>
      <w:proofErr w:type="spellEnd"/>
      <w:r w:rsidRPr="009F79B5">
        <w:t xml:space="preserve"> (</w:t>
      </w:r>
      <w:r w:rsidR="00A60C90" w:rsidRPr="009F79B5">
        <w:t>SMV+</w:t>
      </w:r>
      <w:r w:rsidRPr="009F79B5">
        <w:t xml:space="preserve">SOF) for the treatment of patients with genotype 1 chronic hepatitis C (CHC) infection who have compensated liver disease, irrespective of previous treatment history. </w:t>
      </w:r>
    </w:p>
    <w:p w:rsidR="00C6373C" w:rsidRPr="009F79B5" w:rsidRDefault="00C6373C" w:rsidP="00B421A4"/>
    <w:p w:rsidR="00B421A4" w:rsidRPr="009F79B5" w:rsidRDefault="00B421A4" w:rsidP="00B421A4">
      <w:pPr>
        <w:pStyle w:val="PBACHeading1"/>
      </w:pPr>
      <w:bookmarkStart w:id="3" w:name="_Toc419380191"/>
      <w:r w:rsidRPr="009F79B5">
        <w:t>Requested listing</w:t>
      </w:r>
      <w:bookmarkEnd w:id="3"/>
    </w:p>
    <w:p w:rsidR="00B421A4" w:rsidRPr="009F79B5" w:rsidRDefault="00B421A4" w:rsidP="00B421A4"/>
    <w:p w:rsidR="00B421A4" w:rsidRPr="009F79B5" w:rsidRDefault="00B421A4" w:rsidP="00B421A4">
      <w:pPr>
        <w:pStyle w:val="ListParagraph"/>
        <w:widowControl/>
        <w:numPr>
          <w:ilvl w:val="1"/>
          <w:numId w:val="4"/>
        </w:numPr>
        <w:rPr>
          <w:szCs w:val="22"/>
        </w:rPr>
      </w:pPr>
      <w:r w:rsidRPr="009F79B5">
        <w:t>The requested listings</w:t>
      </w:r>
      <w:r w:rsidR="0069025C" w:rsidRPr="009F79B5">
        <w:t xml:space="preserve">, including proposed changes in Pre-Sub-Committee-Response (PSCR) </w:t>
      </w:r>
      <w:r w:rsidRPr="009F79B5">
        <w:t xml:space="preserve"> are:</w:t>
      </w:r>
    </w:p>
    <w:p w:rsidR="00B421A4" w:rsidRPr="009F79B5" w:rsidRDefault="00B421A4" w:rsidP="00B421A4"/>
    <w:tbl>
      <w:tblPr>
        <w:tblW w:w="4552" w:type="pct"/>
        <w:tblInd w:w="714" w:type="dxa"/>
        <w:tblCellMar>
          <w:left w:w="28" w:type="dxa"/>
          <w:right w:w="28" w:type="dxa"/>
        </w:tblCellMar>
        <w:tblLook w:val="0000" w:firstRow="0" w:lastRow="0" w:firstColumn="0" w:lastColumn="0" w:noHBand="0" w:noVBand="0"/>
      </w:tblPr>
      <w:tblGrid>
        <w:gridCol w:w="1483"/>
        <w:gridCol w:w="949"/>
        <w:gridCol w:w="605"/>
        <w:gridCol w:w="814"/>
        <w:gridCol w:w="2125"/>
        <w:gridCol w:w="934"/>
        <w:gridCol w:w="1358"/>
      </w:tblGrid>
      <w:tr w:rsidR="00B421A4" w:rsidRPr="009F79B5" w:rsidTr="00626918">
        <w:trPr>
          <w:cantSplit/>
          <w:trHeight w:val="471"/>
        </w:trPr>
        <w:tc>
          <w:tcPr>
            <w:tcW w:w="1471" w:type="pct"/>
            <w:gridSpan w:val="2"/>
            <w:tcBorders>
              <w:bottom w:val="single" w:sz="4" w:space="0" w:color="auto"/>
            </w:tcBorders>
          </w:tcPr>
          <w:p w:rsidR="00B421A4" w:rsidRPr="009F79B5" w:rsidRDefault="00B421A4" w:rsidP="00626918">
            <w:pPr>
              <w:keepNext/>
              <w:rPr>
                <w:sz w:val="20"/>
              </w:rPr>
            </w:pPr>
            <w:r w:rsidRPr="009F79B5">
              <w:rPr>
                <w:sz w:val="20"/>
              </w:rPr>
              <w:t>Name, Restriction,</w:t>
            </w:r>
          </w:p>
          <w:p w:rsidR="00B421A4" w:rsidRPr="009F79B5" w:rsidRDefault="00B421A4" w:rsidP="00626918">
            <w:pPr>
              <w:keepNext/>
              <w:rPr>
                <w:sz w:val="20"/>
              </w:rPr>
            </w:pPr>
            <w:r w:rsidRPr="009F79B5">
              <w:rPr>
                <w:sz w:val="20"/>
              </w:rPr>
              <w:t>Manner of administration and form</w:t>
            </w:r>
          </w:p>
        </w:tc>
        <w:tc>
          <w:tcPr>
            <w:tcW w:w="366" w:type="pct"/>
            <w:tcBorders>
              <w:bottom w:val="single" w:sz="4" w:space="0" w:color="auto"/>
            </w:tcBorders>
          </w:tcPr>
          <w:p w:rsidR="00B421A4" w:rsidRPr="009F79B5" w:rsidRDefault="00B421A4" w:rsidP="00626918">
            <w:pPr>
              <w:keepNext/>
              <w:jc w:val="center"/>
              <w:rPr>
                <w:sz w:val="20"/>
              </w:rPr>
            </w:pPr>
            <w:r w:rsidRPr="009F79B5">
              <w:rPr>
                <w:sz w:val="20"/>
              </w:rPr>
              <w:t>Max.</w:t>
            </w:r>
          </w:p>
          <w:p w:rsidR="00B421A4" w:rsidRPr="009F79B5" w:rsidRDefault="00B421A4" w:rsidP="00626918">
            <w:pPr>
              <w:keepNext/>
              <w:jc w:val="center"/>
              <w:rPr>
                <w:sz w:val="20"/>
              </w:rPr>
            </w:pPr>
            <w:proofErr w:type="spellStart"/>
            <w:r w:rsidRPr="009F79B5">
              <w:rPr>
                <w:sz w:val="20"/>
              </w:rPr>
              <w:t>Qty</w:t>
            </w:r>
            <w:proofErr w:type="spellEnd"/>
          </w:p>
        </w:tc>
        <w:tc>
          <w:tcPr>
            <w:tcW w:w="492" w:type="pct"/>
            <w:tcBorders>
              <w:bottom w:val="single" w:sz="4" w:space="0" w:color="auto"/>
            </w:tcBorders>
          </w:tcPr>
          <w:p w:rsidR="00B421A4" w:rsidRPr="009F79B5" w:rsidRDefault="00B421A4" w:rsidP="00626918">
            <w:pPr>
              <w:keepNext/>
              <w:jc w:val="center"/>
              <w:rPr>
                <w:sz w:val="20"/>
              </w:rPr>
            </w:pPr>
            <w:r w:rsidRPr="009F79B5">
              <w:rPr>
                <w:sz w:val="20"/>
              </w:rPr>
              <w:t>№.of</w:t>
            </w:r>
          </w:p>
          <w:p w:rsidR="00B421A4" w:rsidRPr="009F79B5" w:rsidRDefault="00B421A4" w:rsidP="00626918">
            <w:pPr>
              <w:keepNext/>
              <w:jc w:val="center"/>
              <w:rPr>
                <w:sz w:val="20"/>
              </w:rPr>
            </w:pPr>
            <w:r w:rsidRPr="009F79B5">
              <w:rPr>
                <w:sz w:val="20"/>
              </w:rPr>
              <w:t>Rpts</w:t>
            </w:r>
          </w:p>
        </w:tc>
        <w:tc>
          <w:tcPr>
            <w:tcW w:w="1285" w:type="pct"/>
            <w:tcBorders>
              <w:bottom w:val="single" w:sz="4" w:space="0" w:color="auto"/>
            </w:tcBorders>
          </w:tcPr>
          <w:p w:rsidR="00B421A4" w:rsidRPr="009F79B5" w:rsidRDefault="00B421A4" w:rsidP="00626918">
            <w:pPr>
              <w:keepNext/>
              <w:jc w:val="center"/>
              <w:rPr>
                <w:sz w:val="20"/>
              </w:rPr>
            </w:pPr>
            <w:r w:rsidRPr="009F79B5">
              <w:rPr>
                <w:sz w:val="20"/>
              </w:rPr>
              <w:t xml:space="preserve">Dispensed Price for Max. </w:t>
            </w:r>
            <w:proofErr w:type="spellStart"/>
            <w:r w:rsidRPr="009F79B5">
              <w:rPr>
                <w:sz w:val="20"/>
              </w:rPr>
              <w:t>Qty</w:t>
            </w:r>
            <w:proofErr w:type="spellEnd"/>
          </w:p>
        </w:tc>
        <w:tc>
          <w:tcPr>
            <w:tcW w:w="1386" w:type="pct"/>
            <w:gridSpan w:val="2"/>
            <w:tcBorders>
              <w:bottom w:val="single" w:sz="4" w:space="0" w:color="auto"/>
            </w:tcBorders>
          </w:tcPr>
          <w:p w:rsidR="00B421A4" w:rsidRPr="009F79B5" w:rsidRDefault="00B421A4" w:rsidP="00626918">
            <w:pPr>
              <w:keepNext/>
              <w:jc w:val="center"/>
              <w:rPr>
                <w:sz w:val="20"/>
                <w:lang w:val="fr-FR"/>
              </w:rPr>
            </w:pPr>
            <w:r w:rsidRPr="009F79B5">
              <w:rPr>
                <w:sz w:val="20"/>
              </w:rPr>
              <w:t>Proprietary Name and Manufacturer</w:t>
            </w:r>
          </w:p>
        </w:tc>
      </w:tr>
      <w:tr w:rsidR="00B421A4" w:rsidRPr="009F79B5" w:rsidTr="00626918">
        <w:trPr>
          <w:cantSplit/>
          <w:trHeight w:val="577"/>
        </w:trPr>
        <w:tc>
          <w:tcPr>
            <w:tcW w:w="1471" w:type="pct"/>
            <w:gridSpan w:val="2"/>
          </w:tcPr>
          <w:p w:rsidR="00B421A4" w:rsidRPr="009F79B5" w:rsidRDefault="00B421A4" w:rsidP="00626918">
            <w:pPr>
              <w:keepNext/>
              <w:rPr>
                <w:sz w:val="20"/>
              </w:rPr>
            </w:pPr>
            <w:r w:rsidRPr="009F79B5">
              <w:rPr>
                <w:sz w:val="20"/>
              </w:rPr>
              <w:t>SIMEPREVIR</w:t>
            </w:r>
          </w:p>
          <w:p w:rsidR="00B421A4" w:rsidRPr="009F79B5" w:rsidRDefault="00B421A4" w:rsidP="00626918">
            <w:pPr>
              <w:keepNext/>
              <w:rPr>
                <w:sz w:val="20"/>
              </w:rPr>
            </w:pPr>
            <w:r w:rsidRPr="009F79B5">
              <w:rPr>
                <w:sz w:val="20"/>
              </w:rPr>
              <w:t>Capsule 150mg, 7</w:t>
            </w:r>
          </w:p>
        </w:tc>
        <w:tc>
          <w:tcPr>
            <w:tcW w:w="366" w:type="pct"/>
          </w:tcPr>
          <w:p w:rsidR="00B421A4" w:rsidRPr="009F79B5" w:rsidRDefault="00B421A4" w:rsidP="00626918">
            <w:pPr>
              <w:keepNext/>
              <w:jc w:val="center"/>
              <w:rPr>
                <w:sz w:val="20"/>
              </w:rPr>
            </w:pPr>
          </w:p>
          <w:p w:rsidR="00B421A4" w:rsidRPr="009F79B5" w:rsidRDefault="00E764B0" w:rsidP="00626918">
            <w:pPr>
              <w:keepNext/>
              <w:jc w:val="center"/>
              <w:rPr>
                <w:sz w:val="20"/>
              </w:rPr>
            </w:pPr>
            <w:r w:rsidRPr="009F79B5">
              <w:rPr>
                <w:sz w:val="20"/>
              </w:rPr>
              <w:t>4</w:t>
            </w:r>
          </w:p>
        </w:tc>
        <w:tc>
          <w:tcPr>
            <w:tcW w:w="492" w:type="pct"/>
          </w:tcPr>
          <w:p w:rsidR="00B421A4" w:rsidRPr="009F79B5" w:rsidRDefault="00B421A4" w:rsidP="00626918">
            <w:pPr>
              <w:keepNext/>
              <w:jc w:val="center"/>
              <w:rPr>
                <w:sz w:val="20"/>
              </w:rPr>
            </w:pPr>
          </w:p>
          <w:p w:rsidR="00B421A4" w:rsidRPr="009F79B5" w:rsidRDefault="00402CDC" w:rsidP="00626918">
            <w:pPr>
              <w:keepNext/>
              <w:jc w:val="center"/>
              <w:rPr>
                <w:sz w:val="20"/>
              </w:rPr>
            </w:pPr>
            <w:r w:rsidRPr="009F79B5">
              <w:rPr>
                <w:sz w:val="20"/>
              </w:rPr>
              <w:t>2</w:t>
            </w:r>
          </w:p>
        </w:tc>
        <w:tc>
          <w:tcPr>
            <w:tcW w:w="1285" w:type="pct"/>
          </w:tcPr>
          <w:p w:rsidR="00B421A4" w:rsidRPr="009F79B5" w:rsidRDefault="00B421A4" w:rsidP="00626918">
            <w:pPr>
              <w:keepNext/>
              <w:jc w:val="center"/>
              <w:rPr>
                <w:sz w:val="20"/>
              </w:rPr>
            </w:pPr>
            <w:r w:rsidRPr="009F79B5">
              <w:rPr>
                <w:sz w:val="20"/>
              </w:rPr>
              <w:t>$</w:t>
            </w:r>
            <w:r w:rsidR="00BD7647">
              <w:rPr>
                <w:noProof/>
                <w:color w:val="000000"/>
                <w:sz w:val="20"/>
                <w:highlight w:val="black"/>
              </w:rPr>
              <w:t>'''''''''''''''''''''''''</w:t>
            </w:r>
            <w:r w:rsidRPr="009F79B5">
              <w:rPr>
                <w:sz w:val="20"/>
              </w:rPr>
              <w:t xml:space="preserve"> (Public)</w:t>
            </w:r>
          </w:p>
          <w:p w:rsidR="00B421A4" w:rsidRPr="009F79B5" w:rsidRDefault="00B421A4" w:rsidP="00626918">
            <w:pPr>
              <w:keepNext/>
              <w:jc w:val="center"/>
              <w:rPr>
                <w:sz w:val="20"/>
              </w:rPr>
            </w:pPr>
            <w:r w:rsidRPr="009F79B5">
              <w:rPr>
                <w:sz w:val="20"/>
              </w:rPr>
              <w:t>$</w:t>
            </w:r>
            <w:r w:rsidR="00BD7647">
              <w:rPr>
                <w:noProof/>
                <w:color w:val="000000"/>
                <w:sz w:val="20"/>
                <w:highlight w:val="black"/>
              </w:rPr>
              <w:t>''''''''''''''''''''''</w:t>
            </w:r>
            <w:r w:rsidRPr="009F79B5">
              <w:rPr>
                <w:sz w:val="20"/>
              </w:rPr>
              <w:t xml:space="preserve"> (Private)</w:t>
            </w:r>
          </w:p>
        </w:tc>
        <w:tc>
          <w:tcPr>
            <w:tcW w:w="565" w:type="pct"/>
          </w:tcPr>
          <w:p w:rsidR="00B421A4" w:rsidRPr="009F79B5" w:rsidRDefault="00B421A4" w:rsidP="00626918">
            <w:pPr>
              <w:keepNext/>
              <w:jc w:val="center"/>
              <w:rPr>
                <w:sz w:val="20"/>
                <w:vertAlign w:val="superscript"/>
              </w:rPr>
            </w:pPr>
            <w:r w:rsidRPr="009F79B5">
              <w:rPr>
                <w:sz w:val="20"/>
              </w:rPr>
              <w:t>OLYSIO</w:t>
            </w:r>
            <w:r w:rsidRPr="009F79B5">
              <w:rPr>
                <w:sz w:val="20"/>
                <w:vertAlign w:val="superscript"/>
              </w:rPr>
              <w:t>®</w:t>
            </w:r>
          </w:p>
        </w:tc>
        <w:tc>
          <w:tcPr>
            <w:tcW w:w="821" w:type="pct"/>
          </w:tcPr>
          <w:p w:rsidR="00B421A4" w:rsidRPr="009F79B5" w:rsidRDefault="00B421A4" w:rsidP="00626918">
            <w:pPr>
              <w:keepNext/>
              <w:jc w:val="center"/>
              <w:rPr>
                <w:sz w:val="20"/>
              </w:rPr>
            </w:pPr>
            <w:r w:rsidRPr="009F79B5">
              <w:rPr>
                <w:sz w:val="20"/>
              </w:rPr>
              <w:t>Janssen-</w:t>
            </w:r>
            <w:proofErr w:type="spellStart"/>
            <w:r w:rsidRPr="009F79B5">
              <w:rPr>
                <w:sz w:val="20"/>
              </w:rPr>
              <w:t>Cilag</w:t>
            </w:r>
            <w:proofErr w:type="spellEnd"/>
            <w:r w:rsidRPr="009F79B5">
              <w:rPr>
                <w:sz w:val="20"/>
              </w:rPr>
              <w:t xml:space="preserve"> Pty Ltd</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B421A4" w:rsidRPr="009F79B5" w:rsidRDefault="00AB105C" w:rsidP="00626918">
            <w:pPr>
              <w:jc w:val="left"/>
              <w:rPr>
                <w:rFonts w:ascii="Arial Narrow" w:hAnsi="Arial Narrow"/>
                <w:b/>
                <w:bCs/>
                <w:i/>
                <w:sz w:val="20"/>
                <w:lang w:eastAsia="en-AU"/>
              </w:rPr>
            </w:pPr>
            <w:r w:rsidRPr="009F79B5">
              <w:rPr>
                <w:rFonts w:ascii="Arial Narrow" w:hAnsi="Arial Narrow"/>
                <w:b/>
                <w:i/>
                <w:sz w:val="20"/>
                <w:u w:val="single"/>
              </w:rPr>
              <w:t>General Schedule</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421A4" w:rsidRPr="009F79B5" w:rsidRDefault="00B421A4" w:rsidP="00626918">
            <w:pPr>
              <w:snapToGrid w:val="0"/>
              <w:spacing w:line="20" w:lineRule="atLeast"/>
              <w:rPr>
                <w:lang w:eastAsia="en-AU"/>
              </w:rPr>
            </w:pPr>
            <w:r w:rsidRPr="009F79B5">
              <w:rPr>
                <w:rFonts w:ascii="Arial Narrow" w:hAnsi="Arial Narrow"/>
                <w:b/>
                <w:bCs/>
                <w:sz w:val="20"/>
                <w:lang w:eastAsia="en-AU"/>
              </w:rPr>
              <w:t>Treatment phase: Patients who have not received prior treatment for CHC (treatment-naïve)</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Condition</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Chronic genotype 1 hepatitis C infection</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Restriction</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Authority Required</w:t>
            </w:r>
          </w:p>
          <w:p w:rsidR="00B421A4" w:rsidRPr="009F79B5" w:rsidRDefault="00B421A4" w:rsidP="00626918">
            <w:pPr>
              <w:snapToGrid w:val="0"/>
              <w:spacing w:line="20" w:lineRule="atLeast"/>
              <w:rPr>
                <w:rFonts w:ascii="Arial Narrow" w:hAnsi="Arial Narrow"/>
                <w:sz w:val="20"/>
                <w:lang w:eastAsia="en-AU"/>
              </w:rPr>
            </w:pP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Treatment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Must be treated in an accredited treatment centre</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Evidence of chronic genotype 1 hepatitis C infection (repeatedly ant-HCV positive and HCV RNA positive) must be documented in the patient’s medical records</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Clinical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Patient must have compensated liver disease,</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Patient must have not received prior treatment for chronic hepatitis C,</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 xml:space="preserve">The treatment must be in combination with </w:t>
            </w:r>
            <w:proofErr w:type="spellStart"/>
            <w:r w:rsidRPr="009F79B5">
              <w:rPr>
                <w:rFonts w:ascii="Arial Narrow" w:hAnsi="Arial Narrow"/>
                <w:sz w:val="20"/>
                <w:lang w:eastAsia="en-AU"/>
              </w:rPr>
              <w:t>sofosbuvir</w:t>
            </w:r>
            <w:proofErr w:type="spellEnd"/>
            <w:r w:rsidRPr="009F79B5">
              <w:rPr>
                <w:rFonts w:ascii="Arial Narrow" w:hAnsi="Arial Narrow"/>
                <w:sz w:val="20"/>
                <w:lang w:eastAsia="en-AU"/>
              </w:rPr>
              <w:t>,</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 xml:space="preserve">The treatment with </w:t>
            </w:r>
            <w:proofErr w:type="spellStart"/>
            <w:r w:rsidRPr="009F79B5">
              <w:rPr>
                <w:rFonts w:ascii="Arial Narrow" w:hAnsi="Arial Narrow"/>
                <w:sz w:val="20"/>
                <w:lang w:eastAsia="en-AU"/>
              </w:rPr>
              <w:t>simeprevir</w:t>
            </w:r>
            <w:proofErr w:type="spellEnd"/>
            <w:r w:rsidRPr="009F79B5">
              <w:rPr>
                <w:rFonts w:ascii="Arial Narrow" w:hAnsi="Arial Narrow"/>
                <w:sz w:val="20"/>
                <w:lang w:eastAsia="en-AU"/>
              </w:rPr>
              <w:t xml:space="preserve"> must be limited to a maximum duration of 12 weeks.</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Population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adjustRightInd w:val="0"/>
              <w:spacing w:line="20" w:lineRule="atLeast"/>
              <w:rPr>
                <w:rFonts w:ascii="Arial Narrow" w:hAnsi="Arial Narrow"/>
                <w:color w:val="000000"/>
                <w:sz w:val="20"/>
                <w:lang w:eastAsia="en-AU"/>
              </w:rPr>
            </w:pPr>
            <w:r w:rsidRPr="009F79B5">
              <w:rPr>
                <w:rFonts w:ascii="Arial Narrow" w:hAnsi="Arial Narrow"/>
                <w:color w:val="000000"/>
                <w:sz w:val="20"/>
                <w:lang w:eastAsia="en-AU"/>
              </w:rPr>
              <w:t>Patient must be 18 year or older</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Notes</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No increase in the maximum quantity or number of units may be authorised</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No increase in the maximum number of repeats may be authorised</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Treatment centres are required to have access to the following appropriate specialist facilities for the provision of clinical services for hepatitis C:</w:t>
            </w:r>
          </w:p>
          <w:p w:rsidR="00B421A4" w:rsidRPr="009F79B5" w:rsidRDefault="00B421A4" w:rsidP="00520C85">
            <w:pPr>
              <w:pStyle w:val="ListParagraph"/>
              <w:numPr>
                <w:ilvl w:val="1"/>
                <w:numId w:val="7"/>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A nurse educator/counsellor for patients; and</w:t>
            </w:r>
          </w:p>
          <w:p w:rsidR="00B421A4" w:rsidRPr="009F79B5" w:rsidRDefault="00B421A4" w:rsidP="00520C85">
            <w:pPr>
              <w:pStyle w:val="ListParagraph"/>
              <w:numPr>
                <w:ilvl w:val="1"/>
                <w:numId w:val="7"/>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 xml:space="preserve">24-hour access by patients to medical advice; and </w:t>
            </w:r>
          </w:p>
          <w:p w:rsidR="00B421A4" w:rsidRPr="009F79B5" w:rsidRDefault="00B421A4" w:rsidP="00520C85">
            <w:pPr>
              <w:pStyle w:val="ListParagraph"/>
              <w:numPr>
                <w:ilvl w:val="1"/>
                <w:numId w:val="7"/>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An established liver clinic.</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b/>
                <w:bCs/>
                <w:sz w:val="20"/>
                <w:lang w:eastAsia="en-AU"/>
              </w:rPr>
              <w:t>Treatment phase: Patients who have received prior treatment for CHC (treatment-experienced)</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Condition</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Chronic genotype 1 hepatitis C infection</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Restriction</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Authority Required</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Treatment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Must be treated in an accredited treatment centre</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Evidence of chronic genotype 1 hepatitis C infection (repeatedly ant-HCV positive and HCV RNA positive) must be documented in the patient’s medical records</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Clinical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Patient must have compensated liver disease,</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Patient must have received prior treatment for chronic hepatitis C,</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 xml:space="preserve">The treatment must be in combination with </w:t>
            </w:r>
            <w:proofErr w:type="spellStart"/>
            <w:r w:rsidRPr="009F79B5">
              <w:rPr>
                <w:rFonts w:ascii="Arial Narrow" w:hAnsi="Arial Narrow"/>
                <w:sz w:val="20"/>
                <w:lang w:eastAsia="en-AU"/>
              </w:rPr>
              <w:t>sofosbuvir</w:t>
            </w:r>
            <w:proofErr w:type="spellEnd"/>
            <w:r w:rsidRPr="009F79B5">
              <w:rPr>
                <w:rFonts w:ascii="Arial Narrow" w:hAnsi="Arial Narrow"/>
                <w:sz w:val="20"/>
                <w:lang w:eastAsia="en-AU"/>
              </w:rPr>
              <w:t>,</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lastRenderedPageBreak/>
              <w:t xml:space="preserve">The treatment with </w:t>
            </w:r>
            <w:proofErr w:type="spellStart"/>
            <w:r w:rsidRPr="009F79B5">
              <w:rPr>
                <w:rFonts w:ascii="Arial Narrow" w:hAnsi="Arial Narrow"/>
                <w:sz w:val="20"/>
                <w:lang w:eastAsia="en-AU"/>
              </w:rPr>
              <w:t>simeprevir</w:t>
            </w:r>
            <w:proofErr w:type="spellEnd"/>
            <w:r w:rsidRPr="009F79B5">
              <w:rPr>
                <w:rFonts w:ascii="Arial Narrow" w:hAnsi="Arial Narrow"/>
                <w:sz w:val="20"/>
                <w:lang w:eastAsia="en-AU"/>
              </w:rPr>
              <w:t xml:space="preserve"> must be limited to a maximum duration of 12 weeks.</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hideMark/>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lastRenderedPageBreak/>
              <w:t>Population criteria</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color w:val="000000"/>
                <w:sz w:val="20"/>
                <w:lang w:eastAsia="en-AU"/>
              </w:rPr>
              <w:t>Patient must be 18 year or older</w:t>
            </w:r>
          </w:p>
        </w:tc>
      </w:tr>
      <w:tr w:rsidR="00B421A4" w:rsidRPr="009F79B5" w:rsidTr="0062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97" w:type="pct"/>
            <w:tcBorders>
              <w:top w:val="single" w:sz="4" w:space="0" w:color="auto"/>
              <w:left w:val="single" w:sz="4" w:space="0" w:color="auto"/>
              <w:bottom w:val="single" w:sz="4" w:space="0" w:color="auto"/>
              <w:right w:val="single" w:sz="4" w:space="0" w:color="auto"/>
            </w:tcBorders>
          </w:tcPr>
          <w:p w:rsidR="00B421A4" w:rsidRPr="009F79B5" w:rsidRDefault="00B421A4" w:rsidP="00626918">
            <w:pPr>
              <w:snapToGrid w:val="0"/>
              <w:spacing w:line="20" w:lineRule="atLeast"/>
              <w:rPr>
                <w:rFonts w:ascii="Arial Narrow" w:hAnsi="Arial Narrow"/>
                <w:sz w:val="20"/>
                <w:lang w:eastAsia="en-AU"/>
              </w:rPr>
            </w:pPr>
            <w:r w:rsidRPr="009F79B5">
              <w:rPr>
                <w:rFonts w:ascii="Arial Narrow" w:hAnsi="Arial Narrow"/>
                <w:sz w:val="20"/>
                <w:lang w:eastAsia="en-AU"/>
              </w:rPr>
              <w:t>Notes</w:t>
            </w:r>
          </w:p>
        </w:tc>
        <w:tc>
          <w:tcPr>
            <w:tcW w:w="4103" w:type="pct"/>
            <w:gridSpan w:val="6"/>
            <w:tcBorders>
              <w:top w:val="single" w:sz="4" w:space="0" w:color="auto"/>
              <w:left w:val="single" w:sz="4" w:space="0" w:color="auto"/>
              <w:bottom w:val="single" w:sz="4" w:space="0" w:color="auto"/>
              <w:right w:val="single" w:sz="4" w:space="0" w:color="auto"/>
            </w:tcBorders>
          </w:tcPr>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No increase in the maximum quantity or number of units may be authorised</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No increase in the maximum number of repeats may be authorised</w:t>
            </w:r>
          </w:p>
          <w:p w:rsidR="00B421A4" w:rsidRPr="009F79B5" w:rsidRDefault="00B421A4" w:rsidP="00520C85">
            <w:pPr>
              <w:pStyle w:val="ListParagraph"/>
              <w:numPr>
                <w:ilvl w:val="0"/>
                <w:numId w:val="6"/>
              </w:numPr>
              <w:snapToGrid w:val="0"/>
              <w:spacing w:line="20" w:lineRule="atLeast"/>
              <w:ind w:left="244" w:hanging="218"/>
              <w:rPr>
                <w:rFonts w:ascii="Arial Narrow" w:hAnsi="Arial Narrow"/>
                <w:sz w:val="20"/>
                <w:lang w:eastAsia="en-AU"/>
              </w:rPr>
            </w:pPr>
            <w:r w:rsidRPr="009F79B5">
              <w:rPr>
                <w:rFonts w:ascii="Arial Narrow" w:hAnsi="Arial Narrow"/>
                <w:sz w:val="20"/>
                <w:lang w:eastAsia="en-AU"/>
              </w:rPr>
              <w:t>Treatment centres are required to have access to the following appropriate specialist facilities for the provision of clinical services for hepatitis C:</w:t>
            </w:r>
          </w:p>
          <w:p w:rsidR="00B421A4" w:rsidRPr="009F79B5" w:rsidRDefault="00B421A4" w:rsidP="00520C85">
            <w:pPr>
              <w:pStyle w:val="ListParagraph"/>
              <w:numPr>
                <w:ilvl w:val="1"/>
                <w:numId w:val="8"/>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A nurse educator/counsellor for patients; and</w:t>
            </w:r>
          </w:p>
          <w:p w:rsidR="00B421A4" w:rsidRPr="009F79B5" w:rsidRDefault="00B421A4" w:rsidP="00520C85">
            <w:pPr>
              <w:pStyle w:val="ListParagraph"/>
              <w:numPr>
                <w:ilvl w:val="1"/>
                <w:numId w:val="8"/>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 xml:space="preserve">24-hour access by patients to medical advice; and </w:t>
            </w:r>
          </w:p>
          <w:p w:rsidR="00B421A4" w:rsidRPr="009F79B5" w:rsidRDefault="00B421A4" w:rsidP="00520C85">
            <w:pPr>
              <w:pStyle w:val="ListParagraph"/>
              <w:numPr>
                <w:ilvl w:val="1"/>
                <w:numId w:val="8"/>
              </w:numPr>
              <w:snapToGrid w:val="0"/>
              <w:spacing w:line="20" w:lineRule="atLeast"/>
              <w:ind w:left="669" w:hanging="218"/>
              <w:rPr>
                <w:rFonts w:ascii="Arial Narrow" w:hAnsi="Arial Narrow"/>
                <w:sz w:val="20"/>
                <w:lang w:eastAsia="en-AU"/>
              </w:rPr>
            </w:pPr>
            <w:r w:rsidRPr="009F79B5">
              <w:rPr>
                <w:rFonts w:ascii="Arial Narrow" w:hAnsi="Arial Narrow"/>
                <w:sz w:val="20"/>
                <w:lang w:eastAsia="en-AU"/>
              </w:rPr>
              <w:t>An established liver clinic.</w:t>
            </w:r>
          </w:p>
        </w:tc>
      </w:tr>
    </w:tbl>
    <w:p w:rsidR="00B421A4" w:rsidRPr="009F79B5" w:rsidRDefault="00B421A4" w:rsidP="00F877D2">
      <w:pPr>
        <w:pStyle w:val="TableFooter"/>
        <w:ind w:left="709"/>
      </w:pPr>
      <w:r w:rsidRPr="009F79B5">
        <w:t>CHC = chronic hepatitis C; HCV = hepatitis C virus; RNA = ribonucleic acid.</w:t>
      </w:r>
    </w:p>
    <w:p w:rsidR="00B421A4" w:rsidRPr="009F79B5" w:rsidRDefault="00B421A4" w:rsidP="00B421A4"/>
    <w:p w:rsidR="005368CD" w:rsidRPr="009F79B5" w:rsidRDefault="005368CD" w:rsidP="00402CDC">
      <w:pPr>
        <w:pStyle w:val="ListParagraph"/>
        <w:widowControl/>
        <w:numPr>
          <w:ilvl w:val="1"/>
          <w:numId w:val="4"/>
        </w:numPr>
      </w:pPr>
      <w:r w:rsidRPr="009F79B5">
        <w:rPr>
          <w:lang w:eastAsia="en-AU"/>
        </w:rPr>
        <w:t xml:space="preserve">The ESC noted the sponsor’s revised request in the PSCR for the maximum quantity of </w:t>
      </w:r>
      <w:r w:rsidR="00402CDC" w:rsidRPr="009F79B5">
        <w:rPr>
          <w:lang w:eastAsia="en-AU"/>
        </w:rPr>
        <w:t>SMV</w:t>
      </w:r>
      <w:r w:rsidRPr="009F79B5">
        <w:rPr>
          <w:lang w:eastAsia="en-AU"/>
        </w:rPr>
        <w:t xml:space="preserve"> to be amended from six to four packs</w:t>
      </w:r>
      <w:r w:rsidR="00402CDC" w:rsidRPr="009F79B5">
        <w:rPr>
          <w:lang w:eastAsia="en-AU"/>
        </w:rPr>
        <w:t xml:space="preserve">, </w:t>
      </w:r>
      <w:r w:rsidR="00A47D5E" w:rsidRPr="009F79B5">
        <w:rPr>
          <w:lang w:eastAsia="en-AU"/>
        </w:rPr>
        <w:t xml:space="preserve">and </w:t>
      </w:r>
      <w:r w:rsidR="0079440D" w:rsidRPr="009F79B5">
        <w:rPr>
          <w:lang w:eastAsia="en-AU"/>
        </w:rPr>
        <w:t xml:space="preserve">from </w:t>
      </w:r>
      <w:r w:rsidR="00A47D5E" w:rsidRPr="009F79B5">
        <w:rPr>
          <w:lang w:eastAsia="en-AU"/>
        </w:rPr>
        <w:t>one</w:t>
      </w:r>
      <w:r w:rsidR="0079440D" w:rsidRPr="009F79B5">
        <w:rPr>
          <w:lang w:eastAsia="en-AU"/>
        </w:rPr>
        <w:t xml:space="preserve"> repeat</w:t>
      </w:r>
      <w:r w:rsidR="00A47D5E" w:rsidRPr="009F79B5">
        <w:rPr>
          <w:lang w:eastAsia="en-AU"/>
        </w:rPr>
        <w:t xml:space="preserve"> to</w:t>
      </w:r>
      <w:r w:rsidR="00402CDC" w:rsidRPr="009F79B5">
        <w:rPr>
          <w:lang w:eastAsia="en-AU"/>
        </w:rPr>
        <w:t xml:space="preserve"> two repeats, providing a total of 12 weeks of SIM+SOF therapy</w:t>
      </w:r>
      <w:r w:rsidR="00A47D5E" w:rsidRPr="009F79B5">
        <w:rPr>
          <w:lang w:eastAsia="en-AU"/>
        </w:rPr>
        <w:t xml:space="preserve">, compared to the current listing of maximum quantity of 6 and zero repeats. </w:t>
      </w:r>
    </w:p>
    <w:p w:rsidR="005368CD" w:rsidRPr="009F79B5" w:rsidRDefault="005368CD" w:rsidP="00B421A4"/>
    <w:p w:rsidR="00B421A4" w:rsidRPr="009F79B5" w:rsidRDefault="007C2EE6" w:rsidP="007C2EE6">
      <w:pPr>
        <w:pStyle w:val="ListParagraph"/>
        <w:widowControl/>
        <w:numPr>
          <w:ilvl w:val="1"/>
          <w:numId w:val="4"/>
        </w:numPr>
        <w:rPr>
          <w:szCs w:val="22"/>
        </w:rPr>
      </w:pPr>
      <w:r w:rsidRPr="009F79B5">
        <w:rPr>
          <w:lang w:eastAsia="en-AU"/>
        </w:rPr>
        <w:t xml:space="preserve">The requested listing for patients who had received prior treatments did not restrict the eligibility for </w:t>
      </w:r>
      <w:r w:rsidR="00D42704" w:rsidRPr="009F79B5">
        <w:rPr>
          <w:lang w:eastAsia="en-AU"/>
        </w:rPr>
        <w:t xml:space="preserve">12 weeks of </w:t>
      </w:r>
      <w:r w:rsidRPr="009F79B5">
        <w:rPr>
          <w:lang w:eastAsia="en-AU"/>
        </w:rPr>
        <w:t xml:space="preserve">SMV+SOF </w:t>
      </w:r>
      <w:r w:rsidR="00D42704" w:rsidRPr="009F79B5">
        <w:rPr>
          <w:lang w:eastAsia="en-AU"/>
        </w:rPr>
        <w:t xml:space="preserve">treatment </w:t>
      </w:r>
      <w:r w:rsidRPr="009F79B5">
        <w:rPr>
          <w:lang w:eastAsia="en-AU"/>
        </w:rPr>
        <w:t xml:space="preserve">according to the type of prior therapies received. Specifically, the requested listing did not preclude re-treatment of patients who had previously failed </w:t>
      </w:r>
      <w:proofErr w:type="spellStart"/>
      <w:r w:rsidR="00A60C90" w:rsidRPr="009F79B5">
        <w:rPr>
          <w:lang w:eastAsia="en-AU"/>
        </w:rPr>
        <w:t>simeprevir</w:t>
      </w:r>
      <w:proofErr w:type="spellEnd"/>
      <w:r w:rsidRPr="009F79B5">
        <w:rPr>
          <w:lang w:eastAsia="en-AU"/>
        </w:rPr>
        <w:t xml:space="preserve"> in combination with </w:t>
      </w:r>
      <w:proofErr w:type="spellStart"/>
      <w:r w:rsidRPr="009F79B5">
        <w:rPr>
          <w:lang w:eastAsia="en-AU"/>
        </w:rPr>
        <w:t>peginterferon</w:t>
      </w:r>
      <w:proofErr w:type="spellEnd"/>
      <w:r w:rsidRPr="009F79B5">
        <w:rPr>
          <w:lang w:eastAsia="en-AU"/>
        </w:rPr>
        <w:t xml:space="preserve"> and ribavirin (</w:t>
      </w:r>
      <w:r w:rsidR="001F6A9F" w:rsidRPr="009F79B5">
        <w:rPr>
          <w:lang w:eastAsia="en-AU"/>
        </w:rPr>
        <w:t>SMV+</w:t>
      </w:r>
      <w:r w:rsidRPr="009F79B5">
        <w:rPr>
          <w:lang w:eastAsia="en-AU"/>
        </w:rPr>
        <w:t xml:space="preserve">PR), or an alternative </w:t>
      </w:r>
      <w:proofErr w:type="spellStart"/>
      <w:r w:rsidRPr="009F79B5">
        <w:rPr>
          <w:lang w:eastAsia="en-AU"/>
        </w:rPr>
        <w:t>sofosbuvir</w:t>
      </w:r>
      <w:proofErr w:type="spellEnd"/>
      <w:r w:rsidRPr="009F79B5">
        <w:rPr>
          <w:lang w:eastAsia="en-AU"/>
        </w:rPr>
        <w:t>-based regimen, or other interferon-free regimens involving direct acting antivirals (DAAs). There was no clinical evidence provided to support the listing of SMV+SOF in patients who had previously been treated with regimens other than PR (i.e. DAA-based regimens).</w:t>
      </w:r>
    </w:p>
    <w:p w:rsidR="000C2167" w:rsidRPr="009F79B5" w:rsidRDefault="000C2167" w:rsidP="000C2167">
      <w:pPr>
        <w:pStyle w:val="ListParagraph"/>
        <w:rPr>
          <w:szCs w:val="22"/>
        </w:rPr>
      </w:pPr>
    </w:p>
    <w:p w:rsidR="000C2167" w:rsidRPr="009F79B5" w:rsidRDefault="000C2167" w:rsidP="000C2167">
      <w:pPr>
        <w:pStyle w:val="ListParagraph"/>
        <w:widowControl/>
        <w:numPr>
          <w:ilvl w:val="1"/>
          <w:numId w:val="4"/>
        </w:numPr>
        <w:rPr>
          <w:szCs w:val="22"/>
        </w:rPr>
      </w:pPr>
      <w:r w:rsidRPr="009F79B5">
        <w:rPr>
          <w:szCs w:val="22"/>
        </w:rPr>
        <w:t xml:space="preserve">The PSCR and pre-PBAC response provided information of studies including patients who have failed prior protease inhibitor + PR,  </w:t>
      </w:r>
      <w:proofErr w:type="spellStart"/>
      <w:r w:rsidRPr="009F79B5">
        <w:rPr>
          <w:szCs w:val="22"/>
        </w:rPr>
        <w:t>daclatasvir</w:t>
      </w:r>
      <w:proofErr w:type="spellEnd"/>
      <w:r w:rsidRPr="009F79B5">
        <w:rPr>
          <w:szCs w:val="22"/>
        </w:rPr>
        <w:t xml:space="preserve"> + PR or </w:t>
      </w:r>
      <w:proofErr w:type="spellStart"/>
      <w:r w:rsidRPr="009F79B5">
        <w:rPr>
          <w:szCs w:val="22"/>
        </w:rPr>
        <w:t>asunaprevir</w:t>
      </w:r>
      <w:proofErr w:type="spellEnd"/>
      <w:r w:rsidR="002B0204">
        <w:rPr>
          <w:szCs w:val="22"/>
        </w:rPr>
        <w:t xml:space="preserve"> +</w:t>
      </w:r>
      <w:r w:rsidRPr="009F79B5">
        <w:rPr>
          <w:szCs w:val="22"/>
        </w:rPr>
        <w:t xml:space="preserve"> </w:t>
      </w:r>
      <w:proofErr w:type="spellStart"/>
      <w:r w:rsidRPr="009F79B5">
        <w:rPr>
          <w:szCs w:val="22"/>
        </w:rPr>
        <w:t>daclatasvir</w:t>
      </w:r>
      <w:proofErr w:type="spellEnd"/>
      <w:r w:rsidRPr="009F79B5">
        <w:rPr>
          <w:szCs w:val="22"/>
        </w:rPr>
        <w:t xml:space="preserve"> + PR therapy.</w:t>
      </w:r>
    </w:p>
    <w:p w:rsidR="00E764B0" w:rsidRPr="009F79B5" w:rsidRDefault="00E764B0" w:rsidP="00E764B0">
      <w:pPr>
        <w:pStyle w:val="ListParagraph"/>
        <w:widowControl/>
        <w:rPr>
          <w:szCs w:val="22"/>
        </w:rPr>
      </w:pPr>
    </w:p>
    <w:p w:rsidR="005368CD" w:rsidRPr="009F79B5" w:rsidRDefault="005368CD" w:rsidP="007C2EE6">
      <w:pPr>
        <w:pStyle w:val="ListParagraph"/>
        <w:widowControl/>
        <w:numPr>
          <w:ilvl w:val="1"/>
          <w:numId w:val="4"/>
        </w:numPr>
        <w:rPr>
          <w:szCs w:val="22"/>
        </w:rPr>
      </w:pPr>
      <w:r w:rsidRPr="009F79B5">
        <w:rPr>
          <w:szCs w:val="22"/>
        </w:rPr>
        <w:t xml:space="preserve">The </w:t>
      </w:r>
      <w:r w:rsidR="00E764B0" w:rsidRPr="009F79B5">
        <w:rPr>
          <w:szCs w:val="22"/>
        </w:rPr>
        <w:t xml:space="preserve">ESC </w:t>
      </w:r>
      <w:r w:rsidR="00DF7947" w:rsidRPr="009F79B5">
        <w:rPr>
          <w:szCs w:val="22"/>
        </w:rPr>
        <w:t>noted</w:t>
      </w:r>
      <w:r w:rsidR="00E764B0" w:rsidRPr="009F79B5">
        <w:rPr>
          <w:szCs w:val="22"/>
        </w:rPr>
        <w:t xml:space="preserve"> that cirrhotic patients previously treated with protease inhibitors </w:t>
      </w:r>
      <w:r w:rsidRPr="009F79B5">
        <w:rPr>
          <w:szCs w:val="22"/>
        </w:rPr>
        <w:t xml:space="preserve">may not respond </w:t>
      </w:r>
      <w:r w:rsidR="0079440D" w:rsidRPr="009F79B5">
        <w:rPr>
          <w:szCs w:val="22"/>
        </w:rPr>
        <w:t xml:space="preserve">as </w:t>
      </w:r>
      <w:r w:rsidRPr="009F79B5">
        <w:rPr>
          <w:szCs w:val="22"/>
        </w:rPr>
        <w:t>well to SMV+SOF compared to treatment naïve patients</w:t>
      </w:r>
      <w:r w:rsidR="0079440D" w:rsidRPr="009F79B5">
        <w:rPr>
          <w:szCs w:val="22"/>
        </w:rPr>
        <w:t xml:space="preserve">, or compared to </w:t>
      </w:r>
      <w:r w:rsidR="00AA7B08" w:rsidRPr="009F79B5">
        <w:rPr>
          <w:szCs w:val="22"/>
        </w:rPr>
        <w:t>pr</w:t>
      </w:r>
      <w:r w:rsidR="00706774" w:rsidRPr="009F79B5">
        <w:rPr>
          <w:szCs w:val="22"/>
        </w:rPr>
        <w:t>o</w:t>
      </w:r>
      <w:r w:rsidR="00AA7B08" w:rsidRPr="009F79B5">
        <w:rPr>
          <w:szCs w:val="22"/>
        </w:rPr>
        <w:t xml:space="preserve">tease inhibitor experienced </w:t>
      </w:r>
      <w:r w:rsidR="0079440D" w:rsidRPr="009F79B5">
        <w:rPr>
          <w:szCs w:val="22"/>
        </w:rPr>
        <w:t xml:space="preserve">cirrhotic patients treated with DAA-only combinations </w:t>
      </w:r>
      <w:r w:rsidR="00AA7B08" w:rsidRPr="009F79B5">
        <w:rPr>
          <w:szCs w:val="22"/>
        </w:rPr>
        <w:t>which do not contain</w:t>
      </w:r>
      <w:r w:rsidR="0079440D" w:rsidRPr="009F79B5">
        <w:rPr>
          <w:szCs w:val="22"/>
        </w:rPr>
        <w:t xml:space="preserve"> a protease inhibitor</w:t>
      </w:r>
      <w:r w:rsidR="0067439F" w:rsidRPr="009F79B5">
        <w:rPr>
          <w:szCs w:val="22"/>
        </w:rPr>
        <w:t>, because of the</w:t>
      </w:r>
      <w:r w:rsidR="00AA7B08" w:rsidRPr="009F79B5">
        <w:rPr>
          <w:szCs w:val="22"/>
        </w:rPr>
        <w:t xml:space="preserve"> potential</w:t>
      </w:r>
      <w:r w:rsidR="0067439F" w:rsidRPr="009F79B5">
        <w:rPr>
          <w:szCs w:val="22"/>
        </w:rPr>
        <w:t xml:space="preserve"> emergence of mutations </w:t>
      </w:r>
      <w:r w:rsidR="00AA7B08" w:rsidRPr="009F79B5">
        <w:rPr>
          <w:szCs w:val="22"/>
        </w:rPr>
        <w:t>conferring</w:t>
      </w:r>
      <w:r w:rsidR="0067439F" w:rsidRPr="009F79B5">
        <w:rPr>
          <w:szCs w:val="22"/>
        </w:rPr>
        <w:t xml:space="preserve"> resistance to protease inhibitors</w:t>
      </w:r>
      <w:r w:rsidRPr="009F79B5">
        <w:rPr>
          <w:szCs w:val="22"/>
        </w:rPr>
        <w:t xml:space="preserve">. </w:t>
      </w:r>
    </w:p>
    <w:p w:rsidR="00EA11DE" w:rsidRPr="009F79B5" w:rsidRDefault="00EA11DE" w:rsidP="00EA11DE">
      <w:pPr>
        <w:pStyle w:val="ListParagraph"/>
        <w:widowControl/>
        <w:rPr>
          <w:szCs w:val="22"/>
        </w:rPr>
      </w:pPr>
    </w:p>
    <w:p w:rsidR="00B421A4" w:rsidRPr="009F79B5" w:rsidRDefault="00B421A4" w:rsidP="00B421A4">
      <w:pPr>
        <w:pStyle w:val="ListParagraph"/>
        <w:widowControl/>
        <w:numPr>
          <w:ilvl w:val="1"/>
          <w:numId w:val="4"/>
        </w:numPr>
        <w:rPr>
          <w:szCs w:val="22"/>
        </w:rPr>
      </w:pPr>
      <w:r w:rsidRPr="009F79B5">
        <w:rPr>
          <w:szCs w:val="22"/>
        </w:rPr>
        <w:t xml:space="preserve">The requested restriction did not preclude concomitant administration of ribavirin. There were insufficient data to determine whether the addition of ribavirin to </w:t>
      </w:r>
      <w:r w:rsidR="007C2EE6" w:rsidRPr="009F79B5">
        <w:rPr>
          <w:szCs w:val="22"/>
        </w:rPr>
        <w:t>SMV+SOF, given over 12 weeks (SMV12+SOF12),</w:t>
      </w:r>
      <w:r w:rsidRPr="009F79B5">
        <w:rPr>
          <w:szCs w:val="22"/>
        </w:rPr>
        <w:t xml:space="preserve"> would provide any additional benefit in difficult-to-treat subgroups such as treatment-experienced patients with cirrhosis. However, the results of the COSMOS study suggest that the addition of ribavirin to SMV12+SOF12 is associated with an increase in adverse effects. </w:t>
      </w:r>
      <w:r w:rsidR="00A47D5E" w:rsidRPr="009F79B5">
        <w:rPr>
          <w:szCs w:val="22"/>
        </w:rPr>
        <w:t>The PSCR</w:t>
      </w:r>
      <w:r w:rsidR="003A5E11" w:rsidRPr="009F79B5">
        <w:rPr>
          <w:szCs w:val="22"/>
        </w:rPr>
        <w:t xml:space="preserve"> (p1)</w:t>
      </w:r>
      <w:r w:rsidR="00A47D5E" w:rsidRPr="009F79B5">
        <w:rPr>
          <w:szCs w:val="22"/>
        </w:rPr>
        <w:t xml:space="preserve"> stated that the sponsor was willing to amend the restriction to exclude use with ribavirin. </w:t>
      </w:r>
    </w:p>
    <w:p w:rsidR="00517598" w:rsidRPr="009F79B5" w:rsidRDefault="00517598" w:rsidP="00517598">
      <w:pPr>
        <w:pStyle w:val="ListParagraph"/>
        <w:widowControl/>
        <w:rPr>
          <w:szCs w:val="22"/>
        </w:rPr>
      </w:pPr>
    </w:p>
    <w:p w:rsidR="00D42704" w:rsidRPr="009F79B5" w:rsidRDefault="00517598" w:rsidP="00517598">
      <w:pPr>
        <w:pStyle w:val="ListParagraph"/>
        <w:widowControl/>
        <w:numPr>
          <w:ilvl w:val="1"/>
          <w:numId w:val="4"/>
        </w:numPr>
        <w:rPr>
          <w:rStyle w:val="Hyperlink"/>
          <w:color w:val="auto"/>
          <w:szCs w:val="22"/>
        </w:rPr>
      </w:pPr>
      <w:r w:rsidRPr="009F79B5">
        <w:t>Both the Food and Drug Administration (</w:t>
      </w:r>
      <w:r w:rsidRPr="009F79B5">
        <w:rPr>
          <w:rStyle w:val="Hyperlink"/>
        </w:rPr>
        <w:t xml:space="preserve">FDA) prescribing information for </w:t>
      </w:r>
      <w:proofErr w:type="spellStart"/>
      <w:r w:rsidRPr="009F79B5">
        <w:rPr>
          <w:rStyle w:val="Hyperlink"/>
        </w:rPr>
        <w:t>simeprevir</w:t>
      </w:r>
      <w:proofErr w:type="spellEnd"/>
      <w:r w:rsidRPr="009F79B5">
        <w:rPr>
          <w:rStyle w:val="Hyperlink"/>
        </w:rPr>
        <w:t xml:space="preserve"> and the </w:t>
      </w:r>
      <w:r w:rsidRPr="009F79B5">
        <w:t xml:space="preserve">current </w:t>
      </w:r>
      <w:r w:rsidRPr="009F79B5">
        <w:rPr>
          <w:lang w:eastAsia="en-AU"/>
        </w:rPr>
        <w:t>American Association for the Study of Liver Diseases</w:t>
      </w:r>
      <w:r w:rsidRPr="009F79B5">
        <w:rPr>
          <w:i/>
          <w:lang w:eastAsia="en-AU"/>
        </w:rPr>
        <w:t xml:space="preserve"> </w:t>
      </w:r>
      <w:r w:rsidRPr="009F79B5">
        <w:rPr>
          <w:lang w:eastAsia="en-AU"/>
        </w:rPr>
        <w:t xml:space="preserve">(AASLD)/Infectious Diseases Society of America (IDSA) </w:t>
      </w:r>
      <w:r w:rsidRPr="009F79B5">
        <w:t xml:space="preserve">guidelines for hepatitis C recommend </w:t>
      </w:r>
      <w:r w:rsidRPr="009F79B5">
        <w:rPr>
          <w:rStyle w:val="Hyperlink"/>
        </w:rPr>
        <w:t>24 weeks of SMV+SOF in patients with cirrhosis</w:t>
      </w:r>
      <w:r w:rsidR="00166322" w:rsidRPr="009F79B5">
        <w:rPr>
          <w:noProof/>
          <w:vertAlign w:val="superscript"/>
        </w:rPr>
        <w:t>1</w:t>
      </w:r>
      <w:r w:rsidRPr="009F79B5">
        <w:rPr>
          <w:noProof/>
          <w:vertAlign w:val="superscript"/>
        </w:rPr>
        <w:t xml:space="preserve">, </w:t>
      </w:r>
      <w:r w:rsidR="00166322" w:rsidRPr="009F79B5">
        <w:rPr>
          <w:noProof/>
          <w:vertAlign w:val="superscript"/>
        </w:rPr>
        <w:t>2</w:t>
      </w:r>
      <w:r w:rsidRPr="009F79B5">
        <w:rPr>
          <w:rStyle w:val="Hyperlink"/>
        </w:rPr>
        <w:t>. The AASLD/IDSA guidelines also indicate that the addition of ribavirin to the treatment regimen could be considered in some patient subgroups.</w:t>
      </w:r>
    </w:p>
    <w:p w:rsidR="00AC51F7" w:rsidRPr="009F79B5" w:rsidRDefault="00AC51F7" w:rsidP="00A727EB">
      <w:pPr>
        <w:pStyle w:val="ListParagraph"/>
        <w:widowControl/>
        <w:rPr>
          <w:rStyle w:val="Hyperlink"/>
          <w:color w:val="auto"/>
          <w:szCs w:val="22"/>
        </w:rPr>
      </w:pPr>
    </w:p>
    <w:p w:rsidR="004D2D65" w:rsidRPr="009F79B5" w:rsidRDefault="00AC51F7" w:rsidP="00A727EB">
      <w:pPr>
        <w:pStyle w:val="ListParagraph"/>
        <w:widowControl/>
        <w:numPr>
          <w:ilvl w:val="1"/>
          <w:numId w:val="4"/>
        </w:numPr>
        <w:rPr>
          <w:szCs w:val="22"/>
        </w:rPr>
      </w:pPr>
      <w:r w:rsidRPr="009F79B5">
        <w:rPr>
          <w:szCs w:val="22"/>
        </w:rPr>
        <w:lastRenderedPageBreak/>
        <w:t xml:space="preserve">At its March 2015 meeting, the PBAC recommended </w:t>
      </w:r>
      <w:r w:rsidR="00A727EB" w:rsidRPr="009F79B5">
        <w:rPr>
          <w:szCs w:val="22"/>
        </w:rPr>
        <w:t>a General Schedule</w:t>
      </w:r>
      <w:r w:rsidRPr="009F79B5">
        <w:rPr>
          <w:szCs w:val="22"/>
        </w:rPr>
        <w:t xml:space="preserve"> listing of other treatments for CHC. In this submission, the sponsor requested a Section 100 (Highly Specialised Drugs Program) Authority Required (Streamlined) listing for </w:t>
      </w:r>
      <w:proofErr w:type="spellStart"/>
      <w:r w:rsidRPr="009F79B5">
        <w:rPr>
          <w:szCs w:val="22"/>
        </w:rPr>
        <w:t>simeprevir</w:t>
      </w:r>
      <w:proofErr w:type="spellEnd"/>
      <w:r w:rsidRPr="009F79B5">
        <w:rPr>
          <w:szCs w:val="22"/>
        </w:rPr>
        <w:t xml:space="preserve"> in combination with </w:t>
      </w:r>
      <w:proofErr w:type="spellStart"/>
      <w:r w:rsidRPr="009F79B5">
        <w:rPr>
          <w:szCs w:val="22"/>
        </w:rPr>
        <w:t>sofosbuvir</w:t>
      </w:r>
      <w:proofErr w:type="spellEnd"/>
      <w:r w:rsidRPr="009F79B5">
        <w:rPr>
          <w:szCs w:val="22"/>
        </w:rPr>
        <w:t xml:space="preserve">. </w:t>
      </w:r>
      <w:r w:rsidR="00ED569F" w:rsidRPr="009F79B5">
        <w:rPr>
          <w:szCs w:val="22"/>
        </w:rPr>
        <w:t>The ESC noted the sponsor’s revised request in the PSCR for a Section 85 listing in line with the PBAC March 2015 recommendations for other DAA therapies.</w:t>
      </w:r>
    </w:p>
    <w:p w:rsidR="00A727EB" w:rsidRPr="009F79B5" w:rsidRDefault="00A727EB" w:rsidP="00A727EB">
      <w:pPr>
        <w:pStyle w:val="PBACHeading1"/>
        <w:numPr>
          <w:ilvl w:val="0"/>
          <w:numId w:val="0"/>
        </w:numPr>
      </w:pPr>
    </w:p>
    <w:p w:rsidR="004D2D65" w:rsidRPr="009F79B5" w:rsidRDefault="004D2D65" w:rsidP="00B421A4">
      <w:pPr>
        <w:pStyle w:val="ListParagraph"/>
        <w:widowControl/>
        <w:numPr>
          <w:ilvl w:val="1"/>
          <w:numId w:val="4"/>
        </w:numPr>
        <w:rPr>
          <w:szCs w:val="22"/>
        </w:rPr>
      </w:pPr>
      <w:r w:rsidRPr="009F79B5">
        <w:rPr>
          <w:szCs w:val="22"/>
        </w:rPr>
        <w:t>The requested listing did not preclude treatment for patients who have co-infection with hepatitis B virus</w:t>
      </w:r>
      <w:r w:rsidR="003A5E11" w:rsidRPr="009F79B5">
        <w:rPr>
          <w:szCs w:val="22"/>
        </w:rPr>
        <w:t xml:space="preserve"> (HBV)</w:t>
      </w:r>
      <w:r w:rsidRPr="009F79B5">
        <w:rPr>
          <w:szCs w:val="22"/>
        </w:rPr>
        <w:t xml:space="preserve"> or human immunodeficiency virus</w:t>
      </w:r>
      <w:r w:rsidR="003A5E11" w:rsidRPr="009F79B5">
        <w:rPr>
          <w:szCs w:val="22"/>
        </w:rPr>
        <w:t xml:space="preserve"> (HIV)</w:t>
      </w:r>
      <w:r w:rsidRPr="009F79B5">
        <w:rPr>
          <w:szCs w:val="22"/>
        </w:rPr>
        <w:t>. There was no clinical evidence for the effectiveness and safety of SMV+SOF in patients with these co-infections.</w:t>
      </w:r>
      <w:r w:rsidR="003A5E11" w:rsidRPr="009F79B5">
        <w:rPr>
          <w:szCs w:val="22"/>
        </w:rPr>
        <w:t xml:space="preserve"> The PSCR (p4) provided information on the treatment of patients co-infected with HBV or HIV. The ESC noted that the current listings for CHC do not specifically exclude use in co-infected patients. </w:t>
      </w:r>
    </w:p>
    <w:p w:rsidR="004D2D65" w:rsidRPr="009F79B5" w:rsidRDefault="004D2D65" w:rsidP="004D2D65">
      <w:pPr>
        <w:rPr>
          <w:szCs w:val="22"/>
        </w:rPr>
      </w:pPr>
    </w:p>
    <w:p w:rsidR="007C2EE6" w:rsidRPr="009F79B5" w:rsidRDefault="007C2EE6" w:rsidP="007C2EE6">
      <w:pPr>
        <w:pStyle w:val="ListParagraph"/>
        <w:widowControl/>
        <w:numPr>
          <w:ilvl w:val="1"/>
          <w:numId w:val="4"/>
        </w:numPr>
        <w:rPr>
          <w:szCs w:val="22"/>
        </w:rPr>
      </w:pPr>
      <w:r w:rsidRPr="009F79B5">
        <w:rPr>
          <w:szCs w:val="22"/>
        </w:rPr>
        <w:t>Listing was sought on the basis that SMV12+SOF12 was cost-effective relative to a mixed comparator of active treatment (a protease inhibitor</w:t>
      </w:r>
      <w:r w:rsidR="00596585" w:rsidRPr="009F79B5">
        <w:rPr>
          <w:szCs w:val="22"/>
        </w:rPr>
        <w:t xml:space="preserve"> (PI)</w:t>
      </w:r>
      <w:r w:rsidRPr="009F79B5">
        <w:rPr>
          <w:szCs w:val="22"/>
        </w:rPr>
        <w:t xml:space="preserve"> in combination with </w:t>
      </w:r>
      <w:r w:rsidR="00124631" w:rsidRPr="009F79B5">
        <w:rPr>
          <w:szCs w:val="22"/>
        </w:rPr>
        <w:t>PR</w:t>
      </w:r>
      <w:r w:rsidR="001F6A9F" w:rsidRPr="009F79B5">
        <w:rPr>
          <w:szCs w:val="22"/>
        </w:rPr>
        <w:t>)</w:t>
      </w:r>
      <w:r w:rsidRPr="009F79B5">
        <w:rPr>
          <w:szCs w:val="22"/>
        </w:rPr>
        <w:t xml:space="preserve"> and no treatment.</w:t>
      </w:r>
    </w:p>
    <w:p w:rsidR="00B421A4" w:rsidRPr="009F79B5" w:rsidRDefault="00B421A4" w:rsidP="00B421A4"/>
    <w:p w:rsidR="00EA11DE" w:rsidRPr="009F79B5" w:rsidRDefault="00420576" w:rsidP="00420576">
      <w:pPr>
        <w:ind w:firstLine="709"/>
      </w:pPr>
      <w:r w:rsidRPr="009F79B5">
        <w:rPr>
          <w:i/>
        </w:rPr>
        <w:t>For more detail on PBAC’s view, see section 7 “PBAC outcome”</w:t>
      </w:r>
    </w:p>
    <w:p w:rsidR="00420576" w:rsidRPr="009F79B5" w:rsidRDefault="00420576" w:rsidP="00B421A4"/>
    <w:p w:rsidR="00B421A4" w:rsidRPr="009F79B5" w:rsidRDefault="00B421A4" w:rsidP="00B421A4">
      <w:pPr>
        <w:pStyle w:val="PBACHeading1"/>
      </w:pPr>
      <w:bookmarkStart w:id="4" w:name="_Toc419380192"/>
      <w:r w:rsidRPr="009F79B5">
        <w:t>Background</w:t>
      </w:r>
      <w:bookmarkEnd w:id="4"/>
    </w:p>
    <w:p w:rsidR="00B421A4" w:rsidRPr="009F79B5" w:rsidRDefault="00B421A4" w:rsidP="00B421A4">
      <w:pPr>
        <w:rPr>
          <w:szCs w:val="22"/>
        </w:rPr>
      </w:pPr>
    </w:p>
    <w:p w:rsidR="00B421A4" w:rsidRPr="009F79B5" w:rsidRDefault="00B421A4" w:rsidP="00B421A4">
      <w:pPr>
        <w:pStyle w:val="ListParagraph"/>
        <w:widowControl/>
        <w:numPr>
          <w:ilvl w:val="1"/>
          <w:numId w:val="4"/>
        </w:numPr>
      </w:pPr>
      <w:r w:rsidRPr="009F79B5">
        <w:t xml:space="preserve">The submission was made under the TGA/PBAC Parallel Process.  </w:t>
      </w:r>
      <w:proofErr w:type="spellStart"/>
      <w:r w:rsidRPr="009F79B5">
        <w:t>Simeprevir</w:t>
      </w:r>
      <w:proofErr w:type="spellEnd"/>
      <w:r w:rsidRPr="009F79B5">
        <w:t xml:space="preserve"> was listed on the Australian Register of Therapeutic Goods on the 17</w:t>
      </w:r>
      <w:r w:rsidRPr="009F79B5">
        <w:rPr>
          <w:vertAlign w:val="superscript"/>
        </w:rPr>
        <w:t>th</w:t>
      </w:r>
      <w:r w:rsidRPr="009F79B5">
        <w:t xml:space="preserve"> July 2014 for the following indication: </w:t>
      </w:r>
    </w:p>
    <w:p w:rsidR="00B421A4" w:rsidRPr="009F79B5" w:rsidRDefault="00B421A4" w:rsidP="00B421A4">
      <w:pPr>
        <w:pStyle w:val="ListParagraph"/>
        <w:widowControl/>
        <w:ind w:left="1440"/>
      </w:pPr>
      <w:proofErr w:type="gramStart"/>
      <w:r w:rsidRPr="009F79B5">
        <w:t>For the treatment of chronic hepatitis C (CHC) genotype 1 or genotype 4 infection, in combination with other medicinal products for the treatment of CHC infection.</w:t>
      </w:r>
      <w:proofErr w:type="gramEnd"/>
    </w:p>
    <w:p w:rsidR="00B421A4" w:rsidRPr="009F79B5" w:rsidRDefault="00B421A4" w:rsidP="00B421A4">
      <w:pPr>
        <w:pStyle w:val="ListParagraph"/>
        <w:widowControl/>
      </w:pPr>
    </w:p>
    <w:p w:rsidR="00B421A4" w:rsidRPr="009F79B5" w:rsidRDefault="00B421A4" w:rsidP="00B421A4">
      <w:pPr>
        <w:pStyle w:val="ListParagraph"/>
        <w:widowControl/>
        <w:numPr>
          <w:ilvl w:val="1"/>
          <w:numId w:val="4"/>
        </w:numPr>
      </w:pPr>
      <w:r w:rsidRPr="009F79B5">
        <w:t xml:space="preserve">The Dosage and Administration section of the current TGA-approved Product Information of </w:t>
      </w:r>
      <w:proofErr w:type="spellStart"/>
      <w:r w:rsidRPr="009F79B5">
        <w:t>simeprevir</w:t>
      </w:r>
      <w:proofErr w:type="spellEnd"/>
      <w:r w:rsidRPr="009F79B5">
        <w:t xml:space="preserve"> stipulates that </w:t>
      </w:r>
      <w:r w:rsidR="006478F5" w:rsidRPr="009F79B5">
        <w:t>it</w:t>
      </w:r>
      <w:r w:rsidRPr="009F79B5">
        <w:t xml:space="preserve"> must be administered in combination with PR.</w:t>
      </w:r>
    </w:p>
    <w:p w:rsidR="00B421A4" w:rsidRPr="009F79B5" w:rsidRDefault="00B421A4" w:rsidP="00B421A4">
      <w:pPr>
        <w:pStyle w:val="ListParagraph"/>
        <w:widowControl/>
      </w:pPr>
    </w:p>
    <w:p w:rsidR="006478F5" w:rsidRPr="009F79B5" w:rsidRDefault="006478F5" w:rsidP="006478F5">
      <w:pPr>
        <w:pStyle w:val="ListParagraph"/>
        <w:widowControl/>
        <w:numPr>
          <w:ilvl w:val="1"/>
          <w:numId w:val="4"/>
        </w:numPr>
      </w:pPr>
      <w:r w:rsidRPr="009F79B5">
        <w:t>According to the submission</w:t>
      </w:r>
      <w:r w:rsidR="009B605B" w:rsidRPr="009F79B5">
        <w:t>,</w:t>
      </w:r>
      <w:r w:rsidRPr="009F79B5">
        <w:t xml:space="preserve"> an application had been lodged with the TGA to request changes to the Dosage and Administration section of the current Product Information. These changes related to recommendations on the use of </w:t>
      </w:r>
      <w:proofErr w:type="spellStart"/>
      <w:r w:rsidRPr="009F79B5">
        <w:t>simeprevir</w:t>
      </w:r>
      <w:proofErr w:type="spellEnd"/>
      <w:r w:rsidRPr="009F79B5">
        <w:t xml:space="preserve"> in combination with </w:t>
      </w:r>
      <w:proofErr w:type="spellStart"/>
      <w:r w:rsidRPr="009F79B5">
        <w:t>sofosbuvir</w:t>
      </w:r>
      <w:proofErr w:type="spellEnd"/>
      <w:r w:rsidRPr="009F79B5">
        <w:t xml:space="preserve">. </w:t>
      </w:r>
      <w:r w:rsidR="00D2000D" w:rsidRPr="009F79B5">
        <w:t xml:space="preserve">The </w:t>
      </w:r>
      <w:r w:rsidR="00A727EB" w:rsidRPr="009F79B5">
        <w:t xml:space="preserve">current timelines indicate that the </w:t>
      </w:r>
      <w:r w:rsidR="00D2000D" w:rsidRPr="009F79B5">
        <w:t>TGA clinical evaluation report is expected to be available by the end of August 2015. The TGA delegate’s overview is scheduled to be received by 3 November 2015.</w:t>
      </w:r>
      <w:r w:rsidR="00D2000D" w:rsidRPr="009F79B5">
        <w:rPr>
          <w:i/>
        </w:rPr>
        <w:t xml:space="preserve"> </w:t>
      </w:r>
    </w:p>
    <w:p w:rsidR="00B421A4" w:rsidRPr="009F79B5" w:rsidRDefault="00B421A4" w:rsidP="00B421A4">
      <w:pPr>
        <w:pStyle w:val="ListParagraph"/>
        <w:rPr>
          <w:szCs w:val="22"/>
        </w:rPr>
      </w:pPr>
    </w:p>
    <w:p w:rsidR="004203E8" w:rsidRPr="009F79B5" w:rsidRDefault="00D93F3F" w:rsidP="00EF3774">
      <w:pPr>
        <w:pStyle w:val="ListParagraph"/>
        <w:widowControl/>
        <w:numPr>
          <w:ilvl w:val="1"/>
          <w:numId w:val="4"/>
        </w:numPr>
      </w:pPr>
      <w:proofErr w:type="spellStart"/>
      <w:r w:rsidRPr="009F79B5">
        <w:t>Simeprevir</w:t>
      </w:r>
      <w:proofErr w:type="spellEnd"/>
      <w:r w:rsidRPr="009F79B5">
        <w:t xml:space="preserve"> was recommended for Section 100 (Highly Specialised Drugs Program) listing on the PBS </w:t>
      </w:r>
      <w:r w:rsidRPr="009F79B5">
        <w:rPr>
          <w:lang w:eastAsia="en-AU"/>
        </w:rPr>
        <w:t>for treatment of chronic genotype 1 hepatitis C infection in combination with PR at the July 2014 PBAC meeting.</w:t>
      </w:r>
    </w:p>
    <w:p w:rsidR="00D93F3F" w:rsidRPr="009F79B5" w:rsidRDefault="00D93F3F" w:rsidP="00D2000D">
      <w:pPr>
        <w:widowControl/>
      </w:pPr>
    </w:p>
    <w:p w:rsidR="00B421A4" w:rsidRPr="009F79B5" w:rsidRDefault="00B421A4" w:rsidP="00B421A4">
      <w:pPr>
        <w:pStyle w:val="ListParagraph"/>
        <w:widowControl/>
        <w:numPr>
          <w:ilvl w:val="1"/>
          <w:numId w:val="4"/>
        </w:numPr>
        <w:rPr>
          <w:szCs w:val="22"/>
        </w:rPr>
      </w:pPr>
      <w:proofErr w:type="spellStart"/>
      <w:r w:rsidRPr="009F79B5">
        <w:t>Sofosbuvir</w:t>
      </w:r>
      <w:proofErr w:type="spellEnd"/>
      <w:r w:rsidRPr="009F79B5">
        <w:t xml:space="preserve"> was recommended for </w:t>
      </w:r>
      <w:r w:rsidR="00D93F3F" w:rsidRPr="009F79B5">
        <w:t xml:space="preserve">Section 85 Authority Required </w:t>
      </w:r>
      <w:r w:rsidRPr="009F79B5">
        <w:t>listing at the March 2015 PBAC meeting for the treatment of CHC.</w:t>
      </w:r>
    </w:p>
    <w:p w:rsidR="00B421A4" w:rsidRPr="009F79B5" w:rsidRDefault="00B421A4" w:rsidP="00B421A4">
      <w:pPr>
        <w:pStyle w:val="ListParagraph"/>
        <w:rPr>
          <w:i/>
          <w:szCs w:val="22"/>
        </w:rPr>
      </w:pPr>
    </w:p>
    <w:p w:rsidR="00B421A4" w:rsidRPr="009F79B5" w:rsidRDefault="00B421A4" w:rsidP="00B421A4">
      <w:pPr>
        <w:pStyle w:val="ListParagraph"/>
        <w:widowControl/>
        <w:numPr>
          <w:ilvl w:val="1"/>
          <w:numId w:val="4"/>
        </w:numPr>
        <w:rPr>
          <w:szCs w:val="22"/>
        </w:rPr>
      </w:pPr>
      <w:r w:rsidRPr="009F79B5">
        <w:rPr>
          <w:szCs w:val="22"/>
        </w:rPr>
        <w:t xml:space="preserve">This is the first submission to the PBAC for </w:t>
      </w:r>
      <w:proofErr w:type="spellStart"/>
      <w:r w:rsidRPr="009F79B5">
        <w:rPr>
          <w:szCs w:val="22"/>
        </w:rPr>
        <w:t>simeprevir</w:t>
      </w:r>
      <w:proofErr w:type="spellEnd"/>
      <w:r w:rsidRPr="009F79B5">
        <w:rPr>
          <w:szCs w:val="22"/>
        </w:rPr>
        <w:t xml:space="preserve"> in combination with </w:t>
      </w:r>
      <w:proofErr w:type="spellStart"/>
      <w:r w:rsidRPr="009F79B5">
        <w:rPr>
          <w:szCs w:val="22"/>
        </w:rPr>
        <w:t>sofosbuvir</w:t>
      </w:r>
      <w:proofErr w:type="spellEnd"/>
      <w:r w:rsidRPr="009F79B5">
        <w:rPr>
          <w:szCs w:val="22"/>
        </w:rPr>
        <w:t xml:space="preserve"> for the treatment of genotype 1 CHC.</w:t>
      </w:r>
    </w:p>
    <w:p w:rsidR="00420576" w:rsidRPr="009F79B5" w:rsidRDefault="00420576">
      <w:pPr>
        <w:widowControl/>
        <w:jc w:val="left"/>
        <w:rPr>
          <w:i/>
        </w:rPr>
      </w:pPr>
    </w:p>
    <w:p w:rsidR="004C63AC" w:rsidRPr="009F79B5" w:rsidRDefault="00420576" w:rsidP="00420576">
      <w:pPr>
        <w:widowControl/>
        <w:ind w:firstLine="709"/>
        <w:jc w:val="left"/>
        <w:rPr>
          <w:i/>
        </w:rPr>
      </w:pPr>
      <w:r w:rsidRPr="009F79B5">
        <w:rPr>
          <w:i/>
        </w:rPr>
        <w:t>For more detail on PBAC’s view, see section 7 “PBAC outcome”</w:t>
      </w:r>
    </w:p>
    <w:p w:rsidR="00BC01ED" w:rsidRPr="009F79B5" w:rsidRDefault="00BC01ED">
      <w:pPr>
        <w:widowControl/>
        <w:jc w:val="left"/>
      </w:pPr>
    </w:p>
    <w:p w:rsidR="00B421A4" w:rsidRPr="009F79B5" w:rsidRDefault="00B421A4" w:rsidP="00B421A4">
      <w:pPr>
        <w:pStyle w:val="PBACHeading1"/>
      </w:pPr>
      <w:bookmarkStart w:id="5" w:name="_Toc419380193"/>
      <w:r w:rsidRPr="009F79B5">
        <w:t>Clinical place for the proposed therapy</w:t>
      </w:r>
      <w:bookmarkEnd w:id="5"/>
    </w:p>
    <w:p w:rsidR="00B421A4" w:rsidRPr="009F79B5" w:rsidRDefault="00B421A4" w:rsidP="00B421A4">
      <w:pPr>
        <w:rPr>
          <w:szCs w:val="22"/>
        </w:rPr>
      </w:pPr>
    </w:p>
    <w:p w:rsidR="00B421A4" w:rsidRPr="009F79B5" w:rsidRDefault="001F6A9F" w:rsidP="00B421A4">
      <w:pPr>
        <w:pStyle w:val="ListParagraph"/>
        <w:widowControl/>
        <w:numPr>
          <w:ilvl w:val="1"/>
          <w:numId w:val="4"/>
        </w:numPr>
        <w:rPr>
          <w:szCs w:val="22"/>
        </w:rPr>
      </w:pPr>
      <w:r w:rsidRPr="009F79B5">
        <w:t>Hepatitis C virus (</w:t>
      </w:r>
      <w:r w:rsidR="00B421A4" w:rsidRPr="009F79B5">
        <w:t>HCV</w:t>
      </w:r>
      <w:r w:rsidRPr="009F79B5">
        <w:t>)</w:t>
      </w:r>
      <w:r w:rsidR="00B421A4" w:rsidRPr="009F79B5">
        <w:t xml:space="preserve">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w:t>
      </w:r>
      <w:r w:rsidR="00B421A4" w:rsidRPr="009F79B5" w:rsidDel="00212A31">
        <w:rPr>
          <w:szCs w:val="22"/>
        </w:rPr>
        <w:t xml:space="preserve"> </w:t>
      </w:r>
      <w:r w:rsidR="00B421A4" w:rsidRPr="009F79B5">
        <w:rPr>
          <w:szCs w:val="22"/>
        </w:rPr>
        <w:t xml:space="preserve">varices. Currently, genotype 1 </w:t>
      </w:r>
      <w:r w:rsidR="009B605B" w:rsidRPr="009F79B5">
        <w:rPr>
          <w:szCs w:val="22"/>
        </w:rPr>
        <w:t xml:space="preserve">CHC </w:t>
      </w:r>
      <w:r w:rsidR="00B421A4" w:rsidRPr="009F79B5">
        <w:rPr>
          <w:szCs w:val="22"/>
        </w:rPr>
        <w:t>accounts for 49-55% of infections in Australia.</w:t>
      </w:r>
    </w:p>
    <w:p w:rsidR="00B421A4" w:rsidRPr="009F79B5" w:rsidRDefault="00B421A4" w:rsidP="00B421A4">
      <w:pPr>
        <w:widowControl/>
        <w:rPr>
          <w:szCs w:val="22"/>
        </w:rPr>
      </w:pPr>
    </w:p>
    <w:p w:rsidR="00C54D2C" w:rsidRPr="009F79B5" w:rsidRDefault="00195057" w:rsidP="00C54D2C">
      <w:pPr>
        <w:pStyle w:val="ListParagraph"/>
        <w:widowControl/>
        <w:numPr>
          <w:ilvl w:val="1"/>
          <w:numId w:val="4"/>
        </w:numPr>
        <w:rPr>
          <w:szCs w:val="22"/>
        </w:rPr>
      </w:pPr>
      <w:proofErr w:type="spellStart"/>
      <w:r w:rsidRPr="009F79B5">
        <w:t>B</w:t>
      </w:r>
      <w:r w:rsidR="00C54D2C" w:rsidRPr="009F79B5">
        <w:t>oceprevir</w:t>
      </w:r>
      <w:proofErr w:type="spellEnd"/>
      <w:r w:rsidR="00C54D2C" w:rsidRPr="009F79B5">
        <w:t xml:space="preserve">, </w:t>
      </w:r>
      <w:proofErr w:type="spellStart"/>
      <w:r w:rsidR="00C54D2C" w:rsidRPr="009F79B5">
        <w:t>telaprevir</w:t>
      </w:r>
      <w:proofErr w:type="spellEnd"/>
      <w:r w:rsidR="00C54D2C" w:rsidRPr="009F79B5">
        <w:t xml:space="preserve"> and </w:t>
      </w:r>
      <w:proofErr w:type="spellStart"/>
      <w:r w:rsidR="00C54D2C" w:rsidRPr="009F79B5">
        <w:t>simeprevir</w:t>
      </w:r>
      <w:proofErr w:type="spellEnd"/>
      <w:r w:rsidR="00C54D2C" w:rsidRPr="009F79B5">
        <w:t xml:space="preserve"> (</w:t>
      </w:r>
      <w:r w:rsidR="00C54D2C" w:rsidRPr="009F79B5">
        <w:rPr>
          <w:szCs w:val="22"/>
        </w:rPr>
        <w:t>three HCV NS3/4A inhibitors)</w:t>
      </w:r>
      <w:r w:rsidR="00C54D2C" w:rsidRPr="009F79B5">
        <w:t xml:space="preserve"> are currently reimbursed on the PBS for the treatment of HCV Genotype 1 in combination with PR</w:t>
      </w:r>
      <w:r w:rsidR="00C54D2C" w:rsidRPr="009F79B5">
        <w:rPr>
          <w:szCs w:val="22"/>
        </w:rPr>
        <w:t>.</w:t>
      </w:r>
    </w:p>
    <w:p w:rsidR="00B421A4" w:rsidRPr="009F79B5" w:rsidRDefault="00B421A4" w:rsidP="00B421A4">
      <w:pPr>
        <w:pStyle w:val="ListParagraph"/>
        <w:rPr>
          <w:szCs w:val="22"/>
        </w:rPr>
      </w:pPr>
    </w:p>
    <w:p w:rsidR="00B421A4" w:rsidRPr="009F79B5" w:rsidRDefault="00B421A4" w:rsidP="00B421A4">
      <w:pPr>
        <w:pStyle w:val="ListParagraph"/>
        <w:widowControl/>
        <w:numPr>
          <w:ilvl w:val="1"/>
          <w:numId w:val="4"/>
        </w:numPr>
        <w:rPr>
          <w:szCs w:val="22"/>
        </w:rPr>
      </w:pPr>
      <w:proofErr w:type="spellStart"/>
      <w:r w:rsidRPr="009F79B5">
        <w:rPr>
          <w:szCs w:val="22"/>
        </w:rPr>
        <w:t>Sofosbuvir</w:t>
      </w:r>
      <w:proofErr w:type="spellEnd"/>
      <w:r w:rsidRPr="009F79B5">
        <w:rPr>
          <w:szCs w:val="22"/>
        </w:rPr>
        <w:t xml:space="preserve">, </w:t>
      </w:r>
      <w:proofErr w:type="spellStart"/>
      <w:r w:rsidRPr="009F79B5">
        <w:rPr>
          <w:szCs w:val="22"/>
        </w:rPr>
        <w:t>ledipasvir</w:t>
      </w:r>
      <w:proofErr w:type="spellEnd"/>
      <w:r w:rsidRPr="009F79B5">
        <w:rPr>
          <w:szCs w:val="22"/>
        </w:rPr>
        <w:t>/</w:t>
      </w:r>
      <w:proofErr w:type="spellStart"/>
      <w:r w:rsidRPr="009F79B5">
        <w:rPr>
          <w:szCs w:val="22"/>
        </w:rPr>
        <w:t>sofosbuvir</w:t>
      </w:r>
      <w:proofErr w:type="spellEnd"/>
      <w:r w:rsidRPr="009F79B5">
        <w:rPr>
          <w:szCs w:val="22"/>
        </w:rPr>
        <w:t xml:space="preserve"> fixed dose combination (LDV/SOF), and </w:t>
      </w:r>
      <w:proofErr w:type="spellStart"/>
      <w:r w:rsidRPr="009F79B5">
        <w:rPr>
          <w:szCs w:val="22"/>
        </w:rPr>
        <w:t>daclatasvir</w:t>
      </w:r>
      <w:proofErr w:type="spellEnd"/>
      <w:r w:rsidRPr="009F79B5">
        <w:rPr>
          <w:szCs w:val="22"/>
        </w:rPr>
        <w:t xml:space="preserve"> in combination with </w:t>
      </w:r>
      <w:proofErr w:type="spellStart"/>
      <w:r w:rsidRPr="009F79B5">
        <w:rPr>
          <w:szCs w:val="22"/>
        </w:rPr>
        <w:t>sofosbuvir</w:t>
      </w:r>
      <w:proofErr w:type="spellEnd"/>
      <w:r w:rsidRPr="009F79B5">
        <w:rPr>
          <w:szCs w:val="22"/>
        </w:rPr>
        <w:t xml:space="preserve"> (DCV+SOF) were recommended at </w:t>
      </w:r>
      <w:r w:rsidR="00AB485C" w:rsidRPr="009F79B5">
        <w:rPr>
          <w:szCs w:val="22"/>
        </w:rPr>
        <w:t xml:space="preserve">the </w:t>
      </w:r>
      <w:r w:rsidRPr="009F79B5">
        <w:rPr>
          <w:szCs w:val="22"/>
        </w:rPr>
        <w:t>March 2015 PBAC meeting for the treatment of genotype 1 CHC.</w:t>
      </w:r>
    </w:p>
    <w:p w:rsidR="00B421A4" w:rsidRPr="009F79B5" w:rsidRDefault="00B421A4" w:rsidP="00B421A4">
      <w:pPr>
        <w:pStyle w:val="ListParagraph"/>
        <w:rPr>
          <w:szCs w:val="22"/>
        </w:rPr>
      </w:pPr>
    </w:p>
    <w:p w:rsidR="00B421A4" w:rsidRPr="009F79B5" w:rsidRDefault="00B421A4" w:rsidP="00B421A4">
      <w:pPr>
        <w:pStyle w:val="ListParagraph"/>
        <w:widowControl/>
        <w:numPr>
          <w:ilvl w:val="1"/>
          <w:numId w:val="4"/>
        </w:numPr>
        <w:rPr>
          <w:szCs w:val="22"/>
        </w:rPr>
      </w:pPr>
      <w:r w:rsidRPr="009F79B5">
        <w:t xml:space="preserve">Both </w:t>
      </w:r>
      <w:proofErr w:type="spellStart"/>
      <w:r w:rsidRPr="009F79B5">
        <w:t>simeprevir</w:t>
      </w:r>
      <w:proofErr w:type="spellEnd"/>
      <w:r w:rsidRPr="009F79B5">
        <w:t xml:space="preserve"> and </w:t>
      </w:r>
      <w:proofErr w:type="spellStart"/>
      <w:r w:rsidRPr="009F79B5">
        <w:t>sofosbuvir</w:t>
      </w:r>
      <w:proofErr w:type="spellEnd"/>
      <w:r w:rsidRPr="009F79B5">
        <w:t xml:space="preserve"> are DAAs. </w:t>
      </w:r>
      <w:proofErr w:type="spellStart"/>
      <w:r w:rsidRPr="009F79B5">
        <w:t>Simeprevir</w:t>
      </w:r>
      <w:proofErr w:type="spellEnd"/>
      <w:r w:rsidRPr="009F79B5">
        <w:t xml:space="preserve"> is an inhi</w:t>
      </w:r>
      <w:r w:rsidR="001F6A9F" w:rsidRPr="009F79B5">
        <w:t>bitor of hepatitis C virus</w:t>
      </w:r>
      <w:r w:rsidRPr="009F79B5">
        <w:t xml:space="preserve"> NS3/4A protease which is essential for viral replication. </w:t>
      </w:r>
      <w:proofErr w:type="spellStart"/>
      <w:r w:rsidRPr="009F79B5">
        <w:t>Sofosbuvir</w:t>
      </w:r>
      <w:proofErr w:type="spellEnd"/>
      <w:r w:rsidRPr="009F79B5">
        <w:t xml:space="preserve"> is a nucleotide inhibitor of HCV NS5B ribonucleic acid (RNA) polymerase, which is also essential for viral replication. By targeting different proteins in the HCV life cycle, </w:t>
      </w:r>
      <w:proofErr w:type="spellStart"/>
      <w:r w:rsidRPr="009F79B5">
        <w:t>simeprevir</w:t>
      </w:r>
      <w:proofErr w:type="spellEnd"/>
      <w:r w:rsidRPr="009F79B5">
        <w:t xml:space="preserve"> and </w:t>
      </w:r>
      <w:proofErr w:type="spellStart"/>
      <w:r w:rsidRPr="009F79B5">
        <w:t>sofosbuvir</w:t>
      </w:r>
      <w:proofErr w:type="spellEnd"/>
      <w:r w:rsidRPr="009F79B5">
        <w:t xml:space="preserve"> complement each other in the treatment of </w:t>
      </w:r>
      <w:r w:rsidR="003E1804" w:rsidRPr="009F79B5">
        <w:t xml:space="preserve">patients with </w:t>
      </w:r>
      <w:r w:rsidRPr="009F79B5">
        <w:t xml:space="preserve">genotype 1 HCV patients </w:t>
      </w:r>
      <w:r w:rsidR="003E1804" w:rsidRPr="009F79B5">
        <w:t>and</w:t>
      </w:r>
      <w:r w:rsidRPr="009F79B5">
        <w:t xml:space="preserve"> compensated liver disease.</w:t>
      </w:r>
    </w:p>
    <w:p w:rsidR="00B421A4" w:rsidRPr="009F79B5" w:rsidRDefault="00B421A4" w:rsidP="00B421A4">
      <w:pPr>
        <w:pStyle w:val="ListParagraph"/>
        <w:rPr>
          <w:szCs w:val="22"/>
        </w:rPr>
      </w:pPr>
    </w:p>
    <w:p w:rsidR="00B421A4" w:rsidRPr="009F79B5" w:rsidRDefault="00B421A4" w:rsidP="00B421A4">
      <w:pPr>
        <w:pStyle w:val="ListParagraph"/>
        <w:widowControl/>
        <w:numPr>
          <w:ilvl w:val="1"/>
          <w:numId w:val="4"/>
        </w:numPr>
        <w:rPr>
          <w:szCs w:val="22"/>
        </w:rPr>
      </w:pPr>
      <w:r w:rsidRPr="009F79B5">
        <w:t xml:space="preserve">The proposed dose regimen for both treatment-naïve and treatment-experienced patients with genotype 1 HCV infection, with or without cirrhosis, is </w:t>
      </w:r>
      <w:proofErr w:type="spellStart"/>
      <w:r w:rsidRPr="009F79B5">
        <w:t>simeprevir</w:t>
      </w:r>
      <w:proofErr w:type="spellEnd"/>
      <w:r w:rsidRPr="009F79B5">
        <w:t xml:space="preserve"> 150mg once daily with food, in combination with </w:t>
      </w:r>
      <w:proofErr w:type="spellStart"/>
      <w:r w:rsidRPr="009F79B5">
        <w:t>sofosbuvir</w:t>
      </w:r>
      <w:proofErr w:type="spellEnd"/>
      <w:r w:rsidRPr="009F79B5">
        <w:t xml:space="preserve"> 400mg once daily, for 12 weeks.</w:t>
      </w:r>
    </w:p>
    <w:p w:rsidR="00BC01ED" w:rsidRPr="009F79B5" w:rsidRDefault="00BC01ED" w:rsidP="00BC01ED">
      <w:pPr>
        <w:pStyle w:val="ListParagraph"/>
        <w:widowControl/>
        <w:rPr>
          <w:szCs w:val="22"/>
        </w:rPr>
      </w:pPr>
    </w:p>
    <w:p w:rsidR="00641E27" w:rsidRPr="009F79B5" w:rsidRDefault="00641E27" w:rsidP="00641E27">
      <w:pPr>
        <w:pStyle w:val="ListParagraph"/>
        <w:widowControl/>
        <w:numPr>
          <w:ilvl w:val="1"/>
          <w:numId w:val="4"/>
        </w:numPr>
      </w:pPr>
      <w:r w:rsidRPr="009F79B5">
        <w:t xml:space="preserve">The ESC noted </w:t>
      </w:r>
      <w:r w:rsidR="005619FA" w:rsidRPr="009F79B5">
        <w:t xml:space="preserve">that </w:t>
      </w:r>
      <w:r w:rsidRPr="009F79B5">
        <w:t>in</w:t>
      </w:r>
      <w:r w:rsidR="005619FA" w:rsidRPr="009F79B5">
        <w:t xml:space="preserve"> trials previously considered by the PBAC among</w:t>
      </w:r>
      <w:r w:rsidRPr="009F79B5">
        <w:t xml:space="preserve"> treatment naïve genotype 1 patients, the range of observed SVR following treatment with </w:t>
      </w:r>
      <w:proofErr w:type="spellStart"/>
      <w:r w:rsidRPr="009F79B5">
        <w:t>boceprevir</w:t>
      </w:r>
      <w:proofErr w:type="spellEnd"/>
      <w:r w:rsidR="00B33F63" w:rsidRPr="009F79B5">
        <w:t xml:space="preserve"> (BOC)</w:t>
      </w:r>
      <w:r w:rsidRPr="009F79B5">
        <w:t xml:space="preserve">, </w:t>
      </w:r>
      <w:proofErr w:type="spellStart"/>
      <w:r w:rsidRPr="009F79B5">
        <w:t>telaprevir</w:t>
      </w:r>
      <w:proofErr w:type="spellEnd"/>
      <w:r w:rsidR="00B33F63" w:rsidRPr="009F79B5">
        <w:t xml:space="preserve"> (TVR)</w:t>
      </w:r>
      <w:r w:rsidRPr="009F79B5">
        <w:t xml:space="preserve"> </w:t>
      </w:r>
      <w:r w:rsidR="005619FA" w:rsidRPr="009F79B5">
        <w:t xml:space="preserve">or </w:t>
      </w:r>
      <w:proofErr w:type="spellStart"/>
      <w:r w:rsidRPr="009F79B5">
        <w:t>simeprevir</w:t>
      </w:r>
      <w:proofErr w:type="spellEnd"/>
      <w:r w:rsidR="00B33F63" w:rsidRPr="009F79B5">
        <w:t xml:space="preserve"> (SMV) </w:t>
      </w:r>
      <w:r w:rsidRPr="009F79B5">
        <w:t xml:space="preserve"> in combination with PR was </w:t>
      </w:r>
      <w:r w:rsidR="000C7D8C" w:rsidRPr="009F79B5">
        <w:t>62.6% to</w:t>
      </w:r>
      <w:r w:rsidRPr="009F79B5">
        <w:t xml:space="preserve"> 80.5%, while </w:t>
      </w:r>
      <w:r w:rsidR="005619FA" w:rsidRPr="009F79B5">
        <w:t xml:space="preserve">the observed SVR observed for </w:t>
      </w:r>
      <w:r w:rsidR="000C7D8C" w:rsidRPr="009F79B5">
        <w:t>PR al</w:t>
      </w:r>
      <w:r w:rsidR="00B87321" w:rsidRPr="009F79B5">
        <w:t>one ranged from 36.4% to 65.9%.</w:t>
      </w:r>
    </w:p>
    <w:p w:rsidR="00942837" w:rsidRPr="004E21E9" w:rsidRDefault="00942837" w:rsidP="004E21E9">
      <w:pPr>
        <w:widowControl/>
        <w:rPr>
          <w:i/>
        </w:rPr>
      </w:pPr>
    </w:p>
    <w:p w:rsidR="00B421A4" w:rsidRPr="009F79B5" w:rsidRDefault="00706774" w:rsidP="00C14004">
      <w:pPr>
        <w:pStyle w:val="TableHeader"/>
        <w:keepNext/>
        <w:ind w:left="709" w:firstLine="11"/>
      </w:pPr>
      <w:r w:rsidRPr="009F79B5">
        <w:lastRenderedPageBreak/>
        <w:t xml:space="preserve">Table 1: observed SVR following treatment with </w:t>
      </w:r>
      <w:proofErr w:type="spellStart"/>
      <w:r w:rsidRPr="009F79B5">
        <w:t>boceprevir</w:t>
      </w:r>
      <w:proofErr w:type="spellEnd"/>
      <w:r w:rsidRPr="009F79B5">
        <w:t xml:space="preserve"> (BOC), </w:t>
      </w:r>
      <w:proofErr w:type="spellStart"/>
      <w:r w:rsidRPr="009F79B5">
        <w:t>telaprevir</w:t>
      </w:r>
      <w:proofErr w:type="spellEnd"/>
      <w:r w:rsidRPr="009F79B5">
        <w:t xml:space="preserve"> (TVR) or </w:t>
      </w:r>
      <w:proofErr w:type="spellStart"/>
      <w:r w:rsidRPr="009F79B5">
        <w:t>simeprevir</w:t>
      </w:r>
      <w:proofErr w:type="spellEnd"/>
      <w:r w:rsidRPr="009F79B5">
        <w:t xml:space="preserve"> (SMV</w:t>
      </w:r>
      <w:r w:rsidR="00637B64" w:rsidRPr="009F79B5">
        <w:t>) and</w:t>
      </w:r>
      <w:r w:rsidRPr="009F79B5">
        <w:t xml:space="preserve"> </w:t>
      </w:r>
      <w:proofErr w:type="spellStart"/>
      <w:r w:rsidRPr="009F79B5">
        <w:t>peginterferon</w:t>
      </w:r>
      <w:proofErr w:type="spellEnd"/>
      <w:r w:rsidRPr="009F79B5">
        <w:t xml:space="preserve"> and ribavirin (PR)</w:t>
      </w:r>
    </w:p>
    <w:tbl>
      <w:tblPr>
        <w:tblStyle w:val="TableGrid11"/>
        <w:tblW w:w="8363" w:type="dxa"/>
        <w:tblInd w:w="817" w:type="dxa"/>
        <w:tblLook w:val="04A0" w:firstRow="1" w:lastRow="0" w:firstColumn="1" w:lastColumn="0" w:noHBand="0" w:noVBand="1"/>
        <w:tblCaption w:val=" "/>
      </w:tblPr>
      <w:tblGrid>
        <w:gridCol w:w="3686"/>
        <w:gridCol w:w="2551"/>
        <w:gridCol w:w="2126"/>
      </w:tblGrid>
      <w:tr w:rsidR="00B33F63" w:rsidRPr="009F79B5" w:rsidTr="00A045E5">
        <w:trPr>
          <w:trHeight w:val="555"/>
          <w:tblHeader/>
        </w:trPr>
        <w:tc>
          <w:tcPr>
            <w:tcW w:w="3686" w:type="dxa"/>
            <w:shd w:val="clear" w:color="auto" w:fill="auto"/>
            <w:vAlign w:val="center"/>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Regimen</w:t>
            </w:r>
          </w:p>
        </w:tc>
        <w:tc>
          <w:tcPr>
            <w:tcW w:w="2551" w:type="dxa"/>
            <w:shd w:val="clear" w:color="auto" w:fill="auto"/>
            <w:vAlign w:val="center"/>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Trial ID</w:t>
            </w:r>
          </w:p>
        </w:tc>
        <w:tc>
          <w:tcPr>
            <w:tcW w:w="2126" w:type="dxa"/>
            <w:shd w:val="clear" w:color="auto" w:fill="auto"/>
            <w:vAlign w:val="center"/>
          </w:tcPr>
          <w:p w:rsidR="00B33F63" w:rsidRPr="009F79B5" w:rsidRDefault="00B33F63" w:rsidP="00C14004">
            <w:pPr>
              <w:keepNext/>
              <w:ind w:left="-57" w:right="-57"/>
              <w:jc w:val="left"/>
              <w:rPr>
                <w:rFonts w:ascii="Arial Narrow" w:hAnsi="Arial Narrow" w:cs="Times New Roman"/>
                <w:snapToGrid/>
                <w:sz w:val="20"/>
              </w:rPr>
            </w:pPr>
            <w:proofErr w:type="gramStart"/>
            <w:r w:rsidRPr="009F79B5">
              <w:rPr>
                <w:rFonts w:ascii="Arial Narrow" w:hAnsi="Arial Narrow" w:cs="Times New Roman"/>
                <w:snapToGrid/>
                <w:sz w:val="20"/>
              </w:rPr>
              <w:t>n/N</w:t>
            </w:r>
            <w:proofErr w:type="gramEnd"/>
            <w:r w:rsidRPr="009F79B5">
              <w:rPr>
                <w:rFonts w:ascii="Arial Narrow" w:hAnsi="Arial Narrow" w:cs="Times New Roman"/>
                <w:snapToGrid/>
                <w:sz w:val="20"/>
              </w:rPr>
              <w:t xml:space="preserve"> (%)</w:t>
            </w:r>
          </w:p>
        </w:tc>
      </w:tr>
      <w:tr w:rsidR="00B33F63" w:rsidRPr="009F79B5" w:rsidTr="00A045E5">
        <w:trPr>
          <w:trHeight w:val="530"/>
        </w:trPr>
        <w:tc>
          <w:tcPr>
            <w:tcW w:w="3686" w:type="dxa"/>
            <w:vMerge w:val="restart"/>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SMV12</w:t>
            </w:r>
            <w:r w:rsidR="00B87321" w:rsidRPr="009F79B5">
              <w:rPr>
                <w:rFonts w:ascii="Arial Narrow" w:hAnsi="Arial Narrow" w:cs="Times New Roman"/>
                <w:snapToGrid/>
                <w:sz w:val="20"/>
              </w:rPr>
              <w:t xml:space="preserve"> weeks</w:t>
            </w:r>
            <w:r w:rsidRPr="009F79B5">
              <w:rPr>
                <w:rFonts w:ascii="Arial Narrow" w:hAnsi="Arial Narrow" w:cs="Times New Roman"/>
                <w:snapToGrid/>
                <w:sz w:val="20"/>
              </w:rPr>
              <w:t>+PR24/48</w:t>
            </w:r>
            <w:r w:rsidR="00B87321" w:rsidRPr="009F79B5">
              <w:rPr>
                <w:rFonts w:ascii="Arial Narrow" w:hAnsi="Arial Narrow" w:cs="Times New Roman"/>
                <w:snapToGrid/>
                <w:sz w:val="20"/>
              </w:rPr>
              <w:t xml:space="preserve"> weeks</w:t>
            </w:r>
            <w:r w:rsidRPr="009F79B5">
              <w:rPr>
                <w:rFonts w:ascii="Arial Narrow" w:hAnsi="Arial Narrow" w:cs="Times New Roman"/>
                <w:snapToGrid/>
                <w:sz w:val="20"/>
              </w:rPr>
              <w:t xml:space="preserve"> </w:t>
            </w: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QUEST 1</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SVR (12) </w:t>
            </w:r>
          </w:p>
        </w:tc>
        <w:tc>
          <w:tcPr>
            <w:tcW w:w="2126" w:type="dxa"/>
          </w:tcPr>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 xml:space="preserve">210/264 </w:t>
            </w:r>
            <w:r w:rsidRPr="009F79B5">
              <w:rPr>
                <w:rFonts w:ascii="Arial Narrow" w:hAnsi="Arial Narrow" w:cs="Times New Roman"/>
                <w:snapToGrid/>
                <w:sz w:val="20"/>
              </w:rPr>
              <w:br/>
              <w:t>(79.5%)</w:t>
            </w:r>
          </w:p>
        </w:tc>
      </w:tr>
      <w:tr w:rsidR="00B33F63" w:rsidRPr="009F79B5" w:rsidTr="00A045E5">
        <w:trPr>
          <w:trHeight w:val="528"/>
        </w:trPr>
        <w:tc>
          <w:tcPr>
            <w:tcW w:w="3686" w:type="dxa"/>
            <w:vMerge/>
            <w:shd w:val="clear" w:color="auto" w:fill="auto"/>
            <w:textDirection w:val="btLr"/>
          </w:tcPr>
          <w:p w:rsidR="00B33F63" w:rsidRPr="009F79B5" w:rsidRDefault="00B33F63" w:rsidP="00C14004">
            <w:pPr>
              <w:keepNext/>
              <w:widowControl/>
              <w:jc w:val="left"/>
              <w:rPr>
                <w:rFonts w:ascii="Arial Narrow" w:hAnsi="Arial Narrow" w:cs="Times New Roman"/>
                <w:snapToGrid/>
                <w:sz w:val="20"/>
              </w:rPr>
            </w:pP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QUEST 2 </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(12)</w:t>
            </w:r>
          </w:p>
        </w:tc>
        <w:tc>
          <w:tcPr>
            <w:tcW w:w="2126" w:type="dxa"/>
            <w:vAlign w:val="center"/>
          </w:tcPr>
          <w:p w:rsidR="00B33F63" w:rsidRPr="009F79B5" w:rsidRDefault="00B33F63" w:rsidP="00C14004">
            <w:pPr>
              <w:keepNext/>
              <w:jc w:val="left"/>
              <w:rPr>
                <w:rFonts w:ascii="Arial Narrow" w:hAnsi="Arial Narrow" w:cs="Times New Roman"/>
                <w:snapToGrid/>
                <w:sz w:val="20"/>
              </w:rPr>
            </w:pPr>
            <w:r w:rsidRPr="009F79B5">
              <w:rPr>
                <w:rFonts w:ascii="Arial Narrow" w:hAnsi="Arial Narrow" w:cs="Times New Roman"/>
                <w:snapToGrid/>
                <w:sz w:val="20"/>
              </w:rPr>
              <w:t>207/257</w:t>
            </w:r>
            <w:r w:rsidRPr="009F79B5">
              <w:rPr>
                <w:rFonts w:ascii="Arial Narrow" w:hAnsi="Arial Narrow" w:cs="Times New Roman"/>
                <w:snapToGrid/>
                <w:sz w:val="20"/>
              </w:rPr>
              <w:br/>
              <w:t>(80.5%)</w:t>
            </w:r>
          </w:p>
        </w:tc>
      </w:tr>
      <w:tr w:rsidR="00B33F63" w:rsidRPr="009F79B5" w:rsidTr="00A045E5">
        <w:trPr>
          <w:trHeight w:val="680"/>
        </w:trPr>
        <w:tc>
          <w:tcPr>
            <w:tcW w:w="3686" w:type="dxa"/>
            <w:vMerge/>
            <w:shd w:val="clear" w:color="auto" w:fill="auto"/>
            <w:textDirection w:val="btLr"/>
          </w:tcPr>
          <w:p w:rsidR="00B33F63" w:rsidRPr="009F79B5" w:rsidRDefault="00B33F63" w:rsidP="00C14004">
            <w:pPr>
              <w:keepNext/>
              <w:widowControl/>
              <w:jc w:val="left"/>
              <w:rPr>
                <w:rFonts w:ascii="Arial Narrow" w:hAnsi="Arial Narrow" w:cs="Times New Roman"/>
                <w:snapToGrid/>
                <w:sz w:val="20"/>
              </w:rPr>
            </w:pP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PILLAR</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vAlign w:val="center"/>
          </w:tcPr>
          <w:p w:rsidR="00B33F63" w:rsidRPr="009F79B5" w:rsidRDefault="00B33F63" w:rsidP="00C14004">
            <w:pPr>
              <w:keepNext/>
              <w:jc w:val="left"/>
              <w:rPr>
                <w:rFonts w:ascii="Arial Narrow" w:hAnsi="Arial Narrow" w:cs="Times New Roman"/>
                <w:snapToGrid/>
                <w:sz w:val="20"/>
              </w:rPr>
            </w:pPr>
            <w:r w:rsidRPr="009F79B5">
              <w:rPr>
                <w:rFonts w:ascii="Arial Narrow" w:hAnsi="Arial Narrow" w:cs="Times New Roman"/>
                <w:snapToGrid/>
                <w:sz w:val="20"/>
              </w:rPr>
              <w:t>62/77</w:t>
            </w:r>
            <w:r w:rsidRPr="009F79B5">
              <w:rPr>
                <w:rFonts w:ascii="Arial Narrow" w:hAnsi="Arial Narrow" w:cs="Times New Roman"/>
                <w:snapToGrid/>
                <w:sz w:val="20"/>
              </w:rPr>
              <w:br/>
              <w:t xml:space="preserve"> (80.5%)</w:t>
            </w:r>
          </w:p>
        </w:tc>
      </w:tr>
      <w:tr w:rsidR="00B33F63" w:rsidRPr="009F79B5" w:rsidTr="00A045E5">
        <w:trPr>
          <w:trHeight w:val="670"/>
        </w:trPr>
        <w:tc>
          <w:tcPr>
            <w:tcW w:w="3686"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TVR12</w:t>
            </w:r>
            <w:r w:rsidR="00B87321" w:rsidRPr="009F79B5">
              <w:rPr>
                <w:rFonts w:ascii="Arial Narrow" w:hAnsi="Arial Narrow" w:cs="Times New Roman"/>
                <w:snapToGrid/>
                <w:sz w:val="20"/>
              </w:rPr>
              <w:t xml:space="preserve"> weeks </w:t>
            </w:r>
            <w:r w:rsidRPr="009F79B5">
              <w:rPr>
                <w:rFonts w:ascii="Arial Narrow" w:hAnsi="Arial Narrow" w:cs="Times New Roman"/>
                <w:snapToGrid/>
                <w:sz w:val="20"/>
              </w:rPr>
              <w:t>+PR24/48</w:t>
            </w:r>
            <w:r w:rsidR="00B87321" w:rsidRPr="009F79B5">
              <w:rPr>
                <w:rFonts w:ascii="Arial Narrow" w:hAnsi="Arial Narrow" w:cs="Times New Roman"/>
                <w:snapToGrid/>
                <w:sz w:val="20"/>
              </w:rPr>
              <w:t xml:space="preserve"> weeks</w:t>
            </w:r>
            <w:r w:rsidRPr="009F79B5">
              <w:rPr>
                <w:rFonts w:ascii="Arial Narrow" w:hAnsi="Arial Narrow" w:cs="Times New Roman"/>
                <w:snapToGrid/>
                <w:sz w:val="20"/>
              </w:rPr>
              <w:t xml:space="preserve"> </w:t>
            </w: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ADVANCE</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271/363 </w:t>
            </w:r>
            <w:r w:rsidRPr="009F79B5">
              <w:rPr>
                <w:rFonts w:ascii="Arial Narrow" w:hAnsi="Arial Narrow" w:cs="Times New Roman"/>
                <w:snapToGrid/>
                <w:sz w:val="20"/>
              </w:rPr>
              <w:br/>
              <w:t>(74.7%)]</w:t>
            </w:r>
          </w:p>
        </w:tc>
      </w:tr>
      <w:tr w:rsidR="00B33F63" w:rsidRPr="009F79B5" w:rsidTr="00A045E5">
        <w:trPr>
          <w:trHeight w:val="721"/>
        </w:trPr>
        <w:tc>
          <w:tcPr>
            <w:tcW w:w="3686"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BOC24+PR28/48 </w:t>
            </w:r>
            <w:r w:rsidR="00B87321" w:rsidRPr="009F79B5">
              <w:rPr>
                <w:rFonts w:ascii="Arial Narrow" w:hAnsi="Arial Narrow" w:cs="Times New Roman"/>
                <w:snapToGrid/>
                <w:sz w:val="20"/>
              </w:rPr>
              <w:t>weeks</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 </w:t>
            </w: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SPRINT 2</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230/368</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(62.6%)</w:t>
            </w:r>
          </w:p>
        </w:tc>
      </w:tr>
      <w:tr w:rsidR="00B33F63" w:rsidRPr="009F79B5" w:rsidTr="00A045E5">
        <w:trPr>
          <w:trHeight w:val="432"/>
        </w:trPr>
        <w:tc>
          <w:tcPr>
            <w:tcW w:w="3686" w:type="dxa"/>
            <w:vMerge w:val="restart"/>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PR 48</w:t>
            </w:r>
            <w:r w:rsidR="00B87321" w:rsidRPr="009F79B5">
              <w:rPr>
                <w:rFonts w:ascii="Arial Narrow" w:hAnsi="Arial Narrow" w:cs="Times New Roman"/>
                <w:snapToGrid/>
                <w:sz w:val="20"/>
              </w:rPr>
              <w:t xml:space="preserve"> weeks</w:t>
            </w: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QUEST 1</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SVR (12) </w:t>
            </w:r>
          </w:p>
        </w:tc>
        <w:tc>
          <w:tcPr>
            <w:tcW w:w="2126" w:type="dxa"/>
          </w:tcPr>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 xml:space="preserve">64/130 </w:t>
            </w:r>
            <w:r w:rsidRPr="009F79B5">
              <w:rPr>
                <w:rFonts w:ascii="Arial Narrow" w:hAnsi="Arial Narrow" w:cs="Times New Roman"/>
                <w:snapToGrid/>
                <w:sz w:val="20"/>
              </w:rPr>
              <w:br/>
              <w:t>(49.2%)</w:t>
            </w:r>
          </w:p>
        </w:tc>
      </w:tr>
      <w:tr w:rsidR="00B33F63" w:rsidRPr="009F79B5" w:rsidTr="00A045E5">
        <w:trPr>
          <w:trHeight w:val="432"/>
        </w:trPr>
        <w:tc>
          <w:tcPr>
            <w:tcW w:w="3686" w:type="dxa"/>
            <w:vMerge/>
            <w:shd w:val="clear" w:color="auto" w:fill="auto"/>
          </w:tcPr>
          <w:p w:rsidR="00B33F63" w:rsidRPr="009F79B5" w:rsidRDefault="00B33F63" w:rsidP="00C14004">
            <w:pPr>
              <w:keepNext/>
              <w:widowControl/>
              <w:jc w:val="left"/>
              <w:rPr>
                <w:rFonts w:ascii="Arial Narrow" w:hAnsi="Arial Narrow" w:cs="Times New Roman"/>
                <w:snapToGrid/>
                <w:sz w:val="20"/>
              </w:rPr>
            </w:pP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 xml:space="preserve">QUEST 2 </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(12)</w:t>
            </w:r>
          </w:p>
        </w:tc>
        <w:tc>
          <w:tcPr>
            <w:tcW w:w="2126" w:type="dxa"/>
            <w:vAlign w:val="center"/>
          </w:tcPr>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 xml:space="preserve">67/134 </w:t>
            </w:r>
            <w:r w:rsidRPr="009F79B5">
              <w:rPr>
                <w:rFonts w:ascii="Arial Narrow" w:hAnsi="Arial Narrow" w:cs="Times New Roman"/>
                <w:snapToGrid/>
                <w:sz w:val="20"/>
              </w:rPr>
              <w:br/>
              <w:t>(50.0%)</w:t>
            </w:r>
          </w:p>
        </w:tc>
      </w:tr>
      <w:tr w:rsidR="00B33F63" w:rsidRPr="009F79B5" w:rsidTr="00A045E5">
        <w:trPr>
          <w:trHeight w:val="432"/>
        </w:trPr>
        <w:tc>
          <w:tcPr>
            <w:tcW w:w="3686" w:type="dxa"/>
            <w:vMerge/>
            <w:shd w:val="clear" w:color="auto" w:fill="auto"/>
          </w:tcPr>
          <w:p w:rsidR="00B33F63" w:rsidRPr="009F79B5" w:rsidRDefault="00B33F63" w:rsidP="00C14004">
            <w:pPr>
              <w:keepNext/>
              <w:widowControl/>
              <w:jc w:val="left"/>
              <w:rPr>
                <w:rFonts w:ascii="Arial Narrow" w:hAnsi="Arial Narrow" w:cs="Times New Roman"/>
                <w:snapToGrid/>
                <w:sz w:val="20"/>
              </w:rPr>
            </w:pP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PILLAR</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vAlign w:val="center"/>
          </w:tcPr>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50/77</w:t>
            </w:r>
            <w:r w:rsidRPr="009F79B5">
              <w:rPr>
                <w:rFonts w:ascii="Arial Narrow" w:hAnsi="Arial Narrow" w:cs="Times New Roman"/>
                <w:snapToGrid/>
                <w:sz w:val="20"/>
              </w:rPr>
              <w:br/>
              <w:t>(64.9%)</w:t>
            </w:r>
          </w:p>
        </w:tc>
      </w:tr>
      <w:tr w:rsidR="00B33F63" w:rsidRPr="009F79B5" w:rsidTr="00A045E5">
        <w:trPr>
          <w:trHeight w:val="432"/>
        </w:trPr>
        <w:tc>
          <w:tcPr>
            <w:tcW w:w="3686" w:type="dxa"/>
            <w:vMerge/>
            <w:shd w:val="clear" w:color="auto" w:fill="auto"/>
          </w:tcPr>
          <w:p w:rsidR="00B33F63" w:rsidRPr="009F79B5" w:rsidRDefault="00B33F63" w:rsidP="00C14004">
            <w:pPr>
              <w:keepNext/>
              <w:widowControl/>
              <w:jc w:val="left"/>
              <w:rPr>
                <w:rFonts w:ascii="Arial Narrow" w:hAnsi="Arial Narrow" w:cs="Times New Roman"/>
                <w:snapToGrid/>
                <w:sz w:val="20"/>
              </w:rPr>
            </w:pPr>
          </w:p>
        </w:tc>
        <w:tc>
          <w:tcPr>
            <w:tcW w:w="2551" w:type="dxa"/>
            <w:shd w:val="clear" w:color="auto" w:fill="auto"/>
          </w:tcPr>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ADVANCE</w:t>
            </w:r>
          </w:p>
          <w:p w:rsidR="00B33F63" w:rsidRPr="009F79B5" w:rsidRDefault="00B33F63" w:rsidP="00C14004">
            <w:pPr>
              <w:keepNext/>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tcPr>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158/361</w:t>
            </w:r>
          </w:p>
          <w:p w:rsidR="00B33F63" w:rsidRPr="009F79B5" w:rsidRDefault="00B33F63" w:rsidP="00C14004">
            <w:pPr>
              <w:keepNext/>
              <w:ind w:left="-57" w:right="-57"/>
              <w:jc w:val="left"/>
              <w:rPr>
                <w:rFonts w:ascii="Arial Narrow" w:hAnsi="Arial Narrow" w:cs="Times New Roman"/>
                <w:snapToGrid/>
                <w:sz w:val="20"/>
              </w:rPr>
            </w:pPr>
            <w:r w:rsidRPr="009F79B5">
              <w:rPr>
                <w:rFonts w:ascii="Arial Narrow" w:hAnsi="Arial Narrow" w:cs="Times New Roman"/>
                <w:snapToGrid/>
                <w:sz w:val="20"/>
              </w:rPr>
              <w:t>(43.8%)</w:t>
            </w:r>
          </w:p>
        </w:tc>
      </w:tr>
      <w:tr w:rsidR="00B33F63" w:rsidRPr="009F79B5" w:rsidTr="00A045E5">
        <w:trPr>
          <w:trHeight w:val="432"/>
        </w:trPr>
        <w:tc>
          <w:tcPr>
            <w:tcW w:w="3686" w:type="dxa"/>
            <w:vMerge/>
            <w:shd w:val="clear" w:color="auto" w:fill="auto"/>
          </w:tcPr>
          <w:p w:rsidR="00B33F63" w:rsidRPr="009F79B5" w:rsidRDefault="00B33F63" w:rsidP="009C7A50">
            <w:pPr>
              <w:widowControl/>
              <w:jc w:val="left"/>
              <w:rPr>
                <w:rFonts w:ascii="Arial Narrow" w:hAnsi="Arial Narrow" w:cs="Times New Roman"/>
                <w:snapToGrid/>
                <w:sz w:val="20"/>
              </w:rPr>
            </w:pPr>
          </w:p>
        </w:tc>
        <w:tc>
          <w:tcPr>
            <w:tcW w:w="2551" w:type="dxa"/>
            <w:shd w:val="clear" w:color="auto" w:fill="auto"/>
          </w:tcPr>
          <w:p w:rsidR="00B33F63" w:rsidRPr="009F79B5" w:rsidRDefault="00B33F63" w:rsidP="009C7A50">
            <w:pPr>
              <w:widowControl/>
              <w:jc w:val="left"/>
              <w:rPr>
                <w:rFonts w:ascii="Arial Narrow" w:hAnsi="Arial Narrow" w:cs="Times New Roman"/>
                <w:snapToGrid/>
                <w:sz w:val="20"/>
              </w:rPr>
            </w:pPr>
            <w:r w:rsidRPr="009F79B5">
              <w:rPr>
                <w:rFonts w:ascii="Arial Narrow" w:hAnsi="Arial Narrow" w:cs="Times New Roman"/>
                <w:snapToGrid/>
                <w:sz w:val="20"/>
              </w:rPr>
              <w:t>SPRINT 2</w:t>
            </w:r>
          </w:p>
          <w:p w:rsidR="00B33F63" w:rsidRPr="009F79B5" w:rsidRDefault="00B33F63" w:rsidP="009C7A50">
            <w:pPr>
              <w:widowControl/>
              <w:jc w:val="left"/>
              <w:rPr>
                <w:rFonts w:ascii="Arial Narrow" w:hAnsi="Arial Narrow" w:cs="Times New Roman"/>
                <w:snapToGrid/>
                <w:sz w:val="20"/>
              </w:rPr>
            </w:pPr>
            <w:r w:rsidRPr="009F79B5">
              <w:rPr>
                <w:rFonts w:ascii="Arial Narrow" w:hAnsi="Arial Narrow" w:cs="Times New Roman"/>
                <w:snapToGrid/>
                <w:sz w:val="20"/>
              </w:rPr>
              <w:t>SVR (24)</w:t>
            </w:r>
          </w:p>
        </w:tc>
        <w:tc>
          <w:tcPr>
            <w:tcW w:w="2126" w:type="dxa"/>
          </w:tcPr>
          <w:p w:rsidR="00B33F63" w:rsidRPr="009F79B5" w:rsidRDefault="00B33F63" w:rsidP="009C7A50">
            <w:pPr>
              <w:ind w:left="-57" w:right="-57"/>
              <w:jc w:val="left"/>
              <w:rPr>
                <w:rFonts w:ascii="Arial Narrow" w:hAnsi="Arial Narrow" w:cs="Times New Roman"/>
                <w:snapToGrid/>
                <w:sz w:val="20"/>
              </w:rPr>
            </w:pPr>
            <w:r w:rsidRPr="009F79B5">
              <w:rPr>
                <w:rFonts w:ascii="Arial Narrow" w:hAnsi="Arial Narrow" w:cs="Times New Roman"/>
                <w:snapToGrid/>
                <w:sz w:val="20"/>
              </w:rPr>
              <w:t>132/363</w:t>
            </w:r>
          </w:p>
          <w:p w:rsidR="00B33F63" w:rsidRPr="009F79B5" w:rsidRDefault="00B33F63" w:rsidP="009C7A50">
            <w:pPr>
              <w:ind w:left="-57" w:right="-57"/>
              <w:jc w:val="left"/>
              <w:rPr>
                <w:rFonts w:ascii="Arial Narrow" w:hAnsi="Arial Narrow" w:cs="Times New Roman"/>
                <w:snapToGrid/>
                <w:sz w:val="20"/>
              </w:rPr>
            </w:pPr>
            <w:r w:rsidRPr="009F79B5">
              <w:rPr>
                <w:rFonts w:ascii="Arial Narrow" w:hAnsi="Arial Narrow" w:cs="Times New Roman"/>
                <w:snapToGrid/>
                <w:sz w:val="20"/>
              </w:rPr>
              <w:t>(36.4%)</w:t>
            </w:r>
          </w:p>
        </w:tc>
      </w:tr>
    </w:tbl>
    <w:p w:rsidR="00C97067" w:rsidRPr="009F79B5" w:rsidRDefault="00C97067" w:rsidP="00B421A4">
      <w:pPr>
        <w:pStyle w:val="Header"/>
        <w:rPr>
          <w:szCs w:val="22"/>
        </w:rPr>
      </w:pPr>
    </w:p>
    <w:p w:rsidR="00B421A4" w:rsidRPr="009F79B5" w:rsidRDefault="00B421A4" w:rsidP="00B421A4">
      <w:pPr>
        <w:pStyle w:val="PBACHeading1"/>
      </w:pPr>
      <w:bookmarkStart w:id="6" w:name="_Toc419380194"/>
      <w:r w:rsidRPr="009F79B5">
        <w:t>Comparator</w:t>
      </w:r>
      <w:bookmarkEnd w:id="6"/>
    </w:p>
    <w:p w:rsidR="00B421A4" w:rsidRPr="009F79B5" w:rsidRDefault="00B421A4" w:rsidP="00B421A4"/>
    <w:p w:rsidR="003E1804" w:rsidRPr="009F79B5" w:rsidRDefault="003E1804" w:rsidP="003E1804">
      <w:pPr>
        <w:pStyle w:val="ListParagraph"/>
        <w:widowControl/>
        <w:numPr>
          <w:ilvl w:val="1"/>
          <w:numId w:val="4"/>
        </w:numPr>
      </w:pPr>
      <w:r w:rsidRPr="009F79B5">
        <w:t>The submission nominated the following as the main comparators:</w:t>
      </w:r>
    </w:p>
    <w:p w:rsidR="003E1804" w:rsidRPr="009F79B5" w:rsidRDefault="003E1804" w:rsidP="003E1804">
      <w:pPr>
        <w:pStyle w:val="ListParagraph"/>
        <w:widowControl/>
        <w:numPr>
          <w:ilvl w:val="0"/>
          <w:numId w:val="33"/>
        </w:numPr>
      </w:pPr>
      <w:r w:rsidRPr="009F79B5">
        <w:t>SMV+PR - for those patients with genotype 1 HCV who are currently receiving interferon-containing treatment regimens; and</w:t>
      </w:r>
    </w:p>
    <w:p w:rsidR="00787625" w:rsidRPr="009F79B5" w:rsidRDefault="003E1804" w:rsidP="003E1804">
      <w:pPr>
        <w:pStyle w:val="ListParagraph"/>
        <w:widowControl/>
        <w:numPr>
          <w:ilvl w:val="0"/>
          <w:numId w:val="33"/>
        </w:numPr>
      </w:pPr>
      <w:r w:rsidRPr="009F79B5">
        <w:t>No treatment - for eligible patients who are currently not being treated.</w:t>
      </w:r>
    </w:p>
    <w:p w:rsidR="00B421A4" w:rsidRPr="009F79B5" w:rsidRDefault="00B421A4" w:rsidP="00907428">
      <w:pPr>
        <w:widowControl/>
        <w:rPr>
          <w:szCs w:val="22"/>
        </w:rPr>
      </w:pPr>
    </w:p>
    <w:p w:rsidR="00C97067" w:rsidRPr="004E21E9" w:rsidRDefault="004203E8" w:rsidP="00C97067">
      <w:pPr>
        <w:pStyle w:val="ListParagraph"/>
        <w:widowControl/>
        <w:numPr>
          <w:ilvl w:val="1"/>
          <w:numId w:val="4"/>
        </w:numPr>
        <w:rPr>
          <w:szCs w:val="22"/>
        </w:rPr>
      </w:pPr>
      <w:r w:rsidRPr="009F79B5">
        <w:rPr>
          <w:szCs w:val="22"/>
        </w:rPr>
        <w:t xml:space="preserve">As many patients have not been receiving active treatment while awaiting the emergence of interferon-free treatment regimens (5.17 </w:t>
      </w:r>
      <w:proofErr w:type="spellStart"/>
      <w:r w:rsidRPr="009F79B5">
        <w:rPr>
          <w:szCs w:val="22"/>
        </w:rPr>
        <w:t>Sofosbuvir</w:t>
      </w:r>
      <w:proofErr w:type="spellEnd"/>
      <w:r w:rsidRPr="009F79B5">
        <w:rPr>
          <w:szCs w:val="22"/>
        </w:rPr>
        <w:t xml:space="preserve"> </w:t>
      </w:r>
      <w:r w:rsidR="00FD58D9" w:rsidRPr="009F79B5">
        <w:rPr>
          <w:szCs w:val="22"/>
        </w:rPr>
        <w:t>P</w:t>
      </w:r>
      <w:r w:rsidRPr="009F79B5">
        <w:rPr>
          <w:szCs w:val="22"/>
        </w:rPr>
        <w:t xml:space="preserve">ublic </w:t>
      </w:r>
      <w:r w:rsidR="00FD58D9" w:rsidRPr="009F79B5">
        <w:rPr>
          <w:szCs w:val="22"/>
        </w:rPr>
        <w:t>S</w:t>
      </w:r>
      <w:r w:rsidRPr="009F79B5">
        <w:rPr>
          <w:szCs w:val="22"/>
        </w:rPr>
        <w:t xml:space="preserve">ummary </w:t>
      </w:r>
      <w:r w:rsidR="00FD58D9" w:rsidRPr="009F79B5">
        <w:rPr>
          <w:szCs w:val="22"/>
        </w:rPr>
        <w:t>D</w:t>
      </w:r>
      <w:r w:rsidRPr="009F79B5">
        <w:rPr>
          <w:szCs w:val="22"/>
        </w:rPr>
        <w:t>ocument, paragraph 7.5</w:t>
      </w:r>
      <w:r w:rsidR="00FD58D9" w:rsidRPr="009F79B5">
        <w:rPr>
          <w:szCs w:val="22"/>
        </w:rPr>
        <w:t>, July 2014 PBAC meeting</w:t>
      </w:r>
      <w:r w:rsidRPr="009F79B5">
        <w:rPr>
          <w:szCs w:val="22"/>
        </w:rPr>
        <w:t xml:space="preserve">), the PBAC have previously accepted the appropriate comparator for the majority of patients was ‘no treatment’. </w:t>
      </w:r>
      <w:r w:rsidR="00907428" w:rsidRPr="009F79B5">
        <w:rPr>
          <w:szCs w:val="22"/>
        </w:rPr>
        <w:t>The ESC reiterated that this is the appropriate comparator</w:t>
      </w:r>
      <w:r w:rsidR="00641E27" w:rsidRPr="009F79B5">
        <w:rPr>
          <w:szCs w:val="22"/>
        </w:rPr>
        <w:t xml:space="preserve"> in the scenario of</w:t>
      </w:r>
      <w:r w:rsidR="00907428" w:rsidRPr="009F79B5">
        <w:rPr>
          <w:szCs w:val="22"/>
        </w:rPr>
        <w:t xml:space="preserve"> awaiting the availability of IFN-free treatments.</w:t>
      </w:r>
      <w:r w:rsidR="00907428" w:rsidRPr="009F79B5">
        <w:rPr>
          <w:i/>
          <w:szCs w:val="22"/>
        </w:rPr>
        <w:t xml:space="preserve"> </w:t>
      </w:r>
    </w:p>
    <w:p w:rsidR="00B421A4" w:rsidRPr="009F79B5" w:rsidRDefault="00B421A4" w:rsidP="00D06A70">
      <w:pPr>
        <w:widowControl/>
        <w:rPr>
          <w:szCs w:val="22"/>
        </w:rPr>
      </w:pPr>
    </w:p>
    <w:p w:rsidR="005A5449" w:rsidRPr="009F79B5" w:rsidRDefault="005A5449" w:rsidP="005A5449">
      <w:pPr>
        <w:pStyle w:val="ListParagraph"/>
        <w:widowControl/>
        <w:numPr>
          <w:ilvl w:val="1"/>
          <w:numId w:val="4"/>
        </w:numPr>
        <w:rPr>
          <w:szCs w:val="22"/>
        </w:rPr>
      </w:pPr>
      <w:r w:rsidRPr="009F79B5">
        <w:rPr>
          <w:szCs w:val="22"/>
        </w:rPr>
        <w:t xml:space="preserve">Recognising that the PBAC had recently considered other interferon-free regimens for the treatment of genotype 1 HCV, the submission nominated the following supplementary comparators: </w:t>
      </w:r>
    </w:p>
    <w:p w:rsidR="005A5449" w:rsidRPr="009F79B5" w:rsidRDefault="005A5449" w:rsidP="005A5449">
      <w:pPr>
        <w:pStyle w:val="ListParagraph"/>
        <w:widowControl/>
        <w:numPr>
          <w:ilvl w:val="0"/>
          <w:numId w:val="34"/>
        </w:numPr>
        <w:rPr>
          <w:szCs w:val="22"/>
        </w:rPr>
      </w:pPr>
      <w:proofErr w:type="spellStart"/>
      <w:r w:rsidRPr="009F79B5">
        <w:rPr>
          <w:szCs w:val="22"/>
        </w:rPr>
        <w:t>Ledipasvir</w:t>
      </w:r>
      <w:proofErr w:type="spellEnd"/>
      <w:r w:rsidRPr="009F79B5">
        <w:rPr>
          <w:szCs w:val="22"/>
        </w:rPr>
        <w:t>/</w:t>
      </w:r>
      <w:proofErr w:type="spellStart"/>
      <w:r w:rsidRPr="009F79B5">
        <w:rPr>
          <w:szCs w:val="22"/>
        </w:rPr>
        <w:t>sofosbuvir</w:t>
      </w:r>
      <w:proofErr w:type="spellEnd"/>
      <w:r w:rsidRPr="009F79B5">
        <w:rPr>
          <w:szCs w:val="22"/>
        </w:rPr>
        <w:t xml:space="preserve"> fixed dose combination (LDV/SOF)</w:t>
      </w:r>
    </w:p>
    <w:p w:rsidR="005A5449" w:rsidRPr="009F79B5" w:rsidRDefault="005A5449" w:rsidP="005A5449">
      <w:pPr>
        <w:pStyle w:val="ListParagraph"/>
        <w:widowControl/>
        <w:numPr>
          <w:ilvl w:val="0"/>
          <w:numId w:val="34"/>
        </w:numPr>
        <w:rPr>
          <w:szCs w:val="22"/>
        </w:rPr>
      </w:pPr>
      <w:proofErr w:type="spellStart"/>
      <w:r w:rsidRPr="009F79B5">
        <w:rPr>
          <w:szCs w:val="22"/>
        </w:rPr>
        <w:t>Daclatasvir</w:t>
      </w:r>
      <w:proofErr w:type="spellEnd"/>
      <w:r w:rsidRPr="009F79B5">
        <w:rPr>
          <w:szCs w:val="22"/>
        </w:rPr>
        <w:t xml:space="preserve"> + </w:t>
      </w:r>
      <w:proofErr w:type="spellStart"/>
      <w:r w:rsidRPr="009F79B5">
        <w:rPr>
          <w:szCs w:val="22"/>
        </w:rPr>
        <w:t>sofosbuvir</w:t>
      </w:r>
      <w:proofErr w:type="spellEnd"/>
      <w:r w:rsidRPr="009F79B5">
        <w:rPr>
          <w:szCs w:val="22"/>
        </w:rPr>
        <w:t xml:space="preserve"> (DCV+SOF)</w:t>
      </w:r>
    </w:p>
    <w:p w:rsidR="005A5449" w:rsidRPr="009F79B5" w:rsidRDefault="005A5449" w:rsidP="005A5449">
      <w:pPr>
        <w:pStyle w:val="ListParagraph"/>
        <w:widowControl/>
        <w:numPr>
          <w:ilvl w:val="0"/>
          <w:numId w:val="34"/>
        </w:numPr>
        <w:rPr>
          <w:szCs w:val="22"/>
        </w:rPr>
      </w:pPr>
      <w:proofErr w:type="spellStart"/>
      <w:r w:rsidRPr="009F79B5">
        <w:rPr>
          <w:szCs w:val="22"/>
        </w:rPr>
        <w:t>Daclatasvir</w:t>
      </w:r>
      <w:proofErr w:type="spellEnd"/>
      <w:r w:rsidRPr="009F79B5">
        <w:rPr>
          <w:szCs w:val="22"/>
        </w:rPr>
        <w:t xml:space="preserve"> + </w:t>
      </w:r>
      <w:proofErr w:type="spellStart"/>
      <w:r w:rsidRPr="009F79B5">
        <w:rPr>
          <w:szCs w:val="22"/>
        </w:rPr>
        <w:t>asunaprevir</w:t>
      </w:r>
      <w:proofErr w:type="spellEnd"/>
      <w:r w:rsidRPr="009F79B5">
        <w:rPr>
          <w:szCs w:val="22"/>
        </w:rPr>
        <w:t xml:space="preserve"> (DCV+ASV) (for genotype 1b), and</w:t>
      </w:r>
    </w:p>
    <w:p w:rsidR="005A5449" w:rsidRPr="009F79B5" w:rsidRDefault="005A5449" w:rsidP="005A5449">
      <w:pPr>
        <w:pStyle w:val="ListParagraph"/>
        <w:widowControl/>
        <w:numPr>
          <w:ilvl w:val="0"/>
          <w:numId w:val="34"/>
        </w:numPr>
        <w:rPr>
          <w:szCs w:val="22"/>
          <w:lang w:val="fr-FR"/>
        </w:rPr>
      </w:pPr>
      <w:proofErr w:type="spellStart"/>
      <w:r w:rsidRPr="009F79B5">
        <w:rPr>
          <w:szCs w:val="22"/>
          <w:lang w:val="fr-FR"/>
        </w:rPr>
        <w:t>Paritaprevir</w:t>
      </w:r>
      <w:proofErr w:type="spellEnd"/>
      <w:r w:rsidRPr="009F79B5">
        <w:rPr>
          <w:szCs w:val="22"/>
          <w:lang w:val="fr-FR"/>
        </w:rPr>
        <w:t>/</w:t>
      </w:r>
      <w:proofErr w:type="spellStart"/>
      <w:r w:rsidRPr="009F79B5">
        <w:rPr>
          <w:szCs w:val="22"/>
          <w:lang w:val="fr-FR"/>
        </w:rPr>
        <w:t>ritonavir</w:t>
      </w:r>
      <w:proofErr w:type="spellEnd"/>
      <w:r w:rsidRPr="009F79B5">
        <w:rPr>
          <w:szCs w:val="22"/>
          <w:lang w:val="fr-FR"/>
        </w:rPr>
        <w:t>/</w:t>
      </w:r>
      <w:proofErr w:type="spellStart"/>
      <w:r w:rsidRPr="009F79B5">
        <w:rPr>
          <w:szCs w:val="22"/>
          <w:lang w:val="fr-FR"/>
        </w:rPr>
        <w:t>ombitasvir</w:t>
      </w:r>
      <w:proofErr w:type="spellEnd"/>
      <w:r w:rsidRPr="009F79B5">
        <w:rPr>
          <w:szCs w:val="22"/>
          <w:lang w:val="fr-FR"/>
        </w:rPr>
        <w:t xml:space="preserve"> + </w:t>
      </w:r>
      <w:proofErr w:type="spellStart"/>
      <w:r w:rsidRPr="009F79B5">
        <w:rPr>
          <w:szCs w:val="22"/>
          <w:lang w:val="fr-FR"/>
        </w:rPr>
        <w:t>dasabuvir</w:t>
      </w:r>
      <w:proofErr w:type="spellEnd"/>
      <w:r w:rsidRPr="009F79B5">
        <w:rPr>
          <w:szCs w:val="22"/>
          <w:lang w:val="fr-FR"/>
        </w:rPr>
        <w:t xml:space="preserve"> ± </w:t>
      </w:r>
      <w:proofErr w:type="spellStart"/>
      <w:r w:rsidRPr="009F79B5">
        <w:rPr>
          <w:szCs w:val="22"/>
          <w:lang w:val="fr-FR"/>
        </w:rPr>
        <w:t>ribavirin</w:t>
      </w:r>
      <w:proofErr w:type="spellEnd"/>
      <w:r w:rsidRPr="009F79B5">
        <w:rPr>
          <w:szCs w:val="22"/>
          <w:lang w:val="fr-FR"/>
        </w:rPr>
        <w:t xml:space="preserve"> (</w:t>
      </w:r>
      <w:proofErr w:type="spellStart"/>
      <w:r w:rsidRPr="009F79B5">
        <w:rPr>
          <w:szCs w:val="22"/>
          <w:lang w:val="fr-FR"/>
        </w:rPr>
        <w:t>Viekira</w:t>
      </w:r>
      <w:proofErr w:type="spellEnd"/>
      <w:r w:rsidRPr="009F79B5">
        <w:rPr>
          <w:szCs w:val="22"/>
          <w:lang w:val="fr-FR"/>
        </w:rPr>
        <w:t xml:space="preserve"> PAK/</w:t>
      </w:r>
      <w:proofErr w:type="spellStart"/>
      <w:r w:rsidRPr="009F79B5">
        <w:rPr>
          <w:szCs w:val="22"/>
          <w:lang w:val="fr-FR"/>
        </w:rPr>
        <w:t>Viekira</w:t>
      </w:r>
      <w:proofErr w:type="spellEnd"/>
      <w:r w:rsidRPr="009F79B5">
        <w:rPr>
          <w:szCs w:val="22"/>
          <w:lang w:val="fr-FR"/>
        </w:rPr>
        <w:t xml:space="preserve"> PAK-RBV)</w:t>
      </w:r>
    </w:p>
    <w:p w:rsidR="00ED569F" w:rsidRPr="009F79B5" w:rsidRDefault="00ED569F" w:rsidP="00ED569F">
      <w:pPr>
        <w:pStyle w:val="ListParagraph"/>
        <w:widowControl/>
        <w:ind w:left="1440"/>
        <w:rPr>
          <w:szCs w:val="22"/>
          <w:lang w:val="fr-FR"/>
        </w:rPr>
      </w:pPr>
    </w:p>
    <w:p w:rsidR="004203E8" w:rsidRPr="009F79B5" w:rsidRDefault="004203E8" w:rsidP="005A5449">
      <w:pPr>
        <w:pStyle w:val="ListParagraph"/>
        <w:widowControl/>
        <w:numPr>
          <w:ilvl w:val="1"/>
          <w:numId w:val="4"/>
        </w:numPr>
        <w:rPr>
          <w:szCs w:val="22"/>
        </w:rPr>
      </w:pPr>
      <w:proofErr w:type="gramStart"/>
      <w:r w:rsidRPr="009F79B5">
        <w:lastRenderedPageBreak/>
        <w:t>Both</w:t>
      </w:r>
      <w:r w:rsidR="005A5449" w:rsidRPr="009F79B5">
        <w:t xml:space="preserve"> LDV</w:t>
      </w:r>
      <w:proofErr w:type="gramEnd"/>
      <w:r w:rsidR="005A5449" w:rsidRPr="009F79B5">
        <w:t>/SOF and DCV+SOF were recommended for</w:t>
      </w:r>
      <w:r w:rsidR="00E96568" w:rsidRPr="009F79B5">
        <w:t xml:space="preserve"> listing for</w:t>
      </w:r>
      <w:r w:rsidR="00D92569" w:rsidRPr="009F79B5">
        <w:t xml:space="preserve"> </w:t>
      </w:r>
      <w:r w:rsidR="005A5449" w:rsidRPr="009F79B5">
        <w:t xml:space="preserve">treatment of </w:t>
      </w:r>
      <w:r w:rsidR="00D92569" w:rsidRPr="009F79B5">
        <w:t xml:space="preserve">chronic </w:t>
      </w:r>
      <w:r w:rsidR="005A5449" w:rsidRPr="009F79B5">
        <w:t xml:space="preserve">genotype 1 HCV </w:t>
      </w:r>
      <w:r w:rsidR="00D92569" w:rsidRPr="009F79B5">
        <w:t xml:space="preserve">infection </w:t>
      </w:r>
      <w:r w:rsidR="005A5449" w:rsidRPr="009F79B5">
        <w:t>at the March 2015 PBAC meeting</w:t>
      </w:r>
      <w:r w:rsidRPr="009F79B5">
        <w:t>. It is likely that the interferon-free regimens will become the standard of care and can be considered an appropriate comparator.</w:t>
      </w:r>
      <w:r w:rsidR="00D2000D" w:rsidRPr="009F79B5">
        <w:t xml:space="preserve"> </w:t>
      </w:r>
      <w:r w:rsidR="00E96568" w:rsidRPr="009F79B5">
        <w:t>The comparison</w:t>
      </w:r>
      <w:r w:rsidR="005A5449" w:rsidRPr="009F79B5">
        <w:t xml:space="preserve"> with </w:t>
      </w:r>
      <w:proofErr w:type="spellStart"/>
      <w:r w:rsidR="005A5449" w:rsidRPr="009F79B5">
        <w:t>Viekira</w:t>
      </w:r>
      <w:proofErr w:type="spellEnd"/>
      <w:r w:rsidR="005A5449" w:rsidRPr="009F79B5">
        <w:t xml:space="preserve"> PAK/</w:t>
      </w:r>
      <w:proofErr w:type="spellStart"/>
      <w:r w:rsidR="005A5449" w:rsidRPr="009F79B5">
        <w:t>Viekira</w:t>
      </w:r>
      <w:proofErr w:type="spellEnd"/>
      <w:r w:rsidR="005A5449" w:rsidRPr="009F79B5">
        <w:t xml:space="preserve"> </w:t>
      </w:r>
      <w:r w:rsidR="00B5010C" w:rsidRPr="009F79B5">
        <w:t>PAK-</w:t>
      </w:r>
      <w:r w:rsidR="005A5449" w:rsidRPr="009F79B5">
        <w:t xml:space="preserve">RBV </w:t>
      </w:r>
      <w:r w:rsidRPr="009F79B5">
        <w:t xml:space="preserve">(considered at the same meeting) </w:t>
      </w:r>
      <w:r w:rsidR="005A5449" w:rsidRPr="009F79B5">
        <w:t>w</w:t>
      </w:r>
      <w:r w:rsidR="00E96568" w:rsidRPr="009F79B5">
        <w:t>as</w:t>
      </w:r>
      <w:r w:rsidR="005A5449" w:rsidRPr="009F79B5">
        <w:t xml:space="preserve"> </w:t>
      </w:r>
      <w:r w:rsidR="00527D57" w:rsidRPr="009F79B5">
        <w:t>also</w:t>
      </w:r>
      <w:r w:rsidR="00D2000D" w:rsidRPr="009F79B5">
        <w:t xml:space="preserve"> </w:t>
      </w:r>
      <w:r w:rsidRPr="009F79B5">
        <w:t>presented.</w:t>
      </w:r>
      <w:r w:rsidR="005A5449" w:rsidRPr="009F79B5">
        <w:t xml:space="preserve"> </w:t>
      </w:r>
      <w:proofErr w:type="spellStart"/>
      <w:r w:rsidR="005A5449" w:rsidRPr="009F79B5">
        <w:t>Asunaprevir</w:t>
      </w:r>
      <w:proofErr w:type="spellEnd"/>
      <w:r w:rsidR="005A5449" w:rsidRPr="009F79B5">
        <w:t xml:space="preserve"> was rejected for PBS listing </w:t>
      </w:r>
      <w:r w:rsidR="00A727EB" w:rsidRPr="009F79B5">
        <w:t xml:space="preserve">at the March 2015 PBAC meeting </w:t>
      </w:r>
      <w:r w:rsidR="005A5449" w:rsidRPr="009F79B5">
        <w:t xml:space="preserve">and so comparisons with this drug were not considered in the </w:t>
      </w:r>
      <w:r w:rsidR="00871E9D" w:rsidRPr="009F79B5">
        <w:t>evaluation</w:t>
      </w:r>
      <w:r w:rsidR="005A5449" w:rsidRPr="009F79B5">
        <w:t>.</w:t>
      </w:r>
    </w:p>
    <w:p w:rsidR="00A727EB" w:rsidRPr="009F79B5" w:rsidRDefault="00A727EB" w:rsidP="00A727EB">
      <w:pPr>
        <w:pStyle w:val="PBACHeading1"/>
        <w:numPr>
          <w:ilvl w:val="0"/>
          <w:numId w:val="0"/>
        </w:numPr>
      </w:pPr>
    </w:p>
    <w:p w:rsidR="00B421A4" w:rsidRPr="009F79B5" w:rsidRDefault="00D2000D" w:rsidP="00A727EB">
      <w:pPr>
        <w:pStyle w:val="ListParagraph"/>
        <w:widowControl/>
        <w:numPr>
          <w:ilvl w:val="1"/>
          <w:numId w:val="4"/>
        </w:numPr>
        <w:rPr>
          <w:szCs w:val="22"/>
        </w:rPr>
      </w:pPr>
      <w:r w:rsidRPr="009F79B5">
        <w:t>Therefore</w:t>
      </w:r>
      <w:r w:rsidRPr="009F79B5">
        <w:rPr>
          <w:szCs w:val="22"/>
        </w:rPr>
        <w:t xml:space="preserve">, the </w:t>
      </w:r>
      <w:r w:rsidR="00871E9D" w:rsidRPr="009F79B5">
        <w:rPr>
          <w:szCs w:val="22"/>
        </w:rPr>
        <w:t>evaluation</w:t>
      </w:r>
      <w:r w:rsidRPr="009F79B5">
        <w:rPr>
          <w:szCs w:val="22"/>
        </w:rPr>
        <w:t xml:space="preserve"> focused on the comparison with ‘no treatment’ and interferon-free treatments</w:t>
      </w:r>
      <w:r w:rsidR="00BD03D3" w:rsidRPr="009F79B5">
        <w:rPr>
          <w:szCs w:val="22"/>
        </w:rPr>
        <w:t xml:space="preserve"> in the clinical assessment</w:t>
      </w:r>
      <w:r w:rsidRPr="009F79B5">
        <w:rPr>
          <w:szCs w:val="22"/>
        </w:rPr>
        <w:t>.</w:t>
      </w:r>
    </w:p>
    <w:p w:rsidR="00907428" w:rsidRPr="009F79B5" w:rsidRDefault="00907428" w:rsidP="00907428">
      <w:pPr>
        <w:pStyle w:val="ListParagraph"/>
        <w:rPr>
          <w:szCs w:val="22"/>
        </w:rPr>
      </w:pPr>
    </w:p>
    <w:p w:rsidR="00907428" w:rsidRPr="009F79B5" w:rsidRDefault="00907428" w:rsidP="00907428">
      <w:pPr>
        <w:pStyle w:val="ListParagraph"/>
        <w:widowControl/>
        <w:numPr>
          <w:ilvl w:val="1"/>
          <w:numId w:val="4"/>
        </w:numPr>
        <w:rPr>
          <w:i/>
          <w:szCs w:val="22"/>
        </w:rPr>
      </w:pPr>
      <w:r w:rsidRPr="009F79B5">
        <w:rPr>
          <w:szCs w:val="22"/>
        </w:rPr>
        <w:t>The ESC noted the sponsor’s request in the PSCR for SIM+SOF to be considered non-inferior to L</w:t>
      </w:r>
      <w:r w:rsidR="00714F50" w:rsidRPr="009F79B5">
        <w:rPr>
          <w:szCs w:val="22"/>
        </w:rPr>
        <w:t>DV</w:t>
      </w:r>
      <w:r w:rsidRPr="009F79B5">
        <w:rPr>
          <w:szCs w:val="22"/>
        </w:rPr>
        <w:t xml:space="preserve">/SOF, DAC+SOF and </w:t>
      </w:r>
      <w:proofErr w:type="spellStart"/>
      <w:r w:rsidRPr="009F79B5">
        <w:rPr>
          <w:szCs w:val="22"/>
        </w:rPr>
        <w:t>Viekira</w:t>
      </w:r>
      <w:proofErr w:type="spellEnd"/>
      <w:r w:rsidRPr="009F79B5">
        <w:rPr>
          <w:szCs w:val="22"/>
        </w:rPr>
        <w:t xml:space="preserve"> PAK +/- RBV. </w:t>
      </w:r>
      <w:r w:rsidR="00D06A70" w:rsidRPr="009F79B5">
        <w:rPr>
          <w:szCs w:val="22"/>
        </w:rPr>
        <w:t>The PBAC considered that</w:t>
      </w:r>
      <w:r w:rsidRPr="009F79B5">
        <w:rPr>
          <w:szCs w:val="22"/>
        </w:rPr>
        <w:t xml:space="preserve"> the IFN-free treatments</w:t>
      </w:r>
      <w:r w:rsidR="000C7EE5" w:rsidRPr="009F79B5">
        <w:rPr>
          <w:szCs w:val="22"/>
        </w:rPr>
        <w:t xml:space="preserve"> presented in the submission were</w:t>
      </w:r>
      <w:r w:rsidRPr="009F79B5">
        <w:rPr>
          <w:szCs w:val="22"/>
        </w:rPr>
        <w:t xml:space="preserve"> appropriate comparators, particularly as </w:t>
      </w:r>
      <w:r w:rsidR="000C7EE5" w:rsidRPr="009F79B5">
        <w:rPr>
          <w:szCs w:val="22"/>
        </w:rPr>
        <w:t>availability</w:t>
      </w:r>
      <w:r w:rsidRPr="009F79B5">
        <w:rPr>
          <w:szCs w:val="22"/>
        </w:rPr>
        <w:t xml:space="preserve"> of the SIM +</w:t>
      </w:r>
      <w:r w:rsidR="00942837" w:rsidRPr="009F79B5">
        <w:t xml:space="preserve"> </w:t>
      </w:r>
      <w:r w:rsidRPr="009F79B5">
        <w:rPr>
          <w:szCs w:val="22"/>
        </w:rPr>
        <w:t>SOF regimen, required listing of SOF.</w:t>
      </w:r>
      <w:r w:rsidRPr="009F79B5">
        <w:rPr>
          <w:i/>
          <w:szCs w:val="22"/>
        </w:rPr>
        <w:t xml:space="preserve"> </w:t>
      </w:r>
    </w:p>
    <w:p w:rsidR="00907428" w:rsidRPr="009F79B5" w:rsidRDefault="00907428" w:rsidP="00637B64">
      <w:pPr>
        <w:pStyle w:val="ListParagraph"/>
        <w:widowControl/>
        <w:rPr>
          <w:szCs w:val="22"/>
        </w:rPr>
      </w:pPr>
    </w:p>
    <w:p w:rsidR="00420576" w:rsidRPr="004E21E9" w:rsidRDefault="00420576" w:rsidP="00637B64">
      <w:pPr>
        <w:pStyle w:val="ListParagraph"/>
        <w:widowControl/>
        <w:rPr>
          <w:i/>
          <w:szCs w:val="22"/>
        </w:rPr>
      </w:pPr>
      <w:r w:rsidRPr="004E21E9">
        <w:rPr>
          <w:i/>
          <w:szCs w:val="22"/>
        </w:rPr>
        <w:t>For more detail on PBAC’s view, see section 7 “PBAC outcome”</w:t>
      </w:r>
    </w:p>
    <w:p w:rsidR="00C6373C" w:rsidRPr="009F79B5" w:rsidRDefault="00C6373C" w:rsidP="00B421A4">
      <w:pPr>
        <w:rPr>
          <w:szCs w:val="22"/>
        </w:rPr>
      </w:pPr>
    </w:p>
    <w:p w:rsidR="00B421A4" w:rsidRPr="00F30829" w:rsidRDefault="00B421A4" w:rsidP="00F30829">
      <w:pPr>
        <w:pStyle w:val="PBACHeading1"/>
      </w:pPr>
      <w:bookmarkStart w:id="7" w:name="_Toc419380195"/>
      <w:r w:rsidRPr="00F30829">
        <w:t>Consideration of the evidence</w:t>
      </w:r>
      <w:bookmarkEnd w:id="7"/>
    </w:p>
    <w:p w:rsidR="009D0446" w:rsidRPr="009F79B5" w:rsidRDefault="009D0446" w:rsidP="00B212DB">
      <w:pPr>
        <w:rPr>
          <w:b/>
          <w:szCs w:val="22"/>
        </w:rPr>
      </w:pPr>
    </w:p>
    <w:p w:rsidR="00B212DB" w:rsidRPr="009F79B5" w:rsidRDefault="00B212DB" w:rsidP="00B212DB">
      <w:pPr>
        <w:rPr>
          <w:b/>
          <w:szCs w:val="22"/>
        </w:rPr>
      </w:pPr>
      <w:r w:rsidRPr="009F79B5">
        <w:rPr>
          <w:b/>
          <w:szCs w:val="22"/>
        </w:rPr>
        <w:t>Sponsor hearing</w:t>
      </w:r>
    </w:p>
    <w:p w:rsidR="00B212DB" w:rsidRPr="009F79B5" w:rsidRDefault="00B212DB" w:rsidP="00B212DB">
      <w:pPr>
        <w:ind w:left="709"/>
        <w:rPr>
          <w:b/>
          <w:szCs w:val="22"/>
        </w:rPr>
      </w:pPr>
    </w:p>
    <w:p w:rsidR="00B212DB" w:rsidRPr="009F79B5" w:rsidRDefault="00B212DB" w:rsidP="00B212DB">
      <w:pPr>
        <w:widowControl/>
        <w:numPr>
          <w:ilvl w:val="1"/>
          <w:numId w:val="4"/>
        </w:numPr>
        <w:contextualSpacing/>
        <w:rPr>
          <w:szCs w:val="22"/>
        </w:rPr>
      </w:pPr>
      <w:r w:rsidRPr="009F79B5">
        <w:rPr>
          <w:szCs w:val="22"/>
        </w:rPr>
        <w:t>There was no hearing for this item.</w:t>
      </w:r>
    </w:p>
    <w:p w:rsidR="00B212DB" w:rsidRPr="009F79B5" w:rsidRDefault="00B212DB" w:rsidP="00B212DB">
      <w:pPr>
        <w:ind w:left="709"/>
        <w:contextualSpacing/>
        <w:rPr>
          <w:szCs w:val="22"/>
        </w:rPr>
      </w:pPr>
    </w:p>
    <w:p w:rsidR="00B212DB" w:rsidRPr="009F79B5" w:rsidRDefault="00B212DB" w:rsidP="00B212DB">
      <w:pPr>
        <w:rPr>
          <w:b/>
          <w:szCs w:val="22"/>
        </w:rPr>
      </w:pPr>
      <w:r w:rsidRPr="009F79B5">
        <w:rPr>
          <w:b/>
          <w:szCs w:val="22"/>
        </w:rPr>
        <w:t>Consumer comments</w:t>
      </w:r>
    </w:p>
    <w:p w:rsidR="00B212DB" w:rsidRPr="009F79B5" w:rsidRDefault="00B212DB" w:rsidP="00B212DB">
      <w:pPr>
        <w:ind w:left="709"/>
        <w:contextualSpacing/>
        <w:rPr>
          <w:szCs w:val="22"/>
        </w:rPr>
      </w:pPr>
    </w:p>
    <w:p w:rsidR="006C5218" w:rsidRPr="009F79B5" w:rsidRDefault="00B4554E" w:rsidP="00B4554E">
      <w:pPr>
        <w:widowControl/>
        <w:numPr>
          <w:ilvl w:val="1"/>
          <w:numId w:val="4"/>
        </w:numPr>
        <w:contextualSpacing/>
      </w:pPr>
      <w:r w:rsidRPr="009F79B5">
        <w:rPr>
          <w:bCs/>
        </w:rPr>
        <w:t>The PBAC noted and welcomed the input from individuals (78), health care professionals (16) and organisations (17) via the Consumer Comments facility on the PBS website. The large number of comments and discussion reiterate the comments received during previous considerations of the IFN-free treatments, namely the benefit of the availability of a highly effective treatment that should be made available for all infected individuals, the improved quality of life as well as the side effects avoided associated with the current treatments.</w:t>
      </w:r>
    </w:p>
    <w:p w:rsidR="006C5218" w:rsidRPr="009F79B5" w:rsidRDefault="006C5218" w:rsidP="006C5218"/>
    <w:p w:rsidR="006C5218" w:rsidRPr="009F79B5" w:rsidRDefault="006C5218" w:rsidP="006C5218">
      <w:pPr>
        <w:widowControl/>
        <w:numPr>
          <w:ilvl w:val="1"/>
          <w:numId w:val="4"/>
        </w:numPr>
        <w:contextualSpacing/>
      </w:pPr>
      <w:r w:rsidRPr="009F79B5">
        <w:t>The PBAC recalled the discussion during meeting of the representatives of the PBAC with Hepatitis Australia, Hepatitis NSW, the Australian Injecting and the Illicit Drug User’s League prior to the March 2015 PBAC meeting.</w:t>
      </w:r>
    </w:p>
    <w:p w:rsidR="006C5218" w:rsidRPr="009F79B5" w:rsidRDefault="006C5218" w:rsidP="006C5218">
      <w:pPr>
        <w:ind w:left="720"/>
      </w:pPr>
    </w:p>
    <w:p w:rsidR="00B212DB" w:rsidRPr="009F79B5" w:rsidRDefault="006C5218" w:rsidP="006C5218">
      <w:pPr>
        <w:widowControl/>
        <w:numPr>
          <w:ilvl w:val="1"/>
          <w:numId w:val="4"/>
        </w:numPr>
        <w:contextualSpacing/>
      </w:pPr>
      <w:r w:rsidRPr="009F79B5">
        <w:t>The PBAC noted and welcomed this input.</w:t>
      </w:r>
    </w:p>
    <w:p w:rsidR="00B212DB" w:rsidRPr="009F79B5" w:rsidRDefault="00B212DB" w:rsidP="00B212DB">
      <w:pPr>
        <w:widowControl/>
        <w:ind w:left="720"/>
        <w:contextualSpacing/>
      </w:pPr>
    </w:p>
    <w:p w:rsidR="00B212DB" w:rsidRPr="009F79B5" w:rsidRDefault="00B212DB" w:rsidP="00F30829">
      <w:bookmarkStart w:id="8" w:name="_Toc419380196"/>
    </w:p>
    <w:p w:rsidR="004E21E9" w:rsidRDefault="004E21E9">
      <w:pPr>
        <w:widowControl/>
        <w:jc w:val="left"/>
        <w:rPr>
          <w:b/>
          <w:i/>
        </w:rPr>
      </w:pPr>
      <w:r>
        <w:rPr>
          <w:i/>
        </w:rPr>
        <w:br w:type="page"/>
      </w:r>
    </w:p>
    <w:p w:rsidR="00B421A4" w:rsidRPr="009F79B5" w:rsidRDefault="00B421A4" w:rsidP="00B421A4">
      <w:pPr>
        <w:pStyle w:val="Heading2"/>
        <w:rPr>
          <w:i/>
        </w:rPr>
      </w:pPr>
      <w:r w:rsidRPr="009F79B5">
        <w:rPr>
          <w:i/>
        </w:rPr>
        <w:lastRenderedPageBreak/>
        <w:t>Clinical trials</w:t>
      </w:r>
      <w:bookmarkEnd w:id="8"/>
    </w:p>
    <w:p w:rsidR="00B421A4" w:rsidRPr="009F79B5" w:rsidRDefault="00B421A4" w:rsidP="00B421A4">
      <w:pPr>
        <w:rPr>
          <w:szCs w:val="22"/>
        </w:rPr>
      </w:pPr>
    </w:p>
    <w:p w:rsidR="005A5449" w:rsidRPr="009F79B5" w:rsidRDefault="00B421A4" w:rsidP="00B421A4">
      <w:pPr>
        <w:pStyle w:val="ListParagraph"/>
        <w:widowControl/>
        <w:numPr>
          <w:ilvl w:val="1"/>
          <w:numId w:val="4"/>
        </w:numPr>
      </w:pPr>
      <w:r w:rsidRPr="009F79B5">
        <w:t>The submission was based on</w:t>
      </w:r>
      <w:r w:rsidR="005A5449" w:rsidRPr="009F79B5">
        <w:t>:</w:t>
      </w:r>
    </w:p>
    <w:p w:rsidR="005A5449" w:rsidRPr="009F79B5" w:rsidRDefault="005A5449" w:rsidP="005A5449">
      <w:pPr>
        <w:pStyle w:val="ListParagraph"/>
        <w:widowControl/>
        <w:numPr>
          <w:ilvl w:val="0"/>
          <w:numId w:val="66"/>
        </w:numPr>
      </w:pPr>
      <w:r w:rsidRPr="009F79B5">
        <w:t>A randomised trial comparing SMV12+SOF12 to SMV8+SOF8 in both treatment-naïve and treatment-experienced patients with genotype 1 HCV infection without cirrhosis (Study 3017);</w:t>
      </w:r>
    </w:p>
    <w:p w:rsidR="005A5449" w:rsidRPr="009F79B5" w:rsidRDefault="005A5449" w:rsidP="005A5449">
      <w:pPr>
        <w:pStyle w:val="ListParagraph"/>
        <w:widowControl/>
        <w:numPr>
          <w:ilvl w:val="0"/>
          <w:numId w:val="66"/>
        </w:numPr>
      </w:pPr>
      <w:r w:rsidRPr="009F79B5">
        <w:t>A single-arm study assessing SMV12+SOF12 in treatment-naïve and treatment-experienced patients with genotype 1 HCV infection with cirrhosis (Study 3018);</w:t>
      </w:r>
    </w:p>
    <w:p w:rsidR="004203E8" w:rsidRPr="009F79B5" w:rsidRDefault="005A5449" w:rsidP="004203E8">
      <w:pPr>
        <w:pStyle w:val="ListParagraph"/>
        <w:widowControl/>
        <w:numPr>
          <w:ilvl w:val="0"/>
          <w:numId w:val="66"/>
        </w:numPr>
      </w:pPr>
      <w:r w:rsidRPr="009F79B5">
        <w:t>A head-to-head randomised trial comparing SMV12+SOF12 with SOF12+PR12 in both treatment-naïve and treatment-experienced patients with chronic HCV genotype 1a infection and cirrhosis (Pearlman 2015); and</w:t>
      </w:r>
    </w:p>
    <w:p w:rsidR="005A5449" w:rsidRPr="009F79B5" w:rsidRDefault="005A5449" w:rsidP="004203E8">
      <w:pPr>
        <w:pStyle w:val="ListParagraph"/>
        <w:widowControl/>
        <w:numPr>
          <w:ilvl w:val="0"/>
          <w:numId w:val="66"/>
        </w:numPr>
      </w:pPr>
      <w:r w:rsidRPr="009F79B5">
        <w:t>A single treatment arm from an open-label randomised trial comparing four different regimens of SMV+SOF</w:t>
      </w:r>
      <w:r w:rsidR="004E1CDD" w:rsidRPr="009F79B5">
        <w:t xml:space="preserve"> with or without ribavirin (RBV)</w:t>
      </w:r>
      <w:r w:rsidRPr="009F79B5">
        <w:t xml:space="preserve"> in treatment-naïve and treatment-experienced patients with chronic HCV genotype 1 infection (COSMOS).</w:t>
      </w:r>
    </w:p>
    <w:p w:rsidR="00B421A4" w:rsidRPr="009F79B5" w:rsidRDefault="00B421A4" w:rsidP="00885D23">
      <w:pPr>
        <w:widowControl/>
        <w:rPr>
          <w:szCs w:val="22"/>
        </w:rPr>
      </w:pPr>
    </w:p>
    <w:p w:rsidR="00B421A4" w:rsidRPr="009F79B5" w:rsidRDefault="00885D23" w:rsidP="00B421A4">
      <w:pPr>
        <w:pStyle w:val="ListParagraph"/>
        <w:widowControl/>
        <w:numPr>
          <w:ilvl w:val="1"/>
          <w:numId w:val="4"/>
        </w:numPr>
        <w:rPr>
          <w:szCs w:val="22"/>
        </w:rPr>
      </w:pPr>
      <w:r w:rsidRPr="009F79B5">
        <w:rPr>
          <w:szCs w:val="22"/>
        </w:rPr>
        <w:t xml:space="preserve">The comparative effectiveness of the alternative interferon-free regimens was estimated in the submission through the use of unadjusted indirect comparisons of single treatment arms </w:t>
      </w:r>
      <w:r w:rsidR="00B421A4" w:rsidRPr="009F79B5">
        <w:rPr>
          <w:szCs w:val="22"/>
        </w:rPr>
        <w:t>from the following studies:</w:t>
      </w:r>
    </w:p>
    <w:p w:rsidR="00B421A4" w:rsidRPr="009F79B5" w:rsidRDefault="00B421A4" w:rsidP="00520C85">
      <w:pPr>
        <w:pStyle w:val="ListParagraph"/>
        <w:widowControl/>
        <w:numPr>
          <w:ilvl w:val="0"/>
          <w:numId w:val="36"/>
        </w:numPr>
        <w:rPr>
          <w:szCs w:val="22"/>
        </w:rPr>
      </w:pPr>
      <w:r w:rsidRPr="009F79B5">
        <w:rPr>
          <w:szCs w:val="22"/>
        </w:rPr>
        <w:t>LDV/SOF: ION-1, ION-2, ION-3;</w:t>
      </w:r>
    </w:p>
    <w:p w:rsidR="00B421A4" w:rsidRPr="009F79B5" w:rsidRDefault="00B421A4" w:rsidP="00520C85">
      <w:pPr>
        <w:pStyle w:val="ListParagraph"/>
        <w:widowControl/>
        <w:numPr>
          <w:ilvl w:val="0"/>
          <w:numId w:val="36"/>
        </w:numPr>
        <w:rPr>
          <w:szCs w:val="22"/>
        </w:rPr>
      </w:pPr>
      <w:r w:rsidRPr="009F79B5">
        <w:rPr>
          <w:szCs w:val="22"/>
        </w:rPr>
        <w:t xml:space="preserve">DCV+SOF: Study 4040 in non-cirrhotic HCV patients; </w:t>
      </w:r>
    </w:p>
    <w:p w:rsidR="00DD30BE" w:rsidRPr="009F79B5" w:rsidRDefault="00B421A4" w:rsidP="00520C85">
      <w:pPr>
        <w:pStyle w:val="ListParagraph"/>
        <w:widowControl/>
        <w:numPr>
          <w:ilvl w:val="0"/>
          <w:numId w:val="36"/>
        </w:numPr>
        <w:rPr>
          <w:szCs w:val="22"/>
        </w:rPr>
      </w:pPr>
      <w:proofErr w:type="spellStart"/>
      <w:r w:rsidRPr="009F79B5">
        <w:rPr>
          <w:szCs w:val="22"/>
        </w:rPr>
        <w:t>Viekira</w:t>
      </w:r>
      <w:proofErr w:type="spellEnd"/>
      <w:r w:rsidRPr="009F79B5">
        <w:rPr>
          <w:szCs w:val="22"/>
        </w:rPr>
        <w:t xml:space="preserve"> PAK/</w:t>
      </w:r>
      <w:proofErr w:type="spellStart"/>
      <w:r w:rsidRPr="009F79B5">
        <w:rPr>
          <w:szCs w:val="22"/>
        </w:rPr>
        <w:t>Viekira</w:t>
      </w:r>
      <w:proofErr w:type="spellEnd"/>
      <w:r w:rsidRPr="009F79B5">
        <w:rPr>
          <w:szCs w:val="22"/>
        </w:rPr>
        <w:t xml:space="preserve"> </w:t>
      </w:r>
      <w:r w:rsidR="00B5010C" w:rsidRPr="009F79B5">
        <w:rPr>
          <w:szCs w:val="22"/>
        </w:rPr>
        <w:t>PAK-</w:t>
      </w:r>
      <w:r w:rsidRPr="009F79B5">
        <w:rPr>
          <w:szCs w:val="22"/>
        </w:rPr>
        <w:t xml:space="preserve">RBV: </w:t>
      </w:r>
      <w:r w:rsidR="00B03765" w:rsidRPr="009F79B5">
        <w:rPr>
          <w:szCs w:val="22"/>
        </w:rPr>
        <w:t xml:space="preserve">Pearl </w:t>
      </w:r>
      <w:r w:rsidRPr="009F79B5">
        <w:rPr>
          <w:szCs w:val="22"/>
        </w:rPr>
        <w:t>II, Pear</w:t>
      </w:r>
      <w:r w:rsidR="00B03765" w:rsidRPr="009F79B5">
        <w:rPr>
          <w:szCs w:val="22"/>
        </w:rPr>
        <w:t xml:space="preserve">l </w:t>
      </w:r>
      <w:r w:rsidRPr="009F79B5">
        <w:rPr>
          <w:szCs w:val="22"/>
        </w:rPr>
        <w:t>III, Pearl</w:t>
      </w:r>
      <w:r w:rsidR="00B03765" w:rsidRPr="009F79B5">
        <w:rPr>
          <w:szCs w:val="22"/>
        </w:rPr>
        <w:t xml:space="preserve"> </w:t>
      </w:r>
      <w:r w:rsidRPr="009F79B5">
        <w:rPr>
          <w:szCs w:val="22"/>
        </w:rPr>
        <w:t>IV, Turquoise</w:t>
      </w:r>
      <w:r w:rsidR="00B03765" w:rsidRPr="009F79B5">
        <w:rPr>
          <w:szCs w:val="22"/>
        </w:rPr>
        <w:t xml:space="preserve"> </w:t>
      </w:r>
      <w:r w:rsidRPr="009F79B5">
        <w:rPr>
          <w:szCs w:val="22"/>
        </w:rPr>
        <w:t>II, Sapphire</w:t>
      </w:r>
      <w:r w:rsidR="00B03765" w:rsidRPr="009F79B5">
        <w:rPr>
          <w:szCs w:val="22"/>
        </w:rPr>
        <w:t xml:space="preserve"> </w:t>
      </w:r>
      <w:r w:rsidRPr="009F79B5">
        <w:rPr>
          <w:szCs w:val="22"/>
        </w:rPr>
        <w:t>I</w:t>
      </w:r>
      <w:r w:rsidR="00B03765" w:rsidRPr="009F79B5">
        <w:rPr>
          <w:szCs w:val="22"/>
        </w:rPr>
        <w:t xml:space="preserve"> and Sapphire </w:t>
      </w:r>
      <w:r w:rsidRPr="009F79B5">
        <w:rPr>
          <w:szCs w:val="22"/>
        </w:rPr>
        <w:t>II.</w:t>
      </w:r>
    </w:p>
    <w:p w:rsidR="00DD30BE" w:rsidRPr="009F79B5" w:rsidRDefault="00DD30BE">
      <w:pPr>
        <w:widowControl/>
        <w:jc w:val="left"/>
        <w:rPr>
          <w:szCs w:val="22"/>
        </w:rPr>
      </w:pPr>
    </w:p>
    <w:p w:rsidR="00B421A4" w:rsidRDefault="00B421A4" w:rsidP="00B421A4">
      <w:pPr>
        <w:pStyle w:val="ListParagraph"/>
        <w:widowControl/>
        <w:numPr>
          <w:ilvl w:val="1"/>
          <w:numId w:val="4"/>
        </w:numPr>
        <w:rPr>
          <w:szCs w:val="22"/>
        </w:rPr>
      </w:pPr>
      <w:r w:rsidRPr="00BD7647">
        <w:rPr>
          <w:szCs w:val="22"/>
        </w:rPr>
        <w:t>Details of the trials presented in the submission ar</w:t>
      </w:r>
      <w:r w:rsidR="00BD7647">
        <w:rPr>
          <w:szCs w:val="22"/>
        </w:rPr>
        <w:t xml:space="preserve">e provided in the table below. </w:t>
      </w:r>
    </w:p>
    <w:p w:rsidR="00BD7647" w:rsidRPr="00BD7647" w:rsidRDefault="00BD7647" w:rsidP="00BD7647">
      <w:pPr>
        <w:pStyle w:val="ListParagraph"/>
        <w:widowControl/>
        <w:rPr>
          <w:szCs w:val="22"/>
        </w:rPr>
      </w:pPr>
    </w:p>
    <w:p w:rsidR="00B421A4" w:rsidRPr="009F79B5" w:rsidRDefault="00B421A4" w:rsidP="00B421A4">
      <w:pPr>
        <w:pStyle w:val="TableHeader"/>
        <w:ind w:firstLine="720"/>
      </w:pPr>
      <w:r w:rsidRPr="009F79B5">
        <w:t xml:space="preserve">Table </w:t>
      </w:r>
      <w:r w:rsidR="00A045E5" w:rsidRPr="009F79B5">
        <w:t>2:</w:t>
      </w:r>
      <w:r w:rsidRPr="009F79B5">
        <w:t xml:space="preserve"> Trials and associated reports presented in the submission</w:t>
      </w:r>
    </w:p>
    <w:tbl>
      <w:tblPr>
        <w:tblW w:w="4599" w:type="pct"/>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8"/>
        <w:gridCol w:w="3482"/>
        <w:gridCol w:w="3704"/>
      </w:tblGrid>
      <w:tr w:rsidR="00B421A4" w:rsidRPr="009F79B5" w:rsidTr="00626918">
        <w:tc>
          <w:tcPr>
            <w:tcW w:w="699" w:type="pct"/>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Trial ID</w:t>
            </w:r>
          </w:p>
        </w:tc>
        <w:tc>
          <w:tcPr>
            <w:tcW w:w="2084" w:type="pct"/>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Protocol title/ Publication title</w:t>
            </w:r>
          </w:p>
        </w:tc>
        <w:tc>
          <w:tcPr>
            <w:tcW w:w="2217" w:type="pct"/>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Publication citation</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proofErr w:type="spellStart"/>
            <w:r w:rsidRPr="009F79B5">
              <w:rPr>
                <w:rFonts w:ascii="Arial Narrow" w:hAnsi="Arial Narrow" w:cs="Times New Roman"/>
                <w:b/>
                <w:snapToGrid/>
                <w:sz w:val="20"/>
              </w:rPr>
              <w:t>Simeprevir</w:t>
            </w:r>
            <w:proofErr w:type="spellEnd"/>
            <w:r w:rsidRPr="009F79B5">
              <w:rPr>
                <w:rFonts w:ascii="Arial Narrow" w:hAnsi="Arial Narrow" w:cs="Times New Roman"/>
                <w:b/>
                <w:snapToGrid/>
                <w:sz w:val="20"/>
              </w:rPr>
              <w:t xml:space="preserve"> + </w:t>
            </w:r>
            <w:proofErr w:type="spellStart"/>
            <w:r w:rsidRPr="009F79B5">
              <w:rPr>
                <w:rFonts w:ascii="Arial Narrow" w:hAnsi="Arial Narrow" w:cs="Times New Roman"/>
                <w:b/>
                <w:snapToGrid/>
                <w:sz w:val="20"/>
              </w:rPr>
              <w:t>sofosbuvir</w:t>
            </w:r>
            <w:proofErr w:type="spellEnd"/>
            <w:r w:rsidRPr="009F79B5">
              <w:rPr>
                <w:rFonts w:ascii="Arial Narrow" w:hAnsi="Arial Narrow" w:cs="Times New Roman"/>
                <w:b/>
                <w:snapToGrid/>
                <w:sz w:val="20"/>
              </w:rPr>
              <w:t xml:space="preserve"> </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Direct randomised trial of SMV+SOF compared to SOF+PR</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Pearlman 2015</w:t>
            </w:r>
          </w:p>
        </w:tc>
        <w:tc>
          <w:tcPr>
            <w:tcW w:w="2084"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Pearlman B, </w:t>
            </w:r>
            <w:proofErr w:type="spellStart"/>
            <w:r w:rsidRPr="009F79B5">
              <w:rPr>
                <w:rFonts w:ascii="Arial Narrow" w:hAnsi="Arial Narrow" w:cs="Times New Roman"/>
                <w:snapToGrid/>
                <w:sz w:val="20"/>
              </w:rPr>
              <w:t>Ehleben</w:t>
            </w:r>
            <w:proofErr w:type="spellEnd"/>
            <w:r w:rsidRPr="009F79B5">
              <w:rPr>
                <w:rFonts w:ascii="Arial Narrow" w:hAnsi="Arial Narrow" w:cs="Times New Roman"/>
                <w:snapToGrid/>
                <w:sz w:val="20"/>
              </w:rPr>
              <w:t xml:space="preserve"> C, et al. The combination of </w:t>
            </w:r>
            <w:proofErr w:type="spellStart"/>
            <w:r w:rsidRPr="009F79B5">
              <w:rPr>
                <w:rFonts w:ascii="Arial Narrow" w:hAnsi="Arial Narrow" w:cs="Times New Roman"/>
                <w:snapToGrid/>
                <w:sz w:val="20"/>
              </w:rPr>
              <w:t>simeprevir</w:t>
            </w:r>
            <w:proofErr w:type="spellEnd"/>
            <w:r w:rsidRPr="009F79B5">
              <w:rPr>
                <w:rFonts w:ascii="Arial Narrow" w:hAnsi="Arial Narrow" w:cs="Times New Roman"/>
                <w:snapToGrid/>
                <w:sz w:val="20"/>
              </w:rPr>
              <w:t xml:space="preserve"> and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is more effective than that of </w:t>
            </w:r>
            <w:proofErr w:type="spellStart"/>
            <w:r w:rsidRPr="009F79B5">
              <w:rPr>
                <w:rFonts w:ascii="Arial Narrow" w:hAnsi="Arial Narrow" w:cs="Times New Roman"/>
                <w:snapToGrid/>
                <w:sz w:val="20"/>
              </w:rPr>
              <w:t>peginterferon</w:t>
            </w:r>
            <w:proofErr w:type="spellEnd"/>
            <w:r w:rsidRPr="009F79B5">
              <w:rPr>
                <w:rFonts w:ascii="Arial Narrow" w:hAnsi="Arial Narrow" w:cs="Times New Roman"/>
                <w:snapToGrid/>
                <w:sz w:val="20"/>
              </w:rPr>
              <w:t xml:space="preserve">, ribavirin, and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for patients with hepatitis C-related Child's class </w:t>
            </w:r>
            <w:proofErr w:type="gramStart"/>
            <w:r w:rsidRPr="009F79B5">
              <w:rPr>
                <w:rFonts w:ascii="Arial Narrow" w:hAnsi="Arial Narrow" w:cs="Times New Roman"/>
                <w:snapToGrid/>
                <w:sz w:val="20"/>
              </w:rPr>
              <w:t>A cirrhosis</w:t>
            </w:r>
            <w:proofErr w:type="gramEnd"/>
            <w:r w:rsidRPr="009F79B5">
              <w:rPr>
                <w:rFonts w:ascii="Arial Narrow" w:hAnsi="Arial Narrow" w:cs="Times New Roman"/>
                <w:snapToGrid/>
                <w:sz w:val="20"/>
              </w:rPr>
              <w:t>.</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Gastroenterology 2015; 148 (4):762-770.</w:t>
            </w:r>
          </w:p>
          <w:p w:rsidR="00B421A4" w:rsidRPr="009F79B5" w:rsidRDefault="00B421A4" w:rsidP="00626918">
            <w:pPr>
              <w:widowControl/>
              <w:jc w:val="left"/>
              <w:rPr>
                <w:rFonts w:ascii="Arial Narrow" w:hAnsi="Arial Narrow" w:cs="Times New Roman"/>
                <w:snapToGrid/>
                <w:sz w:val="20"/>
              </w:rPr>
            </w:pP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Single arms from randomised trials</w:t>
            </w:r>
          </w:p>
        </w:tc>
      </w:tr>
      <w:tr w:rsidR="00B421A4" w:rsidRPr="009F79B5" w:rsidTr="00EA11DE">
        <w:tc>
          <w:tcPr>
            <w:tcW w:w="699" w:type="pct"/>
            <w:tcBorders>
              <w:bottom w:val="single" w:sz="4" w:space="0" w:color="auto"/>
            </w:tcBorders>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Study 3017</w:t>
            </w:r>
          </w:p>
        </w:tc>
        <w:tc>
          <w:tcPr>
            <w:tcW w:w="2084" w:type="pct"/>
            <w:tcBorders>
              <w:bottom w:val="single" w:sz="4" w:space="0" w:color="auto"/>
            </w:tcBorders>
          </w:tcPr>
          <w:p w:rsidR="00B421A4" w:rsidRPr="009F79B5" w:rsidRDefault="00B421A4" w:rsidP="00626918">
            <w:pPr>
              <w:pStyle w:val="Tabletext"/>
            </w:pPr>
            <w:r w:rsidRPr="009F79B5">
              <w:t>Clinical Protocol Study 3017</w:t>
            </w:r>
          </w:p>
          <w:p w:rsidR="00B421A4" w:rsidRPr="009F79B5" w:rsidRDefault="00B421A4" w:rsidP="00626918">
            <w:pPr>
              <w:pStyle w:val="Tabletext"/>
            </w:pPr>
            <w:r w:rsidRPr="009F79B5">
              <w:t xml:space="preserve">Study 3017 </w:t>
            </w:r>
            <w:proofErr w:type="spellStart"/>
            <w:r w:rsidRPr="009F79B5">
              <w:t>Topline</w:t>
            </w:r>
            <w:proofErr w:type="spellEnd"/>
            <w:r w:rsidRPr="009F79B5">
              <w:t xml:space="preserve"> Results, Interim Analysis: SVR12.</w:t>
            </w:r>
          </w:p>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A Phase 3, multicentre, </w:t>
            </w:r>
            <w:proofErr w:type="gramStart"/>
            <w:r w:rsidRPr="009F79B5">
              <w:rPr>
                <w:rFonts w:ascii="Arial Narrow" w:hAnsi="Arial Narrow" w:cs="Times New Roman"/>
                <w:snapToGrid/>
                <w:sz w:val="20"/>
              </w:rPr>
              <w:t>randomised,</w:t>
            </w:r>
            <w:proofErr w:type="gramEnd"/>
            <w:r w:rsidRPr="009F79B5">
              <w:rPr>
                <w:rFonts w:ascii="Arial Narrow" w:hAnsi="Arial Narrow" w:cs="Times New Roman"/>
                <w:snapToGrid/>
                <w:sz w:val="20"/>
              </w:rPr>
              <w:t xml:space="preserve"> open-label study to investigate the efficacy and safety of a 12- or 8- week treatment regimen of </w:t>
            </w:r>
            <w:proofErr w:type="spellStart"/>
            <w:r w:rsidRPr="009F79B5">
              <w:rPr>
                <w:rFonts w:ascii="Arial Narrow" w:hAnsi="Arial Narrow" w:cs="Times New Roman"/>
                <w:snapToGrid/>
                <w:sz w:val="20"/>
              </w:rPr>
              <w:t>simeprevir</w:t>
            </w:r>
            <w:proofErr w:type="spellEnd"/>
            <w:r w:rsidRPr="009F79B5">
              <w:rPr>
                <w:rFonts w:ascii="Arial Narrow" w:hAnsi="Arial Narrow" w:cs="Times New Roman"/>
                <w:snapToGrid/>
                <w:sz w:val="20"/>
              </w:rPr>
              <w:t xml:space="preserve"> in combination with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in treatment-naïve and experienced subjects with chronic genotype 1 hepatitis C virus infection without cirrhosis.</w:t>
            </w:r>
          </w:p>
        </w:tc>
        <w:tc>
          <w:tcPr>
            <w:tcW w:w="2217" w:type="pct"/>
            <w:tcBorders>
              <w:bottom w:val="single" w:sz="4" w:space="0" w:color="auto"/>
            </w:tcBorders>
          </w:tcPr>
          <w:p w:rsidR="00B421A4" w:rsidRPr="00BD7647" w:rsidRDefault="00BD7647" w:rsidP="00626918">
            <w:pPr>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t>''''''''''''''''''''' '''''''''''''</w:t>
            </w:r>
          </w:p>
          <w:p w:rsidR="00B53E1A" w:rsidRPr="00BD7647" w:rsidRDefault="00BD7647" w:rsidP="00B53E1A">
            <w:pPr>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t>'''''''''''''' '''''''''''''</w:t>
            </w:r>
          </w:p>
        </w:tc>
      </w:tr>
      <w:tr w:rsidR="00B421A4" w:rsidRPr="009F79B5" w:rsidTr="00EA11DE">
        <w:tc>
          <w:tcPr>
            <w:tcW w:w="699" w:type="pct"/>
            <w:tcBorders>
              <w:bottom w:val="single" w:sz="4" w:space="0" w:color="auto"/>
            </w:tcBorders>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COSMOS</w:t>
            </w:r>
          </w:p>
        </w:tc>
        <w:tc>
          <w:tcPr>
            <w:tcW w:w="2084" w:type="pct"/>
            <w:tcBorders>
              <w:bottom w:val="single" w:sz="4" w:space="0" w:color="auto"/>
            </w:tcBorders>
          </w:tcPr>
          <w:p w:rsidR="00B421A4" w:rsidRPr="009F79B5" w:rsidRDefault="00B421A4" w:rsidP="00626918">
            <w:pPr>
              <w:widowControl/>
              <w:spacing w:after="120"/>
              <w:jc w:val="left"/>
              <w:rPr>
                <w:rFonts w:ascii="Arial Narrow" w:hAnsi="Arial Narrow" w:cs="Times New Roman"/>
                <w:snapToGrid/>
                <w:sz w:val="20"/>
              </w:rPr>
            </w:pPr>
            <w:r w:rsidRPr="009F79B5">
              <w:rPr>
                <w:rFonts w:ascii="Arial Narrow" w:hAnsi="Arial Narrow" w:cs="Times New Roman"/>
                <w:snapToGrid/>
                <w:sz w:val="20"/>
              </w:rPr>
              <w:t xml:space="preserve">Clinical Study Report 2002: An exploratory Phase </w:t>
            </w:r>
            <w:proofErr w:type="spellStart"/>
            <w:r w:rsidRPr="009F79B5">
              <w:rPr>
                <w:rFonts w:ascii="Arial Narrow" w:hAnsi="Arial Narrow" w:cs="Times New Roman"/>
                <w:snapToGrid/>
                <w:sz w:val="20"/>
              </w:rPr>
              <w:t>IIa</w:t>
            </w:r>
            <w:proofErr w:type="spellEnd"/>
            <w:r w:rsidRPr="009F79B5">
              <w:rPr>
                <w:rFonts w:ascii="Arial Narrow" w:hAnsi="Arial Narrow" w:cs="Times New Roman"/>
                <w:snapToGrid/>
                <w:sz w:val="20"/>
              </w:rPr>
              <w:t xml:space="preserve">, randomised, open-label trial to investigate the efficacy and safety of 12 weeks or 24 weeks of TMC435 in combination with PSI-7977 with or without ribavirin in chronic </w:t>
            </w:r>
            <w:r w:rsidRPr="009F79B5">
              <w:rPr>
                <w:rFonts w:ascii="Arial Narrow" w:hAnsi="Arial Narrow" w:cs="Times New Roman"/>
                <w:snapToGrid/>
                <w:sz w:val="20"/>
              </w:rPr>
              <w:lastRenderedPageBreak/>
              <w:t xml:space="preserve">hepatitis C genotype 1-infected prior null responders to </w:t>
            </w:r>
            <w:proofErr w:type="spellStart"/>
            <w:r w:rsidRPr="009F79B5">
              <w:rPr>
                <w:rFonts w:ascii="Arial Narrow" w:hAnsi="Arial Narrow" w:cs="Times New Roman"/>
                <w:snapToGrid/>
                <w:sz w:val="20"/>
              </w:rPr>
              <w:t>peginterferon</w:t>
            </w:r>
            <w:proofErr w:type="spellEnd"/>
            <w:r w:rsidRPr="009F79B5">
              <w:rPr>
                <w:rFonts w:ascii="Arial Narrow" w:hAnsi="Arial Narrow" w:cs="Times New Roman"/>
                <w:snapToGrid/>
                <w:sz w:val="20"/>
              </w:rPr>
              <w:t>/ribavirin therapy or HCV treatment-naïve subjects</w:t>
            </w:r>
          </w:p>
        </w:tc>
        <w:tc>
          <w:tcPr>
            <w:tcW w:w="2217" w:type="pct"/>
            <w:tcBorders>
              <w:bottom w:val="single" w:sz="4" w:space="0" w:color="auto"/>
            </w:tcBorders>
          </w:tcPr>
          <w:p w:rsidR="00B421A4" w:rsidRPr="00BD7647" w:rsidRDefault="00BD7647" w:rsidP="00626918">
            <w:pPr>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lastRenderedPageBreak/>
              <w:t>''''''''''''</w:t>
            </w:r>
          </w:p>
          <w:p w:rsidR="00B421A4" w:rsidRPr="009F79B5" w:rsidRDefault="00B421A4" w:rsidP="00945F70">
            <w:pPr>
              <w:widowControl/>
              <w:jc w:val="left"/>
              <w:rPr>
                <w:rFonts w:ascii="Arial Narrow" w:hAnsi="Arial Narrow" w:cs="Times New Roman"/>
                <w:snapToGrid/>
                <w:sz w:val="20"/>
              </w:rPr>
            </w:pPr>
          </w:p>
        </w:tc>
      </w:tr>
      <w:tr w:rsidR="00B421A4" w:rsidRPr="009F79B5" w:rsidTr="00EA11DE">
        <w:tc>
          <w:tcPr>
            <w:tcW w:w="699" w:type="pct"/>
            <w:tcBorders>
              <w:top w:val="single" w:sz="4" w:space="0" w:color="auto"/>
            </w:tcBorders>
          </w:tcPr>
          <w:p w:rsidR="00B421A4" w:rsidRPr="009F79B5" w:rsidRDefault="00B421A4" w:rsidP="00626918">
            <w:pPr>
              <w:widowControl/>
              <w:jc w:val="left"/>
              <w:rPr>
                <w:rFonts w:ascii="Arial Narrow" w:hAnsi="Arial Narrow" w:cs="Times New Roman"/>
                <w:snapToGrid/>
                <w:sz w:val="20"/>
              </w:rPr>
            </w:pPr>
          </w:p>
        </w:tc>
        <w:tc>
          <w:tcPr>
            <w:tcW w:w="2084" w:type="pct"/>
            <w:tcBorders>
              <w:top w:val="single" w:sz="4" w:space="0" w:color="auto"/>
            </w:tcBorders>
          </w:tcPr>
          <w:p w:rsidR="00B421A4" w:rsidRPr="009F79B5" w:rsidRDefault="00B421A4" w:rsidP="00626918">
            <w:pPr>
              <w:keepNext/>
              <w:keepLines/>
              <w:widowControl/>
              <w:jc w:val="left"/>
              <w:rPr>
                <w:rFonts w:ascii="Arial Narrow" w:hAnsi="Arial Narrow" w:cs="TimesNewRoman,Bold"/>
                <w:bCs/>
                <w:snapToGrid/>
                <w:sz w:val="20"/>
                <w:lang w:eastAsia="en-AU"/>
              </w:rPr>
            </w:pPr>
            <w:proofErr w:type="spellStart"/>
            <w:r w:rsidRPr="009F79B5">
              <w:rPr>
                <w:rFonts w:ascii="Arial Narrow" w:hAnsi="Arial Narrow" w:cs="TimesNewRoman,Bold"/>
                <w:bCs/>
                <w:snapToGrid/>
                <w:sz w:val="20"/>
                <w:lang w:val="fr-FR" w:eastAsia="en-AU"/>
              </w:rPr>
              <w:t>Lawitz</w:t>
            </w:r>
            <w:proofErr w:type="spellEnd"/>
            <w:r w:rsidRPr="009F79B5">
              <w:rPr>
                <w:rFonts w:ascii="Arial Narrow" w:hAnsi="Arial Narrow" w:cs="TimesNewRoman,Bold"/>
                <w:bCs/>
                <w:snapToGrid/>
                <w:sz w:val="20"/>
                <w:lang w:val="fr-FR" w:eastAsia="en-AU"/>
              </w:rPr>
              <w:t xml:space="preserve"> E., </w:t>
            </w:r>
            <w:proofErr w:type="spellStart"/>
            <w:r w:rsidRPr="009F79B5">
              <w:rPr>
                <w:rFonts w:ascii="Arial Narrow" w:hAnsi="Arial Narrow" w:cs="TimesNewRoman,Bold"/>
                <w:bCs/>
                <w:snapToGrid/>
                <w:sz w:val="20"/>
                <w:lang w:val="fr-FR" w:eastAsia="en-AU"/>
              </w:rPr>
              <w:t>Sulkowski</w:t>
            </w:r>
            <w:proofErr w:type="spellEnd"/>
            <w:r w:rsidRPr="009F79B5">
              <w:rPr>
                <w:rFonts w:ascii="Arial Narrow" w:hAnsi="Arial Narrow" w:cs="TimesNewRoman,Bold"/>
                <w:bCs/>
                <w:snapToGrid/>
                <w:sz w:val="20"/>
                <w:lang w:val="fr-FR" w:eastAsia="en-AU"/>
              </w:rPr>
              <w:t xml:space="preserve"> M.S., et al. </w:t>
            </w:r>
            <w:r w:rsidRPr="009F79B5">
              <w:rPr>
                <w:rFonts w:ascii="Arial Narrow" w:hAnsi="Arial Narrow" w:cs="TimesNewRoman,Bold"/>
                <w:bCs/>
                <w:snapToGrid/>
                <w:sz w:val="20"/>
                <w:lang w:eastAsia="en-AU"/>
              </w:rPr>
              <w:t xml:space="preserve">(2014). </w:t>
            </w:r>
            <w:proofErr w:type="spellStart"/>
            <w:r w:rsidRPr="009F79B5">
              <w:rPr>
                <w:rFonts w:ascii="Arial Narrow" w:hAnsi="Arial Narrow" w:cs="TimesNewRoman,Bold"/>
                <w:bCs/>
                <w:snapToGrid/>
                <w:sz w:val="20"/>
                <w:lang w:eastAsia="en-AU"/>
              </w:rPr>
              <w:t>Simeprevir</w:t>
            </w:r>
            <w:proofErr w:type="spellEnd"/>
            <w:r w:rsidRPr="009F79B5">
              <w:rPr>
                <w:rFonts w:ascii="Arial Narrow" w:hAnsi="Arial Narrow" w:cs="TimesNewRoman,Bold"/>
                <w:bCs/>
                <w:snapToGrid/>
                <w:sz w:val="20"/>
                <w:lang w:eastAsia="en-AU"/>
              </w:rPr>
              <w:t xml:space="preserve"> plus </w:t>
            </w:r>
            <w:proofErr w:type="spellStart"/>
            <w:r w:rsidRPr="009F79B5">
              <w:rPr>
                <w:rFonts w:ascii="Arial Narrow" w:hAnsi="Arial Narrow" w:cs="TimesNewRoman,Bold"/>
                <w:bCs/>
                <w:snapToGrid/>
                <w:sz w:val="20"/>
                <w:lang w:eastAsia="en-AU"/>
              </w:rPr>
              <w:t>sofosbuvir</w:t>
            </w:r>
            <w:proofErr w:type="spellEnd"/>
            <w:r w:rsidRPr="009F79B5">
              <w:rPr>
                <w:rFonts w:ascii="Arial Narrow" w:hAnsi="Arial Narrow" w:cs="TimesNewRoman,Bold"/>
                <w:bCs/>
                <w:snapToGrid/>
                <w:sz w:val="20"/>
                <w:lang w:eastAsia="en-AU"/>
              </w:rPr>
              <w:t xml:space="preserve">, with or without ribavirin, to treat chronic infection with hepatitis C virus genotype 1 in non-responders to </w:t>
            </w:r>
            <w:proofErr w:type="spellStart"/>
            <w:r w:rsidRPr="009F79B5">
              <w:rPr>
                <w:rFonts w:ascii="Arial Narrow" w:hAnsi="Arial Narrow" w:cs="TimesNewRoman,Bold"/>
                <w:bCs/>
                <w:snapToGrid/>
                <w:sz w:val="20"/>
                <w:lang w:eastAsia="en-AU"/>
              </w:rPr>
              <w:t>pegylated</w:t>
            </w:r>
            <w:proofErr w:type="spellEnd"/>
            <w:r w:rsidRPr="009F79B5">
              <w:rPr>
                <w:rFonts w:ascii="Arial Narrow" w:hAnsi="Arial Narrow" w:cs="TimesNewRoman,Bold"/>
                <w:bCs/>
                <w:snapToGrid/>
                <w:sz w:val="20"/>
                <w:lang w:eastAsia="en-AU"/>
              </w:rPr>
              <w:t xml:space="preserve"> interferon and ribavirin and treatment-naïve patients: the COSMOS randomised study. </w:t>
            </w:r>
          </w:p>
        </w:tc>
        <w:tc>
          <w:tcPr>
            <w:tcW w:w="2217" w:type="pct"/>
            <w:tcBorders>
              <w:top w:val="single" w:sz="4" w:space="0" w:color="auto"/>
            </w:tcBorders>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The Lancet 2014; 384 (9956):1756-1765.</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Non-comparative studies</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Study 3018</w:t>
            </w:r>
          </w:p>
        </w:tc>
        <w:tc>
          <w:tcPr>
            <w:tcW w:w="2084" w:type="pct"/>
          </w:tcPr>
          <w:p w:rsidR="00B421A4" w:rsidRPr="009F79B5" w:rsidRDefault="00B421A4" w:rsidP="00626918">
            <w:pPr>
              <w:pStyle w:val="Tabletext"/>
              <w:rPr>
                <w:lang w:eastAsia="en-AU"/>
              </w:rPr>
            </w:pPr>
            <w:r w:rsidRPr="009F79B5">
              <w:rPr>
                <w:lang w:eastAsia="en-AU"/>
              </w:rPr>
              <w:t>Clinical Protocol Study 3018.</w:t>
            </w:r>
          </w:p>
          <w:p w:rsidR="00B421A4" w:rsidRPr="009F79B5" w:rsidRDefault="00B421A4" w:rsidP="00626918">
            <w:pPr>
              <w:pStyle w:val="Tabletext"/>
              <w:rPr>
                <w:lang w:eastAsia="en-AU"/>
              </w:rPr>
            </w:pPr>
            <w:r w:rsidRPr="009F79B5">
              <w:rPr>
                <w:lang w:eastAsia="en-AU"/>
              </w:rPr>
              <w:t xml:space="preserve">Study 3018 </w:t>
            </w:r>
            <w:proofErr w:type="spellStart"/>
            <w:r w:rsidRPr="009F79B5">
              <w:rPr>
                <w:lang w:eastAsia="en-AU"/>
              </w:rPr>
              <w:t>Topline</w:t>
            </w:r>
            <w:proofErr w:type="spellEnd"/>
            <w:r w:rsidRPr="009F79B5">
              <w:rPr>
                <w:lang w:eastAsia="en-AU"/>
              </w:rPr>
              <w:t xml:space="preserve"> Results, Interim analysis: SVR12.</w:t>
            </w:r>
          </w:p>
          <w:p w:rsidR="00B421A4" w:rsidRPr="009F79B5" w:rsidRDefault="00B421A4" w:rsidP="00626918">
            <w:pPr>
              <w:keepNext/>
              <w:keepLines/>
              <w:widowControl/>
              <w:jc w:val="left"/>
              <w:rPr>
                <w:rFonts w:ascii="Arial Narrow" w:hAnsi="Arial Narrow" w:cs="Times New Roman"/>
                <w:snapToGrid/>
                <w:sz w:val="20"/>
              </w:rPr>
            </w:pPr>
            <w:r w:rsidRPr="009F79B5">
              <w:rPr>
                <w:rFonts w:ascii="Arial Narrow" w:hAnsi="Arial Narrow" w:cs="TimesNewRoman,Bold"/>
                <w:bCs/>
                <w:snapToGrid/>
                <w:sz w:val="20"/>
                <w:lang w:eastAsia="en-AU"/>
              </w:rPr>
              <w:t xml:space="preserve">A phase 3, multicentre, open-label, single-arm study to investigate the efficacy and safety of a 12-Week regimen of </w:t>
            </w:r>
            <w:proofErr w:type="spellStart"/>
            <w:r w:rsidRPr="009F79B5">
              <w:rPr>
                <w:rFonts w:ascii="Arial Narrow" w:hAnsi="Arial Narrow" w:cs="TimesNewRoman,Bold"/>
                <w:bCs/>
                <w:snapToGrid/>
                <w:sz w:val="20"/>
                <w:lang w:eastAsia="en-AU"/>
              </w:rPr>
              <w:t>simeprevir</w:t>
            </w:r>
            <w:proofErr w:type="spellEnd"/>
            <w:r w:rsidRPr="009F79B5">
              <w:rPr>
                <w:rFonts w:ascii="Arial Narrow" w:hAnsi="Arial Narrow" w:cs="TimesNewRoman,Bold"/>
                <w:bCs/>
                <w:snapToGrid/>
                <w:sz w:val="20"/>
                <w:lang w:eastAsia="en-AU"/>
              </w:rPr>
              <w:t xml:space="preserve"> in combination with </w:t>
            </w:r>
            <w:proofErr w:type="spellStart"/>
            <w:r w:rsidRPr="009F79B5">
              <w:rPr>
                <w:rFonts w:ascii="Arial Narrow" w:hAnsi="Arial Narrow" w:cs="TimesNewRoman,Bold"/>
                <w:bCs/>
                <w:snapToGrid/>
                <w:sz w:val="20"/>
                <w:lang w:eastAsia="en-AU"/>
              </w:rPr>
              <w:t>sofosbuvir</w:t>
            </w:r>
            <w:proofErr w:type="spellEnd"/>
            <w:r w:rsidRPr="009F79B5">
              <w:rPr>
                <w:rFonts w:ascii="Arial Narrow" w:hAnsi="Arial Narrow" w:cs="TimesNewRoman,Bold"/>
                <w:bCs/>
                <w:snapToGrid/>
                <w:sz w:val="20"/>
                <w:lang w:eastAsia="en-AU"/>
              </w:rPr>
              <w:t xml:space="preserve"> in treatment-naïve or - experienced subjects with chronic genotype 1 hepatitis C virus infection and cirrhosis.</w:t>
            </w:r>
          </w:p>
        </w:tc>
        <w:tc>
          <w:tcPr>
            <w:tcW w:w="2217" w:type="pct"/>
          </w:tcPr>
          <w:p w:rsidR="00B421A4" w:rsidRPr="00BD7647" w:rsidRDefault="00BD7647" w:rsidP="00626918">
            <w:pPr>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t>'''''''''''''''' ''''''''''''</w:t>
            </w:r>
          </w:p>
          <w:p w:rsidR="00B421A4" w:rsidRPr="00BD7647" w:rsidRDefault="00BD7647" w:rsidP="00626918">
            <w:pPr>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t>'''''''''''''' '''''''''''''</w:t>
            </w:r>
          </w:p>
          <w:p w:rsidR="00B421A4" w:rsidRPr="009F79B5" w:rsidRDefault="00B421A4" w:rsidP="00626918">
            <w:pPr>
              <w:widowControl/>
              <w:jc w:val="left"/>
              <w:rPr>
                <w:rFonts w:ascii="Arial Narrow" w:hAnsi="Arial Narrow" w:cs="Times New Roman"/>
                <w:snapToGrid/>
                <w:sz w:val="20"/>
              </w:rPr>
            </w:pPr>
          </w:p>
          <w:p w:rsidR="00B421A4" w:rsidRPr="009F79B5" w:rsidRDefault="00B421A4" w:rsidP="00626918">
            <w:pPr>
              <w:widowControl/>
              <w:jc w:val="left"/>
              <w:rPr>
                <w:rFonts w:ascii="Arial Narrow" w:hAnsi="Arial Narrow" w:cs="Times New Roman"/>
                <w:snapToGrid/>
                <w:sz w:val="20"/>
              </w:rPr>
            </w:pP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proofErr w:type="spellStart"/>
            <w:r w:rsidRPr="009F79B5">
              <w:rPr>
                <w:rFonts w:ascii="Arial Narrow" w:hAnsi="Arial Narrow" w:cs="Times New Roman"/>
                <w:b/>
                <w:snapToGrid/>
                <w:sz w:val="20"/>
              </w:rPr>
              <w:t>Ledipasvir</w:t>
            </w:r>
            <w:proofErr w:type="spellEnd"/>
            <w:r w:rsidRPr="009F79B5">
              <w:rPr>
                <w:rFonts w:ascii="Arial Narrow" w:hAnsi="Arial Narrow" w:cs="Times New Roman"/>
                <w:b/>
                <w:snapToGrid/>
                <w:sz w:val="20"/>
              </w:rPr>
              <w:t>/</w:t>
            </w:r>
            <w:proofErr w:type="spellStart"/>
            <w:r w:rsidRPr="009F79B5">
              <w:rPr>
                <w:rFonts w:ascii="Arial Narrow" w:hAnsi="Arial Narrow" w:cs="Times New Roman"/>
                <w:b/>
                <w:snapToGrid/>
                <w:sz w:val="20"/>
              </w:rPr>
              <w:t>sofosbuvir</w:t>
            </w:r>
            <w:proofErr w:type="spellEnd"/>
            <w:r w:rsidRPr="009F79B5">
              <w:rPr>
                <w:rFonts w:ascii="Arial Narrow" w:hAnsi="Arial Narrow" w:cs="Times New Roman"/>
                <w:b/>
                <w:snapToGrid/>
                <w:sz w:val="20"/>
              </w:rPr>
              <w:t xml:space="preserve"> </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Single arms from randomised trials</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ION-1</w:t>
            </w:r>
          </w:p>
        </w:tc>
        <w:tc>
          <w:tcPr>
            <w:tcW w:w="2084" w:type="pct"/>
          </w:tcPr>
          <w:p w:rsidR="00B421A4" w:rsidRPr="009F79B5" w:rsidRDefault="00B421A4" w:rsidP="00626918">
            <w:pPr>
              <w:widowControl/>
              <w:jc w:val="left"/>
              <w:rPr>
                <w:rFonts w:ascii="Arial Narrow" w:hAnsi="Arial Narrow" w:cs="Times New Roman"/>
                <w:snapToGrid/>
                <w:sz w:val="20"/>
              </w:rPr>
            </w:pPr>
            <w:proofErr w:type="spellStart"/>
            <w:r w:rsidRPr="009F79B5">
              <w:rPr>
                <w:rFonts w:ascii="Arial Narrow" w:hAnsi="Arial Narrow" w:cs="Times New Roman"/>
                <w:snapToGrid/>
                <w:sz w:val="20"/>
              </w:rPr>
              <w:t>Afdhal</w:t>
            </w:r>
            <w:proofErr w:type="spellEnd"/>
            <w:r w:rsidRPr="009F79B5">
              <w:rPr>
                <w:rFonts w:ascii="Arial Narrow" w:hAnsi="Arial Narrow" w:cs="Times New Roman"/>
                <w:snapToGrid/>
                <w:sz w:val="20"/>
              </w:rPr>
              <w:t xml:space="preserve"> N, </w:t>
            </w:r>
            <w:proofErr w:type="spellStart"/>
            <w:r w:rsidRPr="009F79B5">
              <w:rPr>
                <w:rFonts w:ascii="Arial Narrow" w:hAnsi="Arial Narrow" w:cs="Times New Roman"/>
                <w:snapToGrid/>
                <w:sz w:val="20"/>
              </w:rPr>
              <w:t>Zeuzem</w:t>
            </w:r>
            <w:proofErr w:type="spellEnd"/>
            <w:r w:rsidRPr="009F79B5">
              <w:rPr>
                <w:rFonts w:ascii="Arial Narrow" w:hAnsi="Arial Narrow" w:cs="Times New Roman"/>
                <w:snapToGrid/>
                <w:sz w:val="20"/>
              </w:rPr>
              <w:t xml:space="preserve"> S, et al. (2014). </w:t>
            </w:r>
            <w:proofErr w:type="spellStart"/>
            <w:r w:rsidRPr="009F79B5">
              <w:rPr>
                <w:rFonts w:ascii="Arial Narrow" w:hAnsi="Arial Narrow" w:cs="Times New Roman"/>
                <w:snapToGrid/>
                <w:sz w:val="20"/>
              </w:rPr>
              <w:t>Ledipasvir</w:t>
            </w:r>
            <w:proofErr w:type="spellEnd"/>
            <w:r w:rsidRPr="009F79B5">
              <w:rPr>
                <w:rFonts w:ascii="Arial Narrow" w:hAnsi="Arial Narrow" w:cs="Times New Roman"/>
                <w:snapToGrid/>
                <w:sz w:val="20"/>
              </w:rPr>
              <w:t xml:space="preserve"> and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for untreated HCV genotype 1 infection.</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(20):1889-1898.</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ION-2</w:t>
            </w:r>
          </w:p>
        </w:tc>
        <w:tc>
          <w:tcPr>
            <w:tcW w:w="2084" w:type="pct"/>
          </w:tcPr>
          <w:p w:rsidR="00B421A4" w:rsidRPr="009F79B5" w:rsidRDefault="00B421A4" w:rsidP="00626918">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Afdhal</w:t>
            </w:r>
            <w:proofErr w:type="spellEnd"/>
            <w:r w:rsidRPr="009F79B5">
              <w:rPr>
                <w:rFonts w:ascii="Arial Narrow" w:hAnsi="Arial Narrow" w:cs="Times New Roman"/>
                <w:snapToGrid/>
                <w:sz w:val="20"/>
                <w:lang w:val="fr-FR"/>
              </w:rPr>
              <w:t xml:space="preserve"> N, </w:t>
            </w:r>
            <w:proofErr w:type="spellStart"/>
            <w:r w:rsidRPr="009F79B5">
              <w:rPr>
                <w:rFonts w:ascii="Arial Narrow" w:hAnsi="Arial Narrow" w:cs="Times New Roman"/>
                <w:snapToGrid/>
                <w:sz w:val="20"/>
                <w:lang w:val="fr-FR"/>
              </w:rPr>
              <w:t>Reddy</w:t>
            </w:r>
            <w:proofErr w:type="spellEnd"/>
            <w:r w:rsidRPr="009F79B5">
              <w:rPr>
                <w:rFonts w:ascii="Arial Narrow" w:hAnsi="Arial Narrow" w:cs="Times New Roman"/>
                <w:snapToGrid/>
                <w:sz w:val="20"/>
                <w:lang w:val="fr-FR"/>
              </w:rPr>
              <w:t xml:space="preserve"> K.R., et al. </w:t>
            </w:r>
            <w:r w:rsidRPr="009F79B5">
              <w:rPr>
                <w:rFonts w:ascii="Arial Narrow" w:hAnsi="Arial Narrow" w:cs="Times New Roman"/>
                <w:snapToGrid/>
                <w:sz w:val="20"/>
              </w:rPr>
              <w:t xml:space="preserve">(2014). </w:t>
            </w:r>
            <w:proofErr w:type="spellStart"/>
            <w:r w:rsidRPr="009F79B5">
              <w:rPr>
                <w:rFonts w:ascii="Arial Narrow" w:hAnsi="Arial Narrow" w:cs="Times New Roman"/>
                <w:snapToGrid/>
                <w:sz w:val="20"/>
              </w:rPr>
              <w:t>Ledipasvir</w:t>
            </w:r>
            <w:proofErr w:type="spellEnd"/>
            <w:r w:rsidRPr="009F79B5">
              <w:rPr>
                <w:rFonts w:ascii="Arial Narrow" w:hAnsi="Arial Narrow" w:cs="Times New Roman"/>
                <w:snapToGrid/>
                <w:sz w:val="20"/>
              </w:rPr>
              <w:t xml:space="preserve"> and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for previously treated HCV genotype 1 infection.</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(16):1483-1493.</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ION-3</w:t>
            </w:r>
          </w:p>
        </w:tc>
        <w:tc>
          <w:tcPr>
            <w:tcW w:w="2084" w:type="pct"/>
          </w:tcPr>
          <w:p w:rsidR="00B421A4" w:rsidRPr="009F79B5" w:rsidRDefault="00B421A4" w:rsidP="00626918">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Kowdley</w:t>
            </w:r>
            <w:proofErr w:type="spellEnd"/>
            <w:r w:rsidRPr="009F79B5">
              <w:rPr>
                <w:rFonts w:ascii="Arial Narrow" w:hAnsi="Arial Narrow" w:cs="Times New Roman"/>
                <w:snapToGrid/>
                <w:sz w:val="20"/>
                <w:lang w:val="fr-FR"/>
              </w:rPr>
              <w:t xml:space="preserve"> K.V., Gordon S.C., et al. </w:t>
            </w:r>
            <w:r w:rsidRPr="009F79B5">
              <w:rPr>
                <w:rFonts w:ascii="Arial Narrow" w:hAnsi="Arial Narrow" w:cs="Times New Roman"/>
                <w:snapToGrid/>
                <w:sz w:val="20"/>
              </w:rPr>
              <w:t xml:space="preserve">(2014). </w:t>
            </w:r>
            <w:proofErr w:type="spellStart"/>
            <w:r w:rsidRPr="009F79B5">
              <w:rPr>
                <w:rFonts w:ascii="Arial Narrow" w:hAnsi="Arial Narrow" w:cs="Times New Roman"/>
                <w:snapToGrid/>
                <w:sz w:val="20"/>
              </w:rPr>
              <w:t>Ledipasvir</w:t>
            </w:r>
            <w:proofErr w:type="spellEnd"/>
            <w:r w:rsidRPr="009F79B5">
              <w:rPr>
                <w:rFonts w:ascii="Arial Narrow" w:hAnsi="Arial Narrow" w:cs="Times New Roman"/>
                <w:snapToGrid/>
                <w:sz w:val="20"/>
              </w:rPr>
              <w:t xml:space="preserve"> and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for 8 or 12 weeks for chronic HCV without cirrhosis.</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(20):1879-1888.</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proofErr w:type="spellStart"/>
            <w:r w:rsidRPr="009F79B5">
              <w:rPr>
                <w:rFonts w:ascii="Arial Narrow" w:hAnsi="Arial Narrow" w:cs="Times New Roman"/>
                <w:b/>
                <w:snapToGrid/>
                <w:sz w:val="20"/>
              </w:rPr>
              <w:t>Daclatasvir</w:t>
            </w:r>
            <w:proofErr w:type="spellEnd"/>
            <w:r w:rsidRPr="009F79B5">
              <w:rPr>
                <w:rFonts w:ascii="Arial Narrow" w:hAnsi="Arial Narrow" w:cs="Times New Roman"/>
                <w:b/>
                <w:snapToGrid/>
                <w:sz w:val="20"/>
              </w:rPr>
              <w:t xml:space="preserve"> </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Single arms from randomised trials</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HALLMARK-DUAL</w:t>
            </w:r>
          </w:p>
        </w:tc>
        <w:tc>
          <w:tcPr>
            <w:tcW w:w="2084" w:type="pct"/>
          </w:tcPr>
          <w:p w:rsidR="00B421A4" w:rsidRPr="009F79B5" w:rsidRDefault="00B421A4" w:rsidP="00626918">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Manns</w:t>
            </w:r>
            <w:proofErr w:type="spellEnd"/>
            <w:r w:rsidRPr="009F79B5">
              <w:rPr>
                <w:rFonts w:ascii="Arial Narrow" w:hAnsi="Arial Narrow" w:cs="Times New Roman"/>
                <w:snapToGrid/>
                <w:sz w:val="20"/>
                <w:lang w:val="fr-FR"/>
              </w:rPr>
              <w:t xml:space="preserve"> M, Pol S., et al. </w:t>
            </w:r>
            <w:r w:rsidRPr="009F79B5">
              <w:rPr>
                <w:rFonts w:ascii="Arial Narrow" w:hAnsi="Arial Narrow" w:cs="Times New Roman"/>
                <w:snapToGrid/>
                <w:sz w:val="20"/>
              </w:rPr>
              <w:t xml:space="preserve">(2014). All-oral </w:t>
            </w:r>
            <w:proofErr w:type="spellStart"/>
            <w:r w:rsidRPr="009F79B5">
              <w:rPr>
                <w:rFonts w:ascii="Arial Narrow" w:hAnsi="Arial Narrow" w:cs="Times New Roman"/>
                <w:snapToGrid/>
                <w:sz w:val="20"/>
              </w:rPr>
              <w:t>daclatasvir</w:t>
            </w:r>
            <w:proofErr w:type="spellEnd"/>
            <w:r w:rsidRPr="009F79B5">
              <w:rPr>
                <w:rFonts w:ascii="Arial Narrow" w:hAnsi="Arial Narrow" w:cs="Times New Roman"/>
                <w:snapToGrid/>
                <w:sz w:val="20"/>
              </w:rPr>
              <w:t xml:space="preserve"> plus </w:t>
            </w:r>
            <w:proofErr w:type="spellStart"/>
            <w:r w:rsidRPr="009F79B5">
              <w:rPr>
                <w:rFonts w:ascii="Arial Narrow" w:hAnsi="Arial Narrow" w:cs="Times New Roman"/>
                <w:snapToGrid/>
                <w:sz w:val="20"/>
              </w:rPr>
              <w:t>asunaprevir</w:t>
            </w:r>
            <w:proofErr w:type="spellEnd"/>
            <w:r w:rsidRPr="009F79B5">
              <w:rPr>
                <w:rFonts w:ascii="Arial Narrow" w:hAnsi="Arial Narrow" w:cs="Times New Roman"/>
                <w:snapToGrid/>
                <w:sz w:val="20"/>
              </w:rPr>
              <w:t xml:space="preserve"> for hepatitis C virus genotype 1b: a multinational, phase 3, </w:t>
            </w:r>
            <w:proofErr w:type="spellStart"/>
            <w:r w:rsidRPr="009F79B5">
              <w:rPr>
                <w:rFonts w:ascii="Arial Narrow" w:hAnsi="Arial Narrow" w:cs="Times New Roman"/>
                <w:snapToGrid/>
                <w:sz w:val="20"/>
              </w:rPr>
              <w:t>multicohort</w:t>
            </w:r>
            <w:proofErr w:type="spellEnd"/>
            <w:r w:rsidRPr="009F79B5">
              <w:rPr>
                <w:rFonts w:ascii="Arial Narrow" w:hAnsi="Arial Narrow" w:cs="Times New Roman"/>
                <w:snapToGrid/>
                <w:sz w:val="20"/>
              </w:rPr>
              <w:t xml:space="preserve"> study.</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The Lancet 2014; 384:1597-1605.</w:t>
            </w:r>
          </w:p>
        </w:tc>
      </w:tr>
      <w:tr w:rsidR="00B421A4" w:rsidRPr="009F79B5" w:rsidTr="00626918">
        <w:tc>
          <w:tcPr>
            <w:tcW w:w="699"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Study 4040</w:t>
            </w:r>
          </w:p>
        </w:tc>
        <w:tc>
          <w:tcPr>
            <w:tcW w:w="2084" w:type="pct"/>
          </w:tcPr>
          <w:p w:rsidR="00B421A4" w:rsidRPr="009F79B5" w:rsidRDefault="00B421A4" w:rsidP="00626918">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Sulkowski</w:t>
            </w:r>
            <w:proofErr w:type="spellEnd"/>
            <w:r w:rsidRPr="009F79B5">
              <w:rPr>
                <w:rFonts w:ascii="Arial Narrow" w:hAnsi="Arial Narrow" w:cs="Times New Roman"/>
                <w:snapToGrid/>
                <w:sz w:val="20"/>
                <w:lang w:val="fr-FR"/>
              </w:rPr>
              <w:t xml:space="preserve"> M.S., Gardiner D.F., et al. </w:t>
            </w:r>
            <w:r w:rsidRPr="009F79B5">
              <w:rPr>
                <w:rFonts w:ascii="Arial Narrow" w:hAnsi="Arial Narrow" w:cs="Times New Roman"/>
                <w:snapToGrid/>
                <w:sz w:val="20"/>
              </w:rPr>
              <w:t xml:space="preserve">(2014). </w:t>
            </w:r>
            <w:proofErr w:type="spellStart"/>
            <w:r w:rsidRPr="009F79B5">
              <w:rPr>
                <w:rFonts w:ascii="Arial Narrow" w:hAnsi="Arial Narrow" w:cs="Times New Roman"/>
                <w:snapToGrid/>
                <w:sz w:val="20"/>
              </w:rPr>
              <w:t>Daclatasvir</w:t>
            </w:r>
            <w:proofErr w:type="spellEnd"/>
            <w:r w:rsidRPr="009F79B5">
              <w:rPr>
                <w:rFonts w:ascii="Arial Narrow" w:hAnsi="Arial Narrow" w:cs="Times New Roman"/>
                <w:snapToGrid/>
                <w:sz w:val="20"/>
              </w:rPr>
              <w:t xml:space="preserve"> plus </w:t>
            </w:r>
            <w:proofErr w:type="spellStart"/>
            <w:r w:rsidRPr="009F79B5">
              <w:rPr>
                <w:rFonts w:ascii="Arial Narrow" w:hAnsi="Arial Narrow" w:cs="Times New Roman"/>
                <w:snapToGrid/>
                <w:sz w:val="20"/>
              </w:rPr>
              <w:t>sofosbuvir</w:t>
            </w:r>
            <w:proofErr w:type="spellEnd"/>
            <w:r w:rsidRPr="009F79B5">
              <w:rPr>
                <w:rFonts w:ascii="Arial Narrow" w:hAnsi="Arial Narrow" w:cs="Times New Roman"/>
                <w:snapToGrid/>
                <w:sz w:val="20"/>
              </w:rPr>
              <w:t xml:space="preserve"> for previously treated or untreated chronic HCV infection.</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(3):211-221.</w:t>
            </w:r>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lang w:val="fr-FR"/>
              </w:rPr>
            </w:pPr>
            <w:proofErr w:type="spellStart"/>
            <w:r w:rsidRPr="009F79B5">
              <w:rPr>
                <w:rFonts w:ascii="Arial Narrow" w:hAnsi="Arial Narrow" w:cs="Times New Roman"/>
                <w:b/>
                <w:snapToGrid/>
                <w:sz w:val="20"/>
                <w:lang w:val="fr-FR"/>
              </w:rPr>
              <w:t>Paritaprevir</w:t>
            </w:r>
            <w:proofErr w:type="spellEnd"/>
            <w:r w:rsidRPr="009F79B5">
              <w:rPr>
                <w:rFonts w:ascii="Arial Narrow" w:hAnsi="Arial Narrow" w:cs="Times New Roman"/>
                <w:b/>
                <w:snapToGrid/>
                <w:sz w:val="20"/>
                <w:lang w:val="fr-FR"/>
              </w:rPr>
              <w:t>/</w:t>
            </w:r>
            <w:proofErr w:type="spellStart"/>
            <w:r w:rsidRPr="009F79B5">
              <w:rPr>
                <w:rFonts w:ascii="Arial Narrow" w:hAnsi="Arial Narrow" w:cs="Times New Roman"/>
                <w:b/>
                <w:snapToGrid/>
                <w:sz w:val="20"/>
                <w:lang w:val="fr-FR"/>
              </w:rPr>
              <w:t>ritonavir</w:t>
            </w:r>
            <w:proofErr w:type="spellEnd"/>
            <w:r w:rsidRPr="009F79B5">
              <w:rPr>
                <w:rFonts w:ascii="Arial Narrow" w:hAnsi="Arial Narrow" w:cs="Times New Roman"/>
                <w:b/>
                <w:snapToGrid/>
                <w:sz w:val="20"/>
                <w:lang w:val="fr-FR"/>
              </w:rPr>
              <w:t>/</w:t>
            </w:r>
            <w:proofErr w:type="spellStart"/>
            <w:r w:rsidRPr="009F79B5">
              <w:rPr>
                <w:rFonts w:ascii="Arial Narrow" w:hAnsi="Arial Narrow" w:cs="Times New Roman"/>
                <w:b/>
                <w:snapToGrid/>
                <w:sz w:val="20"/>
                <w:lang w:val="fr-FR"/>
              </w:rPr>
              <w:t>ombitasvir</w:t>
            </w:r>
            <w:proofErr w:type="spellEnd"/>
            <w:r w:rsidRPr="009F79B5">
              <w:rPr>
                <w:rFonts w:ascii="Arial Narrow" w:hAnsi="Arial Narrow" w:cs="Times New Roman"/>
                <w:b/>
                <w:snapToGrid/>
                <w:sz w:val="20"/>
                <w:lang w:val="fr-FR"/>
              </w:rPr>
              <w:t xml:space="preserve"> + </w:t>
            </w:r>
            <w:proofErr w:type="spellStart"/>
            <w:r w:rsidRPr="009F79B5">
              <w:rPr>
                <w:rFonts w:ascii="Arial Narrow" w:hAnsi="Arial Narrow" w:cs="Times New Roman"/>
                <w:b/>
                <w:snapToGrid/>
                <w:sz w:val="20"/>
                <w:lang w:val="fr-FR"/>
              </w:rPr>
              <w:t>dasabuvir</w:t>
            </w:r>
            <w:proofErr w:type="spellEnd"/>
            <w:r w:rsidRPr="009F79B5">
              <w:rPr>
                <w:rFonts w:ascii="Arial Narrow" w:hAnsi="Arial Narrow" w:cs="Times New Roman"/>
                <w:b/>
                <w:snapToGrid/>
                <w:sz w:val="20"/>
                <w:lang w:val="fr-FR"/>
              </w:rPr>
              <w:t xml:space="preserve"> ± </w:t>
            </w:r>
            <w:proofErr w:type="spellStart"/>
            <w:r w:rsidRPr="009F79B5">
              <w:rPr>
                <w:rFonts w:ascii="Arial Narrow" w:hAnsi="Arial Narrow" w:cs="Times New Roman"/>
                <w:b/>
                <w:snapToGrid/>
                <w:sz w:val="20"/>
                <w:lang w:val="fr-FR"/>
              </w:rPr>
              <w:t>ribavirin</w:t>
            </w:r>
            <w:proofErr w:type="spellEnd"/>
          </w:p>
        </w:tc>
      </w:tr>
      <w:tr w:rsidR="00B421A4" w:rsidRPr="009F79B5" w:rsidTr="00626918">
        <w:tc>
          <w:tcPr>
            <w:tcW w:w="5000" w:type="pct"/>
            <w:gridSpan w:val="3"/>
          </w:tcPr>
          <w:p w:rsidR="00B421A4" w:rsidRPr="009F79B5" w:rsidRDefault="00B421A4" w:rsidP="00626918">
            <w:pPr>
              <w:widowControl/>
              <w:jc w:val="left"/>
              <w:rPr>
                <w:rFonts w:ascii="Arial Narrow" w:hAnsi="Arial Narrow" w:cs="Times New Roman"/>
                <w:b/>
                <w:snapToGrid/>
                <w:sz w:val="20"/>
              </w:rPr>
            </w:pPr>
            <w:r w:rsidRPr="009F79B5">
              <w:rPr>
                <w:rFonts w:ascii="Arial Narrow" w:hAnsi="Arial Narrow" w:cs="Times New Roman"/>
                <w:b/>
                <w:snapToGrid/>
                <w:sz w:val="20"/>
              </w:rPr>
              <w:t>Single arms from randomised trials</w:t>
            </w:r>
          </w:p>
        </w:tc>
      </w:tr>
      <w:tr w:rsidR="00B421A4" w:rsidRPr="009F79B5" w:rsidTr="00626918">
        <w:tc>
          <w:tcPr>
            <w:tcW w:w="699" w:type="pct"/>
          </w:tcPr>
          <w:p w:rsidR="00B421A4" w:rsidRPr="009F79B5" w:rsidRDefault="008A32E0"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PEARL </w:t>
            </w:r>
            <w:r w:rsidR="00B421A4" w:rsidRPr="009F79B5">
              <w:rPr>
                <w:rFonts w:ascii="Arial Narrow" w:hAnsi="Arial Narrow" w:cs="Times New Roman"/>
                <w:snapToGrid/>
                <w:sz w:val="20"/>
              </w:rPr>
              <w:t>II</w:t>
            </w:r>
          </w:p>
        </w:tc>
        <w:tc>
          <w:tcPr>
            <w:tcW w:w="2084" w:type="pct"/>
          </w:tcPr>
          <w:p w:rsidR="00B421A4" w:rsidRPr="009F79B5" w:rsidRDefault="00820021" w:rsidP="00820021">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Andreone</w:t>
            </w:r>
            <w:proofErr w:type="spellEnd"/>
            <w:r w:rsidR="004C6039" w:rsidRPr="009F79B5">
              <w:rPr>
                <w:rFonts w:ascii="Arial Narrow" w:hAnsi="Arial Narrow" w:cs="Times New Roman"/>
                <w:snapToGrid/>
                <w:sz w:val="20"/>
                <w:lang w:val="fr-FR"/>
              </w:rPr>
              <w:t xml:space="preserve"> P., Colombo, M.G., et al</w:t>
            </w:r>
            <w:r w:rsidRPr="009F79B5">
              <w:rPr>
                <w:rFonts w:ascii="Arial Narrow" w:hAnsi="Arial Narrow" w:cs="Times New Roman"/>
                <w:snapToGrid/>
                <w:sz w:val="20"/>
                <w:lang w:val="fr-FR"/>
              </w:rPr>
              <w:t xml:space="preserve"> (2014)</w:t>
            </w:r>
            <w:r w:rsidR="00B421A4" w:rsidRPr="009F79B5">
              <w:rPr>
                <w:rFonts w:ascii="Arial Narrow" w:hAnsi="Arial Narrow" w:cs="Times New Roman"/>
                <w:snapToGrid/>
                <w:sz w:val="20"/>
                <w:lang w:val="fr-FR"/>
              </w:rPr>
              <w:t xml:space="preserve">. </w:t>
            </w:r>
            <w:r w:rsidR="00B421A4" w:rsidRPr="009F79B5">
              <w:rPr>
                <w:rFonts w:ascii="Arial Narrow" w:hAnsi="Arial Narrow" w:cs="Times New Roman"/>
                <w:snapToGrid/>
                <w:sz w:val="20"/>
              </w:rPr>
              <w:t xml:space="preserve">ABT450, Ritonavir, </w:t>
            </w:r>
            <w:proofErr w:type="spellStart"/>
            <w:r w:rsidR="00B421A4" w:rsidRPr="009F79B5">
              <w:rPr>
                <w:rFonts w:ascii="Arial Narrow" w:hAnsi="Arial Narrow" w:cs="Times New Roman"/>
                <w:snapToGrid/>
                <w:sz w:val="20"/>
              </w:rPr>
              <w:t>ombitasvir</w:t>
            </w:r>
            <w:proofErr w:type="spellEnd"/>
            <w:r w:rsidR="00B421A4" w:rsidRPr="009F79B5">
              <w:rPr>
                <w:rFonts w:ascii="Arial Narrow" w:hAnsi="Arial Narrow" w:cs="Times New Roman"/>
                <w:snapToGrid/>
                <w:sz w:val="20"/>
              </w:rPr>
              <w:t xml:space="preserve">, and </w:t>
            </w:r>
            <w:proofErr w:type="spellStart"/>
            <w:r w:rsidR="00B421A4" w:rsidRPr="009F79B5">
              <w:rPr>
                <w:rFonts w:ascii="Arial Narrow" w:hAnsi="Arial Narrow" w:cs="Times New Roman"/>
                <w:snapToGrid/>
                <w:sz w:val="20"/>
              </w:rPr>
              <w:t>dasabuvir</w:t>
            </w:r>
            <w:proofErr w:type="spellEnd"/>
            <w:r w:rsidR="00B421A4" w:rsidRPr="009F79B5">
              <w:rPr>
                <w:rFonts w:ascii="Arial Narrow" w:hAnsi="Arial Narrow" w:cs="Times New Roman"/>
                <w:snapToGrid/>
                <w:sz w:val="20"/>
              </w:rPr>
              <w:t xml:space="preserve"> achieves 97% and 100% sustained </w:t>
            </w:r>
            <w:proofErr w:type="spellStart"/>
            <w:r w:rsidR="00B421A4" w:rsidRPr="009F79B5">
              <w:rPr>
                <w:rFonts w:ascii="Arial Narrow" w:hAnsi="Arial Narrow" w:cs="Times New Roman"/>
                <w:snapToGrid/>
                <w:sz w:val="20"/>
              </w:rPr>
              <w:t>virologic</w:t>
            </w:r>
            <w:proofErr w:type="spellEnd"/>
            <w:r w:rsidR="00B421A4" w:rsidRPr="009F79B5">
              <w:rPr>
                <w:rFonts w:ascii="Arial Narrow" w:hAnsi="Arial Narrow" w:cs="Times New Roman"/>
                <w:snapToGrid/>
                <w:sz w:val="20"/>
              </w:rPr>
              <w:t xml:space="preserve"> response with or without ribavirin in treatment experienced patients with HCV genotype 1b infection.</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Gastroenterology (2014); 147:359-365.</w:t>
            </w:r>
          </w:p>
        </w:tc>
      </w:tr>
      <w:tr w:rsidR="00B421A4" w:rsidRPr="009F79B5" w:rsidTr="00626918">
        <w:tc>
          <w:tcPr>
            <w:tcW w:w="699" w:type="pct"/>
          </w:tcPr>
          <w:p w:rsidR="00B421A4" w:rsidRPr="009F79B5" w:rsidRDefault="008A32E0"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PEARL </w:t>
            </w:r>
            <w:r w:rsidR="00B421A4" w:rsidRPr="009F79B5">
              <w:rPr>
                <w:rFonts w:ascii="Arial Narrow" w:hAnsi="Arial Narrow" w:cs="Times New Roman"/>
                <w:snapToGrid/>
                <w:sz w:val="20"/>
              </w:rPr>
              <w:t xml:space="preserve">III and </w:t>
            </w:r>
            <w:r w:rsidRPr="009F79B5">
              <w:rPr>
                <w:rFonts w:ascii="Arial Narrow" w:hAnsi="Arial Narrow" w:cs="Times New Roman"/>
                <w:snapToGrid/>
                <w:sz w:val="20"/>
              </w:rPr>
              <w:t xml:space="preserve">PEARL </w:t>
            </w:r>
            <w:r w:rsidR="00B421A4" w:rsidRPr="009F79B5">
              <w:rPr>
                <w:rFonts w:ascii="Arial Narrow" w:hAnsi="Arial Narrow" w:cs="Times New Roman"/>
                <w:snapToGrid/>
                <w:sz w:val="20"/>
              </w:rPr>
              <w:t>IV</w:t>
            </w:r>
          </w:p>
        </w:tc>
        <w:tc>
          <w:tcPr>
            <w:tcW w:w="2084" w:type="pct"/>
          </w:tcPr>
          <w:p w:rsidR="00B421A4" w:rsidRPr="009F79B5" w:rsidRDefault="00820021" w:rsidP="00C64EA7">
            <w:pPr>
              <w:widowControl/>
              <w:jc w:val="left"/>
              <w:rPr>
                <w:rFonts w:ascii="Arial Narrow" w:hAnsi="Arial Narrow" w:cs="Times New Roman"/>
                <w:snapToGrid/>
                <w:sz w:val="20"/>
              </w:rPr>
            </w:pPr>
            <w:proofErr w:type="spellStart"/>
            <w:r w:rsidRPr="009F79B5">
              <w:rPr>
                <w:rFonts w:ascii="Arial Narrow" w:hAnsi="Arial Narrow" w:cs="Times New Roman"/>
                <w:snapToGrid/>
                <w:sz w:val="20"/>
                <w:lang w:val="fr-FR"/>
              </w:rPr>
              <w:t>Ferenci</w:t>
            </w:r>
            <w:proofErr w:type="spellEnd"/>
            <w:r w:rsidR="004C6039" w:rsidRPr="009F79B5">
              <w:rPr>
                <w:rFonts w:ascii="Arial Narrow" w:hAnsi="Arial Narrow" w:cs="Times New Roman"/>
                <w:snapToGrid/>
                <w:sz w:val="20"/>
                <w:lang w:val="fr-FR"/>
              </w:rPr>
              <w:t xml:space="preserve"> P.F., Bernstein D., et al</w:t>
            </w:r>
            <w:r w:rsidRPr="009F79B5">
              <w:rPr>
                <w:rFonts w:ascii="Arial Narrow" w:hAnsi="Arial Narrow" w:cs="Times New Roman"/>
                <w:snapToGrid/>
                <w:sz w:val="20"/>
                <w:lang w:val="fr-FR"/>
              </w:rPr>
              <w:t xml:space="preserve"> (2014). </w:t>
            </w:r>
            <w:r w:rsidR="00B421A4" w:rsidRPr="009F79B5">
              <w:rPr>
                <w:rFonts w:ascii="Arial Narrow" w:hAnsi="Arial Narrow" w:cs="Times New Roman"/>
                <w:snapToGrid/>
                <w:sz w:val="20"/>
              </w:rPr>
              <w:t>ABT450/r–</w:t>
            </w:r>
            <w:proofErr w:type="spellStart"/>
            <w:r w:rsidR="00B421A4" w:rsidRPr="009F79B5">
              <w:rPr>
                <w:rFonts w:ascii="Arial Narrow" w:hAnsi="Arial Narrow" w:cs="Times New Roman"/>
                <w:snapToGrid/>
                <w:sz w:val="20"/>
              </w:rPr>
              <w:t>Ombitasvir</w:t>
            </w:r>
            <w:proofErr w:type="spellEnd"/>
            <w:r w:rsidR="00B421A4" w:rsidRPr="009F79B5">
              <w:rPr>
                <w:rFonts w:ascii="Arial Narrow" w:hAnsi="Arial Narrow" w:cs="Times New Roman"/>
                <w:snapToGrid/>
                <w:sz w:val="20"/>
              </w:rPr>
              <w:t xml:space="preserve"> and </w:t>
            </w:r>
            <w:proofErr w:type="spellStart"/>
            <w:r w:rsidR="00B421A4" w:rsidRPr="009F79B5">
              <w:rPr>
                <w:rFonts w:ascii="Arial Narrow" w:hAnsi="Arial Narrow" w:cs="Times New Roman"/>
                <w:snapToGrid/>
                <w:sz w:val="20"/>
              </w:rPr>
              <w:t>Dasabuvir</w:t>
            </w:r>
            <w:proofErr w:type="spellEnd"/>
            <w:r w:rsidR="00B421A4" w:rsidRPr="009F79B5">
              <w:rPr>
                <w:rFonts w:ascii="Arial Narrow" w:hAnsi="Arial Narrow" w:cs="Times New Roman"/>
                <w:snapToGrid/>
                <w:sz w:val="20"/>
              </w:rPr>
              <w:t xml:space="preserve"> with or without Ribavirin for HCV. </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(21):1983-1992.</w:t>
            </w:r>
          </w:p>
        </w:tc>
      </w:tr>
      <w:tr w:rsidR="00B421A4" w:rsidRPr="009F79B5" w:rsidTr="00626918">
        <w:tc>
          <w:tcPr>
            <w:tcW w:w="699" w:type="pct"/>
          </w:tcPr>
          <w:p w:rsidR="00B421A4" w:rsidRPr="009F79B5" w:rsidRDefault="008A32E0"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TURQUOISE </w:t>
            </w:r>
            <w:r w:rsidR="00B421A4" w:rsidRPr="009F79B5">
              <w:rPr>
                <w:rFonts w:ascii="Arial Narrow" w:hAnsi="Arial Narrow" w:cs="Times New Roman"/>
                <w:snapToGrid/>
                <w:sz w:val="20"/>
              </w:rPr>
              <w:t>II</w:t>
            </w:r>
          </w:p>
        </w:tc>
        <w:tc>
          <w:tcPr>
            <w:tcW w:w="2084" w:type="pct"/>
          </w:tcPr>
          <w:p w:rsidR="00B421A4" w:rsidRPr="009F79B5" w:rsidRDefault="00820021" w:rsidP="00820021">
            <w:pPr>
              <w:widowControl/>
              <w:jc w:val="left"/>
              <w:rPr>
                <w:rFonts w:ascii="Arial Narrow" w:hAnsi="Arial Narrow" w:cs="Times New Roman"/>
                <w:snapToGrid/>
                <w:sz w:val="20"/>
              </w:rPr>
            </w:pPr>
            <w:proofErr w:type="spellStart"/>
            <w:r w:rsidRPr="009F79B5">
              <w:rPr>
                <w:rFonts w:ascii="Arial Narrow" w:hAnsi="Arial Narrow" w:cs="Times New Roman"/>
                <w:snapToGrid/>
                <w:sz w:val="20"/>
              </w:rPr>
              <w:t>Poordad</w:t>
            </w:r>
            <w:proofErr w:type="spellEnd"/>
            <w:r w:rsidR="004C6039" w:rsidRPr="009F79B5">
              <w:rPr>
                <w:rFonts w:ascii="Arial Narrow" w:hAnsi="Arial Narrow" w:cs="Times New Roman"/>
                <w:snapToGrid/>
                <w:sz w:val="20"/>
              </w:rPr>
              <w:t xml:space="preserve"> F., </w:t>
            </w:r>
            <w:proofErr w:type="spellStart"/>
            <w:r w:rsidR="004C6039" w:rsidRPr="009F79B5">
              <w:rPr>
                <w:rFonts w:ascii="Arial Narrow" w:hAnsi="Arial Narrow" w:cs="Times New Roman"/>
                <w:snapToGrid/>
                <w:sz w:val="20"/>
              </w:rPr>
              <w:t>Hezode</w:t>
            </w:r>
            <w:proofErr w:type="spellEnd"/>
            <w:r w:rsidR="004C6039" w:rsidRPr="009F79B5">
              <w:rPr>
                <w:rFonts w:ascii="Arial Narrow" w:hAnsi="Arial Narrow" w:cs="Times New Roman"/>
                <w:snapToGrid/>
                <w:sz w:val="20"/>
              </w:rPr>
              <w:t xml:space="preserve"> C. et al.</w:t>
            </w:r>
            <w:r w:rsidRPr="009F79B5">
              <w:rPr>
                <w:rFonts w:ascii="Arial Narrow" w:hAnsi="Arial Narrow" w:cs="Times New Roman"/>
                <w:snapToGrid/>
                <w:sz w:val="20"/>
              </w:rPr>
              <w:t xml:space="preserve"> (2014)</w:t>
            </w:r>
            <w:r w:rsidR="00B421A4" w:rsidRPr="009F79B5">
              <w:rPr>
                <w:rFonts w:ascii="Arial Narrow" w:hAnsi="Arial Narrow" w:cs="Times New Roman"/>
                <w:snapToGrid/>
                <w:sz w:val="20"/>
              </w:rPr>
              <w:t>. ABT450/r–</w:t>
            </w:r>
            <w:proofErr w:type="spellStart"/>
            <w:r w:rsidR="00B421A4" w:rsidRPr="009F79B5">
              <w:rPr>
                <w:rFonts w:ascii="Arial Narrow" w:hAnsi="Arial Narrow" w:cs="Times New Roman"/>
                <w:snapToGrid/>
                <w:sz w:val="20"/>
              </w:rPr>
              <w:t>ombitasvir</w:t>
            </w:r>
            <w:proofErr w:type="spellEnd"/>
            <w:r w:rsidR="00B421A4" w:rsidRPr="009F79B5">
              <w:rPr>
                <w:rFonts w:ascii="Arial Narrow" w:hAnsi="Arial Narrow" w:cs="Times New Roman"/>
                <w:snapToGrid/>
                <w:sz w:val="20"/>
              </w:rPr>
              <w:t xml:space="preserve"> and </w:t>
            </w:r>
            <w:proofErr w:type="spellStart"/>
            <w:r w:rsidR="00B421A4" w:rsidRPr="009F79B5">
              <w:rPr>
                <w:rFonts w:ascii="Arial Narrow" w:hAnsi="Arial Narrow" w:cs="Times New Roman"/>
                <w:snapToGrid/>
                <w:sz w:val="20"/>
              </w:rPr>
              <w:t>dasabuvir</w:t>
            </w:r>
            <w:proofErr w:type="spellEnd"/>
            <w:r w:rsidR="00B421A4" w:rsidRPr="009F79B5">
              <w:rPr>
                <w:rFonts w:ascii="Arial Narrow" w:hAnsi="Arial Narrow" w:cs="Times New Roman"/>
                <w:snapToGrid/>
                <w:sz w:val="20"/>
              </w:rPr>
              <w:t xml:space="preserve"> with ribavirin for hepatitis C with cirrhosis. </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(21):1973-1982.</w:t>
            </w:r>
          </w:p>
        </w:tc>
      </w:tr>
      <w:tr w:rsidR="00B421A4" w:rsidRPr="009F79B5" w:rsidTr="00626918">
        <w:tc>
          <w:tcPr>
            <w:tcW w:w="699" w:type="pct"/>
          </w:tcPr>
          <w:p w:rsidR="00B421A4" w:rsidRPr="009F79B5" w:rsidRDefault="008A32E0" w:rsidP="00626918">
            <w:pPr>
              <w:widowControl/>
              <w:jc w:val="left"/>
              <w:rPr>
                <w:rFonts w:ascii="Arial Narrow" w:hAnsi="Arial Narrow" w:cs="Times New Roman"/>
                <w:snapToGrid/>
                <w:sz w:val="20"/>
              </w:rPr>
            </w:pPr>
            <w:r w:rsidRPr="009F79B5">
              <w:rPr>
                <w:rFonts w:ascii="Arial Narrow" w:hAnsi="Arial Narrow" w:cs="Times New Roman"/>
                <w:snapToGrid/>
                <w:sz w:val="20"/>
              </w:rPr>
              <w:t xml:space="preserve">SAPPHIRE </w:t>
            </w:r>
            <w:r w:rsidR="00B421A4" w:rsidRPr="009F79B5">
              <w:rPr>
                <w:rFonts w:ascii="Arial Narrow" w:hAnsi="Arial Narrow" w:cs="Times New Roman"/>
                <w:snapToGrid/>
                <w:sz w:val="20"/>
              </w:rPr>
              <w:t>I</w:t>
            </w:r>
          </w:p>
        </w:tc>
        <w:tc>
          <w:tcPr>
            <w:tcW w:w="2084" w:type="pct"/>
          </w:tcPr>
          <w:p w:rsidR="00B421A4" w:rsidRPr="009F79B5" w:rsidRDefault="00820021" w:rsidP="00C64EA7">
            <w:pPr>
              <w:widowControl/>
              <w:jc w:val="left"/>
              <w:rPr>
                <w:rFonts w:ascii="Arial Narrow" w:hAnsi="Arial Narrow" w:cs="Times New Roman"/>
                <w:snapToGrid/>
                <w:sz w:val="20"/>
              </w:rPr>
            </w:pPr>
            <w:r w:rsidRPr="009F79B5">
              <w:rPr>
                <w:rFonts w:ascii="Arial Narrow" w:hAnsi="Arial Narrow" w:cs="Times New Roman"/>
                <w:snapToGrid/>
                <w:sz w:val="20"/>
              </w:rPr>
              <w:t>Feld</w:t>
            </w:r>
            <w:r w:rsidR="004C6039" w:rsidRPr="009F79B5">
              <w:rPr>
                <w:rFonts w:ascii="Arial Narrow" w:hAnsi="Arial Narrow" w:cs="Times New Roman"/>
                <w:snapToGrid/>
                <w:sz w:val="20"/>
              </w:rPr>
              <w:t xml:space="preserve"> J.J., </w:t>
            </w:r>
            <w:proofErr w:type="spellStart"/>
            <w:r w:rsidR="004C6039" w:rsidRPr="009F79B5">
              <w:rPr>
                <w:rFonts w:ascii="Arial Narrow" w:hAnsi="Arial Narrow" w:cs="Times New Roman"/>
                <w:snapToGrid/>
                <w:sz w:val="20"/>
              </w:rPr>
              <w:t>Kowdley</w:t>
            </w:r>
            <w:proofErr w:type="spellEnd"/>
            <w:r w:rsidR="004C6039" w:rsidRPr="009F79B5">
              <w:rPr>
                <w:rFonts w:ascii="Arial Narrow" w:hAnsi="Arial Narrow" w:cs="Times New Roman"/>
                <w:snapToGrid/>
                <w:sz w:val="20"/>
              </w:rPr>
              <w:t xml:space="preserve"> K.V.</w:t>
            </w:r>
            <w:r w:rsidRPr="009F79B5">
              <w:rPr>
                <w:rFonts w:ascii="Arial Narrow" w:hAnsi="Arial Narrow" w:cs="Times New Roman"/>
                <w:snapToGrid/>
                <w:sz w:val="20"/>
              </w:rPr>
              <w:t xml:space="preserve"> </w:t>
            </w:r>
            <w:r w:rsidR="004C6039" w:rsidRPr="009F79B5">
              <w:rPr>
                <w:rFonts w:ascii="Arial Narrow" w:hAnsi="Arial Narrow" w:cs="Times New Roman"/>
                <w:snapToGrid/>
                <w:sz w:val="20"/>
              </w:rPr>
              <w:t xml:space="preserve">et al </w:t>
            </w:r>
            <w:r w:rsidRPr="009F79B5">
              <w:rPr>
                <w:rFonts w:ascii="Arial Narrow" w:hAnsi="Arial Narrow" w:cs="Times New Roman"/>
                <w:snapToGrid/>
                <w:sz w:val="20"/>
              </w:rPr>
              <w:t xml:space="preserve">(2014). </w:t>
            </w:r>
            <w:r w:rsidR="00B421A4" w:rsidRPr="009F79B5">
              <w:rPr>
                <w:rFonts w:ascii="Arial Narrow" w:hAnsi="Arial Narrow" w:cs="Times New Roman"/>
                <w:snapToGrid/>
                <w:sz w:val="20"/>
              </w:rPr>
              <w:t xml:space="preserve">Treatment </w:t>
            </w:r>
            <w:r w:rsidR="00B421A4" w:rsidRPr="009F79B5">
              <w:rPr>
                <w:rFonts w:ascii="Arial Narrow" w:hAnsi="Arial Narrow" w:cs="Times New Roman"/>
                <w:snapToGrid/>
                <w:sz w:val="20"/>
              </w:rPr>
              <w:lastRenderedPageBreak/>
              <w:t>of HCV with ABT450/r–</w:t>
            </w:r>
            <w:proofErr w:type="spellStart"/>
            <w:r w:rsidR="00B421A4" w:rsidRPr="009F79B5">
              <w:rPr>
                <w:rFonts w:ascii="Arial Narrow" w:hAnsi="Arial Narrow" w:cs="Times New Roman"/>
                <w:snapToGrid/>
                <w:sz w:val="20"/>
              </w:rPr>
              <w:t>ombitasvir</w:t>
            </w:r>
            <w:proofErr w:type="spellEnd"/>
            <w:r w:rsidR="00B421A4" w:rsidRPr="009F79B5">
              <w:rPr>
                <w:rFonts w:ascii="Arial Narrow" w:hAnsi="Arial Narrow" w:cs="Times New Roman"/>
                <w:snapToGrid/>
                <w:sz w:val="20"/>
              </w:rPr>
              <w:t xml:space="preserve"> and </w:t>
            </w:r>
            <w:proofErr w:type="spellStart"/>
            <w:r w:rsidR="00B421A4" w:rsidRPr="009F79B5">
              <w:rPr>
                <w:rFonts w:ascii="Arial Narrow" w:hAnsi="Arial Narrow" w:cs="Times New Roman"/>
                <w:snapToGrid/>
                <w:sz w:val="20"/>
              </w:rPr>
              <w:t>dasabuvir</w:t>
            </w:r>
            <w:proofErr w:type="spellEnd"/>
            <w:r w:rsidR="00B421A4" w:rsidRPr="009F79B5">
              <w:rPr>
                <w:rFonts w:ascii="Arial Narrow" w:hAnsi="Arial Narrow" w:cs="Times New Roman"/>
                <w:snapToGrid/>
                <w:sz w:val="20"/>
              </w:rPr>
              <w:t xml:space="preserve"> with ribavirin. </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lastRenderedPageBreak/>
              <w:t xml:space="preserve">New England Journal of Medicine (2014); 370 </w:t>
            </w:r>
            <w:r w:rsidRPr="009F79B5">
              <w:rPr>
                <w:rFonts w:ascii="Arial Narrow" w:hAnsi="Arial Narrow" w:cs="Times New Roman"/>
                <w:snapToGrid/>
                <w:sz w:val="20"/>
              </w:rPr>
              <w:lastRenderedPageBreak/>
              <w:t>(17):1594-1603.</w:t>
            </w:r>
          </w:p>
        </w:tc>
      </w:tr>
      <w:tr w:rsidR="00B421A4" w:rsidRPr="009F79B5" w:rsidTr="00626918">
        <w:tc>
          <w:tcPr>
            <w:tcW w:w="699" w:type="pct"/>
          </w:tcPr>
          <w:p w:rsidR="00B421A4" w:rsidRPr="009F79B5" w:rsidRDefault="008A32E0" w:rsidP="00626918">
            <w:pPr>
              <w:widowControl/>
              <w:jc w:val="left"/>
              <w:rPr>
                <w:rFonts w:ascii="Arial Narrow" w:hAnsi="Arial Narrow" w:cs="Times New Roman"/>
                <w:snapToGrid/>
                <w:sz w:val="20"/>
              </w:rPr>
            </w:pPr>
            <w:r w:rsidRPr="009F79B5">
              <w:rPr>
                <w:rFonts w:ascii="Arial Narrow" w:hAnsi="Arial Narrow" w:cs="Times New Roman"/>
                <w:snapToGrid/>
                <w:sz w:val="20"/>
              </w:rPr>
              <w:lastRenderedPageBreak/>
              <w:t xml:space="preserve">SAPPHIRE </w:t>
            </w:r>
            <w:r w:rsidR="00B421A4" w:rsidRPr="009F79B5">
              <w:rPr>
                <w:rFonts w:ascii="Arial Narrow" w:hAnsi="Arial Narrow" w:cs="Times New Roman"/>
                <w:snapToGrid/>
                <w:sz w:val="20"/>
              </w:rPr>
              <w:t>II</w:t>
            </w:r>
          </w:p>
        </w:tc>
        <w:tc>
          <w:tcPr>
            <w:tcW w:w="2084" w:type="pct"/>
          </w:tcPr>
          <w:p w:rsidR="00B421A4" w:rsidRPr="009F79B5" w:rsidRDefault="00820021" w:rsidP="00C64EA7">
            <w:pPr>
              <w:widowControl/>
              <w:jc w:val="left"/>
              <w:rPr>
                <w:rFonts w:ascii="Arial Narrow" w:hAnsi="Arial Narrow" w:cs="Times New Roman"/>
                <w:snapToGrid/>
                <w:sz w:val="20"/>
              </w:rPr>
            </w:pPr>
            <w:proofErr w:type="spellStart"/>
            <w:r w:rsidRPr="009F79B5">
              <w:rPr>
                <w:rFonts w:ascii="Arial Narrow" w:hAnsi="Arial Narrow"/>
                <w:snapToGrid/>
                <w:sz w:val="20"/>
                <w:lang w:val="fr-FR"/>
              </w:rPr>
              <w:t>Zeuzem</w:t>
            </w:r>
            <w:proofErr w:type="spellEnd"/>
            <w:r w:rsidR="004C6039" w:rsidRPr="009F79B5">
              <w:rPr>
                <w:rFonts w:ascii="Arial Narrow" w:hAnsi="Arial Narrow"/>
                <w:snapToGrid/>
                <w:sz w:val="20"/>
                <w:lang w:val="fr-FR"/>
              </w:rPr>
              <w:t xml:space="preserve"> S., </w:t>
            </w:r>
            <w:proofErr w:type="spellStart"/>
            <w:r w:rsidR="004C6039" w:rsidRPr="009F79B5">
              <w:rPr>
                <w:rFonts w:ascii="Arial Narrow" w:hAnsi="Arial Narrow"/>
                <w:snapToGrid/>
                <w:sz w:val="20"/>
                <w:lang w:val="fr-FR"/>
              </w:rPr>
              <w:t>Jacolson</w:t>
            </w:r>
            <w:proofErr w:type="spellEnd"/>
            <w:r w:rsidR="004C6039" w:rsidRPr="009F79B5">
              <w:rPr>
                <w:rFonts w:ascii="Arial Narrow" w:hAnsi="Arial Narrow"/>
                <w:snapToGrid/>
                <w:sz w:val="20"/>
                <w:lang w:val="fr-FR"/>
              </w:rPr>
              <w:t xml:space="preserve"> I.M., et al</w:t>
            </w:r>
            <w:r w:rsidRPr="009F79B5">
              <w:rPr>
                <w:rFonts w:ascii="Arial Narrow" w:hAnsi="Arial Narrow"/>
                <w:snapToGrid/>
                <w:sz w:val="20"/>
                <w:lang w:val="fr-FR"/>
              </w:rPr>
              <w:t xml:space="preserve"> (2014). </w:t>
            </w:r>
            <w:r w:rsidR="00B421A4" w:rsidRPr="009F79B5">
              <w:rPr>
                <w:rFonts w:ascii="Arial Narrow" w:hAnsi="Arial Narrow" w:cs="Times New Roman"/>
                <w:snapToGrid/>
                <w:sz w:val="20"/>
              </w:rPr>
              <w:t>Retreatment of HCV with ABT-450/r-</w:t>
            </w:r>
            <w:proofErr w:type="spellStart"/>
            <w:r w:rsidR="00B421A4" w:rsidRPr="009F79B5">
              <w:rPr>
                <w:rFonts w:ascii="Arial Narrow" w:hAnsi="Arial Narrow" w:cs="Times New Roman"/>
                <w:snapToGrid/>
                <w:sz w:val="20"/>
              </w:rPr>
              <w:t>ombitasvir</w:t>
            </w:r>
            <w:proofErr w:type="spellEnd"/>
            <w:r w:rsidR="00B421A4" w:rsidRPr="009F79B5">
              <w:rPr>
                <w:rFonts w:ascii="Arial Narrow" w:hAnsi="Arial Narrow" w:cs="Times New Roman"/>
                <w:snapToGrid/>
                <w:sz w:val="20"/>
              </w:rPr>
              <w:t xml:space="preserve"> and </w:t>
            </w:r>
            <w:proofErr w:type="spellStart"/>
            <w:r w:rsidR="00B421A4" w:rsidRPr="009F79B5">
              <w:rPr>
                <w:rFonts w:ascii="Arial Narrow" w:hAnsi="Arial Narrow" w:cs="Times New Roman"/>
                <w:snapToGrid/>
                <w:sz w:val="20"/>
              </w:rPr>
              <w:t>dasabuvir</w:t>
            </w:r>
            <w:proofErr w:type="spellEnd"/>
            <w:r w:rsidR="00B421A4" w:rsidRPr="009F79B5">
              <w:rPr>
                <w:rFonts w:ascii="Arial Narrow" w:hAnsi="Arial Narrow" w:cs="Times New Roman"/>
                <w:snapToGrid/>
                <w:sz w:val="20"/>
              </w:rPr>
              <w:t xml:space="preserve"> with ribavirin.</w:t>
            </w:r>
          </w:p>
        </w:tc>
        <w:tc>
          <w:tcPr>
            <w:tcW w:w="2217" w:type="pct"/>
          </w:tcPr>
          <w:p w:rsidR="00B421A4" w:rsidRPr="009F79B5" w:rsidRDefault="00B421A4" w:rsidP="00626918">
            <w:pPr>
              <w:widowControl/>
              <w:jc w:val="left"/>
              <w:rPr>
                <w:rFonts w:ascii="Arial Narrow" w:hAnsi="Arial Narrow" w:cs="Times New Roman"/>
                <w:snapToGrid/>
                <w:sz w:val="20"/>
              </w:rPr>
            </w:pPr>
            <w:r w:rsidRPr="009F79B5">
              <w:rPr>
                <w:rFonts w:ascii="Arial Narrow" w:hAnsi="Arial Narrow" w:cs="Times New Roman"/>
                <w:snapToGrid/>
                <w:sz w:val="20"/>
              </w:rPr>
              <w:t>New England Journal of Medicine (2014); 370 (17): 1604-1614.</w:t>
            </w:r>
          </w:p>
        </w:tc>
      </w:tr>
    </w:tbl>
    <w:p w:rsidR="00B421A4" w:rsidRPr="009F79B5" w:rsidRDefault="00B421A4" w:rsidP="00B421A4">
      <w:pPr>
        <w:pStyle w:val="TableFooter"/>
        <w:ind w:firstLine="720"/>
      </w:pPr>
      <w:r w:rsidRPr="009F79B5">
        <w:t xml:space="preserve">Source: Table Bi.7, pp35-36 Section Bi of the submission; Table Bii.2.4, p101 Section </w:t>
      </w:r>
      <w:proofErr w:type="spellStart"/>
      <w:r w:rsidRPr="009F79B5">
        <w:t>Bii</w:t>
      </w:r>
      <w:proofErr w:type="spellEnd"/>
      <w:r w:rsidRPr="009F79B5">
        <w:t xml:space="preserve"> of the submission</w:t>
      </w:r>
    </w:p>
    <w:p w:rsidR="004B1882" w:rsidRPr="009F79B5" w:rsidRDefault="004B1882">
      <w:pPr>
        <w:widowControl/>
        <w:jc w:val="left"/>
      </w:pPr>
    </w:p>
    <w:p w:rsidR="00B421A4" w:rsidRPr="009F79B5" w:rsidRDefault="00B421A4" w:rsidP="00B421A4">
      <w:pPr>
        <w:pStyle w:val="ListParagraph"/>
        <w:widowControl/>
        <w:numPr>
          <w:ilvl w:val="1"/>
          <w:numId w:val="4"/>
        </w:numPr>
        <w:rPr>
          <w:szCs w:val="22"/>
        </w:rPr>
      </w:pPr>
      <w:r w:rsidRPr="009F79B5">
        <w:rPr>
          <w:szCs w:val="22"/>
        </w:rPr>
        <w:t>The key features of the included evidence are summarised in the table below.</w:t>
      </w:r>
    </w:p>
    <w:p w:rsidR="00B421A4" w:rsidRPr="009F79B5" w:rsidRDefault="00B421A4" w:rsidP="00B421A4">
      <w:pPr>
        <w:widowControl/>
        <w:rPr>
          <w:szCs w:val="22"/>
        </w:rPr>
      </w:pPr>
    </w:p>
    <w:p w:rsidR="00B421A4" w:rsidRPr="009F79B5" w:rsidRDefault="00B421A4" w:rsidP="00B421A4">
      <w:pPr>
        <w:pStyle w:val="TableHeader"/>
        <w:ind w:firstLine="720"/>
      </w:pPr>
      <w:r w:rsidRPr="009F79B5">
        <w:t>Table</w:t>
      </w:r>
      <w:r w:rsidR="00637B64" w:rsidRPr="009F79B5">
        <w:t xml:space="preserve"> 3</w:t>
      </w:r>
      <w:r w:rsidRPr="009F79B5">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3"/>
        <w:gridCol w:w="706"/>
        <w:gridCol w:w="1838"/>
        <w:gridCol w:w="986"/>
        <w:gridCol w:w="1412"/>
        <w:gridCol w:w="1128"/>
        <w:gridCol w:w="1112"/>
      </w:tblGrid>
      <w:tr w:rsidR="00B421A4" w:rsidRPr="009F79B5" w:rsidTr="00626918">
        <w:tc>
          <w:tcPr>
            <w:tcW w:w="697"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Trial</w:t>
            </w:r>
          </w:p>
        </w:tc>
        <w:tc>
          <w:tcPr>
            <w:tcW w:w="423"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N</w:t>
            </w:r>
          </w:p>
        </w:tc>
        <w:tc>
          <w:tcPr>
            <w:tcW w:w="1101"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Design/ duration</w:t>
            </w:r>
          </w:p>
        </w:tc>
        <w:tc>
          <w:tcPr>
            <w:tcW w:w="591" w:type="pct"/>
            <w:shd w:val="clear" w:color="auto" w:fill="auto"/>
            <w:vAlign w:val="center"/>
          </w:tcPr>
          <w:p w:rsidR="00B421A4" w:rsidRPr="009F79B5" w:rsidRDefault="00E31439" w:rsidP="00626918">
            <w:pPr>
              <w:jc w:val="center"/>
              <w:rPr>
                <w:rFonts w:ascii="Arial Narrow" w:hAnsi="Arial Narrow"/>
                <w:b/>
                <w:sz w:val="20"/>
                <w:vertAlign w:val="superscript"/>
                <w:lang w:val="en-US"/>
              </w:rPr>
            </w:pPr>
            <w:r w:rsidRPr="009F79B5">
              <w:rPr>
                <w:rFonts w:ascii="Arial Narrow" w:hAnsi="Arial Narrow"/>
                <w:b/>
                <w:sz w:val="20"/>
                <w:lang w:val="en-US"/>
              </w:rPr>
              <w:t xml:space="preserve">Risk of </w:t>
            </w:r>
            <w:proofErr w:type="spellStart"/>
            <w:r w:rsidRPr="009F79B5">
              <w:rPr>
                <w:rFonts w:ascii="Arial Narrow" w:hAnsi="Arial Narrow"/>
                <w:b/>
                <w:sz w:val="20"/>
                <w:lang w:val="en-US"/>
              </w:rPr>
              <w:t>bias</w:t>
            </w:r>
            <w:r w:rsidR="00FC41EA" w:rsidRPr="009F79B5">
              <w:rPr>
                <w:rFonts w:ascii="Arial Narrow" w:hAnsi="Arial Narrow"/>
                <w:b/>
                <w:sz w:val="20"/>
                <w:vertAlign w:val="superscript"/>
                <w:lang w:val="en-US"/>
              </w:rPr>
              <w:t>a</w:t>
            </w:r>
            <w:proofErr w:type="spellEnd"/>
          </w:p>
        </w:tc>
        <w:tc>
          <w:tcPr>
            <w:tcW w:w="846"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Patient population</w:t>
            </w:r>
          </w:p>
        </w:tc>
        <w:tc>
          <w:tcPr>
            <w:tcW w:w="676"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Outcome</w:t>
            </w:r>
          </w:p>
        </w:tc>
        <w:tc>
          <w:tcPr>
            <w:tcW w:w="666" w:type="pct"/>
            <w:shd w:val="clear" w:color="auto" w:fill="auto"/>
            <w:vAlign w:val="center"/>
          </w:tcPr>
          <w:p w:rsidR="00B421A4" w:rsidRPr="009F79B5" w:rsidRDefault="00B421A4" w:rsidP="00626918">
            <w:pPr>
              <w:jc w:val="center"/>
              <w:rPr>
                <w:rFonts w:ascii="Arial Narrow" w:hAnsi="Arial Narrow"/>
                <w:b/>
                <w:sz w:val="20"/>
                <w:lang w:val="en-US"/>
              </w:rPr>
            </w:pPr>
            <w:r w:rsidRPr="009F79B5">
              <w:rPr>
                <w:rFonts w:ascii="Arial Narrow" w:hAnsi="Arial Narrow"/>
                <w:b/>
                <w:sz w:val="20"/>
                <w:lang w:val="en-US"/>
              </w:rPr>
              <w:t>Use in modelled evaluation</w:t>
            </w:r>
          </w:p>
        </w:tc>
      </w:tr>
      <w:tr w:rsidR="00B421A4" w:rsidRPr="009F79B5" w:rsidTr="00626918">
        <w:tc>
          <w:tcPr>
            <w:tcW w:w="5000" w:type="pct"/>
            <w:gridSpan w:val="7"/>
            <w:shd w:val="clear" w:color="auto" w:fill="auto"/>
            <w:vAlign w:val="center"/>
          </w:tcPr>
          <w:p w:rsidR="00B421A4" w:rsidRPr="009F79B5" w:rsidRDefault="00B421A4" w:rsidP="00626918">
            <w:pPr>
              <w:jc w:val="left"/>
              <w:rPr>
                <w:rFonts w:ascii="Arial Narrow" w:hAnsi="Arial Narrow"/>
                <w:b/>
                <w:sz w:val="20"/>
                <w:lang w:val="en-US"/>
              </w:rPr>
            </w:pPr>
            <w:r w:rsidRPr="009F79B5">
              <w:rPr>
                <w:rFonts w:ascii="Arial Narrow" w:hAnsi="Arial Narrow"/>
                <w:b/>
                <w:sz w:val="20"/>
                <w:lang w:val="en-US"/>
              </w:rPr>
              <w:t>SMF+SOF</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Study 3017</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155</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24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High/unclear</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 non-cirrhotic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Used*</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Study 3018</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103</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24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High/unclear</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 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Used*</w:t>
            </w:r>
          </w:p>
        </w:tc>
      </w:tr>
      <w:tr w:rsidR="00B421A4" w:rsidRPr="009F79B5" w:rsidTr="00626918">
        <w:trPr>
          <w:trHeight w:val="75"/>
        </w:trPr>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Pearlman 2015</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58</w:t>
            </w:r>
            <w:r w:rsidR="00FC41EA" w:rsidRPr="00FB199F">
              <w:rPr>
                <w:rFonts w:ascii="Arial Narrow" w:hAnsi="Arial Narrow" w:cs="Times New Roman"/>
                <w:i/>
                <w:snapToGrid/>
                <w:sz w:val="20"/>
                <w:vertAlign w:val="superscript"/>
              </w:rPr>
              <w:t>b</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 xml:space="preserve">Single arm of R, OL </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12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High/unclear</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GT1a cirrhotic patients</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Not used</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COSMOS</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28</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 xml:space="preserve">Single arm of R, OL </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36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High/unclear</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 both cirrhotic and non-cirrhotic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Used**</w:t>
            </w:r>
          </w:p>
        </w:tc>
      </w:tr>
      <w:tr w:rsidR="00B421A4" w:rsidRPr="009F79B5" w:rsidTr="00626918">
        <w:tc>
          <w:tcPr>
            <w:tcW w:w="5000" w:type="pct"/>
            <w:gridSpan w:val="7"/>
            <w:shd w:val="clear" w:color="auto" w:fill="auto"/>
            <w:vAlign w:val="center"/>
          </w:tcPr>
          <w:p w:rsidR="00B421A4" w:rsidRPr="009F79B5" w:rsidRDefault="00B421A4" w:rsidP="00EA11DE">
            <w:pPr>
              <w:widowControl/>
              <w:jc w:val="left"/>
              <w:rPr>
                <w:rFonts w:ascii="Arial Narrow" w:hAnsi="Arial Narrow" w:cs="Times New Roman"/>
                <w:snapToGrid/>
                <w:sz w:val="20"/>
              </w:rPr>
            </w:pPr>
            <w:proofErr w:type="spellStart"/>
            <w:r w:rsidRPr="009F79B5">
              <w:rPr>
                <w:rFonts w:ascii="Arial Narrow" w:hAnsi="Arial Narrow" w:cs="Times New Roman"/>
                <w:snapToGrid/>
                <w:sz w:val="20"/>
              </w:rPr>
              <w:t>Daclatasvir</w:t>
            </w:r>
            <w:proofErr w:type="spellEnd"/>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Study 4040</w:t>
            </w:r>
          </w:p>
        </w:tc>
        <w:tc>
          <w:tcPr>
            <w:tcW w:w="423" w:type="pct"/>
            <w:shd w:val="clear" w:color="auto" w:fill="auto"/>
            <w:vAlign w:val="center"/>
          </w:tcPr>
          <w:p w:rsidR="00B421A4" w:rsidRPr="009F79B5" w:rsidRDefault="00044A50" w:rsidP="00EA11DE">
            <w:pPr>
              <w:widowControl/>
              <w:jc w:val="center"/>
              <w:rPr>
                <w:rFonts w:ascii="Arial Narrow" w:hAnsi="Arial Narrow" w:cs="Times New Roman"/>
                <w:snapToGrid/>
                <w:sz w:val="20"/>
              </w:rPr>
            </w:pPr>
            <w:r w:rsidRPr="009F79B5">
              <w:rPr>
                <w:rFonts w:ascii="Arial Narrow" w:hAnsi="Arial Narrow" w:cs="Times New Roman"/>
                <w:snapToGrid/>
                <w:sz w:val="20"/>
              </w:rPr>
              <w:t>62</w:t>
            </w:r>
          </w:p>
        </w:tc>
        <w:tc>
          <w:tcPr>
            <w:tcW w:w="1101" w:type="pct"/>
            <w:shd w:val="clear" w:color="auto" w:fill="auto"/>
            <w:vAlign w:val="center"/>
          </w:tcPr>
          <w:p w:rsidR="00B421A4" w:rsidRPr="009F79B5" w:rsidRDefault="006D6D36" w:rsidP="00EA11DE">
            <w:pPr>
              <w:widowControl/>
              <w:jc w:val="center"/>
              <w:rPr>
                <w:rFonts w:ascii="Arial Narrow" w:hAnsi="Arial Narrow" w:cs="Times New Roman"/>
                <w:snapToGrid/>
                <w:sz w:val="20"/>
              </w:rPr>
            </w:pPr>
            <w:r w:rsidRPr="009F79B5">
              <w:rPr>
                <w:rFonts w:ascii="Arial Narrow" w:hAnsi="Arial Narrow" w:cs="Times New Roman"/>
                <w:snapToGrid/>
                <w:sz w:val="20"/>
              </w:rPr>
              <w:t>Two arms</w:t>
            </w:r>
            <w:r w:rsidR="00B421A4" w:rsidRPr="009F79B5">
              <w:rPr>
                <w:rFonts w:ascii="Arial Narrow" w:hAnsi="Arial Narrow" w:cs="Times New Roman"/>
                <w:snapToGrid/>
                <w:sz w:val="20"/>
              </w:rPr>
              <w:t xml:space="preserve">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24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High/unclear</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 non-cirrhotic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5000" w:type="pct"/>
            <w:gridSpan w:val="7"/>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LDV/SOF</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ION-1</w:t>
            </w:r>
          </w:p>
          <w:p w:rsidR="00B421A4" w:rsidRPr="009F79B5" w:rsidRDefault="00B421A4" w:rsidP="00EA11DE">
            <w:pPr>
              <w:widowControl/>
              <w:jc w:val="left"/>
              <w:rPr>
                <w:rFonts w:ascii="Arial Narrow" w:hAnsi="Arial Narrow" w:cs="Times New Roman"/>
                <w:snapToGrid/>
                <w:sz w:val="20"/>
              </w:rPr>
            </w:pPr>
          </w:p>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LDV/SOF 12 weeks</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34</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12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Treatment-naïve 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 xml:space="preserve">ION-3 </w:t>
            </w:r>
          </w:p>
          <w:p w:rsidR="00B421A4" w:rsidRPr="009F79B5" w:rsidRDefault="00B421A4" w:rsidP="00EA11DE">
            <w:pPr>
              <w:widowControl/>
              <w:jc w:val="left"/>
              <w:rPr>
                <w:rFonts w:ascii="Arial Narrow" w:hAnsi="Arial Narrow" w:cs="Times New Roman"/>
                <w:snapToGrid/>
                <w:sz w:val="20"/>
              </w:rPr>
            </w:pPr>
          </w:p>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LDV/SOF 8</w:t>
            </w:r>
            <w:r w:rsidR="00C77AB7" w:rsidRPr="009F79B5">
              <w:rPr>
                <w:rFonts w:ascii="Arial Narrow" w:hAnsi="Arial Narrow" w:cs="Times New Roman"/>
                <w:snapToGrid/>
                <w:sz w:val="20"/>
              </w:rPr>
              <w:t>/12</w:t>
            </w:r>
            <w:r w:rsidRPr="009F79B5">
              <w:rPr>
                <w:rFonts w:ascii="Arial Narrow" w:hAnsi="Arial Narrow" w:cs="Times New Roman"/>
                <w:snapToGrid/>
                <w:sz w:val="20"/>
              </w:rPr>
              <w:t xml:space="preserve"> weeks</w:t>
            </w:r>
          </w:p>
        </w:tc>
        <w:tc>
          <w:tcPr>
            <w:tcW w:w="423" w:type="pct"/>
            <w:shd w:val="clear" w:color="auto" w:fill="auto"/>
            <w:vAlign w:val="center"/>
          </w:tcPr>
          <w:p w:rsidR="00B421A4" w:rsidRPr="009F79B5" w:rsidRDefault="00C77AB7" w:rsidP="00EA11DE">
            <w:pPr>
              <w:widowControl/>
              <w:jc w:val="center"/>
              <w:rPr>
                <w:rFonts w:ascii="Arial Narrow" w:hAnsi="Arial Narrow" w:cs="Times New Roman"/>
                <w:snapToGrid/>
                <w:sz w:val="20"/>
              </w:rPr>
            </w:pPr>
            <w:r w:rsidRPr="009F79B5">
              <w:rPr>
                <w:rFonts w:ascii="Arial Narrow" w:hAnsi="Arial Narrow" w:cs="Times New Roman"/>
                <w:snapToGrid/>
                <w:sz w:val="20"/>
              </w:rPr>
              <w:t>431</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12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Treatment-naïve, non-cirrhotic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ION-2</w:t>
            </w:r>
          </w:p>
          <w:p w:rsidR="00B421A4" w:rsidRPr="009F79B5" w:rsidRDefault="00B421A4" w:rsidP="00EA11DE">
            <w:pPr>
              <w:widowControl/>
              <w:jc w:val="left"/>
              <w:rPr>
                <w:rFonts w:ascii="Arial Narrow" w:hAnsi="Arial Narrow" w:cs="Times New Roman"/>
                <w:snapToGrid/>
                <w:sz w:val="20"/>
              </w:rPr>
            </w:pPr>
          </w:p>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LDV/SOF 12 weeks</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109</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12 weeks post treatment</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Treatment-experienced (both non-cirrhotic and 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5000" w:type="pct"/>
            <w:gridSpan w:val="7"/>
            <w:shd w:val="clear" w:color="auto" w:fill="auto"/>
            <w:vAlign w:val="center"/>
          </w:tcPr>
          <w:p w:rsidR="00B421A4" w:rsidRPr="009F79B5" w:rsidRDefault="00B421A4" w:rsidP="00EA11DE">
            <w:pPr>
              <w:widowControl/>
              <w:jc w:val="left"/>
              <w:rPr>
                <w:rFonts w:ascii="Arial Narrow" w:hAnsi="Arial Narrow" w:cs="Times New Roman"/>
                <w:snapToGrid/>
                <w:sz w:val="20"/>
              </w:rPr>
            </w:pPr>
            <w:proofErr w:type="spellStart"/>
            <w:r w:rsidRPr="009F79B5">
              <w:rPr>
                <w:rFonts w:ascii="Arial Narrow" w:hAnsi="Arial Narrow" w:cs="Times New Roman"/>
                <w:snapToGrid/>
                <w:sz w:val="20"/>
              </w:rPr>
              <w:t>Viekira</w:t>
            </w:r>
            <w:proofErr w:type="spellEnd"/>
            <w:r w:rsidRPr="009F79B5">
              <w:rPr>
                <w:rFonts w:ascii="Arial Narrow" w:hAnsi="Arial Narrow" w:cs="Times New Roman"/>
                <w:snapToGrid/>
                <w:sz w:val="20"/>
              </w:rPr>
              <w:t xml:space="preserve"> PAK/</w:t>
            </w:r>
            <w:proofErr w:type="spellStart"/>
            <w:r w:rsidRPr="009F79B5">
              <w:rPr>
                <w:rFonts w:ascii="Arial Narrow" w:hAnsi="Arial Narrow" w:cs="Times New Roman"/>
                <w:snapToGrid/>
                <w:sz w:val="20"/>
              </w:rPr>
              <w:t>Viekira</w:t>
            </w:r>
            <w:proofErr w:type="spellEnd"/>
            <w:r w:rsidRPr="009F79B5">
              <w:rPr>
                <w:rFonts w:ascii="Arial Narrow" w:hAnsi="Arial Narrow" w:cs="Times New Roman"/>
                <w:snapToGrid/>
                <w:sz w:val="20"/>
              </w:rPr>
              <w:t xml:space="preserve"> PAK-RBV</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Turquoise II</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380</w:t>
            </w:r>
            <w:r w:rsidR="00FC41EA" w:rsidRPr="00FB199F">
              <w:rPr>
                <w:rFonts w:ascii="Arial Narrow" w:hAnsi="Arial Narrow" w:cs="Times New Roman"/>
                <w:snapToGrid/>
                <w:sz w:val="20"/>
                <w:vertAlign w:val="superscript"/>
              </w:rPr>
              <w:t>c</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Treatment-naïve and experienced 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Pearl II</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95</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Single arm of R, OL</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 xml:space="preserve">GT1b treatment-experienced </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Pearl III</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209</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R, DB</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GT1b treatment-naïve non-cirrhotic</w:t>
            </w:r>
          </w:p>
        </w:tc>
        <w:tc>
          <w:tcPr>
            <w:tcW w:w="676" w:type="pct"/>
            <w:shd w:val="clear" w:color="auto" w:fill="auto"/>
            <w:vAlign w:val="center"/>
          </w:tcPr>
          <w:p w:rsidR="00B421A4" w:rsidRPr="009F79B5" w:rsidRDefault="008D5A72"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B421A4" w:rsidRPr="009F79B5" w:rsidTr="00626918">
        <w:tc>
          <w:tcPr>
            <w:tcW w:w="697" w:type="pct"/>
            <w:shd w:val="clear" w:color="auto" w:fill="auto"/>
            <w:vAlign w:val="center"/>
          </w:tcPr>
          <w:p w:rsidR="00B421A4" w:rsidRPr="009F79B5" w:rsidRDefault="00B421A4" w:rsidP="00EA11DE">
            <w:pPr>
              <w:widowControl/>
              <w:jc w:val="left"/>
              <w:rPr>
                <w:rFonts w:ascii="Arial Narrow" w:hAnsi="Arial Narrow" w:cs="Times New Roman"/>
                <w:snapToGrid/>
                <w:sz w:val="20"/>
              </w:rPr>
            </w:pPr>
            <w:r w:rsidRPr="009F79B5">
              <w:rPr>
                <w:rFonts w:ascii="Arial Narrow" w:hAnsi="Arial Narrow" w:cs="Times New Roman"/>
                <w:snapToGrid/>
                <w:sz w:val="20"/>
              </w:rPr>
              <w:t>Pearl IV</w:t>
            </w:r>
          </w:p>
        </w:tc>
        <w:tc>
          <w:tcPr>
            <w:tcW w:w="423"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100</w:t>
            </w:r>
          </w:p>
        </w:tc>
        <w:tc>
          <w:tcPr>
            <w:tcW w:w="110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R, DB</w:t>
            </w:r>
          </w:p>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GT1a treatment-naïve non-cirrhotic</w:t>
            </w:r>
          </w:p>
        </w:tc>
        <w:tc>
          <w:tcPr>
            <w:tcW w:w="67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B421A4" w:rsidRPr="009F79B5" w:rsidRDefault="00B421A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A853AD" w:rsidRPr="009F79B5" w:rsidTr="00A853AD">
        <w:tc>
          <w:tcPr>
            <w:tcW w:w="697" w:type="pct"/>
            <w:shd w:val="clear" w:color="auto" w:fill="auto"/>
            <w:vAlign w:val="center"/>
          </w:tcPr>
          <w:p w:rsidR="00A853AD" w:rsidRPr="009F79B5" w:rsidRDefault="00A853AD" w:rsidP="00EA11DE">
            <w:pPr>
              <w:widowControl/>
              <w:jc w:val="left"/>
              <w:rPr>
                <w:rFonts w:ascii="Arial Narrow" w:hAnsi="Arial Narrow" w:cs="Times New Roman"/>
                <w:snapToGrid/>
                <w:sz w:val="20"/>
              </w:rPr>
            </w:pPr>
            <w:r w:rsidRPr="009F79B5">
              <w:rPr>
                <w:rFonts w:ascii="Arial Narrow" w:hAnsi="Arial Narrow" w:cs="Times New Roman"/>
                <w:snapToGrid/>
                <w:sz w:val="20"/>
              </w:rPr>
              <w:t>Sapphire I</w:t>
            </w:r>
          </w:p>
        </w:tc>
        <w:tc>
          <w:tcPr>
            <w:tcW w:w="423"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473</w:t>
            </w:r>
          </w:p>
        </w:tc>
        <w:tc>
          <w:tcPr>
            <w:tcW w:w="1101"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R, DB</w:t>
            </w:r>
          </w:p>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Treatment-naïve non-cirrhotic</w:t>
            </w:r>
          </w:p>
        </w:tc>
        <w:tc>
          <w:tcPr>
            <w:tcW w:w="676" w:type="pct"/>
            <w:shd w:val="clear" w:color="auto" w:fill="auto"/>
            <w:vAlign w:val="center"/>
          </w:tcPr>
          <w:p w:rsidR="00A853AD" w:rsidRPr="009F79B5" w:rsidRDefault="0081508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A853AD" w:rsidRPr="009F79B5" w:rsidRDefault="0081508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r w:rsidR="00A853AD" w:rsidRPr="009F79B5" w:rsidTr="00A853AD">
        <w:tc>
          <w:tcPr>
            <w:tcW w:w="697" w:type="pct"/>
            <w:shd w:val="clear" w:color="auto" w:fill="auto"/>
            <w:vAlign w:val="center"/>
          </w:tcPr>
          <w:p w:rsidR="00A853AD" w:rsidRPr="009F79B5" w:rsidRDefault="00A853AD" w:rsidP="00EA11DE">
            <w:pPr>
              <w:widowControl/>
              <w:jc w:val="left"/>
              <w:rPr>
                <w:rFonts w:ascii="Arial Narrow" w:hAnsi="Arial Narrow" w:cs="Times New Roman"/>
                <w:snapToGrid/>
                <w:sz w:val="20"/>
              </w:rPr>
            </w:pPr>
            <w:r w:rsidRPr="009F79B5">
              <w:rPr>
                <w:rFonts w:ascii="Arial Narrow" w:hAnsi="Arial Narrow" w:cs="Times New Roman"/>
                <w:snapToGrid/>
                <w:sz w:val="20"/>
              </w:rPr>
              <w:lastRenderedPageBreak/>
              <w:t>Sapphire II</w:t>
            </w:r>
          </w:p>
        </w:tc>
        <w:tc>
          <w:tcPr>
            <w:tcW w:w="423"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297</w:t>
            </w:r>
          </w:p>
        </w:tc>
        <w:tc>
          <w:tcPr>
            <w:tcW w:w="1101"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R, DB</w:t>
            </w:r>
          </w:p>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48 weeks</w:t>
            </w:r>
          </w:p>
        </w:tc>
        <w:tc>
          <w:tcPr>
            <w:tcW w:w="591" w:type="pct"/>
            <w:shd w:val="clear" w:color="auto" w:fill="auto"/>
            <w:vAlign w:val="center"/>
          </w:tcPr>
          <w:p w:rsidR="00A853AD" w:rsidRPr="009F79B5" w:rsidRDefault="00A853AD" w:rsidP="00EA11DE">
            <w:pPr>
              <w:widowControl/>
              <w:jc w:val="center"/>
              <w:rPr>
                <w:rFonts w:ascii="Arial Narrow" w:hAnsi="Arial Narrow" w:cs="Times New Roman"/>
                <w:snapToGrid/>
                <w:sz w:val="20"/>
              </w:rPr>
            </w:pPr>
            <w:r w:rsidRPr="009F79B5">
              <w:rPr>
                <w:rFonts w:ascii="Arial Narrow" w:hAnsi="Arial Narrow" w:cs="Times New Roman"/>
                <w:snapToGrid/>
                <w:sz w:val="20"/>
              </w:rPr>
              <w:t>High/low</w:t>
            </w:r>
          </w:p>
        </w:tc>
        <w:tc>
          <w:tcPr>
            <w:tcW w:w="846" w:type="pct"/>
            <w:shd w:val="clear" w:color="auto" w:fill="auto"/>
            <w:vAlign w:val="center"/>
          </w:tcPr>
          <w:p w:rsidR="00A853AD" w:rsidRPr="009F79B5" w:rsidRDefault="006B5AD3" w:rsidP="00EA11DE">
            <w:pPr>
              <w:widowControl/>
              <w:jc w:val="center"/>
              <w:rPr>
                <w:rFonts w:ascii="Arial Narrow" w:hAnsi="Arial Narrow" w:cs="Times New Roman"/>
                <w:snapToGrid/>
                <w:sz w:val="20"/>
              </w:rPr>
            </w:pPr>
            <w:r w:rsidRPr="009F79B5">
              <w:rPr>
                <w:rFonts w:ascii="Arial Narrow" w:hAnsi="Arial Narrow" w:cs="Times New Roman"/>
                <w:snapToGrid/>
                <w:sz w:val="20"/>
              </w:rPr>
              <w:t>Treatment-experienced non-cirrhotic</w:t>
            </w:r>
          </w:p>
        </w:tc>
        <w:tc>
          <w:tcPr>
            <w:tcW w:w="676" w:type="pct"/>
            <w:shd w:val="clear" w:color="auto" w:fill="auto"/>
            <w:vAlign w:val="center"/>
          </w:tcPr>
          <w:p w:rsidR="00A853AD" w:rsidRPr="009F79B5" w:rsidRDefault="00815084" w:rsidP="00EA11DE">
            <w:pPr>
              <w:widowControl/>
              <w:jc w:val="center"/>
              <w:rPr>
                <w:rFonts w:ascii="Arial Narrow" w:hAnsi="Arial Narrow" w:cs="Times New Roman"/>
                <w:snapToGrid/>
                <w:sz w:val="20"/>
              </w:rPr>
            </w:pPr>
            <w:r w:rsidRPr="009F79B5">
              <w:rPr>
                <w:rFonts w:ascii="Arial Narrow" w:hAnsi="Arial Narrow" w:cs="Times New Roman"/>
                <w:snapToGrid/>
                <w:sz w:val="20"/>
              </w:rPr>
              <w:t>SVR12</w:t>
            </w:r>
          </w:p>
        </w:tc>
        <w:tc>
          <w:tcPr>
            <w:tcW w:w="666" w:type="pct"/>
            <w:shd w:val="clear" w:color="auto" w:fill="auto"/>
            <w:vAlign w:val="center"/>
          </w:tcPr>
          <w:p w:rsidR="00A853AD" w:rsidRPr="009F79B5" w:rsidRDefault="00815084" w:rsidP="00EA11DE">
            <w:pPr>
              <w:widowControl/>
              <w:jc w:val="center"/>
              <w:rPr>
                <w:rFonts w:ascii="Arial Narrow" w:hAnsi="Arial Narrow" w:cs="Times New Roman"/>
                <w:snapToGrid/>
                <w:sz w:val="20"/>
              </w:rPr>
            </w:pPr>
            <w:r w:rsidRPr="009F79B5">
              <w:rPr>
                <w:rFonts w:ascii="Arial Narrow" w:hAnsi="Arial Narrow" w:cs="Times New Roman"/>
                <w:snapToGrid/>
                <w:sz w:val="20"/>
              </w:rPr>
              <w:t>N/A</w:t>
            </w:r>
          </w:p>
        </w:tc>
      </w:tr>
    </w:tbl>
    <w:p w:rsidR="00B421A4" w:rsidRPr="009F79B5" w:rsidRDefault="00B421A4" w:rsidP="00B421A4">
      <w:pPr>
        <w:pStyle w:val="TableFooter"/>
        <w:ind w:firstLine="720"/>
      </w:pPr>
      <w:r w:rsidRPr="009F79B5">
        <w:t>*Used during the evaluation</w:t>
      </w:r>
    </w:p>
    <w:p w:rsidR="00B421A4" w:rsidRPr="009F79B5" w:rsidRDefault="00B421A4" w:rsidP="00B421A4">
      <w:pPr>
        <w:pStyle w:val="TableFooter"/>
        <w:ind w:firstLine="720"/>
      </w:pPr>
      <w:r w:rsidRPr="009F79B5">
        <w:t>**Used in the submission</w:t>
      </w:r>
    </w:p>
    <w:p w:rsidR="00B421A4" w:rsidRPr="009F79B5" w:rsidRDefault="00B421A4" w:rsidP="00B421A4">
      <w:pPr>
        <w:pStyle w:val="TableFooter"/>
        <w:ind w:firstLine="720"/>
      </w:pPr>
      <w:r w:rsidRPr="009F79B5">
        <w:t>DB=double blind; R = randomised; OL=open label;</w:t>
      </w:r>
      <w:r w:rsidRPr="009F79B5">
        <w:rPr>
          <w:sz w:val="20"/>
        </w:rPr>
        <w:t xml:space="preserve"> </w:t>
      </w:r>
      <w:r w:rsidRPr="009F79B5">
        <w:t xml:space="preserve">SVR = sustained </w:t>
      </w:r>
      <w:proofErr w:type="spellStart"/>
      <w:r w:rsidRPr="009F79B5">
        <w:t>virologic</w:t>
      </w:r>
      <w:proofErr w:type="spellEnd"/>
      <w:r w:rsidRPr="009F79B5">
        <w:t xml:space="preserve"> response; N</w:t>
      </w:r>
      <w:r w:rsidR="00540088" w:rsidRPr="009F79B5">
        <w:t>/</w:t>
      </w:r>
      <w:r w:rsidRPr="009F79B5">
        <w:t>A = not applicable.</w:t>
      </w:r>
    </w:p>
    <w:p w:rsidR="00FC41EA" w:rsidRPr="009F79B5" w:rsidRDefault="00FC41EA" w:rsidP="00FC41EA">
      <w:pPr>
        <w:pStyle w:val="TableFooter"/>
        <w:ind w:left="709"/>
      </w:pPr>
      <w:proofErr w:type="gramStart"/>
      <w:r w:rsidRPr="009F79B5">
        <w:rPr>
          <w:vertAlign w:val="superscript"/>
        </w:rPr>
        <w:t>a</w:t>
      </w:r>
      <w:proofErr w:type="gramEnd"/>
      <w:r w:rsidRPr="009F79B5">
        <w:t xml:space="preserve"> </w:t>
      </w:r>
      <w:r w:rsidR="001B7390" w:rsidRPr="009F79B5">
        <w:t>R</w:t>
      </w:r>
      <w:r w:rsidRPr="009F79B5">
        <w:t xml:space="preserve">efers to bias associated with indirect comparison between SMV+SOF and </w:t>
      </w:r>
      <w:r w:rsidR="00390E0C" w:rsidRPr="009F79B5">
        <w:t xml:space="preserve">each interferon-free regimen and between </w:t>
      </w:r>
      <w:r w:rsidR="007C48D0" w:rsidRPr="009F79B5">
        <w:t>each interferon-free regimen</w:t>
      </w:r>
      <w:r w:rsidR="00390E0C" w:rsidRPr="009F79B5">
        <w:t xml:space="preserve"> and </w:t>
      </w:r>
      <w:r w:rsidRPr="009F79B5">
        <w:t>no treatment.</w:t>
      </w:r>
    </w:p>
    <w:p w:rsidR="00B421A4" w:rsidRPr="009F79B5" w:rsidRDefault="00FC41EA" w:rsidP="00B421A4">
      <w:pPr>
        <w:pStyle w:val="TableFooter"/>
        <w:ind w:left="720"/>
      </w:pPr>
      <w:proofErr w:type="gramStart"/>
      <w:r w:rsidRPr="009F79B5">
        <w:rPr>
          <w:vertAlign w:val="superscript"/>
        </w:rPr>
        <w:t>b</w:t>
      </w:r>
      <w:proofErr w:type="gramEnd"/>
      <w:r w:rsidR="001D3890" w:rsidRPr="009F79B5">
        <w:rPr>
          <w:vertAlign w:val="superscript"/>
        </w:rPr>
        <w:t xml:space="preserve"> </w:t>
      </w:r>
      <w:r w:rsidR="00B421A4" w:rsidRPr="009F79B5">
        <w:t>62 patients were randomised to SMV12+SOF12. Four of them (6.5%) could not get third-party payer approval for their medication and were withdrawn from the trial.</w:t>
      </w:r>
    </w:p>
    <w:p w:rsidR="00FC3A82" w:rsidRPr="009F79B5" w:rsidRDefault="00FC41EA" w:rsidP="00B421A4">
      <w:pPr>
        <w:pStyle w:val="TableFooter"/>
        <w:ind w:left="720"/>
      </w:pPr>
      <w:proofErr w:type="gramStart"/>
      <w:r w:rsidRPr="009F79B5">
        <w:rPr>
          <w:vertAlign w:val="superscript"/>
        </w:rPr>
        <w:t>c</w:t>
      </w:r>
      <w:proofErr w:type="gramEnd"/>
      <w:r w:rsidR="00FC3A82" w:rsidRPr="009F79B5">
        <w:t xml:space="preserve"> </w:t>
      </w:r>
      <w:r w:rsidR="00674DD2" w:rsidRPr="009F79B5">
        <w:t>208 patients were assigned to a 12 week regimen and 172 patients to a 24 week regimen.</w:t>
      </w:r>
    </w:p>
    <w:p w:rsidR="00B421A4" w:rsidRPr="009F79B5" w:rsidRDefault="00B421A4" w:rsidP="00B421A4">
      <w:pPr>
        <w:pStyle w:val="TableFooter"/>
        <w:ind w:firstLine="720"/>
        <w:rPr>
          <w:i/>
        </w:rPr>
      </w:pPr>
      <w:r w:rsidRPr="009F79B5">
        <w:rPr>
          <w:i/>
        </w:rPr>
        <w:t>Source: compiled during the evaluation</w:t>
      </w:r>
    </w:p>
    <w:p w:rsidR="00B421A4" w:rsidRPr="009F79B5" w:rsidRDefault="00B421A4" w:rsidP="00B421A4">
      <w:pPr>
        <w:rPr>
          <w:szCs w:val="22"/>
        </w:rPr>
      </w:pPr>
    </w:p>
    <w:p w:rsidR="00B421A4" w:rsidRPr="009F79B5" w:rsidRDefault="00B421A4" w:rsidP="00B421A4">
      <w:pPr>
        <w:pStyle w:val="Heading2"/>
        <w:rPr>
          <w:i/>
        </w:rPr>
      </w:pPr>
      <w:bookmarkStart w:id="9" w:name="_Toc419380197"/>
      <w:r w:rsidRPr="009F79B5">
        <w:rPr>
          <w:i/>
        </w:rPr>
        <w:t>Comparative effectiveness</w:t>
      </w:r>
      <w:bookmarkEnd w:id="9"/>
    </w:p>
    <w:p w:rsidR="00B421A4" w:rsidRPr="009F79B5" w:rsidRDefault="00B421A4" w:rsidP="00B421A4">
      <w:pPr>
        <w:rPr>
          <w:szCs w:val="22"/>
        </w:rPr>
      </w:pPr>
    </w:p>
    <w:p w:rsidR="00B421A4" w:rsidRPr="009F79B5" w:rsidRDefault="00EA11DE" w:rsidP="00B421A4">
      <w:pPr>
        <w:pStyle w:val="ListParagraph"/>
        <w:widowControl/>
        <w:numPr>
          <w:ilvl w:val="1"/>
          <w:numId w:val="4"/>
        </w:numPr>
        <w:rPr>
          <w:szCs w:val="22"/>
        </w:rPr>
      </w:pPr>
      <w:r w:rsidRPr="009F79B5">
        <w:rPr>
          <w:szCs w:val="22"/>
        </w:rPr>
        <w:t>The table</w:t>
      </w:r>
      <w:r w:rsidR="00B421A4" w:rsidRPr="009F79B5">
        <w:rPr>
          <w:szCs w:val="22"/>
        </w:rPr>
        <w:t xml:space="preserve"> below summarises the results for the primary outcome, </w:t>
      </w:r>
      <w:r w:rsidR="004E1CDD" w:rsidRPr="009F79B5">
        <w:rPr>
          <w:szCs w:val="22"/>
        </w:rPr>
        <w:t xml:space="preserve">sustained </w:t>
      </w:r>
      <w:proofErr w:type="spellStart"/>
      <w:r w:rsidR="004E1CDD" w:rsidRPr="009F79B5">
        <w:rPr>
          <w:szCs w:val="22"/>
        </w:rPr>
        <w:t>virologic</w:t>
      </w:r>
      <w:proofErr w:type="spellEnd"/>
      <w:r w:rsidR="004E1CDD" w:rsidRPr="009F79B5">
        <w:rPr>
          <w:szCs w:val="22"/>
        </w:rPr>
        <w:t xml:space="preserve"> response </w:t>
      </w:r>
      <w:r w:rsidR="006C1D27" w:rsidRPr="009F79B5">
        <w:rPr>
          <w:szCs w:val="22"/>
        </w:rPr>
        <w:t>12 weeks after end of treatment</w:t>
      </w:r>
      <w:r w:rsidR="004E1CDD" w:rsidRPr="009F79B5">
        <w:rPr>
          <w:szCs w:val="22"/>
        </w:rPr>
        <w:t xml:space="preserve"> (</w:t>
      </w:r>
      <w:r w:rsidR="00B421A4" w:rsidRPr="009F79B5">
        <w:rPr>
          <w:szCs w:val="22"/>
        </w:rPr>
        <w:t>SVR12</w:t>
      </w:r>
      <w:r w:rsidR="004E1CDD" w:rsidRPr="009F79B5">
        <w:rPr>
          <w:szCs w:val="22"/>
        </w:rPr>
        <w:t>)</w:t>
      </w:r>
      <w:r w:rsidR="00B421A4" w:rsidRPr="009F79B5">
        <w:rPr>
          <w:szCs w:val="22"/>
        </w:rPr>
        <w:t xml:space="preserve">, for the SMV12+SOF12 treatment arm </w:t>
      </w:r>
      <w:r w:rsidR="000329DC" w:rsidRPr="009F79B5">
        <w:rPr>
          <w:szCs w:val="22"/>
        </w:rPr>
        <w:t>in</w:t>
      </w:r>
      <w:r w:rsidR="00B421A4" w:rsidRPr="009F79B5">
        <w:rPr>
          <w:szCs w:val="22"/>
        </w:rPr>
        <w:t xml:space="preserve"> each included study.</w:t>
      </w:r>
    </w:p>
    <w:p w:rsidR="00E87AA7" w:rsidRPr="009F79B5" w:rsidRDefault="00E87AA7">
      <w:pPr>
        <w:widowControl/>
        <w:jc w:val="left"/>
        <w:rPr>
          <w:szCs w:val="22"/>
        </w:rPr>
      </w:pPr>
    </w:p>
    <w:p w:rsidR="00B421A4" w:rsidRPr="009F79B5" w:rsidRDefault="00B421A4" w:rsidP="00B421A4">
      <w:pPr>
        <w:pStyle w:val="TableHeader"/>
        <w:ind w:firstLine="720"/>
      </w:pPr>
      <w:r w:rsidRPr="009F79B5">
        <w:t xml:space="preserve">Table </w:t>
      </w:r>
      <w:r w:rsidR="00637B64" w:rsidRPr="009F79B5">
        <w:t>4</w:t>
      </w:r>
      <w:r w:rsidRPr="009F79B5">
        <w:t xml:space="preserve">: Results of SVR12 in the SMV12+SOF12 treatment arm across the studies </w:t>
      </w:r>
    </w:p>
    <w:tbl>
      <w:tblPr>
        <w:tblStyle w:val="TableGrid"/>
        <w:tblW w:w="0" w:type="auto"/>
        <w:tblInd w:w="850" w:type="dxa"/>
        <w:tblLook w:val="04A0" w:firstRow="1" w:lastRow="0" w:firstColumn="1" w:lastColumn="0" w:noHBand="0" w:noVBand="1"/>
        <w:tblCaption w:val=" "/>
      </w:tblPr>
      <w:tblGrid>
        <w:gridCol w:w="1174"/>
        <w:gridCol w:w="1801"/>
        <w:gridCol w:w="1801"/>
        <w:gridCol w:w="1808"/>
        <w:gridCol w:w="1808"/>
      </w:tblGrid>
      <w:tr w:rsidR="00B421A4" w:rsidRPr="009F79B5" w:rsidTr="000E4400">
        <w:trPr>
          <w:tblHeader/>
        </w:trPr>
        <w:tc>
          <w:tcPr>
            <w:tcW w:w="1174" w:type="dxa"/>
            <w:tcBorders>
              <w:bottom w:val="double" w:sz="4" w:space="0" w:color="auto"/>
            </w:tcBorders>
          </w:tcPr>
          <w:p w:rsidR="00B421A4" w:rsidRPr="009F79B5" w:rsidRDefault="00B421A4" w:rsidP="00626918">
            <w:pPr>
              <w:pStyle w:val="Tabletext"/>
              <w:rPr>
                <w:b/>
              </w:rPr>
            </w:pPr>
            <w:r w:rsidRPr="009F79B5">
              <w:rPr>
                <w:b/>
              </w:rPr>
              <w:t>Patient subgroup</w:t>
            </w:r>
          </w:p>
        </w:tc>
        <w:tc>
          <w:tcPr>
            <w:tcW w:w="1801" w:type="dxa"/>
            <w:tcBorders>
              <w:bottom w:val="double" w:sz="4" w:space="0" w:color="auto"/>
            </w:tcBorders>
          </w:tcPr>
          <w:p w:rsidR="00B421A4" w:rsidRPr="009F79B5" w:rsidRDefault="00B421A4" w:rsidP="00626918">
            <w:pPr>
              <w:pStyle w:val="Tabletext"/>
              <w:jc w:val="center"/>
              <w:rPr>
                <w:b/>
                <w:vertAlign w:val="superscript"/>
              </w:rPr>
            </w:pPr>
            <w:r w:rsidRPr="009F79B5">
              <w:rPr>
                <w:b/>
              </w:rPr>
              <w:t>Study 3017</w:t>
            </w:r>
            <w:r w:rsidRPr="009F79B5">
              <w:rPr>
                <w:b/>
                <w:vertAlign w:val="superscript"/>
              </w:rPr>
              <w:t>b</w:t>
            </w:r>
          </w:p>
          <w:p w:rsidR="00B421A4" w:rsidRPr="009F79B5" w:rsidRDefault="00B421A4" w:rsidP="00626918">
            <w:pPr>
              <w:ind w:right="-108"/>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p w:rsidR="00B421A4" w:rsidRPr="009F79B5" w:rsidRDefault="00B421A4" w:rsidP="00626918">
            <w:pPr>
              <w:pStyle w:val="Tabletext"/>
              <w:jc w:val="center"/>
              <w:rPr>
                <w:b/>
              </w:rPr>
            </w:pPr>
            <w:r w:rsidRPr="009F79B5">
              <w:rPr>
                <w:b/>
              </w:rPr>
              <w:t>[95% CI]</w:t>
            </w:r>
          </w:p>
        </w:tc>
        <w:tc>
          <w:tcPr>
            <w:tcW w:w="1801" w:type="dxa"/>
            <w:tcBorders>
              <w:bottom w:val="double" w:sz="4" w:space="0" w:color="auto"/>
            </w:tcBorders>
          </w:tcPr>
          <w:p w:rsidR="00B421A4" w:rsidRPr="009F79B5" w:rsidRDefault="00B421A4" w:rsidP="00626918">
            <w:pPr>
              <w:pStyle w:val="Tabletext"/>
              <w:jc w:val="center"/>
              <w:rPr>
                <w:b/>
                <w:vertAlign w:val="superscript"/>
              </w:rPr>
            </w:pPr>
            <w:r w:rsidRPr="009F79B5">
              <w:rPr>
                <w:b/>
              </w:rPr>
              <w:t>Study 3018</w:t>
            </w:r>
            <w:r w:rsidRPr="009F79B5">
              <w:rPr>
                <w:b/>
                <w:vertAlign w:val="superscript"/>
              </w:rPr>
              <w:t>c,d</w:t>
            </w:r>
          </w:p>
          <w:p w:rsidR="00B421A4" w:rsidRPr="009F79B5" w:rsidRDefault="00B421A4" w:rsidP="00626918">
            <w:pPr>
              <w:ind w:right="-108"/>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p w:rsidR="00B421A4" w:rsidRPr="009F79B5" w:rsidRDefault="00B421A4" w:rsidP="00626918">
            <w:pPr>
              <w:pStyle w:val="Tabletext"/>
              <w:jc w:val="center"/>
              <w:rPr>
                <w:b/>
              </w:rPr>
            </w:pPr>
            <w:r w:rsidRPr="009F79B5">
              <w:rPr>
                <w:b/>
              </w:rPr>
              <w:t>[95% CI]</w:t>
            </w:r>
          </w:p>
        </w:tc>
        <w:tc>
          <w:tcPr>
            <w:tcW w:w="1808" w:type="dxa"/>
            <w:tcBorders>
              <w:bottom w:val="double" w:sz="4" w:space="0" w:color="auto"/>
            </w:tcBorders>
          </w:tcPr>
          <w:p w:rsidR="00B421A4" w:rsidRPr="009F79B5" w:rsidRDefault="00B421A4" w:rsidP="00626918">
            <w:pPr>
              <w:pStyle w:val="Tabletext"/>
              <w:jc w:val="center"/>
              <w:rPr>
                <w:b/>
                <w:vertAlign w:val="superscript"/>
              </w:rPr>
            </w:pPr>
            <w:r w:rsidRPr="009F79B5">
              <w:rPr>
                <w:b/>
              </w:rPr>
              <w:t>Pearlman 2015</w:t>
            </w:r>
            <w:r w:rsidRPr="009F79B5">
              <w:rPr>
                <w:b/>
                <w:vertAlign w:val="superscript"/>
              </w:rPr>
              <w:t>a</w:t>
            </w:r>
          </w:p>
          <w:p w:rsidR="00B421A4" w:rsidRPr="009F79B5" w:rsidRDefault="00B421A4" w:rsidP="00626918">
            <w:pPr>
              <w:ind w:right="-108"/>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p w:rsidR="00B421A4" w:rsidRPr="009F79B5" w:rsidRDefault="00B421A4" w:rsidP="00626918">
            <w:pPr>
              <w:pStyle w:val="Tabletext"/>
              <w:jc w:val="center"/>
              <w:rPr>
                <w:b/>
              </w:rPr>
            </w:pPr>
            <w:r w:rsidRPr="009F79B5">
              <w:rPr>
                <w:b/>
              </w:rPr>
              <w:t>[95% CI]</w:t>
            </w:r>
          </w:p>
        </w:tc>
        <w:tc>
          <w:tcPr>
            <w:tcW w:w="1808" w:type="dxa"/>
            <w:tcBorders>
              <w:bottom w:val="double" w:sz="4" w:space="0" w:color="auto"/>
            </w:tcBorders>
          </w:tcPr>
          <w:p w:rsidR="00B421A4" w:rsidRPr="009F79B5" w:rsidRDefault="00B421A4" w:rsidP="00626918">
            <w:pPr>
              <w:pStyle w:val="Tabletext"/>
              <w:jc w:val="center"/>
              <w:rPr>
                <w:b/>
                <w:vertAlign w:val="superscript"/>
              </w:rPr>
            </w:pPr>
            <w:r w:rsidRPr="009F79B5">
              <w:rPr>
                <w:b/>
              </w:rPr>
              <w:t>COSMOS</w:t>
            </w:r>
          </w:p>
          <w:p w:rsidR="00B421A4" w:rsidRPr="009F79B5" w:rsidRDefault="00B421A4" w:rsidP="00626918">
            <w:pPr>
              <w:ind w:right="-108"/>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p w:rsidR="00B421A4" w:rsidRPr="009F79B5" w:rsidRDefault="00B421A4" w:rsidP="00626918">
            <w:pPr>
              <w:pStyle w:val="Tabletext"/>
              <w:jc w:val="center"/>
              <w:rPr>
                <w:b/>
              </w:rPr>
            </w:pPr>
            <w:r w:rsidRPr="009F79B5">
              <w:rPr>
                <w:b/>
              </w:rPr>
              <w:t>[95% CI]</w:t>
            </w:r>
          </w:p>
        </w:tc>
      </w:tr>
      <w:tr w:rsidR="00B421A4" w:rsidRPr="009F79B5" w:rsidTr="00626918">
        <w:tc>
          <w:tcPr>
            <w:tcW w:w="1174" w:type="dxa"/>
            <w:tcBorders>
              <w:top w:val="double" w:sz="4" w:space="0" w:color="auto"/>
            </w:tcBorders>
          </w:tcPr>
          <w:p w:rsidR="00B421A4" w:rsidRPr="009F79B5" w:rsidRDefault="00B421A4" w:rsidP="00626918">
            <w:pPr>
              <w:pStyle w:val="Tabletext"/>
              <w:rPr>
                <w:b/>
              </w:rPr>
            </w:pPr>
            <w:r w:rsidRPr="009F79B5">
              <w:rPr>
                <w:b/>
              </w:rPr>
              <w:t>Treatment-</w:t>
            </w:r>
            <w:r w:rsidR="00540157" w:rsidRPr="009F79B5">
              <w:rPr>
                <w:b/>
              </w:rPr>
              <w:t>naïve</w:t>
            </w:r>
          </w:p>
        </w:tc>
        <w:tc>
          <w:tcPr>
            <w:tcW w:w="1801" w:type="dxa"/>
            <w:tcBorders>
              <w:top w:val="double" w:sz="4" w:space="0" w:color="auto"/>
            </w:tcBorders>
          </w:tcPr>
          <w:p w:rsidR="00B421A4" w:rsidRPr="009F79B5" w:rsidRDefault="00B421A4" w:rsidP="00626918">
            <w:pPr>
              <w:pStyle w:val="Tabletext"/>
              <w:jc w:val="center"/>
            </w:pPr>
            <w:r w:rsidRPr="009F79B5">
              <w:t>112/115 (97.4%)</w:t>
            </w:r>
          </w:p>
          <w:p w:rsidR="00B421A4" w:rsidRPr="009F79B5" w:rsidRDefault="00B421A4" w:rsidP="00626918">
            <w:pPr>
              <w:pStyle w:val="Tabletext"/>
              <w:jc w:val="center"/>
            </w:pPr>
            <w:r w:rsidRPr="009F79B5">
              <w:t>[</w:t>
            </w:r>
            <w:r w:rsidR="00BD7647">
              <w:rPr>
                <w:noProof/>
                <w:color w:val="000000"/>
                <w:highlight w:val="black"/>
              </w:rPr>
              <w:t>''''''''''</w:t>
            </w:r>
            <w:r w:rsidRPr="00C21E78">
              <w:t xml:space="preserve">%, </w:t>
            </w:r>
            <w:r w:rsidR="00BD7647">
              <w:rPr>
                <w:noProof/>
                <w:color w:val="000000"/>
                <w:highlight w:val="black"/>
              </w:rPr>
              <w:t>''''''''''</w:t>
            </w:r>
            <w:r w:rsidRPr="00C21E78">
              <w:t>%]</w:t>
            </w:r>
          </w:p>
        </w:tc>
        <w:tc>
          <w:tcPr>
            <w:tcW w:w="1801" w:type="dxa"/>
            <w:tcBorders>
              <w:top w:val="double" w:sz="4" w:space="0" w:color="auto"/>
            </w:tcBorders>
          </w:tcPr>
          <w:p w:rsidR="00B421A4" w:rsidRPr="009F79B5" w:rsidRDefault="00B421A4" w:rsidP="00626918">
            <w:pPr>
              <w:pStyle w:val="Tabletext"/>
              <w:jc w:val="center"/>
            </w:pPr>
            <w:r w:rsidRPr="009F79B5">
              <w:t>44/50 (88.0%)</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Borders>
              <w:top w:val="double" w:sz="4" w:space="0" w:color="auto"/>
            </w:tcBorders>
          </w:tcPr>
          <w:p w:rsidR="00B421A4" w:rsidRPr="009F79B5" w:rsidRDefault="00B421A4" w:rsidP="00626918">
            <w:pPr>
              <w:pStyle w:val="Tabletext"/>
              <w:jc w:val="center"/>
            </w:pPr>
            <w:r w:rsidRPr="009F79B5">
              <w:t>21/22 (95.5%)</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Borders>
              <w:top w:val="double" w:sz="4" w:space="0" w:color="auto"/>
            </w:tcBorders>
          </w:tcPr>
          <w:p w:rsidR="00B421A4" w:rsidRPr="009F79B5" w:rsidRDefault="00B421A4" w:rsidP="00626918">
            <w:pPr>
              <w:pStyle w:val="Tabletext"/>
              <w:jc w:val="center"/>
              <w:rPr>
                <w:vertAlign w:val="superscript"/>
              </w:rPr>
            </w:pPr>
            <w:r w:rsidRPr="009F79B5">
              <w:t>6/7 (85.7%)</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r>
      <w:tr w:rsidR="00B421A4" w:rsidRPr="009F79B5" w:rsidTr="00626918">
        <w:tc>
          <w:tcPr>
            <w:tcW w:w="1174" w:type="dxa"/>
            <w:tcBorders>
              <w:bottom w:val="single" w:sz="4" w:space="0" w:color="auto"/>
            </w:tcBorders>
          </w:tcPr>
          <w:p w:rsidR="00B421A4" w:rsidRPr="009F79B5" w:rsidRDefault="00B421A4" w:rsidP="00626918">
            <w:pPr>
              <w:pStyle w:val="Tabletext"/>
              <w:ind w:left="142"/>
            </w:pPr>
            <w:r w:rsidRPr="009F79B5">
              <w:t>Non-cirrhotic</w:t>
            </w:r>
          </w:p>
        </w:tc>
        <w:tc>
          <w:tcPr>
            <w:tcW w:w="1801" w:type="dxa"/>
            <w:tcBorders>
              <w:bottom w:val="single" w:sz="4" w:space="0" w:color="auto"/>
            </w:tcBorders>
          </w:tcPr>
          <w:p w:rsidR="00B421A4" w:rsidRPr="009F79B5" w:rsidRDefault="00B421A4" w:rsidP="00626918">
            <w:pPr>
              <w:pStyle w:val="Tabletext"/>
              <w:jc w:val="center"/>
            </w:pPr>
            <w:r w:rsidRPr="009F79B5">
              <w:t>112/115 (97.4%)</w:t>
            </w:r>
          </w:p>
        </w:tc>
        <w:tc>
          <w:tcPr>
            <w:tcW w:w="1801" w:type="dxa"/>
            <w:tcBorders>
              <w:bottom w:val="single" w:sz="4" w:space="0" w:color="auto"/>
            </w:tcBorders>
          </w:tcPr>
          <w:p w:rsidR="00B421A4" w:rsidRPr="009F79B5" w:rsidRDefault="00B421A4" w:rsidP="00626918">
            <w:pPr>
              <w:pStyle w:val="Tabletext"/>
              <w:jc w:val="center"/>
            </w:pPr>
            <w:r w:rsidRPr="009F79B5">
              <w:t>-</w:t>
            </w:r>
          </w:p>
        </w:tc>
        <w:tc>
          <w:tcPr>
            <w:tcW w:w="1808" w:type="dxa"/>
            <w:tcBorders>
              <w:bottom w:val="single" w:sz="4" w:space="0" w:color="auto"/>
            </w:tcBorders>
          </w:tcPr>
          <w:p w:rsidR="00B421A4" w:rsidRPr="009F79B5" w:rsidRDefault="00B421A4" w:rsidP="00626918">
            <w:pPr>
              <w:pStyle w:val="Tabletext"/>
              <w:jc w:val="center"/>
            </w:pPr>
            <w:r w:rsidRPr="009F79B5">
              <w:t>-</w:t>
            </w:r>
          </w:p>
        </w:tc>
        <w:tc>
          <w:tcPr>
            <w:tcW w:w="1808" w:type="dxa"/>
            <w:tcBorders>
              <w:bottom w:val="single" w:sz="4" w:space="0" w:color="auto"/>
            </w:tcBorders>
          </w:tcPr>
          <w:p w:rsidR="00B421A4" w:rsidRPr="009F79B5" w:rsidRDefault="00B421A4" w:rsidP="00626918">
            <w:pPr>
              <w:pStyle w:val="Tabletext"/>
              <w:jc w:val="center"/>
            </w:pPr>
            <w:r w:rsidRPr="009F79B5">
              <w:t>4/4 (100%)</w:t>
            </w:r>
          </w:p>
        </w:tc>
      </w:tr>
      <w:tr w:rsidR="00B421A4" w:rsidRPr="009F79B5" w:rsidTr="00626918">
        <w:tc>
          <w:tcPr>
            <w:tcW w:w="1174" w:type="dxa"/>
            <w:tcBorders>
              <w:bottom w:val="double" w:sz="4" w:space="0" w:color="auto"/>
            </w:tcBorders>
          </w:tcPr>
          <w:p w:rsidR="00B421A4" w:rsidRPr="009F79B5" w:rsidRDefault="00B421A4" w:rsidP="00626918">
            <w:pPr>
              <w:pStyle w:val="Tabletext"/>
              <w:ind w:left="142"/>
            </w:pPr>
            <w:r w:rsidRPr="009F79B5">
              <w:t>Cirrhotic</w:t>
            </w:r>
          </w:p>
        </w:tc>
        <w:tc>
          <w:tcPr>
            <w:tcW w:w="1801" w:type="dxa"/>
            <w:tcBorders>
              <w:bottom w:val="double" w:sz="4" w:space="0" w:color="auto"/>
            </w:tcBorders>
          </w:tcPr>
          <w:p w:rsidR="00B421A4" w:rsidRPr="009F79B5" w:rsidRDefault="00B421A4" w:rsidP="00626918">
            <w:pPr>
              <w:pStyle w:val="Tabletext"/>
              <w:jc w:val="center"/>
            </w:pPr>
            <w:r w:rsidRPr="009F79B5">
              <w:t>-</w:t>
            </w:r>
          </w:p>
        </w:tc>
        <w:tc>
          <w:tcPr>
            <w:tcW w:w="1801" w:type="dxa"/>
            <w:tcBorders>
              <w:bottom w:val="double" w:sz="4" w:space="0" w:color="auto"/>
            </w:tcBorders>
          </w:tcPr>
          <w:p w:rsidR="00B421A4" w:rsidRPr="009F79B5" w:rsidRDefault="00B421A4" w:rsidP="00626918">
            <w:pPr>
              <w:pStyle w:val="Tabletext"/>
              <w:jc w:val="center"/>
            </w:pPr>
            <w:r w:rsidRPr="009F79B5">
              <w:t>44/50 (88.0%)</w:t>
            </w:r>
          </w:p>
        </w:tc>
        <w:tc>
          <w:tcPr>
            <w:tcW w:w="1808" w:type="dxa"/>
            <w:tcBorders>
              <w:bottom w:val="double" w:sz="4" w:space="0" w:color="auto"/>
            </w:tcBorders>
          </w:tcPr>
          <w:p w:rsidR="00B421A4" w:rsidRPr="009F79B5" w:rsidRDefault="00B421A4" w:rsidP="00626918">
            <w:pPr>
              <w:pStyle w:val="Tabletext"/>
              <w:jc w:val="center"/>
            </w:pPr>
            <w:r w:rsidRPr="009F79B5">
              <w:t>21/22 (95.5%)</w:t>
            </w:r>
          </w:p>
        </w:tc>
        <w:tc>
          <w:tcPr>
            <w:tcW w:w="1808" w:type="dxa"/>
            <w:tcBorders>
              <w:bottom w:val="double" w:sz="4" w:space="0" w:color="auto"/>
            </w:tcBorders>
          </w:tcPr>
          <w:p w:rsidR="00B421A4" w:rsidRPr="009F79B5" w:rsidRDefault="00B421A4" w:rsidP="00626918">
            <w:pPr>
              <w:pStyle w:val="Tabletext"/>
              <w:jc w:val="center"/>
            </w:pPr>
            <w:r w:rsidRPr="009F79B5">
              <w:t>2/3 (66.7%)</w:t>
            </w:r>
          </w:p>
        </w:tc>
      </w:tr>
      <w:tr w:rsidR="00B421A4" w:rsidRPr="009F79B5" w:rsidTr="00626918">
        <w:tc>
          <w:tcPr>
            <w:tcW w:w="1174" w:type="dxa"/>
            <w:tcBorders>
              <w:top w:val="double" w:sz="4" w:space="0" w:color="auto"/>
            </w:tcBorders>
          </w:tcPr>
          <w:p w:rsidR="00B421A4" w:rsidRPr="009F79B5" w:rsidRDefault="00B421A4" w:rsidP="00626918">
            <w:pPr>
              <w:pStyle w:val="Tabletext"/>
              <w:rPr>
                <w:b/>
              </w:rPr>
            </w:pPr>
            <w:r w:rsidRPr="009F79B5">
              <w:rPr>
                <w:b/>
              </w:rPr>
              <w:t>Treatment-experienced</w:t>
            </w:r>
          </w:p>
        </w:tc>
        <w:tc>
          <w:tcPr>
            <w:tcW w:w="1801" w:type="dxa"/>
            <w:tcBorders>
              <w:top w:val="double" w:sz="4" w:space="0" w:color="auto"/>
            </w:tcBorders>
          </w:tcPr>
          <w:p w:rsidR="00B421A4" w:rsidRPr="009F79B5" w:rsidRDefault="00B421A4" w:rsidP="00626918">
            <w:pPr>
              <w:pStyle w:val="Tabletext"/>
              <w:jc w:val="center"/>
            </w:pPr>
            <w:r w:rsidRPr="009F79B5">
              <w:t>38/40 (95.0%)</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1" w:type="dxa"/>
            <w:tcBorders>
              <w:top w:val="double" w:sz="4" w:space="0" w:color="auto"/>
            </w:tcBorders>
          </w:tcPr>
          <w:p w:rsidR="00B421A4" w:rsidRPr="009F79B5" w:rsidRDefault="00B421A4" w:rsidP="00626918">
            <w:pPr>
              <w:pStyle w:val="Tabletext"/>
              <w:jc w:val="center"/>
            </w:pPr>
            <w:r w:rsidRPr="009F79B5">
              <w:t>42/53 (79.2%)</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Borders>
              <w:top w:val="double" w:sz="4" w:space="0" w:color="auto"/>
            </w:tcBorders>
          </w:tcPr>
          <w:p w:rsidR="00B421A4" w:rsidRPr="009F79B5" w:rsidRDefault="00B421A4" w:rsidP="00626918">
            <w:pPr>
              <w:pStyle w:val="Tabletext"/>
              <w:jc w:val="center"/>
            </w:pPr>
            <w:r w:rsidRPr="009F79B5">
              <w:t>33/36 (91.7%)</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Borders>
              <w:top w:val="double" w:sz="4" w:space="0" w:color="auto"/>
            </w:tcBorders>
          </w:tcPr>
          <w:p w:rsidR="00B421A4" w:rsidRPr="009F79B5" w:rsidRDefault="00B421A4" w:rsidP="00626918">
            <w:pPr>
              <w:pStyle w:val="Tabletext"/>
              <w:jc w:val="center"/>
            </w:pPr>
            <w:r w:rsidRPr="009F79B5">
              <w:t>20/21 (95.2%)</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r>
      <w:tr w:rsidR="00B421A4" w:rsidRPr="009F79B5" w:rsidTr="00626918">
        <w:tc>
          <w:tcPr>
            <w:tcW w:w="1174" w:type="dxa"/>
            <w:tcBorders>
              <w:bottom w:val="single" w:sz="4" w:space="0" w:color="auto"/>
            </w:tcBorders>
          </w:tcPr>
          <w:p w:rsidR="00B421A4" w:rsidRPr="009F79B5" w:rsidRDefault="00B421A4" w:rsidP="00626918">
            <w:pPr>
              <w:pStyle w:val="Tabletext"/>
              <w:ind w:left="142"/>
            </w:pPr>
            <w:r w:rsidRPr="009F79B5">
              <w:t>Non-cirrhotic</w:t>
            </w:r>
          </w:p>
        </w:tc>
        <w:tc>
          <w:tcPr>
            <w:tcW w:w="1801" w:type="dxa"/>
            <w:tcBorders>
              <w:bottom w:val="single" w:sz="4" w:space="0" w:color="auto"/>
            </w:tcBorders>
          </w:tcPr>
          <w:p w:rsidR="00B421A4" w:rsidRPr="009F79B5" w:rsidRDefault="00B421A4" w:rsidP="00626918">
            <w:pPr>
              <w:pStyle w:val="Tabletext"/>
              <w:jc w:val="center"/>
            </w:pPr>
            <w:r w:rsidRPr="009F79B5">
              <w:t>38/40 (95.0%)</w:t>
            </w:r>
          </w:p>
        </w:tc>
        <w:tc>
          <w:tcPr>
            <w:tcW w:w="1801" w:type="dxa"/>
            <w:tcBorders>
              <w:bottom w:val="single" w:sz="4" w:space="0" w:color="auto"/>
            </w:tcBorders>
          </w:tcPr>
          <w:p w:rsidR="00B421A4" w:rsidRPr="009F79B5" w:rsidRDefault="00B421A4" w:rsidP="00626918">
            <w:pPr>
              <w:pStyle w:val="Tabletext"/>
              <w:jc w:val="center"/>
            </w:pPr>
            <w:r w:rsidRPr="009F79B5">
              <w:t>-</w:t>
            </w:r>
          </w:p>
        </w:tc>
        <w:tc>
          <w:tcPr>
            <w:tcW w:w="1808" w:type="dxa"/>
            <w:tcBorders>
              <w:bottom w:val="single" w:sz="4" w:space="0" w:color="auto"/>
            </w:tcBorders>
          </w:tcPr>
          <w:p w:rsidR="00B421A4" w:rsidRPr="009F79B5" w:rsidRDefault="00B421A4" w:rsidP="00626918">
            <w:pPr>
              <w:pStyle w:val="Tabletext"/>
              <w:jc w:val="center"/>
            </w:pPr>
            <w:r w:rsidRPr="009F79B5">
              <w:t>-</w:t>
            </w:r>
          </w:p>
        </w:tc>
        <w:tc>
          <w:tcPr>
            <w:tcW w:w="1808" w:type="dxa"/>
            <w:tcBorders>
              <w:bottom w:val="single" w:sz="4" w:space="0" w:color="auto"/>
            </w:tcBorders>
          </w:tcPr>
          <w:p w:rsidR="00B421A4" w:rsidRPr="009F79B5" w:rsidRDefault="00B421A4" w:rsidP="00626918">
            <w:pPr>
              <w:pStyle w:val="Tabletext"/>
              <w:jc w:val="center"/>
            </w:pPr>
            <w:r w:rsidRPr="009F79B5">
              <w:t>16/17 (94.1%)</w:t>
            </w:r>
          </w:p>
        </w:tc>
      </w:tr>
      <w:tr w:rsidR="00B421A4" w:rsidRPr="009F79B5" w:rsidTr="00626918">
        <w:tc>
          <w:tcPr>
            <w:tcW w:w="1174" w:type="dxa"/>
            <w:tcBorders>
              <w:bottom w:val="double" w:sz="4" w:space="0" w:color="auto"/>
            </w:tcBorders>
          </w:tcPr>
          <w:p w:rsidR="00B421A4" w:rsidRPr="009F79B5" w:rsidRDefault="00B421A4" w:rsidP="00626918">
            <w:pPr>
              <w:pStyle w:val="Tabletext"/>
              <w:ind w:left="142"/>
            </w:pPr>
            <w:r w:rsidRPr="009F79B5">
              <w:t>Cirrhotic</w:t>
            </w:r>
          </w:p>
        </w:tc>
        <w:tc>
          <w:tcPr>
            <w:tcW w:w="1801" w:type="dxa"/>
            <w:tcBorders>
              <w:bottom w:val="double" w:sz="4" w:space="0" w:color="auto"/>
            </w:tcBorders>
          </w:tcPr>
          <w:p w:rsidR="00B421A4" w:rsidRPr="009F79B5" w:rsidRDefault="00B421A4" w:rsidP="00626918">
            <w:pPr>
              <w:pStyle w:val="Tabletext"/>
              <w:jc w:val="center"/>
            </w:pPr>
            <w:r w:rsidRPr="009F79B5">
              <w:t>-</w:t>
            </w:r>
          </w:p>
        </w:tc>
        <w:tc>
          <w:tcPr>
            <w:tcW w:w="1801" w:type="dxa"/>
            <w:tcBorders>
              <w:bottom w:val="double" w:sz="4" w:space="0" w:color="auto"/>
            </w:tcBorders>
          </w:tcPr>
          <w:p w:rsidR="00B421A4" w:rsidRPr="009F79B5" w:rsidRDefault="00B421A4" w:rsidP="00626918">
            <w:pPr>
              <w:pStyle w:val="Tabletext"/>
              <w:jc w:val="center"/>
            </w:pPr>
            <w:r w:rsidRPr="009F79B5">
              <w:t>42/53 (79.2%)</w:t>
            </w:r>
          </w:p>
        </w:tc>
        <w:tc>
          <w:tcPr>
            <w:tcW w:w="1808" w:type="dxa"/>
            <w:tcBorders>
              <w:bottom w:val="double" w:sz="4" w:space="0" w:color="auto"/>
            </w:tcBorders>
          </w:tcPr>
          <w:p w:rsidR="00B421A4" w:rsidRPr="009F79B5" w:rsidRDefault="00B421A4" w:rsidP="00626918">
            <w:pPr>
              <w:pStyle w:val="Tabletext"/>
              <w:jc w:val="center"/>
            </w:pPr>
            <w:r w:rsidRPr="009F79B5">
              <w:t>33/36 (91.7%)</w:t>
            </w:r>
          </w:p>
        </w:tc>
        <w:tc>
          <w:tcPr>
            <w:tcW w:w="1808" w:type="dxa"/>
            <w:tcBorders>
              <w:bottom w:val="double" w:sz="4" w:space="0" w:color="auto"/>
            </w:tcBorders>
          </w:tcPr>
          <w:p w:rsidR="00B421A4" w:rsidRPr="009F79B5" w:rsidRDefault="00B421A4" w:rsidP="00626918">
            <w:pPr>
              <w:pStyle w:val="Tabletext"/>
              <w:jc w:val="center"/>
            </w:pPr>
            <w:r w:rsidRPr="009F79B5">
              <w:t>4/4 (100%)</w:t>
            </w:r>
          </w:p>
        </w:tc>
      </w:tr>
      <w:tr w:rsidR="00B421A4" w:rsidRPr="009F79B5" w:rsidTr="00626918">
        <w:tc>
          <w:tcPr>
            <w:tcW w:w="1174" w:type="dxa"/>
            <w:tcBorders>
              <w:top w:val="double" w:sz="4" w:space="0" w:color="auto"/>
            </w:tcBorders>
          </w:tcPr>
          <w:p w:rsidR="00B421A4" w:rsidRPr="009F79B5" w:rsidRDefault="00B421A4" w:rsidP="00626918">
            <w:pPr>
              <w:pStyle w:val="Tabletext"/>
              <w:rPr>
                <w:b/>
              </w:rPr>
            </w:pPr>
            <w:r w:rsidRPr="009F79B5">
              <w:rPr>
                <w:b/>
              </w:rPr>
              <w:t xml:space="preserve">Total </w:t>
            </w:r>
          </w:p>
        </w:tc>
        <w:tc>
          <w:tcPr>
            <w:tcW w:w="1801" w:type="dxa"/>
            <w:tcBorders>
              <w:top w:val="double" w:sz="4" w:space="0" w:color="auto"/>
            </w:tcBorders>
          </w:tcPr>
          <w:p w:rsidR="00B421A4" w:rsidRPr="009F79B5" w:rsidRDefault="00B421A4" w:rsidP="00626918">
            <w:pPr>
              <w:pStyle w:val="Tabletext"/>
              <w:jc w:val="center"/>
              <w:rPr>
                <w:b/>
              </w:rPr>
            </w:pPr>
            <w:r w:rsidRPr="009F79B5">
              <w:rPr>
                <w:b/>
              </w:rPr>
              <w:t>150/155 (96.8%)</w:t>
            </w:r>
          </w:p>
          <w:p w:rsidR="00B421A4" w:rsidRPr="009F79B5" w:rsidRDefault="00B421A4" w:rsidP="00626918">
            <w:pPr>
              <w:pStyle w:val="Tabletext"/>
              <w:jc w:val="center"/>
              <w:rPr>
                <w:b/>
              </w:rPr>
            </w:pPr>
            <w:r w:rsidRPr="009F79B5">
              <w:rPr>
                <w:b/>
              </w:rPr>
              <w:t>[</w:t>
            </w:r>
            <w:r w:rsidR="00BD7647">
              <w:rPr>
                <w:b/>
                <w:noProof/>
                <w:color w:val="000000"/>
                <w:highlight w:val="black"/>
              </w:rPr>
              <w:t>''''''''</w:t>
            </w:r>
            <w:r w:rsidRPr="009F79B5">
              <w:rPr>
                <w:b/>
              </w:rPr>
              <w:t xml:space="preserve">%, </w:t>
            </w:r>
            <w:r w:rsidR="00BD7647">
              <w:rPr>
                <w:b/>
                <w:noProof/>
                <w:color w:val="000000"/>
                <w:highlight w:val="black"/>
              </w:rPr>
              <w:t>''''''''</w:t>
            </w:r>
            <w:r w:rsidRPr="009F79B5">
              <w:rPr>
                <w:b/>
              </w:rPr>
              <w:t>%]</w:t>
            </w:r>
          </w:p>
        </w:tc>
        <w:tc>
          <w:tcPr>
            <w:tcW w:w="1801" w:type="dxa"/>
            <w:tcBorders>
              <w:top w:val="double" w:sz="4" w:space="0" w:color="auto"/>
            </w:tcBorders>
          </w:tcPr>
          <w:p w:rsidR="00B421A4" w:rsidRPr="009F79B5" w:rsidRDefault="00B421A4" w:rsidP="00626918">
            <w:pPr>
              <w:pStyle w:val="Tabletext"/>
              <w:jc w:val="center"/>
              <w:rPr>
                <w:b/>
              </w:rPr>
            </w:pPr>
            <w:r w:rsidRPr="009F79B5">
              <w:rPr>
                <w:b/>
              </w:rPr>
              <w:t>86/103 (83.5%)</w:t>
            </w:r>
          </w:p>
          <w:p w:rsidR="00B421A4" w:rsidRPr="009F79B5" w:rsidRDefault="00B421A4" w:rsidP="00626918">
            <w:pPr>
              <w:pStyle w:val="Tabletext"/>
              <w:jc w:val="center"/>
              <w:rPr>
                <w:b/>
              </w:rPr>
            </w:pPr>
            <w:r w:rsidRPr="009F79B5">
              <w:rPr>
                <w:b/>
              </w:rPr>
              <w:t>[</w:t>
            </w:r>
            <w:r w:rsidR="00BD7647">
              <w:rPr>
                <w:b/>
                <w:noProof/>
                <w:color w:val="000000"/>
                <w:highlight w:val="black"/>
              </w:rPr>
              <w:t>''''''''</w:t>
            </w:r>
            <w:r w:rsidRPr="009F79B5">
              <w:rPr>
                <w:b/>
              </w:rPr>
              <w:t xml:space="preserve">%, </w:t>
            </w:r>
            <w:r w:rsidR="00BD7647">
              <w:rPr>
                <w:b/>
                <w:noProof/>
                <w:color w:val="000000"/>
                <w:highlight w:val="black"/>
              </w:rPr>
              <w:t>'''''''''</w:t>
            </w:r>
            <w:r w:rsidRPr="009F79B5">
              <w:rPr>
                <w:b/>
              </w:rPr>
              <w:t>%]</w:t>
            </w:r>
          </w:p>
        </w:tc>
        <w:tc>
          <w:tcPr>
            <w:tcW w:w="1808" w:type="dxa"/>
            <w:tcBorders>
              <w:top w:val="double" w:sz="4" w:space="0" w:color="auto"/>
            </w:tcBorders>
          </w:tcPr>
          <w:p w:rsidR="00B421A4" w:rsidRPr="009F79B5" w:rsidRDefault="00B421A4" w:rsidP="00626918">
            <w:pPr>
              <w:jc w:val="center"/>
              <w:rPr>
                <w:rFonts w:ascii="Arial Narrow" w:hAnsi="Arial Narrow"/>
                <w:b/>
                <w:sz w:val="20"/>
              </w:rPr>
            </w:pPr>
            <w:r w:rsidRPr="009F79B5">
              <w:rPr>
                <w:rFonts w:ascii="Arial Narrow" w:hAnsi="Arial Narrow"/>
                <w:b/>
                <w:sz w:val="20"/>
              </w:rPr>
              <w:t>54/58 (93.1%)</w:t>
            </w:r>
          </w:p>
          <w:p w:rsidR="00B421A4" w:rsidRPr="009F79B5" w:rsidRDefault="00B421A4" w:rsidP="00626918">
            <w:pPr>
              <w:pStyle w:val="Tabletext"/>
              <w:jc w:val="center"/>
              <w:rPr>
                <w:b/>
              </w:rPr>
            </w:pPr>
            <w:r w:rsidRPr="009F79B5">
              <w:rPr>
                <w:b/>
              </w:rPr>
              <w:t>[</w:t>
            </w:r>
            <w:r w:rsidR="00BD7647">
              <w:rPr>
                <w:b/>
                <w:noProof/>
                <w:color w:val="000000"/>
                <w:highlight w:val="black"/>
              </w:rPr>
              <w:t>''''''''</w:t>
            </w:r>
            <w:r w:rsidRPr="009F79B5">
              <w:rPr>
                <w:b/>
              </w:rPr>
              <w:t xml:space="preserve">%, </w:t>
            </w:r>
            <w:r w:rsidR="00BD7647">
              <w:rPr>
                <w:b/>
                <w:noProof/>
                <w:color w:val="000000"/>
                <w:highlight w:val="black"/>
              </w:rPr>
              <w:t>''''''''''</w:t>
            </w:r>
            <w:r w:rsidRPr="009F79B5">
              <w:rPr>
                <w:b/>
              </w:rPr>
              <w:t>%]</w:t>
            </w:r>
          </w:p>
        </w:tc>
        <w:tc>
          <w:tcPr>
            <w:tcW w:w="1808" w:type="dxa"/>
            <w:tcBorders>
              <w:top w:val="double" w:sz="4" w:space="0" w:color="auto"/>
            </w:tcBorders>
          </w:tcPr>
          <w:p w:rsidR="00B421A4" w:rsidRPr="009F79B5" w:rsidRDefault="00B421A4" w:rsidP="00626918">
            <w:pPr>
              <w:pStyle w:val="Tabletext"/>
              <w:jc w:val="center"/>
              <w:rPr>
                <w:b/>
              </w:rPr>
            </w:pPr>
            <w:r w:rsidRPr="009F79B5">
              <w:rPr>
                <w:b/>
              </w:rPr>
              <w:t>26/28 (92.9%)</w:t>
            </w:r>
          </w:p>
          <w:p w:rsidR="00B421A4" w:rsidRPr="009F79B5" w:rsidRDefault="00B421A4" w:rsidP="00626918">
            <w:pPr>
              <w:pStyle w:val="Tabletext"/>
              <w:jc w:val="center"/>
              <w:rPr>
                <w:b/>
              </w:rPr>
            </w:pPr>
            <w:r w:rsidRPr="009F79B5">
              <w:rPr>
                <w:b/>
              </w:rPr>
              <w:t>[</w:t>
            </w:r>
            <w:r w:rsidR="00BD7647">
              <w:rPr>
                <w:b/>
                <w:noProof/>
                <w:color w:val="000000"/>
                <w:highlight w:val="black"/>
              </w:rPr>
              <w:t>'''''''''</w:t>
            </w:r>
            <w:r w:rsidRPr="009F79B5">
              <w:rPr>
                <w:b/>
              </w:rPr>
              <w:t xml:space="preserve">%, </w:t>
            </w:r>
            <w:r w:rsidR="00BD7647">
              <w:rPr>
                <w:b/>
                <w:noProof/>
                <w:color w:val="000000"/>
                <w:highlight w:val="black"/>
              </w:rPr>
              <w:t>'''''''''</w:t>
            </w:r>
            <w:r w:rsidRPr="009F79B5">
              <w:rPr>
                <w:b/>
              </w:rPr>
              <w:t>%]</w:t>
            </w:r>
          </w:p>
        </w:tc>
      </w:tr>
      <w:tr w:rsidR="00B421A4" w:rsidRPr="009F79B5" w:rsidTr="00626918">
        <w:tc>
          <w:tcPr>
            <w:tcW w:w="1174" w:type="dxa"/>
          </w:tcPr>
          <w:p w:rsidR="00B421A4" w:rsidRPr="009F79B5" w:rsidRDefault="00B421A4" w:rsidP="00626918">
            <w:pPr>
              <w:pStyle w:val="Tabletext"/>
              <w:ind w:left="142"/>
            </w:pPr>
            <w:r w:rsidRPr="009F79B5">
              <w:t>Non-cirrhotic</w:t>
            </w:r>
          </w:p>
        </w:tc>
        <w:tc>
          <w:tcPr>
            <w:tcW w:w="1801" w:type="dxa"/>
          </w:tcPr>
          <w:p w:rsidR="00B421A4" w:rsidRPr="009F79B5" w:rsidRDefault="00B421A4" w:rsidP="00626918">
            <w:pPr>
              <w:pStyle w:val="Tabletext"/>
              <w:jc w:val="center"/>
            </w:pPr>
            <w:r w:rsidRPr="009F79B5">
              <w:t>150/155 (96.8%)</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1" w:type="dxa"/>
          </w:tcPr>
          <w:p w:rsidR="00B421A4" w:rsidRPr="009F79B5" w:rsidRDefault="00B421A4" w:rsidP="00626918">
            <w:pPr>
              <w:pStyle w:val="Tabletext"/>
              <w:jc w:val="center"/>
            </w:pPr>
            <w:r w:rsidRPr="009F79B5">
              <w:t>-</w:t>
            </w:r>
          </w:p>
        </w:tc>
        <w:tc>
          <w:tcPr>
            <w:tcW w:w="1808" w:type="dxa"/>
          </w:tcPr>
          <w:p w:rsidR="00B421A4" w:rsidRPr="009F79B5" w:rsidRDefault="00B421A4" w:rsidP="00626918">
            <w:pPr>
              <w:pStyle w:val="Tabletext"/>
              <w:jc w:val="center"/>
            </w:pPr>
            <w:r w:rsidRPr="009F79B5">
              <w:t>-</w:t>
            </w:r>
          </w:p>
        </w:tc>
        <w:tc>
          <w:tcPr>
            <w:tcW w:w="1808" w:type="dxa"/>
          </w:tcPr>
          <w:p w:rsidR="00B421A4" w:rsidRPr="009F79B5" w:rsidRDefault="00B421A4" w:rsidP="00626918">
            <w:pPr>
              <w:pStyle w:val="Tabletext"/>
              <w:jc w:val="center"/>
            </w:pPr>
            <w:r w:rsidRPr="009F79B5">
              <w:t>20/21 (95.2%)</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r>
      <w:tr w:rsidR="00B421A4" w:rsidRPr="009F79B5" w:rsidTr="00626918">
        <w:trPr>
          <w:trHeight w:val="70"/>
        </w:trPr>
        <w:tc>
          <w:tcPr>
            <w:tcW w:w="1174" w:type="dxa"/>
          </w:tcPr>
          <w:p w:rsidR="00B421A4" w:rsidRPr="009F79B5" w:rsidRDefault="00B421A4" w:rsidP="00626918">
            <w:pPr>
              <w:pStyle w:val="Tabletext"/>
              <w:ind w:left="142"/>
            </w:pPr>
            <w:r w:rsidRPr="009F79B5">
              <w:t>Cirrhotic</w:t>
            </w:r>
          </w:p>
        </w:tc>
        <w:tc>
          <w:tcPr>
            <w:tcW w:w="1801" w:type="dxa"/>
          </w:tcPr>
          <w:p w:rsidR="00B421A4" w:rsidRPr="009F79B5" w:rsidRDefault="00B421A4" w:rsidP="00626918">
            <w:pPr>
              <w:pStyle w:val="Tabletext"/>
              <w:jc w:val="center"/>
            </w:pPr>
            <w:r w:rsidRPr="009F79B5">
              <w:t>-</w:t>
            </w:r>
          </w:p>
        </w:tc>
        <w:tc>
          <w:tcPr>
            <w:tcW w:w="1801" w:type="dxa"/>
          </w:tcPr>
          <w:p w:rsidR="00B421A4" w:rsidRPr="009F79B5" w:rsidRDefault="00B421A4" w:rsidP="00626918">
            <w:pPr>
              <w:pStyle w:val="Tabletext"/>
              <w:jc w:val="center"/>
            </w:pPr>
            <w:r w:rsidRPr="009F79B5">
              <w:t>86/103 (83.5%)</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Pr>
          <w:p w:rsidR="00B421A4" w:rsidRPr="009F79B5" w:rsidRDefault="00B421A4" w:rsidP="00626918">
            <w:pPr>
              <w:jc w:val="center"/>
              <w:rPr>
                <w:rFonts w:ascii="Arial Narrow" w:hAnsi="Arial Narrow"/>
                <w:sz w:val="20"/>
              </w:rPr>
            </w:pPr>
            <w:r w:rsidRPr="009F79B5">
              <w:rPr>
                <w:rFonts w:ascii="Arial Narrow" w:hAnsi="Arial Narrow"/>
                <w:sz w:val="20"/>
              </w:rPr>
              <w:t>54/58 (93.1%)</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c>
          <w:tcPr>
            <w:tcW w:w="1808" w:type="dxa"/>
          </w:tcPr>
          <w:p w:rsidR="00B421A4" w:rsidRPr="009F79B5" w:rsidRDefault="00B421A4" w:rsidP="00626918">
            <w:pPr>
              <w:pStyle w:val="Tabletext"/>
              <w:jc w:val="center"/>
            </w:pPr>
            <w:r w:rsidRPr="009F79B5">
              <w:t>6/7 (85.7%)</w:t>
            </w:r>
          </w:p>
          <w:p w:rsidR="00B421A4" w:rsidRPr="009F79B5" w:rsidRDefault="00B421A4" w:rsidP="00626918">
            <w:pPr>
              <w:pStyle w:val="Tabletext"/>
              <w:jc w:val="center"/>
            </w:pPr>
            <w:r w:rsidRPr="009F79B5">
              <w:t>[</w:t>
            </w:r>
            <w:r w:rsidR="00BD7647">
              <w:rPr>
                <w:noProof/>
                <w:color w:val="000000"/>
                <w:highlight w:val="black"/>
              </w:rPr>
              <w:t>'''''''''''</w:t>
            </w:r>
            <w:r w:rsidRPr="009F79B5">
              <w:t xml:space="preserve">%, </w:t>
            </w:r>
            <w:r w:rsidR="00BD7647">
              <w:rPr>
                <w:noProof/>
                <w:color w:val="000000"/>
                <w:highlight w:val="black"/>
              </w:rPr>
              <w:t>''''''''''</w:t>
            </w:r>
            <w:r w:rsidRPr="009F79B5">
              <w:t>%]</w:t>
            </w:r>
          </w:p>
        </w:tc>
      </w:tr>
    </w:tbl>
    <w:p w:rsidR="00B421A4" w:rsidRPr="009F79B5" w:rsidRDefault="00B421A4" w:rsidP="00B421A4">
      <w:pPr>
        <w:pStyle w:val="TableFooter"/>
        <w:ind w:left="720"/>
      </w:pPr>
      <w:r w:rsidRPr="009F79B5">
        <w:t xml:space="preserve">CI = confidence interval; SMV = </w:t>
      </w:r>
      <w:proofErr w:type="spellStart"/>
      <w:r w:rsidRPr="009F79B5">
        <w:t>simeprevir</w:t>
      </w:r>
      <w:proofErr w:type="spellEnd"/>
      <w:r w:rsidRPr="009F79B5">
        <w:t xml:space="preserve">; SOF = </w:t>
      </w:r>
      <w:proofErr w:type="spellStart"/>
      <w:r w:rsidRPr="009F79B5">
        <w:t>sofosbuvir</w:t>
      </w:r>
      <w:proofErr w:type="spellEnd"/>
      <w:r w:rsidRPr="009F79B5">
        <w:t xml:space="preserve">; SVR = sustained </w:t>
      </w:r>
      <w:proofErr w:type="spellStart"/>
      <w:r w:rsidRPr="009F79B5">
        <w:t>virologic</w:t>
      </w:r>
      <w:proofErr w:type="spellEnd"/>
      <w:r w:rsidRPr="009F79B5">
        <w:t xml:space="preserve"> response</w:t>
      </w:r>
    </w:p>
    <w:p w:rsidR="00B421A4" w:rsidRPr="009F79B5" w:rsidRDefault="00B421A4" w:rsidP="00B421A4">
      <w:pPr>
        <w:pStyle w:val="TableFooter"/>
        <w:ind w:left="720"/>
      </w:pPr>
      <w:proofErr w:type="spellStart"/>
      <w:proofErr w:type="gramStart"/>
      <w:r w:rsidRPr="009F79B5">
        <w:rPr>
          <w:vertAlign w:val="superscript"/>
        </w:rPr>
        <w:t>a</w:t>
      </w:r>
      <w:proofErr w:type="spellEnd"/>
      <w:proofErr w:type="gramEnd"/>
      <w:r w:rsidRPr="009F79B5">
        <w:t xml:space="preserve"> Only includes genotype 1a patients with cirrhosis</w:t>
      </w:r>
    </w:p>
    <w:p w:rsidR="00B421A4" w:rsidRPr="009F79B5" w:rsidRDefault="00B421A4" w:rsidP="00B421A4">
      <w:pPr>
        <w:pStyle w:val="TableFooter"/>
        <w:ind w:left="720"/>
      </w:pPr>
      <w:proofErr w:type="gramStart"/>
      <w:r w:rsidRPr="009F79B5">
        <w:rPr>
          <w:vertAlign w:val="superscript"/>
        </w:rPr>
        <w:t>b</w:t>
      </w:r>
      <w:proofErr w:type="gramEnd"/>
      <w:r w:rsidRPr="009F79B5">
        <w:t xml:space="preserve"> </w:t>
      </w:r>
      <w:r w:rsidR="00197ED3" w:rsidRPr="009F79B5">
        <w:t xml:space="preserve">Source: Table 12, p24 of Study 3017 </w:t>
      </w:r>
      <w:proofErr w:type="spellStart"/>
      <w:r w:rsidR="00197ED3" w:rsidRPr="009F79B5">
        <w:t>Topline</w:t>
      </w:r>
      <w:proofErr w:type="spellEnd"/>
      <w:r w:rsidR="00197ED3" w:rsidRPr="009F79B5">
        <w:t xml:space="preserve"> Results </w:t>
      </w:r>
      <w:r w:rsidRPr="009F79B5">
        <w:t>Only includes non-cirrhotic patients</w:t>
      </w:r>
    </w:p>
    <w:p w:rsidR="00B421A4" w:rsidRPr="009F79B5" w:rsidRDefault="00B421A4" w:rsidP="00B421A4">
      <w:pPr>
        <w:pStyle w:val="TableFooter"/>
        <w:ind w:left="720"/>
      </w:pPr>
      <w:proofErr w:type="gramStart"/>
      <w:r w:rsidRPr="009F79B5">
        <w:rPr>
          <w:vertAlign w:val="superscript"/>
        </w:rPr>
        <w:t>c</w:t>
      </w:r>
      <w:proofErr w:type="gramEnd"/>
      <w:r w:rsidRPr="009F79B5">
        <w:t xml:space="preserve"> </w:t>
      </w:r>
      <w:r w:rsidR="00197ED3" w:rsidRPr="009F79B5">
        <w:t xml:space="preserve">Source: Table 11, p21 of Study 3018 </w:t>
      </w:r>
      <w:proofErr w:type="spellStart"/>
      <w:r w:rsidR="00197ED3" w:rsidRPr="009F79B5">
        <w:t>Topline</w:t>
      </w:r>
      <w:proofErr w:type="spellEnd"/>
      <w:r w:rsidR="00197ED3" w:rsidRPr="009F79B5">
        <w:t xml:space="preserve"> Results. </w:t>
      </w:r>
      <w:r w:rsidRPr="009F79B5">
        <w:t>Only includes patients with cirrhosis</w:t>
      </w:r>
    </w:p>
    <w:p w:rsidR="00B421A4" w:rsidRPr="009F79B5" w:rsidRDefault="00B421A4" w:rsidP="00B421A4">
      <w:pPr>
        <w:pStyle w:val="TableFooter"/>
        <w:ind w:left="720"/>
      </w:pPr>
      <w:proofErr w:type="gramStart"/>
      <w:r w:rsidRPr="009F79B5">
        <w:rPr>
          <w:vertAlign w:val="superscript"/>
        </w:rPr>
        <w:t>d</w:t>
      </w:r>
      <w:proofErr w:type="gramEnd"/>
      <w:r w:rsidRPr="009F79B5">
        <w:t xml:space="preserve"> The SVR12 rate in the SMV8+SOF8 treatment arm was 128/155 (82.6%)</w:t>
      </w:r>
    </w:p>
    <w:p w:rsidR="00B421A4" w:rsidRPr="009F79B5" w:rsidRDefault="00DE04FE" w:rsidP="00B421A4">
      <w:pPr>
        <w:pStyle w:val="TableFooter"/>
        <w:ind w:left="720"/>
      </w:pPr>
      <w:r w:rsidRPr="009F79B5">
        <w:t xml:space="preserve">95% CI </w:t>
      </w:r>
      <w:r w:rsidR="00B421A4" w:rsidRPr="009F79B5">
        <w:t>were calculated during the evaluation. Binomial exact 95%CIs calculated in STATA.</w:t>
      </w:r>
    </w:p>
    <w:p w:rsidR="00B421A4" w:rsidRPr="009F79B5" w:rsidRDefault="00B421A4" w:rsidP="00B421A4">
      <w:pPr>
        <w:pStyle w:val="TableFooter"/>
        <w:ind w:left="720"/>
      </w:pPr>
      <w:r w:rsidRPr="009F79B5">
        <w:t xml:space="preserve">Source: Table Bi.24 and Bi.25, p73 Section Bi of the submission; Pearlman 2015; </w:t>
      </w:r>
      <w:proofErr w:type="spellStart"/>
      <w:r w:rsidRPr="009F79B5">
        <w:t>Lawitz</w:t>
      </w:r>
      <w:proofErr w:type="spellEnd"/>
      <w:r w:rsidRPr="009F79B5">
        <w:t xml:space="preserve"> et al 2014 (including supplementary appendix</w:t>
      </w:r>
      <w:proofErr w:type="gramStart"/>
      <w:r w:rsidRPr="009F79B5">
        <w:t>)</w:t>
      </w:r>
      <w:r w:rsidR="00166322" w:rsidRPr="009F79B5">
        <w:rPr>
          <w:noProof/>
          <w:vertAlign w:val="superscript"/>
        </w:rPr>
        <w:t>3</w:t>
      </w:r>
      <w:proofErr w:type="gramEnd"/>
    </w:p>
    <w:p w:rsidR="00B421A4" w:rsidRPr="009F79B5" w:rsidRDefault="00B421A4" w:rsidP="00B421A4">
      <w:pPr>
        <w:pStyle w:val="TableFooter"/>
        <w:rPr>
          <w:rFonts w:ascii="Arial" w:hAnsi="Arial"/>
          <w:sz w:val="22"/>
          <w:szCs w:val="22"/>
        </w:rPr>
      </w:pPr>
    </w:p>
    <w:p w:rsidR="00B421A4" w:rsidRPr="009F79B5" w:rsidRDefault="00B421A4" w:rsidP="006D224C">
      <w:pPr>
        <w:pStyle w:val="ListParagraph"/>
        <w:widowControl/>
        <w:numPr>
          <w:ilvl w:val="1"/>
          <w:numId w:val="4"/>
        </w:numPr>
      </w:pPr>
      <w:r w:rsidRPr="009F79B5">
        <w:t>The results from the four studies suggest that SMV12+SOF12 is effective across all genotype 1 HCV patient subgroups</w:t>
      </w:r>
      <w:r w:rsidR="005B4D5D" w:rsidRPr="009F79B5">
        <w:t>, with SVR12 r</w:t>
      </w:r>
      <w:r w:rsidR="00C14004">
        <w:t>ates ranging from 83.5% (95%CI: </w:t>
      </w:r>
      <w:r w:rsidR="00BD7647">
        <w:rPr>
          <w:noProof/>
          <w:color w:val="000000"/>
          <w:highlight w:val="black"/>
        </w:rPr>
        <w:t>'''''''''''</w:t>
      </w:r>
      <w:r w:rsidR="005B4D5D" w:rsidRPr="009F79B5">
        <w:t xml:space="preserve">%, </w:t>
      </w:r>
      <w:r w:rsidR="00BD7647">
        <w:rPr>
          <w:noProof/>
          <w:color w:val="000000"/>
          <w:highlight w:val="black"/>
        </w:rPr>
        <w:t>'''''''''''</w:t>
      </w:r>
      <w:r w:rsidR="005B4D5D" w:rsidRPr="009F79B5">
        <w:t xml:space="preserve">%) in Study 3018 to 96.8% (95%CI: </w:t>
      </w:r>
      <w:r w:rsidR="00BD7647">
        <w:rPr>
          <w:noProof/>
          <w:color w:val="000000"/>
          <w:highlight w:val="black"/>
        </w:rPr>
        <w:t>'''''''''''</w:t>
      </w:r>
      <w:r w:rsidR="005B4D5D" w:rsidRPr="009F79B5">
        <w:t xml:space="preserve">%, </w:t>
      </w:r>
      <w:r w:rsidR="00BD7647">
        <w:rPr>
          <w:noProof/>
          <w:color w:val="000000"/>
          <w:highlight w:val="black"/>
        </w:rPr>
        <w:t>'''''''''''</w:t>
      </w:r>
      <w:r w:rsidR="005B4D5D" w:rsidRPr="009F79B5">
        <w:t>%) in Study 3017.</w:t>
      </w:r>
    </w:p>
    <w:p w:rsidR="00B421A4" w:rsidRPr="009F79B5" w:rsidRDefault="00B421A4" w:rsidP="00B421A4">
      <w:pPr>
        <w:pStyle w:val="ListParagraph"/>
        <w:widowControl/>
        <w:rPr>
          <w:szCs w:val="22"/>
        </w:rPr>
      </w:pPr>
    </w:p>
    <w:p w:rsidR="00B421A4" w:rsidRPr="009F79B5" w:rsidRDefault="00B421A4" w:rsidP="00B421A4">
      <w:pPr>
        <w:pStyle w:val="ListParagraph"/>
        <w:widowControl/>
        <w:numPr>
          <w:ilvl w:val="1"/>
          <w:numId w:val="4"/>
        </w:numPr>
        <w:rPr>
          <w:szCs w:val="22"/>
        </w:rPr>
      </w:pPr>
      <w:r w:rsidRPr="009F79B5">
        <w:t xml:space="preserve">A comparison of the SVR12 rates across Studies 3017 and 3018 suggests that SMV12+SOF12 is less effective in cirrhotic patients than in non-cirrhotic patients, </w:t>
      </w:r>
      <w:r w:rsidRPr="009F79B5">
        <w:lastRenderedPageBreak/>
        <w:t xml:space="preserve">with a 13% difference between the point estimates of the SVR12 rate in the two populations. </w:t>
      </w:r>
    </w:p>
    <w:p w:rsidR="00B421A4" w:rsidRPr="009F79B5" w:rsidRDefault="00B421A4" w:rsidP="00B421A4">
      <w:pPr>
        <w:pStyle w:val="ListParagraph"/>
        <w:rPr>
          <w:szCs w:val="22"/>
        </w:rPr>
      </w:pPr>
    </w:p>
    <w:p w:rsidR="000329DC" w:rsidRPr="009F79B5" w:rsidRDefault="000329DC" w:rsidP="000329DC">
      <w:pPr>
        <w:pStyle w:val="ListParagraph"/>
        <w:widowControl/>
        <w:numPr>
          <w:ilvl w:val="1"/>
          <w:numId w:val="4"/>
        </w:numPr>
        <w:rPr>
          <w:szCs w:val="22"/>
        </w:rPr>
      </w:pPr>
      <w:r w:rsidRPr="009F79B5">
        <w:t>The SVR12 rate in Pearlman 2015 was higher than that in Study 3018</w:t>
      </w:r>
      <w:r w:rsidR="00ED569F" w:rsidRPr="009F79B5">
        <w:t>, although 95% confidence intervals overlapped</w:t>
      </w:r>
      <w:r w:rsidRPr="009F79B5">
        <w:t xml:space="preserve">. </w:t>
      </w:r>
      <w:r w:rsidR="005005C6" w:rsidRPr="009F79B5">
        <w:t>The</w:t>
      </w:r>
      <w:r w:rsidRPr="009F79B5">
        <w:t xml:space="preserve"> </w:t>
      </w:r>
      <w:r w:rsidR="005005C6" w:rsidRPr="009F79B5">
        <w:t xml:space="preserve">Pearlman 2015 </w:t>
      </w:r>
      <w:r w:rsidRPr="009F79B5">
        <w:t>study included a higher proportion of patients with baseline characteristics traditionally associated with poor response to interferon-based therap</w:t>
      </w:r>
      <w:r w:rsidR="004B6D58" w:rsidRPr="009F79B5">
        <w:t xml:space="preserve">y.  </w:t>
      </w:r>
      <w:r w:rsidR="00ED569F" w:rsidRPr="009F79B5">
        <w:t>The ESC noted in the PSCR</w:t>
      </w:r>
      <w:r w:rsidR="00AE30D8" w:rsidRPr="009F79B5">
        <w:t xml:space="preserve"> (p33)</w:t>
      </w:r>
      <w:r w:rsidR="00ED569F" w:rsidRPr="009F79B5">
        <w:t xml:space="preserve"> the relatively high frequency of Q80K mutation in the Study 3018 population (</w:t>
      </w:r>
      <w:proofErr w:type="gramStart"/>
      <w:r w:rsidR="00BD7647">
        <w:rPr>
          <w:noProof/>
          <w:color w:val="000000"/>
          <w:highlight w:val="black"/>
        </w:rPr>
        <w:t>''''''</w:t>
      </w:r>
      <w:r w:rsidR="00ED569F" w:rsidRPr="009F79B5">
        <w:t>%</w:t>
      </w:r>
      <w:proofErr w:type="gramEnd"/>
      <w:r w:rsidR="00ED569F" w:rsidRPr="009F79B5">
        <w:t>), and the lower point estimate of SVR among Q80K p</w:t>
      </w:r>
      <w:r w:rsidR="00C14004">
        <w:t>olymorphism patients versus non</w:t>
      </w:r>
      <w:r w:rsidR="00C14004">
        <w:noBreakHyphen/>
      </w:r>
      <w:r w:rsidR="00ED569F" w:rsidRPr="009F79B5">
        <w:t xml:space="preserve">Q80K polymorphism patients in that study (74% versus 92%). </w:t>
      </w:r>
      <w:r w:rsidR="00AE30D8" w:rsidRPr="009F79B5">
        <w:t xml:space="preserve"> </w:t>
      </w:r>
      <w:r w:rsidR="00ED569F" w:rsidRPr="009F79B5">
        <w:t>The ESC noted that the current prevalence of Q80K in the Australian population is lower</w:t>
      </w:r>
      <w:r w:rsidR="00AE30D8" w:rsidRPr="009F79B5">
        <w:t>, as noted below</w:t>
      </w:r>
      <w:r w:rsidR="00ED569F" w:rsidRPr="009F79B5">
        <w:t>.</w:t>
      </w:r>
    </w:p>
    <w:p w:rsidR="00B421A4" w:rsidRPr="009F79B5" w:rsidRDefault="00B421A4" w:rsidP="00B421A4">
      <w:pPr>
        <w:pStyle w:val="ListParagraph"/>
      </w:pPr>
    </w:p>
    <w:p w:rsidR="00B421A4" w:rsidRPr="009F79B5" w:rsidRDefault="00B421A4" w:rsidP="00B421A4">
      <w:pPr>
        <w:pStyle w:val="ListParagraph"/>
        <w:widowControl/>
        <w:numPr>
          <w:ilvl w:val="1"/>
          <w:numId w:val="4"/>
        </w:numPr>
        <w:rPr>
          <w:szCs w:val="22"/>
        </w:rPr>
      </w:pPr>
      <w:r w:rsidRPr="009F79B5">
        <w:t xml:space="preserve">In Study 3018, subgroup </w:t>
      </w:r>
      <w:r w:rsidR="00DC2B5C" w:rsidRPr="009F79B5">
        <w:t xml:space="preserve">analyses </w:t>
      </w:r>
      <w:r w:rsidR="00A8574B" w:rsidRPr="009F79B5">
        <w:t xml:space="preserve">reported in </w:t>
      </w:r>
      <w:r w:rsidR="00A83571" w:rsidRPr="009F79B5">
        <w:t xml:space="preserve">the Study 3018 </w:t>
      </w:r>
      <w:proofErr w:type="spellStart"/>
      <w:r w:rsidR="00A83571" w:rsidRPr="009F79B5">
        <w:t>Topline</w:t>
      </w:r>
      <w:proofErr w:type="spellEnd"/>
      <w:r w:rsidR="00A83571" w:rsidRPr="009F79B5">
        <w:t xml:space="preserve"> Results, </w:t>
      </w:r>
      <w:r w:rsidRPr="009F79B5">
        <w:t>indicated that, in cirrhotic genotype 1a HCV patients, the SVR</w:t>
      </w:r>
      <w:r w:rsidR="00CE1D32" w:rsidRPr="009F79B5">
        <w:t>12</w:t>
      </w:r>
      <w:r w:rsidRPr="009F79B5">
        <w:t xml:space="preserve"> rate was lower in patients with a baseline NS3 Q80K polymorphism (25/34, 73.5%) compared to those without (35/38, 92.1%). This difference was not evident in non-cirrhotic patients in Study 3017 (95.7% vs 97.1% in those with and without Q80K polymorphism, respectively). </w:t>
      </w:r>
      <w:r w:rsidR="008F116E" w:rsidRPr="009F79B5">
        <w:t>The ESC has previously noted that Q80K polymorphism appears to be an effect modifier for SMV+PR</w:t>
      </w:r>
      <w:r w:rsidR="00D05DD6" w:rsidRPr="009F79B5">
        <w:t>.</w:t>
      </w:r>
      <w:r w:rsidR="008F116E" w:rsidRPr="009F79B5">
        <w:t xml:space="preserve"> Given the low prevalence of the polymorphism in Australia</w:t>
      </w:r>
      <w:r w:rsidR="00D05DD6" w:rsidRPr="009F79B5">
        <w:t xml:space="preserve"> (approximately 5-7%)</w:t>
      </w:r>
      <w:r w:rsidR="008F116E" w:rsidRPr="009F79B5">
        <w:t>,</w:t>
      </w:r>
      <w:r w:rsidR="00994E75" w:rsidRPr="009F79B5">
        <w:t xml:space="preserve"> </w:t>
      </w:r>
      <w:r w:rsidR="008F116E" w:rsidRPr="009F79B5">
        <w:t xml:space="preserve">the </w:t>
      </w:r>
      <w:r w:rsidR="000C7EE5" w:rsidRPr="009F79B5">
        <w:t xml:space="preserve">PBAC agreed with </w:t>
      </w:r>
      <w:r w:rsidR="00CE3479" w:rsidRPr="009F79B5">
        <w:t xml:space="preserve">ESC </w:t>
      </w:r>
      <w:r w:rsidR="000C7EE5" w:rsidRPr="009F79B5">
        <w:t xml:space="preserve">and </w:t>
      </w:r>
      <w:r w:rsidR="00CE3479" w:rsidRPr="009F79B5">
        <w:t>considered that screening for Q80K polymorphism would not be necessary</w:t>
      </w:r>
      <w:r w:rsidR="000C7EE5" w:rsidRPr="009F79B5">
        <w:t>,</w:t>
      </w:r>
      <w:r w:rsidR="00CE3479" w:rsidRPr="009F79B5">
        <w:t xml:space="preserve"> provided the proportion of patients with the Q80K polymorphism does not increase significantly over time </w:t>
      </w:r>
    </w:p>
    <w:p w:rsidR="00B421A4" w:rsidRPr="009F79B5" w:rsidRDefault="00B421A4" w:rsidP="00B421A4">
      <w:pPr>
        <w:pStyle w:val="ListParagraph"/>
        <w:rPr>
          <w:szCs w:val="22"/>
        </w:rPr>
      </w:pPr>
    </w:p>
    <w:p w:rsidR="00B421A4" w:rsidRPr="009F79B5" w:rsidRDefault="00B421A4" w:rsidP="00B421A4">
      <w:pPr>
        <w:pStyle w:val="ListParagraph"/>
        <w:widowControl/>
        <w:numPr>
          <w:ilvl w:val="1"/>
          <w:numId w:val="4"/>
        </w:numPr>
        <w:rPr>
          <w:szCs w:val="22"/>
        </w:rPr>
      </w:pPr>
      <w:r w:rsidRPr="009F79B5">
        <w:t xml:space="preserve">The majority of patients with virological failure with sequencing data available had emerging NS3 mutations at the time of failure, most of which have been shown to reduce </w:t>
      </w:r>
      <w:proofErr w:type="spellStart"/>
      <w:r w:rsidRPr="009F79B5">
        <w:t>simeprevir</w:t>
      </w:r>
      <w:proofErr w:type="spellEnd"/>
      <w:r w:rsidRPr="009F79B5">
        <w:t xml:space="preserve"> anti-HCV activity in vitro. No emerging NS5B mutations associated with </w:t>
      </w:r>
      <w:proofErr w:type="spellStart"/>
      <w:r w:rsidRPr="009F79B5">
        <w:t>sofosbuvir</w:t>
      </w:r>
      <w:proofErr w:type="spellEnd"/>
      <w:r w:rsidRPr="009F79B5">
        <w:t xml:space="preserve"> were detected in these patients. The European Medicines Agency (EMA) concluded that the long-term clinical impact of the emergence or persistence of </w:t>
      </w:r>
      <w:proofErr w:type="spellStart"/>
      <w:r w:rsidRPr="009F79B5">
        <w:t>simeprevir</w:t>
      </w:r>
      <w:proofErr w:type="spellEnd"/>
      <w:r w:rsidRPr="009F79B5">
        <w:t>-resistance-associated substitutions is unknown.</w:t>
      </w:r>
    </w:p>
    <w:p w:rsidR="00B421A4" w:rsidRPr="009F79B5" w:rsidRDefault="00B421A4" w:rsidP="00B421A4">
      <w:pPr>
        <w:pStyle w:val="ListParagraph"/>
        <w:rPr>
          <w:szCs w:val="22"/>
        </w:rPr>
      </w:pPr>
    </w:p>
    <w:p w:rsidR="00B421A4" w:rsidRPr="00BD7647" w:rsidRDefault="00B421A4" w:rsidP="00B421A4">
      <w:pPr>
        <w:pStyle w:val="ListParagraph"/>
        <w:widowControl/>
        <w:numPr>
          <w:ilvl w:val="1"/>
          <w:numId w:val="4"/>
        </w:numPr>
        <w:rPr>
          <w:szCs w:val="22"/>
        </w:rPr>
      </w:pPr>
      <w:r w:rsidRPr="009F79B5">
        <w:t xml:space="preserve">The results of the unadjusted indirect comparison of SMV12+SOF12 (based on the results from Study 3017 and Study 3018) and the alternative interferon-free treatment regimens for genotype 1 HCV, for the primary outcome SVR12, performed during the evaluation, are presented in </w:t>
      </w:r>
      <w:r w:rsidR="00AE30D8" w:rsidRPr="009F79B5">
        <w:t>the f</w:t>
      </w:r>
      <w:r w:rsidRPr="009F79B5">
        <w:t xml:space="preserve">igure </w:t>
      </w:r>
      <w:r w:rsidR="00BD7647">
        <w:t>below.</w:t>
      </w:r>
    </w:p>
    <w:p w:rsidR="00BD7647" w:rsidRPr="00BD7647" w:rsidRDefault="00BD7647" w:rsidP="00BD7647">
      <w:pPr>
        <w:pStyle w:val="ListParagraph"/>
        <w:rPr>
          <w:szCs w:val="22"/>
        </w:rPr>
      </w:pPr>
    </w:p>
    <w:p w:rsidR="00BD7647" w:rsidRPr="00BD7647" w:rsidRDefault="00BD7647" w:rsidP="00BD7647">
      <w:pPr>
        <w:pStyle w:val="ListParagraph"/>
        <w:widowControl/>
        <w:rPr>
          <w:szCs w:val="22"/>
        </w:rPr>
      </w:pPr>
    </w:p>
    <w:p w:rsidR="00B421A4" w:rsidRPr="009F79B5" w:rsidRDefault="00B421A4" w:rsidP="00B421A4">
      <w:pPr>
        <w:pStyle w:val="ListParagraph"/>
        <w:widowControl/>
        <w:numPr>
          <w:ilvl w:val="1"/>
          <w:numId w:val="4"/>
        </w:numPr>
        <w:rPr>
          <w:szCs w:val="22"/>
        </w:rPr>
      </w:pPr>
      <w:r w:rsidRPr="009F79B5">
        <w:t>Given the potential exchangeability issues between studies and the small sample sizes in some patient subgroups, the results of the u</w:t>
      </w:r>
      <w:r w:rsidR="00DC2B5C" w:rsidRPr="009F79B5">
        <w:t>nadjusted indirect comparisons we</w:t>
      </w:r>
      <w:r w:rsidRPr="009F79B5">
        <w:t xml:space="preserve">re uncertain and must be interpreted with caution. The SVR12 rates in both treatment-naïve and treatment-experienced patients without cirrhosis </w:t>
      </w:r>
      <w:r w:rsidR="00DC2B5C" w:rsidRPr="009F79B5">
        <w:t>were</w:t>
      </w:r>
      <w:r w:rsidRPr="009F79B5">
        <w:t xml:space="preserve"> consistently high and reasonably similar across the alternative interferon-free treatment regimens. The confidence intervals of the SVR12 rates in cirrhotic patients </w:t>
      </w:r>
      <w:r w:rsidR="00DC2B5C" w:rsidRPr="009F79B5">
        <w:t>we</w:t>
      </w:r>
      <w:r w:rsidRPr="009F79B5">
        <w:t>re generally wider than those in non-cirrhotic patients, adding further uncertainty to the comparison between treatment regimens in these patients. The results from Study 3018 suggest</w:t>
      </w:r>
      <w:r w:rsidR="00DC2B5C" w:rsidRPr="009F79B5">
        <w:t xml:space="preserve">ed that SMV12+SOF12 may </w:t>
      </w:r>
      <w:r w:rsidRPr="009F79B5">
        <w:t xml:space="preserve">be inferior to </w:t>
      </w:r>
      <w:proofErr w:type="spellStart"/>
      <w:r w:rsidRPr="009F79B5">
        <w:t>Viekira</w:t>
      </w:r>
      <w:proofErr w:type="spellEnd"/>
      <w:r w:rsidRPr="009F79B5">
        <w:t xml:space="preserve"> </w:t>
      </w:r>
      <w:r w:rsidR="00B5010C" w:rsidRPr="009F79B5">
        <w:t>PAK-</w:t>
      </w:r>
      <w:r w:rsidRPr="009F79B5">
        <w:t xml:space="preserve">RBV in treatment experienced patients with cirrhosis. </w:t>
      </w:r>
      <w:r w:rsidR="00DC2B5C" w:rsidRPr="009F79B5">
        <w:t>Conversely</w:t>
      </w:r>
      <w:r w:rsidRPr="009F79B5">
        <w:t xml:space="preserve">, the high SVR12 rate observed in Pearlman 2015 for this patient subgroup (33/36, 91.7%) </w:t>
      </w:r>
      <w:r w:rsidR="00DC2B5C" w:rsidRPr="009F79B5">
        <w:t xml:space="preserve">was </w:t>
      </w:r>
      <w:r w:rsidRPr="009F79B5">
        <w:t xml:space="preserve">similar to </w:t>
      </w:r>
      <w:r w:rsidR="00DC2B5C" w:rsidRPr="009F79B5">
        <w:t xml:space="preserve">the </w:t>
      </w:r>
      <w:r w:rsidRPr="009F79B5">
        <w:t>other interferon-free treatment regimens.</w:t>
      </w:r>
    </w:p>
    <w:p w:rsidR="00EA11DE" w:rsidRPr="009F79B5" w:rsidRDefault="00EA11DE" w:rsidP="00EA11DE">
      <w:pPr>
        <w:pStyle w:val="ListParagraph"/>
        <w:widowControl/>
        <w:rPr>
          <w:szCs w:val="22"/>
        </w:rPr>
      </w:pPr>
    </w:p>
    <w:p w:rsidR="00C14004" w:rsidRDefault="00B421A4" w:rsidP="00BD7647">
      <w:pPr>
        <w:pStyle w:val="TableHeader"/>
        <w:keepNext/>
        <w:keepLines/>
        <w:ind w:left="720"/>
        <w:rPr>
          <w:i/>
        </w:rPr>
      </w:pPr>
      <w:r w:rsidRPr="009F79B5">
        <w:lastRenderedPageBreak/>
        <w:t>Figure 1: Comparison of SVR12 rates for alternative interferon-free treatment regimens for genotype 1 HCV</w:t>
      </w:r>
      <w:bookmarkStart w:id="10" w:name="_Toc419380198"/>
      <w:r w:rsidR="00C21E78">
        <w:rPr>
          <w:i/>
        </w:rPr>
        <w:tab/>
      </w:r>
    </w:p>
    <w:p w:rsidR="00C21E78" w:rsidRDefault="00C21E78" w:rsidP="00C21E78">
      <w:r>
        <w:tab/>
        <w:t>[THIS FIGURE HAS BEEN REDACTED]</w:t>
      </w:r>
    </w:p>
    <w:p w:rsidR="00C21E78" w:rsidRPr="00C21E78" w:rsidRDefault="00C21E78" w:rsidP="00C21E78"/>
    <w:p w:rsidR="00B421A4" w:rsidRPr="009F79B5" w:rsidRDefault="00B421A4" w:rsidP="00B421A4">
      <w:pPr>
        <w:pStyle w:val="Heading2"/>
        <w:rPr>
          <w:i/>
        </w:rPr>
      </w:pPr>
      <w:r w:rsidRPr="009F79B5">
        <w:rPr>
          <w:i/>
        </w:rPr>
        <w:t>Comparative harms</w:t>
      </w:r>
      <w:bookmarkEnd w:id="10"/>
    </w:p>
    <w:p w:rsidR="00B421A4" w:rsidRPr="009F79B5" w:rsidRDefault="00B421A4" w:rsidP="00B421A4">
      <w:pPr>
        <w:ind w:left="720" w:hanging="720"/>
        <w:rPr>
          <w:szCs w:val="22"/>
        </w:rPr>
      </w:pPr>
    </w:p>
    <w:p w:rsidR="00B421A4" w:rsidRPr="009F79B5" w:rsidRDefault="00B421A4" w:rsidP="00B421A4">
      <w:pPr>
        <w:pStyle w:val="ListParagraph"/>
        <w:widowControl/>
        <w:numPr>
          <w:ilvl w:val="1"/>
          <w:numId w:val="4"/>
        </w:numPr>
        <w:rPr>
          <w:szCs w:val="22"/>
        </w:rPr>
      </w:pPr>
      <w:r w:rsidRPr="009F79B5">
        <w:t xml:space="preserve">The proportion of patients experiencing adverse events (AEs) in the SMV12+SOF12 treatment arms of the included studies is summarised below. Skin events, including rash, photosensitivity and pruritus are recognised safety issues associated with </w:t>
      </w:r>
      <w:proofErr w:type="spellStart"/>
      <w:r w:rsidRPr="009F79B5">
        <w:t>si</w:t>
      </w:r>
      <w:r w:rsidR="00E657B9" w:rsidRPr="009F79B5">
        <w:t>meprevir</w:t>
      </w:r>
      <w:proofErr w:type="spellEnd"/>
      <w:r w:rsidR="00E657B9" w:rsidRPr="009F79B5">
        <w:t>; most of these events we</w:t>
      </w:r>
      <w:r w:rsidRPr="009F79B5">
        <w:t>re of mild to moderate severity</w:t>
      </w:r>
      <w:r w:rsidRPr="009F79B5">
        <w:rPr>
          <w:i/>
        </w:rPr>
        <w:t>.</w:t>
      </w:r>
      <w:r w:rsidR="00EA11DE" w:rsidRPr="009F79B5">
        <w:rPr>
          <w:szCs w:val="22"/>
        </w:rPr>
        <w:t xml:space="preserve"> </w:t>
      </w:r>
    </w:p>
    <w:p w:rsidR="00B421A4" w:rsidRPr="009F79B5" w:rsidRDefault="00B421A4" w:rsidP="00B421A4">
      <w:pPr>
        <w:pStyle w:val="ListParagraph"/>
        <w:widowControl/>
      </w:pPr>
    </w:p>
    <w:p w:rsidR="00B421A4" w:rsidRPr="009F79B5" w:rsidRDefault="00B421A4" w:rsidP="00C14004">
      <w:pPr>
        <w:pStyle w:val="TableHeader"/>
        <w:keepNext/>
        <w:ind w:firstLine="720"/>
      </w:pPr>
      <w:r w:rsidRPr="00C21E78">
        <w:t xml:space="preserve">Table </w:t>
      </w:r>
      <w:r w:rsidR="00EA11DE" w:rsidRPr="00C21E78">
        <w:t>5</w:t>
      </w:r>
      <w:r w:rsidRPr="00C21E78">
        <w:t>:</w:t>
      </w:r>
      <w:r w:rsidRPr="009F79B5">
        <w:t xml:space="preserve"> Summary of key adverse events in the SMV12+SOF12 treatment arm of the studies</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567"/>
        <w:gridCol w:w="1722"/>
        <w:gridCol w:w="1582"/>
        <w:gridCol w:w="1509"/>
      </w:tblGrid>
      <w:tr w:rsidR="00B421A4" w:rsidRPr="009F79B5" w:rsidTr="00626918">
        <w:tc>
          <w:tcPr>
            <w:tcW w:w="1169" w:type="pct"/>
            <w:vAlign w:val="center"/>
          </w:tcPr>
          <w:p w:rsidR="00B421A4" w:rsidRPr="009F79B5" w:rsidRDefault="00B421A4" w:rsidP="00C14004">
            <w:pPr>
              <w:keepNext/>
              <w:tabs>
                <w:tab w:val="left" w:pos="150"/>
              </w:tabs>
              <w:jc w:val="left"/>
              <w:rPr>
                <w:rFonts w:ascii="Arial Narrow" w:hAnsi="Arial Narrow"/>
                <w:sz w:val="20"/>
              </w:rPr>
            </w:pPr>
          </w:p>
        </w:tc>
        <w:tc>
          <w:tcPr>
            <w:tcW w:w="941" w:type="pct"/>
            <w:vAlign w:val="center"/>
          </w:tcPr>
          <w:p w:rsidR="00B421A4" w:rsidRPr="009F79B5" w:rsidRDefault="00B421A4" w:rsidP="00C14004">
            <w:pPr>
              <w:keepNext/>
              <w:jc w:val="center"/>
              <w:rPr>
                <w:rFonts w:ascii="Arial Narrow" w:hAnsi="Arial Narrow"/>
                <w:b/>
                <w:sz w:val="20"/>
              </w:rPr>
            </w:pPr>
            <w:r w:rsidRPr="009F79B5">
              <w:rPr>
                <w:rFonts w:ascii="Arial Narrow" w:hAnsi="Arial Narrow"/>
                <w:b/>
                <w:sz w:val="20"/>
              </w:rPr>
              <w:t>Study 3017</w:t>
            </w:r>
            <w:r w:rsidRPr="009F79B5">
              <w:rPr>
                <w:rFonts w:ascii="Arial Narrow" w:hAnsi="Arial Narrow"/>
                <w:b/>
                <w:sz w:val="20"/>
                <w:vertAlign w:val="superscript"/>
              </w:rPr>
              <w:t>a,b</w:t>
            </w:r>
          </w:p>
          <w:p w:rsidR="00B421A4" w:rsidRPr="009F79B5" w:rsidRDefault="00B421A4" w:rsidP="00C14004">
            <w:pPr>
              <w:keepNext/>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1034" w:type="pct"/>
            <w:vAlign w:val="center"/>
          </w:tcPr>
          <w:p w:rsidR="00B421A4" w:rsidRPr="009F79B5" w:rsidRDefault="00B421A4" w:rsidP="00C14004">
            <w:pPr>
              <w:keepNext/>
              <w:jc w:val="center"/>
              <w:rPr>
                <w:rFonts w:ascii="Arial Narrow" w:hAnsi="Arial Narrow"/>
                <w:b/>
                <w:sz w:val="20"/>
              </w:rPr>
            </w:pPr>
            <w:r w:rsidRPr="009F79B5">
              <w:rPr>
                <w:rFonts w:ascii="Arial Narrow" w:hAnsi="Arial Narrow"/>
                <w:b/>
                <w:sz w:val="20"/>
              </w:rPr>
              <w:t>Study 3018</w:t>
            </w:r>
            <w:r w:rsidRPr="009F79B5">
              <w:rPr>
                <w:rFonts w:ascii="Arial Narrow" w:hAnsi="Arial Narrow"/>
                <w:b/>
                <w:sz w:val="20"/>
                <w:vertAlign w:val="superscript"/>
              </w:rPr>
              <w:t>c</w:t>
            </w:r>
          </w:p>
          <w:p w:rsidR="00B421A4" w:rsidRPr="009F79B5" w:rsidRDefault="00B421A4" w:rsidP="00C14004">
            <w:pPr>
              <w:keepNext/>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950" w:type="pct"/>
            <w:vAlign w:val="center"/>
          </w:tcPr>
          <w:p w:rsidR="00B421A4" w:rsidRPr="009F79B5" w:rsidRDefault="00B421A4" w:rsidP="00C14004">
            <w:pPr>
              <w:keepNext/>
              <w:jc w:val="center"/>
              <w:rPr>
                <w:rFonts w:ascii="Arial Narrow" w:hAnsi="Arial Narrow"/>
                <w:b/>
                <w:sz w:val="20"/>
              </w:rPr>
            </w:pPr>
            <w:r w:rsidRPr="009F79B5">
              <w:rPr>
                <w:rFonts w:ascii="Arial Narrow" w:hAnsi="Arial Narrow"/>
                <w:b/>
                <w:sz w:val="20"/>
              </w:rPr>
              <w:t>Pearlman 2015</w:t>
            </w:r>
            <w:r w:rsidRPr="009F79B5">
              <w:rPr>
                <w:rFonts w:ascii="Arial Narrow" w:hAnsi="Arial Narrow"/>
                <w:b/>
                <w:sz w:val="20"/>
                <w:vertAlign w:val="superscript"/>
              </w:rPr>
              <w:t>d</w:t>
            </w:r>
          </w:p>
          <w:p w:rsidR="00B421A4" w:rsidRPr="009F79B5" w:rsidRDefault="00B421A4" w:rsidP="00C14004">
            <w:pPr>
              <w:keepNext/>
              <w:jc w:val="center"/>
              <w:rPr>
                <w:rFonts w:ascii="Arial Narrow" w:hAnsi="Arial Narrow"/>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906" w:type="pct"/>
          </w:tcPr>
          <w:p w:rsidR="00B421A4" w:rsidRPr="009F79B5" w:rsidRDefault="00B421A4" w:rsidP="00C14004">
            <w:pPr>
              <w:keepNext/>
              <w:jc w:val="center"/>
              <w:rPr>
                <w:rFonts w:ascii="Arial Narrow" w:hAnsi="Arial Narrow"/>
                <w:b/>
                <w:sz w:val="20"/>
              </w:rPr>
            </w:pPr>
            <w:r w:rsidRPr="009F79B5">
              <w:rPr>
                <w:rFonts w:ascii="Arial Narrow" w:hAnsi="Arial Narrow"/>
                <w:b/>
                <w:sz w:val="20"/>
              </w:rPr>
              <w:t>COSMOS</w:t>
            </w:r>
          </w:p>
          <w:p w:rsidR="00B421A4" w:rsidRPr="009F79B5" w:rsidRDefault="00B421A4" w:rsidP="00C14004">
            <w:pPr>
              <w:keepNext/>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r>
      <w:tr w:rsidR="00B421A4" w:rsidRPr="009F79B5" w:rsidTr="00626918">
        <w:tc>
          <w:tcPr>
            <w:tcW w:w="1169" w:type="pct"/>
            <w:vAlign w:val="center"/>
          </w:tcPr>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 xml:space="preserve">Any AE </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AE related to treatment</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Any serious AE</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Grade 3/4 AE</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Number discontinued</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Number died</w:t>
            </w:r>
          </w:p>
        </w:tc>
        <w:tc>
          <w:tcPr>
            <w:tcW w:w="941" w:type="pct"/>
          </w:tcPr>
          <w:p w:rsidR="00B421A4" w:rsidRPr="009F79B5" w:rsidRDefault="00B421A4" w:rsidP="00C14004">
            <w:pPr>
              <w:keepNext/>
              <w:jc w:val="center"/>
              <w:rPr>
                <w:rFonts w:ascii="Arial Narrow" w:hAnsi="Arial Narrow"/>
                <w:sz w:val="20"/>
              </w:rPr>
            </w:pPr>
            <w:r w:rsidRPr="009F79B5">
              <w:rPr>
                <w:rFonts w:ascii="Arial Narrow" w:hAnsi="Arial Narrow"/>
                <w:sz w:val="20"/>
              </w:rPr>
              <w:t>103/155 (66.5%)</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p w:rsidR="00B421A4" w:rsidRPr="009F79B5" w:rsidRDefault="00B421A4" w:rsidP="00C14004">
            <w:pPr>
              <w:keepNext/>
              <w:jc w:val="center"/>
              <w:rPr>
                <w:rFonts w:ascii="Arial Narrow" w:hAnsi="Arial Narrow"/>
                <w:sz w:val="20"/>
              </w:rPr>
            </w:pPr>
            <w:r w:rsidRPr="009F79B5">
              <w:rPr>
                <w:rFonts w:ascii="Arial Narrow" w:hAnsi="Arial Narrow"/>
                <w:sz w:val="20"/>
              </w:rPr>
              <w:t>1/155 (0.6%)</w:t>
            </w:r>
          </w:p>
          <w:p w:rsidR="00B421A4" w:rsidRPr="009F79B5" w:rsidRDefault="00B421A4" w:rsidP="00C14004">
            <w:pPr>
              <w:keepNext/>
              <w:jc w:val="center"/>
              <w:rPr>
                <w:rFonts w:ascii="Arial Narrow" w:hAnsi="Arial Narrow"/>
                <w:sz w:val="20"/>
              </w:rPr>
            </w:pPr>
            <w:r w:rsidRPr="009F79B5">
              <w:rPr>
                <w:rFonts w:ascii="Arial Narrow" w:hAnsi="Arial Narrow"/>
                <w:sz w:val="20"/>
              </w:rPr>
              <w:t>4/155 (2.6%)</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tc>
        <w:tc>
          <w:tcPr>
            <w:tcW w:w="1034" w:type="pct"/>
          </w:tcPr>
          <w:p w:rsidR="00B421A4" w:rsidRPr="009F79B5" w:rsidRDefault="00B421A4" w:rsidP="00C14004">
            <w:pPr>
              <w:keepNext/>
              <w:jc w:val="center"/>
              <w:rPr>
                <w:rFonts w:ascii="Arial Narrow" w:hAnsi="Arial Narrow"/>
                <w:sz w:val="20"/>
              </w:rPr>
            </w:pPr>
            <w:r w:rsidRPr="009F79B5">
              <w:rPr>
                <w:rFonts w:ascii="Arial Narrow" w:hAnsi="Arial Narrow"/>
                <w:sz w:val="20"/>
              </w:rPr>
              <w:t>72/103 (69.9%)</w:t>
            </w:r>
          </w:p>
          <w:p w:rsidR="00B421A4" w:rsidRPr="009F79B5" w:rsidRDefault="00B421A4" w:rsidP="00C14004">
            <w:pPr>
              <w:keepNext/>
              <w:jc w:val="center"/>
              <w:rPr>
                <w:rFonts w:ascii="Arial Narrow" w:hAnsi="Arial Narrow"/>
                <w:sz w:val="20"/>
              </w:rPr>
            </w:pPr>
            <w:r w:rsidRPr="009F79B5">
              <w:rPr>
                <w:rFonts w:ascii="Arial Narrow" w:hAnsi="Arial Narrow"/>
                <w:sz w:val="20"/>
              </w:rPr>
              <w:t>50/103 (48.5%)</w:t>
            </w:r>
          </w:p>
          <w:p w:rsidR="00B421A4" w:rsidRPr="009F79B5" w:rsidRDefault="00B421A4" w:rsidP="00C14004">
            <w:pPr>
              <w:keepNext/>
              <w:jc w:val="center"/>
              <w:rPr>
                <w:rFonts w:ascii="Arial Narrow" w:hAnsi="Arial Narrow"/>
                <w:sz w:val="20"/>
              </w:rPr>
            </w:pPr>
            <w:r w:rsidRPr="009F79B5">
              <w:rPr>
                <w:rFonts w:ascii="Arial Narrow" w:hAnsi="Arial Narrow"/>
                <w:sz w:val="20"/>
              </w:rPr>
              <w:t>5/103 (4.9%)</w:t>
            </w:r>
          </w:p>
          <w:p w:rsidR="00B421A4" w:rsidRPr="009F79B5" w:rsidRDefault="00B421A4" w:rsidP="00C14004">
            <w:pPr>
              <w:keepNext/>
              <w:jc w:val="center"/>
              <w:rPr>
                <w:rFonts w:ascii="Arial Narrow" w:hAnsi="Arial Narrow"/>
                <w:sz w:val="20"/>
              </w:rPr>
            </w:pPr>
            <w:r w:rsidRPr="009F79B5">
              <w:rPr>
                <w:rFonts w:ascii="Arial Narrow" w:hAnsi="Arial Narrow"/>
                <w:sz w:val="20"/>
              </w:rPr>
              <w:t>6/103 (5.8%)</w:t>
            </w:r>
          </w:p>
          <w:p w:rsidR="00B421A4" w:rsidRPr="009F79B5" w:rsidRDefault="00B421A4" w:rsidP="00C14004">
            <w:pPr>
              <w:keepNext/>
              <w:jc w:val="center"/>
              <w:rPr>
                <w:rFonts w:ascii="Arial Narrow" w:hAnsi="Arial Narrow"/>
                <w:sz w:val="20"/>
              </w:rPr>
            </w:pPr>
            <w:r w:rsidRPr="009F79B5">
              <w:rPr>
                <w:rFonts w:ascii="Arial Narrow" w:hAnsi="Arial Narrow"/>
                <w:sz w:val="20"/>
              </w:rPr>
              <w:t>3/103 (2.9%)</w:t>
            </w:r>
          </w:p>
          <w:p w:rsidR="00B421A4" w:rsidRPr="009F79B5" w:rsidRDefault="00B421A4" w:rsidP="00C14004">
            <w:pPr>
              <w:keepNext/>
              <w:jc w:val="center"/>
              <w:rPr>
                <w:rFonts w:ascii="Arial Narrow" w:hAnsi="Arial Narrow"/>
                <w:sz w:val="20"/>
              </w:rPr>
            </w:pPr>
            <w:r w:rsidRPr="009F79B5">
              <w:rPr>
                <w:rFonts w:ascii="Arial Narrow" w:hAnsi="Arial Narrow"/>
                <w:sz w:val="20"/>
              </w:rPr>
              <w:t>1/103 (1.0%)</w:t>
            </w:r>
          </w:p>
        </w:tc>
        <w:tc>
          <w:tcPr>
            <w:tcW w:w="950" w:type="pct"/>
          </w:tcPr>
          <w:p w:rsidR="00B421A4" w:rsidRPr="009F79B5" w:rsidRDefault="00B421A4" w:rsidP="00C14004">
            <w:pPr>
              <w:keepNext/>
              <w:jc w:val="center"/>
              <w:rPr>
                <w:rFonts w:ascii="Arial Narrow" w:hAnsi="Arial Narrow"/>
                <w:sz w:val="20"/>
              </w:rPr>
            </w:pPr>
            <w:r w:rsidRPr="009F79B5">
              <w:rPr>
                <w:rFonts w:ascii="Arial Narrow" w:hAnsi="Arial Narrow"/>
                <w:sz w:val="20"/>
              </w:rPr>
              <w:t>46/58 (79.3%)</w:t>
            </w:r>
          </w:p>
          <w:p w:rsidR="00B421A4" w:rsidRPr="009F79B5" w:rsidRDefault="00B421A4" w:rsidP="00C14004">
            <w:pPr>
              <w:keepNext/>
              <w:jc w:val="center"/>
              <w:rPr>
                <w:rFonts w:ascii="Arial Narrow" w:hAnsi="Arial Narrow"/>
                <w:sz w:val="20"/>
              </w:rPr>
            </w:pPr>
            <w:r w:rsidRPr="009F79B5">
              <w:rPr>
                <w:rFonts w:ascii="Arial Narrow" w:hAnsi="Arial Narrow"/>
                <w:sz w:val="20"/>
              </w:rPr>
              <w:t>NR</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1/58 (1.7%)</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tc>
        <w:tc>
          <w:tcPr>
            <w:tcW w:w="906" w:type="pct"/>
          </w:tcPr>
          <w:p w:rsidR="00B421A4" w:rsidRPr="009F79B5" w:rsidRDefault="00B421A4" w:rsidP="00C14004">
            <w:pPr>
              <w:keepNext/>
              <w:jc w:val="center"/>
              <w:rPr>
                <w:rFonts w:ascii="Arial Narrow" w:hAnsi="Arial Narrow"/>
                <w:sz w:val="20"/>
              </w:rPr>
            </w:pPr>
            <w:r w:rsidRPr="009F79B5">
              <w:rPr>
                <w:rFonts w:ascii="Arial Narrow" w:hAnsi="Arial Narrow"/>
                <w:sz w:val="20"/>
              </w:rPr>
              <w:t>20/28 (71.4%)</w:t>
            </w:r>
          </w:p>
          <w:p w:rsidR="00B421A4" w:rsidRPr="009F79B5" w:rsidRDefault="00B421A4" w:rsidP="00C14004">
            <w:pPr>
              <w:keepNext/>
              <w:jc w:val="center"/>
              <w:rPr>
                <w:rFonts w:ascii="Arial Narrow" w:hAnsi="Arial Narrow"/>
                <w:sz w:val="20"/>
              </w:rPr>
            </w:pPr>
            <w:r w:rsidRPr="009F79B5">
              <w:rPr>
                <w:rFonts w:ascii="Arial Narrow" w:hAnsi="Arial Narrow"/>
                <w:sz w:val="20"/>
              </w:rPr>
              <w:t>13/28 (46.4%)</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2/28 (7.1%)</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tc>
      </w:tr>
      <w:tr w:rsidR="00B421A4" w:rsidRPr="009F79B5" w:rsidTr="00626918">
        <w:tc>
          <w:tcPr>
            <w:tcW w:w="1169" w:type="pct"/>
            <w:vAlign w:val="center"/>
          </w:tcPr>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Most common AEs</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Fatigue</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Headache</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Nausea</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Insomnia</w:t>
            </w:r>
          </w:p>
        </w:tc>
        <w:tc>
          <w:tcPr>
            <w:tcW w:w="941"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19/155 (12.3%)</w:t>
            </w:r>
          </w:p>
          <w:p w:rsidR="00B421A4" w:rsidRPr="009F79B5" w:rsidRDefault="00B421A4" w:rsidP="00C14004">
            <w:pPr>
              <w:keepNext/>
              <w:jc w:val="center"/>
              <w:rPr>
                <w:rFonts w:ascii="Arial Narrow" w:hAnsi="Arial Narrow"/>
                <w:sz w:val="20"/>
              </w:rPr>
            </w:pPr>
            <w:r w:rsidRPr="009F79B5">
              <w:rPr>
                <w:rFonts w:ascii="Arial Narrow" w:hAnsi="Arial Narrow"/>
                <w:sz w:val="20"/>
              </w:rPr>
              <w:t>22/155 (14.2%)</w:t>
            </w:r>
          </w:p>
          <w:p w:rsidR="00B421A4" w:rsidRPr="009F79B5" w:rsidRDefault="00B421A4" w:rsidP="00C14004">
            <w:pPr>
              <w:keepNext/>
              <w:jc w:val="center"/>
              <w:rPr>
                <w:rFonts w:ascii="Arial Narrow" w:hAnsi="Arial Narrow"/>
                <w:sz w:val="20"/>
              </w:rPr>
            </w:pPr>
            <w:r w:rsidRPr="009F79B5">
              <w:rPr>
                <w:rFonts w:ascii="Arial Narrow" w:hAnsi="Arial Narrow"/>
                <w:sz w:val="20"/>
              </w:rPr>
              <w:t>23/155 (14.8%)</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tc>
        <w:tc>
          <w:tcPr>
            <w:tcW w:w="1034"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21/103 (20.4%)</w:t>
            </w:r>
          </w:p>
          <w:p w:rsidR="00B421A4" w:rsidRPr="009F79B5" w:rsidRDefault="00B421A4" w:rsidP="00C14004">
            <w:pPr>
              <w:keepNext/>
              <w:jc w:val="center"/>
              <w:rPr>
                <w:rFonts w:ascii="Arial Narrow" w:hAnsi="Arial Narrow"/>
                <w:sz w:val="20"/>
              </w:rPr>
            </w:pPr>
            <w:r w:rsidRPr="009F79B5">
              <w:rPr>
                <w:rFonts w:ascii="Arial Narrow" w:hAnsi="Arial Narrow"/>
                <w:sz w:val="20"/>
              </w:rPr>
              <w:t>21/103 (20.4%)</w:t>
            </w:r>
          </w:p>
          <w:p w:rsidR="00B421A4" w:rsidRPr="009F79B5" w:rsidRDefault="00B421A4" w:rsidP="00C14004">
            <w:pPr>
              <w:keepNext/>
              <w:jc w:val="center"/>
              <w:rPr>
                <w:rFonts w:ascii="Arial Narrow" w:hAnsi="Arial Narrow"/>
                <w:sz w:val="20"/>
              </w:rPr>
            </w:pPr>
            <w:r w:rsidRPr="009F79B5">
              <w:rPr>
                <w:rFonts w:ascii="Arial Narrow" w:hAnsi="Arial Narrow"/>
                <w:sz w:val="20"/>
              </w:rPr>
              <w:t>11/103 (10.7%)</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tc>
        <w:tc>
          <w:tcPr>
            <w:tcW w:w="950"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8/58 (13.8%)</w:t>
            </w:r>
          </w:p>
          <w:p w:rsidR="00B421A4" w:rsidRPr="009F79B5" w:rsidRDefault="00B421A4" w:rsidP="00C14004">
            <w:pPr>
              <w:keepNext/>
              <w:jc w:val="center"/>
              <w:rPr>
                <w:rFonts w:ascii="Arial Narrow" w:hAnsi="Arial Narrow"/>
                <w:sz w:val="20"/>
              </w:rPr>
            </w:pPr>
            <w:r w:rsidRPr="009F79B5">
              <w:rPr>
                <w:rFonts w:ascii="Arial Narrow" w:hAnsi="Arial Narrow"/>
                <w:sz w:val="20"/>
              </w:rPr>
              <w:t>7/58 (12.1%)</w:t>
            </w:r>
          </w:p>
          <w:p w:rsidR="00B421A4" w:rsidRPr="009F79B5" w:rsidRDefault="00B421A4" w:rsidP="00C14004">
            <w:pPr>
              <w:keepNext/>
              <w:jc w:val="center"/>
              <w:rPr>
                <w:rFonts w:ascii="Arial Narrow" w:hAnsi="Arial Narrow"/>
                <w:sz w:val="20"/>
              </w:rPr>
            </w:pPr>
            <w:r w:rsidRPr="009F79B5">
              <w:rPr>
                <w:rFonts w:ascii="Arial Narrow" w:hAnsi="Arial Narrow"/>
                <w:sz w:val="20"/>
              </w:rPr>
              <w:t>6/58 (10.3%)</w:t>
            </w:r>
          </w:p>
          <w:p w:rsidR="00B421A4" w:rsidRPr="009F79B5" w:rsidRDefault="00B421A4" w:rsidP="00C14004">
            <w:pPr>
              <w:keepNext/>
              <w:jc w:val="center"/>
              <w:rPr>
                <w:rFonts w:ascii="Arial Narrow" w:hAnsi="Arial Narrow"/>
                <w:sz w:val="20"/>
              </w:rPr>
            </w:pPr>
            <w:r w:rsidRPr="009F79B5">
              <w:rPr>
                <w:rFonts w:ascii="Arial Narrow" w:hAnsi="Arial Narrow"/>
                <w:sz w:val="20"/>
              </w:rPr>
              <w:t>3/58 (5.2%)</w:t>
            </w:r>
          </w:p>
        </w:tc>
        <w:tc>
          <w:tcPr>
            <w:tcW w:w="906" w:type="pct"/>
          </w:tcPr>
          <w:p w:rsidR="00B421A4" w:rsidRPr="009F79B5" w:rsidRDefault="00B421A4" w:rsidP="00C14004">
            <w:pPr>
              <w:keepNext/>
              <w:jc w:val="center"/>
              <w:rPr>
                <w:rFonts w:ascii="Arial Narrow" w:hAnsi="Arial Narrow"/>
                <w:sz w:val="20"/>
              </w:rPr>
            </w:pP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C21E78">
              <w:rPr>
                <w:rFonts w:ascii="Arial Narrow" w:hAnsi="Arial Narrow"/>
                <w:sz w:val="20"/>
              </w:rPr>
              <w:t xml:space="preserve"> </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tc>
      </w:tr>
      <w:tr w:rsidR="00B421A4" w:rsidRPr="009F79B5" w:rsidTr="00626918">
        <w:tc>
          <w:tcPr>
            <w:tcW w:w="1169" w:type="pct"/>
            <w:vAlign w:val="center"/>
          </w:tcPr>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AEs of special interest</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Rash (any type)</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Pruritus</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Photosensitivity</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Dyspnoea</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Increased bilirubin</w:t>
            </w:r>
          </w:p>
          <w:p w:rsidR="00B421A4" w:rsidRPr="009F79B5" w:rsidRDefault="00B421A4" w:rsidP="00C14004">
            <w:pPr>
              <w:keepNext/>
              <w:tabs>
                <w:tab w:val="left" w:pos="150"/>
              </w:tabs>
              <w:jc w:val="left"/>
              <w:rPr>
                <w:rFonts w:ascii="Arial Narrow" w:hAnsi="Arial Narrow"/>
                <w:sz w:val="20"/>
              </w:rPr>
            </w:pPr>
            <w:r w:rsidRPr="009F79B5">
              <w:rPr>
                <w:rFonts w:ascii="Arial Narrow" w:hAnsi="Arial Narrow"/>
                <w:sz w:val="20"/>
              </w:rPr>
              <w:tab/>
              <w:t>Anaemia</w:t>
            </w:r>
          </w:p>
        </w:tc>
        <w:tc>
          <w:tcPr>
            <w:tcW w:w="941"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10/155 (6.5%)</w:t>
            </w:r>
          </w:p>
          <w:p w:rsidR="00B421A4" w:rsidRPr="009F79B5" w:rsidRDefault="00B421A4" w:rsidP="00C14004">
            <w:pPr>
              <w:keepNext/>
              <w:jc w:val="center"/>
              <w:rPr>
                <w:rFonts w:ascii="Arial Narrow" w:hAnsi="Arial Narrow"/>
                <w:sz w:val="20"/>
              </w:rPr>
            </w:pPr>
            <w:r w:rsidRPr="009F79B5">
              <w:rPr>
                <w:rFonts w:ascii="Arial Narrow" w:hAnsi="Arial Narrow"/>
                <w:sz w:val="20"/>
              </w:rPr>
              <w:t>7/155 (4.5%)</w:t>
            </w:r>
          </w:p>
          <w:p w:rsidR="00B421A4" w:rsidRPr="009F79B5" w:rsidRDefault="00B421A4" w:rsidP="00C14004">
            <w:pPr>
              <w:keepNext/>
              <w:jc w:val="center"/>
              <w:rPr>
                <w:rFonts w:ascii="Arial Narrow" w:hAnsi="Arial Narrow"/>
                <w:sz w:val="20"/>
              </w:rPr>
            </w:pPr>
            <w:r w:rsidRPr="009F79B5">
              <w:rPr>
                <w:rFonts w:ascii="Arial Narrow" w:hAnsi="Arial Narrow"/>
                <w:sz w:val="20"/>
              </w:rPr>
              <w:t>2/155 (1.3%)</w:t>
            </w:r>
          </w:p>
          <w:p w:rsidR="00B421A4" w:rsidRPr="009F79B5" w:rsidRDefault="00B421A4" w:rsidP="00C14004">
            <w:pPr>
              <w:keepNext/>
              <w:jc w:val="center"/>
              <w:rPr>
                <w:rFonts w:ascii="Arial Narrow" w:hAnsi="Arial Narrow"/>
                <w:sz w:val="20"/>
              </w:rPr>
            </w:pPr>
            <w:r w:rsidRPr="009F79B5">
              <w:rPr>
                <w:rFonts w:ascii="Arial Narrow" w:hAnsi="Arial Narrow"/>
                <w:sz w:val="20"/>
              </w:rPr>
              <w:t>3/155 (1.9%)</w:t>
            </w:r>
          </w:p>
          <w:p w:rsidR="00B421A4" w:rsidRPr="009F79B5" w:rsidRDefault="00B421A4" w:rsidP="00C14004">
            <w:pPr>
              <w:keepNext/>
              <w:jc w:val="center"/>
              <w:rPr>
                <w:rFonts w:ascii="Arial Narrow" w:hAnsi="Arial Narrow"/>
                <w:sz w:val="20"/>
              </w:rPr>
            </w:pPr>
            <w:r w:rsidRPr="009F79B5">
              <w:rPr>
                <w:rFonts w:ascii="Arial Narrow" w:hAnsi="Arial Narrow"/>
                <w:sz w:val="20"/>
              </w:rPr>
              <w:t>1/155 (0.6%)</w:t>
            </w:r>
          </w:p>
          <w:p w:rsidR="00B421A4" w:rsidRPr="00BD7647" w:rsidRDefault="00BD7647" w:rsidP="00C14004">
            <w:pPr>
              <w:keepNext/>
              <w:jc w:val="center"/>
              <w:rPr>
                <w:rFonts w:ascii="Arial Narrow" w:hAnsi="Arial Narrow"/>
                <w:sz w:val="20"/>
                <w:highlight w:val="black"/>
              </w:rPr>
            </w:pPr>
            <w:r>
              <w:rPr>
                <w:rFonts w:ascii="Arial Narrow" w:hAnsi="Arial Narrow"/>
                <w:noProof/>
                <w:color w:val="000000"/>
                <w:sz w:val="20"/>
                <w:highlight w:val="black"/>
              </w:rPr>
              <w:t>''''</w:t>
            </w:r>
          </w:p>
        </w:tc>
        <w:tc>
          <w:tcPr>
            <w:tcW w:w="1034"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16/103 (15.5%)</w:t>
            </w:r>
          </w:p>
          <w:p w:rsidR="00B421A4" w:rsidRPr="009F79B5" w:rsidRDefault="00B421A4" w:rsidP="00C14004">
            <w:pPr>
              <w:keepNext/>
              <w:jc w:val="center"/>
              <w:rPr>
                <w:rFonts w:ascii="Arial Narrow" w:hAnsi="Arial Narrow"/>
                <w:sz w:val="20"/>
              </w:rPr>
            </w:pPr>
            <w:r w:rsidRPr="009F79B5">
              <w:rPr>
                <w:rFonts w:ascii="Arial Narrow" w:hAnsi="Arial Narrow"/>
                <w:sz w:val="20"/>
              </w:rPr>
              <w:t>14/103 (13.6%)</w:t>
            </w:r>
          </w:p>
          <w:p w:rsidR="00B421A4" w:rsidRPr="009F79B5" w:rsidRDefault="00B421A4" w:rsidP="00C14004">
            <w:pPr>
              <w:keepNext/>
              <w:jc w:val="center"/>
              <w:rPr>
                <w:rFonts w:ascii="Arial Narrow" w:hAnsi="Arial Narrow"/>
                <w:sz w:val="20"/>
              </w:rPr>
            </w:pPr>
            <w:r w:rsidRPr="009F79B5">
              <w:rPr>
                <w:rFonts w:ascii="Arial Narrow" w:hAnsi="Arial Narrow"/>
                <w:sz w:val="20"/>
              </w:rPr>
              <w:t>5/103 (4.9%)</w:t>
            </w:r>
          </w:p>
          <w:p w:rsidR="00B421A4" w:rsidRPr="009F79B5" w:rsidRDefault="00B421A4" w:rsidP="00C14004">
            <w:pPr>
              <w:keepNext/>
              <w:jc w:val="center"/>
              <w:rPr>
                <w:rFonts w:ascii="Arial Narrow" w:hAnsi="Arial Narrow"/>
                <w:sz w:val="20"/>
              </w:rPr>
            </w:pPr>
            <w:r w:rsidRPr="009F79B5">
              <w:rPr>
                <w:rFonts w:ascii="Arial Narrow" w:hAnsi="Arial Narrow"/>
                <w:sz w:val="20"/>
              </w:rPr>
              <w:t>3/103 (2.9%)</w:t>
            </w:r>
          </w:p>
          <w:p w:rsidR="00B421A4" w:rsidRPr="009F79B5" w:rsidRDefault="00B421A4" w:rsidP="00C14004">
            <w:pPr>
              <w:keepNext/>
              <w:jc w:val="center"/>
              <w:rPr>
                <w:rFonts w:ascii="Arial Narrow" w:hAnsi="Arial Narrow"/>
                <w:sz w:val="20"/>
              </w:rPr>
            </w:pPr>
            <w:r w:rsidRPr="009F79B5">
              <w:rPr>
                <w:rFonts w:ascii="Arial Narrow" w:hAnsi="Arial Narrow"/>
                <w:sz w:val="20"/>
              </w:rPr>
              <w:t>2/103 (1.9%)</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tc>
        <w:tc>
          <w:tcPr>
            <w:tcW w:w="950"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rPr>
            </w:pPr>
            <w:r w:rsidRPr="009F79B5">
              <w:rPr>
                <w:rFonts w:ascii="Arial Narrow" w:hAnsi="Arial Narrow"/>
                <w:sz w:val="20"/>
              </w:rPr>
              <w:t>10/58 (17.2%)</w:t>
            </w:r>
          </w:p>
          <w:p w:rsidR="00B421A4" w:rsidRPr="009F79B5" w:rsidRDefault="00B421A4" w:rsidP="00C14004">
            <w:pPr>
              <w:keepNext/>
              <w:jc w:val="center"/>
              <w:rPr>
                <w:rFonts w:ascii="Arial Narrow" w:hAnsi="Arial Narrow"/>
                <w:sz w:val="20"/>
              </w:rPr>
            </w:pPr>
            <w:r w:rsidRPr="009F79B5">
              <w:rPr>
                <w:rFonts w:ascii="Arial Narrow" w:hAnsi="Arial Narrow"/>
                <w:sz w:val="20"/>
              </w:rPr>
              <w:t>6/58 (10.3%)</w:t>
            </w:r>
          </w:p>
          <w:p w:rsidR="00B421A4" w:rsidRPr="009F79B5" w:rsidRDefault="00B421A4" w:rsidP="00C14004">
            <w:pPr>
              <w:keepNext/>
              <w:jc w:val="center"/>
              <w:rPr>
                <w:rFonts w:ascii="Arial Narrow" w:hAnsi="Arial Narrow"/>
                <w:sz w:val="20"/>
              </w:rPr>
            </w:pPr>
            <w:r w:rsidRPr="009F79B5">
              <w:rPr>
                <w:rFonts w:ascii="Arial Narrow" w:hAnsi="Arial Narrow"/>
                <w:sz w:val="20"/>
              </w:rPr>
              <w:t>3/58 (5.2%)</w:t>
            </w:r>
          </w:p>
          <w:p w:rsidR="00B421A4" w:rsidRPr="009F79B5" w:rsidRDefault="00B421A4" w:rsidP="00C14004">
            <w:pPr>
              <w:keepNext/>
              <w:jc w:val="center"/>
              <w:rPr>
                <w:rFonts w:ascii="Arial Narrow" w:hAnsi="Arial Narrow"/>
                <w:sz w:val="20"/>
              </w:rPr>
            </w:pPr>
            <w:r w:rsidRPr="009F79B5">
              <w:rPr>
                <w:rFonts w:ascii="Arial Narrow" w:hAnsi="Arial Narrow"/>
                <w:sz w:val="20"/>
              </w:rPr>
              <w:t>1/58 (1.7%)</w:t>
            </w:r>
          </w:p>
          <w:p w:rsidR="00B421A4" w:rsidRPr="009F79B5" w:rsidRDefault="00B421A4" w:rsidP="00C14004">
            <w:pPr>
              <w:keepNext/>
              <w:jc w:val="center"/>
              <w:rPr>
                <w:rFonts w:ascii="Arial Narrow" w:hAnsi="Arial Narrow"/>
                <w:sz w:val="20"/>
              </w:rPr>
            </w:pPr>
            <w:r w:rsidRPr="009F79B5">
              <w:rPr>
                <w:rFonts w:ascii="Arial Narrow" w:hAnsi="Arial Narrow"/>
                <w:sz w:val="20"/>
              </w:rPr>
              <w:t>4/58 (6.9%)</w:t>
            </w:r>
          </w:p>
          <w:p w:rsidR="00B421A4" w:rsidRPr="009F79B5" w:rsidRDefault="00B421A4" w:rsidP="00C14004">
            <w:pPr>
              <w:keepNext/>
              <w:jc w:val="center"/>
              <w:rPr>
                <w:rFonts w:ascii="Arial Narrow" w:hAnsi="Arial Narrow"/>
                <w:sz w:val="20"/>
              </w:rPr>
            </w:pPr>
            <w:r w:rsidRPr="009F79B5">
              <w:rPr>
                <w:rFonts w:ascii="Arial Narrow" w:hAnsi="Arial Narrow"/>
                <w:sz w:val="20"/>
              </w:rPr>
              <w:t>1 (1.7%)</w:t>
            </w:r>
          </w:p>
        </w:tc>
        <w:tc>
          <w:tcPr>
            <w:tcW w:w="906" w:type="pct"/>
          </w:tcPr>
          <w:p w:rsidR="00B421A4" w:rsidRPr="009F79B5" w:rsidRDefault="00B421A4" w:rsidP="00C14004">
            <w:pPr>
              <w:keepNext/>
              <w:jc w:val="center"/>
              <w:rPr>
                <w:rFonts w:ascii="Arial Narrow" w:hAnsi="Arial Narrow"/>
                <w:sz w:val="20"/>
              </w:rPr>
            </w:pPr>
          </w:p>
          <w:p w:rsidR="00B421A4" w:rsidRPr="009F79B5" w:rsidRDefault="00B421A4" w:rsidP="00C14004">
            <w:pPr>
              <w:keepNext/>
              <w:jc w:val="center"/>
              <w:rPr>
                <w:rFonts w:ascii="Arial Narrow" w:hAnsi="Arial Narrow"/>
                <w:sz w:val="20"/>
                <w:vertAlign w:val="superscript"/>
              </w:rPr>
            </w:pPr>
            <w:r w:rsidRPr="009F79B5">
              <w:rPr>
                <w:rFonts w:ascii="Arial Narrow" w:hAnsi="Arial Narrow"/>
                <w:sz w:val="20"/>
              </w:rPr>
              <w:t>3/28 (10.7%)</w:t>
            </w:r>
          </w:p>
          <w:p w:rsidR="00B421A4" w:rsidRPr="009F79B5" w:rsidRDefault="00B421A4" w:rsidP="00C14004">
            <w:pPr>
              <w:keepNext/>
              <w:jc w:val="center"/>
              <w:rPr>
                <w:rFonts w:ascii="Arial Narrow" w:hAnsi="Arial Narrow"/>
                <w:sz w:val="20"/>
              </w:rPr>
            </w:pPr>
            <w:r w:rsidRPr="009F79B5">
              <w:rPr>
                <w:rFonts w:ascii="Arial Narrow" w:hAnsi="Arial Narrow"/>
                <w:sz w:val="20"/>
              </w:rPr>
              <w:t>4/28 (14.3%)</w:t>
            </w:r>
          </w:p>
          <w:p w:rsidR="00B421A4" w:rsidRPr="009F79B5" w:rsidRDefault="00B421A4" w:rsidP="00C14004">
            <w:pPr>
              <w:keepNext/>
              <w:jc w:val="center"/>
              <w:rPr>
                <w:rFonts w:ascii="Arial Narrow" w:hAnsi="Arial Narrow"/>
                <w:sz w:val="20"/>
              </w:rPr>
            </w:pPr>
            <w:r w:rsidRPr="009F79B5">
              <w:rPr>
                <w:rFonts w:ascii="Arial Narrow" w:hAnsi="Arial Narrow"/>
                <w:sz w:val="20"/>
              </w:rPr>
              <w:t>2/28 (7.1%)</w:t>
            </w:r>
          </w:p>
          <w:p w:rsidR="00B421A4" w:rsidRPr="009F79B5" w:rsidRDefault="00BD7647" w:rsidP="00C14004">
            <w:pPr>
              <w:keepNext/>
              <w:jc w:val="center"/>
              <w:rPr>
                <w:rFonts w:ascii="Arial Narrow" w:hAnsi="Arial Narrow"/>
                <w:sz w:val="20"/>
              </w:rPr>
            </w:pPr>
            <w:r>
              <w:rPr>
                <w:rFonts w:ascii="Arial Narrow" w:hAnsi="Arial Narrow"/>
                <w:noProof/>
                <w:color w:val="000000"/>
                <w:sz w:val="20"/>
                <w:highlight w:val="black"/>
              </w:rPr>
              <w:t>'''</w:t>
            </w:r>
            <w:r w:rsidR="00B421A4" w:rsidRPr="009F79B5">
              <w:rPr>
                <w:rFonts w:ascii="Arial Narrow" w:hAnsi="Arial Narrow"/>
                <w:sz w:val="20"/>
              </w:rPr>
              <w:t>/</w:t>
            </w:r>
            <w:r>
              <w:rPr>
                <w:rFonts w:ascii="Arial Narrow" w:hAnsi="Arial Narrow"/>
                <w:noProof/>
                <w:color w:val="000000"/>
                <w:sz w:val="20"/>
                <w:highlight w:val="black"/>
              </w:rPr>
              <w:t>''''''</w:t>
            </w:r>
            <w:r w:rsidR="00B421A4" w:rsidRPr="009F79B5">
              <w:rPr>
                <w:rFonts w:ascii="Arial Narrow" w:hAnsi="Arial Narrow"/>
                <w:sz w:val="20"/>
              </w:rPr>
              <w:t xml:space="preserve"> (</w:t>
            </w:r>
            <w:r>
              <w:rPr>
                <w:rFonts w:ascii="Arial Narrow" w:hAnsi="Arial Narrow"/>
                <w:noProof/>
                <w:color w:val="000000"/>
                <w:sz w:val="20"/>
                <w:highlight w:val="black"/>
              </w:rPr>
              <w:t>''''''''</w:t>
            </w:r>
            <w:r w:rsidR="00B421A4" w:rsidRPr="009F79B5">
              <w:rPr>
                <w:rFonts w:ascii="Arial Narrow" w:hAnsi="Arial Narrow"/>
                <w:sz w:val="20"/>
              </w:rPr>
              <w:t>%)</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p w:rsidR="00B421A4" w:rsidRPr="009F79B5" w:rsidRDefault="00B421A4" w:rsidP="00C14004">
            <w:pPr>
              <w:keepNext/>
              <w:jc w:val="center"/>
              <w:rPr>
                <w:rFonts w:ascii="Arial Narrow" w:hAnsi="Arial Narrow"/>
                <w:sz w:val="20"/>
              </w:rPr>
            </w:pPr>
            <w:r w:rsidRPr="009F79B5">
              <w:rPr>
                <w:rFonts w:ascii="Arial Narrow" w:hAnsi="Arial Narrow"/>
                <w:sz w:val="20"/>
              </w:rPr>
              <w:t>0</w:t>
            </w:r>
          </w:p>
        </w:tc>
      </w:tr>
    </w:tbl>
    <w:p w:rsidR="00B421A4" w:rsidRPr="009F79B5" w:rsidRDefault="00B421A4" w:rsidP="00C14004">
      <w:pPr>
        <w:pStyle w:val="TableFooter"/>
        <w:keepNext/>
        <w:ind w:left="710"/>
      </w:pPr>
      <w:r w:rsidRPr="009F79B5">
        <w:t>AE = adverse events.</w:t>
      </w:r>
    </w:p>
    <w:p w:rsidR="00B421A4" w:rsidRPr="009F79B5" w:rsidRDefault="00B421A4" w:rsidP="00C14004">
      <w:pPr>
        <w:pStyle w:val="TableFooter"/>
        <w:keepNext/>
        <w:ind w:left="710"/>
      </w:pPr>
      <w:proofErr w:type="gramStart"/>
      <w:r w:rsidRPr="009F79B5">
        <w:rPr>
          <w:vertAlign w:val="superscript"/>
        </w:rPr>
        <w:t>a</w:t>
      </w:r>
      <w:proofErr w:type="gramEnd"/>
      <w:r w:rsidRPr="009F79B5">
        <w:t xml:space="preserve"> Study 3017 only included non-cirrhotic patients. </w:t>
      </w:r>
    </w:p>
    <w:p w:rsidR="00B421A4" w:rsidRPr="009F79B5" w:rsidRDefault="00B421A4" w:rsidP="00C14004">
      <w:pPr>
        <w:pStyle w:val="TableFooter"/>
        <w:keepNext/>
        <w:ind w:left="852" w:hanging="142"/>
        <w:rPr>
          <w:i/>
        </w:rPr>
      </w:pPr>
      <w:proofErr w:type="gramStart"/>
      <w:r w:rsidRPr="009F79B5">
        <w:rPr>
          <w:vertAlign w:val="superscript"/>
        </w:rPr>
        <w:t>b</w:t>
      </w:r>
      <w:proofErr w:type="gramEnd"/>
      <w:r w:rsidRPr="009F79B5">
        <w:rPr>
          <w:vertAlign w:val="superscript"/>
        </w:rPr>
        <w:t xml:space="preserve"> </w:t>
      </w:r>
      <w:r w:rsidR="00A57231" w:rsidRPr="009F79B5">
        <w:t>Only AEs in the SMV12+SOF</w:t>
      </w:r>
      <w:r w:rsidRPr="009F79B5">
        <w:t>12 treatment arm are included in the table.</w:t>
      </w:r>
    </w:p>
    <w:p w:rsidR="00B421A4" w:rsidRPr="009F79B5" w:rsidRDefault="00B421A4" w:rsidP="00C14004">
      <w:pPr>
        <w:pStyle w:val="TableFooter"/>
        <w:keepNext/>
        <w:ind w:left="710"/>
      </w:pPr>
      <w:proofErr w:type="gramStart"/>
      <w:r w:rsidRPr="009F79B5">
        <w:rPr>
          <w:vertAlign w:val="superscript"/>
        </w:rPr>
        <w:t>c</w:t>
      </w:r>
      <w:proofErr w:type="gramEnd"/>
      <w:r w:rsidRPr="009F79B5">
        <w:rPr>
          <w:vertAlign w:val="superscript"/>
        </w:rPr>
        <w:t xml:space="preserve"> </w:t>
      </w:r>
      <w:r w:rsidRPr="009F79B5">
        <w:t>Study 3018 only included patients with cirrhosis</w:t>
      </w:r>
    </w:p>
    <w:p w:rsidR="00B421A4" w:rsidRPr="009F79B5" w:rsidRDefault="00B421A4" w:rsidP="00C14004">
      <w:pPr>
        <w:pStyle w:val="TableFooter"/>
        <w:keepNext/>
        <w:ind w:left="710"/>
      </w:pPr>
      <w:proofErr w:type="gramStart"/>
      <w:r w:rsidRPr="009F79B5">
        <w:rPr>
          <w:vertAlign w:val="superscript"/>
        </w:rPr>
        <w:t>d</w:t>
      </w:r>
      <w:proofErr w:type="gramEnd"/>
      <w:r w:rsidRPr="009F79B5">
        <w:t xml:space="preserve"> Pearlman 2015 and Study 3018 only included patients with cirrhosis</w:t>
      </w:r>
    </w:p>
    <w:p w:rsidR="00B421A4" w:rsidRPr="009F79B5" w:rsidRDefault="00B421A4" w:rsidP="00C14004">
      <w:pPr>
        <w:pStyle w:val="TableFooter"/>
        <w:keepNext/>
        <w:ind w:left="710"/>
      </w:pPr>
      <w:r w:rsidRPr="009F79B5">
        <w:t>Source: Table Bi.29 and Table Bi.30, pp81-82 of the submission; Pearlman 2015; COSMOS CSR Tables 22, 23, 24, 26 and 27, pp41-47 Study 3017 Results; Tables 22, 23, 27 and 28 pp37-43 Study 3018 Results.</w:t>
      </w:r>
    </w:p>
    <w:p w:rsidR="00B421A4" w:rsidRPr="009F79B5" w:rsidRDefault="00B421A4" w:rsidP="00B421A4">
      <w:pPr>
        <w:pStyle w:val="ListParagraph"/>
        <w:widowControl/>
        <w:rPr>
          <w:szCs w:val="22"/>
        </w:rPr>
      </w:pPr>
    </w:p>
    <w:p w:rsidR="00AE3308" w:rsidRPr="009F79B5" w:rsidRDefault="00AE3308" w:rsidP="00AE3308">
      <w:pPr>
        <w:pStyle w:val="ListParagraph"/>
        <w:widowControl/>
        <w:numPr>
          <w:ilvl w:val="1"/>
          <w:numId w:val="4"/>
        </w:numPr>
        <w:rPr>
          <w:szCs w:val="22"/>
        </w:rPr>
      </w:pPr>
      <w:r w:rsidRPr="009F79B5">
        <w:t xml:space="preserve">As </w:t>
      </w:r>
      <w:r w:rsidR="0063207F" w:rsidRPr="009F79B5">
        <w:t xml:space="preserve">there </w:t>
      </w:r>
      <w:r w:rsidR="00BD03D3" w:rsidRPr="009F79B5">
        <w:t>were</w:t>
      </w:r>
      <w:r w:rsidR="0063207F" w:rsidRPr="009F79B5">
        <w:t xml:space="preserve"> limited safety data for DCV+SOF in genotype 1 HCV patients (n=62)</w:t>
      </w:r>
      <w:r w:rsidR="008941DA" w:rsidRPr="009F79B5">
        <w:t xml:space="preserve">, only </w:t>
      </w:r>
      <w:r w:rsidR="0063207F" w:rsidRPr="009F79B5">
        <w:t>a</w:t>
      </w:r>
      <w:r w:rsidR="008941DA" w:rsidRPr="009F79B5">
        <w:t xml:space="preserve"> comparison </w:t>
      </w:r>
      <w:r w:rsidR="0063207F" w:rsidRPr="009F79B5">
        <w:t xml:space="preserve">of the safety data for SMV+SOF and LDV/SOF is </w:t>
      </w:r>
      <w:r w:rsidRPr="009F79B5">
        <w:t xml:space="preserve">presented below. The most commonly reported AEs in both the SMV+SOF studies and the LDV/SOF studies were fatigue, headache and nausea. The incidence of skin events, including rash, pruritus and photosensitivity, was higher in patients treated with SMV+SOF compared to LDV/SOF. </w:t>
      </w:r>
      <w:r w:rsidR="00287075" w:rsidRPr="009F79B5">
        <w:t xml:space="preserve">However, the majority of the skin events observed in patients treated with SMV+SOF were of mild to moderate severity. </w:t>
      </w:r>
      <w:r w:rsidRPr="009F79B5">
        <w:t>Otherwise, there were no clear differences between the safety profiles of the two treatment regimens.</w:t>
      </w:r>
    </w:p>
    <w:p w:rsidR="00B421A4" w:rsidRPr="009F79B5" w:rsidRDefault="00B421A4" w:rsidP="00B421A4">
      <w:pPr>
        <w:pStyle w:val="ListParagraph"/>
        <w:widowControl/>
        <w:rPr>
          <w:szCs w:val="22"/>
        </w:rPr>
      </w:pPr>
    </w:p>
    <w:p w:rsidR="00FF34D9" w:rsidRDefault="00FF34D9">
      <w:pPr>
        <w:widowControl/>
        <w:jc w:val="left"/>
        <w:rPr>
          <w:rFonts w:ascii="Arial Narrow" w:hAnsi="Arial Narrow"/>
          <w:b/>
          <w:sz w:val="20"/>
        </w:rPr>
      </w:pPr>
      <w:r>
        <w:br w:type="page"/>
      </w:r>
    </w:p>
    <w:p w:rsidR="00B421A4" w:rsidRPr="009F79B5" w:rsidRDefault="00B421A4" w:rsidP="00B421A4">
      <w:pPr>
        <w:pStyle w:val="TableHeader"/>
        <w:ind w:firstLine="720"/>
      </w:pPr>
      <w:r w:rsidRPr="009F79B5">
        <w:lastRenderedPageBreak/>
        <w:t xml:space="preserve">Table </w:t>
      </w:r>
      <w:r w:rsidR="00EA11DE" w:rsidRPr="009F79B5">
        <w:t>6</w:t>
      </w:r>
      <w:r w:rsidRPr="009F79B5">
        <w:t>: Summary of key adverse events for SMV12+SOF12 and LDV/SOF</w:t>
      </w:r>
    </w:p>
    <w:tbl>
      <w:tblPr>
        <w:tblW w:w="462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8"/>
        <w:gridCol w:w="1400"/>
        <w:gridCol w:w="1218"/>
        <w:gridCol w:w="1245"/>
        <w:gridCol w:w="1401"/>
        <w:gridCol w:w="1147"/>
      </w:tblGrid>
      <w:tr w:rsidR="00B421A4" w:rsidRPr="009F79B5" w:rsidTr="00626918">
        <w:tc>
          <w:tcPr>
            <w:tcW w:w="1183" w:type="pct"/>
            <w:vAlign w:val="center"/>
          </w:tcPr>
          <w:p w:rsidR="00B421A4" w:rsidRPr="009F79B5" w:rsidRDefault="00B421A4" w:rsidP="00626918">
            <w:pPr>
              <w:tabs>
                <w:tab w:val="left" w:pos="150"/>
              </w:tabs>
              <w:jc w:val="left"/>
              <w:rPr>
                <w:rFonts w:ascii="Arial Narrow" w:hAnsi="Arial Narrow"/>
                <w:sz w:val="20"/>
              </w:rPr>
            </w:pPr>
          </w:p>
        </w:tc>
        <w:tc>
          <w:tcPr>
            <w:tcW w:w="833" w:type="pct"/>
            <w:vAlign w:val="center"/>
          </w:tcPr>
          <w:p w:rsidR="00B421A4" w:rsidRPr="009F79B5" w:rsidRDefault="00B421A4" w:rsidP="00626918">
            <w:pPr>
              <w:jc w:val="center"/>
              <w:rPr>
                <w:rFonts w:ascii="Arial Narrow" w:hAnsi="Arial Narrow"/>
                <w:b/>
                <w:sz w:val="20"/>
              </w:rPr>
            </w:pPr>
            <w:r w:rsidRPr="009F79B5">
              <w:rPr>
                <w:rFonts w:ascii="Arial Narrow" w:hAnsi="Arial Narrow"/>
                <w:b/>
                <w:sz w:val="20"/>
              </w:rPr>
              <w:t>Study 3017</w:t>
            </w:r>
          </w:p>
          <w:p w:rsidR="00B421A4" w:rsidRPr="009F79B5" w:rsidRDefault="00B421A4" w:rsidP="00626918">
            <w:pPr>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725" w:type="pct"/>
            <w:vAlign w:val="center"/>
          </w:tcPr>
          <w:p w:rsidR="00B421A4" w:rsidRPr="009F79B5" w:rsidRDefault="00B421A4" w:rsidP="00626918">
            <w:pPr>
              <w:jc w:val="center"/>
              <w:rPr>
                <w:rFonts w:ascii="Arial Narrow" w:hAnsi="Arial Narrow"/>
                <w:b/>
                <w:sz w:val="20"/>
              </w:rPr>
            </w:pPr>
            <w:r w:rsidRPr="009F79B5">
              <w:rPr>
                <w:rFonts w:ascii="Arial Narrow" w:hAnsi="Arial Narrow"/>
                <w:b/>
                <w:sz w:val="20"/>
              </w:rPr>
              <w:t>Study 3018</w:t>
            </w:r>
          </w:p>
          <w:p w:rsidR="00B421A4" w:rsidRPr="009F79B5" w:rsidRDefault="00B421A4" w:rsidP="00626918">
            <w:pPr>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741" w:type="pct"/>
          </w:tcPr>
          <w:p w:rsidR="00B421A4" w:rsidRPr="009F79B5" w:rsidRDefault="00B421A4" w:rsidP="00626918">
            <w:pPr>
              <w:jc w:val="center"/>
              <w:rPr>
                <w:rFonts w:ascii="Arial Narrow" w:hAnsi="Arial Narrow"/>
                <w:b/>
                <w:sz w:val="20"/>
              </w:rPr>
            </w:pPr>
            <w:r w:rsidRPr="009F79B5">
              <w:rPr>
                <w:rFonts w:ascii="Arial Narrow" w:hAnsi="Arial Narrow"/>
                <w:b/>
                <w:sz w:val="20"/>
              </w:rPr>
              <w:t>ION-3</w:t>
            </w:r>
          </w:p>
          <w:p w:rsidR="00B421A4" w:rsidRPr="009F79B5" w:rsidRDefault="00670248" w:rsidP="00626918">
            <w:pPr>
              <w:jc w:val="center"/>
              <w:rPr>
                <w:rFonts w:ascii="Arial Narrow" w:hAnsi="Arial Narrow"/>
                <w:b/>
                <w:sz w:val="20"/>
                <w:vertAlign w:val="superscript"/>
              </w:rPr>
            </w:pPr>
            <w:r w:rsidRPr="009F79B5">
              <w:rPr>
                <w:rFonts w:ascii="Arial Narrow" w:hAnsi="Arial Narrow"/>
                <w:b/>
                <w:sz w:val="20"/>
              </w:rPr>
              <w:t>LDV/</w:t>
            </w:r>
            <w:proofErr w:type="spellStart"/>
            <w:r w:rsidRPr="009F79B5">
              <w:rPr>
                <w:rFonts w:ascii="Arial Narrow" w:hAnsi="Arial Narrow"/>
                <w:b/>
                <w:sz w:val="20"/>
              </w:rPr>
              <w:t>SOF</w:t>
            </w:r>
            <w:r w:rsidRPr="009F79B5">
              <w:rPr>
                <w:rFonts w:ascii="Arial Narrow" w:hAnsi="Arial Narrow"/>
                <w:b/>
                <w:sz w:val="20"/>
                <w:vertAlign w:val="superscript"/>
              </w:rPr>
              <w:t>a</w:t>
            </w:r>
            <w:proofErr w:type="spellEnd"/>
          </w:p>
          <w:p w:rsidR="00B421A4" w:rsidRPr="009F79B5" w:rsidRDefault="00B421A4" w:rsidP="00626918">
            <w:pPr>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834" w:type="pct"/>
          </w:tcPr>
          <w:p w:rsidR="00B421A4" w:rsidRPr="009F79B5" w:rsidRDefault="00B421A4" w:rsidP="00626918">
            <w:pPr>
              <w:jc w:val="center"/>
              <w:rPr>
                <w:rFonts w:ascii="Arial Narrow" w:hAnsi="Arial Narrow"/>
                <w:b/>
                <w:sz w:val="20"/>
                <w:vertAlign w:val="superscript"/>
              </w:rPr>
            </w:pPr>
            <w:r w:rsidRPr="009F79B5">
              <w:rPr>
                <w:rFonts w:ascii="Arial Narrow" w:hAnsi="Arial Narrow"/>
                <w:b/>
                <w:sz w:val="20"/>
              </w:rPr>
              <w:t>ION-1</w:t>
            </w:r>
          </w:p>
          <w:p w:rsidR="00B421A4" w:rsidRPr="009F79B5" w:rsidRDefault="00B421A4" w:rsidP="00626918">
            <w:pPr>
              <w:jc w:val="center"/>
              <w:rPr>
                <w:rFonts w:ascii="Arial Narrow" w:hAnsi="Arial Narrow"/>
                <w:b/>
                <w:sz w:val="20"/>
              </w:rPr>
            </w:pPr>
            <w:r w:rsidRPr="009F79B5">
              <w:rPr>
                <w:rFonts w:ascii="Arial Narrow" w:hAnsi="Arial Narrow"/>
                <w:b/>
                <w:sz w:val="20"/>
              </w:rPr>
              <w:t>LDV/SOF12</w:t>
            </w:r>
          </w:p>
          <w:p w:rsidR="00B421A4" w:rsidRPr="009F79B5" w:rsidRDefault="00B421A4" w:rsidP="00626918">
            <w:pPr>
              <w:jc w:val="center"/>
              <w:rPr>
                <w:rFonts w:ascii="Arial Narrow" w:hAnsi="Arial Narrow"/>
                <w:b/>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c>
          <w:tcPr>
            <w:tcW w:w="683" w:type="pct"/>
            <w:vAlign w:val="center"/>
          </w:tcPr>
          <w:p w:rsidR="00B421A4" w:rsidRPr="009F79B5" w:rsidRDefault="00B421A4" w:rsidP="00626918">
            <w:pPr>
              <w:jc w:val="center"/>
              <w:rPr>
                <w:rFonts w:ascii="Arial Narrow" w:hAnsi="Arial Narrow"/>
                <w:b/>
                <w:sz w:val="20"/>
              </w:rPr>
            </w:pPr>
            <w:r w:rsidRPr="009F79B5">
              <w:rPr>
                <w:rFonts w:ascii="Arial Narrow" w:hAnsi="Arial Narrow"/>
                <w:b/>
                <w:sz w:val="20"/>
              </w:rPr>
              <w:t>ION-2</w:t>
            </w:r>
          </w:p>
          <w:p w:rsidR="00B421A4" w:rsidRPr="009F79B5" w:rsidRDefault="00B421A4" w:rsidP="00626918">
            <w:pPr>
              <w:jc w:val="center"/>
              <w:rPr>
                <w:rFonts w:ascii="Arial Narrow" w:hAnsi="Arial Narrow"/>
                <w:b/>
                <w:sz w:val="20"/>
              </w:rPr>
            </w:pPr>
            <w:r w:rsidRPr="009F79B5">
              <w:rPr>
                <w:rFonts w:ascii="Arial Narrow" w:hAnsi="Arial Narrow"/>
                <w:b/>
                <w:sz w:val="20"/>
              </w:rPr>
              <w:t>LDV/SOF12</w:t>
            </w:r>
          </w:p>
          <w:p w:rsidR="00B421A4" w:rsidRPr="009F79B5" w:rsidRDefault="00B421A4" w:rsidP="00626918">
            <w:pPr>
              <w:jc w:val="center"/>
              <w:rPr>
                <w:rFonts w:ascii="Arial Narrow" w:hAnsi="Arial Narrow"/>
                <w:sz w:val="20"/>
              </w:rPr>
            </w:pPr>
            <w:proofErr w:type="gramStart"/>
            <w:r w:rsidRPr="009F79B5">
              <w:rPr>
                <w:rFonts w:ascii="Arial Narrow" w:hAnsi="Arial Narrow"/>
                <w:b/>
                <w:sz w:val="20"/>
              </w:rPr>
              <w:t>n/N</w:t>
            </w:r>
            <w:proofErr w:type="gramEnd"/>
            <w:r w:rsidRPr="009F79B5">
              <w:rPr>
                <w:rFonts w:ascii="Arial Narrow" w:hAnsi="Arial Narrow"/>
                <w:b/>
                <w:sz w:val="20"/>
              </w:rPr>
              <w:t xml:space="preserve"> (%)</w:t>
            </w:r>
          </w:p>
        </w:tc>
      </w:tr>
      <w:tr w:rsidR="00B421A4" w:rsidRPr="009F79B5" w:rsidTr="00626918">
        <w:tc>
          <w:tcPr>
            <w:tcW w:w="1183" w:type="pct"/>
            <w:vAlign w:val="center"/>
          </w:tcPr>
          <w:p w:rsidR="00B421A4" w:rsidRPr="009F79B5" w:rsidRDefault="00B421A4" w:rsidP="00626918">
            <w:pPr>
              <w:tabs>
                <w:tab w:val="left" w:pos="150"/>
              </w:tabs>
              <w:jc w:val="left"/>
              <w:rPr>
                <w:rFonts w:ascii="Arial Narrow" w:hAnsi="Arial Narrow"/>
                <w:sz w:val="20"/>
              </w:rPr>
            </w:pPr>
            <w:r w:rsidRPr="009F79B5">
              <w:rPr>
                <w:rFonts w:ascii="Arial Narrow" w:hAnsi="Arial Narrow"/>
                <w:sz w:val="20"/>
              </w:rPr>
              <w:t>Population</w:t>
            </w:r>
          </w:p>
        </w:tc>
        <w:tc>
          <w:tcPr>
            <w:tcW w:w="833" w:type="pct"/>
            <w:vAlign w:val="center"/>
          </w:tcPr>
          <w:p w:rsidR="00B421A4" w:rsidRPr="009F79B5" w:rsidRDefault="00B421A4" w:rsidP="00626918">
            <w:pPr>
              <w:jc w:val="center"/>
              <w:rPr>
                <w:rFonts w:ascii="Arial Narrow" w:hAnsi="Arial Narrow"/>
                <w:sz w:val="20"/>
              </w:rPr>
            </w:pPr>
            <w:r w:rsidRPr="009F79B5">
              <w:rPr>
                <w:rFonts w:ascii="Arial Narrow" w:hAnsi="Arial Narrow"/>
                <w:sz w:val="20"/>
              </w:rPr>
              <w:t>TN and TE</w:t>
            </w:r>
          </w:p>
          <w:p w:rsidR="00B421A4" w:rsidRPr="009F79B5" w:rsidRDefault="00B421A4" w:rsidP="00626918">
            <w:pPr>
              <w:jc w:val="center"/>
              <w:rPr>
                <w:rFonts w:ascii="Arial Narrow" w:hAnsi="Arial Narrow"/>
                <w:sz w:val="20"/>
              </w:rPr>
            </w:pPr>
            <w:r w:rsidRPr="009F79B5">
              <w:rPr>
                <w:rFonts w:ascii="Arial Narrow" w:hAnsi="Arial Narrow"/>
                <w:sz w:val="20"/>
              </w:rPr>
              <w:t>Non-cirrhotic</w:t>
            </w:r>
          </w:p>
        </w:tc>
        <w:tc>
          <w:tcPr>
            <w:tcW w:w="725" w:type="pct"/>
            <w:vAlign w:val="center"/>
          </w:tcPr>
          <w:p w:rsidR="00B421A4" w:rsidRPr="009F79B5" w:rsidRDefault="00B421A4" w:rsidP="00626918">
            <w:pPr>
              <w:jc w:val="center"/>
              <w:rPr>
                <w:rFonts w:ascii="Arial Narrow" w:hAnsi="Arial Narrow"/>
                <w:sz w:val="20"/>
              </w:rPr>
            </w:pPr>
            <w:r w:rsidRPr="009F79B5">
              <w:rPr>
                <w:rFonts w:ascii="Arial Narrow" w:hAnsi="Arial Narrow"/>
                <w:sz w:val="20"/>
              </w:rPr>
              <w:t>TN and TE</w:t>
            </w:r>
          </w:p>
          <w:p w:rsidR="00B421A4" w:rsidRPr="009F79B5" w:rsidRDefault="00B421A4" w:rsidP="00626918">
            <w:pPr>
              <w:jc w:val="center"/>
              <w:rPr>
                <w:rFonts w:ascii="Arial Narrow" w:hAnsi="Arial Narrow"/>
                <w:sz w:val="20"/>
              </w:rPr>
            </w:pPr>
            <w:r w:rsidRPr="009F79B5">
              <w:rPr>
                <w:rFonts w:ascii="Arial Narrow" w:hAnsi="Arial Narrow"/>
                <w:sz w:val="20"/>
              </w:rPr>
              <w:t>100% cirrhotic</w:t>
            </w:r>
          </w:p>
        </w:tc>
        <w:tc>
          <w:tcPr>
            <w:tcW w:w="741" w:type="pct"/>
          </w:tcPr>
          <w:p w:rsidR="00B421A4" w:rsidRPr="009F79B5" w:rsidRDefault="00B421A4" w:rsidP="00626918">
            <w:pPr>
              <w:jc w:val="center"/>
              <w:rPr>
                <w:rFonts w:ascii="Arial Narrow" w:hAnsi="Arial Narrow"/>
                <w:sz w:val="20"/>
              </w:rPr>
            </w:pPr>
            <w:r w:rsidRPr="009F79B5">
              <w:rPr>
                <w:rFonts w:ascii="Arial Narrow" w:hAnsi="Arial Narrow"/>
                <w:sz w:val="20"/>
              </w:rPr>
              <w:t>TN</w:t>
            </w:r>
          </w:p>
          <w:p w:rsidR="00B421A4" w:rsidRPr="009F79B5" w:rsidRDefault="00B421A4" w:rsidP="00626918">
            <w:pPr>
              <w:jc w:val="center"/>
              <w:rPr>
                <w:rFonts w:ascii="Arial Narrow" w:hAnsi="Arial Narrow"/>
                <w:sz w:val="20"/>
              </w:rPr>
            </w:pPr>
            <w:r w:rsidRPr="009F79B5">
              <w:rPr>
                <w:rFonts w:ascii="Arial Narrow" w:hAnsi="Arial Narrow"/>
                <w:sz w:val="20"/>
              </w:rPr>
              <w:t>Non-cirrhotic</w:t>
            </w:r>
          </w:p>
        </w:tc>
        <w:tc>
          <w:tcPr>
            <w:tcW w:w="834" w:type="pct"/>
          </w:tcPr>
          <w:p w:rsidR="00B421A4" w:rsidRPr="009F79B5" w:rsidRDefault="00B421A4" w:rsidP="00626918">
            <w:pPr>
              <w:jc w:val="center"/>
              <w:rPr>
                <w:rFonts w:ascii="Arial Narrow" w:hAnsi="Arial Narrow"/>
                <w:sz w:val="20"/>
              </w:rPr>
            </w:pPr>
            <w:r w:rsidRPr="009F79B5">
              <w:rPr>
                <w:rFonts w:ascii="Arial Narrow" w:hAnsi="Arial Narrow"/>
                <w:sz w:val="20"/>
              </w:rPr>
              <w:t>TN</w:t>
            </w:r>
          </w:p>
          <w:p w:rsidR="00B421A4" w:rsidRPr="009F79B5" w:rsidRDefault="00B421A4" w:rsidP="00626918">
            <w:pPr>
              <w:jc w:val="center"/>
              <w:rPr>
                <w:rFonts w:ascii="Arial Narrow" w:hAnsi="Arial Narrow"/>
                <w:sz w:val="20"/>
              </w:rPr>
            </w:pPr>
            <w:r w:rsidRPr="009F79B5">
              <w:rPr>
                <w:rFonts w:ascii="Arial Narrow" w:hAnsi="Arial Narrow"/>
                <w:sz w:val="20"/>
              </w:rPr>
              <w:t>16% cirrhotic</w:t>
            </w:r>
          </w:p>
        </w:tc>
        <w:tc>
          <w:tcPr>
            <w:tcW w:w="683" w:type="pct"/>
            <w:vAlign w:val="center"/>
          </w:tcPr>
          <w:p w:rsidR="00B421A4" w:rsidRPr="009F79B5" w:rsidRDefault="00B421A4" w:rsidP="00626918">
            <w:pPr>
              <w:jc w:val="center"/>
              <w:rPr>
                <w:rFonts w:ascii="Arial Narrow" w:hAnsi="Arial Narrow"/>
                <w:sz w:val="20"/>
              </w:rPr>
            </w:pPr>
            <w:r w:rsidRPr="009F79B5">
              <w:rPr>
                <w:rFonts w:ascii="Arial Narrow" w:hAnsi="Arial Narrow"/>
                <w:sz w:val="20"/>
              </w:rPr>
              <w:t>TE</w:t>
            </w:r>
          </w:p>
          <w:p w:rsidR="00B421A4" w:rsidRPr="009F79B5" w:rsidRDefault="00B421A4" w:rsidP="00626918">
            <w:pPr>
              <w:jc w:val="center"/>
              <w:rPr>
                <w:rFonts w:ascii="Arial Narrow" w:hAnsi="Arial Narrow"/>
                <w:sz w:val="20"/>
              </w:rPr>
            </w:pPr>
            <w:r w:rsidRPr="009F79B5">
              <w:rPr>
                <w:rFonts w:ascii="Arial Narrow" w:hAnsi="Arial Narrow"/>
                <w:sz w:val="20"/>
              </w:rPr>
              <w:t>20% cirrhotic</w:t>
            </w:r>
          </w:p>
        </w:tc>
      </w:tr>
      <w:tr w:rsidR="00B421A4" w:rsidRPr="009F79B5" w:rsidTr="00626918">
        <w:tc>
          <w:tcPr>
            <w:tcW w:w="1183" w:type="pct"/>
          </w:tcPr>
          <w:p w:rsidR="00B421A4" w:rsidRPr="009F79B5" w:rsidRDefault="00B421A4" w:rsidP="00626918">
            <w:pPr>
              <w:tabs>
                <w:tab w:val="left" w:pos="150"/>
              </w:tabs>
              <w:jc w:val="left"/>
              <w:rPr>
                <w:rFonts w:ascii="Arial Narrow" w:hAnsi="Arial Narrow"/>
                <w:sz w:val="20"/>
              </w:rPr>
            </w:pPr>
            <w:r w:rsidRPr="009F79B5">
              <w:rPr>
                <w:rFonts w:ascii="Arial Narrow" w:hAnsi="Arial Narrow"/>
                <w:sz w:val="20"/>
              </w:rPr>
              <w:tab/>
              <w:t xml:space="preserve">Any AE </w:t>
            </w:r>
          </w:p>
          <w:p w:rsidR="00B421A4" w:rsidRPr="009F79B5" w:rsidRDefault="00B421A4" w:rsidP="00626918">
            <w:pPr>
              <w:tabs>
                <w:tab w:val="left" w:pos="150"/>
              </w:tabs>
              <w:jc w:val="left"/>
              <w:rPr>
                <w:rFonts w:ascii="Arial Narrow" w:hAnsi="Arial Narrow"/>
                <w:sz w:val="20"/>
              </w:rPr>
            </w:pPr>
            <w:r w:rsidRPr="009F79B5">
              <w:rPr>
                <w:rFonts w:ascii="Arial Narrow" w:hAnsi="Arial Narrow"/>
                <w:sz w:val="20"/>
              </w:rPr>
              <w:tab/>
              <w:t>Any serious AE</w:t>
            </w:r>
          </w:p>
          <w:p w:rsidR="00B421A4" w:rsidRPr="009F79B5" w:rsidRDefault="00B421A4" w:rsidP="00626918">
            <w:pPr>
              <w:tabs>
                <w:tab w:val="left" w:pos="150"/>
              </w:tabs>
              <w:jc w:val="left"/>
              <w:rPr>
                <w:rFonts w:ascii="Arial Narrow" w:hAnsi="Arial Narrow"/>
                <w:sz w:val="20"/>
              </w:rPr>
            </w:pPr>
            <w:r w:rsidRPr="009F79B5">
              <w:rPr>
                <w:rFonts w:ascii="Arial Narrow" w:hAnsi="Arial Narrow"/>
                <w:sz w:val="20"/>
              </w:rPr>
              <w:tab/>
              <w:t>Number discontinued</w:t>
            </w:r>
          </w:p>
          <w:p w:rsidR="00B421A4" w:rsidRPr="009F79B5" w:rsidRDefault="00B421A4" w:rsidP="00626918">
            <w:pPr>
              <w:tabs>
                <w:tab w:val="left" w:pos="150"/>
              </w:tabs>
              <w:jc w:val="left"/>
              <w:rPr>
                <w:rFonts w:ascii="Arial Narrow" w:hAnsi="Arial Narrow"/>
                <w:sz w:val="20"/>
              </w:rPr>
            </w:pPr>
            <w:r w:rsidRPr="009F79B5">
              <w:rPr>
                <w:rFonts w:ascii="Arial Narrow" w:hAnsi="Arial Narrow"/>
                <w:sz w:val="20"/>
              </w:rPr>
              <w:tab/>
              <w:t>Number died</w:t>
            </w:r>
          </w:p>
        </w:tc>
        <w:tc>
          <w:tcPr>
            <w:tcW w:w="833" w:type="pct"/>
          </w:tcPr>
          <w:p w:rsidR="00B421A4" w:rsidRPr="009F79B5" w:rsidRDefault="00AE3308" w:rsidP="00626918">
            <w:pPr>
              <w:jc w:val="center"/>
              <w:rPr>
                <w:rFonts w:ascii="Arial Narrow" w:hAnsi="Arial Narrow"/>
                <w:sz w:val="20"/>
              </w:rPr>
            </w:pPr>
            <w:r w:rsidRPr="009F79B5">
              <w:rPr>
                <w:rFonts w:ascii="Arial Narrow" w:hAnsi="Arial Narrow"/>
                <w:sz w:val="20"/>
              </w:rPr>
              <w:t>103/155 (66%)</w:t>
            </w:r>
          </w:p>
          <w:p w:rsidR="00B421A4" w:rsidRPr="009F79B5" w:rsidRDefault="00B421A4" w:rsidP="00626918">
            <w:pPr>
              <w:jc w:val="center"/>
              <w:rPr>
                <w:rFonts w:ascii="Arial Narrow" w:hAnsi="Arial Narrow"/>
                <w:sz w:val="20"/>
              </w:rPr>
            </w:pPr>
            <w:r w:rsidRPr="009F79B5">
              <w:rPr>
                <w:rFonts w:ascii="Arial Narrow" w:hAnsi="Arial Narrow"/>
                <w:sz w:val="20"/>
              </w:rPr>
              <w:t>1/155 (1%)</w:t>
            </w:r>
          </w:p>
          <w:p w:rsidR="00B421A4" w:rsidRPr="009F79B5" w:rsidRDefault="00B421A4" w:rsidP="00626918">
            <w:pPr>
              <w:jc w:val="center"/>
              <w:rPr>
                <w:rFonts w:ascii="Arial Narrow" w:hAnsi="Arial Narrow"/>
                <w:sz w:val="20"/>
              </w:rPr>
            </w:pPr>
            <w:r w:rsidRPr="009F79B5">
              <w:rPr>
                <w:rFonts w:ascii="Arial Narrow" w:hAnsi="Arial Narrow"/>
                <w:sz w:val="20"/>
              </w:rPr>
              <w:t>0</w:t>
            </w:r>
          </w:p>
          <w:p w:rsidR="00B421A4" w:rsidRPr="009F79B5" w:rsidRDefault="00B421A4" w:rsidP="00626918">
            <w:pPr>
              <w:jc w:val="center"/>
              <w:rPr>
                <w:rFonts w:ascii="Arial Narrow" w:hAnsi="Arial Narrow"/>
                <w:sz w:val="20"/>
              </w:rPr>
            </w:pPr>
            <w:r w:rsidRPr="009F79B5">
              <w:rPr>
                <w:rFonts w:ascii="Arial Narrow" w:hAnsi="Arial Narrow"/>
                <w:sz w:val="20"/>
              </w:rPr>
              <w:t>0</w:t>
            </w:r>
          </w:p>
        </w:tc>
        <w:tc>
          <w:tcPr>
            <w:tcW w:w="725" w:type="pct"/>
          </w:tcPr>
          <w:p w:rsidR="00B421A4" w:rsidRPr="009F79B5" w:rsidRDefault="00B421A4" w:rsidP="00626918">
            <w:pPr>
              <w:jc w:val="center"/>
              <w:rPr>
                <w:rFonts w:ascii="Arial Narrow" w:hAnsi="Arial Narrow"/>
                <w:sz w:val="20"/>
              </w:rPr>
            </w:pPr>
            <w:r w:rsidRPr="009F79B5">
              <w:rPr>
                <w:rFonts w:ascii="Arial Narrow" w:hAnsi="Arial Narrow"/>
                <w:sz w:val="20"/>
              </w:rPr>
              <w:t>72/103 (70%)</w:t>
            </w:r>
          </w:p>
          <w:p w:rsidR="00B421A4" w:rsidRPr="009F79B5" w:rsidRDefault="00B421A4" w:rsidP="00626918">
            <w:pPr>
              <w:jc w:val="center"/>
              <w:rPr>
                <w:rFonts w:ascii="Arial Narrow" w:hAnsi="Arial Narrow"/>
                <w:sz w:val="20"/>
              </w:rPr>
            </w:pPr>
            <w:r w:rsidRPr="009F79B5">
              <w:rPr>
                <w:rFonts w:ascii="Arial Narrow" w:hAnsi="Arial Narrow"/>
                <w:sz w:val="20"/>
              </w:rPr>
              <w:t>5/103 (5%)</w:t>
            </w:r>
          </w:p>
          <w:p w:rsidR="00B421A4" w:rsidRPr="009F79B5" w:rsidRDefault="00B421A4" w:rsidP="00626918">
            <w:pPr>
              <w:jc w:val="center"/>
              <w:rPr>
                <w:rFonts w:ascii="Arial Narrow" w:hAnsi="Arial Narrow"/>
                <w:sz w:val="20"/>
              </w:rPr>
            </w:pPr>
            <w:r w:rsidRPr="009F79B5">
              <w:rPr>
                <w:rFonts w:ascii="Arial Narrow" w:hAnsi="Arial Narrow"/>
                <w:sz w:val="20"/>
              </w:rPr>
              <w:t>3/103 (3%)</w:t>
            </w:r>
          </w:p>
          <w:p w:rsidR="00B421A4" w:rsidRPr="009F79B5" w:rsidRDefault="00B421A4" w:rsidP="00626918">
            <w:pPr>
              <w:jc w:val="center"/>
              <w:rPr>
                <w:rFonts w:ascii="Arial Narrow" w:hAnsi="Arial Narrow"/>
                <w:sz w:val="20"/>
              </w:rPr>
            </w:pPr>
            <w:r w:rsidRPr="009F79B5">
              <w:rPr>
                <w:rFonts w:ascii="Arial Narrow" w:hAnsi="Arial Narrow"/>
                <w:sz w:val="20"/>
              </w:rPr>
              <w:t>1/103 (1%)</w:t>
            </w:r>
          </w:p>
        </w:tc>
        <w:tc>
          <w:tcPr>
            <w:tcW w:w="741" w:type="pct"/>
          </w:tcPr>
          <w:p w:rsidR="00670248" w:rsidRPr="009F79B5" w:rsidRDefault="00670248" w:rsidP="00670248">
            <w:pPr>
              <w:jc w:val="center"/>
              <w:rPr>
                <w:rFonts w:ascii="Arial Narrow" w:hAnsi="Arial Narrow"/>
                <w:sz w:val="20"/>
              </w:rPr>
            </w:pPr>
            <w:r w:rsidRPr="009F79B5">
              <w:rPr>
                <w:rFonts w:ascii="Arial Narrow" w:hAnsi="Arial Narrow"/>
                <w:sz w:val="20"/>
              </w:rPr>
              <w:t>294/431 (68%)</w:t>
            </w:r>
          </w:p>
          <w:p w:rsidR="00670248" w:rsidRPr="009F79B5" w:rsidRDefault="00670248" w:rsidP="00670248">
            <w:pPr>
              <w:jc w:val="center"/>
              <w:rPr>
                <w:rFonts w:ascii="Arial Narrow" w:hAnsi="Arial Narrow"/>
                <w:sz w:val="20"/>
              </w:rPr>
            </w:pPr>
            <w:r w:rsidRPr="009F79B5">
              <w:rPr>
                <w:rFonts w:ascii="Arial Narrow" w:hAnsi="Arial Narrow"/>
                <w:sz w:val="20"/>
              </w:rPr>
              <w:t>9/431 (2%)</w:t>
            </w:r>
          </w:p>
          <w:p w:rsidR="00670248" w:rsidRPr="009F79B5" w:rsidRDefault="00670248" w:rsidP="00670248">
            <w:pPr>
              <w:jc w:val="center"/>
              <w:rPr>
                <w:rFonts w:ascii="Arial Narrow" w:hAnsi="Arial Narrow"/>
                <w:sz w:val="20"/>
              </w:rPr>
            </w:pPr>
            <w:r w:rsidRPr="009F79B5">
              <w:rPr>
                <w:rFonts w:ascii="Arial Narrow" w:hAnsi="Arial Narrow"/>
                <w:sz w:val="20"/>
              </w:rPr>
              <w:t>2/431 (&lt;1%)</w:t>
            </w:r>
          </w:p>
          <w:p w:rsidR="00B421A4" w:rsidRPr="009F79B5" w:rsidRDefault="00B421A4" w:rsidP="00670248">
            <w:pPr>
              <w:jc w:val="center"/>
              <w:rPr>
                <w:rFonts w:ascii="Arial Narrow" w:hAnsi="Arial Narrow"/>
                <w:sz w:val="20"/>
              </w:rPr>
            </w:pPr>
            <w:r w:rsidRPr="009F79B5">
              <w:rPr>
                <w:rFonts w:ascii="Arial Narrow" w:hAnsi="Arial Narrow"/>
                <w:sz w:val="20"/>
              </w:rPr>
              <w:t>0</w:t>
            </w:r>
          </w:p>
        </w:tc>
        <w:tc>
          <w:tcPr>
            <w:tcW w:w="834" w:type="pct"/>
          </w:tcPr>
          <w:p w:rsidR="00B421A4" w:rsidRPr="009F79B5" w:rsidRDefault="00B421A4" w:rsidP="00626918">
            <w:pPr>
              <w:jc w:val="center"/>
              <w:rPr>
                <w:rFonts w:ascii="Arial Narrow" w:hAnsi="Arial Narrow"/>
                <w:sz w:val="20"/>
              </w:rPr>
            </w:pPr>
            <w:r w:rsidRPr="009F79B5">
              <w:rPr>
                <w:rFonts w:ascii="Arial Narrow" w:hAnsi="Arial Narrow"/>
                <w:sz w:val="20"/>
              </w:rPr>
              <w:t>169/214 (79.0%)</w:t>
            </w:r>
          </w:p>
          <w:p w:rsidR="00B421A4" w:rsidRPr="009F79B5" w:rsidRDefault="00B421A4" w:rsidP="00626918">
            <w:pPr>
              <w:jc w:val="center"/>
              <w:rPr>
                <w:rFonts w:ascii="Arial Narrow" w:hAnsi="Arial Narrow"/>
                <w:sz w:val="20"/>
              </w:rPr>
            </w:pPr>
            <w:r w:rsidRPr="009F79B5">
              <w:rPr>
                <w:rFonts w:ascii="Arial Narrow" w:hAnsi="Arial Narrow"/>
                <w:sz w:val="20"/>
              </w:rPr>
              <w:t>1/214 (0.5%)</w:t>
            </w:r>
          </w:p>
          <w:p w:rsidR="00B421A4" w:rsidRPr="009F79B5" w:rsidRDefault="00B421A4" w:rsidP="00626918">
            <w:pPr>
              <w:jc w:val="center"/>
              <w:rPr>
                <w:rFonts w:ascii="Arial Narrow" w:hAnsi="Arial Narrow"/>
                <w:sz w:val="20"/>
              </w:rPr>
            </w:pPr>
            <w:r w:rsidRPr="009F79B5">
              <w:rPr>
                <w:rFonts w:ascii="Arial Narrow" w:hAnsi="Arial Narrow"/>
                <w:sz w:val="20"/>
              </w:rPr>
              <w:t>0</w:t>
            </w:r>
          </w:p>
          <w:p w:rsidR="00B421A4" w:rsidRPr="009F79B5" w:rsidRDefault="00B421A4" w:rsidP="00626918">
            <w:pPr>
              <w:jc w:val="center"/>
              <w:rPr>
                <w:rFonts w:ascii="Arial Narrow" w:hAnsi="Arial Narrow"/>
                <w:sz w:val="20"/>
              </w:rPr>
            </w:pPr>
            <w:r w:rsidRPr="009F79B5">
              <w:rPr>
                <w:rFonts w:ascii="Arial Narrow" w:hAnsi="Arial Narrow"/>
                <w:sz w:val="20"/>
              </w:rPr>
              <w:t>0</w:t>
            </w:r>
          </w:p>
        </w:tc>
        <w:tc>
          <w:tcPr>
            <w:tcW w:w="683" w:type="pct"/>
          </w:tcPr>
          <w:p w:rsidR="00B421A4" w:rsidRPr="009F79B5" w:rsidRDefault="00B421A4" w:rsidP="00626918">
            <w:pPr>
              <w:jc w:val="center"/>
              <w:rPr>
                <w:rFonts w:ascii="Arial Narrow" w:hAnsi="Arial Narrow"/>
                <w:sz w:val="20"/>
              </w:rPr>
            </w:pPr>
            <w:r w:rsidRPr="009F79B5">
              <w:rPr>
                <w:rFonts w:ascii="Arial Narrow" w:hAnsi="Arial Narrow"/>
                <w:sz w:val="20"/>
              </w:rPr>
              <w:t>73/109 (67%)</w:t>
            </w:r>
          </w:p>
          <w:p w:rsidR="00B421A4" w:rsidRPr="009F79B5" w:rsidRDefault="00B421A4" w:rsidP="00626918">
            <w:pPr>
              <w:jc w:val="center"/>
              <w:rPr>
                <w:rFonts w:ascii="Arial Narrow" w:hAnsi="Arial Narrow"/>
                <w:sz w:val="20"/>
              </w:rPr>
            </w:pPr>
            <w:r w:rsidRPr="009F79B5">
              <w:rPr>
                <w:rFonts w:ascii="Arial Narrow" w:hAnsi="Arial Narrow"/>
                <w:sz w:val="20"/>
              </w:rPr>
              <w:t>0</w:t>
            </w:r>
          </w:p>
          <w:p w:rsidR="00B421A4" w:rsidRPr="009F79B5" w:rsidRDefault="00B421A4" w:rsidP="00626918">
            <w:pPr>
              <w:jc w:val="center"/>
              <w:rPr>
                <w:rFonts w:ascii="Arial Narrow" w:hAnsi="Arial Narrow"/>
                <w:sz w:val="20"/>
              </w:rPr>
            </w:pPr>
            <w:r w:rsidRPr="009F79B5">
              <w:rPr>
                <w:rFonts w:ascii="Arial Narrow" w:hAnsi="Arial Narrow"/>
                <w:sz w:val="20"/>
              </w:rPr>
              <w:t>0</w:t>
            </w:r>
          </w:p>
          <w:p w:rsidR="00B421A4" w:rsidRPr="009F79B5" w:rsidRDefault="00B421A4" w:rsidP="00626918">
            <w:pPr>
              <w:jc w:val="center"/>
              <w:rPr>
                <w:rFonts w:ascii="Arial Narrow" w:hAnsi="Arial Narrow"/>
                <w:sz w:val="20"/>
              </w:rPr>
            </w:pPr>
            <w:r w:rsidRPr="009F79B5">
              <w:rPr>
                <w:rFonts w:ascii="Arial Narrow" w:hAnsi="Arial Narrow"/>
                <w:sz w:val="20"/>
              </w:rPr>
              <w:t>0</w:t>
            </w:r>
          </w:p>
        </w:tc>
      </w:tr>
      <w:tr w:rsidR="004D1EF4" w:rsidRPr="009F79B5" w:rsidTr="00626918">
        <w:tc>
          <w:tcPr>
            <w:tcW w:w="1183" w:type="pct"/>
            <w:vAlign w:val="center"/>
          </w:tcPr>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Most common AEs</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Fatigue</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Headache</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Nausea</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Rash (any type)</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Pruritus</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Photosensitivity</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Insomnia</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 xml:space="preserve">Diarrhoea </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Irritability</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Asthenia</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Cough</w:t>
            </w:r>
          </w:p>
          <w:p w:rsidR="004D1EF4" w:rsidRPr="009F79B5" w:rsidRDefault="004D1EF4" w:rsidP="00626918">
            <w:pPr>
              <w:tabs>
                <w:tab w:val="left" w:pos="150"/>
              </w:tabs>
              <w:jc w:val="left"/>
              <w:rPr>
                <w:rFonts w:ascii="Arial Narrow" w:hAnsi="Arial Narrow"/>
                <w:sz w:val="20"/>
              </w:rPr>
            </w:pPr>
            <w:r w:rsidRPr="009F79B5">
              <w:rPr>
                <w:rFonts w:ascii="Arial Narrow" w:hAnsi="Arial Narrow"/>
                <w:sz w:val="20"/>
              </w:rPr>
              <w:tab/>
              <w:t>Arthralgia</w:t>
            </w:r>
          </w:p>
        </w:tc>
        <w:tc>
          <w:tcPr>
            <w:tcW w:w="833" w:type="pct"/>
          </w:tcPr>
          <w:p w:rsidR="004D1EF4" w:rsidRPr="009F79B5" w:rsidRDefault="004D1EF4" w:rsidP="00016F1D">
            <w:pPr>
              <w:jc w:val="center"/>
              <w:rPr>
                <w:rFonts w:ascii="Arial Narrow" w:hAnsi="Arial Narrow"/>
                <w:sz w:val="20"/>
              </w:rPr>
            </w:pPr>
          </w:p>
          <w:p w:rsidR="004D1EF4" w:rsidRPr="009F79B5" w:rsidRDefault="004D1EF4" w:rsidP="00016F1D">
            <w:pPr>
              <w:jc w:val="center"/>
              <w:rPr>
                <w:rFonts w:ascii="Arial Narrow" w:hAnsi="Arial Narrow"/>
                <w:sz w:val="20"/>
              </w:rPr>
            </w:pPr>
            <w:r w:rsidRPr="009F79B5">
              <w:rPr>
                <w:rFonts w:ascii="Arial Narrow" w:hAnsi="Arial Narrow"/>
                <w:sz w:val="20"/>
              </w:rPr>
              <w:t>19/155 (12%)</w:t>
            </w:r>
          </w:p>
          <w:p w:rsidR="004D1EF4" w:rsidRPr="009F79B5" w:rsidRDefault="004D1EF4" w:rsidP="00016F1D">
            <w:pPr>
              <w:jc w:val="center"/>
              <w:rPr>
                <w:rFonts w:ascii="Arial Narrow" w:hAnsi="Arial Narrow"/>
                <w:sz w:val="20"/>
              </w:rPr>
            </w:pPr>
            <w:r w:rsidRPr="009F79B5">
              <w:rPr>
                <w:rFonts w:ascii="Arial Narrow" w:hAnsi="Arial Narrow"/>
                <w:sz w:val="20"/>
              </w:rPr>
              <w:t>22/155 (14%)</w:t>
            </w:r>
          </w:p>
          <w:p w:rsidR="004D1EF4" w:rsidRPr="009F79B5" w:rsidRDefault="004D1EF4" w:rsidP="00016F1D">
            <w:pPr>
              <w:jc w:val="center"/>
              <w:rPr>
                <w:rFonts w:ascii="Arial Narrow" w:hAnsi="Arial Narrow"/>
                <w:sz w:val="20"/>
              </w:rPr>
            </w:pPr>
            <w:r w:rsidRPr="009F79B5">
              <w:rPr>
                <w:rFonts w:ascii="Arial Narrow" w:hAnsi="Arial Narrow"/>
                <w:sz w:val="20"/>
              </w:rPr>
              <w:t>23/155 (15%)</w:t>
            </w:r>
          </w:p>
          <w:p w:rsidR="004D1EF4" w:rsidRPr="009F79B5" w:rsidRDefault="004D1EF4" w:rsidP="00016F1D">
            <w:pPr>
              <w:jc w:val="center"/>
              <w:rPr>
                <w:rFonts w:ascii="Arial Narrow" w:hAnsi="Arial Narrow"/>
                <w:sz w:val="20"/>
              </w:rPr>
            </w:pPr>
            <w:r w:rsidRPr="009F79B5">
              <w:rPr>
                <w:rFonts w:ascii="Arial Narrow" w:hAnsi="Arial Narrow"/>
                <w:sz w:val="20"/>
              </w:rPr>
              <w:t>10/155 (6%)</w:t>
            </w:r>
          </w:p>
          <w:p w:rsidR="004D1EF4" w:rsidRPr="009F79B5" w:rsidRDefault="004D1EF4" w:rsidP="00016F1D">
            <w:pPr>
              <w:jc w:val="center"/>
              <w:rPr>
                <w:rFonts w:ascii="Arial Narrow" w:hAnsi="Arial Narrow"/>
                <w:sz w:val="20"/>
              </w:rPr>
            </w:pPr>
            <w:r w:rsidRPr="009F79B5">
              <w:rPr>
                <w:rFonts w:ascii="Arial Narrow" w:hAnsi="Arial Narrow"/>
                <w:sz w:val="20"/>
              </w:rPr>
              <w:t>7/155 (5%)</w:t>
            </w:r>
          </w:p>
          <w:p w:rsidR="004D1EF4" w:rsidRPr="009F79B5" w:rsidRDefault="004D1EF4" w:rsidP="00016F1D">
            <w:pPr>
              <w:jc w:val="center"/>
              <w:rPr>
                <w:rFonts w:ascii="Arial Narrow" w:hAnsi="Arial Narrow"/>
                <w:sz w:val="20"/>
              </w:rPr>
            </w:pPr>
            <w:r w:rsidRPr="009F79B5">
              <w:rPr>
                <w:rFonts w:ascii="Arial Narrow" w:hAnsi="Arial Narrow"/>
                <w:sz w:val="20"/>
              </w:rPr>
              <w:t>2/155 (1.3%)</w:t>
            </w:r>
          </w:p>
          <w:p w:rsidR="004D1EF4" w:rsidRPr="009F79B5" w:rsidRDefault="00BD7647" w:rsidP="00016F1D">
            <w:pPr>
              <w:jc w:val="center"/>
              <w:rPr>
                <w:rFonts w:ascii="Arial Narrow" w:hAnsi="Arial Narrow"/>
                <w:sz w:val="20"/>
              </w:rPr>
            </w:pPr>
            <w:r>
              <w:rPr>
                <w:rFonts w:ascii="Arial Narrow" w:hAnsi="Arial Narrow"/>
                <w:noProof/>
                <w:color w:val="000000"/>
                <w:sz w:val="20"/>
                <w:highlight w:val="black"/>
              </w:rPr>
              <w:t>'''</w:t>
            </w:r>
            <w:r w:rsidR="004D1EF4" w:rsidRPr="009F79B5">
              <w:rPr>
                <w:rFonts w:ascii="Arial Narrow" w:hAnsi="Arial Narrow"/>
                <w:sz w:val="20"/>
              </w:rPr>
              <w:t>/</w:t>
            </w:r>
            <w:r>
              <w:rPr>
                <w:rFonts w:ascii="Arial Narrow" w:hAnsi="Arial Narrow"/>
                <w:noProof/>
                <w:color w:val="000000"/>
                <w:sz w:val="20"/>
                <w:highlight w:val="black"/>
              </w:rPr>
              <w:t>'''''''''</w:t>
            </w:r>
            <w:r w:rsidR="004D1EF4" w:rsidRPr="009F79B5">
              <w:rPr>
                <w:rFonts w:ascii="Arial Narrow" w:hAnsi="Arial Narrow"/>
                <w:sz w:val="20"/>
              </w:rPr>
              <w:t xml:space="preserve"> (</w:t>
            </w:r>
            <w:r>
              <w:rPr>
                <w:rFonts w:ascii="Arial Narrow" w:hAnsi="Arial Narrow"/>
                <w:noProof/>
                <w:color w:val="000000"/>
                <w:sz w:val="20"/>
                <w:highlight w:val="black"/>
              </w:rPr>
              <w:t>''''</w:t>
            </w:r>
            <w:r w:rsidR="004D1EF4" w:rsidRPr="009F79B5">
              <w:rPr>
                <w:rFonts w:ascii="Arial Narrow" w:hAnsi="Arial Narrow"/>
                <w:sz w:val="20"/>
              </w:rPr>
              <w:t>%)</w:t>
            </w:r>
          </w:p>
          <w:p w:rsidR="004D1EF4" w:rsidRPr="009F79B5" w:rsidRDefault="00BD7647" w:rsidP="00016F1D">
            <w:pPr>
              <w:jc w:val="center"/>
              <w:rPr>
                <w:rFonts w:ascii="Arial Narrow" w:hAnsi="Arial Narrow"/>
                <w:sz w:val="20"/>
              </w:rPr>
            </w:pPr>
            <w:r>
              <w:rPr>
                <w:rFonts w:ascii="Arial Narrow" w:hAnsi="Arial Narrow"/>
                <w:noProof/>
                <w:color w:val="000000"/>
                <w:sz w:val="20"/>
                <w:highlight w:val="black"/>
              </w:rPr>
              <w:t>'''''</w:t>
            </w:r>
            <w:r w:rsidR="004D1EF4" w:rsidRPr="009F79B5">
              <w:rPr>
                <w:rFonts w:ascii="Arial Narrow" w:hAnsi="Arial Narrow"/>
                <w:sz w:val="20"/>
              </w:rPr>
              <w:t>/</w:t>
            </w:r>
            <w:r>
              <w:rPr>
                <w:rFonts w:ascii="Arial Narrow" w:hAnsi="Arial Narrow"/>
                <w:noProof/>
                <w:color w:val="000000"/>
                <w:sz w:val="20"/>
                <w:highlight w:val="black"/>
              </w:rPr>
              <w:t>'''''''''</w:t>
            </w:r>
            <w:r w:rsidR="004D1EF4" w:rsidRPr="009F79B5">
              <w:rPr>
                <w:rFonts w:ascii="Arial Narrow" w:hAnsi="Arial Narrow"/>
                <w:sz w:val="20"/>
              </w:rPr>
              <w:t xml:space="preserve"> (</w:t>
            </w:r>
            <w:r>
              <w:rPr>
                <w:rFonts w:ascii="Arial Narrow" w:hAnsi="Arial Narrow"/>
                <w:noProof/>
                <w:color w:val="000000"/>
                <w:sz w:val="20"/>
                <w:highlight w:val="black"/>
              </w:rPr>
              <w:t>'''</w:t>
            </w:r>
            <w:r w:rsidR="004D1EF4" w:rsidRPr="009F79B5">
              <w:rPr>
                <w:rFonts w:ascii="Arial Narrow" w:hAnsi="Arial Narrow"/>
                <w:sz w:val="20"/>
              </w:rPr>
              <w:t>%)</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BD7647" w:rsidP="00016F1D">
            <w:pPr>
              <w:jc w:val="center"/>
              <w:rPr>
                <w:rFonts w:ascii="Arial Narrow" w:hAnsi="Arial Narrow"/>
                <w:sz w:val="20"/>
              </w:rPr>
            </w:pPr>
            <w:r>
              <w:rPr>
                <w:rFonts w:ascii="Arial Narrow" w:hAnsi="Arial Narrow"/>
                <w:noProof/>
                <w:color w:val="000000"/>
                <w:sz w:val="20"/>
                <w:highlight w:val="black"/>
              </w:rPr>
              <w:t>''''</w:t>
            </w:r>
            <w:r w:rsidR="004D1EF4" w:rsidRPr="009F79B5">
              <w:rPr>
                <w:rFonts w:ascii="Arial Narrow" w:hAnsi="Arial Narrow"/>
                <w:sz w:val="20"/>
              </w:rPr>
              <w:t>/</w:t>
            </w:r>
            <w:r>
              <w:rPr>
                <w:rFonts w:ascii="Arial Narrow" w:hAnsi="Arial Narrow"/>
                <w:noProof/>
                <w:color w:val="000000"/>
                <w:sz w:val="20"/>
                <w:highlight w:val="black"/>
              </w:rPr>
              <w:t>'''''''''</w:t>
            </w:r>
            <w:r w:rsidR="004D1EF4" w:rsidRPr="00C21E78">
              <w:rPr>
                <w:rFonts w:ascii="Arial Narrow" w:hAnsi="Arial Narrow"/>
                <w:sz w:val="20"/>
              </w:rPr>
              <w:t xml:space="preserve"> </w:t>
            </w:r>
            <w:r w:rsidR="004D1EF4" w:rsidRPr="009F79B5">
              <w:rPr>
                <w:rFonts w:ascii="Arial Narrow" w:hAnsi="Arial Narrow"/>
                <w:sz w:val="20"/>
              </w:rPr>
              <w:t>(</w:t>
            </w:r>
            <w:r>
              <w:rPr>
                <w:rFonts w:ascii="Arial Narrow" w:hAnsi="Arial Narrow"/>
                <w:noProof/>
                <w:color w:val="000000"/>
                <w:sz w:val="20"/>
                <w:highlight w:val="black"/>
              </w:rPr>
              <w:t>''''</w:t>
            </w:r>
            <w:r w:rsidR="004D1EF4" w:rsidRPr="009F79B5">
              <w:rPr>
                <w:rFonts w:ascii="Arial Narrow" w:hAnsi="Arial Narrow"/>
                <w:sz w:val="20"/>
              </w:rPr>
              <w:t>%)</w:t>
            </w:r>
          </w:p>
          <w:p w:rsidR="004D1EF4" w:rsidRPr="009F79B5" w:rsidRDefault="00BD7647" w:rsidP="00626918">
            <w:pPr>
              <w:jc w:val="center"/>
              <w:rPr>
                <w:rFonts w:ascii="Arial Narrow" w:hAnsi="Arial Narrow"/>
                <w:sz w:val="20"/>
              </w:rPr>
            </w:pPr>
            <w:r>
              <w:rPr>
                <w:rFonts w:ascii="Arial Narrow" w:hAnsi="Arial Narrow"/>
                <w:noProof/>
                <w:color w:val="000000"/>
                <w:sz w:val="20"/>
                <w:highlight w:val="black"/>
              </w:rPr>
              <w:t>'''</w:t>
            </w:r>
            <w:r w:rsidR="004D1EF4" w:rsidRPr="009F79B5">
              <w:rPr>
                <w:rFonts w:ascii="Arial Narrow" w:hAnsi="Arial Narrow"/>
                <w:sz w:val="20"/>
              </w:rPr>
              <w:t>/</w:t>
            </w:r>
            <w:r>
              <w:rPr>
                <w:rFonts w:ascii="Arial Narrow" w:hAnsi="Arial Narrow"/>
                <w:noProof/>
                <w:color w:val="000000"/>
                <w:sz w:val="20"/>
                <w:highlight w:val="black"/>
              </w:rPr>
              <w:t>''''''''''</w:t>
            </w:r>
            <w:r w:rsidR="004D1EF4" w:rsidRPr="009F79B5">
              <w:rPr>
                <w:rFonts w:ascii="Arial Narrow" w:hAnsi="Arial Narrow"/>
                <w:sz w:val="20"/>
              </w:rPr>
              <w:t xml:space="preserve"> (</w:t>
            </w:r>
            <w:r>
              <w:rPr>
                <w:rFonts w:ascii="Arial Narrow" w:hAnsi="Arial Narrow"/>
                <w:noProof/>
                <w:color w:val="000000"/>
                <w:sz w:val="20"/>
                <w:highlight w:val="black"/>
              </w:rPr>
              <w:t>''''</w:t>
            </w:r>
            <w:r w:rsidR="004D1EF4" w:rsidRPr="009F79B5">
              <w:rPr>
                <w:rFonts w:ascii="Arial Narrow" w:hAnsi="Arial Narrow"/>
                <w:sz w:val="20"/>
              </w:rPr>
              <w:t>%)</w:t>
            </w:r>
          </w:p>
        </w:tc>
        <w:tc>
          <w:tcPr>
            <w:tcW w:w="725" w:type="pct"/>
          </w:tcPr>
          <w:p w:rsidR="004D1EF4" w:rsidRPr="009F79B5" w:rsidRDefault="004D1EF4" w:rsidP="00016F1D">
            <w:pPr>
              <w:jc w:val="center"/>
              <w:rPr>
                <w:rFonts w:ascii="Arial Narrow" w:hAnsi="Arial Narrow"/>
                <w:sz w:val="20"/>
              </w:rPr>
            </w:pPr>
          </w:p>
          <w:p w:rsidR="004D1EF4" w:rsidRPr="009F79B5" w:rsidRDefault="004D1EF4" w:rsidP="00016F1D">
            <w:pPr>
              <w:jc w:val="center"/>
              <w:rPr>
                <w:rFonts w:ascii="Arial Narrow" w:hAnsi="Arial Narrow"/>
                <w:sz w:val="20"/>
              </w:rPr>
            </w:pPr>
            <w:r w:rsidRPr="009F79B5">
              <w:rPr>
                <w:rFonts w:ascii="Arial Narrow" w:hAnsi="Arial Narrow"/>
                <w:sz w:val="20"/>
              </w:rPr>
              <w:t>21/103 (20%)</w:t>
            </w:r>
          </w:p>
          <w:p w:rsidR="004D1EF4" w:rsidRPr="009F79B5" w:rsidRDefault="004D1EF4" w:rsidP="00016F1D">
            <w:pPr>
              <w:jc w:val="center"/>
              <w:rPr>
                <w:rFonts w:ascii="Arial Narrow" w:hAnsi="Arial Narrow"/>
                <w:sz w:val="20"/>
              </w:rPr>
            </w:pPr>
            <w:r w:rsidRPr="009F79B5">
              <w:rPr>
                <w:rFonts w:ascii="Arial Narrow" w:hAnsi="Arial Narrow"/>
                <w:sz w:val="20"/>
              </w:rPr>
              <w:t>21/103 (20%)</w:t>
            </w:r>
          </w:p>
          <w:p w:rsidR="004D1EF4" w:rsidRPr="009F79B5" w:rsidRDefault="004D1EF4" w:rsidP="00016F1D">
            <w:pPr>
              <w:jc w:val="center"/>
              <w:rPr>
                <w:rFonts w:ascii="Arial Narrow" w:hAnsi="Arial Narrow"/>
                <w:sz w:val="20"/>
              </w:rPr>
            </w:pPr>
            <w:r w:rsidRPr="009F79B5">
              <w:rPr>
                <w:rFonts w:ascii="Arial Narrow" w:hAnsi="Arial Narrow"/>
                <w:sz w:val="20"/>
              </w:rPr>
              <w:t>11/103 (11%)</w:t>
            </w:r>
          </w:p>
          <w:p w:rsidR="004D1EF4" w:rsidRPr="009F79B5" w:rsidRDefault="004D1EF4" w:rsidP="00016F1D">
            <w:pPr>
              <w:jc w:val="center"/>
              <w:rPr>
                <w:rFonts w:ascii="Arial Narrow" w:hAnsi="Arial Narrow"/>
                <w:sz w:val="20"/>
              </w:rPr>
            </w:pPr>
            <w:r w:rsidRPr="009F79B5">
              <w:rPr>
                <w:rFonts w:ascii="Arial Narrow" w:hAnsi="Arial Narrow"/>
                <w:sz w:val="20"/>
              </w:rPr>
              <w:t>16/103 (16%)</w:t>
            </w:r>
          </w:p>
          <w:p w:rsidR="004D1EF4" w:rsidRPr="009F79B5" w:rsidRDefault="004D1EF4" w:rsidP="00016F1D">
            <w:pPr>
              <w:jc w:val="center"/>
              <w:rPr>
                <w:rFonts w:ascii="Arial Narrow" w:hAnsi="Arial Narrow"/>
                <w:sz w:val="20"/>
              </w:rPr>
            </w:pPr>
            <w:r w:rsidRPr="009F79B5">
              <w:rPr>
                <w:rFonts w:ascii="Arial Narrow" w:hAnsi="Arial Narrow"/>
                <w:sz w:val="20"/>
              </w:rPr>
              <w:t>14/103 (14%)</w:t>
            </w:r>
          </w:p>
          <w:p w:rsidR="004D1EF4" w:rsidRPr="009F79B5" w:rsidRDefault="004D1EF4" w:rsidP="00016F1D">
            <w:pPr>
              <w:jc w:val="center"/>
              <w:rPr>
                <w:rFonts w:ascii="Arial Narrow" w:hAnsi="Arial Narrow"/>
                <w:sz w:val="20"/>
              </w:rPr>
            </w:pPr>
            <w:r w:rsidRPr="009F79B5">
              <w:rPr>
                <w:rFonts w:ascii="Arial Narrow" w:hAnsi="Arial Narrow"/>
                <w:sz w:val="20"/>
              </w:rPr>
              <w:t>5/103 (4.9%)</w:t>
            </w:r>
          </w:p>
          <w:p w:rsidR="004D1EF4" w:rsidRPr="009F79B5" w:rsidRDefault="00BD7647" w:rsidP="00016F1D">
            <w:pPr>
              <w:jc w:val="center"/>
              <w:rPr>
                <w:rFonts w:ascii="Arial Narrow" w:hAnsi="Arial Narrow"/>
                <w:sz w:val="20"/>
              </w:rPr>
            </w:pPr>
            <w:r>
              <w:rPr>
                <w:rFonts w:ascii="Arial Narrow" w:hAnsi="Arial Narrow"/>
                <w:noProof/>
                <w:color w:val="000000"/>
                <w:sz w:val="20"/>
                <w:highlight w:val="black"/>
              </w:rPr>
              <w:t>''''</w:t>
            </w:r>
            <w:r w:rsidR="004D1EF4" w:rsidRPr="009F79B5">
              <w:rPr>
                <w:rFonts w:ascii="Arial Narrow" w:hAnsi="Arial Narrow"/>
                <w:sz w:val="20"/>
              </w:rPr>
              <w:t>/</w:t>
            </w:r>
            <w:r>
              <w:rPr>
                <w:rFonts w:ascii="Arial Narrow" w:hAnsi="Arial Narrow"/>
                <w:noProof/>
                <w:color w:val="000000"/>
                <w:sz w:val="20"/>
                <w:highlight w:val="black"/>
              </w:rPr>
              <w:t>'''''''''</w:t>
            </w:r>
            <w:r w:rsidR="004D1EF4" w:rsidRPr="009F79B5">
              <w:rPr>
                <w:rFonts w:ascii="Arial Narrow" w:hAnsi="Arial Narrow"/>
                <w:sz w:val="20"/>
              </w:rPr>
              <w:t xml:space="preserve"> (</w:t>
            </w:r>
            <w:r>
              <w:rPr>
                <w:rFonts w:ascii="Arial Narrow" w:hAnsi="Arial Narrow"/>
                <w:noProof/>
                <w:color w:val="000000"/>
                <w:sz w:val="20"/>
                <w:highlight w:val="black"/>
              </w:rPr>
              <w:t>'''</w:t>
            </w:r>
            <w:r w:rsidR="004D1EF4" w:rsidRPr="009F79B5">
              <w:rPr>
                <w:rFonts w:ascii="Arial Narrow" w:hAnsi="Arial Narrow"/>
                <w:sz w:val="20"/>
              </w:rPr>
              <w:t>%)</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4D1EF4" w:rsidP="00016F1D">
            <w:pPr>
              <w:jc w:val="center"/>
              <w:rPr>
                <w:rFonts w:ascii="Arial Narrow" w:hAnsi="Arial Narrow"/>
                <w:sz w:val="20"/>
              </w:rPr>
            </w:pPr>
            <w:r w:rsidRPr="009F79B5">
              <w:rPr>
                <w:rFonts w:ascii="Arial Narrow" w:hAnsi="Arial Narrow"/>
                <w:sz w:val="20"/>
              </w:rPr>
              <w:t>NR</w:t>
            </w:r>
          </w:p>
          <w:p w:rsidR="004D1EF4" w:rsidRPr="009F79B5" w:rsidRDefault="004D1EF4" w:rsidP="00626918">
            <w:pPr>
              <w:jc w:val="center"/>
              <w:rPr>
                <w:rFonts w:ascii="Arial Narrow" w:hAnsi="Arial Narrow"/>
                <w:sz w:val="20"/>
              </w:rPr>
            </w:pPr>
            <w:r w:rsidRPr="009F79B5">
              <w:rPr>
                <w:rFonts w:ascii="Arial Narrow" w:hAnsi="Arial Narrow"/>
                <w:sz w:val="20"/>
              </w:rPr>
              <w:t>NR</w:t>
            </w:r>
          </w:p>
        </w:tc>
        <w:tc>
          <w:tcPr>
            <w:tcW w:w="741" w:type="pct"/>
          </w:tcPr>
          <w:p w:rsidR="004D1EF4" w:rsidRPr="009F79B5" w:rsidRDefault="004D1EF4" w:rsidP="00626918">
            <w:pPr>
              <w:jc w:val="center"/>
              <w:rPr>
                <w:rFonts w:ascii="Arial Narrow" w:hAnsi="Arial Narrow"/>
                <w:sz w:val="20"/>
              </w:rPr>
            </w:pPr>
          </w:p>
          <w:p w:rsidR="00670248" w:rsidRPr="009F79B5" w:rsidRDefault="00670248" w:rsidP="00670248">
            <w:pPr>
              <w:jc w:val="center"/>
              <w:rPr>
                <w:rFonts w:ascii="Arial Narrow" w:hAnsi="Arial Narrow"/>
                <w:sz w:val="20"/>
              </w:rPr>
            </w:pPr>
            <w:r w:rsidRPr="009F79B5">
              <w:rPr>
                <w:rFonts w:ascii="Arial Narrow" w:hAnsi="Arial Narrow"/>
                <w:sz w:val="20"/>
              </w:rPr>
              <w:t>94/431 (22%)</w:t>
            </w:r>
          </w:p>
          <w:p w:rsidR="00670248" w:rsidRPr="009F79B5" w:rsidRDefault="00670248" w:rsidP="00670248">
            <w:pPr>
              <w:jc w:val="center"/>
              <w:rPr>
                <w:rFonts w:ascii="Arial Narrow" w:hAnsi="Arial Narrow"/>
                <w:sz w:val="20"/>
              </w:rPr>
            </w:pPr>
            <w:r w:rsidRPr="009F79B5">
              <w:rPr>
                <w:rFonts w:ascii="Arial Narrow" w:hAnsi="Arial Narrow"/>
                <w:sz w:val="20"/>
              </w:rPr>
              <w:t>63/431 (15%)</w:t>
            </w:r>
          </w:p>
          <w:p w:rsidR="00670248" w:rsidRPr="009F79B5" w:rsidRDefault="00670248" w:rsidP="00670248">
            <w:pPr>
              <w:jc w:val="center"/>
              <w:rPr>
                <w:rFonts w:ascii="Arial Narrow" w:hAnsi="Arial Narrow"/>
                <w:sz w:val="20"/>
              </w:rPr>
            </w:pPr>
            <w:r w:rsidRPr="009F79B5">
              <w:rPr>
                <w:rFonts w:ascii="Arial Narrow" w:hAnsi="Arial Narrow"/>
                <w:sz w:val="20"/>
              </w:rPr>
              <w:t>39/431 (9%)</w:t>
            </w:r>
          </w:p>
          <w:p w:rsidR="00670248" w:rsidRPr="009F79B5" w:rsidRDefault="00670248" w:rsidP="00670248">
            <w:pPr>
              <w:jc w:val="center"/>
              <w:rPr>
                <w:rFonts w:ascii="Arial Narrow" w:hAnsi="Arial Narrow"/>
                <w:sz w:val="20"/>
              </w:rPr>
            </w:pPr>
            <w:r w:rsidRPr="009F79B5">
              <w:rPr>
                <w:rFonts w:ascii="Arial Narrow" w:hAnsi="Arial Narrow"/>
                <w:sz w:val="20"/>
              </w:rPr>
              <w:t>8/431 (2%)</w:t>
            </w:r>
          </w:p>
          <w:p w:rsidR="00670248" w:rsidRPr="009F79B5" w:rsidRDefault="00670248" w:rsidP="00670248">
            <w:pPr>
              <w:jc w:val="center"/>
              <w:rPr>
                <w:rFonts w:ascii="Arial Narrow" w:hAnsi="Arial Narrow"/>
                <w:sz w:val="20"/>
              </w:rPr>
            </w:pPr>
            <w:r w:rsidRPr="009F79B5">
              <w:rPr>
                <w:rFonts w:ascii="Arial Narrow" w:hAnsi="Arial Narrow"/>
                <w:sz w:val="20"/>
              </w:rPr>
              <w:t>7/431 (2%)</w:t>
            </w:r>
          </w:p>
          <w:p w:rsidR="00670248" w:rsidRPr="009F79B5" w:rsidRDefault="00670248" w:rsidP="00670248">
            <w:pPr>
              <w:jc w:val="center"/>
              <w:rPr>
                <w:rFonts w:ascii="Arial Narrow" w:hAnsi="Arial Narrow"/>
                <w:sz w:val="20"/>
              </w:rPr>
            </w:pPr>
            <w:r w:rsidRPr="009F79B5">
              <w:rPr>
                <w:rFonts w:ascii="Arial Narrow" w:hAnsi="Arial Narrow"/>
                <w:sz w:val="20"/>
              </w:rPr>
              <w:t>NR</w:t>
            </w:r>
          </w:p>
          <w:p w:rsidR="00670248" w:rsidRPr="009F79B5" w:rsidRDefault="00670248" w:rsidP="00670248">
            <w:pPr>
              <w:jc w:val="center"/>
              <w:rPr>
                <w:rFonts w:ascii="Arial Narrow" w:hAnsi="Arial Narrow"/>
                <w:sz w:val="20"/>
              </w:rPr>
            </w:pPr>
            <w:r w:rsidRPr="009F79B5">
              <w:rPr>
                <w:rFonts w:ascii="Arial Narrow" w:hAnsi="Arial Narrow"/>
                <w:sz w:val="20"/>
              </w:rPr>
              <w:t>26/431 (6%)</w:t>
            </w:r>
          </w:p>
          <w:p w:rsidR="00670248" w:rsidRPr="009F79B5" w:rsidRDefault="00670248" w:rsidP="00670248">
            <w:pPr>
              <w:jc w:val="center"/>
              <w:rPr>
                <w:rFonts w:ascii="Arial Narrow" w:hAnsi="Arial Narrow"/>
                <w:sz w:val="20"/>
              </w:rPr>
            </w:pPr>
            <w:r w:rsidRPr="009F79B5">
              <w:rPr>
                <w:rFonts w:ascii="Arial Narrow" w:hAnsi="Arial Narrow"/>
                <w:sz w:val="20"/>
              </w:rPr>
              <w:t>24/431 (6%)</w:t>
            </w:r>
          </w:p>
          <w:p w:rsidR="00670248" w:rsidRPr="009F79B5" w:rsidRDefault="00670248" w:rsidP="00670248">
            <w:pPr>
              <w:jc w:val="center"/>
              <w:rPr>
                <w:rFonts w:ascii="Arial Narrow" w:hAnsi="Arial Narrow"/>
                <w:sz w:val="20"/>
              </w:rPr>
            </w:pPr>
            <w:r w:rsidRPr="009F79B5">
              <w:rPr>
                <w:rFonts w:ascii="Arial Narrow" w:hAnsi="Arial Narrow"/>
                <w:sz w:val="20"/>
              </w:rPr>
              <w:t>12/431 (3%)</w:t>
            </w:r>
          </w:p>
          <w:p w:rsidR="00670248" w:rsidRPr="009F79B5" w:rsidRDefault="00670248" w:rsidP="00670248">
            <w:pPr>
              <w:jc w:val="center"/>
              <w:rPr>
                <w:rFonts w:ascii="Arial Narrow" w:hAnsi="Arial Narrow"/>
                <w:sz w:val="20"/>
              </w:rPr>
            </w:pPr>
            <w:r w:rsidRPr="009F79B5">
              <w:rPr>
                <w:rFonts w:ascii="Arial Narrow" w:hAnsi="Arial Narrow"/>
                <w:sz w:val="20"/>
              </w:rPr>
              <w:t>NR</w:t>
            </w:r>
          </w:p>
          <w:p w:rsidR="00670248" w:rsidRPr="009F79B5" w:rsidRDefault="00670248" w:rsidP="00670248">
            <w:pPr>
              <w:jc w:val="center"/>
              <w:rPr>
                <w:rFonts w:ascii="Arial Narrow" w:hAnsi="Arial Narrow"/>
                <w:sz w:val="20"/>
              </w:rPr>
            </w:pPr>
            <w:r w:rsidRPr="009F79B5">
              <w:rPr>
                <w:rFonts w:ascii="Arial Narrow" w:hAnsi="Arial Narrow"/>
                <w:sz w:val="20"/>
              </w:rPr>
              <w:t>10/431 (2%)</w:t>
            </w:r>
          </w:p>
          <w:p w:rsidR="004D1EF4" w:rsidRPr="009F79B5" w:rsidRDefault="00670248" w:rsidP="00670248">
            <w:pPr>
              <w:jc w:val="center"/>
              <w:rPr>
                <w:rFonts w:ascii="Arial Narrow" w:hAnsi="Arial Narrow"/>
                <w:sz w:val="20"/>
              </w:rPr>
            </w:pPr>
            <w:r w:rsidRPr="009F79B5">
              <w:rPr>
                <w:rFonts w:ascii="Arial Narrow" w:hAnsi="Arial Narrow"/>
                <w:sz w:val="20"/>
              </w:rPr>
              <w:t>25/431 (6%)</w:t>
            </w:r>
            <w:r w:rsidR="004D1EF4" w:rsidRPr="009F79B5">
              <w:rPr>
                <w:rFonts w:ascii="Arial Narrow" w:hAnsi="Arial Narrow"/>
                <w:sz w:val="20"/>
              </w:rPr>
              <w:t>)</w:t>
            </w:r>
          </w:p>
        </w:tc>
        <w:tc>
          <w:tcPr>
            <w:tcW w:w="834" w:type="pct"/>
          </w:tcPr>
          <w:p w:rsidR="004D1EF4" w:rsidRPr="009F79B5" w:rsidRDefault="004D1EF4" w:rsidP="00626918">
            <w:pPr>
              <w:jc w:val="center"/>
              <w:rPr>
                <w:rFonts w:ascii="Arial Narrow" w:hAnsi="Arial Narrow"/>
                <w:sz w:val="20"/>
              </w:rPr>
            </w:pPr>
          </w:p>
          <w:p w:rsidR="004D1EF4" w:rsidRPr="009F79B5" w:rsidRDefault="004D1EF4" w:rsidP="00626918">
            <w:pPr>
              <w:jc w:val="center"/>
              <w:rPr>
                <w:rFonts w:ascii="Arial Narrow" w:hAnsi="Arial Narrow"/>
                <w:sz w:val="20"/>
              </w:rPr>
            </w:pPr>
            <w:r w:rsidRPr="009F79B5">
              <w:rPr>
                <w:rFonts w:ascii="Arial Narrow" w:hAnsi="Arial Narrow"/>
                <w:sz w:val="20"/>
              </w:rPr>
              <w:t>44/214 (20.6%)</w:t>
            </w:r>
          </w:p>
          <w:p w:rsidR="004D1EF4" w:rsidRPr="009F79B5" w:rsidRDefault="004D1EF4" w:rsidP="00626918">
            <w:pPr>
              <w:jc w:val="center"/>
              <w:rPr>
                <w:rFonts w:ascii="Arial Narrow" w:hAnsi="Arial Narrow"/>
                <w:sz w:val="20"/>
              </w:rPr>
            </w:pPr>
            <w:r w:rsidRPr="009F79B5">
              <w:rPr>
                <w:rFonts w:ascii="Arial Narrow" w:hAnsi="Arial Narrow"/>
                <w:sz w:val="20"/>
              </w:rPr>
              <w:t>53/214 (25%)</w:t>
            </w:r>
          </w:p>
          <w:p w:rsidR="004D1EF4" w:rsidRPr="009F79B5" w:rsidRDefault="004D1EF4" w:rsidP="00626918">
            <w:pPr>
              <w:jc w:val="center"/>
              <w:rPr>
                <w:rFonts w:ascii="Arial Narrow" w:hAnsi="Arial Narrow"/>
                <w:sz w:val="20"/>
              </w:rPr>
            </w:pPr>
            <w:r w:rsidRPr="009F79B5">
              <w:rPr>
                <w:rFonts w:ascii="Arial Narrow" w:hAnsi="Arial Narrow"/>
                <w:sz w:val="20"/>
              </w:rPr>
              <w:t>24/214 (11%)</w:t>
            </w:r>
          </w:p>
          <w:p w:rsidR="004D1EF4" w:rsidRPr="009F79B5" w:rsidRDefault="004D1EF4" w:rsidP="00626918">
            <w:pPr>
              <w:jc w:val="center"/>
              <w:rPr>
                <w:rFonts w:ascii="Arial Narrow" w:hAnsi="Arial Narrow"/>
                <w:sz w:val="20"/>
              </w:rPr>
            </w:pPr>
            <w:r w:rsidRPr="009F79B5">
              <w:rPr>
                <w:rFonts w:ascii="Arial Narrow" w:hAnsi="Arial Narrow"/>
                <w:sz w:val="20"/>
              </w:rPr>
              <w:t>16/214 (7%)</w:t>
            </w:r>
          </w:p>
          <w:p w:rsidR="004D1EF4" w:rsidRPr="009F79B5" w:rsidRDefault="004D1EF4" w:rsidP="00626918">
            <w:pPr>
              <w:jc w:val="center"/>
              <w:rPr>
                <w:rFonts w:ascii="Arial Narrow" w:hAnsi="Arial Narrow"/>
                <w:sz w:val="20"/>
              </w:rPr>
            </w:pPr>
            <w:r w:rsidRPr="009F79B5">
              <w:rPr>
                <w:rFonts w:ascii="Arial Narrow" w:hAnsi="Arial Narrow"/>
                <w:sz w:val="20"/>
              </w:rPr>
              <w:t>11/214 (5%)</w:t>
            </w:r>
          </w:p>
          <w:p w:rsidR="004D1EF4" w:rsidRPr="009F79B5" w:rsidRDefault="004D1EF4" w:rsidP="00626918">
            <w:pPr>
              <w:jc w:val="center"/>
              <w:rPr>
                <w:rFonts w:ascii="Arial Narrow" w:hAnsi="Arial Narrow"/>
                <w:sz w:val="20"/>
              </w:rPr>
            </w:pPr>
            <w:r w:rsidRPr="009F79B5">
              <w:rPr>
                <w:rFonts w:ascii="Arial Narrow" w:hAnsi="Arial Narrow"/>
                <w:sz w:val="20"/>
              </w:rPr>
              <w:t>NR</w:t>
            </w:r>
          </w:p>
          <w:p w:rsidR="004D1EF4" w:rsidRPr="009F79B5" w:rsidRDefault="004D1EF4" w:rsidP="00626918">
            <w:pPr>
              <w:jc w:val="center"/>
              <w:rPr>
                <w:rFonts w:ascii="Arial Narrow" w:hAnsi="Arial Narrow"/>
                <w:sz w:val="20"/>
              </w:rPr>
            </w:pPr>
            <w:r w:rsidRPr="009F79B5">
              <w:rPr>
                <w:rFonts w:ascii="Arial Narrow" w:hAnsi="Arial Narrow"/>
                <w:sz w:val="20"/>
              </w:rPr>
              <w:t>17/214 (8%)</w:t>
            </w:r>
          </w:p>
          <w:p w:rsidR="004D1EF4" w:rsidRPr="009F79B5" w:rsidRDefault="004D1EF4" w:rsidP="00626918">
            <w:pPr>
              <w:jc w:val="center"/>
              <w:rPr>
                <w:rFonts w:ascii="Arial Narrow" w:hAnsi="Arial Narrow"/>
                <w:sz w:val="20"/>
              </w:rPr>
            </w:pPr>
            <w:r w:rsidRPr="009F79B5">
              <w:rPr>
                <w:rFonts w:ascii="Arial Narrow" w:hAnsi="Arial Narrow"/>
                <w:sz w:val="20"/>
              </w:rPr>
              <w:t>24/214 (11%)</w:t>
            </w:r>
          </w:p>
          <w:p w:rsidR="004D1EF4" w:rsidRPr="009F79B5" w:rsidRDefault="004D1EF4" w:rsidP="00626918">
            <w:pPr>
              <w:jc w:val="center"/>
              <w:rPr>
                <w:rFonts w:ascii="Arial Narrow" w:hAnsi="Arial Narrow"/>
                <w:sz w:val="20"/>
              </w:rPr>
            </w:pPr>
            <w:r w:rsidRPr="009F79B5">
              <w:rPr>
                <w:rFonts w:ascii="Arial Narrow" w:hAnsi="Arial Narrow"/>
                <w:sz w:val="20"/>
              </w:rPr>
              <w:t>11/214 (5%)</w:t>
            </w:r>
          </w:p>
          <w:p w:rsidR="004D1EF4" w:rsidRPr="009F79B5" w:rsidRDefault="004D1EF4" w:rsidP="00626918">
            <w:pPr>
              <w:jc w:val="center"/>
              <w:rPr>
                <w:rFonts w:ascii="Arial Narrow" w:hAnsi="Arial Narrow"/>
                <w:sz w:val="20"/>
              </w:rPr>
            </w:pPr>
            <w:r w:rsidRPr="009F79B5">
              <w:rPr>
                <w:rFonts w:ascii="Arial Narrow" w:hAnsi="Arial Narrow"/>
                <w:sz w:val="20"/>
              </w:rPr>
              <w:t>14/214 (7%)</w:t>
            </w:r>
          </w:p>
          <w:p w:rsidR="004D1EF4" w:rsidRPr="009F79B5" w:rsidRDefault="004D1EF4" w:rsidP="00626918">
            <w:pPr>
              <w:jc w:val="center"/>
              <w:rPr>
                <w:rFonts w:ascii="Arial Narrow" w:hAnsi="Arial Narrow"/>
                <w:sz w:val="20"/>
              </w:rPr>
            </w:pPr>
            <w:r w:rsidRPr="009F79B5">
              <w:rPr>
                <w:rFonts w:ascii="Arial Narrow" w:hAnsi="Arial Narrow"/>
                <w:sz w:val="20"/>
              </w:rPr>
              <w:t>6/214 (3%)</w:t>
            </w:r>
          </w:p>
          <w:p w:rsidR="004D1EF4" w:rsidRPr="009F79B5" w:rsidRDefault="004D1EF4" w:rsidP="00626918">
            <w:pPr>
              <w:jc w:val="center"/>
              <w:rPr>
                <w:rFonts w:ascii="Arial Narrow" w:hAnsi="Arial Narrow"/>
                <w:sz w:val="20"/>
              </w:rPr>
            </w:pPr>
            <w:r w:rsidRPr="009F79B5">
              <w:rPr>
                <w:rFonts w:ascii="Arial Narrow" w:hAnsi="Arial Narrow"/>
                <w:sz w:val="20"/>
              </w:rPr>
              <w:t>NR</w:t>
            </w:r>
          </w:p>
        </w:tc>
        <w:tc>
          <w:tcPr>
            <w:tcW w:w="683" w:type="pct"/>
          </w:tcPr>
          <w:p w:rsidR="004D1EF4" w:rsidRPr="009F79B5" w:rsidRDefault="004D1EF4" w:rsidP="00626918">
            <w:pPr>
              <w:jc w:val="center"/>
              <w:rPr>
                <w:rFonts w:ascii="Arial Narrow" w:hAnsi="Arial Narrow"/>
                <w:sz w:val="20"/>
              </w:rPr>
            </w:pPr>
          </w:p>
          <w:p w:rsidR="004D1EF4" w:rsidRPr="009F79B5" w:rsidRDefault="004D1EF4" w:rsidP="00626918">
            <w:pPr>
              <w:jc w:val="center"/>
              <w:rPr>
                <w:rFonts w:ascii="Arial Narrow" w:hAnsi="Arial Narrow"/>
                <w:sz w:val="20"/>
              </w:rPr>
            </w:pPr>
            <w:r w:rsidRPr="009F79B5">
              <w:rPr>
                <w:rFonts w:ascii="Arial Narrow" w:hAnsi="Arial Narrow"/>
                <w:sz w:val="20"/>
              </w:rPr>
              <w:t>23/109 (21%)</w:t>
            </w:r>
          </w:p>
          <w:p w:rsidR="004D1EF4" w:rsidRPr="009F79B5" w:rsidRDefault="004D1EF4" w:rsidP="00626918">
            <w:pPr>
              <w:jc w:val="center"/>
              <w:rPr>
                <w:rFonts w:ascii="Arial Narrow" w:hAnsi="Arial Narrow"/>
                <w:sz w:val="20"/>
              </w:rPr>
            </w:pPr>
            <w:r w:rsidRPr="009F79B5">
              <w:rPr>
                <w:rFonts w:ascii="Arial Narrow" w:hAnsi="Arial Narrow"/>
                <w:sz w:val="20"/>
              </w:rPr>
              <w:t>28/109 (26%)</w:t>
            </w:r>
          </w:p>
          <w:p w:rsidR="004D1EF4" w:rsidRPr="009F79B5" w:rsidRDefault="004D1EF4" w:rsidP="00626918">
            <w:pPr>
              <w:jc w:val="center"/>
              <w:rPr>
                <w:rFonts w:ascii="Arial Narrow" w:hAnsi="Arial Narrow"/>
                <w:sz w:val="20"/>
              </w:rPr>
            </w:pPr>
            <w:r w:rsidRPr="009F79B5">
              <w:rPr>
                <w:rFonts w:ascii="Arial Narrow" w:hAnsi="Arial Narrow"/>
                <w:sz w:val="20"/>
              </w:rPr>
              <w:t>13/109 (12%)</w:t>
            </w:r>
          </w:p>
          <w:p w:rsidR="004D1EF4" w:rsidRPr="009F79B5" w:rsidRDefault="004D1EF4" w:rsidP="00626918">
            <w:pPr>
              <w:jc w:val="center"/>
              <w:rPr>
                <w:rFonts w:ascii="Arial Narrow" w:hAnsi="Arial Narrow"/>
                <w:sz w:val="20"/>
              </w:rPr>
            </w:pPr>
            <w:r w:rsidRPr="009F79B5">
              <w:rPr>
                <w:rFonts w:ascii="Arial Narrow" w:hAnsi="Arial Narrow"/>
                <w:sz w:val="20"/>
              </w:rPr>
              <w:t>2/109 (2%)</w:t>
            </w:r>
          </w:p>
          <w:p w:rsidR="004D1EF4" w:rsidRPr="009F79B5" w:rsidRDefault="004D1EF4" w:rsidP="00626918">
            <w:pPr>
              <w:jc w:val="center"/>
              <w:rPr>
                <w:rFonts w:ascii="Arial Narrow" w:hAnsi="Arial Narrow"/>
                <w:sz w:val="20"/>
              </w:rPr>
            </w:pPr>
            <w:r w:rsidRPr="009F79B5">
              <w:rPr>
                <w:rFonts w:ascii="Arial Narrow" w:hAnsi="Arial Narrow"/>
                <w:sz w:val="20"/>
              </w:rPr>
              <w:t>NR</w:t>
            </w:r>
          </w:p>
          <w:p w:rsidR="004D1EF4" w:rsidRPr="009F79B5" w:rsidRDefault="004D1EF4" w:rsidP="00626918">
            <w:pPr>
              <w:jc w:val="center"/>
              <w:rPr>
                <w:rFonts w:ascii="Arial Narrow" w:hAnsi="Arial Narrow"/>
                <w:sz w:val="20"/>
              </w:rPr>
            </w:pPr>
            <w:r w:rsidRPr="009F79B5">
              <w:rPr>
                <w:rFonts w:ascii="Arial Narrow" w:hAnsi="Arial Narrow"/>
                <w:sz w:val="20"/>
              </w:rPr>
              <w:t>NR</w:t>
            </w:r>
          </w:p>
          <w:p w:rsidR="004D1EF4" w:rsidRPr="009F79B5" w:rsidRDefault="004D1EF4" w:rsidP="00626918">
            <w:pPr>
              <w:jc w:val="center"/>
              <w:rPr>
                <w:rFonts w:ascii="Arial Narrow" w:hAnsi="Arial Narrow"/>
                <w:sz w:val="20"/>
              </w:rPr>
            </w:pPr>
            <w:r w:rsidRPr="009F79B5">
              <w:rPr>
                <w:rFonts w:ascii="Arial Narrow" w:hAnsi="Arial Narrow"/>
                <w:sz w:val="20"/>
              </w:rPr>
              <w:t>10/109 (9%)</w:t>
            </w:r>
          </w:p>
          <w:p w:rsidR="004D1EF4" w:rsidRPr="009F79B5" w:rsidRDefault="004D1EF4" w:rsidP="00626918">
            <w:pPr>
              <w:jc w:val="center"/>
              <w:rPr>
                <w:rFonts w:ascii="Arial Narrow" w:hAnsi="Arial Narrow"/>
                <w:sz w:val="20"/>
              </w:rPr>
            </w:pPr>
            <w:r w:rsidRPr="009F79B5">
              <w:rPr>
                <w:rFonts w:ascii="Arial Narrow" w:hAnsi="Arial Narrow"/>
                <w:sz w:val="20"/>
              </w:rPr>
              <w:t>7/109 (6%)</w:t>
            </w:r>
          </w:p>
          <w:p w:rsidR="004D1EF4" w:rsidRPr="009F79B5" w:rsidRDefault="004D1EF4" w:rsidP="00626918">
            <w:pPr>
              <w:jc w:val="center"/>
              <w:rPr>
                <w:rFonts w:ascii="Arial Narrow" w:hAnsi="Arial Narrow"/>
                <w:sz w:val="20"/>
              </w:rPr>
            </w:pPr>
            <w:r w:rsidRPr="009F79B5">
              <w:rPr>
                <w:rFonts w:ascii="Arial Narrow" w:hAnsi="Arial Narrow"/>
                <w:sz w:val="20"/>
              </w:rPr>
              <w:t>2/109 (2%)</w:t>
            </w:r>
          </w:p>
          <w:p w:rsidR="004D1EF4" w:rsidRPr="009F79B5" w:rsidRDefault="004D1EF4" w:rsidP="00626918">
            <w:pPr>
              <w:jc w:val="center"/>
              <w:rPr>
                <w:rFonts w:ascii="Arial Narrow" w:hAnsi="Arial Narrow"/>
                <w:sz w:val="20"/>
              </w:rPr>
            </w:pPr>
            <w:r w:rsidRPr="009F79B5">
              <w:rPr>
                <w:rFonts w:ascii="Arial Narrow" w:hAnsi="Arial Narrow"/>
                <w:sz w:val="20"/>
              </w:rPr>
              <w:t>NR</w:t>
            </w:r>
          </w:p>
          <w:p w:rsidR="004D1EF4" w:rsidRPr="009F79B5" w:rsidRDefault="004D1EF4" w:rsidP="00626918">
            <w:pPr>
              <w:jc w:val="center"/>
              <w:rPr>
                <w:rFonts w:ascii="Arial Narrow" w:hAnsi="Arial Narrow"/>
                <w:sz w:val="20"/>
              </w:rPr>
            </w:pPr>
            <w:r w:rsidRPr="009F79B5">
              <w:rPr>
                <w:rFonts w:ascii="Arial Narrow" w:hAnsi="Arial Narrow"/>
                <w:sz w:val="20"/>
              </w:rPr>
              <w:t>5/109 (5%)</w:t>
            </w:r>
          </w:p>
          <w:p w:rsidR="004D1EF4" w:rsidRPr="009F79B5" w:rsidRDefault="004D1EF4" w:rsidP="00626918">
            <w:pPr>
              <w:jc w:val="center"/>
              <w:rPr>
                <w:rFonts w:ascii="Arial Narrow" w:hAnsi="Arial Narrow"/>
                <w:sz w:val="20"/>
              </w:rPr>
            </w:pPr>
            <w:r w:rsidRPr="009F79B5">
              <w:rPr>
                <w:rFonts w:ascii="Arial Narrow" w:hAnsi="Arial Narrow"/>
                <w:sz w:val="20"/>
              </w:rPr>
              <w:t>7/109 (6%)</w:t>
            </w:r>
          </w:p>
        </w:tc>
      </w:tr>
    </w:tbl>
    <w:p w:rsidR="00B421A4" w:rsidRPr="009F79B5" w:rsidRDefault="00B421A4" w:rsidP="00B421A4">
      <w:pPr>
        <w:pStyle w:val="TableFooter"/>
        <w:ind w:left="709"/>
      </w:pPr>
      <w:r w:rsidRPr="009F79B5">
        <w:tab/>
        <w:t xml:space="preserve">AE = adverse event; LDV = </w:t>
      </w:r>
      <w:proofErr w:type="spellStart"/>
      <w:r w:rsidRPr="009F79B5">
        <w:t>ledipasvir</w:t>
      </w:r>
      <w:proofErr w:type="spellEnd"/>
      <w:r w:rsidRPr="009F79B5">
        <w:t xml:space="preserve">; NR = not reported; SMV = </w:t>
      </w:r>
      <w:proofErr w:type="spellStart"/>
      <w:r w:rsidRPr="009F79B5">
        <w:t>simeprevir</w:t>
      </w:r>
      <w:proofErr w:type="spellEnd"/>
      <w:r w:rsidRPr="009F79B5">
        <w:t xml:space="preserve">; SOF = </w:t>
      </w:r>
      <w:proofErr w:type="spellStart"/>
      <w:r w:rsidRPr="009F79B5">
        <w:t>sofosbuvir</w:t>
      </w:r>
      <w:proofErr w:type="spellEnd"/>
      <w:r w:rsidRPr="009F79B5">
        <w:t>; TE = treatment-experienced; TN = treatment-naïve</w:t>
      </w:r>
    </w:p>
    <w:p w:rsidR="00670248" w:rsidRPr="009F79B5" w:rsidRDefault="00670248" w:rsidP="00B421A4">
      <w:pPr>
        <w:pStyle w:val="TableFooter"/>
        <w:ind w:left="709"/>
      </w:pPr>
      <w:proofErr w:type="gramStart"/>
      <w:r w:rsidRPr="009F79B5">
        <w:rPr>
          <w:vertAlign w:val="superscript"/>
        </w:rPr>
        <w:t>a</w:t>
      </w:r>
      <w:proofErr w:type="gramEnd"/>
      <w:r w:rsidRPr="009F79B5">
        <w:t xml:space="preserve"> Combined LDV/SOF 8 and LDV/SOF 12</w:t>
      </w:r>
      <w:r w:rsidR="00C21067" w:rsidRPr="009F79B5">
        <w:t xml:space="preserve"> treatment arms</w:t>
      </w:r>
    </w:p>
    <w:p w:rsidR="00FD5B24" w:rsidRPr="009F79B5" w:rsidRDefault="00B421A4" w:rsidP="004C24D6">
      <w:pPr>
        <w:pStyle w:val="TableFooter"/>
        <w:ind w:left="709"/>
      </w:pPr>
      <w:r w:rsidRPr="009F79B5">
        <w:t xml:space="preserve">Source: Table Bii.6.5 p146 and Table Bii.6.8 p148 of the submission; Study 3017 and Study 3018 </w:t>
      </w:r>
      <w:proofErr w:type="spellStart"/>
      <w:r w:rsidRPr="009F79B5">
        <w:t>Topline</w:t>
      </w:r>
      <w:proofErr w:type="spellEnd"/>
      <w:r w:rsidRPr="009F79B5">
        <w:t xml:space="preserve"> Results; </w:t>
      </w:r>
      <w:proofErr w:type="spellStart"/>
      <w:r w:rsidR="00FD5B24" w:rsidRPr="009F79B5">
        <w:t>Afdhal</w:t>
      </w:r>
      <w:proofErr w:type="spellEnd"/>
      <w:r w:rsidR="00FD5B24" w:rsidRPr="009F79B5">
        <w:t xml:space="preserve"> </w:t>
      </w:r>
      <w:r w:rsidR="00FD5B24" w:rsidRPr="009F79B5">
        <w:rPr>
          <w:i/>
        </w:rPr>
        <w:t>et al</w:t>
      </w:r>
      <w:r w:rsidR="00FD5B24" w:rsidRPr="009F79B5">
        <w:t xml:space="preserve"> (2014)</w:t>
      </w:r>
      <w:r w:rsidR="00166322" w:rsidRPr="009F79B5">
        <w:rPr>
          <w:noProof/>
          <w:vertAlign w:val="superscript"/>
        </w:rPr>
        <w:t>6</w:t>
      </w:r>
      <w:r w:rsidR="00FA40AE" w:rsidRPr="009F79B5">
        <w:rPr>
          <w:noProof/>
          <w:vertAlign w:val="superscript"/>
        </w:rPr>
        <w:t xml:space="preserve">, </w:t>
      </w:r>
      <w:r w:rsidR="00166322" w:rsidRPr="009F79B5">
        <w:rPr>
          <w:noProof/>
          <w:vertAlign w:val="superscript"/>
        </w:rPr>
        <w:t>7</w:t>
      </w:r>
      <w:r w:rsidR="00FD5B24" w:rsidRPr="009F79B5">
        <w:t xml:space="preserve"> and </w:t>
      </w:r>
      <w:proofErr w:type="spellStart"/>
      <w:r w:rsidR="00FD5B24" w:rsidRPr="009F79B5">
        <w:t>Kowdley</w:t>
      </w:r>
      <w:proofErr w:type="spellEnd"/>
      <w:r w:rsidR="00FD5B24" w:rsidRPr="009F79B5">
        <w:t xml:space="preserve"> </w:t>
      </w:r>
      <w:r w:rsidR="00FD5B24" w:rsidRPr="009F79B5">
        <w:rPr>
          <w:i/>
        </w:rPr>
        <w:t xml:space="preserve">et al </w:t>
      </w:r>
      <w:r w:rsidR="00FD5B24" w:rsidRPr="009F79B5">
        <w:t>(2014)</w:t>
      </w:r>
      <w:r w:rsidR="00166322" w:rsidRPr="009F79B5">
        <w:rPr>
          <w:noProof/>
          <w:vertAlign w:val="superscript"/>
        </w:rPr>
        <w:t>8</w:t>
      </w:r>
    </w:p>
    <w:p w:rsidR="00B421A4" w:rsidRPr="009F79B5" w:rsidRDefault="00B421A4" w:rsidP="00B421A4">
      <w:pPr>
        <w:pStyle w:val="TableFooter"/>
        <w:rPr>
          <w:rFonts w:ascii="Arial" w:hAnsi="Arial"/>
          <w:sz w:val="22"/>
          <w:szCs w:val="22"/>
        </w:rPr>
      </w:pPr>
    </w:p>
    <w:p w:rsidR="00B421A4" w:rsidRPr="009F79B5" w:rsidRDefault="00B421A4" w:rsidP="00B421A4">
      <w:pPr>
        <w:pStyle w:val="Heading2"/>
        <w:rPr>
          <w:i/>
          <w:szCs w:val="22"/>
        </w:rPr>
      </w:pPr>
      <w:bookmarkStart w:id="11" w:name="_Toc419380199"/>
      <w:r w:rsidRPr="009F79B5">
        <w:rPr>
          <w:i/>
        </w:rPr>
        <w:t>Benefits/harms</w:t>
      </w:r>
      <w:bookmarkEnd w:id="11"/>
    </w:p>
    <w:p w:rsidR="00B421A4" w:rsidRPr="009F79B5" w:rsidRDefault="00B421A4" w:rsidP="00B421A4"/>
    <w:p w:rsidR="00B421A4" w:rsidRPr="009F79B5" w:rsidRDefault="00B421A4" w:rsidP="00B421A4">
      <w:pPr>
        <w:pStyle w:val="ListParagraph"/>
        <w:widowControl/>
        <w:numPr>
          <w:ilvl w:val="1"/>
          <w:numId w:val="4"/>
        </w:numPr>
        <w:rPr>
          <w:szCs w:val="22"/>
        </w:rPr>
      </w:pPr>
      <w:r w:rsidRPr="009F79B5">
        <w:rPr>
          <w:szCs w:val="22"/>
        </w:rPr>
        <w:t xml:space="preserve">A summary of the comparative benefits and harms for SMV+SOF versus ‘no treatment’ is presented in </w:t>
      </w:r>
      <w:r w:rsidR="00EA11DE" w:rsidRPr="009F79B5">
        <w:rPr>
          <w:szCs w:val="22"/>
        </w:rPr>
        <w:t xml:space="preserve">the </w:t>
      </w:r>
      <w:r w:rsidR="00EE105A">
        <w:rPr>
          <w:szCs w:val="22"/>
        </w:rPr>
        <w:t>following table</w:t>
      </w:r>
      <w:r w:rsidRPr="009F79B5">
        <w:rPr>
          <w:szCs w:val="22"/>
        </w:rPr>
        <w:t>, based on the evidence provided in the submission.</w:t>
      </w:r>
    </w:p>
    <w:p w:rsidR="00B421A4" w:rsidRPr="009F79B5" w:rsidRDefault="00B421A4" w:rsidP="00B421A4"/>
    <w:p w:rsidR="00EE105A" w:rsidRDefault="00EE105A">
      <w:pPr>
        <w:widowControl/>
        <w:jc w:val="left"/>
        <w:rPr>
          <w:rFonts w:ascii="Arial Narrow" w:hAnsi="Arial Narrow"/>
          <w:b/>
          <w:sz w:val="20"/>
        </w:rPr>
      </w:pPr>
      <w:r>
        <w:br w:type="page"/>
      </w:r>
    </w:p>
    <w:p w:rsidR="00B421A4" w:rsidRPr="009F79B5" w:rsidRDefault="00B421A4" w:rsidP="00B421A4">
      <w:pPr>
        <w:pStyle w:val="TableHeader"/>
        <w:ind w:firstLine="720"/>
      </w:pPr>
      <w:r w:rsidRPr="009F79B5">
        <w:lastRenderedPageBreak/>
        <w:t xml:space="preserve">Table </w:t>
      </w:r>
      <w:r w:rsidR="00EA11DE" w:rsidRPr="009F79B5">
        <w:t>7</w:t>
      </w:r>
      <w:r w:rsidRPr="009F79B5">
        <w:t>: The benefit/harm of SMV+SOF compared with no treatment</w:t>
      </w:r>
    </w:p>
    <w:tbl>
      <w:tblPr>
        <w:tblStyle w:val="TableGrid"/>
        <w:tblW w:w="0" w:type="auto"/>
        <w:tblInd w:w="817" w:type="dxa"/>
        <w:tblLook w:val="04A0" w:firstRow="1" w:lastRow="0" w:firstColumn="1" w:lastColumn="0" w:noHBand="0" w:noVBand="1"/>
        <w:tblCaption w:val=" "/>
      </w:tblPr>
      <w:tblGrid>
        <w:gridCol w:w="1418"/>
        <w:gridCol w:w="2693"/>
        <w:gridCol w:w="4314"/>
      </w:tblGrid>
      <w:tr w:rsidR="00B421A4" w:rsidRPr="009F79B5" w:rsidTr="00626918">
        <w:trPr>
          <w:tblHeader/>
        </w:trPr>
        <w:tc>
          <w:tcPr>
            <w:tcW w:w="1418" w:type="dxa"/>
          </w:tcPr>
          <w:p w:rsidR="00B421A4" w:rsidRPr="009F79B5" w:rsidRDefault="00B421A4" w:rsidP="00626918">
            <w:pPr>
              <w:widowControl/>
              <w:rPr>
                <w:rFonts w:ascii="Arial Narrow" w:hAnsi="Arial Narrow"/>
                <w:b/>
                <w:snapToGrid/>
                <w:sz w:val="20"/>
                <w:lang w:eastAsia="en-AU"/>
              </w:rPr>
            </w:pPr>
            <w:r w:rsidRPr="009F79B5">
              <w:rPr>
                <w:rFonts w:ascii="Arial Narrow" w:hAnsi="Arial Narrow"/>
                <w:b/>
                <w:snapToGrid/>
                <w:sz w:val="20"/>
                <w:lang w:eastAsia="en-AU"/>
              </w:rPr>
              <w:t>Patient group</w:t>
            </w:r>
          </w:p>
        </w:tc>
        <w:tc>
          <w:tcPr>
            <w:tcW w:w="2693" w:type="dxa"/>
          </w:tcPr>
          <w:p w:rsidR="00B421A4" w:rsidRPr="009F79B5" w:rsidRDefault="00B421A4" w:rsidP="00626918">
            <w:pPr>
              <w:widowControl/>
              <w:rPr>
                <w:rFonts w:ascii="Arial Narrow" w:hAnsi="Arial Narrow"/>
                <w:b/>
                <w:snapToGrid/>
                <w:sz w:val="20"/>
                <w:lang w:eastAsia="en-AU"/>
              </w:rPr>
            </w:pPr>
            <w:r w:rsidRPr="009F79B5">
              <w:rPr>
                <w:rFonts w:ascii="Arial Narrow" w:hAnsi="Arial Narrow"/>
                <w:b/>
                <w:snapToGrid/>
                <w:sz w:val="20"/>
                <w:lang w:eastAsia="en-AU"/>
              </w:rPr>
              <w:t>Comparison</w:t>
            </w:r>
          </w:p>
        </w:tc>
        <w:tc>
          <w:tcPr>
            <w:tcW w:w="4314" w:type="dxa"/>
          </w:tcPr>
          <w:p w:rsidR="00B421A4" w:rsidRPr="009F79B5" w:rsidRDefault="00B421A4" w:rsidP="00626918">
            <w:pPr>
              <w:widowControl/>
              <w:rPr>
                <w:rFonts w:ascii="Arial Narrow" w:hAnsi="Arial Narrow"/>
                <w:b/>
                <w:snapToGrid/>
                <w:sz w:val="20"/>
                <w:lang w:eastAsia="en-AU"/>
              </w:rPr>
            </w:pPr>
            <w:r w:rsidRPr="009F79B5">
              <w:rPr>
                <w:rFonts w:ascii="Arial Narrow" w:hAnsi="Arial Narrow"/>
                <w:b/>
                <w:snapToGrid/>
                <w:sz w:val="20"/>
                <w:lang w:eastAsia="en-AU"/>
              </w:rPr>
              <w:t>Benefits/harms</w:t>
            </w:r>
          </w:p>
        </w:tc>
      </w:tr>
      <w:tr w:rsidR="00B421A4" w:rsidRPr="009F79B5" w:rsidTr="00626918">
        <w:trPr>
          <w:trHeight w:val="1098"/>
        </w:trPr>
        <w:tc>
          <w:tcPr>
            <w:tcW w:w="1418" w:type="dxa"/>
          </w:tcPr>
          <w:p w:rsidR="00B421A4" w:rsidRPr="009F79B5" w:rsidRDefault="00B421A4" w:rsidP="00626918">
            <w:pPr>
              <w:widowControl/>
              <w:jc w:val="left"/>
              <w:rPr>
                <w:rFonts w:ascii="Arial Narrow" w:hAnsi="Arial Narrow"/>
                <w:b/>
                <w:snapToGrid/>
                <w:sz w:val="20"/>
                <w:lang w:eastAsia="en-AU"/>
              </w:rPr>
            </w:pPr>
            <w:r w:rsidRPr="009F79B5">
              <w:rPr>
                <w:rFonts w:ascii="Arial Narrow" w:hAnsi="Arial Narrow"/>
                <w:b/>
                <w:snapToGrid/>
                <w:sz w:val="20"/>
                <w:lang w:eastAsia="en-AU"/>
              </w:rPr>
              <w:t>Genotype 1, treatment naïve, non-cirrhotic patients</w:t>
            </w:r>
          </w:p>
        </w:tc>
        <w:tc>
          <w:tcPr>
            <w:tcW w:w="2693" w:type="dxa"/>
          </w:tcPr>
          <w:p w:rsidR="00B421A4" w:rsidRPr="009F79B5" w:rsidRDefault="00B421A4" w:rsidP="00626918">
            <w:pPr>
              <w:widowControl/>
              <w:jc w:val="left"/>
              <w:rPr>
                <w:rFonts w:ascii="Arial Narrow" w:hAnsi="Arial Narrow"/>
                <w:snapToGrid/>
                <w:sz w:val="20"/>
                <w:lang w:eastAsia="en-AU"/>
              </w:rPr>
            </w:pPr>
            <w:r w:rsidRPr="009F79B5">
              <w:rPr>
                <w:rFonts w:ascii="Arial Narrow" w:hAnsi="Arial Narrow"/>
                <w:snapToGrid/>
                <w:sz w:val="20"/>
                <w:lang w:eastAsia="en-AU"/>
              </w:rPr>
              <w:t xml:space="preserve">for every 100 patients treated with SMV+SOF for 12 weeks in comparison to </w:t>
            </w:r>
            <w:r w:rsidRPr="009F79B5">
              <w:rPr>
                <w:rFonts w:ascii="Arial Narrow" w:hAnsi="Arial Narrow"/>
                <w:snapToGrid/>
                <w:sz w:val="20"/>
                <w:u w:val="single"/>
                <w:lang w:eastAsia="en-AU"/>
              </w:rPr>
              <w:t>no treatment</w:t>
            </w:r>
          </w:p>
        </w:tc>
        <w:tc>
          <w:tcPr>
            <w:tcW w:w="4314" w:type="dxa"/>
          </w:tcPr>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97 additional patients would be expected to achieve an SVR; and</w:t>
            </w:r>
          </w:p>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1 additional patient would experience a serious adverse event.</w:t>
            </w:r>
          </w:p>
        </w:tc>
      </w:tr>
      <w:tr w:rsidR="00B421A4" w:rsidRPr="009F79B5" w:rsidTr="00626918">
        <w:trPr>
          <w:trHeight w:val="1213"/>
        </w:trPr>
        <w:tc>
          <w:tcPr>
            <w:tcW w:w="1418" w:type="dxa"/>
          </w:tcPr>
          <w:p w:rsidR="00B421A4" w:rsidRPr="009F79B5" w:rsidRDefault="00B421A4" w:rsidP="00626918">
            <w:pPr>
              <w:keepNext/>
              <w:keepLines/>
              <w:widowControl/>
              <w:spacing w:before="200"/>
              <w:jc w:val="left"/>
              <w:outlineLvl w:val="2"/>
              <w:rPr>
                <w:rFonts w:ascii="Arial Narrow" w:eastAsiaTheme="majorEastAsia" w:hAnsi="Arial Narrow"/>
                <w:b/>
                <w:bCs/>
                <w:snapToGrid/>
                <w:sz w:val="20"/>
                <w:lang w:eastAsia="en-AU"/>
              </w:rPr>
            </w:pPr>
            <w:r w:rsidRPr="009F79B5">
              <w:rPr>
                <w:rFonts w:ascii="Arial Narrow" w:eastAsiaTheme="majorEastAsia" w:hAnsi="Arial Narrow"/>
                <w:b/>
                <w:bCs/>
                <w:snapToGrid/>
                <w:sz w:val="20"/>
                <w:lang w:eastAsia="en-AU"/>
              </w:rPr>
              <w:t>Genotype 1, treatment naïve, cirrhotic patients</w:t>
            </w:r>
          </w:p>
        </w:tc>
        <w:tc>
          <w:tcPr>
            <w:tcW w:w="2693" w:type="dxa"/>
          </w:tcPr>
          <w:p w:rsidR="00B421A4" w:rsidRPr="009F79B5" w:rsidRDefault="00B421A4" w:rsidP="00626918">
            <w:pPr>
              <w:widowControl/>
              <w:rPr>
                <w:rFonts w:ascii="Arial Narrow" w:hAnsi="Arial Narrow"/>
                <w:snapToGrid/>
                <w:sz w:val="20"/>
                <w:lang w:eastAsia="en-AU"/>
              </w:rPr>
            </w:pPr>
            <w:r w:rsidRPr="009F79B5">
              <w:rPr>
                <w:rFonts w:ascii="Arial Narrow" w:hAnsi="Arial Narrow"/>
                <w:snapToGrid/>
                <w:sz w:val="20"/>
                <w:lang w:eastAsia="en-AU"/>
              </w:rPr>
              <w:t>for every 100 patients treated with SMV+SOF for 12 weeks in comparison to</w:t>
            </w:r>
            <w:r w:rsidRPr="009F79B5">
              <w:rPr>
                <w:rFonts w:ascii="Arial Narrow" w:hAnsi="Arial Narrow"/>
                <w:snapToGrid/>
                <w:sz w:val="20"/>
                <w:u w:val="single"/>
                <w:lang w:eastAsia="en-AU"/>
              </w:rPr>
              <w:t xml:space="preserve"> no treatment</w:t>
            </w:r>
            <w:r w:rsidRPr="009F79B5">
              <w:rPr>
                <w:rFonts w:ascii="Arial Narrow" w:hAnsi="Arial Narrow"/>
                <w:snapToGrid/>
                <w:sz w:val="20"/>
                <w:lang w:eastAsia="en-AU"/>
              </w:rPr>
              <w:t>:</w:t>
            </w:r>
          </w:p>
        </w:tc>
        <w:tc>
          <w:tcPr>
            <w:tcW w:w="4314" w:type="dxa"/>
          </w:tcPr>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 xml:space="preserve">Approximately 88 additional patients would be expected to achieve SVR; and </w:t>
            </w:r>
          </w:p>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5 additional patients would experience a serious adverse event.</w:t>
            </w:r>
          </w:p>
        </w:tc>
      </w:tr>
      <w:tr w:rsidR="00B421A4" w:rsidRPr="009F79B5" w:rsidTr="00626918">
        <w:tc>
          <w:tcPr>
            <w:tcW w:w="1418" w:type="dxa"/>
          </w:tcPr>
          <w:p w:rsidR="00B421A4" w:rsidRPr="009F79B5" w:rsidRDefault="00B421A4" w:rsidP="00626918">
            <w:pPr>
              <w:keepNext/>
              <w:keepLines/>
              <w:widowControl/>
              <w:spacing w:before="200"/>
              <w:jc w:val="left"/>
              <w:outlineLvl w:val="2"/>
              <w:rPr>
                <w:rFonts w:ascii="Arial Narrow" w:hAnsi="Arial Narrow"/>
                <w:b/>
                <w:snapToGrid/>
                <w:sz w:val="20"/>
                <w:lang w:eastAsia="en-AU"/>
              </w:rPr>
            </w:pPr>
            <w:r w:rsidRPr="009F79B5">
              <w:rPr>
                <w:rFonts w:ascii="Arial Narrow" w:eastAsiaTheme="majorEastAsia" w:hAnsi="Arial Narrow"/>
                <w:b/>
                <w:bCs/>
                <w:snapToGrid/>
                <w:sz w:val="20"/>
                <w:lang w:eastAsia="en-AU"/>
              </w:rPr>
              <w:t>Genotype 1, treatment experienced, non-cirrhotic patients</w:t>
            </w:r>
          </w:p>
        </w:tc>
        <w:tc>
          <w:tcPr>
            <w:tcW w:w="2693" w:type="dxa"/>
          </w:tcPr>
          <w:p w:rsidR="00B421A4" w:rsidRPr="009F79B5" w:rsidRDefault="00B421A4" w:rsidP="00626918">
            <w:pPr>
              <w:widowControl/>
              <w:jc w:val="left"/>
              <w:rPr>
                <w:rFonts w:ascii="Arial Narrow" w:hAnsi="Arial Narrow"/>
                <w:snapToGrid/>
                <w:sz w:val="20"/>
                <w:lang w:eastAsia="en-AU"/>
              </w:rPr>
            </w:pPr>
            <w:r w:rsidRPr="009F79B5">
              <w:rPr>
                <w:rFonts w:ascii="Arial Narrow" w:hAnsi="Arial Narrow"/>
                <w:snapToGrid/>
                <w:sz w:val="20"/>
                <w:lang w:eastAsia="en-AU"/>
              </w:rPr>
              <w:t xml:space="preserve">for every 100 patients treated with SMV+SOF for 12 weeks in comparison to </w:t>
            </w:r>
            <w:r w:rsidRPr="009F79B5">
              <w:rPr>
                <w:rFonts w:ascii="Arial Narrow" w:hAnsi="Arial Narrow"/>
                <w:snapToGrid/>
                <w:sz w:val="20"/>
                <w:u w:val="single"/>
                <w:lang w:eastAsia="en-AU"/>
              </w:rPr>
              <w:t>no treatment</w:t>
            </w:r>
            <w:r w:rsidRPr="009F79B5">
              <w:rPr>
                <w:rFonts w:ascii="Arial Narrow" w:hAnsi="Arial Narrow"/>
                <w:snapToGrid/>
                <w:sz w:val="20"/>
                <w:lang w:eastAsia="en-AU"/>
              </w:rPr>
              <w:t>:</w:t>
            </w:r>
          </w:p>
          <w:p w:rsidR="00B421A4" w:rsidRPr="009F79B5" w:rsidRDefault="00B421A4" w:rsidP="00626918">
            <w:pPr>
              <w:widowControl/>
              <w:rPr>
                <w:rFonts w:ascii="Arial Narrow" w:hAnsi="Arial Narrow"/>
                <w:snapToGrid/>
                <w:sz w:val="20"/>
                <w:lang w:eastAsia="en-AU"/>
              </w:rPr>
            </w:pPr>
          </w:p>
        </w:tc>
        <w:tc>
          <w:tcPr>
            <w:tcW w:w="4314" w:type="dxa"/>
          </w:tcPr>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95 additional patients would be expected to achieve an SVR, and</w:t>
            </w:r>
          </w:p>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1 additional patient would experience a serious adverse event.</w:t>
            </w:r>
          </w:p>
        </w:tc>
      </w:tr>
      <w:tr w:rsidR="00B421A4" w:rsidRPr="009F79B5" w:rsidTr="00626918">
        <w:tc>
          <w:tcPr>
            <w:tcW w:w="1418" w:type="dxa"/>
          </w:tcPr>
          <w:p w:rsidR="00B421A4" w:rsidRPr="009F79B5" w:rsidRDefault="00B421A4" w:rsidP="00626918">
            <w:pPr>
              <w:keepNext/>
              <w:keepLines/>
              <w:widowControl/>
              <w:spacing w:before="200"/>
              <w:jc w:val="left"/>
              <w:outlineLvl w:val="2"/>
              <w:rPr>
                <w:rFonts w:ascii="Arial Narrow" w:eastAsiaTheme="majorEastAsia" w:hAnsi="Arial Narrow"/>
                <w:b/>
                <w:bCs/>
                <w:snapToGrid/>
                <w:sz w:val="20"/>
                <w:lang w:eastAsia="en-AU"/>
              </w:rPr>
            </w:pPr>
            <w:r w:rsidRPr="009F79B5">
              <w:rPr>
                <w:rFonts w:ascii="Arial Narrow" w:eastAsiaTheme="majorEastAsia" w:hAnsi="Arial Narrow"/>
                <w:b/>
                <w:bCs/>
                <w:snapToGrid/>
                <w:sz w:val="20"/>
                <w:lang w:eastAsia="en-AU"/>
              </w:rPr>
              <w:t>Genotype 1, treatment experienced, cirrhotic patients</w:t>
            </w:r>
          </w:p>
        </w:tc>
        <w:tc>
          <w:tcPr>
            <w:tcW w:w="2693" w:type="dxa"/>
          </w:tcPr>
          <w:p w:rsidR="00B421A4" w:rsidRPr="009F79B5" w:rsidRDefault="00B421A4" w:rsidP="00626918">
            <w:pPr>
              <w:widowControl/>
              <w:jc w:val="left"/>
              <w:rPr>
                <w:rFonts w:ascii="Arial Narrow" w:hAnsi="Arial Narrow"/>
                <w:snapToGrid/>
                <w:sz w:val="20"/>
                <w:lang w:eastAsia="en-AU"/>
              </w:rPr>
            </w:pPr>
            <w:r w:rsidRPr="009F79B5">
              <w:rPr>
                <w:rFonts w:ascii="Arial Narrow" w:hAnsi="Arial Narrow"/>
                <w:snapToGrid/>
                <w:sz w:val="20"/>
                <w:lang w:eastAsia="en-AU"/>
              </w:rPr>
              <w:t xml:space="preserve">for every 100 patients treated with SMV+SOF for 12 weeks in comparison to </w:t>
            </w:r>
            <w:r w:rsidRPr="009F79B5">
              <w:rPr>
                <w:rFonts w:ascii="Arial Narrow" w:hAnsi="Arial Narrow"/>
                <w:snapToGrid/>
                <w:sz w:val="20"/>
                <w:u w:val="single"/>
                <w:lang w:eastAsia="en-AU"/>
              </w:rPr>
              <w:t>no treatment</w:t>
            </w:r>
            <w:r w:rsidRPr="009F79B5">
              <w:rPr>
                <w:rFonts w:ascii="Arial Narrow" w:hAnsi="Arial Narrow"/>
                <w:snapToGrid/>
                <w:sz w:val="20"/>
                <w:lang w:eastAsia="en-AU"/>
              </w:rPr>
              <w:t>:</w:t>
            </w:r>
          </w:p>
          <w:p w:rsidR="00B421A4" w:rsidRPr="009F79B5" w:rsidRDefault="00B421A4" w:rsidP="00626918">
            <w:pPr>
              <w:widowControl/>
              <w:jc w:val="left"/>
              <w:rPr>
                <w:rFonts w:ascii="Arial Narrow" w:hAnsi="Arial Narrow"/>
                <w:snapToGrid/>
                <w:sz w:val="20"/>
                <w:lang w:eastAsia="en-AU"/>
              </w:rPr>
            </w:pPr>
          </w:p>
        </w:tc>
        <w:tc>
          <w:tcPr>
            <w:tcW w:w="4314" w:type="dxa"/>
          </w:tcPr>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79 additional patients would be expected to achieve an SVR, and</w:t>
            </w:r>
          </w:p>
          <w:p w:rsidR="00B421A4" w:rsidRPr="009F79B5" w:rsidRDefault="00B421A4" w:rsidP="00520C85">
            <w:pPr>
              <w:widowControl/>
              <w:numPr>
                <w:ilvl w:val="0"/>
                <w:numId w:val="37"/>
              </w:numPr>
              <w:ind w:left="218" w:hanging="142"/>
              <w:contextualSpacing/>
              <w:jc w:val="left"/>
              <w:rPr>
                <w:rFonts w:ascii="Arial Narrow" w:hAnsi="Arial Narrow"/>
                <w:snapToGrid/>
                <w:sz w:val="20"/>
                <w:lang w:eastAsia="en-AU"/>
              </w:rPr>
            </w:pPr>
            <w:r w:rsidRPr="009F79B5">
              <w:rPr>
                <w:rFonts w:ascii="Arial Narrow" w:hAnsi="Arial Narrow"/>
                <w:snapToGrid/>
                <w:sz w:val="20"/>
                <w:lang w:eastAsia="en-AU"/>
              </w:rPr>
              <w:t>Approximately 5 additional patients would experience a serious adverse event</w:t>
            </w:r>
          </w:p>
        </w:tc>
      </w:tr>
    </w:tbl>
    <w:p w:rsidR="00100B40" w:rsidRPr="009F79B5" w:rsidRDefault="00100B40" w:rsidP="00100B40">
      <w:pPr>
        <w:pStyle w:val="TableFooter"/>
        <w:ind w:left="720"/>
      </w:pPr>
      <w:r w:rsidRPr="009F79B5">
        <w:t xml:space="preserve">Note: Efficacy results were based on Studies 3017 and 3018, which were relatively large studies and more representative of the proposed PBS population than Pearlman 2015 and COSMOS. </w:t>
      </w:r>
    </w:p>
    <w:p w:rsidR="00100B40" w:rsidRPr="009F79B5" w:rsidRDefault="00100B40" w:rsidP="00100B40">
      <w:pPr>
        <w:pStyle w:val="TableFooter"/>
        <w:ind w:left="720"/>
      </w:pPr>
      <w:r w:rsidRPr="009F79B5">
        <w:t>Safety results for non-cirrhotic patients were based on Study 3017, while results for cirrhotic patients were based on Study 3018. Both treatment-naïve and treatment-experienced patients were combined in these analyses.</w:t>
      </w:r>
    </w:p>
    <w:p w:rsidR="00DD30BE" w:rsidRPr="009F79B5" w:rsidRDefault="00DD30BE" w:rsidP="00FF34D9"/>
    <w:p w:rsidR="00C56256" w:rsidRPr="00FF34D9" w:rsidRDefault="00C56256" w:rsidP="00FF34D9">
      <w:pPr>
        <w:pStyle w:val="ListParagraph"/>
        <w:widowControl/>
        <w:numPr>
          <w:ilvl w:val="1"/>
          <w:numId w:val="4"/>
        </w:numPr>
      </w:pPr>
      <w:r w:rsidRPr="00FF34D9">
        <w:t>There were no clear differences in the benefits and harms of SMV+SOF compared to LDV/SOF.</w:t>
      </w:r>
    </w:p>
    <w:p w:rsidR="00B421A4" w:rsidRPr="009F79B5" w:rsidRDefault="00B421A4" w:rsidP="00B421A4"/>
    <w:p w:rsidR="00B421A4" w:rsidRPr="009F79B5" w:rsidRDefault="00B421A4" w:rsidP="00B421A4">
      <w:pPr>
        <w:pStyle w:val="Heading2"/>
        <w:rPr>
          <w:i/>
        </w:rPr>
      </w:pPr>
      <w:bookmarkStart w:id="12" w:name="_Toc419380200"/>
      <w:r w:rsidRPr="009F79B5">
        <w:rPr>
          <w:i/>
        </w:rPr>
        <w:t>Clinical claim</w:t>
      </w:r>
      <w:bookmarkEnd w:id="12"/>
    </w:p>
    <w:p w:rsidR="00B421A4" w:rsidRPr="009F79B5" w:rsidRDefault="00B421A4" w:rsidP="00B421A4">
      <w:pPr>
        <w:ind w:left="720" w:hanging="720"/>
        <w:rPr>
          <w:szCs w:val="22"/>
        </w:rPr>
      </w:pPr>
    </w:p>
    <w:p w:rsidR="00B421A4" w:rsidRPr="009F79B5" w:rsidRDefault="00B421A4" w:rsidP="00B421A4">
      <w:pPr>
        <w:pStyle w:val="ListParagraph"/>
        <w:widowControl/>
        <w:numPr>
          <w:ilvl w:val="1"/>
          <w:numId w:val="4"/>
        </w:numPr>
        <w:rPr>
          <w:szCs w:val="22"/>
        </w:rPr>
      </w:pPr>
      <w:r w:rsidRPr="009F79B5">
        <w:t xml:space="preserve">The submission described SMV+SOF as superior in terms of efficacy and inferior in terms of safety compared with no treatment. </w:t>
      </w:r>
      <w:r w:rsidR="000C7EE5" w:rsidRPr="009F79B5">
        <w:t>Based on the evidence provided in the submission, the PBAC considered this claim</w:t>
      </w:r>
      <w:r w:rsidR="00100B40" w:rsidRPr="009F79B5">
        <w:t xml:space="preserve"> wa</w:t>
      </w:r>
      <w:r w:rsidRPr="009F79B5">
        <w:t>s reasonable</w:t>
      </w:r>
      <w:r w:rsidRPr="009F79B5">
        <w:rPr>
          <w:i/>
        </w:rPr>
        <w:t>.</w:t>
      </w:r>
    </w:p>
    <w:p w:rsidR="00A57231" w:rsidRPr="009F79B5" w:rsidRDefault="00A57231" w:rsidP="00A57231">
      <w:pPr>
        <w:pStyle w:val="ListParagraph"/>
        <w:widowControl/>
        <w:rPr>
          <w:szCs w:val="22"/>
        </w:rPr>
      </w:pPr>
    </w:p>
    <w:p w:rsidR="00A57231" w:rsidRPr="009F79B5" w:rsidRDefault="00A57231" w:rsidP="00A57231">
      <w:pPr>
        <w:pStyle w:val="ListParagraph"/>
        <w:widowControl/>
        <w:numPr>
          <w:ilvl w:val="1"/>
          <w:numId w:val="4"/>
        </w:numPr>
      </w:pPr>
      <w:r w:rsidRPr="009F79B5">
        <w:t xml:space="preserve">The submission described SMV+SOF as similar in terms of efficacy and safety to other interferon-free treatment regimens. The SVR12 rates in both treatment-naïve and treatment-experienced patients without cirrhosis were consistently high and reasonably similar for each of the alternative interferon-free treatment regimens. As the confidence intervals of the SVR12 rates for each treatment regimen in cirrhotic patients were generally wider than those in non-cirrhotic patients, any interpretation of the comparison between treatment regimens in these patients would be </w:t>
      </w:r>
      <w:r w:rsidR="00C2670F" w:rsidRPr="009F79B5">
        <w:t xml:space="preserve">more </w:t>
      </w:r>
      <w:r w:rsidRPr="009F79B5">
        <w:t xml:space="preserve">uncertain. The results from Study 3018 suggested that SMV12+SOF12 may be inferior to </w:t>
      </w:r>
      <w:proofErr w:type="spellStart"/>
      <w:r w:rsidRPr="009F79B5">
        <w:t>Viekira</w:t>
      </w:r>
      <w:proofErr w:type="spellEnd"/>
      <w:r w:rsidRPr="009F79B5">
        <w:t xml:space="preserve"> PAK-RBV in treatment experienced patients with cirrhosis. However, the high SVR12 rate observed in Pearlman 2015 for this patient subgroup (33/36, 91.7%) suggested a similar treatment effect to other interferon-free treatment regimens. The incidence of skin events (including rash, pruritus and photosensitivity) was higher in patients treated with SMV+SOF compared to LDV/SOF; </w:t>
      </w:r>
      <w:r w:rsidR="00C2670F" w:rsidRPr="009F79B5">
        <w:t>most</w:t>
      </w:r>
      <w:r w:rsidRPr="009F79B5">
        <w:t xml:space="preserve"> events were of mild to moderate severity. Otherwise, there were no clear differences between the safety profiles of SMV+SOF and LDV/SOF.</w:t>
      </w:r>
    </w:p>
    <w:p w:rsidR="00BD2F72" w:rsidRPr="009F79B5" w:rsidRDefault="00BD2F72" w:rsidP="00A045E5">
      <w:pPr>
        <w:pStyle w:val="ListParagraph"/>
        <w:widowControl/>
      </w:pPr>
    </w:p>
    <w:p w:rsidR="00E10E41" w:rsidRPr="009F79B5" w:rsidRDefault="00E10E41" w:rsidP="00A57231">
      <w:pPr>
        <w:pStyle w:val="ListParagraph"/>
        <w:widowControl/>
        <w:numPr>
          <w:ilvl w:val="1"/>
          <w:numId w:val="4"/>
        </w:numPr>
      </w:pPr>
      <w:r w:rsidRPr="009F79B5">
        <w:t xml:space="preserve">The ESC agreed with the submission that SMV+SOF </w:t>
      </w:r>
      <w:proofErr w:type="gramStart"/>
      <w:r w:rsidR="00C2670F" w:rsidRPr="009F79B5">
        <w:t>i</w:t>
      </w:r>
      <w:r w:rsidRPr="009F79B5">
        <w:t>s</w:t>
      </w:r>
      <w:proofErr w:type="gramEnd"/>
      <w:r w:rsidRPr="009F79B5">
        <w:t xml:space="preserve"> similar in terms of efficacy and safety to other interferon-free treatment regimens</w:t>
      </w:r>
      <w:r w:rsidR="00490A21" w:rsidRPr="009F79B5">
        <w:t>.</w:t>
      </w:r>
    </w:p>
    <w:p w:rsidR="00490A21" w:rsidRPr="009F79B5" w:rsidRDefault="00490A21" w:rsidP="00490A21">
      <w:pPr>
        <w:pStyle w:val="ListParagraph"/>
        <w:widowControl/>
        <w:rPr>
          <w:i/>
        </w:rPr>
      </w:pPr>
    </w:p>
    <w:p w:rsidR="000C7EE5" w:rsidRPr="009F79B5" w:rsidRDefault="000C7EE5" w:rsidP="009C4BAB">
      <w:pPr>
        <w:widowControl/>
        <w:numPr>
          <w:ilvl w:val="1"/>
          <w:numId w:val="4"/>
        </w:numPr>
        <w:jc w:val="left"/>
        <w:rPr>
          <w:bCs/>
          <w:szCs w:val="22"/>
          <w:lang w:val="en-GB"/>
        </w:rPr>
      </w:pPr>
      <w:r w:rsidRPr="009F79B5">
        <w:rPr>
          <w:bCs/>
          <w:szCs w:val="22"/>
          <w:lang w:val="en-GB"/>
        </w:rPr>
        <w:t xml:space="preserve">Though </w:t>
      </w:r>
      <w:r w:rsidR="009C4BAB" w:rsidRPr="009F79B5">
        <w:rPr>
          <w:bCs/>
          <w:szCs w:val="22"/>
          <w:lang w:val="en-GB"/>
        </w:rPr>
        <w:t xml:space="preserve">the submission presented </w:t>
      </w:r>
      <w:r w:rsidRPr="009F79B5">
        <w:rPr>
          <w:bCs/>
          <w:szCs w:val="22"/>
          <w:lang w:val="en-GB"/>
        </w:rPr>
        <w:t xml:space="preserve"> unadjusted comparison of SVR results, the PBAC considered that it was reasonable to accept that</w:t>
      </w:r>
      <w:r w:rsidR="00E9607B" w:rsidRPr="009F79B5">
        <w:rPr>
          <w:bCs/>
          <w:szCs w:val="22"/>
          <w:lang w:val="en-GB"/>
        </w:rPr>
        <w:t xml:space="preserve"> a course of</w:t>
      </w:r>
      <w:r w:rsidRPr="009F79B5">
        <w:rPr>
          <w:bCs/>
          <w:szCs w:val="22"/>
          <w:lang w:val="en-GB"/>
        </w:rPr>
        <w:t xml:space="preserve"> </w:t>
      </w:r>
      <w:r w:rsidR="009C4BAB" w:rsidRPr="009F79B5">
        <w:t xml:space="preserve">SMV+SOF </w:t>
      </w:r>
      <w:r w:rsidR="00C14004">
        <w:rPr>
          <w:bCs/>
          <w:szCs w:val="22"/>
          <w:lang w:val="en-GB"/>
        </w:rPr>
        <w:t>was non</w:t>
      </w:r>
      <w:r w:rsidR="00C14004">
        <w:rPr>
          <w:bCs/>
          <w:szCs w:val="22"/>
          <w:lang w:val="en-GB"/>
        </w:rPr>
        <w:noBreakHyphen/>
      </w:r>
      <w:r w:rsidRPr="009F79B5">
        <w:rPr>
          <w:bCs/>
          <w:szCs w:val="22"/>
          <w:lang w:val="en-GB"/>
        </w:rPr>
        <w:t>inferior for comparative efficacy with</w:t>
      </w:r>
      <w:r w:rsidR="009C4BAB" w:rsidRPr="009F79B5">
        <w:rPr>
          <w:bCs/>
          <w:szCs w:val="22"/>
          <w:lang w:val="en-GB"/>
        </w:rPr>
        <w:t xml:space="preserve"> </w:t>
      </w:r>
      <w:r w:rsidR="00E9607B" w:rsidRPr="009F79B5">
        <w:rPr>
          <w:bCs/>
          <w:szCs w:val="22"/>
          <w:lang w:val="en-GB"/>
        </w:rPr>
        <w:t xml:space="preserve">a course of </w:t>
      </w:r>
      <w:r w:rsidRPr="009F79B5">
        <w:rPr>
          <w:bCs/>
          <w:szCs w:val="22"/>
          <w:lang w:val="en-GB"/>
        </w:rPr>
        <w:t>LDV/SOF</w:t>
      </w:r>
      <w:r w:rsidR="009C4BAB" w:rsidRPr="009F79B5">
        <w:rPr>
          <w:bCs/>
          <w:szCs w:val="22"/>
          <w:lang w:val="en-GB"/>
        </w:rPr>
        <w:t xml:space="preserve">, </w:t>
      </w:r>
      <w:r w:rsidR="009C4BAB" w:rsidRPr="009F79B5">
        <w:rPr>
          <w:szCs w:val="22"/>
        </w:rPr>
        <w:t>DCV+SOF</w:t>
      </w:r>
      <w:r w:rsidR="009C4BAB" w:rsidRPr="009F79B5">
        <w:rPr>
          <w:bCs/>
          <w:szCs w:val="22"/>
          <w:lang w:val="en-GB"/>
        </w:rPr>
        <w:t xml:space="preserve"> </w:t>
      </w:r>
      <w:r w:rsidR="00E9607B" w:rsidRPr="009F79B5">
        <w:rPr>
          <w:bCs/>
          <w:szCs w:val="22"/>
          <w:lang w:val="en-GB"/>
        </w:rPr>
        <w:t>or</w:t>
      </w:r>
      <w:r w:rsidR="009C4BAB" w:rsidRPr="009F79B5">
        <w:rPr>
          <w:bCs/>
          <w:szCs w:val="22"/>
          <w:lang w:val="en-GB"/>
        </w:rPr>
        <w:t xml:space="preserve"> </w:t>
      </w:r>
      <w:proofErr w:type="spellStart"/>
      <w:r w:rsidR="009C4BAB" w:rsidRPr="009F79B5">
        <w:rPr>
          <w:bCs/>
          <w:szCs w:val="22"/>
          <w:lang w:val="en-GB"/>
        </w:rPr>
        <w:t>Viekira</w:t>
      </w:r>
      <w:proofErr w:type="spellEnd"/>
      <w:r w:rsidR="009C4BAB" w:rsidRPr="009F79B5">
        <w:rPr>
          <w:bCs/>
          <w:szCs w:val="22"/>
          <w:lang w:val="en-GB"/>
        </w:rPr>
        <w:t xml:space="preserve"> PAK/</w:t>
      </w:r>
      <w:proofErr w:type="spellStart"/>
      <w:r w:rsidR="009C4BAB" w:rsidRPr="009F79B5">
        <w:rPr>
          <w:bCs/>
          <w:szCs w:val="22"/>
          <w:lang w:val="en-GB"/>
        </w:rPr>
        <w:t>Viekira</w:t>
      </w:r>
      <w:proofErr w:type="spellEnd"/>
      <w:r w:rsidR="009C4BAB" w:rsidRPr="009F79B5">
        <w:rPr>
          <w:bCs/>
          <w:szCs w:val="22"/>
          <w:lang w:val="en-GB"/>
        </w:rPr>
        <w:t xml:space="preserve"> PAK-RBV</w:t>
      </w:r>
      <w:r w:rsidRPr="009F79B5">
        <w:rPr>
          <w:bCs/>
          <w:szCs w:val="22"/>
          <w:lang w:val="en-GB"/>
        </w:rPr>
        <w:t xml:space="preserve"> </w:t>
      </w:r>
      <w:r w:rsidR="009C4BAB" w:rsidRPr="009F79B5">
        <w:rPr>
          <w:bCs/>
          <w:szCs w:val="22"/>
          <w:lang w:val="en-GB"/>
        </w:rPr>
        <w:t xml:space="preserve">for treatment of </w:t>
      </w:r>
      <w:r w:rsidRPr="009F79B5">
        <w:rPr>
          <w:bCs/>
          <w:szCs w:val="22"/>
          <w:lang w:val="en-GB"/>
        </w:rPr>
        <w:t xml:space="preserve"> Genotype 1 </w:t>
      </w:r>
      <w:r w:rsidR="009C4BAB" w:rsidRPr="009F79B5">
        <w:rPr>
          <w:bCs/>
          <w:szCs w:val="22"/>
          <w:lang w:val="en-GB"/>
        </w:rPr>
        <w:t>CHC</w:t>
      </w:r>
      <w:r w:rsidRPr="009F79B5">
        <w:rPr>
          <w:bCs/>
          <w:szCs w:val="22"/>
          <w:lang w:val="en-GB"/>
        </w:rPr>
        <w:t>.</w:t>
      </w:r>
    </w:p>
    <w:p w:rsidR="009C4BAB" w:rsidRPr="009F79B5" w:rsidRDefault="009C4BAB" w:rsidP="009C4BAB">
      <w:pPr>
        <w:pStyle w:val="PBACHeading1"/>
        <w:numPr>
          <w:ilvl w:val="0"/>
          <w:numId w:val="0"/>
        </w:numPr>
        <w:rPr>
          <w:lang w:val="en-GB"/>
        </w:rPr>
      </w:pPr>
    </w:p>
    <w:p w:rsidR="00490A21" w:rsidRPr="009F79B5" w:rsidRDefault="009C4BAB" w:rsidP="00490A21">
      <w:pPr>
        <w:widowControl/>
        <w:numPr>
          <w:ilvl w:val="1"/>
          <w:numId w:val="4"/>
        </w:numPr>
        <w:jc w:val="left"/>
      </w:pPr>
      <w:r w:rsidRPr="009F79B5">
        <w:rPr>
          <w:bCs/>
          <w:szCs w:val="22"/>
          <w:lang w:val="en-GB"/>
        </w:rPr>
        <w:t>Based on the available data, the Committee considered that it was reasonable to consider that</w:t>
      </w:r>
      <w:r w:rsidR="00D9435F" w:rsidRPr="009F79B5">
        <w:rPr>
          <w:bCs/>
          <w:szCs w:val="22"/>
          <w:lang w:val="en-GB"/>
        </w:rPr>
        <w:t xml:space="preserve"> a course of</w:t>
      </w:r>
      <w:r w:rsidRPr="009F79B5">
        <w:rPr>
          <w:bCs/>
          <w:szCs w:val="22"/>
          <w:lang w:val="en-GB"/>
        </w:rPr>
        <w:t xml:space="preserve"> </w:t>
      </w:r>
      <w:r w:rsidRPr="009F79B5">
        <w:t xml:space="preserve">SMV+SOF </w:t>
      </w:r>
      <w:r w:rsidRPr="009F79B5">
        <w:rPr>
          <w:bCs/>
          <w:szCs w:val="22"/>
          <w:lang w:val="en-GB"/>
        </w:rPr>
        <w:t xml:space="preserve">had a similar safety profile as the ribavirin-free </w:t>
      </w:r>
      <w:r w:rsidR="00D9435F" w:rsidRPr="009F79B5">
        <w:rPr>
          <w:bCs/>
          <w:szCs w:val="22"/>
          <w:lang w:val="en-GB"/>
        </w:rPr>
        <w:t>course</w:t>
      </w:r>
      <w:r w:rsidRPr="009F79B5">
        <w:rPr>
          <w:bCs/>
          <w:szCs w:val="22"/>
          <w:lang w:val="en-GB"/>
        </w:rPr>
        <w:t xml:space="preserve"> of LDV/SOF, </w:t>
      </w:r>
      <w:r w:rsidRPr="009F79B5">
        <w:rPr>
          <w:szCs w:val="22"/>
        </w:rPr>
        <w:t>DCV+SOF</w:t>
      </w:r>
      <w:r w:rsidRPr="009F79B5">
        <w:rPr>
          <w:bCs/>
          <w:szCs w:val="22"/>
          <w:lang w:val="en-GB"/>
        </w:rPr>
        <w:t xml:space="preserve">  and </w:t>
      </w:r>
      <w:proofErr w:type="spellStart"/>
      <w:r w:rsidRPr="009F79B5">
        <w:rPr>
          <w:bCs/>
          <w:szCs w:val="22"/>
          <w:lang w:val="en-GB"/>
        </w:rPr>
        <w:t>Viekira</w:t>
      </w:r>
      <w:proofErr w:type="spellEnd"/>
      <w:r w:rsidRPr="009F79B5">
        <w:rPr>
          <w:bCs/>
          <w:szCs w:val="22"/>
          <w:lang w:val="en-GB"/>
        </w:rPr>
        <w:t xml:space="preserve"> PAK. </w:t>
      </w:r>
    </w:p>
    <w:p w:rsidR="00B421A4" w:rsidRPr="009F79B5" w:rsidRDefault="00B421A4" w:rsidP="00B421A4">
      <w:pPr>
        <w:pStyle w:val="ListParagraph"/>
        <w:widowControl/>
        <w:rPr>
          <w:szCs w:val="22"/>
        </w:rPr>
      </w:pPr>
    </w:p>
    <w:p w:rsidR="00B421A4" w:rsidRPr="009F79B5" w:rsidRDefault="00B421A4" w:rsidP="00B421A4">
      <w:pPr>
        <w:pStyle w:val="Heading2"/>
        <w:rPr>
          <w:i/>
        </w:rPr>
      </w:pPr>
      <w:bookmarkStart w:id="13" w:name="_Toc419380201"/>
      <w:r w:rsidRPr="009F79B5">
        <w:rPr>
          <w:i/>
        </w:rPr>
        <w:t>Economic analysis</w:t>
      </w:r>
      <w:bookmarkEnd w:id="13"/>
      <w:r w:rsidRPr="009F79B5">
        <w:rPr>
          <w:i/>
        </w:rPr>
        <w:t xml:space="preserve"> </w:t>
      </w:r>
    </w:p>
    <w:p w:rsidR="00950EAB" w:rsidRPr="00C860B0" w:rsidRDefault="00950EAB" w:rsidP="00C860B0"/>
    <w:p w:rsidR="006E010D" w:rsidRPr="009F79B5" w:rsidRDefault="00950EAB" w:rsidP="00950EAB">
      <w:pPr>
        <w:pStyle w:val="ListParagraph"/>
        <w:widowControl/>
        <w:numPr>
          <w:ilvl w:val="1"/>
          <w:numId w:val="4"/>
        </w:numPr>
      </w:pPr>
      <w:r w:rsidRPr="009F79B5">
        <w:t xml:space="preserve">The submission presented a modelled cost-utility analysis of SMV+SOF compared </w:t>
      </w:r>
      <w:r w:rsidRPr="00985269">
        <w:t>with a mixture of no treatment</w:t>
      </w:r>
      <w:r w:rsidRPr="009F79B5">
        <w:t xml:space="preserve"> (</w:t>
      </w:r>
      <w:r w:rsidR="00BD7647">
        <w:rPr>
          <w:noProof/>
          <w:color w:val="000000"/>
          <w:highlight w:val="black"/>
        </w:rPr>
        <w:t>'''''''''''</w:t>
      </w:r>
      <w:r w:rsidRPr="009F79B5">
        <w:t>%) and SMV+PR (</w:t>
      </w:r>
      <w:proofErr w:type="gramStart"/>
      <w:r w:rsidR="00BD7647">
        <w:rPr>
          <w:noProof/>
          <w:color w:val="000000"/>
          <w:highlight w:val="black"/>
        </w:rPr>
        <w:t>''''''''''</w:t>
      </w:r>
      <w:r w:rsidRPr="009F79B5">
        <w:t>%</w:t>
      </w:r>
      <w:proofErr w:type="gramEnd"/>
      <w:r w:rsidRPr="009F79B5">
        <w:t xml:space="preserve">). </w:t>
      </w:r>
      <w:r w:rsidR="00F97B1A" w:rsidRPr="009F79B5">
        <w:t>The submission presented an incremental cost-effectiveness ratio (ICER) weighted by the comparator treatment and by patients’ disease severity at baseline.</w:t>
      </w:r>
      <w:r w:rsidR="00F97B1A" w:rsidRPr="009F79B5">
        <w:rPr>
          <w:i/>
        </w:rPr>
        <w:t xml:space="preserve"> </w:t>
      </w:r>
      <w:r w:rsidRPr="009F79B5">
        <w:t xml:space="preserve">‘No treatment’ has been accepted by the PBAC as the appropriate comparator for all-oral, interferon-free HCV regimens (5.17 </w:t>
      </w:r>
      <w:proofErr w:type="spellStart"/>
      <w:r w:rsidRPr="009F79B5">
        <w:t>Sofosbuvir</w:t>
      </w:r>
      <w:proofErr w:type="spellEnd"/>
      <w:r w:rsidRPr="009F79B5">
        <w:t xml:space="preserve"> PSD, July 2014 PBAC meeting). </w:t>
      </w:r>
      <w:r w:rsidR="00F97B1A" w:rsidRPr="009F79B5">
        <w:t xml:space="preserve">The </w:t>
      </w:r>
      <w:r w:rsidR="00871E9D" w:rsidRPr="009F79B5">
        <w:t xml:space="preserve">evaluation </w:t>
      </w:r>
      <w:r w:rsidR="00F97B1A" w:rsidRPr="009F79B5">
        <w:t>presented a cost-</w:t>
      </w:r>
      <w:r w:rsidR="00BD03D3" w:rsidRPr="009F79B5">
        <w:t xml:space="preserve">utility </w:t>
      </w:r>
      <w:r w:rsidR="00F97B1A" w:rsidRPr="009F79B5">
        <w:t>analysis of SMV+SOF versus no treatment only</w:t>
      </w:r>
      <w:r w:rsidR="009C7A50" w:rsidRPr="009F79B5">
        <w:t>.</w:t>
      </w:r>
    </w:p>
    <w:p w:rsidR="009C7A50" w:rsidRPr="00FF34D9" w:rsidRDefault="009C7A50" w:rsidP="009C7A50">
      <w:pPr>
        <w:pStyle w:val="PBACHeading1"/>
        <w:numPr>
          <w:ilvl w:val="0"/>
          <w:numId w:val="0"/>
        </w:numPr>
        <w:ind w:left="720" w:hanging="720"/>
        <w:rPr>
          <w:sz w:val="16"/>
        </w:rPr>
      </w:pPr>
    </w:p>
    <w:p w:rsidR="00950EAB" w:rsidRPr="009F79B5" w:rsidRDefault="006E010D" w:rsidP="00950EAB">
      <w:pPr>
        <w:pStyle w:val="ListParagraph"/>
        <w:widowControl/>
        <w:numPr>
          <w:ilvl w:val="1"/>
          <w:numId w:val="4"/>
        </w:numPr>
      </w:pPr>
      <w:r w:rsidRPr="009F79B5">
        <w:t xml:space="preserve">The Pre-Sub-Committee Response (PSCR, p1) requested that IFN-free SIM+SOF be considered on a cost-minimisation basis with the </w:t>
      </w:r>
      <w:r w:rsidRPr="009F79B5">
        <w:rPr>
          <w:szCs w:val="22"/>
        </w:rPr>
        <w:t>LDV/SOF</w:t>
      </w:r>
      <w:r w:rsidRPr="009F79B5">
        <w:t xml:space="preserve"> and DAC+SOF, recommended at the March 2015 PBAC meeting. </w:t>
      </w:r>
      <w:r w:rsidR="00F97B1A" w:rsidRPr="009F79B5" w:rsidDel="006172E1">
        <w:t xml:space="preserve"> </w:t>
      </w:r>
      <w:r w:rsidR="00E10E41" w:rsidRPr="009F79B5">
        <w:t xml:space="preserve">Given the clinical outcomes, the ESC considered that it was appropriate to </w:t>
      </w:r>
      <w:r w:rsidR="009C7A50" w:rsidRPr="009F79B5">
        <w:t>consider</w:t>
      </w:r>
      <w:r w:rsidR="00E10E41" w:rsidRPr="009F79B5">
        <w:t xml:space="preserve"> that</w:t>
      </w:r>
      <w:r w:rsidR="00E10E41" w:rsidRPr="009F79B5">
        <w:rPr>
          <w:szCs w:val="22"/>
        </w:rPr>
        <w:t xml:space="preserve"> the price of a course of treatment should be the same as the price of a course of treatment with other </w:t>
      </w:r>
      <w:r w:rsidR="00C2670F" w:rsidRPr="009F79B5">
        <w:rPr>
          <w:szCs w:val="22"/>
        </w:rPr>
        <w:t xml:space="preserve">high efficacy/ low toxicity </w:t>
      </w:r>
      <w:r w:rsidR="00E10E41" w:rsidRPr="009F79B5">
        <w:rPr>
          <w:szCs w:val="22"/>
        </w:rPr>
        <w:t>IFN-free treatments.</w:t>
      </w:r>
      <w:r w:rsidR="00E10E41" w:rsidRPr="009F79B5">
        <w:t xml:space="preserve"> </w:t>
      </w:r>
    </w:p>
    <w:p w:rsidR="00950EAB" w:rsidRPr="00FF34D9" w:rsidRDefault="00950EAB" w:rsidP="00950EAB">
      <w:pPr>
        <w:pStyle w:val="ListParagraph"/>
        <w:widowControl/>
        <w:rPr>
          <w:sz w:val="16"/>
          <w:szCs w:val="22"/>
        </w:rPr>
      </w:pPr>
    </w:p>
    <w:p w:rsidR="00B417DC" w:rsidRPr="009F79B5" w:rsidRDefault="006E010D" w:rsidP="00641E27">
      <w:pPr>
        <w:pStyle w:val="ListParagraph"/>
        <w:widowControl/>
        <w:numPr>
          <w:ilvl w:val="1"/>
          <w:numId w:val="4"/>
        </w:numPr>
        <w:rPr>
          <w:szCs w:val="22"/>
        </w:rPr>
      </w:pPr>
      <w:r w:rsidRPr="00985269">
        <w:rPr>
          <w:szCs w:val="22"/>
        </w:rPr>
        <w:t>In the submission, t</w:t>
      </w:r>
      <w:r w:rsidR="00950EAB" w:rsidRPr="00985269">
        <w:rPr>
          <w:szCs w:val="22"/>
        </w:rPr>
        <w:t>he model</w:t>
      </w:r>
      <w:r w:rsidR="00950EAB" w:rsidRPr="009F79B5">
        <w:rPr>
          <w:szCs w:val="22"/>
        </w:rPr>
        <w:t xml:space="preserve"> captured both on-treatment and off-treatment phases. </w:t>
      </w:r>
      <w:r w:rsidR="00950EAB" w:rsidRPr="009F79B5">
        <w:t>Patients entered the model at 50 years of age. Patients were stratified by baseline liver disease (mild CHC, moderate CHC and cirrhosis). Treatment effects were incorporated into the model in the form of SVR rates. If patients achieved an SVR from treatment, they transitioned to a lifetime free of HCV (with a small risk of re-infection (</w:t>
      </w:r>
      <w:r w:rsidR="00BD7647">
        <w:rPr>
          <w:noProof/>
          <w:color w:val="000000"/>
          <w:highlight w:val="black"/>
        </w:rPr>
        <w:t>'''''''''''</w:t>
      </w:r>
      <w:r w:rsidR="00950EAB" w:rsidRPr="009F79B5">
        <w:t>%) and limited transition (</w:t>
      </w:r>
      <w:r w:rsidR="00BD7647">
        <w:rPr>
          <w:noProof/>
          <w:color w:val="000000"/>
          <w:highlight w:val="black"/>
        </w:rPr>
        <w:t>'''''''</w:t>
      </w:r>
      <w:r w:rsidR="00950EAB" w:rsidRPr="009F79B5">
        <w:t xml:space="preserve">%) from compensated cirrhotic disease with SVR to a hepatocellular carcinoma health state). If patients did not receive any treatment or HCV treatment failed, they would move on to a lifetime with HCV. </w:t>
      </w:r>
      <w:r w:rsidR="00950EAB" w:rsidRPr="009F79B5">
        <w:rPr>
          <w:szCs w:val="22"/>
        </w:rPr>
        <w:t>The evaluation was structured as a Markov state-transition model with eleven health states, that described the progression of disease over the lifetime.</w:t>
      </w:r>
    </w:p>
    <w:p w:rsidR="00EA11DE" w:rsidRPr="00FF34D9" w:rsidRDefault="00EA11DE">
      <w:pPr>
        <w:widowControl/>
        <w:jc w:val="left"/>
        <w:rPr>
          <w:sz w:val="16"/>
          <w:szCs w:val="22"/>
        </w:rPr>
      </w:pPr>
    </w:p>
    <w:p w:rsidR="00EE105A" w:rsidRDefault="00EE105A">
      <w:pPr>
        <w:widowControl/>
        <w:jc w:val="left"/>
        <w:rPr>
          <w:rFonts w:ascii="Arial Narrow" w:hAnsi="Arial Narrow"/>
          <w:b/>
          <w:sz w:val="20"/>
        </w:rPr>
      </w:pPr>
      <w:r>
        <w:br w:type="page"/>
      </w:r>
    </w:p>
    <w:p w:rsidR="00950EAB" w:rsidRPr="009F79B5" w:rsidRDefault="00950EAB" w:rsidP="00950EAB">
      <w:pPr>
        <w:pStyle w:val="TableHeader"/>
        <w:ind w:firstLine="720"/>
      </w:pPr>
      <w:r w:rsidRPr="009F79B5">
        <w:lastRenderedPageBreak/>
        <w:t xml:space="preserve">Table </w:t>
      </w:r>
      <w:r w:rsidR="00EA11DE" w:rsidRPr="009F79B5">
        <w:t>8</w:t>
      </w:r>
      <w:r w:rsidRPr="009F79B5">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950EAB" w:rsidRPr="009F79B5" w:rsidTr="00166322">
        <w:trPr>
          <w:tblHeader/>
        </w:trPr>
        <w:tc>
          <w:tcPr>
            <w:tcW w:w="1529" w:type="pct"/>
            <w:shd w:val="clear" w:color="auto" w:fill="auto"/>
          </w:tcPr>
          <w:p w:rsidR="00950EAB" w:rsidRPr="009F79B5" w:rsidRDefault="00950EAB" w:rsidP="00166322">
            <w:pPr>
              <w:jc w:val="left"/>
              <w:rPr>
                <w:rFonts w:ascii="Arial Narrow" w:hAnsi="Arial Narrow"/>
                <w:b/>
                <w:sz w:val="20"/>
              </w:rPr>
            </w:pPr>
            <w:r w:rsidRPr="009F79B5">
              <w:rPr>
                <w:rFonts w:ascii="Arial Narrow" w:hAnsi="Arial Narrow"/>
                <w:sz w:val="20"/>
              </w:rPr>
              <w:t>Time horizon</w:t>
            </w:r>
          </w:p>
        </w:tc>
        <w:tc>
          <w:tcPr>
            <w:tcW w:w="3471" w:type="pct"/>
            <w:shd w:val="clear" w:color="auto" w:fill="auto"/>
          </w:tcPr>
          <w:p w:rsidR="00950EAB" w:rsidRPr="009F79B5" w:rsidRDefault="00950EAB" w:rsidP="00166322">
            <w:pPr>
              <w:rPr>
                <w:rFonts w:ascii="Arial Narrow" w:hAnsi="Arial Narrow"/>
                <w:b/>
                <w:sz w:val="20"/>
              </w:rPr>
            </w:pPr>
            <w:r w:rsidRPr="009F79B5">
              <w:rPr>
                <w:rFonts w:ascii="Arial Narrow" w:hAnsi="Arial Narrow"/>
                <w:sz w:val="20"/>
              </w:rPr>
              <w:t xml:space="preserve">36 weeks (short-term model) plus 50 years (long-term model). The time horizon of the long-term model was longer than the PBAC’s recommended 30-year time horizon (5.17 </w:t>
            </w:r>
            <w:proofErr w:type="spellStart"/>
            <w:r w:rsidRPr="009F79B5">
              <w:rPr>
                <w:rFonts w:ascii="Arial Narrow" w:hAnsi="Arial Narrow"/>
                <w:sz w:val="20"/>
              </w:rPr>
              <w:t>Sofosbuvir</w:t>
            </w:r>
            <w:proofErr w:type="spellEnd"/>
            <w:r w:rsidRPr="009F79B5">
              <w:rPr>
                <w:rFonts w:ascii="Arial Narrow" w:hAnsi="Arial Narrow"/>
                <w:sz w:val="20"/>
              </w:rPr>
              <w:t xml:space="preserve"> PSD, July 2014 PBAC meeting).</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Outcomes</w:t>
            </w:r>
          </w:p>
        </w:tc>
        <w:tc>
          <w:tcPr>
            <w:tcW w:w="3471"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Quality adjusted life years (QALYs).</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Methods used to generate results</w:t>
            </w:r>
          </w:p>
        </w:tc>
        <w:tc>
          <w:tcPr>
            <w:tcW w:w="3471" w:type="pct"/>
            <w:shd w:val="clear" w:color="auto" w:fill="auto"/>
          </w:tcPr>
          <w:p w:rsidR="00950EAB" w:rsidRPr="009F79B5" w:rsidRDefault="00950EAB" w:rsidP="00166322">
            <w:pPr>
              <w:rPr>
                <w:rFonts w:ascii="Arial Narrow" w:hAnsi="Arial Narrow"/>
                <w:sz w:val="20"/>
              </w:rPr>
            </w:pPr>
            <w:r w:rsidRPr="009F79B5">
              <w:rPr>
                <w:rFonts w:ascii="Arial Narrow" w:hAnsi="Arial Narrow"/>
                <w:sz w:val="20"/>
              </w:rPr>
              <w:t>Two distinct phases:</w:t>
            </w:r>
          </w:p>
          <w:p w:rsidR="00950EAB" w:rsidRPr="009F79B5" w:rsidRDefault="00950EAB" w:rsidP="00166322">
            <w:pPr>
              <w:pStyle w:val="ListParagraph"/>
              <w:numPr>
                <w:ilvl w:val="0"/>
                <w:numId w:val="40"/>
              </w:numPr>
              <w:rPr>
                <w:rFonts w:ascii="Arial Narrow" w:hAnsi="Arial Narrow"/>
                <w:sz w:val="20"/>
              </w:rPr>
            </w:pPr>
            <w:r w:rsidRPr="009F79B5">
              <w:rPr>
                <w:rFonts w:ascii="Arial Narrow" w:hAnsi="Arial Narrow"/>
                <w:sz w:val="20"/>
              </w:rPr>
              <w:t>Short-term decision analytic model; and</w:t>
            </w:r>
          </w:p>
          <w:p w:rsidR="00950EAB" w:rsidRPr="009F79B5" w:rsidRDefault="00950EAB" w:rsidP="00166322">
            <w:pPr>
              <w:pStyle w:val="ListParagraph"/>
              <w:numPr>
                <w:ilvl w:val="0"/>
                <w:numId w:val="40"/>
              </w:numPr>
              <w:jc w:val="left"/>
              <w:rPr>
                <w:rFonts w:ascii="Arial Narrow" w:hAnsi="Arial Narrow"/>
                <w:sz w:val="20"/>
              </w:rPr>
            </w:pPr>
            <w:r w:rsidRPr="009F79B5">
              <w:rPr>
                <w:rFonts w:ascii="Arial Narrow" w:hAnsi="Arial Narrow"/>
                <w:sz w:val="20"/>
              </w:rPr>
              <w:t>Long-term Markov model with 11 mutually exclusive health states describing progression of the disease over a lifetime.</w:t>
            </w:r>
          </w:p>
          <w:p w:rsidR="00950EAB" w:rsidRPr="009F79B5" w:rsidRDefault="00950EAB" w:rsidP="00166322">
            <w:pPr>
              <w:jc w:val="left"/>
              <w:rPr>
                <w:rFonts w:ascii="Arial Narrow" w:hAnsi="Arial Narrow"/>
                <w:sz w:val="20"/>
              </w:rPr>
            </w:pPr>
            <w:r w:rsidRPr="009F79B5">
              <w:rPr>
                <w:rFonts w:ascii="Arial Narrow" w:hAnsi="Arial Narrow"/>
                <w:sz w:val="20"/>
              </w:rPr>
              <w:t>Cohort expected value analysis.</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Cycle length</w:t>
            </w:r>
          </w:p>
        </w:tc>
        <w:tc>
          <w:tcPr>
            <w:tcW w:w="3471"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1 year for the long-term Markov model</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Transition probabilities</w:t>
            </w:r>
          </w:p>
        </w:tc>
        <w:tc>
          <w:tcPr>
            <w:tcW w:w="3471" w:type="pct"/>
            <w:shd w:val="clear" w:color="auto" w:fill="auto"/>
          </w:tcPr>
          <w:p w:rsidR="00950EAB" w:rsidRPr="009F79B5" w:rsidRDefault="00950EAB" w:rsidP="00A27DFB">
            <w:pPr>
              <w:jc w:val="left"/>
              <w:rPr>
                <w:rFonts w:ascii="Arial Narrow" w:hAnsi="Arial Narrow"/>
                <w:sz w:val="20"/>
              </w:rPr>
            </w:pPr>
            <w:r w:rsidRPr="009F79B5">
              <w:rPr>
                <w:rFonts w:ascii="Arial Narrow" w:hAnsi="Arial Narrow"/>
                <w:sz w:val="20"/>
              </w:rPr>
              <w:t xml:space="preserve">Based on literature review. </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Discount rate</w:t>
            </w:r>
          </w:p>
        </w:tc>
        <w:tc>
          <w:tcPr>
            <w:tcW w:w="3471"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5% for costs and outcomes</w:t>
            </w:r>
          </w:p>
        </w:tc>
      </w:tr>
      <w:tr w:rsidR="00950EAB" w:rsidRPr="009F79B5" w:rsidTr="00166322">
        <w:tc>
          <w:tcPr>
            <w:tcW w:w="1529"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Software package</w:t>
            </w:r>
          </w:p>
        </w:tc>
        <w:tc>
          <w:tcPr>
            <w:tcW w:w="3471" w:type="pct"/>
            <w:shd w:val="clear" w:color="auto" w:fill="auto"/>
          </w:tcPr>
          <w:p w:rsidR="00950EAB" w:rsidRPr="009F79B5" w:rsidRDefault="00950EAB" w:rsidP="00166322">
            <w:pPr>
              <w:jc w:val="left"/>
              <w:rPr>
                <w:rFonts w:ascii="Arial Narrow" w:hAnsi="Arial Narrow"/>
                <w:sz w:val="20"/>
              </w:rPr>
            </w:pPr>
            <w:r w:rsidRPr="009F79B5">
              <w:rPr>
                <w:rFonts w:ascii="Arial Narrow" w:hAnsi="Arial Narrow"/>
                <w:sz w:val="20"/>
              </w:rPr>
              <w:t>Microsoft Excel 2010</w:t>
            </w:r>
          </w:p>
        </w:tc>
      </w:tr>
    </w:tbl>
    <w:p w:rsidR="00950EAB" w:rsidRPr="00EE105A" w:rsidRDefault="00950EAB" w:rsidP="00EE105A">
      <w:pPr>
        <w:pStyle w:val="TableFooter"/>
        <w:ind w:firstLine="720"/>
      </w:pPr>
      <w:r w:rsidRPr="009F79B5">
        <w:t>PSD = Public Summary Document.</w:t>
      </w:r>
    </w:p>
    <w:p w:rsidR="00950EAB" w:rsidRPr="009F79B5" w:rsidRDefault="00950EAB" w:rsidP="00950EAB">
      <w:pPr>
        <w:widowControl/>
        <w:rPr>
          <w:szCs w:val="22"/>
        </w:rPr>
      </w:pPr>
    </w:p>
    <w:p w:rsidR="00950EAB" w:rsidRPr="009F79B5" w:rsidRDefault="00950EAB" w:rsidP="00950EAB">
      <w:pPr>
        <w:pStyle w:val="ListParagraph"/>
        <w:widowControl/>
        <w:numPr>
          <w:ilvl w:val="1"/>
          <w:numId w:val="4"/>
        </w:numPr>
        <w:rPr>
          <w:szCs w:val="22"/>
        </w:rPr>
      </w:pPr>
      <w:r w:rsidRPr="009F79B5">
        <w:rPr>
          <w:snapToGrid/>
        </w:rPr>
        <w:t>The SVR rates used in the submission’s economic model were taken from the COSMOS study. The number of patients in COSMOS was too small to reliably estimate the SVR rates in the target population. During the evaluation, SVR data from the two larger studies, 3017 and 3018, were available and were used as model inputs.</w:t>
      </w:r>
    </w:p>
    <w:p w:rsidR="00950EAB" w:rsidRPr="009F79B5" w:rsidRDefault="00950EAB" w:rsidP="00950EAB">
      <w:pPr>
        <w:pStyle w:val="ListParagraph"/>
        <w:widowControl/>
        <w:rPr>
          <w:szCs w:val="22"/>
        </w:rPr>
      </w:pPr>
    </w:p>
    <w:p w:rsidR="00950EAB" w:rsidRPr="009F79B5" w:rsidRDefault="00950EAB" w:rsidP="00950EAB">
      <w:pPr>
        <w:pStyle w:val="ListParagraph"/>
        <w:widowControl/>
        <w:numPr>
          <w:ilvl w:val="1"/>
          <w:numId w:val="4"/>
        </w:numPr>
        <w:rPr>
          <w:szCs w:val="22"/>
        </w:rPr>
      </w:pPr>
      <w:r w:rsidRPr="00985269">
        <w:t>Disease severity and history of prior</w:t>
      </w:r>
      <w:r w:rsidRPr="009F79B5">
        <w:t xml:space="preserve"> HCV treatments are both important prognostic factors and treatment effect modifiers. </w:t>
      </w:r>
      <w:r w:rsidRPr="009F79B5">
        <w:rPr>
          <w:szCs w:val="22"/>
        </w:rPr>
        <w:t>The submission did not present the results of the economic evaluation by subpopulation (</w:t>
      </w:r>
      <w:proofErr w:type="spellStart"/>
      <w:r w:rsidRPr="009F79B5">
        <w:rPr>
          <w:szCs w:val="22"/>
        </w:rPr>
        <w:t>ie</w:t>
      </w:r>
      <w:proofErr w:type="spellEnd"/>
      <w:r w:rsidRPr="009F79B5">
        <w:rPr>
          <w:szCs w:val="22"/>
        </w:rPr>
        <w:t xml:space="preserve"> treatment-naïve non-cirrhotic, treatment-naïve cirrhotic, treatment-experienced non-cirrhotic and treatment-experienced cirrhotic). Rather, an identical SVR rate (</w:t>
      </w:r>
      <w:r w:rsidR="00BD7647">
        <w:rPr>
          <w:noProof/>
          <w:color w:val="000000"/>
          <w:szCs w:val="22"/>
          <w:highlight w:val="black"/>
        </w:rPr>
        <w:t>'''''''''''</w:t>
      </w:r>
      <w:r w:rsidRPr="009F79B5">
        <w:rPr>
          <w:szCs w:val="22"/>
        </w:rPr>
        <w:t xml:space="preserve">%) was assumed for all these subpopulations. Efficacy data from Studies 3017 and 3018 showed that SMV+SOF </w:t>
      </w:r>
      <w:proofErr w:type="gramStart"/>
      <w:r w:rsidRPr="009F79B5">
        <w:rPr>
          <w:szCs w:val="22"/>
        </w:rPr>
        <w:t>was</w:t>
      </w:r>
      <w:proofErr w:type="gramEnd"/>
      <w:r w:rsidRPr="009F79B5">
        <w:rPr>
          <w:szCs w:val="22"/>
        </w:rPr>
        <w:t xml:space="preserve"> less effective (associated with a lower rate of SVR) in cirrhotic subgroups. In addition, there was a trend for a lower SVR rate in treatment-experienced cirrhotic patients than in treatment-naïve cirrhotic patients. Individual ICERs for each of the subpopulations were presented in the Commentary</w:t>
      </w:r>
      <w:r w:rsidRPr="009F79B5">
        <w:rPr>
          <w:i/>
          <w:szCs w:val="22"/>
        </w:rPr>
        <w:t>.</w:t>
      </w:r>
    </w:p>
    <w:p w:rsidR="00950EAB" w:rsidRPr="009F79B5" w:rsidRDefault="00950EAB" w:rsidP="00950EAB">
      <w:pPr>
        <w:pStyle w:val="ListParagraph"/>
        <w:widowControl/>
        <w:rPr>
          <w:szCs w:val="22"/>
        </w:rPr>
      </w:pPr>
    </w:p>
    <w:p w:rsidR="00950EAB" w:rsidRPr="009F79B5" w:rsidRDefault="00950EAB" w:rsidP="00950EAB">
      <w:pPr>
        <w:pStyle w:val="ListParagraph"/>
        <w:widowControl/>
        <w:numPr>
          <w:ilvl w:val="1"/>
          <w:numId w:val="4"/>
        </w:numPr>
        <w:rPr>
          <w:szCs w:val="22"/>
        </w:rPr>
      </w:pPr>
      <w:r w:rsidRPr="009F79B5">
        <w:t xml:space="preserve">Key drivers of the model are summarised in </w:t>
      </w:r>
      <w:r w:rsidR="00A27DFB" w:rsidRPr="009F79B5">
        <w:t>the t</w:t>
      </w:r>
      <w:r w:rsidRPr="009F79B5">
        <w:t>able below.</w:t>
      </w:r>
    </w:p>
    <w:p w:rsidR="00950EAB" w:rsidRPr="00EE105A" w:rsidRDefault="00950EAB" w:rsidP="00950EAB">
      <w:pPr>
        <w:widowControl/>
        <w:rPr>
          <w:sz w:val="18"/>
          <w:szCs w:val="22"/>
        </w:rPr>
      </w:pPr>
    </w:p>
    <w:p w:rsidR="00950EAB" w:rsidRPr="009F79B5" w:rsidRDefault="00950EAB" w:rsidP="00C14004">
      <w:pPr>
        <w:pStyle w:val="TableHeader"/>
        <w:keepNext/>
        <w:ind w:firstLine="720"/>
      </w:pPr>
      <w:r w:rsidRPr="00985269">
        <w:lastRenderedPageBreak/>
        <w:t>Table</w:t>
      </w:r>
      <w:r w:rsidR="00EA11DE" w:rsidRPr="00985269">
        <w:t xml:space="preserve"> 9</w:t>
      </w:r>
      <w:r w:rsidRPr="00985269">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950EAB" w:rsidRPr="009F79B5" w:rsidTr="00166322">
        <w:trPr>
          <w:tblHeader/>
        </w:trPr>
        <w:tc>
          <w:tcPr>
            <w:tcW w:w="1529" w:type="pct"/>
            <w:shd w:val="clear" w:color="auto" w:fill="auto"/>
            <w:vAlign w:val="center"/>
          </w:tcPr>
          <w:p w:rsidR="00950EAB" w:rsidRPr="009F79B5" w:rsidRDefault="00950EAB" w:rsidP="00C14004">
            <w:pPr>
              <w:keepNext/>
              <w:jc w:val="left"/>
              <w:rPr>
                <w:rFonts w:ascii="Arial Narrow" w:hAnsi="Arial Narrow"/>
                <w:b/>
                <w:sz w:val="20"/>
                <w:lang w:val="en-US"/>
              </w:rPr>
            </w:pPr>
            <w:r w:rsidRPr="009F79B5">
              <w:rPr>
                <w:rFonts w:ascii="Arial Narrow" w:hAnsi="Arial Narrow"/>
                <w:b/>
                <w:sz w:val="20"/>
                <w:lang w:val="en-US"/>
              </w:rPr>
              <w:t>Description</w:t>
            </w:r>
          </w:p>
        </w:tc>
        <w:tc>
          <w:tcPr>
            <w:tcW w:w="2123" w:type="pct"/>
            <w:shd w:val="clear" w:color="auto" w:fill="auto"/>
            <w:vAlign w:val="center"/>
          </w:tcPr>
          <w:p w:rsidR="00950EAB" w:rsidRPr="009F79B5" w:rsidRDefault="00950EAB" w:rsidP="00C14004">
            <w:pPr>
              <w:keepNext/>
              <w:jc w:val="center"/>
              <w:rPr>
                <w:rFonts w:ascii="Arial Narrow" w:hAnsi="Arial Narrow"/>
                <w:b/>
                <w:sz w:val="20"/>
                <w:lang w:val="en-US"/>
              </w:rPr>
            </w:pPr>
            <w:r w:rsidRPr="009F79B5">
              <w:rPr>
                <w:rFonts w:ascii="Arial Narrow" w:hAnsi="Arial Narrow"/>
                <w:b/>
                <w:sz w:val="20"/>
                <w:lang w:val="en-US"/>
              </w:rPr>
              <w:t>Method/Value</w:t>
            </w:r>
          </w:p>
        </w:tc>
        <w:tc>
          <w:tcPr>
            <w:tcW w:w="1348" w:type="pct"/>
            <w:shd w:val="clear" w:color="auto" w:fill="auto"/>
            <w:vAlign w:val="center"/>
          </w:tcPr>
          <w:p w:rsidR="00950EAB" w:rsidRPr="009F79B5" w:rsidRDefault="00950EAB" w:rsidP="00C14004">
            <w:pPr>
              <w:keepNext/>
              <w:jc w:val="center"/>
              <w:rPr>
                <w:rFonts w:ascii="Arial Narrow" w:hAnsi="Arial Narrow"/>
                <w:b/>
                <w:sz w:val="20"/>
                <w:lang w:val="en-US"/>
              </w:rPr>
            </w:pPr>
            <w:r w:rsidRPr="009F79B5">
              <w:rPr>
                <w:rFonts w:ascii="Arial Narrow" w:hAnsi="Arial Narrow"/>
                <w:b/>
                <w:sz w:val="20"/>
                <w:lang w:val="en-US"/>
              </w:rPr>
              <w:t>Impact</w:t>
            </w:r>
          </w:p>
        </w:tc>
      </w:tr>
      <w:tr w:rsidR="00950EAB" w:rsidRPr="009F79B5" w:rsidTr="00166322">
        <w:tc>
          <w:tcPr>
            <w:tcW w:w="1529"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rPr>
              <w:t>Transition probabilities between early health states in HCV infection (from mild to moderate HCV and from moderate HCV to compensated cirrhosis)</w:t>
            </w:r>
          </w:p>
        </w:tc>
        <w:tc>
          <w:tcPr>
            <w:tcW w:w="2123"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 xml:space="preserve">The transition probabilities, which were identical to those used in the </w:t>
            </w:r>
            <w:proofErr w:type="spellStart"/>
            <w:r w:rsidRPr="009F79B5">
              <w:rPr>
                <w:rFonts w:ascii="Arial Narrow" w:hAnsi="Arial Narrow"/>
                <w:sz w:val="20"/>
                <w:lang w:val="en-US"/>
              </w:rPr>
              <w:t>telaprevir</w:t>
            </w:r>
            <w:proofErr w:type="spellEnd"/>
            <w:r w:rsidRPr="009F79B5">
              <w:rPr>
                <w:rFonts w:ascii="Arial Narrow" w:hAnsi="Arial Narrow"/>
                <w:sz w:val="20"/>
                <w:lang w:val="en-US"/>
              </w:rPr>
              <w:t xml:space="preserve"> submission considered by the PBAC at the March 2012 meeting, were sourced from older longitudinal studies and likely to be overestimates. The PBAC noted, when considering </w:t>
            </w:r>
            <w:proofErr w:type="spellStart"/>
            <w:r w:rsidRPr="009F79B5">
              <w:rPr>
                <w:rFonts w:ascii="Arial Narrow" w:hAnsi="Arial Narrow"/>
                <w:sz w:val="20"/>
                <w:lang w:val="en-US"/>
              </w:rPr>
              <w:t>telaprevir</w:t>
            </w:r>
            <w:proofErr w:type="spellEnd"/>
            <w:r w:rsidRPr="009F79B5">
              <w:rPr>
                <w:rFonts w:ascii="Arial Narrow" w:hAnsi="Arial Narrow"/>
                <w:sz w:val="20"/>
                <w:lang w:val="en-US"/>
              </w:rPr>
              <w:t xml:space="preserve">, that these were likely to result in an overestimation of the cost effectiveness of </w:t>
            </w:r>
            <w:proofErr w:type="spellStart"/>
            <w:r w:rsidRPr="009F79B5">
              <w:rPr>
                <w:rFonts w:ascii="Arial Narrow" w:hAnsi="Arial Narrow"/>
                <w:sz w:val="20"/>
                <w:lang w:val="en-US"/>
              </w:rPr>
              <w:t>telaprevir</w:t>
            </w:r>
            <w:proofErr w:type="spellEnd"/>
            <w:r w:rsidRPr="009F79B5">
              <w:rPr>
                <w:rFonts w:ascii="Arial Narrow" w:hAnsi="Arial Narrow"/>
                <w:sz w:val="20"/>
                <w:lang w:val="en-US"/>
              </w:rPr>
              <w:t>. A sensitivity analysis was conducted during the evaluation using the NICE transition probabilities between earlier health states</w:t>
            </w:r>
            <w:r w:rsidR="00166322" w:rsidRPr="009F79B5">
              <w:rPr>
                <w:rFonts w:ascii="Arial Narrow" w:hAnsi="Arial Narrow"/>
                <w:noProof/>
                <w:sz w:val="20"/>
                <w:vertAlign w:val="superscript"/>
              </w:rPr>
              <w:t>9, 10</w:t>
            </w:r>
            <w:r w:rsidRPr="009F79B5">
              <w:rPr>
                <w:rFonts w:ascii="Arial Narrow" w:hAnsi="Arial Narrow"/>
                <w:sz w:val="20"/>
                <w:lang w:val="en-US"/>
              </w:rPr>
              <w:t>.</w:t>
            </w:r>
          </w:p>
        </w:tc>
        <w:tc>
          <w:tcPr>
            <w:tcW w:w="1348" w:type="pct"/>
            <w:shd w:val="clear" w:color="auto" w:fill="auto"/>
            <w:vAlign w:val="center"/>
          </w:tcPr>
          <w:p w:rsidR="00950EAB" w:rsidRPr="009F79B5" w:rsidRDefault="00950EAB" w:rsidP="00C14004">
            <w:pPr>
              <w:keepNext/>
              <w:jc w:val="center"/>
              <w:rPr>
                <w:rFonts w:ascii="Arial Narrow" w:hAnsi="Arial Narrow"/>
                <w:sz w:val="20"/>
                <w:lang w:val="en-US"/>
              </w:rPr>
            </w:pPr>
            <w:r w:rsidRPr="009F79B5">
              <w:rPr>
                <w:rFonts w:ascii="Arial Narrow" w:hAnsi="Arial Narrow"/>
                <w:sz w:val="20"/>
                <w:lang w:val="en-US"/>
              </w:rPr>
              <w:t xml:space="preserve">High, </w:t>
            </w:r>
            <w:proofErr w:type="spellStart"/>
            <w:r w:rsidRPr="009F79B5">
              <w:rPr>
                <w:rFonts w:ascii="Arial Narrow" w:hAnsi="Arial Narrow"/>
                <w:sz w:val="20"/>
                <w:lang w:val="en-US"/>
              </w:rPr>
              <w:t>favours</w:t>
            </w:r>
            <w:proofErr w:type="spellEnd"/>
            <w:r w:rsidRPr="009F79B5">
              <w:rPr>
                <w:rFonts w:ascii="Arial Narrow" w:hAnsi="Arial Narrow"/>
                <w:sz w:val="20"/>
                <w:lang w:val="en-US"/>
              </w:rPr>
              <w:t xml:space="preserve"> SMV+SOF</w:t>
            </w:r>
          </w:p>
        </w:tc>
      </w:tr>
      <w:tr w:rsidR="00950EAB" w:rsidRPr="009F79B5" w:rsidTr="00166322">
        <w:tc>
          <w:tcPr>
            <w:tcW w:w="1529"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Time horizon</w:t>
            </w:r>
          </w:p>
        </w:tc>
        <w:tc>
          <w:tcPr>
            <w:tcW w:w="2123"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 xml:space="preserve">50 years. This was considerably </w:t>
            </w:r>
            <w:r w:rsidRPr="009F79B5">
              <w:rPr>
                <w:rFonts w:ascii="Arial Narrow" w:hAnsi="Arial Narrow"/>
                <w:sz w:val="20"/>
              </w:rPr>
              <w:t xml:space="preserve">longer than the PBAC recommendation of a 30-year time horizon when considering other HCV models (5.17 </w:t>
            </w:r>
            <w:proofErr w:type="spellStart"/>
            <w:r w:rsidRPr="009F79B5">
              <w:rPr>
                <w:rFonts w:ascii="Arial Narrow" w:hAnsi="Arial Narrow"/>
                <w:sz w:val="20"/>
              </w:rPr>
              <w:t>Sofosbuvir</w:t>
            </w:r>
            <w:proofErr w:type="spellEnd"/>
            <w:r w:rsidRPr="009F79B5">
              <w:rPr>
                <w:rFonts w:ascii="Arial Narrow" w:hAnsi="Arial Narrow"/>
                <w:sz w:val="20"/>
              </w:rPr>
              <w:t xml:space="preserve"> PSD, July 2014 PBAC meeting).</w:t>
            </w:r>
          </w:p>
        </w:tc>
        <w:tc>
          <w:tcPr>
            <w:tcW w:w="1348" w:type="pct"/>
            <w:shd w:val="clear" w:color="auto" w:fill="auto"/>
            <w:vAlign w:val="center"/>
          </w:tcPr>
          <w:p w:rsidR="00950EAB" w:rsidRPr="009F79B5" w:rsidRDefault="00950EAB" w:rsidP="00C14004">
            <w:pPr>
              <w:keepNext/>
              <w:jc w:val="center"/>
              <w:rPr>
                <w:rFonts w:ascii="Arial Narrow" w:hAnsi="Arial Narrow"/>
                <w:sz w:val="20"/>
                <w:lang w:val="en-US"/>
              </w:rPr>
            </w:pPr>
            <w:r w:rsidRPr="009F79B5">
              <w:rPr>
                <w:rFonts w:ascii="Arial Narrow" w:hAnsi="Arial Narrow"/>
                <w:sz w:val="20"/>
                <w:lang w:val="en-US"/>
              </w:rPr>
              <w:t xml:space="preserve">Moderate, </w:t>
            </w:r>
            <w:proofErr w:type="spellStart"/>
            <w:r w:rsidRPr="009F79B5">
              <w:rPr>
                <w:rFonts w:ascii="Arial Narrow" w:hAnsi="Arial Narrow"/>
                <w:sz w:val="20"/>
                <w:lang w:val="en-US"/>
              </w:rPr>
              <w:t>favours</w:t>
            </w:r>
            <w:proofErr w:type="spellEnd"/>
            <w:r w:rsidRPr="009F79B5">
              <w:rPr>
                <w:rFonts w:ascii="Arial Narrow" w:hAnsi="Arial Narrow"/>
                <w:sz w:val="20"/>
                <w:lang w:val="en-US"/>
              </w:rPr>
              <w:t xml:space="preserve"> SMV+SOF</w:t>
            </w:r>
          </w:p>
        </w:tc>
      </w:tr>
      <w:tr w:rsidR="00950EAB" w:rsidRPr="009F79B5" w:rsidTr="00166322">
        <w:tc>
          <w:tcPr>
            <w:tcW w:w="1529"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 xml:space="preserve">The proportion of patients with mild CHC </w:t>
            </w:r>
          </w:p>
          <w:p w:rsidR="00950EAB" w:rsidRPr="009F79B5" w:rsidRDefault="00950EAB" w:rsidP="00C14004">
            <w:pPr>
              <w:keepNext/>
              <w:jc w:val="left"/>
              <w:rPr>
                <w:rFonts w:ascii="Arial Narrow" w:hAnsi="Arial Narrow"/>
                <w:sz w:val="20"/>
                <w:lang w:val="en-US"/>
              </w:rPr>
            </w:pPr>
          </w:p>
        </w:tc>
        <w:tc>
          <w:tcPr>
            <w:tcW w:w="2123"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 xml:space="preserve">The submission assumed </w:t>
            </w:r>
            <w:r w:rsidR="00BD7647">
              <w:rPr>
                <w:rFonts w:ascii="Arial Narrow" w:hAnsi="Arial Narrow"/>
                <w:noProof/>
                <w:color w:val="000000"/>
                <w:sz w:val="20"/>
                <w:highlight w:val="black"/>
                <w:lang w:val="en-US"/>
              </w:rPr>
              <w:t>''''''</w:t>
            </w:r>
            <w:r w:rsidRPr="009F79B5">
              <w:rPr>
                <w:rFonts w:ascii="Arial Narrow" w:hAnsi="Arial Narrow"/>
                <w:sz w:val="20"/>
                <w:lang w:val="en-US"/>
              </w:rPr>
              <w:t xml:space="preserve">% of patients had mild CHC and the remaining </w:t>
            </w:r>
            <w:r w:rsidR="00BD7647">
              <w:rPr>
                <w:rFonts w:ascii="Arial Narrow" w:hAnsi="Arial Narrow"/>
                <w:noProof/>
                <w:color w:val="000000"/>
                <w:sz w:val="20"/>
                <w:highlight w:val="black"/>
                <w:lang w:val="en-US"/>
              </w:rPr>
              <w:t>'''''''</w:t>
            </w:r>
            <w:r w:rsidRPr="009F79B5">
              <w:rPr>
                <w:rFonts w:ascii="Arial Narrow" w:hAnsi="Arial Narrow"/>
                <w:sz w:val="20"/>
                <w:lang w:val="en-US"/>
              </w:rPr>
              <w:t>% had moderate CHC. The proportion of patients with mild CHC was a likely underestimate, as two recent published papers</w:t>
            </w:r>
            <w:r w:rsidR="00166322" w:rsidRPr="009F79B5">
              <w:rPr>
                <w:rFonts w:ascii="Arial Narrow" w:hAnsi="Arial Narrow"/>
                <w:noProof/>
                <w:sz w:val="20"/>
                <w:vertAlign w:val="superscript"/>
                <w:lang w:val="en-US"/>
              </w:rPr>
              <w:t>11, 12</w:t>
            </w:r>
            <w:r w:rsidRPr="009F79B5">
              <w:rPr>
                <w:rFonts w:ascii="Arial Narrow" w:hAnsi="Arial Narrow"/>
                <w:sz w:val="20"/>
                <w:lang w:val="en-US"/>
              </w:rPr>
              <w:t xml:space="preserve"> have estimated the ratio of mild versus moderate CHC to be 70% versus 30%. These proportions were used in a sensitivity analysis performed during the evaluation.</w:t>
            </w:r>
          </w:p>
        </w:tc>
        <w:tc>
          <w:tcPr>
            <w:tcW w:w="1348" w:type="pct"/>
            <w:shd w:val="clear" w:color="auto" w:fill="auto"/>
            <w:vAlign w:val="center"/>
          </w:tcPr>
          <w:p w:rsidR="00950EAB" w:rsidRPr="009F79B5" w:rsidRDefault="00950EAB" w:rsidP="00C14004">
            <w:pPr>
              <w:keepNext/>
              <w:jc w:val="center"/>
              <w:rPr>
                <w:rFonts w:ascii="Arial Narrow" w:hAnsi="Arial Narrow"/>
                <w:sz w:val="20"/>
                <w:lang w:val="en-US"/>
              </w:rPr>
            </w:pPr>
            <w:r w:rsidRPr="009F79B5">
              <w:rPr>
                <w:rFonts w:ascii="Arial Narrow" w:hAnsi="Arial Narrow"/>
                <w:sz w:val="20"/>
                <w:lang w:val="en-US"/>
              </w:rPr>
              <w:t xml:space="preserve">Moderate, </w:t>
            </w:r>
            <w:proofErr w:type="spellStart"/>
            <w:r w:rsidRPr="009F79B5">
              <w:rPr>
                <w:rFonts w:ascii="Arial Narrow" w:hAnsi="Arial Narrow"/>
                <w:sz w:val="20"/>
                <w:lang w:val="en-US"/>
              </w:rPr>
              <w:t>favours</w:t>
            </w:r>
            <w:proofErr w:type="spellEnd"/>
            <w:r w:rsidRPr="009F79B5">
              <w:rPr>
                <w:rFonts w:ascii="Arial Narrow" w:hAnsi="Arial Narrow"/>
                <w:sz w:val="20"/>
                <w:lang w:val="en-US"/>
              </w:rPr>
              <w:t xml:space="preserve"> SMV+SOF</w:t>
            </w:r>
          </w:p>
        </w:tc>
      </w:tr>
      <w:tr w:rsidR="00950EAB" w:rsidRPr="009F79B5" w:rsidTr="00166322">
        <w:tc>
          <w:tcPr>
            <w:tcW w:w="1529"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Utility gain due to achieving an SVR</w:t>
            </w:r>
          </w:p>
        </w:tc>
        <w:tc>
          <w:tcPr>
            <w:tcW w:w="2123" w:type="pct"/>
            <w:shd w:val="clear" w:color="auto" w:fill="auto"/>
            <w:vAlign w:val="center"/>
          </w:tcPr>
          <w:p w:rsidR="00950EAB" w:rsidRPr="009F79B5" w:rsidRDefault="00950EAB" w:rsidP="00C14004">
            <w:pPr>
              <w:keepNext/>
              <w:jc w:val="left"/>
              <w:rPr>
                <w:rFonts w:ascii="Arial Narrow" w:hAnsi="Arial Narrow"/>
                <w:sz w:val="20"/>
                <w:lang w:val="en-US"/>
              </w:rPr>
            </w:pPr>
            <w:r w:rsidRPr="009F79B5">
              <w:rPr>
                <w:rFonts w:ascii="Arial Narrow" w:hAnsi="Arial Narrow"/>
                <w:sz w:val="20"/>
                <w:lang w:val="en-US"/>
              </w:rPr>
              <w:t xml:space="preserve">The submission assumed utility gains of </w:t>
            </w:r>
            <w:r w:rsidR="00BD7647">
              <w:rPr>
                <w:rFonts w:ascii="Arial Narrow" w:hAnsi="Arial Narrow"/>
                <w:noProof/>
                <w:color w:val="000000"/>
                <w:sz w:val="20"/>
                <w:highlight w:val="black"/>
                <w:lang w:val="en-US"/>
              </w:rPr>
              <w:t>'''''''''''</w:t>
            </w:r>
            <w:r w:rsidRPr="009F79B5">
              <w:rPr>
                <w:rFonts w:ascii="Arial Narrow" w:hAnsi="Arial Narrow"/>
                <w:sz w:val="20"/>
                <w:lang w:val="en-US"/>
              </w:rPr>
              <w:t>-</w:t>
            </w:r>
            <w:r w:rsidR="00BD7647">
              <w:rPr>
                <w:rFonts w:ascii="Arial Narrow" w:hAnsi="Arial Narrow"/>
                <w:noProof/>
                <w:color w:val="000000"/>
                <w:sz w:val="20"/>
                <w:highlight w:val="black"/>
                <w:lang w:val="en-US"/>
              </w:rPr>
              <w:t>''''''''''</w:t>
            </w:r>
            <w:r w:rsidRPr="009F79B5">
              <w:rPr>
                <w:rFonts w:ascii="Arial Narrow" w:hAnsi="Arial Narrow"/>
                <w:sz w:val="20"/>
                <w:lang w:val="en-US"/>
              </w:rPr>
              <w:t xml:space="preserve"> due to SVR. These were identical to those used in the previous </w:t>
            </w:r>
            <w:proofErr w:type="spellStart"/>
            <w:r w:rsidRPr="009F79B5">
              <w:rPr>
                <w:rFonts w:ascii="Arial Narrow" w:hAnsi="Arial Narrow"/>
                <w:sz w:val="20"/>
                <w:lang w:val="en-US"/>
              </w:rPr>
              <w:t>telaprevir</w:t>
            </w:r>
            <w:proofErr w:type="spellEnd"/>
            <w:r w:rsidRPr="009F79B5">
              <w:rPr>
                <w:rFonts w:ascii="Arial Narrow" w:hAnsi="Arial Narrow"/>
                <w:sz w:val="20"/>
                <w:lang w:val="en-US"/>
              </w:rPr>
              <w:t xml:space="preserve"> model considered by the PBAC at the March 2012 meeting. </w:t>
            </w:r>
            <w:r w:rsidRPr="009F79B5">
              <w:rPr>
                <w:rFonts w:ascii="Arial Narrow" w:hAnsi="Arial Narrow"/>
                <w:sz w:val="20"/>
              </w:rPr>
              <w:t xml:space="preserve">The PBAC considered that this was a source of uncertainty. The assumption of </w:t>
            </w:r>
            <w:r w:rsidR="00BD7647">
              <w:rPr>
                <w:rFonts w:ascii="Arial Narrow" w:hAnsi="Arial Narrow"/>
                <w:noProof/>
                <w:color w:val="000000"/>
                <w:sz w:val="20"/>
                <w:highlight w:val="black"/>
              </w:rPr>
              <w:t>'''''''''''</w:t>
            </w:r>
            <w:r w:rsidRPr="009F79B5">
              <w:rPr>
                <w:rFonts w:ascii="Arial Narrow" w:hAnsi="Arial Narrow"/>
                <w:sz w:val="20"/>
              </w:rPr>
              <w:t xml:space="preserve"> utility increments due to SVR for cirrhotic patients was noticeably higher than the 0.05-0.06 utility increments used in earlier CHC models</w:t>
            </w:r>
            <w:r w:rsidR="00166322" w:rsidRPr="009F79B5">
              <w:rPr>
                <w:rFonts w:ascii="Arial Narrow" w:hAnsi="Arial Narrow"/>
                <w:noProof/>
                <w:sz w:val="20"/>
                <w:vertAlign w:val="superscript"/>
              </w:rPr>
              <w:t>9, 10</w:t>
            </w:r>
            <w:r w:rsidRPr="009F79B5">
              <w:rPr>
                <w:rFonts w:ascii="Arial Narrow" w:hAnsi="Arial Narrow"/>
                <w:sz w:val="20"/>
              </w:rPr>
              <w:t>. A recent study showed that SVR was associated with an improved EQ-5D index of 0.041(±0.010) units (P &lt; 0.0001). This estimate was accepted by NICE</w:t>
            </w:r>
            <w:r w:rsidR="00166322" w:rsidRPr="009F79B5">
              <w:rPr>
                <w:rFonts w:ascii="Arial Narrow" w:hAnsi="Arial Narrow"/>
                <w:noProof/>
                <w:sz w:val="20"/>
                <w:vertAlign w:val="superscript"/>
              </w:rPr>
              <w:t>13</w:t>
            </w:r>
            <w:r w:rsidRPr="009F79B5">
              <w:rPr>
                <w:rFonts w:ascii="Arial Narrow" w:hAnsi="Arial Narrow"/>
                <w:sz w:val="20"/>
              </w:rPr>
              <w:t xml:space="preserve">. A sensitivity analysis using a utility gain of 0.041 was performed during the evaluation. </w:t>
            </w:r>
          </w:p>
        </w:tc>
        <w:tc>
          <w:tcPr>
            <w:tcW w:w="1348" w:type="pct"/>
            <w:shd w:val="clear" w:color="auto" w:fill="auto"/>
            <w:vAlign w:val="center"/>
          </w:tcPr>
          <w:p w:rsidR="00950EAB" w:rsidRPr="009F79B5" w:rsidRDefault="00950EAB" w:rsidP="00C14004">
            <w:pPr>
              <w:keepNext/>
              <w:jc w:val="center"/>
              <w:rPr>
                <w:rFonts w:ascii="Arial Narrow" w:hAnsi="Arial Narrow"/>
                <w:sz w:val="20"/>
                <w:lang w:val="en-US"/>
              </w:rPr>
            </w:pPr>
            <w:r w:rsidRPr="009F79B5">
              <w:rPr>
                <w:rFonts w:ascii="Arial Narrow" w:hAnsi="Arial Narrow"/>
                <w:sz w:val="20"/>
                <w:lang w:val="en-US"/>
              </w:rPr>
              <w:t xml:space="preserve">Moderate, </w:t>
            </w:r>
            <w:proofErr w:type="spellStart"/>
            <w:r w:rsidRPr="009F79B5">
              <w:rPr>
                <w:rFonts w:ascii="Arial Narrow" w:hAnsi="Arial Narrow"/>
                <w:sz w:val="20"/>
                <w:lang w:val="en-US"/>
              </w:rPr>
              <w:t>favours</w:t>
            </w:r>
            <w:proofErr w:type="spellEnd"/>
            <w:r w:rsidRPr="009F79B5">
              <w:rPr>
                <w:rFonts w:ascii="Arial Narrow" w:hAnsi="Arial Narrow"/>
                <w:sz w:val="20"/>
                <w:lang w:val="en-US"/>
              </w:rPr>
              <w:t xml:space="preserve"> SMV+SOF</w:t>
            </w:r>
          </w:p>
        </w:tc>
      </w:tr>
    </w:tbl>
    <w:p w:rsidR="00950EAB" w:rsidRPr="009F79B5" w:rsidRDefault="00950EAB" w:rsidP="00950EAB">
      <w:pPr>
        <w:pStyle w:val="TableFooter"/>
        <w:ind w:left="709" w:firstLine="11"/>
      </w:pPr>
      <w:r w:rsidRPr="009F79B5">
        <w:t xml:space="preserve">SMV = </w:t>
      </w:r>
      <w:proofErr w:type="spellStart"/>
      <w:r w:rsidRPr="009F79B5">
        <w:t>simeprevir</w:t>
      </w:r>
      <w:proofErr w:type="spellEnd"/>
      <w:r w:rsidRPr="009F79B5">
        <w:t xml:space="preserve">; SOF = </w:t>
      </w:r>
      <w:proofErr w:type="spellStart"/>
      <w:r w:rsidRPr="009F79B5">
        <w:t>sofosbuvir</w:t>
      </w:r>
      <w:proofErr w:type="spellEnd"/>
      <w:r w:rsidRPr="009F79B5">
        <w:t xml:space="preserve">; HCV = hepatitis C virus; CHC = chronic hepatitis C; NICE = National Institute for Health and Care Excellence; SVR = sustained </w:t>
      </w:r>
      <w:proofErr w:type="spellStart"/>
      <w:r w:rsidRPr="009F79B5">
        <w:t>virologic</w:t>
      </w:r>
      <w:proofErr w:type="spellEnd"/>
      <w:r w:rsidRPr="009F79B5">
        <w:t xml:space="preserve"> response.</w:t>
      </w:r>
    </w:p>
    <w:p w:rsidR="00950EAB" w:rsidRPr="00EE105A" w:rsidRDefault="00950EAB" w:rsidP="00950EAB">
      <w:pPr>
        <w:widowControl/>
        <w:rPr>
          <w:sz w:val="16"/>
          <w:szCs w:val="22"/>
        </w:rPr>
      </w:pPr>
    </w:p>
    <w:p w:rsidR="00051A03" w:rsidRPr="009F79B5" w:rsidRDefault="00051A03" w:rsidP="00051A03">
      <w:pPr>
        <w:pStyle w:val="ListParagraph"/>
        <w:widowControl/>
        <w:numPr>
          <w:ilvl w:val="1"/>
          <w:numId w:val="4"/>
        </w:numPr>
      </w:pPr>
      <w:r w:rsidRPr="009F79B5">
        <w:t>The ESC noted that submission used a number of assumptions and model inputs that consistently favoured SMV+SOF:</w:t>
      </w:r>
    </w:p>
    <w:p w:rsidR="00051A03" w:rsidRPr="009F79B5" w:rsidRDefault="00051A03" w:rsidP="00051A03">
      <w:pPr>
        <w:pStyle w:val="ListParagraph"/>
        <w:numPr>
          <w:ilvl w:val="1"/>
          <w:numId w:val="38"/>
        </w:numPr>
        <w:ind w:right="277"/>
        <w:rPr>
          <w:szCs w:val="22"/>
        </w:rPr>
      </w:pPr>
      <w:r w:rsidRPr="009F79B5">
        <w:rPr>
          <w:szCs w:val="22"/>
        </w:rPr>
        <w:t xml:space="preserve">Transition probabilities between early health states in HCV infection (from mild to moderate HCV and from moderate HCV to compensated cirrhosis) were identical to those used in the </w:t>
      </w:r>
      <w:proofErr w:type="spellStart"/>
      <w:r w:rsidRPr="009F79B5">
        <w:rPr>
          <w:szCs w:val="22"/>
        </w:rPr>
        <w:t>telaprevir</w:t>
      </w:r>
      <w:proofErr w:type="spellEnd"/>
      <w:r w:rsidRPr="009F79B5">
        <w:rPr>
          <w:szCs w:val="22"/>
        </w:rPr>
        <w:t xml:space="preserve"> submission considered at the March 2012 PBAC meeting. The PBAC noted that these transition probabilities were likely to result in an overestimation of the cost-effectiveness of </w:t>
      </w:r>
      <w:proofErr w:type="spellStart"/>
      <w:r w:rsidRPr="009F79B5">
        <w:rPr>
          <w:szCs w:val="22"/>
        </w:rPr>
        <w:t>telaprevir</w:t>
      </w:r>
      <w:proofErr w:type="spellEnd"/>
      <w:r w:rsidRPr="009F79B5">
        <w:rPr>
          <w:szCs w:val="22"/>
        </w:rPr>
        <w:t xml:space="preserve"> (</w:t>
      </w:r>
      <w:proofErr w:type="spellStart"/>
      <w:r w:rsidRPr="009F79B5">
        <w:rPr>
          <w:szCs w:val="22"/>
        </w:rPr>
        <w:t>Telaprevir</w:t>
      </w:r>
      <w:proofErr w:type="spellEnd"/>
      <w:r w:rsidRPr="009F79B5">
        <w:rPr>
          <w:szCs w:val="22"/>
        </w:rPr>
        <w:t xml:space="preserve"> Public Summary Document (PSD), March 2012 PBAC meeting); </w:t>
      </w:r>
    </w:p>
    <w:p w:rsidR="00051A03" w:rsidRPr="009F79B5" w:rsidRDefault="00051A03" w:rsidP="00051A03">
      <w:pPr>
        <w:pStyle w:val="ListParagraph"/>
        <w:numPr>
          <w:ilvl w:val="1"/>
          <w:numId w:val="38"/>
        </w:numPr>
        <w:ind w:right="277"/>
      </w:pPr>
      <w:r w:rsidRPr="009F79B5">
        <w:t xml:space="preserve">A 50-year time horizon - considerably longer than the PBAC’s advice that </w:t>
      </w:r>
      <w:r w:rsidRPr="009F79B5">
        <w:lastRenderedPageBreak/>
        <w:t xml:space="preserve">a 30-year time horizon should be used (5.17 </w:t>
      </w:r>
      <w:proofErr w:type="spellStart"/>
      <w:r w:rsidRPr="009F79B5">
        <w:t>Sofosbuvir</w:t>
      </w:r>
      <w:proofErr w:type="spellEnd"/>
      <w:r w:rsidRPr="009F79B5">
        <w:t>, PSD, July 2014 PBAC meeting);</w:t>
      </w:r>
    </w:p>
    <w:p w:rsidR="00051A03" w:rsidRPr="009F79B5" w:rsidRDefault="00051A03" w:rsidP="00051A03">
      <w:pPr>
        <w:pStyle w:val="ListParagraph"/>
        <w:numPr>
          <w:ilvl w:val="1"/>
          <w:numId w:val="38"/>
        </w:numPr>
        <w:ind w:right="277"/>
      </w:pPr>
      <w:r w:rsidRPr="009F79B5">
        <w:t xml:space="preserve">The proportion of patients with mild chronic hepatitis C (CHC) entering the model was a likely underestimate ; and </w:t>
      </w:r>
    </w:p>
    <w:p w:rsidR="00051A03" w:rsidRPr="009F79B5" w:rsidRDefault="00051A03" w:rsidP="00051A03">
      <w:pPr>
        <w:pStyle w:val="ListParagraph"/>
        <w:numPr>
          <w:ilvl w:val="1"/>
          <w:numId w:val="38"/>
        </w:numPr>
        <w:ind w:right="277"/>
      </w:pPr>
      <w:r w:rsidRPr="00985269">
        <w:t>Utility increments</w:t>
      </w:r>
      <w:r w:rsidRPr="009F79B5">
        <w:t xml:space="preserve"> (</w:t>
      </w:r>
      <w:r w:rsidR="00BD7647">
        <w:rPr>
          <w:noProof/>
          <w:color w:val="000000"/>
          <w:highlight w:val="black"/>
        </w:rPr>
        <w:t>'''''''''''</w:t>
      </w:r>
      <w:r w:rsidRPr="009F79B5">
        <w:t>-</w:t>
      </w:r>
      <w:r w:rsidR="00BD7647">
        <w:rPr>
          <w:noProof/>
          <w:color w:val="000000"/>
          <w:highlight w:val="black"/>
        </w:rPr>
        <w:t>''''''''''</w:t>
      </w:r>
      <w:r w:rsidRPr="009F79B5">
        <w:t xml:space="preserve">) due to SVR that were identical to those used in the previous </w:t>
      </w:r>
      <w:proofErr w:type="spellStart"/>
      <w:r w:rsidRPr="009F79B5">
        <w:t>telaprevir</w:t>
      </w:r>
      <w:proofErr w:type="spellEnd"/>
      <w:r w:rsidRPr="009F79B5">
        <w:t xml:space="preserve"> submission and likely to be overestimated. The PBAC considered that this was a source of uncertainty when considering </w:t>
      </w:r>
      <w:proofErr w:type="spellStart"/>
      <w:r w:rsidRPr="009F79B5">
        <w:t>telaprevir</w:t>
      </w:r>
      <w:proofErr w:type="spellEnd"/>
      <w:r w:rsidRPr="009F79B5">
        <w:t xml:space="preserve"> (</w:t>
      </w:r>
      <w:proofErr w:type="spellStart"/>
      <w:r w:rsidRPr="009F79B5">
        <w:t>Telaprevir</w:t>
      </w:r>
      <w:proofErr w:type="spellEnd"/>
      <w:r w:rsidRPr="009F79B5">
        <w:t xml:space="preserve"> PSD, November 2011 PBAC meeting).</w:t>
      </w:r>
    </w:p>
    <w:p w:rsidR="00051A03" w:rsidRPr="00EE105A" w:rsidRDefault="00051A03" w:rsidP="00051A03">
      <w:pPr>
        <w:ind w:right="277"/>
        <w:rPr>
          <w:sz w:val="16"/>
        </w:rPr>
      </w:pPr>
    </w:p>
    <w:p w:rsidR="00950EAB" w:rsidRPr="009F79B5" w:rsidRDefault="00950EAB" w:rsidP="00950EAB">
      <w:pPr>
        <w:pStyle w:val="ListParagraph"/>
        <w:widowControl/>
        <w:numPr>
          <w:ilvl w:val="1"/>
          <w:numId w:val="4"/>
        </w:numPr>
        <w:rPr>
          <w:szCs w:val="22"/>
        </w:rPr>
      </w:pPr>
      <w:r w:rsidRPr="009F79B5">
        <w:t xml:space="preserve">As the price for </w:t>
      </w:r>
      <w:proofErr w:type="spellStart"/>
      <w:r w:rsidRPr="009F79B5">
        <w:t>sofosbuvir</w:t>
      </w:r>
      <w:proofErr w:type="spellEnd"/>
      <w:r w:rsidRPr="009F79B5">
        <w:t xml:space="preserve"> alone was not known to the sponsor, it was not possible to determine the cost of SMV+SOF therapy in the requested population in the submission. The base case economic evaluation </w:t>
      </w:r>
      <w:r w:rsidRPr="009F79B5">
        <w:rPr>
          <w:u w:val="single"/>
        </w:rPr>
        <w:t>assumed</w:t>
      </w:r>
      <w:r w:rsidRPr="009F79B5">
        <w:t xml:space="preserve"> a total regimen cost of </w:t>
      </w:r>
      <w:r w:rsidR="00BD7647">
        <w:rPr>
          <w:noProof/>
          <w:color w:val="000000"/>
          <w:highlight w:val="black"/>
        </w:rPr>
        <w:t xml:space="preserve">''''''''''''''''''' </w:t>
      </w:r>
      <w:r w:rsidRPr="009F79B5">
        <w:t>per 12-week course of SMV+SOF treatment and was performed relative to a mixed comparator. The results of the economic analyses conducted during the evaluation - based on this assumed price, relative to no treatment and using the SVR rates observed in Studies 3017 and 3018 - are summarised below</w:t>
      </w:r>
      <w:r w:rsidRPr="009F79B5">
        <w:rPr>
          <w:i/>
        </w:rPr>
        <w:t>.</w:t>
      </w:r>
    </w:p>
    <w:p w:rsidR="00FF34D9" w:rsidRPr="00EE105A" w:rsidRDefault="00FF34D9">
      <w:pPr>
        <w:widowControl/>
        <w:jc w:val="left"/>
        <w:rPr>
          <w:rFonts w:ascii="Arial Narrow" w:hAnsi="Arial Narrow"/>
          <w:b/>
          <w:bCs/>
          <w:sz w:val="16"/>
          <w:szCs w:val="18"/>
        </w:rPr>
      </w:pPr>
    </w:p>
    <w:p w:rsidR="00950EAB" w:rsidRPr="009F79B5" w:rsidRDefault="00950EAB" w:rsidP="00950EAB">
      <w:pPr>
        <w:pStyle w:val="Caption"/>
        <w:ind w:firstLine="720"/>
      </w:pPr>
      <w:r w:rsidRPr="009F79B5">
        <w:t xml:space="preserve">Table </w:t>
      </w:r>
      <w:r w:rsidR="00EA11DE" w:rsidRPr="009F79B5">
        <w:t>10</w:t>
      </w:r>
      <w:r w:rsidRPr="009F79B5">
        <w:t xml:space="preserve">: Results of the economic evaluation by </w:t>
      </w:r>
      <w:proofErr w:type="spellStart"/>
      <w:r w:rsidRPr="009F79B5">
        <w:t>subpopulations</w:t>
      </w:r>
      <w:r w:rsidRPr="009F79B5">
        <w:rPr>
          <w:vertAlign w:val="superscript"/>
        </w:rPr>
        <w:t>a</w:t>
      </w:r>
      <w:proofErr w:type="spellEnd"/>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8"/>
        <w:gridCol w:w="2378"/>
        <w:gridCol w:w="2380"/>
        <w:gridCol w:w="2053"/>
      </w:tblGrid>
      <w:tr w:rsidR="00950EAB" w:rsidRPr="009F79B5" w:rsidTr="00166322">
        <w:tc>
          <w:tcPr>
            <w:tcW w:w="916" w:type="pct"/>
            <w:shd w:val="clear" w:color="auto" w:fill="FFFFFF" w:themeFill="background1"/>
          </w:tcPr>
          <w:p w:rsidR="00950EAB" w:rsidRPr="009F79B5" w:rsidRDefault="00950EAB" w:rsidP="00166322">
            <w:pPr>
              <w:rPr>
                <w:rFonts w:ascii="Arial Narrow" w:hAnsi="Arial Narrow"/>
                <w:b/>
                <w:sz w:val="20"/>
              </w:rPr>
            </w:pPr>
          </w:p>
        </w:tc>
        <w:tc>
          <w:tcPr>
            <w:tcW w:w="1426" w:type="pct"/>
            <w:shd w:val="clear" w:color="auto" w:fill="FFFFFF" w:themeFill="background1"/>
          </w:tcPr>
          <w:p w:rsidR="00950EAB" w:rsidRPr="009F79B5" w:rsidRDefault="00950EAB" w:rsidP="00166322">
            <w:pPr>
              <w:jc w:val="center"/>
              <w:rPr>
                <w:rFonts w:ascii="Arial Narrow" w:hAnsi="Arial Narrow"/>
                <w:b/>
                <w:sz w:val="20"/>
              </w:rPr>
            </w:pPr>
            <w:r w:rsidRPr="009F79B5">
              <w:rPr>
                <w:rFonts w:ascii="Arial Narrow" w:hAnsi="Arial Narrow"/>
                <w:b/>
                <w:sz w:val="20"/>
              </w:rPr>
              <w:t>SMV+SOF</w:t>
            </w:r>
          </w:p>
        </w:tc>
        <w:tc>
          <w:tcPr>
            <w:tcW w:w="1427" w:type="pct"/>
            <w:shd w:val="clear" w:color="auto" w:fill="FFFFFF" w:themeFill="background1"/>
          </w:tcPr>
          <w:p w:rsidR="00950EAB" w:rsidRPr="009F79B5" w:rsidRDefault="00950EAB" w:rsidP="00166322">
            <w:pPr>
              <w:jc w:val="center"/>
              <w:rPr>
                <w:rFonts w:ascii="Arial Narrow" w:hAnsi="Arial Narrow"/>
                <w:b/>
                <w:sz w:val="20"/>
              </w:rPr>
            </w:pPr>
            <w:r w:rsidRPr="009F79B5">
              <w:rPr>
                <w:rFonts w:ascii="Arial Narrow" w:hAnsi="Arial Narrow"/>
                <w:b/>
                <w:sz w:val="20"/>
              </w:rPr>
              <w:t>No treatment</w:t>
            </w:r>
          </w:p>
        </w:tc>
        <w:tc>
          <w:tcPr>
            <w:tcW w:w="1231" w:type="pct"/>
            <w:shd w:val="clear" w:color="auto" w:fill="FFFFFF" w:themeFill="background1"/>
          </w:tcPr>
          <w:p w:rsidR="00950EAB" w:rsidRPr="009F79B5" w:rsidRDefault="00950EAB" w:rsidP="00166322">
            <w:pPr>
              <w:jc w:val="center"/>
              <w:rPr>
                <w:rFonts w:ascii="Arial Narrow" w:hAnsi="Arial Narrow"/>
                <w:b/>
                <w:sz w:val="20"/>
              </w:rPr>
            </w:pPr>
            <w:r w:rsidRPr="009F79B5">
              <w:rPr>
                <w:rFonts w:ascii="Arial Narrow" w:hAnsi="Arial Narrow"/>
                <w:b/>
                <w:sz w:val="20"/>
              </w:rPr>
              <w:t>Increment</w:t>
            </w:r>
          </w:p>
        </w:tc>
      </w:tr>
      <w:tr w:rsidR="00950EAB" w:rsidRPr="009F79B5" w:rsidTr="00166322">
        <w:tc>
          <w:tcPr>
            <w:tcW w:w="5000" w:type="pct"/>
            <w:gridSpan w:val="4"/>
            <w:shd w:val="clear" w:color="auto" w:fill="D9D9D9" w:themeFill="background1" w:themeFillShade="D9"/>
          </w:tcPr>
          <w:p w:rsidR="00950EAB" w:rsidRPr="009F79B5" w:rsidRDefault="00950EAB" w:rsidP="00166322">
            <w:pPr>
              <w:rPr>
                <w:rFonts w:ascii="Arial Narrow" w:hAnsi="Arial Narrow"/>
                <w:b/>
                <w:sz w:val="20"/>
              </w:rPr>
            </w:pPr>
            <w:r w:rsidRPr="009F79B5">
              <w:rPr>
                <w:rFonts w:ascii="Arial Narrow" w:hAnsi="Arial Narrow"/>
                <w:b/>
                <w:sz w:val="20"/>
              </w:rPr>
              <w:t>Treatment-naïve, non-cirrhotic</w:t>
            </w:r>
          </w:p>
        </w:tc>
      </w:tr>
      <w:tr w:rsidR="00950EAB" w:rsidRPr="009F79B5" w:rsidTr="00166322">
        <w:tc>
          <w:tcPr>
            <w:tcW w:w="916" w:type="pct"/>
          </w:tcPr>
          <w:p w:rsidR="00950EAB" w:rsidRPr="009F79B5" w:rsidRDefault="00950EAB" w:rsidP="00166322">
            <w:pPr>
              <w:rPr>
                <w:rFonts w:ascii="Arial Narrow" w:hAnsi="Arial Narrow"/>
                <w:sz w:val="20"/>
              </w:rPr>
            </w:pPr>
            <w:r w:rsidRPr="009F79B5">
              <w:rPr>
                <w:rFonts w:ascii="Arial Narrow" w:hAnsi="Arial Narrow"/>
                <w:sz w:val="20"/>
              </w:rPr>
              <w:t>Costs</w:t>
            </w:r>
          </w:p>
        </w:tc>
        <w:tc>
          <w:tcPr>
            <w:tcW w:w="1426"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427"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231"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166322">
        <w:tc>
          <w:tcPr>
            <w:tcW w:w="916" w:type="pct"/>
          </w:tcPr>
          <w:p w:rsidR="00950EAB" w:rsidRPr="009F79B5" w:rsidRDefault="00950EAB" w:rsidP="00166322">
            <w:pPr>
              <w:rPr>
                <w:rFonts w:ascii="Arial Narrow" w:hAnsi="Arial Narrow"/>
                <w:sz w:val="20"/>
              </w:rPr>
            </w:pPr>
            <w:r w:rsidRPr="009F79B5">
              <w:rPr>
                <w:rFonts w:ascii="Arial Narrow" w:hAnsi="Arial Narrow"/>
                <w:sz w:val="20"/>
              </w:rPr>
              <w:t>QALYs</w:t>
            </w:r>
          </w:p>
        </w:tc>
        <w:tc>
          <w:tcPr>
            <w:tcW w:w="1426"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427"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231"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r>
      <w:tr w:rsidR="00950EAB" w:rsidRPr="009F79B5" w:rsidTr="00166322">
        <w:tc>
          <w:tcPr>
            <w:tcW w:w="3769" w:type="pct"/>
            <w:gridSpan w:val="3"/>
            <w:tcBorders>
              <w:bottom w:val="single" w:sz="4" w:space="0" w:color="auto"/>
            </w:tcBorders>
          </w:tcPr>
          <w:p w:rsidR="00950EAB" w:rsidRPr="005D6D35" w:rsidRDefault="00950EAB" w:rsidP="00166322">
            <w:pPr>
              <w:rPr>
                <w:rFonts w:ascii="Arial Narrow" w:hAnsi="Arial Narrow"/>
                <w:b/>
                <w:sz w:val="20"/>
              </w:rPr>
            </w:pPr>
            <w:r w:rsidRPr="005D6D35">
              <w:rPr>
                <w:rFonts w:ascii="Arial Narrow" w:hAnsi="Arial Narrow"/>
                <w:b/>
                <w:sz w:val="20"/>
              </w:rPr>
              <w:t>Incremental cost/extra QALY gained</w:t>
            </w:r>
          </w:p>
        </w:tc>
        <w:tc>
          <w:tcPr>
            <w:tcW w:w="1231" w:type="pct"/>
            <w:tcBorders>
              <w:bottom w:val="single" w:sz="4" w:space="0" w:color="auto"/>
            </w:tcBorders>
          </w:tcPr>
          <w:p w:rsidR="00950EAB" w:rsidRPr="005D6D35" w:rsidRDefault="00950EAB" w:rsidP="00166322">
            <w:pPr>
              <w:jc w:val="right"/>
              <w:rPr>
                <w:rFonts w:ascii="Arial Narrow" w:hAnsi="Arial Narrow"/>
                <w:b/>
                <w:sz w:val="20"/>
              </w:rPr>
            </w:pPr>
            <w:r w:rsidRPr="005D6D35">
              <w:rPr>
                <w:rFonts w:ascii="Arial Narrow" w:hAnsi="Arial Narrow"/>
                <w:b/>
                <w:sz w:val="20"/>
              </w:rPr>
              <w:t>$</w:t>
            </w:r>
            <w:r w:rsidR="00BD7647">
              <w:rPr>
                <w:rFonts w:ascii="Arial Narrow" w:hAnsi="Arial Narrow"/>
                <w:b/>
                <w:noProof/>
                <w:color w:val="000000"/>
                <w:sz w:val="20"/>
                <w:highlight w:val="black"/>
              </w:rPr>
              <w:t>'''''''''''''</w:t>
            </w:r>
          </w:p>
        </w:tc>
      </w:tr>
      <w:tr w:rsidR="00950EAB" w:rsidRPr="009F79B5" w:rsidTr="00166322">
        <w:tc>
          <w:tcPr>
            <w:tcW w:w="5000" w:type="pct"/>
            <w:gridSpan w:val="4"/>
            <w:shd w:val="clear" w:color="auto" w:fill="D9D9D9" w:themeFill="background1" w:themeFillShade="D9"/>
          </w:tcPr>
          <w:p w:rsidR="00950EAB" w:rsidRPr="005D6D35" w:rsidRDefault="00950EAB" w:rsidP="00166322">
            <w:pPr>
              <w:rPr>
                <w:rFonts w:ascii="Arial Narrow" w:hAnsi="Arial Narrow"/>
                <w:b/>
                <w:sz w:val="20"/>
              </w:rPr>
            </w:pPr>
            <w:r w:rsidRPr="005D6D35">
              <w:rPr>
                <w:rFonts w:ascii="Arial Narrow" w:hAnsi="Arial Narrow"/>
                <w:b/>
                <w:sz w:val="20"/>
              </w:rPr>
              <w:t>Treatment-naïve, cirrhotic</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Costs</w:t>
            </w:r>
          </w:p>
        </w:tc>
        <w:tc>
          <w:tcPr>
            <w:tcW w:w="1426"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427"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231"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 xml:space="preserve">QALYs </w:t>
            </w:r>
          </w:p>
        </w:tc>
        <w:tc>
          <w:tcPr>
            <w:tcW w:w="1426"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427"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231"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r>
      <w:tr w:rsidR="00950EAB" w:rsidRPr="009F79B5" w:rsidTr="00166322">
        <w:tc>
          <w:tcPr>
            <w:tcW w:w="3769" w:type="pct"/>
            <w:gridSpan w:val="3"/>
          </w:tcPr>
          <w:p w:rsidR="00950EAB" w:rsidRPr="005D6D35" w:rsidRDefault="00950EAB" w:rsidP="00166322">
            <w:pPr>
              <w:rPr>
                <w:rFonts w:ascii="Arial Narrow" w:hAnsi="Arial Narrow"/>
                <w:b/>
                <w:sz w:val="20"/>
              </w:rPr>
            </w:pPr>
            <w:r w:rsidRPr="005D6D35">
              <w:rPr>
                <w:rFonts w:ascii="Arial Narrow" w:hAnsi="Arial Narrow"/>
                <w:b/>
                <w:sz w:val="20"/>
              </w:rPr>
              <w:t>Incremental cost/extra QALY gained</w:t>
            </w:r>
          </w:p>
        </w:tc>
        <w:tc>
          <w:tcPr>
            <w:tcW w:w="1231" w:type="pct"/>
          </w:tcPr>
          <w:p w:rsidR="00950EAB" w:rsidRPr="005D6D35" w:rsidRDefault="00950EAB" w:rsidP="00166322">
            <w:pPr>
              <w:jc w:val="right"/>
              <w:rPr>
                <w:rFonts w:ascii="Arial Narrow" w:hAnsi="Arial Narrow"/>
                <w:b/>
                <w:color w:val="000000"/>
                <w:sz w:val="20"/>
              </w:rPr>
            </w:pPr>
            <w:r w:rsidRPr="005D6D35">
              <w:rPr>
                <w:rFonts w:ascii="Arial Narrow" w:hAnsi="Arial Narrow"/>
                <w:b/>
                <w:color w:val="000000"/>
                <w:sz w:val="20"/>
              </w:rPr>
              <w:t>$</w:t>
            </w:r>
            <w:r w:rsidR="00BD7647">
              <w:rPr>
                <w:rFonts w:ascii="Arial Narrow" w:hAnsi="Arial Narrow"/>
                <w:b/>
                <w:noProof/>
                <w:color w:val="000000"/>
                <w:sz w:val="20"/>
                <w:highlight w:val="black"/>
              </w:rPr>
              <w:t>'''''''''''''</w:t>
            </w:r>
          </w:p>
        </w:tc>
      </w:tr>
      <w:tr w:rsidR="00950EAB" w:rsidRPr="009F79B5" w:rsidTr="00166322">
        <w:tc>
          <w:tcPr>
            <w:tcW w:w="5000" w:type="pct"/>
            <w:gridSpan w:val="4"/>
            <w:shd w:val="clear" w:color="auto" w:fill="D9D9D9" w:themeFill="background1" w:themeFillShade="D9"/>
          </w:tcPr>
          <w:p w:rsidR="00950EAB" w:rsidRPr="005D6D35" w:rsidRDefault="00950EAB" w:rsidP="00166322">
            <w:pPr>
              <w:rPr>
                <w:rFonts w:ascii="Arial Narrow" w:hAnsi="Arial Narrow"/>
                <w:b/>
                <w:sz w:val="20"/>
              </w:rPr>
            </w:pPr>
            <w:r w:rsidRPr="005D6D35">
              <w:rPr>
                <w:rFonts w:ascii="Arial Narrow" w:hAnsi="Arial Narrow"/>
                <w:b/>
                <w:sz w:val="20"/>
              </w:rPr>
              <w:t>Treatment-experienced, non-cirrhotic</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Costs</w:t>
            </w:r>
          </w:p>
        </w:tc>
        <w:tc>
          <w:tcPr>
            <w:tcW w:w="1426"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427"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231"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 xml:space="preserve">QALYs </w:t>
            </w:r>
          </w:p>
        </w:tc>
        <w:tc>
          <w:tcPr>
            <w:tcW w:w="1426"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427"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231"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r>
      <w:tr w:rsidR="00950EAB" w:rsidRPr="009F79B5" w:rsidTr="00166322">
        <w:tc>
          <w:tcPr>
            <w:tcW w:w="3769" w:type="pct"/>
            <w:gridSpan w:val="3"/>
            <w:tcBorders>
              <w:bottom w:val="single" w:sz="4" w:space="0" w:color="auto"/>
            </w:tcBorders>
            <w:vAlign w:val="bottom"/>
          </w:tcPr>
          <w:p w:rsidR="00950EAB" w:rsidRPr="005D6D35" w:rsidRDefault="00950EAB" w:rsidP="00166322">
            <w:pPr>
              <w:rPr>
                <w:rFonts w:ascii="Arial Narrow" w:hAnsi="Arial Narrow"/>
                <w:b/>
                <w:sz w:val="20"/>
              </w:rPr>
            </w:pPr>
            <w:r w:rsidRPr="005D6D35">
              <w:rPr>
                <w:rFonts w:ascii="Arial Narrow" w:hAnsi="Arial Narrow"/>
                <w:b/>
                <w:color w:val="000000"/>
                <w:sz w:val="20"/>
              </w:rPr>
              <w:t>Incremental cost/extra QALY gained</w:t>
            </w:r>
          </w:p>
        </w:tc>
        <w:tc>
          <w:tcPr>
            <w:tcW w:w="1231" w:type="pct"/>
            <w:tcBorders>
              <w:bottom w:val="single" w:sz="4" w:space="0" w:color="auto"/>
            </w:tcBorders>
          </w:tcPr>
          <w:p w:rsidR="00950EAB" w:rsidRPr="005D6D35" w:rsidRDefault="00950EAB" w:rsidP="00166322">
            <w:pPr>
              <w:jc w:val="right"/>
              <w:rPr>
                <w:rFonts w:ascii="Arial Narrow" w:hAnsi="Arial Narrow"/>
                <w:b/>
                <w:sz w:val="20"/>
              </w:rPr>
            </w:pPr>
            <w:r w:rsidRPr="005D6D35">
              <w:rPr>
                <w:rFonts w:ascii="Arial Narrow" w:hAnsi="Arial Narrow"/>
                <w:b/>
                <w:color w:val="000000"/>
                <w:sz w:val="20"/>
              </w:rPr>
              <w:t>$</w:t>
            </w:r>
            <w:r w:rsidR="00BD7647">
              <w:rPr>
                <w:rFonts w:ascii="Arial Narrow" w:hAnsi="Arial Narrow"/>
                <w:b/>
                <w:noProof/>
                <w:color w:val="000000"/>
                <w:sz w:val="20"/>
                <w:highlight w:val="black"/>
              </w:rPr>
              <w:t>'''''''''''''''</w:t>
            </w:r>
          </w:p>
        </w:tc>
      </w:tr>
      <w:tr w:rsidR="00950EAB" w:rsidRPr="009F79B5" w:rsidTr="00166322">
        <w:tc>
          <w:tcPr>
            <w:tcW w:w="5000" w:type="pct"/>
            <w:gridSpan w:val="4"/>
            <w:shd w:val="clear" w:color="auto" w:fill="D9D9D9" w:themeFill="background1" w:themeFillShade="D9"/>
          </w:tcPr>
          <w:p w:rsidR="00950EAB" w:rsidRPr="005D6D35" w:rsidRDefault="00950EAB" w:rsidP="00166322">
            <w:pPr>
              <w:rPr>
                <w:rFonts w:ascii="Arial Narrow" w:hAnsi="Arial Narrow"/>
                <w:b/>
                <w:sz w:val="20"/>
              </w:rPr>
            </w:pPr>
            <w:r w:rsidRPr="005D6D35">
              <w:rPr>
                <w:rFonts w:ascii="Arial Narrow" w:hAnsi="Arial Narrow"/>
                <w:b/>
                <w:sz w:val="20"/>
              </w:rPr>
              <w:t>Treatment-experienced, cirrhotic</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Costs</w:t>
            </w:r>
          </w:p>
        </w:tc>
        <w:tc>
          <w:tcPr>
            <w:tcW w:w="1426"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427"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1231" w:type="pct"/>
          </w:tcPr>
          <w:p w:rsidR="00950EAB" w:rsidRPr="005D6D35" w:rsidRDefault="00950EAB" w:rsidP="00166322">
            <w:pPr>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166322">
        <w:tc>
          <w:tcPr>
            <w:tcW w:w="916" w:type="pct"/>
            <w:vAlign w:val="bottom"/>
          </w:tcPr>
          <w:p w:rsidR="00950EAB" w:rsidRPr="009F79B5" w:rsidRDefault="00950EAB" w:rsidP="00166322">
            <w:pPr>
              <w:rPr>
                <w:rFonts w:ascii="Arial Narrow" w:hAnsi="Arial Narrow"/>
                <w:sz w:val="20"/>
              </w:rPr>
            </w:pPr>
            <w:r w:rsidRPr="009F79B5">
              <w:rPr>
                <w:rFonts w:ascii="Arial Narrow" w:hAnsi="Arial Narrow"/>
                <w:color w:val="000000"/>
                <w:sz w:val="20"/>
              </w:rPr>
              <w:t xml:space="preserve">QALYs </w:t>
            </w:r>
          </w:p>
        </w:tc>
        <w:tc>
          <w:tcPr>
            <w:tcW w:w="1426"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427"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c>
          <w:tcPr>
            <w:tcW w:w="1231" w:type="pct"/>
          </w:tcPr>
          <w:p w:rsidR="00950EAB" w:rsidRPr="00BD7647" w:rsidRDefault="00BD7647" w:rsidP="00166322">
            <w:pPr>
              <w:jc w:val="center"/>
              <w:rPr>
                <w:rFonts w:ascii="Arial Narrow" w:hAnsi="Arial Narrow"/>
                <w:sz w:val="20"/>
                <w:highlight w:val="black"/>
              </w:rPr>
            </w:pPr>
            <w:r>
              <w:rPr>
                <w:rFonts w:ascii="Arial Narrow" w:hAnsi="Arial Narrow"/>
                <w:noProof/>
                <w:color w:val="000000"/>
                <w:sz w:val="20"/>
                <w:highlight w:val="black"/>
              </w:rPr>
              <w:t>''''''''''''''</w:t>
            </w:r>
          </w:p>
        </w:tc>
      </w:tr>
      <w:tr w:rsidR="00950EAB" w:rsidRPr="009F79B5" w:rsidTr="00166322">
        <w:tc>
          <w:tcPr>
            <w:tcW w:w="3769" w:type="pct"/>
            <w:gridSpan w:val="3"/>
            <w:vAlign w:val="bottom"/>
          </w:tcPr>
          <w:p w:rsidR="00950EAB" w:rsidRPr="005D6D35" w:rsidRDefault="00950EAB" w:rsidP="00166322">
            <w:pPr>
              <w:rPr>
                <w:rFonts w:ascii="Arial Narrow" w:hAnsi="Arial Narrow"/>
                <w:b/>
                <w:sz w:val="20"/>
              </w:rPr>
            </w:pPr>
            <w:r w:rsidRPr="005D6D35">
              <w:rPr>
                <w:rFonts w:ascii="Arial Narrow" w:hAnsi="Arial Narrow"/>
                <w:b/>
                <w:color w:val="000000"/>
                <w:sz w:val="20"/>
              </w:rPr>
              <w:t>Incremental cost/extra QALY gained</w:t>
            </w:r>
          </w:p>
        </w:tc>
        <w:tc>
          <w:tcPr>
            <w:tcW w:w="1231" w:type="pct"/>
          </w:tcPr>
          <w:p w:rsidR="00950EAB" w:rsidRPr="005D6D35" w:rsidRDefault="00950EAB" w:rsidP="00166322">
            <w:pPr>
              <w:jc w:val="right"/>
              <w:rPr>
                <w:rFonts w:ascii="Arial Narrow" w:hAnsi="Arial Narrow"/>
                <w:b/>
                <w:color w:val="000000"/>
                <w:sz w:val="20"/>
              </w:rPr>
            </w:pPr>
            <w:r w:rsidRPr="005D6D35">
              <w:rPr>
                <w:rFonts w:ascii="Arial Narrow" w:hAnsi="Arial Narrow"/>
                <w:b/>
                <w:color w:val="000000"/>
                <w:sz w:val="20"/>
              </w:rPr>
              <w:t>$</w:t>
            </w:r>
            <w:r w:rsidR="00BD7647">
              <w:rPr>
                <w:rFonts w:ascii="Arial Narrow" w:hAnsi="Arial Narrow"/>
                <w:b/>
                <w:noProof/>
                <w:color w:val="000000"/>
                <w:sz w:val="20"/>
                <w:highlight w:val="black"/>
              </w:rPr>
              <w:t>''''''''''''''</w:t>
            </w:r>
          </w:p>
        </w:tc>
      </w:tr>
    </w:tbl>
    <w:p w:rsidR="00950EAB" w:rsidRPr="009F79B5" w:rsidRDefault="00950EAB" w:rsidP="00950EAB">
      <w:pPr>
        <w:pStyle w:val="TableFooter"/>
        <w:ind w:firstLine="720"/>
      </w:pPr>
      <w:r w:rsidRPr="009F79B5">
        <w:t xml:space="preserve">QALY = quality-adjusted life year; SMV = </w:t>
      </w:r>
      <w:proofErr w:type="spellStart"/>
      <w:r w:rsidRPr="009F79B5">
        <w:t>simeprevir</w:t>
      </w:r>
      <w:proofErr w:type="spellEnd"/>
      <w:r w:rsidRPr="009F79B5">
        <w:t xml:space="preserve">; SOF = </w:t>
      </w:r>
      <w:proofErr w:type="spellStart"/>
      <w:r w:rsidRPr="009F79B5">
        <w:t>sofosbuvir</w:t>
      </w:r>
      <w:proofErr w:type="spellEnd"/>
    </w:p>
    <w:p w:rsidR="00950EAB" w:rsidRPr="009F79B5" w:rsidRDefault="00950EAB" w:rsidP="00950EAB">
      <w:pPr>
        <w:pStyle w:val="TableFooter"/>
        <w:ind w:firstLine="720"/>
      </w:pPr>
      <w:proofErr w:type="gramStart"/>
      <w:r w:rsidRPr="009F79B5">
        <w:rPr>
          <w:vertAlign w:val="superscript"/>
        </w:rPr>
        <w:t>a</w:t>
      </w:r>
      <w:proofErr w:type="gramEnd"/>
      <w:r w:rsidRPr="009F79B5">
        <w:t xml:space="preserve"> SVR results from Study 3017 and Study 3018 are used in the economic evaluation</w:t>
      </w:r>
    </w:p>
    <w:p w:rsidR="00950EAB" w:rsidRPr="00EE105A" w:rsidRDefault="00950EAB" w:rsidP="00950EAB">
      <w:pPr>
        <w:widowControl/>
        <w:rPr>
          <w:sz w:val="16"/>
          <w:szCs w:val="22"/>
        </w:rPr>
      </w:pPr>
    </w:p>
    <w:p w:rsidR="00950EAB" w:rsidRPr="009F79B5" w:rsidRDefault="00950EAB" w:rsidP="00950EAB">
      <w:pPr>
        <w:pStyle w:val="ListParagraph"/>
        <w:widowControl/>
        <w:numPr>
          <w:ilvl w:val="1"/>
          <w:numId w:val="4"/>
        </w:numPr>
        <w:rPr>
          <w:szCs w:val="22"/>
        </w:rPr>
      </w:pPr>
      <w:r w:rsidRPr="009F79B5">
        <w:t>Results of key sensitivity analyses performed during the evaluation for the treatment-naïve, non-cirrhotic population are summarised below. The treatment-naïve, non-cirrhotic subgroup was selected, as this represents the majority of the proposed PBS population.</w:t>
      </w:r>
    </w:p>
    <w:p w:rsidR="00950EAB" w:rsidRPr="00EE105A" w:rsidRDefault="00950EAB" w:rsidP="00950EAB">
      <w:pPr>
        <w:pStyle w:val="ListParagraph"/>
        <w:widowControl/>
        <w:rPr>
          <w:i/>
          <w:sz w:val="16"/>
        </w:rPr>
      </w:pPr>
    </w:p>
    <w:p w:rsidR="00950EAB" w:rsidRPr="009F79B5" w:rsidRDefault="00950EAB" w:rsidP="00530516">
      <w:pPr>
        <w:pStyle w:val="Caption"/>
        <w:keepNext/>
        <w:ind w:firstLine="720"/>
      </w:pPr>
      <w:r w:rsidRPr="009F79B5">
        <w:lastRenderedPageBreak/>
        <w:t>Table 1</w:t>
      </w:r>
      <w:r w:rsidR="00EA11DE" w:rsidRPr="009F79B5">
        <w:t>1</w:t>
      </w:r>
      <w:r w:rsidRPr="009F79B5">
        <w:t xml:space="preserve">: Results of additional sensitivity analyses performed during the </w:t>
      </w:r>
      <w:proofErr w:type="spellStart"/>
      <w:r w:rsidRPr="009F79B5">
        <w:t>evaluation</w:t>
      </w:r>
      <w:r w:rsidRPr="009F79B5">
        <w:rPr>
          <w:vertAlign w:val="superscript"/>
        </w:rPr>
        <w:t>a</w:t>
      </w:r>
      <w:proofErr w:type="spellEnd"/>
      <w:r w:rsidRPr="009F79B5">
        <w:rPr>
          <w:vertAlign w:val="superscript"/>
        </w:rPr>
        <w:t xml:space="preserve"> </w:t>
      </w:r>
    </w:p>
    <w:tbl>
      <w:tblPr>
        <w:tblW w:w="459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68"/>
        <w:gridCol w:w="2694"/>
        <w:gridCol w:w="1275"/>
        <w:gridCol w:w="1275"/>
        <w:gridCol w:w="1133"/>
      </w:tblGrid>
      <w:tr w:rsidR="00950EAB" w:rsidRPr="009F79B5" w:rsidTr="00166322">
        <w:trPr>
          <w:tblHeader/>
        </w:trPr>
        <w:tc>
          <w:tcPr>
            <w:tcW w:w="1179"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b/>
                <w:sz w:val="20"/>
              </w:rPr>
            </w:pPr>
            <w:r w:rsidRPr="009F79B5">
              <w:rPr>
                <w:rFonts w:ascii="Arial Narrow" w:hAnsi="Arial Narrow"/>
                <w:b/>
                <w:sz w:val="20"/>
              </w:rPr>
              <w:t>Univariate analyses</w:t>
            </w: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center"/>
              <w:rPr>
                <w:rFonts w:ascii="Arial Narrow" w:hAnsi="Arial Narrow"/>
                <w:b/>
                <w:sz w:val="20"/>
              </w:rPr>
            </w:pPr>
            <w:r w:rsidRPr="009F79B5">
              <w:rPr>
                <w:rFonts w:ascii="Arial Narrow" w:hAnsi="Arial Narrow"/>
                <w:b/>
                <w:sz w:val="20"/>
              </w:rPr>
              <w:t>Assumption</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center"/>
              <w:rPr>
                <w:rFonts w:ascii="Arial Narrow" w:hAnsi="Arial Narrow"/>
                <w:b/>
                <w:sz w:val="20"/>
              </w:rPr>
            </w:pPr>
            <w:r w:rsidRPr="009F79B5">
              <w:rPr>
                <w:rFonts w:ascii="Arial Narrow" w:hAnsi="Arial Narrow"/>
                <w:b/>
                <w:sz w:val="20"/>
              </w:rPr>
              <w:t>Incremental costs</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center"/>
              <w:rPr>
                <w:rFonts w:ascii="Arial Narrow" w:hAnsi="Arial Narrow"/>
                <w:b/>
                <w:sz w:val="20"/>
              </w:rPr>
            </w:pPr>
            <w:r w:rsidRPr="009F79B5">
              <w:rPr>
                <w:rFonts w:ascii="Arial Narrow" w:hAnsi="Arial Narrow"/>
                <w:b/>
                <w:sz w:val="20"/>
              </w:rPr>
              <w:t>Incremental QALYs</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center"/>
              <w:rPr>
                <w:rFonts w:ascii="Arial Narrow" w:hAnsi="Arial Narrow"/>
                <w:b/>
                <w:sz w:val="20"/>
              </w:rPr>
            </w:pPr>
            <w:r w:rsidRPr="009F79B5">
              <w:rPr>
                <w:rFonts w:ascii="Arial Narrow" w:hAnsi="Arial Narrow"/>
                <w:b/>
                <w:sz w:val="20"/>
              </w:rPr>
              <w:t>ICER</w:t>
            </w:r>
          </w:p>
        </w:tc>
      </w:tr>
      <w:tr w:rsidR="00950EAB" w:rsidRPr="009F79B5" w:rsidTr="00A045E5">
        <w:tc>
          <w:tcPr>
            <w:tcW w:w="2793" w:type="pct"/>
            <w:gridSpan w:val="2"/>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Base case </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1179"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Time horizon </w:t>
            </w:r>
            <w:r w:rsidRPr="009F79B5">
              <w:rPr>
                <w:rFonts w:ascii="Arial Narrow" w:hAnsi="Arial Narrow"/>
                <w:sz w:val="20"/>
              </w:rPr>
              <w:br/>
              <w:t>(base case: 50 years)</w:t>
            </w: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#1: 30 years</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1179" w:type="pct"/>
            <w:tcBorders>
              <w:top w:val="single" w:sz="4" w:space="0" w:color="auto"/>
              <w:left w:val="single" w:sz="4" w:space="0" w:color="auto"/>
              <w:bottom w:val="single" w:sz="4" w:space="0" w:color="auto"/>
              <w:right w:val="single" w:sz="4" w:space="0" w:color="auto"/>
            </w:tcBorders>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 of patients with mild CHC </w:t>
            </w:r>
            <w:r w:rsidRPr="009F79B5">
              <w:rPr>
                <w:rFonts w:ascii="Arial Narrow" w:hAnsi="Arial Narrow"/>
                <w:sz w:val="20"/>
              </w:rPr>
              <w:br/>
              <w:t>(base case: 47% (the remaining 53% with moderate CHC))</w:t>
            </w: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#2: 70% (the remaining 30% with moderate CHC, as </w:t>
            </w:r>
            <w:r w:rsidR="00C62256" w:rsidRPr="009F79B5">
              <w:rPr>
                <w:rFonts w:ascii="Arial Narrow" w:hAnsi="Arial Narrow"/>
                <w:sz w:val="20"/>
              </w:rPr>
              <w:t>estimated</w:t>
            </w:r>
            <w:r w:rsidRPr="009F79B5">
              <w:rPr>
                <w:rFonts w:ascii="Arial Narrow" w:hAnsi="Arial Narrow"/>
                <w:sz w:val="20"/>
              </w:rPr>
              <w:t xml:space="preserve"> in Dore et al 2014 and Sievert et al 2014</w:t>
            </w:r>
            <w:r w:rsidR="00166322" w:rsidRPr="009F79B5">
              <w:rPr>
                <w:rFonts w:ascii="Arial Narrow" w:hAnsi="Arial Narrow"/>
                <w:noProof/>
                <w:sz w:val="20"/>
                <w:vertAlign w:val="superscript"/>
              </w:rPr>
              <w:t>11, 12</w:t>
            </w:r>
            <w:r w:rsidRPr="009F79B5">
              <w:rPr>
                <w:rFonts w:ascii="Arial Narrow" w:hAnsi="Arial Narrow"/>
                <w:sz w:val="20"/>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1179" w:type="pct"/>
            <w:vMerge w:val="restart"/>
            <w:tcBorders>
              <w:top w:val="single" w:sz="4" w:space="0" w:color="auto"/>
              <w:left w:val="single" w:sz="4" w:space="0" w:color="auto"/>
              <w:right w:val="single" w:sz="4" w:space="0" w:color="auto"/>
            </w:tcBorders>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Transition probability between early health states </w:t>
            </w:r>
            <w:r w:rsidRPr="009F79B5">
              <w:rPr>
                <w:rFonts w:ascii="Arial Narrow" w:hAnsi="Arial Narrow"/>
                <w:sz w:val="20"/>
              </w:rPr>
              <w:br/>
              <w:t>(base case: mild to moderate: 0.041; moderate to severe: 0.073)</w:t>
            </w: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#3: The lowest estimates in the literature (mild to moderate: 0.025; moderate to cirrhosis: 0.010)</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rPr>
          <w:trHeight w:val="275"/>
        </w:trPr>
        <w:tc>
          <w:tcPr>
            <w:tcW w:w="1179" w:type="pct"/>
            <w:vMerge/>
            <w:tcBorders>
              <w:left w:val="single" w:sz="4" w:space="0" w:color="auto"/>
              <w:right w:val="single" w:sz="4" w:space="0" w:color="auto"/>
            </w:tcBorders>
          </w:tcPr>
          <w:p w:rsidR="00950EAB" w:rsidRPr="009F79B5" w:rsidRDefault="00950EAB" w:rsidP="00530516">
            <w:pPr>
              <w:keepNext/>
              <w:jc w:val="left"/>
              <w:rPr>
                <w:rFonts w:ascii="Arial Narrow" w:hAnsi="Arial Narrow"/>
                <w:sz w:val="20"/>
              </w:rPr>
            </w:pPr>
          </w:p>
        </w:tc>
        <w:tc>
          <w:tcPr>
            <w:tcW w:w="1614" w:type="pct"/>
            <w:tcBorders>
              <w:top w:val="single" w:sz="4" w:space="0" w:color="auto"/>
              <w:left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#4: NICE estimates (mild to moderate: 0.025; moderate to cirrhosis: 0.037)</w:t>
            </w:r>
          </w:p>
        </w:tc>
        <w:tc>
          <w:tcPr>
            <w:tcW w:w="764" w:type="pct"/>
            <w:tcBorders>
              <w:top w:val="single" w:sz="4" w:space="0" w:color="auto"/>
              <w:left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right w:val="single" w:sz="4" w:space="0" w:color="auto"/>
            </w:tcBorders>
            <w:vAlign w:val="center"/>
          </w:tcPr>
          <w:p w:rsidR="00950EAB" w:rsidRPr="005D6D35" w:rsidRDefault="00950EAB" w:rsidP="00530516">
            <w:pPr>
              <w:keepNext/>
              <w:jc w:val="right"/>
              <w:rPr>
                <w:rFonts w:ascii="Arial Narrow" w:hAnsi="Arial Narrow"/>
                <w:b/>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1179" w:type="pct"/>
            <w:vMerge w:val="restart"/>
            <w:tcBorders>
              <w:top w:val="single" w:sz="4" w:space="0" w:color="auto"/>
              <w:left w:val="single" w:sz="4" w:space="0" w:color="auto"/>
              <w:right w:val="single" w:sz="4" w:space="0" w:color="auto"/>
            </w:tcBorders>
          </w:tcPr>
          <w:p w:rsidR="00950EAB" w:rsidRPr="009F79B5" w:rsidRDefault="00950EAB" w:rsidP="00530516">
            <w:pPr>
              <w:keepNext/>
              <w:jc w:val="left"/>
              <w:rPr>
                <w:rFonts w:ascii="Arial Narrow" w:hAnsi="Arial Narrow"/>
                <w:sz w:val="20"/>
              </w:rPr>
            </w:pPr>
            <w:r w:rsidRPr="009F79B5">
              <w:rPr>
                <w:rFonts w:ascii="Arial Narrow" w:hAnsi="Arial Narrow"/>
                <w:sz w:val="20"/>
              </w:rPr>
              <w:t xml:space="preserve">Utility gain due to SVR </w:t>
            </w:r>
            <w:r w:rsidRPr="009F79B5">
              <w:rPr>
                <w:rFonts w:ascii="Arial Narrow" w:hAnsi="Arial Narrow"/>
                <w:sz w:val="20"/>
              </w:rPr>
              <w:br/>
              <w:t>(base case: 0.05-0.11)</w:t>
            </w: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#5: 0</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1179" w:type="pct"/>
            <w:vMerge/>
            <w:tcBorders>
              <w:left w:val="single" w:sz="4" w:space="0" w:color="auto"/>
              <w:right w:val="single" w:sz="4" w:space="0" w:color="auto"/>
            </w:tcBorders>
          </w:tcPr>
          <w:p w:rsidR="00950EAB" w:rsidRPr="009F79B5" w:rsidRDefault="00950EAB" w:rsidP="00530516">
            <w:pPr>
              <w:keepNext/>
              <w:jc w:val="left"/>
              <w:rPr>
                <w:rFonts w:ascii="Arial Narrow" w:hAnsi="Arial Narrow"/>
                <w:sz w:val="20"/>
              </w:rPr>
            </w:pPr>
          </w:p>
        </w:tc>
        <w:tc>
          <w:tcPr>
            <w:tcW w:w="1614" w:type="pct"/>
            <w:tcBorders>
              <w:top w:val="single" w:sz="4" w:space="0" w:color="auto"/>
              <w:left w:val="single" w:sz="4" w:space="0" w:color="auto"/>
              <w:bottom w:val="single" w:sz="4" w:space="0" w:color="auto"/>
              <w:right w:val="single" w:sz="4" w:space="0" w:color="auto"/>
            </w:tcBorders>
            <w:vAlign w:val="center"/>
          </w:tcPr>
          <w:p w:rsidR="00950EAB" w:rsidRPr="009F79B5" w:rsidRDefault="00950EAB" w:rsidP="00530516">
            <w:pPr>
              <w:keepNext/>
              <w:jc w:val="left"/>
              <w:rPr>
                <w:rFonts w:ascii="Arial Narrow" w:hAnsi="Arial Narrow"/>
                <w:sz w:val="20"/>
              </w:rPr>
            </w:pPr>
            <w:r w:rsidRPr="009F79B5">
              <w:rPr>
                <w:rFonts w:ascii="Arial Narrow" w:hAnsi="Arial Narrow"/>
                <w:sz w:val="20"/>
              </w:rPr>
              <w:t>#6: 0.041</w:t>
            </w:r>
            <w:r w:rsidR="002B4581" w:rsidRPr="009F79B5">
              <w:rPr>
                <w:rFonts w:ascii="Arial Narrow" w:hAnsi="Arial Narrow"/>
                <w:sz w:val="20"/>
              </w:rPr>
              <w:t xml:space="preserve"> (as accepted by the NICE)</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sz w:val="20"/>
              </w:rPr>
            </w:pPr>
            <w:r w:rsidRPr="005D6D35">
              <w:rPr>
                <w:rFonts w:ascii="Arial Narrow" w:hAnsi="Arial Narrow"/>
                <w:color w:val="000000"/>
                <w:sz w:val="20"/>
              </w:rPr>
              <w:t>$</w:t>
            </w:r>
            <w:r w:rsidR="00BD7647">
              <w:rPr>
                <w:rFonts w:ascii="Arial Narrow" w:hAnsi="Arial Narrow"/>
                <w:noProof/>
                <w:color w:val="000000"/>
                <w:sz w:val="20"/>
                <w:highlight w:val="black"/>
              </w:rPr>
              <w:t>''''''''''''''''</w:t>
            </w:r>
          </w:p>
        </w:tc>
      </w:tr>
      <w:tr w:rsidR="00950EAB" w:rsidRPr="009F79B5" w:rsidTr="00A045E5">
        <w:tc>
          <w:tcPr>
            <w:tcW w:w="2793" w:type="pct"/>
            <w:gridSpan w:val="2"/>
            <w:tcBorders>
              <w:left w:val="single" w:sz="4" w:space="0" w:color="auto"/>
              <w:bottom w:val="single" w:sz="4" w:space="0" w:color="auto"/>
              <w:right w:val="single" w:sz="4" w:space="0" w:color="auto"/>
            </w:tcBorders>
          </w:tcPr>
          <w:p w:rsidR="00950EAB" w:rsidRPr="009F79B5" w:rsidRDefault="00950EAB" w:rsidP="00530516">
            <w:pPr>
              <w:keepNext/>
              <w:jc w:val="left"/>
              <w:rPr>
                <w:rFonts w:ascii="Arial Narrow" w:hAnsi="Arial Narrow"/>
                <w:b/>
                <w:sz w:val="20"/>
              </w:rPr>
            </w:pPr>
            <w:r w:rsidRPr="009F79B5">
              <w:rPr>
                <w:rFonts w:ascii="Arial Narrow" w:hAnsi="Arial Narrow"/>
                <w:b/>
                <w:sz w:val="20"/>
              </w:rPr>
              <w:t xml:space="preserve">Multivariate </w:t>
            </w:r>
            <w:proofErr w:type="spellStart"/>
            <w:r w:rsidRPr="009F79B5">
              <w:rPr>
                <w:rFonts w:ascii="Arial Narrow" w:hAnsi="Arial Narrow"/>
                <w:b/>
                <w:sz w:val="20"/>
              </w:rPr>
              <w:t>analysis</w:t>
            </w:r>
            <w:r w:rsidRPr="009F79B5">
              <w:rPr>
                <w:rFonts w:ascii="Arial Narrow" w:hAnsi="Arial Narrow"/>
                <w:b/>
                <w:sz w:val="20"/>
                <w:vertAlign w:val="superscript"/>
              </w:rPr>
              <w:t>b</w:t>
            </w:r>
            <w:proofErr w:type="spellEnd"/>
            <w:r w:rsidRPr="009F79B5">
              <w:rPr>
                <w:rFonts w:ascii="Arial Narrow" w:hAnsi="Arial Narrow"/>
                <w:b/>
                <w:sz w:val="20"/>
                <w:vertAlign w:val="superscript"/>
              </w:rPr>
              <w:t xml:space="preserve"> </w:t>
            </w:r>
            <w:r w:rsidRPr="009F79B5">
              <w:rPr>
                <w:rFonts w:ascii="Arial Narrow" w:hAnsi="Arial Narrow"/>
                <w:b/>
                <w:sz w:val="20"/>
              </w:rPr>
              <w:t>(#1 &amp; #2 &amp; #4 &amp; #6)</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color w:val="000000"/>
                <w:sz w:val="20"/>
              </w:rPr>
            </w:pPr>
            <w:r w:rsidRPr="005D6D35">
              <w:rPr>
                <w:rFonts w:ascii="Arial Narrow" w:hAnsi="Arial Narrow"/>
                <w:b/>
                <w:color w:val="000000"/>
                <w:sz w:val="20"/>
              </w:rPr>
              <w:t>$</w:t>
            </w:r>
            <w:r w:rsidR="00BD7647">
              <w:rPr>
                <w:rFonts w:ascii="Arial Narrow" w:hAnsi="Arial Narrow"/>
                <w:b/>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vAlign w:val="center"/>
          </w:tcPr>
          <w:p w:rsidR="00950EAB" w:rsidRPr="00BD7647" w:rsidRDefault="00BD7647" w:rsidP="00530516">
            <w:pPr>
              <w:keepNext/>
              <w:jc w:val="center"/>
              <w:rPr>
                <w:rFonts w:ascii="Arial Narrow" w:hAnsi="Arial Narrow"/>
                <w:b/>
                <w:color w:val="000000"/>
                <w:sz w:val="20"/>
                <w:highlight w:val="black"/>
              </w:rPr>
            </w:pPr>
            <w:r>
              <w:rPr>
                <w:rFonts w:ascii="Arial Narrow" w:hAnsi="Arial Narrow"/>
                <w:b/>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950EAB" w:rsidRPr="005D6D35" w:rsidRDefault="00950EAB" w:rsidP="00530516">
            <w:pPr>
              <w:keepNext/>
              <w:jc w:val="right"/>
              <w:rPr>
                <w:rFonts w:ascii="Arial Narrow" w:hAnsi="Arial Narrow"/>
                <w:b/>
                <w:color w:val="000000"/>
                <w:sz w:val="20"/>
              </w:rPr>
            </w:pPr>
            <w:r w:rsidRPr="005D6D35">
              <w:rPr>
                <w:rFonts w:ascii="Arial Narrow" w:hAnsi="Arial Narrow"/>
                <w:b/>
                <w:color w:val="000000"/>
                <w:sz w:val="20"/>
              </w:rPr>
              <w:t>$</w:t>
            </w:r>
            <w:r w:rsidR="00BD7647">
              <w:rPr>
                <w:rFonts w:ascii="Arial Narrow" w:hAnsi="Arial Narrow"/>
                <w:b/>
                <w:noProof/>
                <w:color w:val="000000"/>
                <w:sz w:val="20"/>
                <w:highlight w:val="black"/>
              </w:rPr>
              <w:t>'''''''''''''</w:t>
            </w:r>
          </w:p>
        </w:tc>
      </w:tr>
    </w:tbl>
    <w:p w:rsidR="00950EAB" w:rsidRPr="009F79B5" w:rsidRDefault="00950EAB" w:rsidP="00530516">
      <w:pPr>
        <w:pStyle w:val="TableFooter"/>
        <w:keepNext/>
        <w:ind w:left="709"/>
      </w:pPr>
      <w:r w:rsidRPr="009F79B5">
        <w:t xml:space="preserve">CHC = chronic hepatitis C; ICER = incremental cost-effectiveness ratio; QALY = quality-adjusted life year; SVR = sustained </w:t>
      </w:r>
      <w:proofErr w:type="spellStart"/>
      <w:r w:rsidRPr="009F79B5">
        <w:t>virologic</w:t>
      </w:r>
      <w:proofErr w:type="spellEnd"/>
      <w:r w:rsidRPr="009F79B5">
        <w:t xml:space="preserve"> response</w:t>
      </w:r>
      <w:r w:rsidR="00EE105A">
        <w:t xml:space="preserve">; </w:t>
      </w:r>
      <w:r w:rsidRPr="009F79B5">
        <w:rPr>
          <w:vertAlign w:val="superscript"/>
        </w:rPr>
        <w:t>a</w:t>
      </w:r>
      <w:r w:rsidRPr="009F79B5">
        <w:t xml:space="preserve"> SVR result from Study 3017 (97.4%) is used in the analysis</w:t>
      </w:r>
    </w:p>
    <w:p w:rsidR="00950EAB" w:rsidRPr="009F79B5" w:rsidRDefault="00950EAB" w:rsidP="00950EAB">
      <w:pPr>
        <w:pStyle w:val="ListParagraph"/>
        <w:widowControl/>
        <w:rPr>
          <w:rFonts w:ascii="Arial Narrow" w:hAnsi="Arial Narrow"/>
          <w:sz w:val="18"/>
          <w:szCs w:val="18"/>
        </w:rPr>
      </w:pPr>
    </w:p>
    <w:p w:rsidR="00950EAB" w:rsidRPr="009F79B5" w:rsidRDefault="00950EAB" w:rsidP="00950EAB">
      <w:pPr>
        <w:widowControl/>
        <w:rPr>
          <w:szCs w:val="22"/>
        </w:rPr>
      </w:pPr>
    </w:p>
    <w:p w:rsidR="00051A03" w:rsidRPr="009F79B5" w:rsidRDefault="00D14A1D" w:rsidP="00051A03">
      <w:pPr>
        <w:pStyle w:val="ListParagraph"/>
        <w:widowControl/>
        <w:numPr>
          <w:ilvl w:val="1"/>
          <w:numId w:val="4"/>
        </w:numPr>
        <w:rPr>
          <w:szCs w:val="22"/>
        </w:rPr>
      </w:pPr>
      <w:r w:rsidRPr="009F79B5">
        <w:t xml:space="preserve">The </w:t>
      </w:r>
      <w:r w:rsidR="00FC7B20" w:rsidRPr="009F79B5">
        <w:t xml:space="preserve">relationship between the ICER and the price of a 12-week SMV+SOF treatment was explored for the base case and </w:t>
      </w:r>
      <w:r w:rsidR="00950EAB" w:rsidRPr="009F79B5">
        <w:t>a sensitivity analysis, using the assumptions/inputs in the multivariate sensitivity analysis presented above in Table 10</w:t>
      </w:r>
      <w:r w:rsidR="00FC7B20" w:rsidRPr="009F79B5">
        <w:t xml:space="preserve">.  </w:t>
      </w:r>
      <w:r w:rsidR="00950EAB" w:rsidRPr="009F79B5">
        <w:t xml:space="preserve">The results indicated that the ICER </w:t>
      </w:r>
      <w:r w:rsidR="00FC7B20" w:rsidRPr="009F79B5">
        <w:t xml:space="preserve">in the sensitivity analysis </w:t>
      </w:r>
      <w:r w:rsidR="00BB6B45">
        <w:t xml:space="preserve">would vary from </w:t>
      </w:r>
      <w:r w:rsidR="00530516">
        <w:t>less than</w:t>
      </w:r>
      <w:r w:rsidR="00BB6B45">
        <w:t xml:space="preserve"> $</w:t>
      </w:r>
      <w:r w:rsidR="00530516">
        <w:t xml:space="preserve">15,000 </w:t>
      </w:r>
      <w:r w:rsidR="00BB6B45">
        <w:t xml:space="preserve">per </w:t>
      </w:r>
      <w:r w:rsidR="00950EAB" w:rsidRPr="009F79B5">
        <w:t xml:space="preserve">quality-adjusted life year (QALY) to </w:t>
      </w:r>
      <w:r w:rsidR="00530516" w:rsidRPr="009F79B5">
        <w:t>$</w:t>
      </w:r>
      <w:r w:rsidR="00530516">
        <w:t xml:space="preserve">45,000 to $75,000 </w:t>
      </w:r>
      <w:r w:rsidR="00950EAB" w:rsidRPr="009F79B5">
        <w:t xml:space="preserve">QALY, if the regimen price varied from </w:t>
      </w:r>
      <w:r w:rsidR="005D6D35">
        <w:t xml:space="preserve">($15,000-$45,000) </w:t>
      </w:r>
      <w:r w:rsidR="00950EAB" w:rsidRPr="009F79B5">
        <w:t>to</w:t>
      </w:r>
      <w:r w:rsidR="005D6D35">
        <w:t xml:space="preserve"> ($45,000- </w:t>
      </w:r>
      <w:r w:rsidR="00C33FCC">
        <w:t>$75,000)</w:t>
      </w:r>
      <w:r w:rsidR="00950EAB" w:rsidRPr="009F79B5">
        <w:t xml:space="preserve">. </w:t>
      </w:r>
      <w:r w:rsidR="00051A03" w:rsidRPr="009F79B5">
        <w:rPr>
          <w:szCs w:val="22"/>
        </w:rPr>
        <w:t>The ESC noted that a large opportunity cost for all-oral interferon-free HCV regimens, including SMV/SOF, is expected. The listing of interferon-free HCV regimens would potentially reduce access to future</w:t>
      </w:r>
      <w:r w:rsidR="00051A03" w:rsidRPr="009F79B5">
        <w:t xml:space="preserve"> </w:t>
      </w:r>
      <w:r w:rsidR="00051A03" w:rsidRPr="009F79B5">
        <w:rPr>
          <w:szCs w:val="22"/>
        </w:rPr>
        <w:t xml:space="preserve">cost-effective medicines. Given this, at the March 2015 PBAC meeting, the PBAC advised that new interferon-free regimens would be cost-effective at $15,000/QALY, the lower end of the ICER range that PBAC has accepted for </w:t>
      </w:r>
      <w:proofErr w:type="spellStart"/>
      <w:r w:rsidR="004A3269" w:rsidRPr="009F79B5">
        <w:rPr>
          <w:szCs w:val="22"/>
        </w:rPr>
        <w:t>telaprevir</w:t>
      </w:r>
      <w:proofErr w:type="spellEnd"/>
      <w:r w:rsidR="004A3269" w:rsidRPr="009F79B5">
        <w:rPr>
          <w:szCs w:val="22"/>
        </w:rPr>
        <w:t xml:space="preserve"> or </w:t>
      </w:r>
      <w:proofErr w:type="spellStart"/>
      <w:r w:rsidR="004A3269" w:rsidRPr="009F79B5">
        <w:rPr>
          <w:szCs w:val="22"/>
        </w:rPr>
        <w:t>boceprevir</w:t>
      </w:r>
      <w:proofErr w:type="spellEnd"/>
      <w:r w:rsidR="004A3269" w:rsidRPr="009F79B5">
        <w:rPr>
          <w:szCs w:val="22"/>
        </w:rPr>
        <w:t xml:space="preserve">. </w:t>
      </w:r>
    </w:p>
    <w:p w:rsidR="00950EAB" w:rsidRPr="009F79B5" w:rsidRDefault="00950EAB" w:rsidP="00950EAB">
      <w:pPr>
        <w:pStyle w:val="ListParagraph"/>
        <w:widowControl/>
      </w:pPr>
    </w:p>
    <w:p w:rsidR="00950EAB" w:rsidRPr="009F79B5" w:rsidRDefault="00950EAB" w:rsidP="00950EAB">
      <w:pPr>
        <w:pStyle w:val="TableHeader"/>
        <w:keepNext/>
        <w:ind w:left="709"/>
      </w:pPr>
      <w:r w:rsidRPr="009F79B5">
        <w:t xml:space="preserve">Figure 2: Relationship between total regimen cost and the ICER for treatment-naïve, non-cirrhotic </w:t>
      </w:r>
      <w:proofErr w:type="spellStart"/>
      <w:r w:rsidRPr="009F79B5">
        <w:t>patients</w:t>
      </w:r>
      <w:r w:rsidRPr="009F79B5">
        <w:rPr>
          <w:vertAlign w:val="superscript"/>
        </w:rPr>
        <w:t>a</w:t>
      </w:r>
      <w:proofErr w:type="spellEnd"/>
      <w:r w:rsidRPr="009F79B5">
        <w:rPr>
          <w:vertAlign w:val="superscript"/>
        </w:rPr>
        <w:t xml:space="preserve">, </w:t>
      </w:r>
      <w:proofErr w:type="gramStart"/>
      <w:r w:rsidRPr="009F79B5">
        <w:rPr>
          <w:vertAlign w:val="superscript"/>
        </w:rPr>
        <w:t>b</w:t>
      </w:r>
      <w:proofErr w:type="gramEnd"/>
    </w:p>
    <w:p w:rsidR="00EB48E1" w:rsidRDefault="00EB48E1" w:rsidP="00950EAB">
      <w:pPr>
        <w:pStyle w:val="TableFooter"/>
        <w:ind w:left="720"/>
      </w:pPr>
    </w:p>
    <w:p w:rsidR="00113193" w:rsidRPr="00113193" w:rsidRDefault="00113193" w:rsidP="00950EAB">
      <w:pPr>
        <w:pStyle w:val="TableFooter"/>
        <w:ind w:left="720"/>
        <w:rPr>
          <w:rFonts w:ascii="Arial" w:hAnsi="Arial"/>
          <w:sz w:val="22"/>
          <w:szCs w:val="22"/>
        </w:rPr>
      </w:pPr>
      <w:r w:rsidRPr="00113193">
        <w:rPr>
          <w:rFonts w:ascii="Arial" w:hAnsi="Arial"/>
          <w:sz w:val="22"/>
          <w:szCs w:val="22"/>
        </w:rPr>
        <w:t>[THIS FIGURE HAS BEEN REDACTED]</w:t>
      </w:r>
    </w:p>
    <w:p w:rsidR="00EB48E1" w:rsidRPr="009F79B5" w:rsidRDefault="00EB48E1" w:rsidP="00950EAB">
      <w:pPr>
        <w:pStyle w:val="TableFooter"/>
        <w:ind w:left="720"/>
      </w:pPr>
    </w:p>
    <w:p w:rsidR="00590C04" w:rsidRPr="009F79B5" w:rsidRDefault="00590C04" w:rsidP="00590C04">
      <w:pPr>
        <w:pStyle w:val="ListParagraph"/>
        <w:widowControl/>
        <w:numPr>
          <w:ilvl w:val="1"/>
          <w:numId w:val="4"/>
        </w:numPr>
        <w:rPr>
          <w:szCs w:val="22"/>
        </w:rPr>
      </w:pPr>
      <w:r w:rsidRPr="009F79B5">
        <w:rPr>
          <w:szCs w:val="22"/>
        </w:rPr>
        <w:t xml:space="preserve">While noting the sponsor’s proposal of a cost-minimisation analysis in the PSCR and reiterated in the pre-PBAC response, the PBAC disagreed with the sponsor’s discussion about the inputs and assumptions in the economic model presented in the submission. Overall, this economic model favoured </w:t>
      </w:r>
      <w:r w:rsidRPr="009F79B5">
        <w:t>SMV</w:t>
      </w:r>
      <w:r w:rsidRPr="009F79B5">
        <w:rPr>
          <w:szCs w:val="22"/>
        </w:rPr>
        <w:t xml:space="preserve"> and that applying more conservative inputs or scenarios increased the ICERs/QALY to a range higher than the PBAC considered cost-effective for the treatment of CHC.</w:t>
      </w:r>
    </w:p>
    <w:p w:rsidR="00590C04" w:rsidRPr="009F79B5" w:rsidRDefault="00590C04" w:rsidP="00590C04">
      <w:pPr>
        <w:pStyle w:val="PBACHeading1"/>
        <w:numPr>
          <w:ilvl w:val="0"/>
          <w:numId w:val="0"/>
        </w:numPr>
        <w:ind w:left="720" w:hanging="720"/>
      </w:pPr>
    </w:p>
    <w:p w:rsidR="00EB48E1" w:rsidRPr="009F79B5" w:rsidRDefault="00590C04" w:rsidP="00274479">
      <w:pPr>
        <w:pStyle w:val="ListParagraph"/>
        <w:widowControl/>
        <w:numPr>
          <w:ilvl w:val="1"/>
          <w:numId w:val="4"/>
        </w:numPr>
        <w:rPr>
          <w:szCs w:val="22"/>
        </w:rPr>
      </w:pPr>
      <w:r w:rsidRPr="009F79B5">
        <w:rPr>
          <w:szCs w:val="22"/>
        </w:rPr>
        <w:t>The PBAC considered</w:t>
      </w:r>
      <w:r w:rsidR="00274479" w:rsidRPr="009F79B5">
        <w:rPr>
          <w:szCs w:val="22"/>
        </w:rPr>
        <w:t xml:space="preserve"> a cost-minimisation was appropriate,</w:t>
      </w:r>
      <w:r w:rsidR="00E570EE" w:rsidRPr="009F79B5">
        <w:rPr>
          <w:szCs w:val="22"/>
        </w:rPr>
        <w:t xml:space="preserve"> as</w:t>
      </w:r>
      <w:r w:rsidR="00274479" w:rsidRPr="009F79B5">
        <w:rPr>
          <w:szCs w:val="22"/>
        </w:rPr>
        <w:t xml:space="preserve"> the clinical evidence </w:t>
      </w:r>
      <w:r w:rsidR="00E570EE" w:rsidRPr="009F79B5">
        <w:rPr>
          <w:szCs w:val="22"/>
        </w:rPr>
        <w:t>presented in the submission</w:t>
      </w:r>
      <w:r w:rsidR="00274479" w:rsidRPr="009F79B5">
        <w:rPr>
          <w:szCs w:val="22"/>
        </w:rPr>
        <w:t xml:space="preserve"> suggested that there is no basis on which to consider </w:t>
      </w:r>
      <w:r w:rsidR="00274479" w:rsidRPr="009F79B5">
        <w:rPr>
          <w:szCs w:val="22"/>
        </w:rPr>
        <w:lastRenderedPageBreak/>
        <w:t xml:space="preserve">that one course of SMV+ SOF was more effective than a course of treatment with other high efficacy/ low toxicity IFN-free regimen.  The cost-minimisation analysis and restriction will depend on the conditions set out in the final product information. </w:t>
      </w:r>
      <w:r w:rsidR="00EB48E1" w:rsidRPr="009F79B5">
        <w:rPr>
          <w:szCs w:val="22"/>
        </w:rPr>
        <w:t xml:space="preserve">The PBAC recalled from the March 2015 meeting, in consideration of CHC treatments, that: </w:t>
      </w:r>
    </w:p>
    <w:p w:rsidR="00EB48E1" w:rsidRPr="009F79B5" w:rsidRDefault="00EB48E1" w:rsidP="00EB48E1">
      <w:pPr>
        <w:pStyle w:val="ListParagraph"/>
        <w:widowControl/>
        <w:numPr>
          <w:ilvl w:val="1"/>
          <w:numId w:val="82"/>
        </w:numPr>
        <w:rPr>
          <w:szCs w:val="22"/>
        </w:rPr>
      </w:pPr>
      <w:proofErr w:type="gramStart"/>
      <w:r w:rsidRPr="009F79B5">
        <w:rPr>
          <w:szCs w:val="22"/>
        </w:rPr>
        <w:t>the</w:t>
      </w:r>
      <w:proofErr w:type="gramEnd"/>
      <w:r w:rsidRPr="009F79B5">
        <w:rPr>
          <w:szCs w:val="22"/>
        </w:rPr>
        <w:t xml:space="preserve"> cost of the entire treatment course should include the wholesale and pharmacy mark ups and dispensing fees associated with a General Schedule listing. </w:t>
      </w:r>
    </w:p>
    <w:p w:rsidR="00EB48E1" w:rsidRPr="009F79B5" w:rsidRDefault="00EB48E1" w:rsidP="00EB48E1">
      <w:pPr>
        <w:pStyle w:val="ListParagraph"/>
        <w:widowControl/>
        <w:numPr>
          <w:ilvl w:val="1"/>
          <w:numId w:val="82"/>
        </w:numPr>
        <w:rPr>
          <w:szCs w:val="22"/>
        </w:rPr>
      </w:pPr>
      <w:proofErr w:type="gramStart"/>
      <w:r w:rsidRPr="009F79B5">
        <w:rPr>
          <w:szCs w:val="22"/>
        </w:rPr>
        <w:t>the</w:t>
      </w:r>
      <w:proofErr w:type="gramEnd"/>
      <w:r w:rsidRPr="009F79B5">
        <w:rPr>
          <w:szCs w:val="22"/>
        </w:rPr>
        <w:t xml:space="preserve"> cost to achieve a SVR12 should be independent of the treatment duration and treatment dose considered to be appropriate to achieve a SVR in patients.</w:t>
      </w:r>
    </w:p>
    <w:p w:rsidR="00EB48E1" w:rsidRPr="00F30829" w:rsidRDefault="00E570EE" w:rsidP="00307604">
      <w:pPr>
        <w:pStyle w:val="ListParagraph"/>
        <w:widowControl/>
        <w:numPr>
          <w:ilvl w:val="1"/>
          <w:numId w:val="82"/>
        </w:numPr>
        <w:rPr>
          <w:szCs w:val="22"/>
        </w:rPr>
      </w:pPr>
      <w:proofErr w:type="gramStart"/>
      <w:r w:rsidRPr="009F79B5">
        <w:rPr>
          <w:snapToGrid/>
          <w:color w:val="000000"/>
          <w:szCs w:val="22"/>
          <w:lang w:eastAsia="en-AU"/>
        </w:rPr>
        <w:t>the</w:t>
      </w:r>
      <w:proofErr w:type="gramEnd"/>
      <w:r w:rsidRPr="009F79B5">
        <w:rPr>
          <w:snapToGrid/>
          <w:color w:val="000000"/>
          <w:szCs w:val="22"/>
          <w:lang w:eastAsia="en-AU"/>
        </w:rPr>
        <w:t xml:space="preserve"> l</w:t>
      </w:r>
      <w:r w:rsidR="00EB48E1" w:rsidRPr="009F79B5">
        <w:rPr>
          <w:snapToGrid/>
          <w:color w:val="000000"/>
          <w:szCs w:val="22"/>
          <w:lang w:eastAsia="en-AU"/>
        </w:rPr>
        <w:t xml:space="preserve">isting of DCV+SOF was recommended on the basis of acceptable cost effectiveness over no treatment, however the PBAC recommended that the price of a course of treatment should be the same as the price of a course of treatment with </w:t>
      </w:r>
      <w:proofErr w:type="spellStart"/>
      <w:r w:rsidR="00EB48E1" w:rsidRPr="009F79B5">
        <w:rPr>
          <w:snapToGrid/>
          <w:color w:val="000000"/>
          <w:szCs w:val="22"/>
          <w:lang w:eastAsia="en-AU"/>
        </w:rPr>
        <w:t>ledipasvir</w:t>
      </w:r>
      <w:proofErr w:type="spellEnd"/>
      <w:r w:rsidR="00EB48E1" w:rsidRPr="009F79B5">
        <w:rPr>
          <w:snapToGrid/>
          <w:color w:val="000000"/>
          <w:szCs w:val="22"/>
          <w:lang w:eastAsia="en-AU"/>
        </w:rPr>
        <w:t>/</w:t>
      </w:r>
      <w:proofErr w:type="spellStart"/>
      <w:r w:rsidR="00EB48E1" w:rsidRPr="009F79B5">
        <w:rPr>
          <w:snapToGrid/>
          <w:color w:val="000000"/>
          <w:szCs w:val="22"/>
          <w:lang w:eastAsia="en-AU"/>
        </w:rPr>
        <w:t>sofosbuvir</w:t>
      </w:r>
      <w:proofErr w:type="spellEnd"/>
      <w:r w:rsidR="00EB48E1" w:rsidRPr="009F79B5">
        <w:rPr>
          <w:snapToGrid/>
          <w:color w:val="000000"/>
          <w:szCs w:val="22"/>
          <w:lang w:eastAsia="en-AU"/>
        </w:rPr>
        <w:t xml:space="preserve">. </w:t>
      </w:r>
    </w:p>
    <w:p w:rsidR="00F30829" w:rsidRPr="009F79B5" w:rsidRDefault="00F30829" w:rsidP="00F30829">
      <w:pPr>
        <w:pStyle w:val="ListParagraph"/>
        <w:widowControl/>
        <w:ind w:left="1440"/>
        <w:rPr>
          <w:szCs w:val="22"/>
        </w:rPr>
      </w:pPr>
    </w:p>
    <w:p w:rsidR="00950EAB" w:rsidRPr="009F79B5" w:rsidRDefault="00950EAB" w:rsidP="0094704F">
      <w:pPr>
        <w:pStyle w:val="Heading2"/>
        <w:rPr>
          <w:i/>
        </w:rPr>
      </w:pPr>
      <w:bookmarkStart w:id="14" w:name="_Toc419380202"/>
      <w:r w:rsidRPr="009F79B5">
        <w:rPr>
          <w:i/>
        </w:rPr>
        <w:t>Drug cost/patient/course</w:t>
      </w:r>
      <w:bookmarkEnd w:id="14"/>
    </w:p>
    <w:p w:rsidR="00950EAB" w:rsidRPr="009F79B5" w:rsidRDefault="00950EAB" w:rsidP="00950EAB">
      <w:pPr>
        <w:widowControl/>
        <w:rPr>
          <w:szCs w:val="22"/>
        </w:rPr>
      </w:pPr>
    </w:p>
    <w:p w:rsidR="00950EAB" w:rsidRPr="009F79B5" w:rsidRDefault="00950EAB" w:rsidP="00950EAB">
      <w:pPr>
        <w:pStyle w:val="ListParagraph"/>
        <w:widowControl/>
        <w:numPr>
          <w:ilvl w:val="1"/>
          <w:numId w:val="4"/>
        </w:numPr>
        <w:rPr>
          <w:szCs w:val="22"/>
        </w:rPr>
      </w:pPr>
      <w:r w:rsidRPr="009F79B5">
        <w:rPr>
          <w:szCs w:val="22"/>
        </w:rPr>
        <w:t>Cost of SMV+SOF: $</w:t>
      </w:r>
      <w:r w:rsidR="00BD7647">
        <w:rPr>
          <w:noProof/>
          <w:color w:val="000000"/>
          <w:szCs w:val="22"/>
          <w:highlight w:val="black"/>
        </w:rPr>
        <w:t>''''''''''''''''''''''''''</w:t>
      </w:r>
      <w:r w:rsidRPr="009F79B5">
        <w:rPr>
          <w:szCs w:val="22"/>
        </w:rPr>
        <w:t xml:space="preserve"> for a 12 week course.</w:t>
      </w:r>
    </w:p>
    <w:p w:rsidR="00490A21" w:rsidRPr="009F79B5" w:rsidRDefault="00950EAB" w:rsidP="00A27117">
      <w:pPr>
        <w:pStyle w:val="ListParagraph"/>
        <w:widowControl/>
        <w:rPr>
          <w:szCs w:val="22"/>
        </w:rPr>
      </w:pPr>
      <w:r w:rsidRPr="009F79B5">
        <w:rPr>
          <w:szCs w:val="22"/>
        </w:rPr>
        <w:t xml:space="preserve">As the cost of </w:t>
      </w:r>
      <w:proofErr w:type="spellStart"/>
      <w:r w:rsidRPr="009F79B5">
        <w:rPr>
          <w:szCs w:val="22"/>
        </w:rPr>
        <w:t>sofosbuvir</w:t>
      </w:r>
      <w:proofErr w:type="spellEnd"/>
      <w:r w:rsidRPr="009F79B5">
        <w:rPr>
          <w:szCs w:val="22"/>
        </w:rPr>
        <w:t xml:space="preserve"> is not known, an assumed price for SMV+SOF was used in the submission. The cost of </w:t>
      </w:r>
      <w:proofErr w:type="spellStart"/>
      <w:r w:rsidRPr="009F79B5">
        <w:rPr>
          <w:szCs w:val="22"/>
        </w:rPr>
        <w:t>simeprevir</w:t>
      </w:r>
      <w:proofErr w:type="spellEnd"/>
      <w:r w:rsidRPr="009F79B5">
        <w:rPr>
          <w:szCs w:val="22"/>
        </w:rPr>
        <w:t xml:space="preserve"> was $</w:t>
      </w:r>
      <w:r w:rsidR="00BD7647">
        <w:rPr>
          <w:noProof/>
          <w:color w:val="000000"/>
          <w:szCs w:val="22"/>
          <w:highlight w:val="black"/>
        </w:rPr>
        <w:t>'''''''''''''''''''''''</w:t>
      </w:r>
      <w:r w:rsidRPr="009F79B5">
        <w:rPr>
          <w:szCs w:val="22"/>
        </w:rPr>
        <w:t xml:space="preserve"> (Public) and $</w:t>
      </w:r>
      <w:r w:rsidR="00BD7647">
        <w:rPr>
          <w:noProof/>
          <w:color w:val="000000"/>
          <w:szCs w:val="22"/>
          <w:highlight w:val="black"/>
        </w:rPr>
        <w:t>''''''''''''''''''''''</w:t>
      </w:r>
      <w:r w:rsidRPr="009F79B5">
        <w:rPr>
          <w:szCs w:val="22"/>
        </w:rPr>
        <w:t xml:space="preserve"> (Private) for a 12 week course, based on the current DPMQs for </w:t>
      </w:r>
      <w:proofErr w:type="spellStart"/>
      <w:r w:rsidRPr="009F79B5">
        <w:rPr>
          <w:szCs w:val="22"/>
        </w:rPr>
        <w:t>simeprevir</w:t>
      </w:r>
      <w:proofErr w:type="spellEnd"/>
      <w:r w:rsidRPr="009F79B5">
        <w:rPr>
          <w:szCs w:val="22"/>
        </w:rPr>
        <w:t xml:space="preserve"> listed on the PBS.</w:t>
      </w:r>
    </w:p>
    <w:p w:rsidR="00B60939" w:rsidRPr="009F79B5" w:rsidRDefault="00B60939" w:rsidP="001456B0">
      <w:pPr>
        <w:rPr>
          <w:szCs w:val="22"/>
        </w:rPr>
      </w:pPr>
    </w:p>
    <w:p w:rsidR="00B60939" w:rsidRPr="009F79B5" w:rsidRDefault="00B60939" w:rsidP="002C2775">
      <w:pPr>
        <w:pStyle w:val="Heading2"/>
        <w:rPr>
          <w:i/>
        </w:rPr>
      </w:pPr>
      <w:bookmarkStart w:id="15" w:name="_Toc419380203"/>
      <w:r w:rsidRPr="009F79B5">
        <w:rPr>
          <w:i/>
        </w:rPr>
        <w:t>Estimated PBS usage &amp; financial implications</w:t>
      </w:r>
      <w:bookmarkEnd w:id="15"/>
    </w:p>
    <w:p w:rsidR="00B60939" w:rsidRPr="009F79B5" w:rsidRDefault="00B60939" w:rsidP="00B60939">
      <w:pPr>
        <w:ind w:left="720" w:hanging="720"/>
        <w:rPr>
          <w:b/>
          <w:i/>
          <w:szCs w:val="22"/>
        </w:rPr>
      </w:pPr>
    </w:p>
    <w:p w:rsidR="004A442A" w:rsidRPr="009F79B5" w:rsidRDefault="004A442A" w:rsidP="004A442A">
      <w:pPr>
        <w:pStyle w:val="ListParagraph"/>
        <w:widowControl/>
        <w:numPr>
          <w:ilvl w:val="1"/>
          <w:numId w:val="4"/>
        </w:numPr>
        <w:rPr>
          <w:szCs w:val="22"/>
        </w:rPr>
      </w:pPr>
      <w:r w:rsidRPr="009F79B5">
        <w:t xml:space="preserve">This submission </w:t>
      </w:r>
      <w:r w:rsidR="004D61A5" w:rsidRPr="009F79B5">
        <w:t>was not</w:t>
      </w:r>
      <w:r w:rsidRPr="009F79B5">
        <w:t xml:space="preserve"> considered by DUSC</w:t>
      </w:r>
      <w:r w:rsidRPr="009F79B5">
        <w:rPr>
          <w:color w:val="0070C0"/>
        </w:rPr>
        <w:t>.</w:t>
      </w:r>
    </w:p>
    <w:p w:rsidR="004A442A" w:rsidRPr="009F79B5" w:rsidRDefault="004A442A" w:rsidP="004A442A">
      <w:pPr>
        <w:pStyle w:val="ListParagraph"/>
        <w:widowControl/>
      </w:pPr>
      <w:r w:rsidRPr="009F79B5">
        <w:t xml:space="preserve">The submission used an epidemiological approach to estimate the financial implications of listing </w:t>
      </w:r>
      <w:proofErr w:type="spellStart"/>
      <w:r w:rsidRPr="009F79B5">
        <w:t>simeprevir</w:t>
      </w:r>
      <w:proofErr w:type="spellEnd"/>
      <w:r w:rsidRPr="009F79B5">
        <w:t xml:space="preserve"> for use in combination with </w:t>
      </w:r>
      <w:proofErr w:type="spellStart"/>
      <w:r w:rsidRPr="009F79B5">
        <w:t>sofosbuvir</w:t>
      </w:r>
      <w:proofErr w:type="spellEnd"/>
      <w:r w:rsidRPr="009F79B5">
        <w:t xml:space="preserve"> for treatment of genotype 1 CHC. The prevalence and current treatment rate of HCV infection, sourced from the Kirby Institute Annual Surveillance Report (2001-2014), as well as data reported in advice from the </w:t>
      </w:r>
      <w:r w:rsidR="00FF2590" w:rsidRPr="009F79B5">
        <w:t>Australian</w:t>
      </w:r>
      <w:r w:rsidRPr="009F79B5">
        <w:t xml:space="preserve"> Liver Association (November 2014)</w:t>
      </w:r>
      <w:r w:rsidRPr="009F79B5">
        <w:rPr>
          <w:rStyle w:val="FootnoteReference"/>
        </w:rPr>
        <w:footnoteReference w:id="2"/>
      </w:r>
      <w:r w:rsidRPr="009F79B5">
        <w:t xml:space="preserve">, were used to project the number of patients likely to be treated over the first five years of listing. The submission assumed that the number of patients treated each year would increase by </w:t>
      </w:r>
      <w:r w:rsidR="00BD7647">
        <w:rPr>
          <w:noProof/>
          <w:color w:val="000000"/>
          <w:highlight w:val="black"/>
        </w:rPr>
        <w:t>'''''''</w:t>
      </w:r>
      <w:r w:rsidRPr="009F79B5">
        <w:t xml:space="preserve">%, due to increases in clinic treatment capacity resulting from the </w:t>
      </w:r>
      <w:r w:rsidR="00FF2590" w:rsidRPr="009F79B5">
        <w:t>reduced</w:t>
      </w:r>
      <w:r w:rsidRPr="009F79B5">
        <w:t xml:space="preserve"> treatment duration and superior safety profile of interferon-free regimens. </w:t>
      </w:r>
      <w:r w:rsidR="00FF2590" w:rsidRPr="009F79B5">
        <w:t xml:space="preserve">It was also assumed that, from Year 2 of listing, the treatment rate would increase by a further </w:t>
      </w:r>
      <w:r w:rsidR="00BD7647">
        <w:rPr>
          <w:noProof/>
          <w:color w:val="000000"/>
          <w:highlight w:val="black"/>
        </w:rPr>
        <w:t>''''''</w:t>
      </w:r>
      <w:r w:rsidR="00FF2590" w:rsidRPr="009F79B5">
        <w:t>% due to improved clinic efficiency</w:t>
      </w:r>
      <w:r w:rsidR="00BF74EC" w:rsidRPr="009F79B5">
        <w:t xml:space="preserve"> resulting from familiarity with the new regimens</w:t>
      </w:r>
      <w:r w:rsidR="00FF2590" w:rsidRPr="009F79B5">
        <w:t xml:space="preserve">. </w:t>
      </w:r>
      <w:r w:rsidRPr="009F79B5">
        <w:t>The financial implications were based on the assumption that no other all-oral, inte</w:t>
      </w:r>
      <w:r w:rsidR="00FF2590" w:rsidRPr="009F79B5">
        <w:t>rferon-free treatment regimens we</w:t>
      </w:r>
      <w:r w:rsidRPr="009F79B5">
        <w:t>re listed on the</w:t>
      </w:r>
      <w:r w:rsidR="00FF2590" w:rsidRPr="009F79B5">
        <w:t xml:space="preserve"> PBS</w:t>
      </w:r>
      <w:r w:rsidRPr="009F79B5">
        <w:t xml:space="preserve">; SMV+SOF was assumed to have a </w:t>
      </w:r>
      <w:r w:rsidR="00BD7647">
        <w:rPr>
          <w:noProof/>
          <w:color w:val="000000"/>
          <w:highlight w:val="black"/>
        </w:rPr>
        <w:t>'''''''''</w:t>
      </w:r>
      <w:r w:rsidRPr="009F79B5">
        <w:t xml:space="preserve">% market share once listed. The submission assumed that, in the absence of SMV+SOF, the number of patients </w:t>
      </w:r>
      <w:r w:rsidR="007E58AE" w:rsidRPr="009F79B5">
        <w:t xml:space="preserve">treated </w:t>
      </w:r>
      <w:r w:rsidRPr="009F79B5">
        <w:t xml:space="preserve">would remain constant at the current estimate of </w:t>
      </w:r>
      <w:r w:rsidR="00BD7647">
        <w:rPr>
          <w:noProof/>
          <w:color w:val="000000"/>
          <w:highlight w:val="black"/>
        </w:rPr>
        <w:t>'''''''''''''''</w:t>
      </w:r>
      <w:r w:rsidRPr="009F79B5">
        <w:t xml:space="preserve"> genotype 1 patients treated per year.</w:t>
      </w:r>
      <w:r w:rsidR="009C3A35" w:rsidRPr="009F79B5">
        <w:t xml:space="preserve"> As </w:t>
      </w:r>
      <w:proofErr w:type="gramStart"/>
      <w:r w:rsidR="009C3A35" w:rsidRPr="009F79B5">
        <w:t>both LDV</w:t>
      </w:r>
      <w:proofErr w:type="gramEnd"/>
      <w:r w:rsidR="009C3A35" w:rsidRPr="009F79B5">
        <w:t>/SOF and</w:t>
      </w:r>
      <w:r w:rsidR="006857C0" w:rsidRPr="009F79B5">
        <w:t xml:space="preserve"> DCV+SOF were approved for listing at the March 2015 PBAC Meeting, </w:t>
      </w:r>
      <w:r w:rsidR="00DE2762" w:rsidRPr="009F79B5">
        <w:t>it is unlikely that</w:t>
      </w:r>
      <w:r w:rsidR="006857C0" w:rsidRPr="009F79B5">
        <w:t xml:space="preserve"> SMV+SOF will have </w:t>
      </w:r>
      <w:r w:rsidR="00BD7647">
        <w:rPr>
          <w:noProof/>
          <w:color w:val="000000"/>
          <w:highlight w:val="black"/>
        </w:rPr>
        <w:t>''''''''''</w:t>
      </w:r>
      <w:r w:rsidR="006857C0" w:rsidRPr="009F79B5">
        <w:t>% market share</w:t>
      </w:r>
      <w:r w:rsidR="00E00B03" w:rsidRPr="009F79B5">
        <w:t xml:space="preserve"> for treatment of genotype 1 CHC patients</w:t>
      </w:r>
      <w:r w:rsidR="00B207FE" w:rsidRPr="009F79B5">
        <w:t xml:space="preserve"> if all are listed</w:t>
      </w:r>
      <w:r w:rsidR="006857C0" w:rsidRPr="009F79B5">
        <w:t>.</w:t>
      </w:r>
    </w:p>
    <w:p w:rsidR="00094FBC" w:rsidRPr="009F79B5" w:rsidRDefault="00094FBC" w:rsidP="004A442A">
      <w:pPr>
        <w:pStyle w:val="ListParagraph"/>
        <w:widowControl/>
      </w:pPr>
    </w:p>
    <w:p w:rsidR="00094FBC" w:rsidRPr="009F79B5" w:rsidRDefault="00C3204D" w:rsidP="00094FBC">
      <w:pPr>
        <w:pStyle w:val="ListParagraph"/>
        <w:widowControl/>
        <w:numPr>
          <w:ilvl w:val="1"/>
          <w:numId w:val="4"/>
        </w:numPr>
      </w:pPr>
      <w:r w:rsidRPr="009F79B5">
        <w:lastRenderedPageBreak/>
        <w:t xml:space="preserve">At the February 2015 </w:t>
      </w:r>
      <w:r w:rsidR="00D14A1D" w:rsidRPr="009F79B5">
        <w:t>DUSC</w:t>
      </w:r>
      <w:r w:rsidRPr="009F79B5">
        <w:t xml:space="preserve"> meeting in consideration of LDV/SOF</w:t>
      </w:r>
      <w:r w:rsidR="009E0C68" w:rsidRPr="009F79B5">
        <w:t xml:space="preserve">, SOF+PR and DCV+SOF, based on the treatment target set in the Fourth National Hepatitis C strategy 2014-2017 (NHCS), the DUSC estimated that the number of patients of all genotypes that would be treated over the first five years of listing of interferon-free treatment regimens, would be 6,600 in Year 1, 9,900 in Year 2 and 15,000 </w:t>
      </w:r>
      <w:r w:rsidR="00FC07E4">
        <w:t>i</w:t>
      </w:r>
      <w:r w:rsidR="009E0C68" w:rsidRPr="009F79B5">
        <w:t>n</w:t>
      </w:r>
      <w:r w:rsidR="00FC07E4">
        <w:t xml:space="preserve"> Years 3</w:t>
      </w:r>
      <w:r w:rsidR="00FC07E4">
        <w:noBreakHyphen/>
      </w:r>
      <w:r w:rsidR="009E0C68" w:rsidRPr="009F79B5">
        <w:t xml:space="preserve">5. </w:t>
      </w:r>
      <w:r w:rsidR="00094FBC" w:rsidRPr="009F79B5">
        <w:t>The financial implications to the PBS and the MBS</w:t>
      </w:r>
      <w:r w:rsidR="009E0C68" w:rsidRPr="009F79B5">
        <w:t xml:space="preserve">, based on the DUSC estimates, </w:t>
      </w:r>
      <w:r w:rsidR="00094FBC" w:rsidRPr="009F79B5">
        <w:t>were recalculated</w:t>
      </w:r>
      <w:r w:rsidR="003C2708" w:rsidRPr="009F79B5">
        <w:t xml:space="preserve"> during the evaluation</w:t>
      </w:r>
      <w:r w:rsidR="00094FBC" w:rsidRPr="009F79B5">
        <w:t xml:space="preserve">, </w:t>
      </w:r>
      <w:r w:rsidR="009E0C68" w:rsidRPr="009F79B5">
        <w:t>assuming that 54.5% of treated patients had genotype 1 HCV infection</w:t>
      </w:r>
      <w:r w:rsidR="009E0C68" w:rsidRPr="009F79B5">
        <w:rPr>
          <w:rStyle w:val="FootnoteReference"/>
        </w:rPr>
        <w:footnoteReference w:id="3"/>
      </w:r>
      <w:r w:rsidR="009E0C68" w:rsidRPr="009F79B5">
        <w:t xml:space="preserve"> (NHCS-based estimates). </w:t>
      </w:r>
    </w:p>
    <w:p w:rsidR="004A442A" w:rsidRPr="009F79B5" w:rsidRDefault="004A442A" w:rsidP="004A442A">
      <w:pPr>
        <w:widowControl/>
        <w:rPr>
          <w:szCs w:val="22"/>
        </w:rPr>
      </w:pPr>
    </w:p>
    <w:p w:rsidR="004A442A" w:rsidRPr="009F79B5" w:rsidRDefault="004A442A" w:rsidP="00FC07E4">
      <w:pPr>
        <w:keepNext/>
        <w:ind w:firstLine="709"/>
        <w:rPr>
          <w:rStyle w:val="CommentReference"/>
        </w:rPr>
      </w:pPr>
      <w:r w:rsidRPr="009F79B5">
        <w:rPr>
          <w:rStyle w:val="CommentReference"/>
        </w:rPr>
        <w:t xml:space="preserve">Table </w:t>
      </w:r>
      <w:r w:rsidR="00CD06AE" w:rsidRPr="009F79B5">
        <w:rPr>
          <w:rStyle w:val="CommentReference"/>
        </w:rPr>
        <w:t>1</w:t>
      </w:r>
      <w:r w:rsidR="00EA11DE" w:rsidRPr="009F79B5">
        <w:rPr>
          <w:rStyle w:val="CommentReference"/>
        </w:rPr>
        <w:t>2</w:t>
      </w:r>
      <w:r w:rsidRPr="009F79B5">
        <w:rPr>
          <w:rStyle w:val="CommentReference"/>
        </w:rPr>
        <w:t>: Estimated use and financial</w:t>
      </w:r>
      <w:r w:rsidR="00FF2590" w:rsidRPr="009F79B5">
        <w:rPr>
          <w:rStyle w:val="CommentReference"/>
        </w:rPr>
        <w:t xml:space="preserve">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8"/>
        <w:gridCol w:w="1123"/>
        <w:gridCol w:w="1185"/>
        <w:gridCol w:w="1265"/>
        <w:gridCol w:w="1265"/>
        <w:gridCol w:w="1250"/>
      </w:tblGrid>
      <w:tr w:rsidR="004A442A" w:rsidRPr="009F79B5" w:rsidTr="004A442A">
        <w:trPr>
          <w:tblHeader/>
        </w:trPr>
        <w:tc>
          <w:tcPr>
            <w:tcW w:w="1359" w:type="pct"/>
            <w:shd w:val="clear" w:color="auto" w:fill="auto"/>
            <w:vAlign w:val="center"/>
          </w:tcPr>
          <w:p w:rsidR="004A442A" w:rsidRPr="009F79B5" w:rsidRDefault="004A442A" w:rsidP="00FC07E4">
            <w:pPr>
              <w:keepNext/>
              <w:tabs>
                <w:tab w:val="left" w:pos="142"/>
              </w:tabs>
              <w:jc w:val="left"/>
              <w:rPr>
                <w:rFonts w:ascii="Arial Narrow" w:hAnsi="Arial Narrow"/>
                <w:b/>
                <w:sz w:val="20"/>
              </w:rPr>
            </w:pPr>
          </w:p>
        </w:tc>
        <w:tc>
          <w:tcPr>
            <w:tcW w:w="679" w:type="pct"/>
            <w:shd w:val="clear" w:color="auto" w:fill="auto"/>
            <w:vAlign w:val="center"/>
          </w:tcPr>
          <w:p w:rsidR="004A442A" w:rsidRPr="009F79B5" w:rsidRDefault="004A442A" w:rsidP="00FC07E4">
            <w:pPr>
              <w:keepNext/>
              <w:jc w:val="center"/>
              <w:rPr>
                <w:rFonts w:ascii="Arial Narrow" w:hAnsi="Arial Narrow"/>
                <w:b/>
                <w:sz w:val="20"/>
              </w:rPr>
            </w:pPr>
            <w:r w:rsidRPr="009F79B5">
              <w:rPr>
                <w:rFonts w:ascii="Arial Narrow" w:hAnsi="Arial Narrow"/>
                <w:b/>
                <w:sz w:val="20"/>
              </w:rPr>
              <w:t>Year 1</w:t>
            </w:r>
          </w:p>
        </w:tc>
        <w:tc>
          <w:tcPr>
            <w:tcW w:w="679" w:type="pct"/>
            <w:shd w:val="clear" w:color="auto" w:fill="auto"/>
            <w:vAlign w:val="center"/>
          </w:tcPr>
          <w:p w:rsidR="004A442A" w:rsidRPr="009F79B5" w:rsidRDefault="004A442A" w:rsidP="00FC07E4">
            <w:pPr>
              <w:keepNext/>
              <w:jc w:val="center"/>
              <w:rPr>
                <w:rFonts w:ascii="Arial Narrow" w:hAnsi="Arial Narrow"/>
                <w:b/>
                <w:sz w:val="20"/>
              </w:rPr>
            </w:pPr>
            <w:r w:rsidRPr="009F79B5">
              <w:rPr>
                <w:rFonts w:ascii="Arial Narrow" w:hAnsi="Arial Narrow"/>
                <w:b/>
                <w:sz w:val="20"/>
              </w:rPr>
              <w:t>Year 2</w:t>
            </w:r>
          </w:p>
        </w:tc>
        <w:tc>
          <w:tcPr>
            <w:tcW w:w="764" w:type="pct"/>
            <w:shd w:val="clear" w:color="auto" w:fill="auto"/>
            <w:vAlign w:val="center"/>
          </w:tcPr>
          <w:p w:rsidR="004A442A" w:rsidRPr="009F79B5" w:rsidRDefault="004A442A" w:rsidP="00FC07E4">
            <w:pPr>
              <w:keepNext/>
              <w:jc w:val="center"/>
              <w:rPr>
                <w:rFonts w:ascii="Arial Narrow" w:hAnsi="Arial Narrow"/>
                <w:b/>
                <w:sz w:val="20"/>
              </w:rPr>
            </w:pPr>
            <w:r w:rsidRPr="009F79B5">
              <w:rPr>
                <w:rFonts w:ascii="Arial Narrow" w:hAnsi="Arial Narrow"/>
                <w:b/>
                <w:sz w:val="20"/>
              </w:rPr>
              <w:t>Year 3</w:t>
            </w:r>
          </w:p>
        </w:tc>
        <w:tc>
          <w:tcPr>
            <w:tcW w:w="764" w:type="pct"/>
            <w:shd w:val="clear" w:color="auto" w:fill="auto"/>
            <w:vAlign w:val="center"/>
          </w:tcPr>
          <w:p w:rsidR="004A442A" w:rsidRPr="009F79B5" w:rsidRDefault="004A442A" w:rsidP="00FC07E4">
            <w:pPr>
              <w:keepNext/>
              <w:jc w:val="center"/>
              <w:rPr>
                <w:rFonts w:ascii="Arial Narrow" w:hAnsi="Arial Narrow"/>
                <w:b/>
                <w:sz w:val="20"/>
              </w:rPr>
            </w:pPr>
            <w:r w:rsidRPr="009F79B5">
              <w:rPr>
                <w:rFonts w:ascii="Arial Narrow" w:hAnsi="Arial Narrow"/>
                <w:b/>
                <w:sz w:val="20"/>
              </w:rPr>
              <w:t>Year 4</w:t>
            </w:r>
          </w:p>
        </w:tc>
        <w:tc>
          <w:tcPr>
            <w:tcW w:w="755" w:type="pct"/>
            <w:shd w:val="clear" w:color="auto" w:fill="auto"/>
            <w:vAlign w:val="center"/>
          </w:tcPr>
          <w:p w:rsidR="004A442A" w:rsidRPr="009F79B5" w:rsidRDefault="004A442A" w:rsidP="00FC07E4">
            <w:pPr>
              <w:keepNext/>
              <w:jc w:val="center"/>
              <w:rPr>
                <w:rFonts w:ascii="Arial Narrow" w:hAnsi="Arial Narrow"/>
                <w:b/>
                <w:sz w:val="20"/>
              </w:rPr>
            </w:pPr>
            <w:r w:rsidRPr="009F79B5">
              <w:rPr>
                <w:rFonts w:ascii="Arial Narrow" w:hAnsi="Arial Narrow"/>
                <w:b/>
                <w:sz w:val="20"/>
              </w:rPr>
              <w:t>Year 5</w:t>
            </w:r>
          </w:p>
        </w:tc>
      </w:tr>
      <w:tr w:rsidR="004A442A" w:rsidRPr="009F79B5" w:rsidTr="00C33FCC">
        <w:trPr>
          <w:trHeight w:val="320"/>
        </w:trPr>
        <w:tc>
          <w:tcPr>
            <w:tcW w:w="5000" w:type="pct"/>
            <w:gridSpan w:val="6"/>
            <w:shd w:val="clear" w:color="auto" w:fill="auto"/>
            <w:vAlign w:val="center"/>
          </w:tcPr>
          <w:p w:rsidR="004A442A" w:rsidRPr="009F79B5" w:rsidRDefault="004A442A" w:rsidP="00FC07E4">
            <w:pPr>
              <w:keepNext/>
              <w:jc w:val="left"/>
              <w:rPr>
                <w:rFonts w:ascii="Arial Narrow" w:hAnsi="Arial Narrow"/>
                <w:b/>
                <w:bCs/>
                <w:color w:val="000000"/>
                <w:sz w:val="20"/>
              </w:rPr>
            </w:pPr>
            <w:r w:rsidRPr="009F79B5">
              <w:rPr>
                <w:rFonts w:ascii="Arial Narrow" w:hAnsi="Arial Narrow"/>
                <w:b/>
                <w:bCs/>
                <w:color w:val="000000"/>
                <w:sz w:val="20"/>
              </w:rPr>
              <w:t>Estimated extent of use</w:t>
            </w:r>
          </w:p>
        </w:tc>
      </w:tr>
      <w:tr w:rsidR="004A442A" w:rsidRPr="009F79B5" w:rsidTr="003455F8">
        <w:tc>
          <w:tcPr>
            <w:tcW w:w="1359" w:type="pct"/>
            <w:tcBorders>
              <w:bottom w:val="nil"/>
            </w:tcBorders>
            <w:shd w:val="clear" w:color="auto" w:fill="auto"/>
            <w:vAlign w:val="center"/>
          </w:tcPr>
          <w:p w:rsidR="004A442A" w:rsidRPr="009F79B5" w:rsidRDefault="004A442A" w:rsidP="00FC07E4">
            <w:pPr>
              <w:keepNext/>
              <w:tabs>
                <w:tab w:val="left" w:pos="142"/>
              </w:tabs>
              <w:jc w:val="left"/>
              <w:rPr>
                <w:rFonts w:ascii="Arial Narrow" w:hAnsi="Arial Narrow"/>
                <w:sz w:val="20"/>
                <w:vertAlign w:val="superscript"/>
              </w:rPr>
            </w:pPr>
            <w:r w:rsidRPr="009F79B5">
              <w:rPr>
                <w:rFonts w:ascii="Arial Narrow" w:hAnsi="Arial Narrow"/>
                <w:sz w:val="20"/>
              </w:rPr>
              <w:t xml:space="preserve">Number likely to be </w:t>
            </w:r>
            <w:proofErr w:type="spellStart"/>
            <w:r w:rsidRPr="009F79B5">
              <w:rPr>
                <w:rFonts w:ascii="Arial Narrow" w:hAnsi="Arial Narrow"/>
                <w:sz w:val="20"/>
              </w:rPr>
              <w:t>treated</w:t>
            </w:r>
            <w:r w:rsidR="007354D5" w:rsidRPr="009F79B5">
              <w:rPr>
                <w:rFonts w:ascii="Arial Narrow" w:hAnsi="Arial Narrow"/>
                <w:sz w:val="20"/>
                <w:vertAlign w:val="superscript"/>
              </w:rPr>
              <w:t>a</w:t>
            </w:r>
            <w:proofErr w:type="spellEnd"/>
          </w:p>
        </w:tc>
        <w:tc>
          <w:tcPr>
            <w:tcW w:w="679" w:type="pct"/>
            <w:tcBorders>
              <w:bottom w:val="nil"/>
            </w:tcBorders>
            <w:shd w:val="clear" w:color="auto" w:fill="auto"/>
            <w:vAlign w:val="center"/>
          </w:tcPr>
          <w:p w:rsidR="004A442A" w:rsidRPr="00BD7647" w:rsidRDefault="00BD7647" w:rsidP="00FC07E4">
            <w:pPr>
              <w:pStyle w:val="Tabletext"/>
              <w:keepNext/>
              <w:jc w:val="center"/>
              <w:rPr>
                <w:highlight w:val="black"/>
              </w:rPr>
            </w:pPr>
            <w:r>
              <w:rPr>
                <w:noProof/>
                <w:color w:val="000000"/>
                <w:highlight w:val="black"/>
              </w:rPr>
              <w:t>'''''''''''''</w:t>
            </w:r>
          </w:p>
        </w:tc>
        <w:tc>
          <w:tcPr>
            <w:tcW w:w="679" w:type="pct"/>
            <w:tcBorders>
              <w:bottom w:val="nil"/>
            </w:tcBorders>
            <w:shd w:val="clear" w:color="auto" w:fill="auto"/>
            <w:vAlign w:val="center"/>
          </w:tcPr>
          <w:p w:rsidR="004A442A" w:rsidRPr="00BD7647" w:rsidRDefault="00BD7647" w:rsidP="00FC07E4">
            <w:pPr>
              <w:pStyle w:val="Tabletext"/>
              <w:keepNext/>
              <w:jc w:val="center"/>
              <w:rPr>
                <w:highlight w:val="black"/>
              </w:rPr>
            </w:pPr>
            <w:r>
              <w:rPr>
                <w:noProof/>
                <w:color w:val="000000"/>
                <w:highlight w:val="black"/>
              </w:rPr>
              <w:t>''''''''''''''</w:t>
            </w:r>
          </w:p>
        </w:tc>
        <w:tc>
          <w:tcPr>
            <w:tcW w:w="764" w:type="pct"/>
            <w:tcBorders>
              <w:bottom w:val="nil"/>
            </w:tcBorders>
            <w:shd w:val="clear" w:color="auto" w:fill="auto"/>
            <w:vAlign w:val="center"/>
          </w:tcPr>
          <w:p w:rsidR="004A442A" w:rsidRPr="00BD7647" w:rsidRDefault="00BD7647" w:rsidP="00FC07E4">
            <w:pPr>
              <w:pStyle w:val="Tabletext"/>
              <w:keepNext/>
              <w:jc w:val="center"/>
              <w:rPr>
                <w:highlight w:val="black"/>
              </w:rPr>
            </w:pPr>
            <w:r>
              <w:rPr>
                <w:noProof/>
                <w:color w:val="000000"/>
                <w:highlight w:val="black"/>
              </w:rPr>
              <w:t>''''''''''''''</w:t>
            </w:r>
          </w:p>
        </w:tc>
        <w:tc>
          <w:tcPr>
            <w:tcW w:w="764" w:type="pct"/>
            <w:tcBorders>
              <w:bottom w:val="nil"/>
            </w:tcBorders>
            <w:shd w:val="clear" w:color="auto" w:fill="auto"/>
            <w:vAlign w:val="center"/>
          </w:tcPr>
          <w:p w:rsidR="004A442A" w:rsidRPr="00BD7647" w:rsidRDefault="00BD7647" w:rsidP="00FC07E4">
            <w:pPr>
              <w:pStyle w:val="Tabletext"/>
              <w:keepNext/>
              <w:jc w:val="center"/>
              <w:rPr>
                <w:highlight w:val="black"/>
              </w:rPr>
            </w:pPr>
            <w:r>
              <w:rPr>
                <w:noProof/>
                <w:color w:val="000000"/>
                <w:highlight w:val="black"/>
              </w:rPr>
              <w:t>''''''''''''</w:t>
            </w:r>
          </w:p>
        </w:tc>
        <w:tc>
          <w:tcPr>
            <w:tcW w:w="755" w:type="pct"/>
            <w:tcBorders>
              <w:bottom w:val="nil"/>
            </w:tcBorders>
            <w:shd w:val="clear" w:color="auto" w:fill="auto"/>
            <w:vAlign w:val="center"/>
          </w:tcPr>
          <w:p w:rsidR="004A442A" w:rsidRPr="00BD7647" w:rsidRDefault="00BD7647" w:rsidP="00FC07E4">
            <w:pPr>
              <w:pStyle w:val="Tabletext"/>
              <w:keepNext/>
              <w:jc w:val="center"/>
              <w:rPr>
                <w:highlight w:val="black"/>
              </w:rPr>
            </w:pPr>
            <w:r>
              <w:rPr>
                <w:noProof/>
                <w:color w:val="000000"/>
                <w:highlight w:val="black"/>
              </w:rPr>
              <w:t>'''''''''''''</w:t>
            </w:r>
          </w:p>
        </w:tc>
      </w:tr>
      <w:tr w:rsidR="00F14D83" w:rsidRPr="009F79B5" w:rsidTr="003455F8">
        <w:trPr>
          <w:trHeight w:val="113"/>
        </w:trPr>
        <w:tc>
          <w:tcPr>
            <w:tcW w:w="1359" w:type="pct"/>
            <w:tcBorders>
              <w:top w:val="nil"/>
            </w:tcBorders>
            <w:shd w:val="clear" w:color="auto" w:fill="auto"/>
            <w:vAlign w:val="center"/>
          </w:tcPr>
          <w:p w:rsidR="00F14D83" w:rsidRPr="009F79B5" w:rsidRDefault="00F14D83" w:rsidP="00FC07E4">
            <w:pPr>
              <w:pStyle w:val="Tabletext"/>
              <w:keepNext/>
            </w:pPr>
            <w:r w:rsidRPr="009F79B5">
              <w:t xml:space="preserve">NHCS-based estimates </w:t>
            </w:r>
          </w:p>
        </w:tc>
        <w:tc>
          <w:tcPr>
            <w:tcW w:w="679" w:type="pct"/>
            <w:tcBorders>
              <w:top w:val="nil"/>
            </w:tcBorders>
            <w:shd w:val="clear" w:color="auto" w:fill="auto"/>
            <w:vAlign w:val="center"/>
          </w:tcPr>
          <w:p w:rsidR="00F14D83" w:rsidRPr="00BD7647" w:rsidRDefault="00BD7647" w:rsidP="00FC07E4">
            <w:pPr>
              <w:pStyle w:val="Tabletext"/>
              <w:keepNext/>
              <w:jc w:val="center"/>
              <w:rPr>
                <w:highlight w:val="black"/>
              </w:rPr>
            </w:pPr>
            <w:r>
              <w:rPr>
                <w:noProof/>
                <w:color w:val="000000"/>
                <w:highlight w:val="black"/>
              </w:rPr>
              <w:t>'''''''''''''</w:t>
            </w:r>
          </w:p>
        </w:tc>
        <w:tc>
          <w:tcPr>
            <w:tcW w:w="679" w:type="pct"/>
            <w:tcBorders>
              <w:top w:val="nil"/>
            </w:tcBorders>
            <w:shd w:val="clear" w:color="auto" w:fill="auto"/>
            <w:vAlign w:val="center"/>
          </w:tcPr>
          <w:p w:rsidR="00F14D83" w:rsidRPr="00BD7647" w:rsidRDefault="00BD7647" w:rsidP="00FC07E4">
            <w:pPr>
              <w:pStyle w:val="Tabletext"/>
              <w:keepNext/>
              <w:jc w:val="center"/>
              <w:rPr>
                <w:highlight w:val="black"/>
              </w:rPr>
            </w:pPr>
            <w:r>
              <w:rPr>
                <w:noProof/>
                <w:color w:val="000000"/>
                <w:highlight w:val="black"/>
              </w:rPr>
              <w:t>''''''''''''''</w:t>
            </w:r>
          </w:p>
        </w:tc>
        <w:tc>
          <w:tcPr>
            <w:tcW w:w="764" w:type="pct"/>
            <w:tcBorders>
              <w:top w:val="nil"/>
            </w:tcBorders>
            <w:shd w:val="clear" w:color="auto" w:fill="auto"/>
            <w:vAlign w:val="center"/>
          </w:tcPr>
          <w:p w:rsidR="00F14D83" w:rsidRPr="00BD7647" w:rsidRDefault="00BD7647" w:rsidP="00FC07E4">
            <w:pPr>
              <w:pStyle w:val="Tabletext"/>
              <w:keepNext/>
              <w:jc w:val="center"/>
              <w:rPr>
                <w:highlight w:val="black"/>
              </w:rPr>
            </w:pPr>
            <w:r>
              <w:rPr>
                <w:noProof/>
                <w:color w:val="000000"/>
                <w:highlight w:val="black"/>
              </w:rPr>
              <w:t>''''''''''''</w:t>
            </w:r>
          </w:p>
        </w:tc>
        <w:tc>
          <w:tcPr>
            <w:tcW w:w="764" w:type="pct"/>
            <w:tcBorders>
              <w:top w:val="nil"/>
            </w:tcBorders>
            <w:shd w:val="clear" w:color="auto" w:fill="auto"/>
            <w:vAlign w:val="center"/>
          </w:tcPr>
          <w:p w:rsidR="00F14D83" w:rsidRPr="00BD7647" w:rsidRDefault="00BD7647" w:rsidP="00FC07E4">
            <w:pPr>
              <w:pStyle w:val="Tabletext"/>
              <w:keepNext/>
              <w:jc w:val="center"/>
              <w:rPr>
                <w:highlight w:val="black"/>
              </w:rPr>
            </w:pPr>
            <w:r>
              <w:rPr>
                <w:noProof/>
                <w:color w:val="000000"/>
                <w:highlight w:val="black"/>
              </w:rPr>
              <w:t>''''''''''''''</w:t>
            </w:r>
          </w:p>
        </w:tc>
        <w:tc>
          <w:tcPr>
            <w:tcW w:w="755" w:type="pct"/>
            <w:tcBorders>
              <w:top w:val="nil"/>
            </w:tcBorders>
            <w:shd w:val="clear" w:color="auto" w:fill="auto"/>
            <w:vAlign w:val="center"/>
          </w:tcPr>
          <w:p w:rsidR="00F14D83" w:rsidRPr="00BD7647" w:rsidRDefault="00BD7647" w:rsidP="00FC07E4">
            <w:pPr>
              <w:pStyle w:val="Tabletext"/>
              <w:keepNext/>
              <w:jc w:val="center"/>
              <w:rPr>
                <w:highlight w:val="black"/>
              </w:rPr>
            </w:pPr>
            <w:r>
              <w:rPr>
                <w:noProof/>
                <w:color w:val="000000"/>
                <w:highlight w:val="black"/>
              </w:rPr>
              <w:t>''''''''''''</w:t>
            </w:r>
          </w:p>
        </w:tc>
      </w:tr>
      <w:tr w:rsidR="004A442A" w:rsidRPr="009F79B5" w:rsidTr="004A442A">
        <w:tc>
          <w:tcPr>
            <w:tcW w:w="1359" w:type="pct"/>
            <w:shd w:val="clear" w:color="auto" w:fill="auto"/>
            <w:vAlign w:val="center"/>
          </w:tcPr>
          <w:p w:rsidR="004A442A" w:rsidRPr="009F79B5" w:rsidRDefault="004A442A" w:rsidP="00FC07E4">
            <w:pPr>
              <w:keepNext/>
              <w:tabs>
                <w:tab w:val="left" w:pos="142"/>
              </w:tabs>
              <w:jc w:val="left"/>
              <w:rPr>
                <w:rFonts w:ascii="Arial Narrow" w:hAnsi="Arial Narrow"/>
                <w:sz w:val="20"/>
              </w:rPr>
            </w:pPr>
            <w:r w:rsidRPr="009F79B5">
              <w:rPr>
                <w:rFonts w:ascii="Arial Narrow" w:hAnsi="Arial Narrow"/>
                <w:sz w:val="20"/>
              </w:rPr>
              <w:t>Market share</w:t>
            </w:r>
          </w:p>
        </w:tc>
        <w:tc>
          <w:tcPr>
            <w:tcW w:w="679" w:type="pct"/>
            <w:shd w:val="clear" w:color="auto" w:fill="auto"/>
            <w:vAlign w:val="center"/>
          </w:tcPr>
          <w:p w:rsidR="004A442A" w:rsidRPr="00C33FCC" w:rsidRDefault="00BD7647" w:rsidP="00FC07E4">
            <w:pPr>
              <w:pStyle w:val="Tabletext"/>
              <w:keepNext/>
              <w:jc w:val="center"/>
            </w:pPr>
            <w:r>
              <w:rPr>
                <w:noProof/>
                <w:color w:val="000000"/>
                <w:highlight w:val="black"/>
              </w:rPr>
              <w:t>'''''''''</w:t>
            </w:r>
            <w:r w:rsidR="004A442A" w:rsidRPr="00C33FCC">
              <w:t>%</w:t>
            </w:r>
          </w:p>
        </w:tc>
        <w:tc>
          <w:tcPr>
            <w:tcW w:w="679" w:type="pct"/>
            <w:shd w:val="clear" w:color="auto" w:fill="auto"/>
            <w:vAlign w:val="center"/>
          </w:tcPr>
          <w:p w:rsidR="004A442A" w:rsidRPr="00C33FCC" w:rsidRDefault="00BD7647" w:rsidP="00FC07E4">
            <w:pPr>
              <w:pStyle w:val="Tabletext"/>
              <w:keepNext/>
              <w:jc w:val="center"/>
            </w:pPr>
            <w:r>
              <w:rPr>
                <w:noProof/>
                <w:color w:val="000000"/>
                <w:highlight w:val="black"/>
              </w:rPr>
              <w:t>''''''''''</w:t>
            </w:r>
            <w:r w:rsidR="004A442A" w:rsidRPr="00C33FCC">
              <w:t>%</w:t>
            </w:r>
          </w:p>
        </w:tc>
        <w:tc>
          <w:tcPr>
            <w:tcW w:w="764" w:type="pct"/>
            <w:shd w:val="clear" w:color="auto" w:fill="auto"/>
            <w:vAlign w:val="center"/>
          </w:tcPr>
          <w:p w:rsidR="004A442A" w:rsidRPr="00C33FCC" w:rsidRDefault="00BD7647" w:rsidP="00FC07E4">
            <w:pPr>
              <w:pStyle w:val="Tabletext"/>
              <w:keepNext/>
              <w:jc w:val="center"/>
            </w:pPr>
            <w:r>
              <w:rPr>
                <w:noProof/>
                <w:color w:val="000000"/>
                <w:highlight w:val="black"/>
              </w:rPr>
              <w:t>''''''''''</w:t>
            </w:r>
            <w:r w:rsidR="004A442A" w:rsidRPr="00C33FCC">
              <w:t>%</w:t>
            </w:r>
          </w:p>
        </w:tc>
        <w:tc>
          <w:tcPr>
            <w:tcW w:w="764" w:type="pct"/>
            <w:shd w:val="clear" w:color="auto" w:fill="auto"/>
            <w:vAlign w:val="center"/>
          </w:tcPr>
          <w:p w:rsidR="004A442A" w:rsidRPr="00C33FCC" w:rsidRDefault="00BD7647" w:rsidP="00FC07E4">
            <w:pPr>
              <w:pStyle w:val="Tabletext"/>
              <w:keepNext/>
              <w:jc w:val="center"/>
            </w:pPr>
            <w:r>
              <w:rPr>
                <w:noProof/>
                <w:color w:val="000000"/>
                <w:highlight w:val="black"/>
              </w:rPr>
              <w:t>'''''''''</w:t>
            </w:r>
            <w:r w:rsidR="004A442A" w:rsidRPr="00C33FCC">
              <w:t>%</w:t>
            </w:r>
          </w:p>
        </w:tc>
        <w:tc>
          <w:tcPr>
            <w:tcW w:w="755" w:type="pct"/>
            <w:shd w:val="clear" w:color="auto" w:fill="auto"/>
            <w:vAlign w:val="center"/>
          </w:tcPr>
          <w:p w:rsidR="004A442A" w:rsidRPr="00C33FCC" w:rsidRDefault="00BD7647" w:rsidP="00FC07E4">
            <w:pPr>
              <w:pStyle w:val="Tabletext"/>
              <w:keepNext/>
              <w:jc w:val="center"/>
            </w:pPr>
            <w:r>
              <w:rPr>
                <w:noProof/>
                <w:color w:val="000000"/>
                <w:highlight w:val="black"/>
              </w:rPr>
              <w:t>''''''''''</w:t>
            </w:r>
            <w:r w:rsidR="004A442A" w:rsidRPr="00C33FCC">
              <w:t>%</w:t>
            </w:r>
          </w:p>
        </w:tc>
      </w:tr>
      <w:tr w:rsidR="004A442A" w:rsidRPr="009F79B5" w:rsidTr="004C5EDD">
        <w:trPr>
          <w:trHeight w:val="141"/>
        </w:trPr>
        <w:tc>
          <w:tcPr>
            <w:tcW w:w="1359" w:type="pct"/>
            <w:tcBorders>
              <w:bottom w:val="nil"/>
            </w:tcBorders>
            <w:shd w:val="clear" w:color="auto" w:fill="auto"/>
            <w:vAlign w:val="center"/>
          </w:tcPr>
          <w:p w:rsidR="004A442A" w:rsidRPr="009F79B5" w:rsidRDefault="004A442A" w:rsidP="00FC07E4">
            <w:pPr>
              <w:keepNext/>
              <w:tabs>
                <w:tab w:val="left" w:pos="142"/>
              </w:tabs>
              <w:jc w:val="left"/>
              <w:rPr>
                <w:rFonts w:ascii="Arial Narrow" w:hAnsi="Arial Narrow"/>
                <w:sz w:val="20"/>
              </w:rPr>
            </w:pPr>
            <w:proofErr w:type="spellStart"/>
            <w:r w:rsidRPr="009F79B5">
              <w:rPr>
                <w:rFonts w:ascii="Arial Narrow" w:hAnsi="Arial Narrow"/>
                <w:sz w:val="20"/>
              </w:rPr>
              <w:t>Scripts</w:t>
            </w:r>
            <w:r w:rsidR="007354D5" w:rsidRPr="009F79B5">
              <w:rPr>
                <w:rFonts w:ascii="Arial Narrow" w:hAnsi="Arial Narrow"/>
                <w:sz w:val="20"/>
                <w:vertAlign w:val="superscript"/>
              </w:rPr>
              <w:t>b</w:t>
            </w:r>
            <w:proofErr w:type="spellEnd"/>
          </w:p>
        </w:tc>
        <w:tc>
          <w:tcPr>
            <w:tcW w:w="679" w:type="pct"/>
            <w:tcBorders>
              <w:bottom w:val="nil"/>
            </w:tcBorders>
            <w:shd w:val="clear" w:color="auto" w:fill="auto"/>
            <w:vAlign w:val="center"/>
          </w:tcPr>
          <w:p w:rsidR="004A442A" w:rsidRPr="00BD7647" w:rsidRDefault="00BD7647" w:rsidP="00FC07E4">
            <w:pPr>
              <w:pStyle w:val="Tabletext"/>
              <w:keepNext/>
              <w:jc w:val="center"/>
              <w:rPr>
                <w:highlight w:val="black"/>
              </w:rPr>
            </w:pPr>
            <w:r>
              <w:rPr>
                <w:bCs/>
                <w:noProof/>
                <w:color w:val="000000"/>
                <w:highlight w:val="black"/>
              </w:rPr>
              <w:t>'''''''''''''''</w:t>
            </w:r>
          </w:p>
        </w:tc>
        <w:tc>
          <w:tcPr>
            <w:tcW w:w="679" w:type="pct"/>
            <w:tcBorders>
              <w:bottom w:val="nil"/>
            </w:tcBorders>
            <w:shd w:val="clear" w:color="auto" w:fill="auto"/>
            <w:vAlign w:val="center"/>
          </w:tcPr>
          <w:p w:rsidR="004A442A" w:rsidRPr="00BD7647" w:rsidRDefault="00BD7647" w:rsidP="00FC07E4">
            <w:pPr>
              <w:pStyle w:val="Tabletext"/>
              <w:keepNext/>
              <w:jc w:val="center"/>
              <w:rPr>
                <w:highlight w:val="black"/>
              </w:rPr>
            </w:pPr>
            <w:r>
              <w:rPr>
                <w:bCs/>
                <w:noProof/>
                <w:color w:val="000000"/>
                <w:highlight w:val="black"/>
              </w:rPr>
              <w:t>'''''''''''''''</w:t>
            </w:r>
          </w:p>
        </w:tc>
        <w:tc>
          <w:tcPr>
            <w:tcW w:w="764" w:type="pct"/>
            <w:tcBorders>
              <w:bottom w:val="nil"/>
            </w:tcBorders>
            <w:shd w:val="clear" w:color="auto" w:fill="auto"/>
            <w:vAlign w:val="center"/>
          </w:tcPr>
          <w:p w:rsidR="004A442A" w:rsidRPr="00BD7647" w:rsidRDefault="00BD7647" w:rsidP="00FC07E4">
            <w:pPr>
              <w:pStyle w:val="Tabletext"/>
              <w:keepNext/>
              <w:jc w:val="center"/>
              <w:rPr>
                <w:highlight w:val="black"/>
              </w:rPr>
            </w:pPr>
            <w:r>
              <w:rPr>
                <w:bCs/>
                <w:noProof/>
                <w:color w:val="000000"/>
                <w:highlight w:val="black"/>
              </w:rPr>
              <w:t>''''''''''''''''</w:t>
            </w:r>
          </w:p>
        </w:tc>
        <w:tc>
          <w:tcPr>
            <w:tcW w:w="764" w:type="pct"/>
            <w:tcBorders>
              <w:bottom w:val="nil"/>
            </w:tcBorders>
            <w:shd w:val="clear" w:color="auto" w:fill="auto"/>
            <w:vAlign w:val="center"/>
          </w:tcPr>
          <w:p w:rsidR="004A442A" w:rsidRPr="00BD7647" w:rsidRDefault="00BD7647" w:rsidP="00FC07E4">
            <w:pPr>
              <w:pStyle w:val="Tabletext"/>
              <w:keepNext/>
              <w:jc w:val="center"/>
              <w:rPr>
                <w:highlight w:val="black"/>
              </w:rPr>
            </w:pPr>
            <w:r>
              <w:rPr>
                <w:bCs/>
                <w:noProof/>
                <w:color w:val="000000"/>
                <w:highlight w:val="black"/>
              </w:rPr>
              <w:t>'''''''''''''''''</w:t>
            </w:r>
          </w:p>
        </w:tc>
        <w:tc>
          <w:tcPr>
            <w:tcW w:w="755" w:type="pct"/>
            <w:tcBorders>
              <w:bottom w:val="nil"/>
            </w:tcBorders>
            <w:shd w:val="clear" w:color="auto" w:fill="auto"/>
            <w:vAlign w:val="center"/>
          </w:tcPr>
          <w:p w:rsidR="004A442A" w:rsidRPr="00BD7647" w:rsidRDefault="00BD7647" w:rsidP="00FC07E4">
            <w:pPr>
              <w:pStyle w:val="Tabletext"/>
              <w:keepNext/>
              <w:jc w:val="center"/>
              <w:rPr>
                <w:highlight w:val="black"/>
              </w:rPr>
            </w:pPr>
            <w:r>
              <w:rPr>
                <w:bCs/>
                <w:noProof/>
                <w:color w:val="000000"/>
                <w:highlight w:val="black"/>
              </w:rPr>
              <w:t>''''''''''''''''</w:t>
            </w:r>
          </w:p>
        </w:tc>
      </w:tr>
      <w:tr w:rsidR="00F14D83" w:rsidRPr="009F79B5" w:rsidTr="003455F8">
        <w:tc>
          <w:tcPr>
            <w:tcW w:w="1359" w:type="pct"/>
            <w:tcBorders>
              <w:top w:val="nil"/>
            </w:tcBorders>
            <w:shd w:val="clear" w:color="auto" w:fill="auto"/>
            <w:vAlign w:val="center"/>
          </w:tcPr>
          <w:p w:rsidR="00F14D83" w:rsidRPr="009F79B5" w:rsidRDefault="00F14D83" w:rsidP="00FC07E4">
            <w:pPr>
              <w:pStyle w:val="TableText0"/>
            </w:pPr>
            <w:r w:rsidRPr="009F79B5">
              <w:rPr>
                <w:lang w:eastAsia="en-AU"/>
              </w:rPr>
              <w:t>NHCS-based estimates</w:t>
            </w:r>
          </w:p>
        </w:tc>
        <w:tc>
          <w:tcPr>
            <w:tcW w:w="679" w:type="pct"/>
            <w:tcBorders>
              <w:top w:val="nil"/>
            </w:tcBorders>
            <w:shd w:val="clear" w:color="auto" w:fill="auto"/>
            <w:vAlign w:val="center"/>
          </w:tcPr>
          <w:p w:rsidR="00F14D83" w:rsidRPr="00BD7647" w:rsidRDefault="00BD7647" w:rsidP="00FC07E4">
            <w:pPr>
              <w:pStyle w:val="Tabletext"/>
              <w:keepNext/>
              <w:jc w:val="center"/>
              <w:rPr>
                <w:bCs/>
                <w:highlight w:val="black"/>
              </w:rPr>
            </w:pPr>
            <w:r>
              <w:rPr>
                <w:noProof/>
                <w:color w:val="000000"/>
                <w:highlight w:val="black"/>
              </w:rPr>
              <w:t>'''''''''''''''</w:t>
            </w:r>
          </w:p>
        </w:tc>
        <w:tc>
          <w:tcPr>
            <w:tcW w:w="679" w:type="pct"/>
            <w:tcBorders>
              <w:top w:val="nil"/>
            </w:tcBorders>
            <w:shd w:val="clear" w:color="auto" w:fill="auto"/>
            <w:vAlign w:val="center"/>
          </w:tcPr>
          <w:p w:rsidR="00F14D83" w:rsidRPr="00BD7647" w:rsidRDefault="00BD7647" w:rsidP="00FC07E4">
            <w:pPr>
              <w:pStyle w:val="Tabletext"/>
              <w:keepNext/>
              <w:jc w:val="center"/>
              <w:rPr>
                <w:bCs/>
                <w:highlight w:val="black"/>
              </w:rPr>
            </w:pPr>
            <w:r>
              <w:rPr>
                <w:noProof/>
                <w:color w:val="000000"/>
                <w:highlight w:val="black"/>
              </w:rPr>
              <w:t>''''''''''''''''</w:t>
            </w:r>
          </w:p>
        </w:tc>
        <w:tc>
          <w:tcPr>
            <w:tcW w:w="764" w:type="pct"/>
            <w:tcBorders>
              <w:top w:val="nil"/>
            </w:tcBorders>
            <w:shd w:val="clear" w:color="auto" w:fill="auto"/>
            <w:vAlign w:val="center"/>
          </w:tcPr>
          <w:p w:rsidR="00F14D83" w:rsidRPr="00BD7647" w:rsidRDefault="00BD7647" w:rsidP="00FC07E4">
            <w:pPr>
              <w:pStyle w:val="Tabletext"/>
              <w:keepNext/>
              <w:jc w:val="center"/>
              <w:rPr>
                <w:bCs/>
                <w:highlight w:val="black"/>
              </w:rPr>
            </w:pPr>
            <w:r>
              <w:rPr>
                <w:noProof/>
                <w:color w:val="000000"/>
                <w:highlight w:val="black"/>
              </w:rPr>
              <w:t>'''''''''''''''</w:t>
            </w:r>
          </w:p>
        </w:tc>
        <w:tc>
          <w:tcPr>
            <w:tcW w:w="764" w:type="pct"/>
            <w:tcBorders>
              <w:top w:val="nil"/>
            </w:tcBorders>
            <w:shd w:val="clear" w:color="auto" w:fill="auto"/>
            <w:vAlign w:val="center"/>
          </w:tcPr>
          <w:p w:rsidR="00F14D83" w:rsidRPr="00BD7647" w:rsidRDefault="00BD7647" w:rsidP="00FC07E4">
            <w:pPr>
              <w:pStyle w:val="Tabletext"/>
              <w:keepNext/>
              <w:jc w:val="center"/>
              <w:rPr>
                <w:bCs/>
                <w:highlight w:val="black"/>
              </w:rPr>
            </w:pPr>
            <w:r>
              <w:rPr>
                <w:noProof/>
                <w:color w:val="000000"/>
                <w:highlight w:val="black"/>
              </w:rPr>
              <w:t>''''''''''''''''</w:t>
            </w:r>
          </w:p>
        </w:tc>
        <w:tc>
          <w:tcPr>
            <w:tcW w:w="755" w:type="pct"/>
            <w:tcBorders>
              <w:top w:val="nil"/>
            </w:tcBorders>
            <w:shd w:val="clear" w:color="auto" w:fill="auto"/>
            <w:vAlign w:val="center"/>
          </w:tcPr>
          <w:p w:rsidR="00F14D83" w:rsidRPr="00BD7647" w:rsidRDefault="00BD7647" w:rsidP="00FC07E4">
            <w:pPr>
              <w:pStyle w:val="Tabletext"/>
              <w:keepNext/>
              <w:jc w:val="center"/>
              <w:rPr>
                <w:bCs/>
                <w:highlight w:val="black"/>
              </w:rPr>
            </w:pPr>
            <w:r>
              <w:rPr>
                <w:noProof/>
                <w:color w:val="000000"/>
                <w:highlight w:val="black"/>
              </w:rPr>
              <w:t>''''''''''''''''''</w:t>
            </w:r>
          </w:p>
        </w:tc>
      </w:tr>
      <w:tr w:rsidR="004A442A" w:rsidRPr="009F79B5" w:rsidTr="004A442A">
        <w:tc>
          <w:tcPr>
            <w:tcW w:w="5000" w:type="pct"/>
            <w:gridSpan w:val="6"/>
            <w:shd w:val="clear" w:color="auto" w:fill="auto"/>
            <w:vAlign w:val="center"/>
          </w:tcPr>
          <w:p w:rsidR="004A442A" w:rsidRPr="00C33FCC" w:rsidRDefault="004A442A" w:rsidP="00FC07E4">
            <w:pPr>
              <w:keepNext/>
              <w:jc w:val="left"/>
              <w:rPr>
                <w:rFonts w:ascii="Arial Narrow" w:hAnsi="Arial Narrow"/>
                <w:b/>
                <w:bCs/>
                <w:color w:val="000000"/>
                <w:sz w:val="20"/>
              </w:rPr>
            </w:pPr>
            <w:r w:rsidRPr="00C33FCC">
              <w:rPr>
                <w:rFonts w:ascii="Arial Narrow" w:hAnsi="Arial Narrow"/>
                <w:b/>
                <w:bCs/>
                <w:color w:val="000000"/>
                <w:sz w:val="20"/>
              </w:rPr>
              <w:t>Estimated net cost to PBS/RPBS/MBS</w:t>
            </w:r>
          </w:p>
        </w:tc>
      </w:tr>
      <w:tr w:rsidR="004A442A" w:rsidRPr="009F79B5" w:rsidTr="003455F8">
        <w:tc>
          <w:tcPr>
            <w:tcW w:w="1359" w:type="pct"/>
            <w:tcBorders>
              <w:bottom w:val="nil"/>
            </w:tcBorders>
            <w:shd w:val="clear" w:color="auto" w:fill="auto"/>
            <w:vAlign w:val="center"/>
          </w:tcPr>
          <w:p w:rsidR="004A442A" w:rsidRPr="009F79B5" w:rsidRDefault="004A442A" w:rsidP="00FC07E4">
            <w:pPr>
              <w:keepNext/>
              <w:tabs>
                <w:tab w:val="left" w:pos="142"/>
              </w:tabs>
              <w:jc w:val="left"/>
              <w:rPr>
                <w:rFonts w:ascii="Arial Narrow" w:hAnsi="Arial Narrow"/>
                <w:sz w:val="20"/>
              </w:rPr>
            </w:pPr>
            <w:r w:rsidRPr="009F79B5">
              <w:rPr>
                <w:rFonts w:ascii="Arial Narrow" w:hAnsi="Arial Narrow"/>
                <w:sz w:val="19"/>
                <w:szCs w:val="19"/>
              </w:rPr>
              <w:t>Net cost to PBS/RPBS</w:t>
            </w:r>
          </w:p>
        </w:tc>
        <w:tc>
          <w:tcPr>
            <w:tcW w:w="679"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rPr>
                <w:rFonts w:cs="Arial"/>
                <w:bCs/>
              </w:rPr>
              <w:t>$</w:t>
            </w:r>
            <w:r w:rsidR="00BD7647">
              <w:rPr>
                <w:rFonts w:cs="Arial"/>
                <w:bCs/>
                <w:noProof/>
                <w:color w:val="000000"/>
                <w:highlight w:val="black"/>
              </w:rPr>
              <w:t>'''''''''''''''''''''''''''''</w:t>
            </w:r>
          </w:p>
        </w:tc>
        <w:tc>
          <w:tcPr>
            <w:tcW w:w="679"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rPr>
                <w:rFonts w:cs="Arial"/>
                <w:bCs/>
              </w:rPr>
              <w:t>$</w:t>
            </w:r>
            <w:r w:rsidR="00BD7647">
              <w:rPr>
                <w:rFonts w:cs="Arial"/>
                <w:bCs/>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rPr>
                <w:rFonts w:cs="Arial"/>
                <w:bCs/>
              </w:rPr>
              <w:t>$</w:t>
            </w:r>
            <w:r w:rsidR="00BD7647">
              <w:rPr>
                <w:rFonts w:cs="Arial"/>
                <w:bCs/>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rPr>
                <w:rFonts w:cs="Arial"/>
                <w:bCs/>
              </w:rPr>
              <w:t>$</w:t>
            </w:r>
            <w:r w:rsidR="00BD7647">
              <w:rPr>
                <w:rFonts w:cs="Arial"/>
                <w:bCs/>
                <w:noProof/>
                <w:color w:val="000000"/>
                <w:highlight w:val="black"/>
              </w:rPr>
              <w:t>'''''''''''''''''''''''''''''</w:t>
            </w:r>
          </w:p>
        </w:tc>
        <w:tc>
          <w:tcPr>
            <w:tcW w:w="755"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rPr>
                <w:rFonts w:cs="Arial"/>
                <w:bCs/>
              </w:rPr>
              <w:t>$</w:t>
            </w:r>
            <w:r w:rsidR="00BD7647">
              <w:rPr>
                <w:rFonts w:cs="Arial"/>
                <w:bCs/>
                <w:noProof/>
                <w:color w:val="000000"/>
                <w:highlight w:val="black"/>
              </w:rPr>
              <w:t>''''''''''''''''''''''''''''''''</w:t>
            </w:r>
          </w:p>
        </w:tc>
      </w:tr>
      <w:tr w:rsidR="00F14D83" w:rsidRPr="009F79B5" w:rsidTr="003455F8">
        <w:tc>
          <w:tcPr>
            <w:tcW w:w="1359" w:type="pct"/>
            <w:tcBorders>
              <w:top w:val="nil"/>
            </w:tcBorders>
            <w:shd w:val="clear" w:color="auto" w:fill="auto"/>
            <w:vAlign w:val="center"/>
          </w:tcPr>
          <w:p w:rsidR="00F14D83" w:rsidRPr="009F79B5" w:rsidRDefault="00F14D83" w:rsidP="00FC07E4">
            <w:pPr>
              <w:pStyle w:val="TableText0"/>
              <w:rPr>
                <w:sz w:val="19"/>
                <w:szCs w:val="19"/>
              </w:rPr>
            </w:pPr>
            <w:r w:rsidRPr="009F79B5">
              <w:rPr>
                <w:lang w:eastAsia="en-AU"/>
              </w:rPr>
              <w:t>NHCS-based estimates</w:t>
            </w:r>
          </w:p>
        </w:tc>
        <w:tc>
          <w:tcPr>
            <w:tcW w:w="679" w:type="pct"/>
            <w:tcBorders>
              <w:top w:val="nil"/>
            </w:tcBorders>
            <w:shd w:val="clear" w:color="auto" w:fill="auto"/>
            <w:vAlign w:val="center"/>
          </w:tcPr>
          <w:p w:rsidR="00F14D83" w:rsidRPr="00C33FCC" w:rsidRDefault="00F14D83" w:rsidP="00FC07E4">
            <w:pPr>
              <w:pStyle w:val="Tabletext"/>
              <w:keepNext/>
              <w:jc w:val="right"/>
              <w:rPr>
                <w:rFonts w:cs="Arial"/>
                <w:bCs/>
              </w:rPr>
            </w:pPr>
            <w:r w:rsidRPr="00C33FCC">
              <w:t>$</w:t>
            </w:r>
            <w:r w:rsidR="00BD7647">
              <w:rPr>
                <w:noProof/>
                <w:color w:val="000000"/>
                <w:highlight w:val="black"/>
              </w:rPr>
              <w:t>'''''''''''''''''''''''''''''</w:t>
            </w:r>
          </w:p>
        </w:tc>
        <w:tc>
          <w:tcPr>
            <w:tcW w:w="679" w:type="pct"/>
            <w:tcBorders>
              <w:top w:val="nil"/>
            </w:tcBorders>
            <w:shd w:val="clear" w:color="auto" w:fill="auto"/>
            <w:vAlign w:val="center"/>
          </w:tcPr>
          <w:p w:rsidR="00F14D83" w:rsidRPr="00C33FCC" w:rsidRDefault="00F14D83" w:rsidP="00FC07E4">
            <w:pPr>
              <w:pStyle w:val="Tabletext"/>
              <w:keepNext/>
              <w:jc w:val="right"/>
              <w:rPr>
                <w:rFonts w:cs="Arial"/>
                <w:bCs/>
              </w:rPr>
            </w:pPr>
            <w:r w:rsidRPr="00C33FCC">
              <w:t>$</w:t>
            </w:r>
            <w:r w:rsidR="00BD7647">
              <w:rPr>
                <w:noProof/>
                <w:color w:val="000000"/>
                <w:highlight w:val="black"/>
              </w:rPr>
              <w:t>'''''''''''''''''''''''''''''''''</w:t>
            </w:r>
          </w:p>
        </w:tc>
        <w:tc>
          <w:tcPr>
            <w:tcW w:w="764" w:type="pct"/>
            <w:tcBorders>
              <w:top w:val="nil"/>
            </w:tcBorders>
            <w:shd w:val="clear" w:color="auto" w:fill="auto"/>
            <w:vAlign w:val="center"/>
          </w:tcPr>
          <w:p w:rsidR="00F14D83" w:rsidRPr="00C33FCC" w:rsidRDefault="00F14D83" w:rsidP="00FC07E4">
            <w:pPr>
              <w:pStyle w:val="Tabletext"/>
              <w:keepNext/>
              <w:jc w:val="right"/>
              <w:rPr>
                <w:rFonts w:cs="Arial"/>
                <w:bCs/>
              </w:rPr>
            </w:pPr>
            <w:r w:rsidRPr="00C33FCC">
              <w:t>$</w:t>
            </w:r>
            <w:r w:rsidR="00BD7647">
              <w:rPr>
                <w:noProof/>
                <w:color w:val="000000"/>
                <w:highlight w:val="black"/>
              </w:rPr>
              <w:t>''''''''''''''''''''''''''''</w:t>
            </w:r>
          </w:p>
        </w:tc>
        <w:tc>
          <w:tcPr>
            <w:tcW w:w="764" w:type="pct"/>
            <w:tcBorders>
              <w:top w:val="nil"/>
            </w:tcBorders>
            <w:shd w:val="clear" w:color="auto" w:fill="auto"/>
            <w:vAlign w:val="center"/>
          </w:tcPr>
          <w:p w:rsidR="00F14D83" w:rsidRPr="00C33FCC" w:rsidRDefault="00F14D83" w:rsidP="00FC07E4">
            <w:pPr>
              <w:pStyle w:val="Tabletext"/>
              <w:keepNext/>
              <w:jc w:val="right"/>
              <w:rPr>
                <w:rFonts w:cs="Arial"/>
                <w:bCs/>
              </w:rPr>
            </w:pPr>
            <w:r w:rsidRPr="00C33FCC">
              <w:t>$</w:t>
            </w:r>
            <w:r w:rsidR="00BD7647">
              <w:rPr>
                <w:noProof/>
                <w:color w:val="000000"/>
                <w:highlight w:val="black"/>
              </w:rPr>
              <w:t>''''''''''''''''''''''''''''</w:t>
            </w:r>
          </w:p>
        </w:tc>
        <w:tc>
          <w:tcPr>
            <w:tcW w:w="755" w:type="pct"/>
            <w:tcBorders>
              <w:top w:val="nil"/>
            </w:tcBorders>
            <w:shd w:val="clear" w:color="auto" w:fill="auto"/>
            <w:vAlign w:val="center"/>
          </w:tcPr>
          <w:p w:rsidR="00F14D83" w:rsidRPr="00C33FCC" w:rsidRDefault="00F14D83" w:rsidP="00FC07E4">
            <w:pPr>
              <w:pStyle w:val="Tabletext"/>
              <w:keepNext/>
              <w:jc w:val="right"/>
              <w:rPr>
                <w:rFonts w:cs="Arial"/>
                <w:bCs/>
              </w:rPr>
            </w:pPr>
            <w:r w:rsidRPr="00C33FCC">
              <w:t>$</w:t>
            </w:r>
            <w:r w:rsidR="00BD7647">
              <w:rPr>
                <w:noProof/>
                <w:color w:val="000000"/>
                <w:highlight w:val="black"/>
              </w:rPr>
              <w:t>'''''''''''''''''''''''''''''''</w:t>
            </w:r>
          </w:p>
        </w:tc>
      </w:tr>
      <w:tr w:rsidR="004A442A" w:rsidRPr="009F79B5" w:rsidTr="003455F8">
        <w:tc>
          <w:tcPr>
            <w:tcW w:w="1359" w:type="pct"/>
            <w:tcBorders>
              <w:bottom w:val="nil"/>
            </w:tcBorders>
            <w:shd w:val="clear" w:color="auto" w:fill="auto"/>
            <w:vAlign w:val="center"/>
          </w:tcPr>
          <w:p w:rsidR="004A442A" w:rsidRPr="009F79B5" w:rsidRDefault="004A442A" w:rsidP="00FC07E4">
            <w:pPr>
              <w:keepNext/>
              <w:tabs>
                <w:tab w:val="left" w:pos="142"/>
              </w:tabs>
              <w:jc w:val="left"/>
              <w:rPr>
                <w:rFonts w:ascii="Arial Narrow" w:hAnsi="Arial Narrow"/>
                <w:sz w:val="20"/>
              </w:rPr>
            </w:pPr>
            <w:r w:rsidRPr="009F79B5">
              <w:rPr>
                <w:rFonts w:ascii="Arial Narrow" w:hAnsi="Arial Narrow"/>
                <w:sz w:val="19"/>
                <w:szCs w:val="19"/>
              </w:rPr>
              <w:t>Net cost to MBS</w:t>
            </w:r>
          </w:p>
        </w:tc>
        <w:tc>
          <w:tcPr>
            <w:tcW w:w="679"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t>$</w:t>
            </w:r>
            <w:r w:rsidR="00BD7647">
              <w:rPr>
                <w:noProof/>
                <w:color w:val="000000"/>
                <w:highlight w:val="black"/>
              </w:rPr>
              <w:t>''''''''''''''''''''''</w:t>
            </w:r>
          </w:p>
        </w:tc>
        <w:tc>
          <w:tcPr>
            <w:tcW w:w="679"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t>$</w:t>
            </w:r>
            <w:r w:rsidR="00BD7647">
              <w:rPr>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t>$</w:t>
            </w:r>
            <w:r w:rsidR="00BD7647">
              <w:rPr>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t>$</w:t>
            </w:r>
            <w:r w:rsidR="00BD7647">
              <w:rPr>
                <w:noProof/>
                <w:color w:val="000000"/>
                <w:highlight w:val="black"/>
              </w:rPr>
              <w:t>'''''''''''''''''''''</w:t>
            </w:r>
          </w:p>
        </w:tc>
        <w:tc>
          <w:tcPr>
            <w:tcW w:w="755" w:type="pct"/>
            <w:tcBorders>
              <w:bottom w:val="nil"/>
            </w:tcBorders>
            <w:shd w:val="clear" w:color="auto" w:fill="auto"/>
            <w:vAlign w:val="center"/>
          </w:tcPr>
          <w:p w:rsidR="004A442A" w:rsidRPr="00C33FCC" w:rsidRDefault="004A442A" w:rsidP="00FC07E4">
            <w:pPr>
              <w:pStyle w:val="Tabletext"/>
              <w:keepNext/>
              <w:jc w:val="right"/>
              <w:rPr>
                <w:bCs/>
                <w:color w:val="000000"/>
              </w:rPr>
            </w:pPr>
            <w:r w:rsidRPr="00C33FCC">
              <w:t>$</w:t>
            </w:r>
            <w:r w:rsidR="00BD7647">
              <w:rPr>
                <w:noProof/>
                <w:color w:val="000000"/>
                <w:highlight w:val="black"/>
              </w:rPr>
              <w:t>''''''''''''''''''''''''</w:t>
            </w:r>
          </w:p>
        </w:tc>
      </w:tr>
      <w:tr w:rsidR="003455F8" w:rsidRPr="009F79B5" w:rsidTr="003455F8">
        <w:tc>
          <w:tcPr>
            <w:tcW w:w="1359" w:type="pct"/>
            <w:tcBorders>
              <w:top w:val="nil"/>
            </w:tcBorders>
            <w:shd w:val="clear" w:color="auto" w:fill="auto"/>
            <w:vAlign w:val="center"/>
          </w:tcPr>
          <w:p w:rsidR="003455F8" w:rsidRPr="009F79B5" w:rsidRDefault="003455F8" w:rsidP="00FC07E4">
            <w:pPr>
              <w:pStyle w:val="TableText0"/>
              <w:rPr>
                <w:sz w:val="19"/>
                <w:szCs w:val="19"/>
              </w:rPr>
            </w:pPr>
            <w:r w:rsidRPr="009F79B5">
              <w:rPr>
                <w:lang w:eastAsia="en-AU"/>
              </w:rPr>
              <w:t>NHCS-based estimates</w:t>
            </w:r>
          </w:p>
        </w:tc>
        <w:tc>
          <w:tcPr>
            <w:tcW w:w="679" w:type="pct"/>
            <w:tcBorders>
              <w:top w:val="nil"/>
            </w:tcBorders>
            <w:shd w:val="clear" w:color="auto" w:fill="auto"/>
            <w:vAlign w:val="bottom"/>
          </w:tcPr>
          <w:p w:rsidR="003455F8" w:rsidRPr="00C33FCC" w:rsidRDefault="003455F8" w:rsidP="00FC07E4">
            <w:pPr>
              <w:pStyle w:val="Tabletext"/>
              <w:keepNext/>
              <w:jc w:val="right"/>
            </w:pPr>
            <w:r w:rsidRPr="00C33FCC">
              <w:rPr>
                <w:rFonts w:cs="Arial"/>
                <w:bCs/>
              </w:rPr>
              <w:t>$</w:t>
            </w:r>
            <w:r w:rsidR="00BD7647">
              <w:rPr>
                <w:rFonts w:cs="Arial"/>
                <w:bCs/>
                <w:noProof/>
                <w:color w:val="000000"/>
                <w:highlight w:val="black"/>
              </w:rPr>
              <w:t>'''''''''''''''''</w:t>
            </w:r>
          </w:p>
        </w:tc>
        <w:tc>
          <w:tcPr>
            <w:tcW w:w="679" w:type="pct"/>
            <w:tcBorders>
              <w:top w:val="nil"/>
            </w:tcBorders>
            <w:shd w:val="clear" w:color="auto" w:fill="auto"/>
            <w:vAlign w:val="bottom"/>
          </w:tcPr>
          <w:p w:rsidR="003455F8" w:rsidRPr="00C33FCC" w:rsidRDefault="003455F8" w:rsidP="00FC07E4">
            <w:pPr>
              <w:pStyle w:val="Tabletext"/>
              <w:keepNext/>
              <w:jc w:val="right"/>
            </w:pPr>
            <w:r w:rsidRPr="00C33FCC">
              <w:rPr>
                <w:rFonts w:cs="Arial"/>
                <w:bCs/>
              </w:rPr>
              <w:t>$</w:t>
            </w:r>
            <w:r w:rsidR="00BD7647">
              <w:rPr>
                <w:rFonts w:cs="Arial"/>
                <w:bCs/>
                <w:noProof/>
                <w:color w:val="000000"/>
                <w:highlight w:val="black"/>
              </w:rPr>
              <w:t>'''''''''''''''''''''''</w:t>
            </w:r>
          </w:p>
        </w:tc>
        <w:tc>
          <w:tcPr>
            <w:tcW w:w="764" w:type="pct"/>
            <w:tcBorders>
              <w:top w:val="nil"/>
            </w:tcBorders>
            <w:shd w:val="clear" w:color="auto" w:fill="auto"/>
            <w:vAlign w:val="bottom"/>
          </w:tcPr>
          <w:p w:rsidR="003455F8" w:rsidRPr="00C33FCC" w:rsidRDefault="003455F8" w:rsidP="00FC07E4">
            <w:pPr>
              <w:pStyle w:val="Tabletext"/>
              <w:keepNext/>
              <w:jc w:val="right"/>
            </w:pPr>
            <w:r w:rsidRPr="00C33FCC">
              <w:rPr>
                <w:rFonts w:cs="Arial"/>
                <w:bCs/>
              </w:rPr>
              <w:t>$</w:t>
            </w:r>
            <w:r w:rsidR="00BD7647">
              <w:rPr>
                <w:rFonts w:cs="Arial"/>
                <w:bCs/>
                <w:noProof/>
                <w:color w:val="000000"/>
                <w:highlight w:val="black"/>
              </w:rPr>
              <w:t>''''''''''''''''''''''</w:t>
            </w:r>
          </w:p>
        </w:tc>
        <w:tc>
          <w:tcPr>
            <w:tcW w:w="764" w:type="pct"/>
            <w:tcBorders>
              <w:top w:val="nil"/>
            </w:tcBorders>
            <w:shd w:val="clear" w:color="auto" w:fill="auto"/>
            <w:vAlign w:val="bottom"/>
          </w:tcPr>
          <w:p w:rsidR="003455F8" w:rsidRPr="00C33FCC" w:rsidRDefault="003455F8" w:rsidP="00FC07E4">
            <w:pPr>
              <w:pStyle w:val="Tabletext"/>
              <w:keepNext/>
              <w:jc w:val="right"/>
            </w:pPr>
            <w:r w:rsidRPr="00C33FCC">
              <w:rPr>
                <w:rFonts w:cs="Arial"/>
                <w:bCs/>
              </w:rPr>
              <w:t>$</w:t>
            </w:r>
            <w:r w:rsidR="00BD7647">
              <w:rPr>
                <w:rFonts w:cs="Arial"/>
                <w:bCs/>
                <w:noProof/>
                <w:color w:val="000000"/>
                <w:highlight w:val="black"/>
              </w:rPr>
              <w:t>''''''''''''''''''''''''</w:t>
            </w:r>
          </w:p>
        </w:tc>
        <w:tc>
          <w:tcPr>
            <w:tcW w:w="755" w:type="pct"/>
            <w:tcBorders>
              <w:top w:val="nil"/>
            </w:tcBorders>
            <w:shd w:val="clear" w:color="auto" w:fill="auto"/>
            <w:vAlign w:val="bottom"/>
          </w:tcPr>
          <w:p w:rsidR="003455F8" w:rsidRPr="00C33FCC" w:rsidRDefault="003455F8" w:rsidP="00FC07E4">
            <w:pPr>
              <w:pStyle w:val="Tabletext"/>
              <w:keepNext/>
              <w:jc w:val="right"/>
            </w:pPr>
            <w:r w:rsidRPr="00C33FCC">
              <w:rPr>
                <w:rFonts w:cs="Arial"/>
                <w:bCs/>
              </w:rPr>
              <w:t>$</w:t>
            </w:r>
            <w:r w:rsidR="00BD7647">
              <w:rPr>
                <w:rFonts w:cs="Arial"/>
                <w:bCs/>
                <w:noProof/>
                <w:color w:val="000000"/>
                <w:highlight w:val="black"/>
              </w:rPr>
              <w:t>''''''''''''''''''''''</w:t>
            </w:r>
          </w:p>
        </w:tc>
      </w:tr>
      <w:tr w:rsidR="004A442A" w:rsidRPr="009F79B5" w:rsidTr="004A442A">
        <w:tc>
          <w:tcPr>
            <w:tcW w:w="5000" w:type="pct"/>
            <w:gridSpan w:val="6"/>
            <w:shd w:val="clear" w:color="auto" w:fill="auto"/>
            <w:vAlign w:val="center"/>
          </w:tcPr>
          <w:p w:rsidR="004A442A" w:rsidRPr="00C33FCC" w:rsidRDefault="004A442A" w:rsidP="00FC07E4">
            <w:pPr>
              <w:keepNext/>
              <w:jc w:val="left"/>
              <w:rPr>
                <w:rFonts w:ascii="Arial Narrow" w:hAnsi="Arial Narrow"/>
                <w:b/>
                <w:color w:val="000000"/>
                <w:sz w:val="20"/>
              </w:rPr>
            </w:pPr>
            <w:r w:rsidRPr="00C33FCC">
              <w:rPr>
                <w:rFonts w:ascii="Arial Narrow" w:hAnsi="Arial Narrow"/>
                <w:b/>
                <w:color w:val="000000"/>
                <w:sz w:val="20"/>
              </w:rPr>
              <w:t>Estimated total net cost</w:t>
            </w:r>
          </w:p>
        </w:tc>
      </w:tr>
      <w:tr w:rsidR="004A442A" w:rsidRPr="009F79B5" w:rsidTr="00BB5DD6">
        <w:tc>
          <w:tcPr>
            <w:tcW w:w="1359" w:type="pct"/>
            <w:tcBorders>
              <w:bottom w:val="nil"/>
            </w:tcBorders>
            <w:shd w:val="clear" w:color="auto" w:fill="auto"/>
            <w:vAlign w:val="center"/>
          </w:tcPr>
          <w:p w:rsidR="004A442A" w:rsidRPr="009F79B5" w:rsidRDefault="004A442A" w:rsidP="00FC07E4">
            <w:pPr>
              <w:keepNext/>
              <w:tabs>
                <w:tab w:val="left" w:pos="142"/>
              </w:tabs>
              <w:jc w:val="left"/>
              <w:rPr>
                <w:rFonts w:ascii="Arial Narrow" w:hAnsi="Arial Narrow"/>
                <w:b/>
                <w:sz w:val="20"/>
              </w:rPr>
            </w:pPr>
            <w:r w:rsidRPr="009F79B5">
              <w:rPr>
                <w:rFonts w:ascii="Arial Narrow" w:hAnsi="Arial Narrow"/>
                <w:b/>
                <w:bCs/>
                <w:color w:val="000000"/>
                <w:sz w:val="20"/>
              </w:rPr>
              <w:t>Net cost to PBS/RPBS/MBS</w:t>
            </w:r>
          </w:p>
        </w:tc>
        <w:tc>
          <w:tcPr>
            <w:tcW w:w="679" w:type="pct"/>
            <w:tcBorders>
              <w:bottom w:val="nil"/>
            </w:tcBorders>
            <w:shd w:val="clear" w:color="auto" w:fill="auto"/>
            <w:vAlign w:val="center"/>
          </w:tcPr>
          <w:p w:rsidR="004A442A" w:rsidRPr="00C33FCC" w:rsidRDefault="004A442A" w:rsidP="00FC07E4">
            <w:pPr>
              <w:pStyle w:val="Tabletext"/>
              <w:keepNext/>
              <w:jc w:val="right"/>
              <w:rPr>
                <w:color w:val="000000"/>
              </w:rPr>
            </w:pPr>
            <w:r w:rsidRPr="00C33FCC">
              <w:rPr>
                <w:b/>
              </w:rPr>
              <w:t>$</w:t>
            </w:r>
            <w:r w:rsidR="00BD7647">
              <w:rPr>
                <w:b/>
                <w:noProof/>
                <w:color w:val="000000"/>
                <w:highlight w:val="black"/>
              </w:rPr>
              <w:t>''''''''''''''''''''''</w:t>
            </w:r>
          </w:p>
        </w:tc>
        <w:tc>
          <w:tcPr>
            <w:tcW w:w="679" w:type="pct"/>
            <w:tcBorders>
              <w:bottom w:val="nil"/>
            </w:tcBorders>
            <w:shd w:val="clear" w:color="auto" w:fill="auto"/>
            <w:vAlign w:val="center"/>
          </w:tcPr>
          <w:p w:rsidR="004A442A" w:rsidRPr="00C33FCC" w:rsidRDefault="004A442A" w:rsidP="00FC07E4">
            <w:pPr>
              <w:pStyle w:val="Tabletext"/>
              <w:keepNext/>
              <w:jc w:val="right"/>
              <w:rPr>
                <w:color w:val="000000"/>
              </w:rPr>
            </w:pPr>
            <w:r w:rsidRPr="00C33FCC">
              <w:rPr>
                <w:b/>
              </w:rPr>
              <w:t>$</w:t>
            </w:r>
            <w:r w:rsidR="00BD7647">
              <w:rPr>
                <w:b/>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color w:val="000000"/>
              </w:rPr>
            </w:pPr>
            <w:r w:rsidRPr="00C33FCC">
              <w:rPr>
                <w:b/>
              </w:rPr>
              <w:t>$</w:t>
            </w:r>
            <w:r w:rsidR="00BD7647">
              <w:rPr>
                <w:b/>
                <w:noProof/>
                <w:color w:val="000000"/>
                <w:highlight w:val="black"/>
              </w:rPr>
              <w:t>''''''''''''''''''''''''</w:t>
            </w:r>
          </w:p>
        </w:tc>
        <w:tc>
          <w:tcPr>
            <w:tcW w:w="764" w:type="pct"/>
            <w:tcBorders>
              <w:bottom w:val="nil"/>
            </w:tcBorders>
            <w:shd w:val="clear" w:color="auto" w:fill="auto"/>
            <w:vAlign w:val="center"/>
          </w:tcPr>
          <w:p w:rsidR="004A442A" w:rsidRPr="00C33FCC" w:rsidRDefault="004A442A" w:rsidP="00FC07E4">
            <w:pPr>
              <w:pStyle w:val="Tabletext"/>
              <w:keepNext/>
              <w:jc w:val="right"/>
              <w:rPr>
                <w:color w:val="000000"/>
              </w:rPr>
            </w:pPr>
            <w:r w:rsidRPr="00C33FCC">
              <w:rPr>
                <w:b/>
              </w:rPr>
              <w:t>$</w:t>
            </w:r>
            <w:r w:rsidR="00BD7647">
              <w:rPr>
                <w:b/>
                <w:noProof/>
                <w:color w:val="000000"/>
                <w:highlight w:val="black"/>
              </w:rPr>
              <w:t>''''''''''''''''''''''</w:t>
            </w:r>
          </w:p>
        </w:tc>
        <w:tc>
          <w:tcPr>
            <w:tcW w:w="755" w:type="pct"/>
            <w:tcBorders>
              <w:bottom w:val="nil"/>
            </w:tcBorders>
            <w:shd w:val="clear" w:color="auto" w:fill="auto"/>
            <w:vAlign w:val="center"/>
          </w:tcPr>
          <w:p w:rsidR="004A442A" w:rsidRPr="00C33FCC" w:rsidRDefault="004A442A" w:rsidP="00FC07E4">
            <w:pPr>
              <w:pStyle w:val="Tabletext"/>
              <w:keepNext/>
              <w:jc w:val="right"/>
              <w:rPr>
                <w:color w:val="000000"/>
              </w:rPr>
            </w:pPr>
            <w:r w:rsidRPr="00C33FCC">
              <w:rPr>
                <w:b/>
              </w:rPr>
              <w:t>$</w:t>
            </w:r>
            <w:r w:rsidR="00BD7647">
              <w:rPr>
                <w:b/>
                <w:noProof/>
                <w:color w:val="000000"/>
                <w:highlight w:val="black"/>
              </w:rPr>
              <w:t>''''''''''''''''''''''''</w:t>
            </w:r>
          </w:p>
        </w:tc>
      </w:tr>
      <w:tr w:rsidR="003455F8" w:rsidRPr="009F79B5" w:rsidTr="00BB5DD6">
        <w:tc>
          <w:tcPr>
            <w:tcW w:w="1359" w:type="pct"/>
            <w:tcBorders>
              <w:top w:val="nil"/>
            </w:tcBorders>
            <w:shd w:val="clear" w:color="auto" w:fill="auto"/>
            <w:vAlign w:val="center"/>
          </w:tcPr>
          <w:p w:rsidR="003455F8" w:rsidRPr="009F79B5" w:rsidRDefault="003455F8" w:rsidP="00FC07E4">
            <w:pPr>
              <w:pStyle w:val="TableText0"/>
              <w:rPr>
                <w:b/>
                <w:bCs/>
                <w:color w:val="000000"/>
              </w:rPr>
            </w:pPr>
            <w:r w:rsidRPr="009F79B5">
              <w:rPr>
                <w:lang w:eastAsia="en-AU"/>
              </w:rPr>
              <w:t>NHCS-based estimates</w:t>
            </w:r>
          </w:p>
        </w:tc>
        <w:tc>
          <w:tcPr>
            <w:tcW w:w="679" w:type="pct"/>
            <w:tcBorders>
              <w:top w:val="nil"/>
            </w:tcBorders>
            <w:shd w:val="clear" w:color="auto" w:fill="auto"/>
            <w:vAlign w:val="bottom"/>
          </w:tcPr>
          <w:p w:rsidR="003455F8" w:rsidRPr="00C33FCC" w:rsidRDefault="003455F8" w:rsidP="00FC07E4">
            <w:pPr>
              <w:pStyle w:val="Tabletext"/>
              <w:keepNext/>
              <w:jc w:val="right"/>
              <w:rPr>
                <w:b/>
              </w:rPr>
            </w:pPr>
            <w:r w:rsidRPr="00C33FCC">
              <w:rPr>
                <w:rFonts w:cs="Arial"/>
                <w:b/>
              </w:rPr>
              <w:t>$</w:t>
            </w:r>
            <w:r w:rsidR="00BD7647">
              <w:rPr>
                <w:rFonts w:cs="Arial"/>
                <w:b/>
                <w:noProof/>
                <w:color w:val="000000"/>
                <w:highlight w:val="black"/>
              </w:rPr>
              <w:t>''''''''''''''''''''''''</w:t>
            </w:r>
          </w:p>
        </w:tc>
        <w:tc>
          <w:tcPr>
            <w:tcW w:w="679" w:type="pct"/>
            <w:tcBorders>
              <w:top w:val="nil"/>
            </w:tcBorders>
            <w:shd w:val="clear" w:color="auto" w:fill="auto"/>
            <w:vAlign w:val="bottom"/>
          </w:tcPr>
          <w:p w:rsidR="003455F8" w:rsidRPr="00C33FCC" w:rsidRDefault="003455F8" w:rsidP="00FC07E4">
            <w:pPr>
              <w:pStyle w:val="Tabletext"/>
              <w:keepNext/>
              <w:jc w:val="right"/>
              <w:rPr>
                <w:b/>
              </w:rPr>
            </w:pPr>
            <w:r w:rsidRPr="00C33FCC">
              <w:rPr>
                <w:rFonts w:cs="Arial"/>
                <w:b/>
              </w:rPr>
              <w:t>$</w:t>
            </w:r>
            <w:r w:rsidR="00BD7647">
              <w:rPr>
                <w:rFonts w:cs="Arial"/>
                <w:b/>
                <w:noProof/>
                <w:color w:val="000000"/>
                <w:highlight w:val="black"/>
              </w:rPr>
              <w:t>''''''''''''''''''''''''</w:t>
            </w:r>
          </w:p>
        </w:tc>
        <w:tc>
          <w:tcPr>
            <w:tcW w:w="764" w:type="pct"/>
            <w:tcBorders>
              <w:top w:val="nil"/>
            </w:tcBorders>
            <w:shd w:val="clear" w:color="auto" w:fill="auto"/>
            <w:vAlign w:val="bottom"/>
          </w:tcPr>
          <w:p w:rsidR="003455F8" w:rsidRPr="00C33FCC" w:rsidRDefault="003455F8" w:rsidP="00FC07E4">
            <w:pPr>
              <w:pStyle w:val="Tabletext"/>
              <w:keepNext/>
              <w:jc w:val="right"/>
              <w:rPr>
                <w:b/>
              </w:rPr>
            </w:pPr>
            <w:r w:rsidRPr="00C33FCC">
              <w:rPr>
                <w:rFonts w:cs="Arial"/>
                <w:b/>
              </w:rPr>
              <w:t>$</w:t>
            </w:r>
            <w:r w:rsidR="00BD7647">
              <w:rPr>
                <w:rFonts w:cs="Arial"/>
                <w:b/>
                <w:noProof/>
                <w:color w:val="000000"/>
                <w:highlight w:val="black"/>
              </w:rPr>
              <w:t>'''''''''''''''''''''''''</w:t>
            </w:r>
          </w:p>
        </w:tc>
        <w:tc>
          <w:tcPr>
            <w:tcW w:w="764" w:type="pct"/>
            <w:tcBorders>
              <w:top w:val="nil"/>
            </w:tcBorders>
            <w:shd w:val="clear" w:color="auto" w:fill="auto"/>
            <w:vAlign w:val="bottom"/>
          </w:tcPr>
          <w:p w:rsidR="003455F8" w:rsidRPr="00C33FCC" w:rsidRDefault="003455F8" w:rsidP="00FC07E4">
            <w:pPr>
              <w:pStyle w:val="Tabletext"/>
              <w:keepNext/>
              <w:jc w:val="right"/>
              <w:rPr>
                <w:b/>
              </w:rPr>
            </w:pPr>
            <w:r w:rsidRPr="00C33FCC">
              <w:rPr>
                <w:rFonts w:cs="Arial"/>
                <w:b/>
              </w:rPr>
              <w:t>$</w:t>
            </w:r>
            <w:r w:rsidR="00BD7647">
              <w:rPr>
                <w:rFonts w:cs="Arial"/>
                <w:b/>
                <w:noProof/>
                <w:color w:val="000000"/>
                <w:highlight w:val="black"/>
              </w:rPr>
              <w:t>''''''''''''''''''''''</w:t>
            </w:r>
          </w:p>
        </w:tc>
        <w:tc>
          <w:tcPr>
            <w:tcW w:w="755" w:type="pct"/>
            <w:tcBorders>
              <w:top w:val="nil"/>
            </w:tcBorders>
            <w:shd w:val="clear" w:color="auto" w:fill="auto"/>
            <w:vAlign w:val="bottom"/>
          </w:tcPr>
          <w:p w:rsidR="003455F8" w:rsidRPr="00C33FCC" w:rsidRDefault="003455F8" w:rsidP="00FC07E4">
            <w:pPr>
              <w:pStyle w:val="Tabletext"/>
              <w:keepNext/>
              <w:jc w:val="right"/>
              <w:rPr>
                <w:b/>
              </w:rPr>
            </w:pPr>
            <w:r w:rsidRPr="00C33FCC">
              <w:rPr>
                <w:rFonts w:cs="Arial"/>
                <w:b/>
              </w:rPr>
              <w:t>$</w:t>
            </w:r>
            <w:r w:rsidR="00BD7647">
              <w:rPr>
                <w:rFonts w:cs="Arial"/>
                <w:b/>
                <w:noProof/>
                <w:color w:val="000000"/>
                <w:highlight w:val="black"/>
              </w:rPr>
              <w:t>'''''''''''''''''''''''''</w:t>
            </w:r>
          </w:p>
        </w:tc>
      </w:tr>
    </w:tbl>
    <w:p w:rsidR="007354D5" w:rsidRPr="009F79B5" w:rsidRDefault="007354D5" w:rsidP="00FC07E4">
      <w:pPr>
        <w:pStyle w:val="TableFooter"/>
        <w:keepNext/>
        <w:ind w:firstLine="720"/>
        <w:rPr>
          <w:i/>
        </w:rPr>
      </w:pPr>
      <w:proofErr w:type="gramStart"/>
      <w:r w:rsidRPr="009F79B5">
        <w:rPr>
          <w:vertAlign w:val="superscript"/>
        </w:rPr>
        <w:t>a</w:t>
      </w:r>
      <w:proofErr w:type="gramEnd"/>
      <w:r w:rsidRPr="009F79B5">
        <w:t xml:space="preserve"> Total number of patients treated over 5 years: </w:t>
      </w:r>
      <w:r w:rsidR="00BD7647">
        <w:rPr>
          <w:noProof/>
          <w:color w:val="000000"/>
          <w:highlight w:val="black"/>
        </w:rPr>
        <w:t>''''''''''''''''''</w:t>
      </w:r>
      <w:r w:rsidRPr="009F79B5">
        <w:t xml:space="preserve">; </w:t>
      </w:r>
      <w:r w:rsidRPr="009F79B5">
        <w:rPr>
          <w:i/>
        </w:rPr>
        <w:t>NHCS-based estimate 33,300</w:t>
      </w:r>
      <w:r w:rsidR="008D4D0B" w:rsidRPr="009F79B5">
        <w:rPr>
          <w:i/>
        </w:rPr>
        <w:t xml:space="preserve"> patients over 5 years.</w:t>
      </w:r>
    </w:p>
    <w:p w:rsidR="004A442A" w:rsidRPr="009F79B5" w:rsidRDefault="007354D5" w:rsidP="00FC07E4">
      <w:pPr>
        <w:pStyle w:val="TableFooter"/>
        <w:keepNext/>
        <w:ind w:firstLine="720"/>
      </w:pPr>
      <w:proofErr w:type="gramStart"/>
      <w:r w:rsidRPr="009F79B5">
        <w:rPr>
          <w:vertAlign w:val="superscript"/>
        </w:rPr>
        <w:t>b</w:t>
      </w:r>
      <w:proofErr w:type="gramEnd"/>
      <w:r w:rsidR="004A442A" w:rsidRPr="009F79B5">
        <w:t xml:space="preserve"> Assuming 2 scripts for </w:t>
      </w:r>
      <w:proofErr w:type="spellStart"/>
      <w:r w:rsidR="004A442A" w:rsidRPr="009F79B5">
        <w:t>simeprevir</w:t>
      </w:r>
      <w:proofErr w:type="spellEnd"/>
      <w:r w:rsidR="004A442A" w:rsidRPr="009F79B5">
        <w:t xml:space="preserve"> and 3 scripts for </w:t>
      </w:r>
      <w:proofErr w:type="spellStart"/>
      <w:r w:rsidR="004A442A" w:rsidRPr="009F79B5">
        <w:t>sofosbuvir</w:t>
      </w:r>
      <w:proofErr w:type="spellEnd"/>
      <w:r w:rsidR="004A442A" w:rsidRPr="009F79B5">
        <w:t xml:space="preserve"> per patient, as estimated by the submission.</w:t>
      </w:r>
    </w:p>
    <w:p w:rsidR="00094FBC" w:rsidRPr="009F79B5" w:rsidRDefault="00094FBC" w:rsidP="00FC07E4">
      <w:pPr>
        <w:pStyle w:val="TableFooter"/>
        <w:keepNext/>
        <w:ind w:left="709"/>
      </w:pPr>
      <w:r w:rsidRPr="009F79B5">
        <w:t>Note: NHCS-based estimates assume 4,400 patients of all genotypes were treated in 2014, the number treated increases by 50% each year for years 1-3, and 54.5% of patients treated have genotype 1 HCV infection</w:t>
      </w:r>
      <w:r w:rsidR="00FD58D9" w:rsidRPr="009F79B5">
        <w:t xml:space="preserve">, consistent with the assumptions used in the DUSC estimates for LDV/SOF, SOF+PR and DCV+SOF. </w:t>
      </w:r>
    </w:p>
    <w:p w:rsidR="00FC7B20" w:rsidRPr="009F79B5" w:rsidRDefault="004A442A" w:rsidP="00EE105A">
      <w:pPr>
        <w:pStyle w:val="TableFooter"/>
        <w:ind w:left="709"/>
      </w:pPr>
      <w:r w:rsidRPr="009F79B5">
        <w:t>Source: Table E.11, p 239 and E.24, p246 of the Submission</w:t>
      </w:r>
    </w:p>
    <w:p w:rsidR="00FC7B20" w:rsidRDefault="00FC7B20" w:rsidP="004A442A">
      <w:pPr>
        <w:pStyle w:val="TableFooter"/>
        <w:ind w:left="709"/>
      </w:pPr>
    </w:p>
    <w:p w:rsidR="00FC07E4" w:rsidRPr="00FC07E4" w:rsidRDefault="00FC07E4" w:rsidP="00FC07E4">
      <w:pPr>
        <w:widowControl/>
        <w:ind w:left="709"/>
        <w:rPr>
          <w:i/>
          <w:szCs w:val="22"/>
        </w:rPr>
      </w:pPr>
      <w:r w:rsidRPr="00FC07E4">
        <w:rPr>
          <w:i/>
          <w:szCs w:val="22"/>
        </w:rPr>
        <w:t>The redacted table above shows that the estimated number of scripts would be 10,000 – 50,000 per year and the net cost to Government would be more than $100 million per year.</w:t>
      </w:r>
    </w:p>
    <w:p w:rsidR="00FC07E4" w:rsidRPr="009F79B5" w:rsidRDefault="00FC07E4" w:rsidP="004A442A">
      <w:pPr>
        <w:pStyle w:val="TableFooter"/>
        <w:ind w:left="709"/>
      </w:pPr>
    </w:p>
    <w:p w:rsidR="00C41664" w:rsidRPr="009F79B5" w:rsidRDefault="007E4531" w:rsidP="00F54C3F">
      <w:pPr>
        <w:pStyle w:val="ListParagraph"/>
        <w:widowControl/>
        <w:numPr>
          <w:ilvl w:val="1"/>
          <w:numId w:val="4"/>
        </w:numPr>
        <w:rPr>
          <w:szCs w:val="22"/>
        </w:rPr>
      </w:pPr>
      <w:r w:rsidRPr="009F79B5">
        <w:rPr>
          <w:szCs w:val="22"/>
        </w:rPr>
        <w:t>The estimated PBS usage and financial implications were highly uncertain. Key uncertainties included</w:t>
      </w:r>
      <w:r w:rsidR="009959BB" w:rsidRPr="009F79B5">
        <w:rPr>
          <w:szCs w:val="22"/>
        </w:rPr>
        <w:t>:</w:t>
      </w:r>
    </w:p>
    <w:p w:rsidR="00F54C3F" w:rsidRPr="009F79B5" w:rsidRDefault="00F54C3F" w:rsidP="002A3628">
      <w:pPr>
        <w:pStyle w:val="ListParagraph"/>
        <w:numPr>
          <w:ilvl w:val="0"/>
          <w:numId w:val="72"/>
        </w:numPr>
        <w:ind w:left="1276" w:hanging="283"/>
        <w:rPr>
          <w:szCs w:val="22"/>
        </w:rPr>
      </w:pPr>
      <w:r w:rsidRPr="009F79B5">
        <w:rPr>
          <w:szCs w:val="22"/>
        </w:rPr>
        <w:t xml:space="preserve">The cost of </w:t>
      </w:r>
      <w:proofErr w:type="spellStart"/>
      <w:r w:rsidRPr="009F79B5">
        <w:rPr>
          <w:szCs w:val="22"/>
        </w:rPr>
        <w:t>sofosbuvir</w:t>
      </w:r>
      <w:proofErr w:type="spellEnd"/>
      <w:r w:rsidRPr="009F79B5">
        <w:rPr>
          <w:szCs w:val="22"/>
        </w:rPr>
        <w:t xml:space="preserve"> is unknown and an assumed price is used in the submission;</w:t>
      </w:r>
    </w:p>
    <w:p w:rsidR="009959BB" w:rsidRPr="009F79B5" w:rsidRDefault="009959BB" w:rsidP="002A3628">
      <w:pPr>
        <w:pStyle w:val="ListParagraph"/>
        <w:numPr>
          <w:ilvl w:val="0"/>
          <w:numId w:val="72"/>
        </w:numPr>
        <w:ind w:left="1276" w:hanging="283"/>
        <w:rPr>
          <w:szCs w:val="22"/>
        </w:rPr>
      </w:pPr>
      <w:r w:rsidRPr="009F79B5">
        <w:rPr>
          <w:szCs w:val="22"/>
        </w:rPr>
        <w:t>The number of patients likely to be treated per year, given</w:t>
      </w:r>
    </w:p>
    <w:p w:rsidR="009959BB" w:rsidRPr="009F79B5" w:rsidRDefault="00C41664" w:rsidP="00F54C3F">
      <w:pPr>
        <w:pStyle w:val="BodyText"/>
        <w:numPr>
          <w:ilvl w:val="1"/>
          <w:numId w:val="72"/>
        </w:numPr>
        <w:ind w:left="1701"/>
        <w:rPr>
          <w:szCs w:val="22"/>
        </w:rPr>
      </w:pPr>
      <w:r w:rsidRPr="009F79B5">
        <w:rPr>
          <w:szCs w:val="22"/>
        </w:rPr>
        <w:t xml:space="preserve">There is a large pool of people living with CHC infection (230,000); however there are constraints on the capacity of the health system to manage HCV; </w:t>
      </w:r>
    </w:p>
    <w:p w:rsidR="009959BB" w:rsidRPr="009F79B5" w:rsidRDefault="00B749E1" w:rsidP="0062490F">
      <w:pPr>
        <w:pStyle w:val="BodyText"/>
        <w:numPr>
          <w:ilvl w:val="1"/>
          <w:numId w:val="72"/>
        </w:numPr>
        <w:ind w:left="1701"/>
        <w:rPr>
          <w:szCs w:val="22"/>
        </w:rPr>
      </w:pPr>
      <w:r w:rsidRPr="009F79B5">
        <w:rPr>
          <w:szCs w:val="22"/>
        </w:rPr>
        <w:t>The submission’s estimate</w:t>
      </w:r>
      <w:r w:rsidR="009959BB" w:rsidRPr="009F79B5">
        <w:rPr>
          <w:szCs w:val="22"/>
        </w:rPr>
        <w:t xml:space="preserve"> of the likely number of patients treated </w:t>
      </w:r>
      <w:r w:rsidR="00FB44DC" w:rsidRPr="009F79B5">
        <w:rPr>
          <w:szCs w:val="22"/>
        </w:rPr>
        <w:t>over the first 5 years</w:t>
      </w:r>
      <w:r w:rsidRPr="009F79B5">
        <w:rPr>
          <w:szCs w:val="22"/>
        </w:rPr>
        <w:t xml:space="preserve"> of listing was</w:t>
      </w:r>
      <w:r w:rsidR="009959BB" w:rsidRPr="009F79B5">
        <w:rPr>
          <w:szCs w:val="22"/>
        </w:rPr>
        <w:t xml:space="preserve"> less than the number of patients estimated by DUSC at the February 2015 meeting; </w:t>
      </w:r>
    </w:p>
    <w:p w:rsidR="009959BB" w:rsidRPr="009F79B5" w:rsidRDefault="009959BB" w:rsidP="0062490F">
      <w:pPr>
        <w:pStyle w:val="BodyText"/>
        <w:numPr>
          <w:ilvl w:val="1"/>
          <w:numId w:val="72"/>
        </w:numPr>
        <w:ind w:left="1701"/>
        <w:rPr>
          <w:szCs w:val="22"/>
        </w:rPr>
      </w:pPr>
      <w:r w:rsidRPr="009F79B5">
        <w:rPr>
          <w:szCs w:val="22"/>
        </w:rPr>
        <w:t>The number of patients who are deferring treatment to receive interferon-free therapy is unknown;</w:t>
      </w:r>
      <w:r w:rsidR="00C41664" w:rsidRPr="009F79B5">
        <w:rPr>
          <w:szCs w:val="22"/>
        </w:rPr>
        <w:t xml:space="preserve"> and</w:t>
      </w:r>
      <w:r w:rsidRPr="009F79B5">
        <w:rPr>
          <w:szCs w:val="22"/>
        </w:rPr>
        <w:t xml:space="preserve"> </w:t>
      </w:r>
    </w:p>
    <w:p w:rsidR="00C41664" w:rsidRPr="009F79B5" w:rsidRDefault="00FB44DC" w:rsidP="00C41664">
      <w:pPr>
        <w:pStyle w:val="ListParagraph"/>
        <w:numPr>
          <w:ilvl w:val="1"/>
          <w:numId w:val="72"/>
        </w:numPr>
        <w:ind w:left="1701"/>
      </w:pPr>
      <w:r w:rsidRPr="009F79B5">
        <w:rPr>
          <w:szCs w:val="22"/>
        </w:rPr>
        <w:lastRenderedPageBreak/>
        <w:t>The estimates were based on a Section 100 (HSD) listing</w:t>
      </w:r>
      <w:r w:rsidR="00AD2D78" w:rsidRPr="009F79B5">
        <w:rPr>
          <w:szCs w:val="22"/>
        </w:rPr>
        <w:t>, originally requested by the sponsor</w:t>
      </w:r>
      <w:r w:rsidRPr="009F79B5">
        <w:rPr>
          <w:szCs w:val="22"/>
        </w:rPr>
        <w:t>, while the PBAC have recommended general schedule listing for interferon-free treatments</w:t>
      </w:r>
      <w:r w:rsidR="00C41664" w:rsidRPr="009F79B5">
        <w:rPr>
          <w:szCs w:val="22"/>
        </w:rPr>
        <w:t>.</w:t>
      </w:r>
    </w:p>
    <w:p w:rsidR="00C6373C" w:rsidRPr="009F79B5" w:rsidRDefault="009959BB" w:rsidP="002A3628">
      <w:pPr>
        <w:pStyle w:val="ListParagraph"/>
        <w:numPr>
          <w:ilvl w:val="0"/>
          <w:numId w:val="72"/>
        </w:numPr>
        <w:ind w:left="1276" w:hanging="283"/>
      </w:pPr>
      <w:r w:rsidRPr="009F79B5">
        <w:rPr>
          <w:szCs w:val="22"/>
        </w:rPr>
        <w:t>The market share of alternative interferon-free regimens listed for treatment of genotype 1 HCV</w:t>
      </w:r>
      <w:r w:rsidR="000F7119" w:rsidRPr="009F79B5">
        <w:rPr>
          <w:szCs w:val="22"/>
        </w:rPr>
        <w:t>.</w:t>
      </w:r>
      <w:r w:rsidR="000F7119" w:rsidRPr="009F79B5">
        <w:t xml:space="preserve"> </w:t>
      </w:r>
    </w:p>
    <w:p w:rsidR="004A442A" w:rsidRPr="009F79B5" w:rsidRDefault="004A442A" w:rsidP="004A442A">
      <w:pPr>
        <w:widowControl/>
        <w:rPr>
          <w:szCs w:val="22"/>
        </w:rPr>
      </w:pPr>
    </w:p>
    <w:p w:rsidR="004A442A" w:rsidRPr="00113193" w:rsidRDefault="004A442A" w:rsidP="00113193">
      <w:pPr>
        <w:widowControl/>
        <w:jc w:val="left"/>
        <w:rPr>
          <w:b/>
          <w:i/>
        </w:rPr>
      </w:pPr>
      <w:bookmarkStart w:id="16" w:name="_Toc419380204"/>
      <w:r w:rsidRPr="00113193">
        <w:rPr>
          <w:b/>
          <w:i/>
        </w:rPr>
        <w:t>Quality Use of Medicines</w:t>
      </w:r>
      <w:bookmarkEnd w:id="16"/>
    </w:p>
    <w:p w:rsidR="004A442A" w:rsidRPr="009F79B5" w:rsidRDefault="004A442A" w:rsidP="004A442A">
      <w:pPr>
        <w:widowControl/>
        <w:rPr>
          <w:szCs w:val="22"/>
        </w:rPr>
      </w:pPr>
    </w:p>
    <w:p w:rsidR="005371CA" w:rsidRPr="009F79B5" w:rsidRDefault="005371CA" w:rsidP="005371CA">
      <w:pPr>
        <w:pStyle w:val="ListParagraph"/>
        <w:widowControl/>
        <w:numPr>
          <w:ilvl w:val="1"/>
          <w:numId w:val="4"/>
        </w:numPr>
        <w:rPr>
          <w:szCs w:val="22"/>
        </w:rPr>
      </w:pPr>
      <w:r w:rsidRPr="009F79B5">
        <w:t xml:space="preserve">The </w:t>
      </w:r>
      <w:r w:rsidR="00BB2983" w:rsidRPr="009F79B5">
        <w:t xml:space="preserve">submission claimed that the </w:t>
      </w:r>
      <w:r w:rsidRPr="009F79B5">
        <w:t xml:space="preserve">sponsor is committed to ensuring optimal health outcomes for patients by collaborating with healthcare professionals and consumers. The submission has indicated that education and resources regarding SMV+SOF treatment would be delivered to those involved in the care and management of a patient who is prescribed </w:t>
      </w:r>
      <w:proofErr w:type="spellStart"/>
      <w:r w:rsidRPr="009F79B5">
        <w:t>simeprevir</w:t>
      </w:r>
      <w:proofErr w:type="spellEnd"/>
      <w:r w:rsidRPr="009F79B5">
        <w:t xml:space="preserve">. </w:t>
      </w:r>
    </w:p>
    <w:p w:rsidR="005371CA" w:rsidRPr="009F79B5" w:rsidRDefault="005371CA" w:rsidP="005371CA">
      <w:pPr>
        <w:pStyle w:val="ListParagraph"/>
        <w:widowControl/>
        <w:rPr>
          <w:szCs w:val="22"/>
        </w:rPr>
      </w:pPr>
    </w:p>
    <w:p w:rsidR="005371CA" w:rsidRPr="009F79B5" w:rsidRDefault="005371CA" w:rsidP="005371CA">
      <w:pPr>
        <w:pStyle w:val="Heading2"/>
        <w:rPr>
          <w:i/>
          <w:szCs w:val="22"/>
        </w:rPr>
      </w:pPr>
      <w:bookmarkStart w:id="17" w:name="_Toc419380205"/>
      <w:r w:rsidRPr="009F79B5">
        <w:rPr>
          <w:i/>
        </w:rPr>
        <w:t>Financial Management – Risk Sharing Arrangements</w:t>
      </w:r>
      <w:bookmarkEnd w:id="17"/>
    </w:p>
    <w:p w:rsidR="005371CA" w:rsidRPr="009F79B5" w:rsidRDefault="005371CA" w:rsidP="005371CA">
      <w:pPr>
        <w:widowControl/>
        <w:rPr>
          <w:szCs w:val="22"/>
        </w:rPr>
      </w:pPr>
    </w:p>
    <w:p w:rsidR="005371CA" w:rsidRPr="009F79B5" w:rsidRDefault="005371CA" w:rsidP="005371CA">
      <w:pPr>
        <w:pStyle w:val="ListParagraph"/>
        <w:widowControl/>
        <w:numPr>
          <w:ilvl w:val="1"/>
          <w:numId w:val="4"/>
        </w:numPr>
        <w:rPr>
          <w:szCs w:val="22"/>
        </w:rPr>
      </w:pPr>
      <w:r w:rsidRPr="009F79B5">
        <w:t xml:space="preserve">The sponsor indicated they would be willing to work with the Department of Health to negotiate a Deed of Agreement to address the uncertainty regarding the number of patients who would be treated with all-oral, interferon-free HCV regimens if they are listed on the PBS. </w:t>
      </w:r>
    </w:p>
    <w:p w:rsidR="00720C4A" w:rsidRPr="009F79B5" w:rsidRDefault="00720C4A" w:rsidP="00720C4A">
      <w:pPr>
        <w:pStyle w:val="PBACHeading1"/>
        <w:numPr>
          <w:ilvl w:val="0"/>
          <w:numId w:val="0"/>
        </w:numPr>
        <w:ind w:left="720" w:hanging="720"/>
      </w:pPr>
    </w:p>
    <w:p w:rsidR="00720C4A" w:rsidRPr="009F79B5" w:rsidRDefault="00720C4A" w:rsidP="00720C4A">
      <w:pPr>
        <w:pStyle w:val="ListParagraph"/>
        <w:widowControl/>
        <w:numPr>
          <w:ilvl w:val="1"/>
          <w:numId w:val="4"/>
        </w:numPr>
        <w:rPr>
          <w:szCs w:val="22"/>
        </w:rPr>
      </w:pPr>
      <w:r w:rsidRPr="009F79B5">
        <w:rPr>
          <w:szCs w:val="22"/>
        </w:rPr>
        <w:t>The PBAC recalled from the March 2015 meeting, in consideration of CHC treatments that the Committee recommended a Risk Share Arrangement. The PBAC emphasised the importance of ensuring that these arrangements can be implemented in a way that would manage the overall cost to the Commonwealth for these medicines.</w:t>
      </w:r>
    </w:p>
    <w:p w:rsidR="00576972" w:rsidRPr="009F79B5" w:rsidRDefault="00576972" w:rsidP="00F37476">
      <w:pPr>
        <w:pStyle w:val="ListParagraph"/>
        <w:widowControl/>
        <w:rPr>
          <w:szCs w:val="22"/>
        </w:rPr>
      </w:pPr>
    </w:p>
    <w:p w:rsidR="00420576" w:rsidRPr="009F79B5" w:rsidRDefault="00420576" w:rsidP="00F37476">
      <w:pPr>
        <w:pStyle w:val="ListParagraph"/>
        <w:widowControl/>
        <w:rPr>
          <w:i/>
          <w:szCs w:val="22"/>
        </w:rPr>
      </w:pPr>
      <w:r w:rsidRPr="009F79B5">
        <w:rPr>
          <w:i/>
          <w:szCs w:val="22"/>
        </w:rPr>
        <w:t>For more detail on PBAC’s view, see section 7 “PBAC outcome”</w:t>
      </w:r>
    </w:p>
    <w:p w:rsidR="00232931" w:rsidRDefault="00232931" w:rsidP="00FF34D9">
      <w:pPr>
        <w:widowControl/>
        <w:rPr>
          <w:i/>
          <w:szCs w:val="22"/>
        </w:rPr>
      </w:pPr>
    </w:p>
    <w:p w:rsidR="00FC07E4" w:rsidRPr="00FF34D9" w:rsidRDefault="00FC07E4" w:rsidP="00FF34D9">
      <w:pPr>
        <w:widowControl/>
        <w:rPr>
          <w:i/>
          <w:szCs w:val="22"/>
        </w:rPr>
      </w:pPr>
    </w:p>
    <w:p w:rsidR="00232931" w:rsidRPr="009F79B5" w:rsidRDefault="00232931" w:rsidP="00232931">
      <w:pPr>
        <w:widowControl/>
        <w:numPr>
          <w:ilvl w:val="0"/>
          <w:numId w:val="4"/>
        </w:numPr>
        <w:jc w:val="left"/>
        <w:rPr>
          <w:rFonts w:cs="Times New Roman"/>
          <w:b/>
          <w:bCs/>
          <w:snapToGrid/>
          <w:szCs w:val="22"/>
          <w:lang w:eastAsia="en-AU"/>
        </w:rPr>
      </w:pPr>
      <w:r w:rsidRPr="009F79B5">
        <w:rPr>
          <w:rFonts w:cs="Times New Roman"/>
          <w:b/>
          <w:bCs/>
          <w:snapToGrid/>
          <w:szCs w:val="22"/>
          <w:lang w:eastAsia="en-AU"/>
        </w:rPr>
        <w:t>PBAC Outcome</w:t>
      </w:r>
    </w:p>
    <w:p w:rsidR="00D06A70" w:rsidRPr="009F79B5" w:rsidRDefault="00D06A70" w:rsidP="000C2167">
      <w:pPr>
        <w:pStyle w:val="PBACHeading1"/>
        <w:numPr>
          <w:ilvl w:val="0"/>
          <w:numId w:val="0"/>
        </w:numPr>
        <w:rPr>
          <w:snapToGrid/>
          <w:lang w:eastAsia="en-AU"/>
        </w:rPr>
      </w:pPr>
    </w:p>
    <w:p w:rsidR="00CA4807" w:rsidRPr="009F79B5" w:rsidRDefault="00D06A70" w:rsidP="00CA4807">
      <w:pPr>
        <w:widowControl/>
        <w:numPr>
          <w:ilvl w:val="1"/>
          <w:numId w:val="4"/>
        </w:numPr>
        <w:contextualSpacing/>
        <w:jc w:val="left"/>
      </w:pPr>
      <w:r w:rsidRPr="009F79B5">
        <w:t xml:space="preserve">The PBAC recommended deferral of the submission given that a positive TGA Delegate’s Overview was not available at the time of consideration. The PBAC was of a mind to recommend listing </w:t>
      </w:r>
      <w:r w:rsidR="00CA4807" w:rsidRPr="009F79B5">
        <w:t xml:space="preserve">of </w:t>
      </w:r>
      <w:proofErr w:type="spellStart"/>
      <w:r w:rsidR="00CA4807" w:rsidRPr="009F79B5">
        <w:rPr>
          <w:bCs/>
          <w:szCs w:val="22"/>
          <w:lang w:val="en-GB"/>
        </w:rPr>
        <w:t>simeprevir</w:t>
      </w:r>
      <w:proofErr w:type="spellEnd"/>
      <w:r w:rsidR="00CA4807" w:rsidRPr="009F79B5">
        <w:rPr>
          <w:rFonts w:cs="Times New Roman"/>
          <w:snapToGrid/>
          <w:szCs w:val="22"/>
          <w:lang w:eastAsia="en-AU"/>
        </w:rPr>
        <w:t xml:space="preserve">, in combination with </w:t>
      </w:r>
      <w:proofErr w:type="spellStart"/>
      <w:r w:rsidR="00CA4807" w:rsidRPr="009F79B5">
        <w:rPr>
          <w:rFonts w:cs="Times New Roman"/>
          <w:snapToGrid/>
          <w:szCs w:val="22"/>
          <w:lang w:eastAsia="en-AU"/>
        </w:rPr>
        <w:t>sofosbuvir</w:t>
      </w:r>
      <w:proofErr w:type="spellEnd"/>
      <w:r w:rsidRPr="009F79B5">
        <w:t>, but decided to wait for finalisation of the TGA registration process</w:t>
      </w:r>
      <w:r w:rsidR="00CA4807" w:rsidRPr="009F79B5">
        <w:t xml:space="preserve"> to determine the circumstances of listing.</w:t>
      </w:r>
    </w:p>
    <w:p w:rsidR="00CA4807" w:rsidRPr="009F79B5" w:rsidRDefault="00CA4807" w:rsidP="00CA4807">
      <w:pPr>
        <w:pStyle w:val="PBACHeading1"/>
        <w:numPr>
          <w:ilvl w:val="0"/>
          <w:numId w:val="0"/>
        </w:numPr>
        <w:ind w:left="720" w:hanging="720"/>
      </w:pPr>
    </w:p>
    <w:p w:rsidR="00D06A70" w:rsidRPr="009F79B5" w:rsidRDefault="00CA4807" w:rsidP="00CA4807">
      <w:pPr>
        <w:widowControl/>
        <w:numPr>
          <w:ilvl w:val="1"/>
          <w:numId w:val="4"/>
        </w:numPr>
        <w:contextualSpacing/>
        <w:jc w:val="left"/>
      </w:pPr>
      <w:r w:rsidRPr="009F79B5">
        <w:t xml:space="preserve">The PBAC considered that the conditions and circumstances of the listing of </w:t>
      </w:r>
      <w:proofErr w:type="spellStart"/>
      <w:r w:rsidRPr="009F79B5">
        <w:t>simeprevir</w:t>
      </w:r>
      <w:proofErr w:type="spellEnd"/>
      <w:r w:rsidRPr="009F79B5">
        <w:t xml:space="preserve"> in combination with </w:t>
      </w:r>
      <w:proofErr w:type="spellStart"/>
      <w:r w:rsidRPr="009F79B5">
        <w:t>peginterferon</w:t>
      </w:r>
      <w:proofErr w:type="spellEnd"/>
      <w:r w:rsidRPr="009F79B5">
        <w:t xml:space="preserve"> </w:t>
      </w:r>
      <w:proofErr w:type="spellStart"/>
      <w:r w:rsidRPr="009F79B5">
        <w:t>alfa</w:t>
      </w:r>
      <w:proofErr w:type="spellEnd"/>
      <w:r w:rsidRPr="009F79B5">
        <w:t xml:space="preserve"> and ribavirin should be reassessed to align this listing with a listing in combination with </w:t>
      </w:r>
      <w:proofErr w:type="spellStart"/>
      <w:r w:rsidRPr="009F79B5">
        <w:t>sofosbuvir</w:t>
      </w:r>
      <w:proofErr w:type="spellEnd"/>
      <w:r w:rsidRPr="009F79B5">
        <w:t>.</w:t>
      </w:r>
    </w:p>
    <w:p w:rsidR="00D06A70" w:rsidRPr="009F79B5" w:rsidRDefault="00D06A70" w:rsidP="000C2167">
      <w:pPr>
        <w:pStyle w:val="PBACHeading1"/>
        <w:numPr>
          <w:ilvl w:val="0"/>
          <w:numId w:val="0"/>
        </w:numPr>
        <w:ind w:left="720" w:hanging="720"/>
        <w:rPr>
          <w:snapToGrid/>
          <w:lang w:eastAsia="en-AU"/>
        </w:rPr>
      </w:pPr>
    </w:p>
    <w:p w:rsidR="00232931" w:rsidRPr="009F79B5" w:rsidRDefault="00232931" w:rsidP="00232931">
      <w:pPr>
        <w:widowControl/>
        <w:rPr>
          <w:b/>
          <w:bCs/>
          <w:szCs w:val="22"/>
          <w:lang w:val="en-GB"/>
        </w:rPr>
      </w:pPr>
    </w:p>
    <w:p w:rsidR="00232931" w:rsidRPr="009F79B5" w:rsidRDefault="00232931" w:rsidP="00232931">
      <w:pPr>
        <w:widowControl/>
        <w:rPr>
          <w:b/>
          <w:bCs/>
          <w:szCs w:val="22"/>
          <w:lang w:val="en-GB"/>
        </w:rPr>
      </w:pPr>
      <w:r w:rsidRPr="009F79B5">
        <w:rPr>
          <w:b/>
          <w:bCs/>
          <w:szCs w:val="22"/>
          <w:lang w:val="en-GB"/>
        </w:rPr>
        <w:t>Outcome:</w:t>
      </w:r>
    </w:p>
    <w:p w:rsidR="00232931" w:rsidRPr="009F79B5" w:rsidRDefault="00232931" w:rsidP="00232931">
      <w:pPr>
        <w:widowControl/>
        <w:rPr>
          <w:bCs/>
          <w:szCs w:val="22"/>
          <w:lang w:val="en-GB"/>
        </w:rPr>
      </w:pPr>
      <w:proofErr w:type="gramStart"/>
      <w:r w:rsidRPr="009F79B5">
        <w:rPr>
          <w:bCs/>
          <w:szCs w:val="22"/>
          <w:lang w:val="en-GB"/>
        </w:rPr>
        <w:t>Deferred.</w:t>
      </w:r>
      <w:proofErr w:type="gramEnd"/>
    </w:p>
    <w:p w:rsidR="00420576" w:rsidRDefault="00420576" w:rsidP="00545EDF">
      <w:pPr>
        <w:widowControl/>
        <w:contextualSpacing/>
        <w:jc w:val="left"/>
        <w:rPr>
          <w:szCs w:val="22"/>
        </w:rPr>
      </w:pPr>
    </w:p>
    <w:p w:rsidR="00342935" w:rsidRDefault="00342935" w:rsidP="00545EDF">
      <w:pPr>
        <w:widowControl/>
        <w:contextualSpacing/>
        <w:jc w:val="left"/>
        <w:rPr>
          <w:szCs w:val="22"/>
        </w:rPr>
      </w:pPr>
    </w:p>
    <w:p w:rsidR="00342935" w:rsidRDefault="00342935" w:rsidP="00342935">
      <w:pPr>
        <w:pStyle w:val="PBACHeading1"/>
      </w:pPr>
      <w:r>
        <w:t xml:space="preserve">Context for decision </w:t>
      </w:r>
    </w:p>
    <w:p w:rsidR="00342935" w:rsidRDefault="00342935" w:rsidP="00342935">
      <w:pPr>
        <w:pStyle w:val="PBACHeading1"/>
        <w:numPr>
          <w:ilvl w:val="0"/>
          <w:numId w:val="0"/>
        </w:numPr>
        <w:ind w:left="720"/>
      </w:pPr>
      <w:r w:rsidRPr="00342935">
        <w:rPr>
          <w:b w:val="0"/>
        </w:rPr>
        <w:t>The PBAC helps decide whether and, if</w:t>
      </w:r>
      <w:r w:rsidR="00F27BB7">
        <w:rPr>
          <w:b w:val="0"/>
        </w:rPr>
        <w:t xml:space="preserve"> so,</w:t>
      </w:r>
      <w:r w:rsidRPr="00342935">
        <w:rPr>
          <w:b w:val="0"/>
        </w:rPr>
        <w:t xml:space="preserve"> how medicines should be subsidised in Australia. It considers submissions in this context. A PBAC decision not to recommend listing or not to recommend changing a listing does not represent a final </w:t>
      </w:r>
      <w:r w:rsidRPr="00342935">
        <w:rPr>
          <w:b w:val="0"/>
        </w:rPr>
        <w:lastRenderedPageBreak/>
        <w:t xml:space="preserve">PBAC view about the merits of the medicine. A company can resubmit to the PBAC or seek independent review of the PBAC decision. </w:t>
      </w:r>
    </w:p>
    <w:p w:rsidR="00FC07E4" w:rsidRDefault="00FC07E4" w:rsidP="00342935">
      <w:pPr>
        <w:pStyle w:val="PBACHeading1"/>
        <w:numPr>
          <w:ilvl w:val="0"/>
          <w:numId w:val="0"/>
        </w:numPr>
        <w:ind w:left="720"/>
      </w:pPr>
    </w:p>
    <w:p w:rsidR="00B2634A" w:rsidRDefault="00342935" w:rsidP="00342935">
      <w:pPr>
        <w:pStyle w:val="PBACHeading1"/>
      </w:pPr>
      <w:r>
        <w:t xml:space="preserve">Sponsor’s Comment </w:t>
      </w:r>
    </w:p>
    <w:p w:rsidR="00CE7814" w:rsidRDefault="00CE7814" w:rsidP="00CE7814">
      <w:pPr>
        <w:pStyle w:val="PBACHeading1"/>
        <w:numPr>
          <w:ilvl w:val="0"/>
          <w:numId w:val="0"/>
        </w:numPr>
        <w:ind w:left="720"/>
      </w:pPr>
    </w:p>
    <w:p w:rsidR="00342935" w:rsidRPr="00113193" w:rsidRDefault="00B2634A" w:rsidP="00CE7814">
      <w:pPr>
        <w:pStyle w:val="PBACHeading1"/>
        <w:numPr>
          <w:ilvl w:val="0"/>
          <w:numId w:val="0"/>
        </w:numPr>
        <w:ind w:left="720"/>
        <w:rPr>
          <w:b w:val="0"/>
        </w:rPr>
      </w:pPr>
      <w:r w:rsidRPr="00CE7814">
        <w:rPr>
          <w:b w:val="0"/>
        </w:rPr>
        <w:t>Janssen</w:t>
      </w:r>
      <w:r w:rsidRPr="00113193">
        <w:rPr>
          <w:b w:val="0"/>
        </w:rPr>
        <w:t xml:space="preserve"> are continuing to work towards achieving a PBS listing for </w:t>
      </w:r>
      <w:proofErr w:type="spellStart"/>
      <w:r w:rsidRPr="00113193">
        <w:rPr>
          <w:b w:val="0"/>
        </w:rPr>
        <w:t>simeprevir</w:t>
      </w:r>
      <w:proofErr w:type="spellEnd"/>
      <w:r w:rsidRPr="00113193">
        <w:rPr>
          <w:b w:val="0"/>
        </w:rPr>
        <w:t xml:space="preserve"> as an interferon-free combination with </w:t>
      </w:r>
      <w:proofErr w:type="spellStart"/>
      <w:r w:rsidRPr="00113193">
        <w:rPr>
          <w:b w:val="0"/>
        </w:rPr>
        <w:t>sofosbuvir</w:t>
      </w:r>
      <w:proofErr w:type="spellEnd"/>
      <w:r w:rsidRPr="00113193">
        <w:rPr>
          <w:b w:val="0"/>
        </w:rPr>
        <w:t xml:space="preserve"> for genotype 1 Hepatitis C virus infection.</w:t>
      </w:r>
    </w:p>
    <w:p w:rsidR="00346E29" w:rsidRDefault="00346E29" w:rsidP="00CE7814">
      <w:pPr>
        <w:pStyle w:val="PBACHeading1"/>
        <w:numPr>
          <w:ilvl w:val="0"/>
          <w:numId w:val="0"/>
        </w:numPr>
        <w:ind w:left="720"/>
        <w:rPr>
          <w:b w:val="0"/>
          <w:u w:val="single"/>
        </w:rPr>
      </w:pPr>
    </w:p>
    <w:p w:rsidR="00346E29" w:rsidRPr="00221A27" w:rsidRDefault="00346E29" w:rsidP="00346E29">
      <w:pPr>
        <w:pStyle w:val="PBACHeading1"/>
        <w:numPr>
          <w:ilvl w:val="0"/>
          <w:numId w:val="0"/>
        </w:numPr>
        <w:ind w:left="720"/>
        <w:rPr>
          <w:b w:val="0"/>
          <w:u w:val="single"/>
        </w:rPr>
      </w:pPr>
    </w:p>
    <w:sectPr w:rsidR="00346E29" w:rsidRPr="00221A27" w:rsidSect="00D114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3A30B4" w15:done="0"/>
  <w15:commentEx w15:paraId="0C6B2902" w15:paraIdParent="0D3A30B4" w15:done="0"/>
  <w15:commentEx w15:paraId="0610ED60" w15:done="0"/>
  <w15:commentEx w15:paraId="526F1F77" w15:done="0"/>
  <w15:commentEx w15:paraId="0C16FCCA" w15:paraIdParent="526F1F77" w15:done="0"/>
  <w15:commentEx w15:paraId="68EC7BB7" w15:done="0"/>
  <w15:commentEx w15:paraId="53530D5F" w15:paraIdParent="68EC7B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00" w:rsidRDefault="000E4400" w:rsidP="00124A51">
      <w:r>
        <w:separator/>
      </w:r>
    </w:p>
  </w:endnote>
  <w:endnote w:type="continuationSeparator" w:id="0">
    <w:p w:rsidR="000E4400" w:rsidRDefault="000E4400" w:rsidP="00124A51">
      <w:r>
        <w:continuationSeparator/>
      </w:r>
    </w:p>
  </w:endnote>
  <w:endnote w:type="continuationNotice" w:id="1">
    <w:p w:rsidR="000E4400" w:rsidRDefault="000E4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Bold">
    <w:altName w:val="MS Mincho"/>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84" w:rsidRDefault="00EE0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00" w:rsidRPr="00420576" w:rsidRDefault="000E4400" w:rsidP="00420576">
    <w:pPr>
      <w:pStyle w:val="Footer"/>
      <w:jc w:val="center"/>
    </w:pPr>
    <w:r w:rsidRPr="00420576">
      <w:fldChar w:fldCharType="begin"/>
    </w:r>
    <w:r w:rsidRPr="00420576">
      <w:instrText xml:space="preserve"> PAGE   \* MERGEFORMAT </w:instrText>
    </w:r>
    <w:r w:rsidRPr="00420576">
      <w:fldChar w:fldCharType="separate"/>
    </w:r>
    <w:r w:rsidR="00AC21C3">
      <w:rPr>
        <w:noProof/>
      </w:rPr>
      <w:t>1</w:t>
    </w:r>
    <w:r w:rsidRPr="00420576">
      <w:fldChar w:fldCharType="end"/>
    </w:r>
  </w:p>
  <w:p w:rsidR="000E4400" w:rsidRDefault="000E4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84" w:rsidRDefault="00EE0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00" w:rsidRDefault="000E4400" w:rsidP="00124A51">
      <w:r>
        <w:separator/>
      </w:r>
    </w:p>
  </w:footnote>
  <w:footnote w:type="continuationSeparator" w:id="0">
    <w:p w:rsidR="000E4400" w:rsidRDefault="000E4400" w:rsidP="00124A51">
      <w:r>
        <w:continuationSeparator/>
      </w:r>
    </w:p>
  </w:footnote>
  <w:footnote w:type="continuationNotice" w:id="1">
    <w:p w:rsidR="000E4400" w:rsidRDefault="000E4400"/>
  </w:footnote>
  <w:footnote w:id="2">
    <w:p w:rsidR="000E4400" w:rsidRDefault="000E4400" w:rsidP="00DA2674">
      <w:pPr>
        <w:pStyle w:val="FootnoteText"/>
        <w:ind w:left="142" w:hanging="142"/>
      </w:pPr>
      <w:r>
        <w:rPr>
          <w:rStyle w:val="FootnoteReference"/>
        </w:rPr>
        <w:footnoteRef/>
      </w:r>
      <w:r>
        <w:t xml:space="preserve"> </w:t>
      </w:r>
      <w:proofErr w:type="gramStart"/>
      <w:r>
        <w:t>Recomme</w:t>
      </w:r>
      <w:r w:rsidRPr="003E61EA">
        <w:t>ndations from the Australian Liver Association on patients with a high clinical need for treatment with all oral regimes for chronic hepatitis C, November 2014</w:t>
      </w:r>
      <w:r>
        <w:t>.</w:t>
      </w:r>
      <w:proofErr w:type="gramEnd"/>
    </w:p>
  </w:footnote>
  <w:footnote w:id="3">
    <w:p w:rsidR="000E4400" w:rsidRDefault="000E4400">
      <w:pPr>
        <w:pStyle w:val="FootnoteText"/>
      </w:pPr>
      <w:r>
        <w:rPr>
          <w:rStyle w:val="FootnoteReference"/>
        </w:rPr>
        <w:footnoteRef/>
      </w:r>
      <w:r>
        <w:t xml:space="preserve"> Consistent with the Recomme</w:t>
      </w:r>
      <w:r w:rsidRPr="003E61EA">
        <w:t>ndations from the Australian Liver Association on patients with a high clinical need for treatment with all oral regimes for chronic hepatitis C,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84" w:rsidRDefault="00EE0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00" w:rsidRPr="00420576" w:rsidRDefault="000E4400" w:rsidP="00420576">
    <w:pPr>
      <w:tabs>
        <w:tab w:val="left" w:pos="142"/>
        <w:tab w:val="right" w:pos="9026"/>
      </w:tabs>
      <w:ind w:right="-359"/>
      <w:jc w:val="center"/>
      <w:rPr>
        <w:i/>
        <w:color w:val="D9D9D9" w:themeColor="background1" w:themeShade="D9"/>
      </w:rPr>
    </w:pPr>
    <w:r>
      <w:rPr>
        <w:i/>
        <w:color w:val="D9D9D9" w:themeColor="background1" w:themeShade="D9"/>
      </w:rPr>
      <w:t>Public Summary Document</w:t>
    </w:r>
    <w:r w:rsidRPr="00420576">
      <w:rPr>
        <w:i/>
        <w:color w:val="D9D9D9" w:themeColor="background1" w:themeShade="D9"/>
      </w:rPr>
      <w:t>– July 2015 PBAC Meeting</w:t>
    </w:r>
  </w:p>
  <w:p w:rsidR="000E4400" w:rsidRDefault="000E4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84" w:rsidRDefault="00EE0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B9"/>
    <w:multiLevelType w:val="multilevel"/>
    <w:tmpl w:val="9C829B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B74108"/>
    <w:multiLevelType w:val="hybridMultilevel"/>
    <w:tmpl w:val="47F4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1A1854"/>
    <w:multiLevelType w:val="hybridMultilevel"/>
    <w:tmpl w:val="15E8D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4E205D8"/>
    <w:multiLevelType w:val="hybridMultilevel"/>
    <w:tmpl w:val="BC5E1B9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577B54"/>
    <w:multiLevelType w:val="hybridMultilevel"/>
    <w:tmpl w:val="10C8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2A2155"/>
    <w:multiLevelType w:val="hybridMultilevel"/>
    <w:tmpl w:val="D5662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6719C5"/>
    <w:multiLevelType w:val="hybridMultilevel"/>
    <w:tmpl w:val="C2C201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0A7D1B3D"/>
    <w:multiLevelType w:val="hybridMultilevel"/>
    <w:tmpl w:val="54BC115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nsid w:val="0B1133FC"/>
    <w:multiLevelType w:val="hybridMultilevel"/>
    <w:tmpl w:val="9104DC6A"/>
    <w:lvl w:ilvl="0" w:tplc="3AD6723E">
      <w:start w:val="1"/>
      <w:numFmt w:val="bullet"/>
      <w:pStyle w:val="NonObjectiveBullets"/>
      <w:lvlText w:val=""/>
      <w:lvlJc w:val="left"/>
      <w:pPr>
        <w:ind w:left="927" w:hanging="360"/>
      </w:pPr>
      <w:rPr>
        <w:rFonts w:ascii="Wingdings" w:hAnsi="Wingdings" w:hint="default"/>
        <w:sz w:val="32"/>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1">
    <w:nsid w:val="0CBE016F"/>
    <w:multiLevelType w:val="hybridMultilevel"/>
    <w:tmpl w:val="54B8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7141EF"/>
    <w:multiLevelType w:val="hybridMultilevel"/>
    <w:tmpl w:val="6898FFEA"/>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4">
    <w:nsid w:val="11B62130"/>
    <w:multiLevelType w:val="hybridMultilevel"/>
    <w:tmpl w:val="F0B0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3855CE"/>
    <w:multiLevelType w:val="hybridMultilevel"/>
    <w:tmpl w:val="322ACDC6"/>
    <w:lvl w:ilvl="0" w:tplc="6F6E4D4A">
      <w:start w:val="1"/>
      <w:numFmt w:val="bullet"/>
      <w:lvlText w:val="o"/>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6091C47"/>
    <w:multiLevelType w:val="hybridMultilevel"/>
    <w:tmpl w:val="2E60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8733C2"/>
    <w:multiLevelType w:val="hybridMultilevel"/>
    <w:tmpl w:val="C9D0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DC5447B"/>
    <w:multiLevelType w:val="hybridMultilevel"/>
    <w:tmpl w:val="CE60AE7E"/>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C66336"/>
    <w:multiLevelType w:val="hybridMultilevel"/>
    <w:tmpl w:val="9890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7354DC"/>
    <w:multiLevelType w:val="hybridMultilevel"/>
    <w:tmpl w:val="7328509C"/>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821623"/>
    <w:multiLevelType w:val="hybridMultilevel"/>
    <w:tmpl w:val="DFFEA4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F040860"/>
    <w:multiLevelType w:val="hybridMultilevel"/>
    <w:tmpl w:val="98BC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5451A6"/>
    <w:multiLevelType w:val="hybridMultilevel"/>
    <w:tmpl w:val="2684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2387C64"/>
    <w:multiLevelType w:val="hybridMultilevel"/>
    <w:tmpl w:val="5C7690C0"/>
    <w:lvl w:ilvl="0" w:tplc="0C090001">
      <w:start w:val="1"/>
      <w:numFmt w:val="bullet"/>
      <w:lvlText w:val=""/>
      <w:lvlJc w:val="left"/>
      <w:pPr>
        <w:ind w:left="720" w:hanging="360"/>
      </w:pPr>
      <w:rPr>
        <w:rFonts w:ascii="Symbol" w:hAnsi="Symbol" w:hint="default"/>
      </w:rPr>
    </w:lvl>
    <w:lvl w:ilvl="1" w:tplc="DFC8BF7E">
      <w:start w:val="2000"/>
      <w:numFmt w:val="bullet"/>
      <w:lvlText w:val="-"/>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5950A2D"/>
    <w:multiLevelType w:val="hybridMultilevel"/>
    <w:tmpl w:val="062AB6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5F8553B"/>
    <w:multiLevelType w:val="hybridMultilevel"/>
    <w:tmpl w:val="E54C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82841AB"/>
    <w:multiLevelType w:val="hybridMultilevel"/>
    <w:tmpl w:val="22463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30">
    <w:nsid w:val="297D4882"/>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9BC4426"/>
    <w:multiLevelType w:val="hybridMultilevel"/>
    <w:tmpl w:val="398C3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BC31EC5"/>
    <w:multiLevelType w:val="hybridMultilevel"/>
    <w:tmpl w:val="816EF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C8077E2"/>
    <w:multiLevelType w:val="hybridMultilevel"/>
    <w:tmpl w:val="FBF45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CD817DB"/>
    <w:multiLevelType w:val="hybridMultilevel"/>
    <w:tmpl w:val="ABE060C8"/>
    <w:lvl w:ilvl="0" w:tplc="77069824">
      <w:start w:val="1"/>
      <w:numFmt w:val="low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35">
    <w:nsid w:val="2F534B8B"/>
    <w:multiLevelType w:val="hybridMultilevel"/>
    <w:tmpl w:val="B61E0B3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6">
    <w:nsid w:val="303066EE"/>
    <w:multiLevelType w:val="hybridMultilevel"/>
    <w:tmpl w:val="250C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36555E4"/>
    <w:multiLevelType w:val="hybridMultilevel"/>
    <w:tmpl w:val="B54C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4C23A3C"/>
    <w:multiLevelType w:val="hybridMultilevel"/>
    <w:tmpl w:val="B136D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4E03768"/>
    <w:multiLevelType w:val="hybridMultilevel"/>
    <w:tmpl w:val="A8B8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7602FBE"/>
    <w:multiLevelType w:val="hybridMultilevel"/>
    <w:tmpl w:val="7E9A6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3B5F75BD"/>
    <w:multiLevelType w:val="hybridMultilevel"/>
    <w:tmpl w:val="3D509E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3B7C34E2"/>
    <w:multiLevelType w:val="hybridMultilevel"/>
    <w:tmpl w:val="7D9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4">
    <w:nsid w:val="422F45C8"/>
    <w:multiLevelType w:val="multilevel"/>
    <w:tmpl w:val="62BE93B2"/>
    <w:lvl w:ilvl="0">
      <w:start w:val="6"/>
      <w:numFmt w:val="decimal"/>
      <w:lvlText w:val="%1"/>
      <w:lvlJc w:val="left"/>
      <w:pPr>
        <w:ind w:left="720" w:hanging="720"/>
      </w:pPr>
      <w:rPr>
        <w:rFonts w:hint="default"/>
      </w:rPr>
    </w:lvl>
    <w:lvl w:ilvl="1">
      <w:start w:val="9"/>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44095558"/>
    <w:multiLevelType w:val="hybridMultilevel"/>
    <w:tmpl w:val="A82E81C8"/>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5D23A2B"/>
    <w:multiLevelType w:val="hybridMultilevel"/>
    <w:tmpl w:val="6B36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8DB4819"/>
    <w:multiLevelType w:val="hybridMultilevel"/>
    <w:tmpl w:val="550C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8F1774A"/>
    <w:multiLevelType w:val="hybridMultilevel"/>
    <w:tmpl w:val="2DD46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9186697"/>
    <w:multiLevelType w:val="hybridMultilevel"/>
    <w:tmpl w:val="588C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1">
    <w:nsid w:val="4A3E6005"/>
    <w:multiLevelType w:val="hybridMultilevel"/>
    <w:tmpl w:val="C50A84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A6425A8"/>
    <w:multiLevelType w:val="hybridMultilevel"/>
    <w:tmpl w:val="BE149F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A9447E5"/>
    <w:multiLevelType w:val="hybridMultilevel"/>
    <w:tmpl w:val="D5F2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C3961B2"/>
    <w:multiLevelType w:val="hybridMultilevel"/>
    <w:tmpl w:val="84C88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D7E2A86"/>
    <w:multiLevelType w:val="hybridMultilevel"/>
    <w:tmpl w:val="32D44F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4DFA3658"/>
    <w:multiLevelType w:val="hybridMultilevel"/>
    <w:tmpl w:val="FE6AB5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515F78D1"/>
    <w:multiLevelType w:val="hybridMultilevel"/>
    <w:tmpl w:val="288625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30E7F88"/>
    <w:multiLevelType w:val="hybridMultilevel"/>
    <w:tmpl w:val="B748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4DA7DB4"/>
    <w:multiLevelType w:val="hybridMultilevel"/>
    <w:tmpl w:val="6FAE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63618B3"/>
    <w:multiLevelType w:val="hybridMultilevel"/>
    <w:tmpl w:val="A4804EF0"/>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B2D1CB2"/>
    <w:multiLevelType w:val="hybridMultilevel"/>
    <w:tmpl w:val="06CC1E7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2">
    <w:nsid w:val="5C8075C7"/>
    <w:multiLevelType w:val="hybridMultilevel"/>
    <w:tmpl w:val="5CC0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D432E85"/>
    <w:multiLevelType w:val="hybridMultilevel"/>
    <w:tmpl w:val="ACD8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DA258D7"/>
    <w:multiLevelType w:val="hybridMultilevel"/>
    <w:tmpl w:val="A8C88BC2"/>
    <w:lvl w:ilvl="0" w:tplc="28E66CDA">
      <w:start w:val="1"/>
      <w:numFmt w:val="decimal"/>
      <w:lvlText w:val="%1."/>
      <w:lvlJc w:val="left"/>
      <w:pPr>
        <w:ind w:left="786" w:hanging="360"/>
      </w:pPr>
      <w:rPr>
        <w:b/>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5">
    <w:nsid w:val="5EAC310F"/>
    <w:multiLevelType w:val="multilevel"/>
    <w:tmpl w:val="AFA860AE"/>
    <w:lvl w:ilvl="0">
      <w:start w:val="1"/>
      <w:numFmt w:val="decimal"/>
      <w:pStyle w:val="TableTitleC"/>
      <w:lvlText w:val="Table C.%1"/>
      <w:lvlJc w:val="left"/>
      <w:pPr>
        <w:tabs>
          <w:tab w:val="num" w:pos="1505"/>
        </w:tabs>
        <w:ind w:left="1276" w:hanging="851"/>
      </w:pPr>
      <w:rPr>
        <w:rFonts w:ascii="Arial" w:hAnsi="Arial" w:cs="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FE23C85"/>
    <w:multiLevelType w:val="hybridMultilevel"/>
    <w:tmpl w:val="68EE0E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7">
    <w:nsid w:val="622B64DD"/>
    <w:multiLevelType w:val="hybridMultilevel"/>
    <w:tmpl w:val="60287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nsid w:val="65BB0CB5"/>
    <w:multiLevelType w:val="hybridMultilevel"/>
    <w:tmpl w:val="7FD0A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5F96037"/>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66A809D5"/>
    <w:multiLevelType w:val="hybridMultilevel"/>
    <w:tmpl w:val="D6E6F69A"/>
    <w:lvl w:ilvl="0" w:tplc="0C090011">
      <w:start w:val="1"/>
      <w:numFmt w:val="decimal"/>
      <w:lvlText w:val="%1)"/>
      <w:lvlJc w:val="left"/>
      <w:pPr>
        <w:ind w:left="842" w:hanging="360"/>
      </w:p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71">
    <w:nsid w:val="6E881F9A"/>
    <w:multiLevelType w:val="hybridMultilevel"/>
    <w:tmpl w:val="39BC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EF03273"/>
    <w:multiLevelType w:val="hybridMultilevel"/>
    <w:tmpl w:val="6A48DACA"/>
    <w:lvl w:ilvl="0" w:tplc="04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3">
    <w:nsid w:val="72421FD8"/>
    <w:multiLevelType w:val="hybridMultilevel"/>
    <w:tmpl w:val="B4B8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2882B77"/>
    <w:multiLevelType w:val="hybridMultilevel"/>
    <w:tmpl w:val="7930B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65C69F4"/>
    <w:multiLevelType w:val="hybridMultilevel"/>
    <w:tmpl w:val="1A707C06"/>
    <w:lvl w:ilvl="0" w:tplc="0C090001">
      <w:start w:val="1"/>
      <w:numFmt w:val="bullet"/>
      <w:lvlText w:val=""/>
      <w:lvlJc w:val="left"/>
      <w:pPr>
        <w:ind w:left="720" w:hanging="360"/>
      </w:pPr>
      <w:rPr>
        <w:rFonts w:ascii="Symbol" w:hAnsi="Symbol" w:hint="default"/>
      </w:rPr>
    </w:lvl>
    <w:lvl w:ilvl="1" w:tplc="77069824">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84D033C"/>
    <w:multiLevelType w:val="multilevel"/>
    <w:tmpl w:val="C844753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9EC2E1D"/>
    <w:multiLevelType w:val="hybridMultilevel"/>
    <w:tmpl w:val="DD54981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A9E6156"/>
    <w:multiLevelType w:val="hybridMultilevel"/>
    <w:tmpl w:val="F2682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C3B409E"/>
    <w:multiLevelType w:val="hybridMultilevel"/>
    <w:tmpl w:val="8412102A"/>
    <w:lvl w:ilvl="0" w:tplc="77069824">
      <w:start w:val="1"/>
      <w:numFmt w:val="lowerLetter"/>
      <w:lvlText w:val="%1)"/>
      <w:lvlJc w:val="left"/>
      <w:pPr>
        <w:ind w:left="1171" w:hanging="360"/>
      </w:pPr>
      <w:rPr>
        <w:rFonts w:hint="default"/>
      </w:rPr>
    </w:lvl>
    <w:lvl w:ilvl="1" w:tplc="0C090019" w:tentative="1">
      <w:start w:val="1"/>
      <w:numFmt w:val="lowerLetter"/>
      <w:lvlText w:val="%2."/>
      <w:lvlJc w:val="left"/>
      <w:pPr>
        <w:ind w:left="1891" w:hanging="360"/>
      </w:pPr>
    </w:lvl>
    <w:lvl w:ilvl="2" w:tplc="0C09001B" w:tentative="1">
      <w:start w:val="1"/>
      <w:numFmt w:val="lowerRoman"/>
      <w:lvlText w:val="%3."/>
      <w:lvlJc w:val="right"/>
      <w:pPr>
        <w:ind w:left="2611" w:hanging="180"/>
      </w:pPr>
    </w:lvl>
    <w:lvl w:ilvl="3" w:tplc="0C09000F" w:tentative="1">
      <w:start w:val="1"/>
      <w:numFmt w:val="decimal"/>
      <w:lvlText w:val="%4."/>
      <w:lvlJc w:val="left"/>
      <w:pPr>
        <w:ind w:left="3331" w:hanging="360"/>
      </w:pPr>
    </w:lvl>
    <w:lvl w:ilvl="4" w:tplc="0C090019" w:tentative="1">
      <w:start w:val="1"/>
      <w:numFmt w:val="lowerLetter"/>
      <w:lvlText w:val="%5."/>
      <w:lvlJc w:val="left"/>
      <w:pPr>
        <w:ind w:left="4051" w:hanging="360"/>
      </w:pPr>
    </w:lvl>
    <w:lvl w:ilvl="5" w:tplc="0C09001B" w:tentative="1">
      <w:start w:val="1"/>
      <w:numFmt w:val="lowerRoman"/>
      <w:lvlText w:val="%6."/>
      <w:lvlJc w:val="right"/>
      <w:pPr>
        <w:ind w:left="4771" w:hanging="180"/>
      </w:pPr>
    </w:lvl>
    <w:lvl w:ilvl="6" w:tplc="0C09000F" w:tentative="1">
      <w:start w:val="1"/>
      <w:numFmt w:val="decimal"/>
      <w:lvlText w:val="%7."/>
      <w:lvlJc w:val="left"/>
      <w:pPr>
        <w:ind w:left="5491" w:hanging="360"/>
      </w:pPr>
    </w:lvl>
    <w:lvl w:ilvl="7" w:tplc="0C090019" w:tentative="1">
      <w:start w:val="1"/>
      <w:numFmt w:val="lowerLetter"/>
      <w:lvlText w:val="%8."/>
      <w:lvlJc w:val="left"/>
      <w:pPr>
        <w:ind w:left="6211" w:hanging="360"/>
      </w:pPr>
    </w:lvl>
    <w:lvl w:ilvl="8" w:tplc="0C09001B" w:tentative="1">
      <w:start w:val="1"/>
      <w:numFmt w:val="lowerRoman"/>
      <w:lvlText w:val="%9."/>
      <w:lvlJc w:val="right"/>
      <w:pPr>
        <w:ind w:left="6931" w:hanging="180"/>
      </w:pPr>
    </w:lvl>
  </w:abstractNum>
  <w:abstractNum w:abstractNumId="8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50"/>
  </w:num>
  <w:num w:numId="4">
    <w:abstractNumId w:val="76"/>
  </w:num>
  <w:num w:numId="5">
    <w:abstractNumId w:val="21"/>
  </w:num>
  <w:num w:numId="6">
    <w:abstractNumId w:val="6"/>
  </w:num>
  <w:num w:numId="7">
    <w:abstractNumId w:val="77"/>
  </w:num>
  <w:num w:numId="8">
    <w:abstractNumId w:val="75"/>
  </w:num>
  <w:num w:numId="9">
    <w:abstractNumId w:val="35"/>
  </w:num>
  <w:num w:numId="10">
    <w:abstractNumId w:val="61"/>
  </w:num>
  <w:num w:numId="11">
    <w:abstractNumId w:val="39"/>
  </w:num>
  <w:num w:numId="12">
    <w:abstractNumId w:val="48"/>
  </w:num>
  <w:num w:numId="13">
    <w:abstractNumId w:val="28"/>
  </w:num>
  <w:num w:numId="14">
    <w:abstractNumId w:val="37"/>
  </w:num>
  <w:num w:numId="15">
    <w:abstractNumId w:val="45"/>
  </w:num>
  <w:num w:numId="16">
    <w:abstractNumId w:val="73"/>
  </w:num>
  <w:num w:numId="17">
    <w:abstractNumId w:val="11"/>
  </w:num>
  <w:num w:numId="18">
    <w:abstractNumId w:val="52"/>
  </w:num>
  <w:num w:numId="19">
    <w:abstractNumId w:val="62"/>
  </w:num>
  <w:num w:numId="20">
    <w:abstractNumId w:val="17"/>
  </w:num>
  <w:num w:numId="21">
    <w:abstractNumId w:val="32"/>
  </w:num>
  <w:num w:numId="22">
    <w:abstractNumId w:val="1"/>
  </w:num>
  <w:num w:numId="23">
    <w:abstractNumId w:val="68"/>
  </w:num>
  <w:num w:numId="24">
    <w:abstractNumId w:val="15"/>
  </w:num>
  <w:num w:numId="25">
    <w:abstractNumId w:val="66"/>
  </w:num>
  <w:num w:numId="26">
    <w:abstractNumId w:val="64"/>
  </w:num>
  <w:num w:numId="27">
    <w:abstractNumId w:val="53"/>
  </w:num>
  <w:num w:numId="28">
    <w:abstractNumId w:val="60"/>
  </w:num>
  <w:num w:numId="29">
    <w:abstractNumId w:val="19"/>
  </w:num>
  <w:num w:numId="30">
    <w:abstractNumId w:val="23"/>
  </w:num>
  <w:num w:numId="31">
    <w:abstractNumId w:val="54"/>
  </w:num>
  <w:num w:numId="32">
    <w:abstractNumId w:val="24"/>
  </w:num>
  <w:num w:numId="33">
    <w:abstractNumId w:val="40"/>
  </w:num>
  <w:num w:numId="34">
    <w:abstractNumId w:val="67"/>
  </w:num>
  <w:num w:numId="35">
    <w:abstractNumId w:val="7"/>
  </w:num>
  <w:num w:numId="36">
    <w:abstractNumId w:val="3"/>
  </w:num>
  <w:num w:numId="37">
    <w:abstractNumId w:val="80"/>
  </w:num>
  <w:num w:numId="38">
    <w:abstractNumId w:val="13"/>
  </w:num>
  <w:num w:numId="39">
    <w:abstractNumId w:val="63"/>
  </w:num>
  <w:num w:numId="40">
    <w:abstractNumId w:val="57"/>
  </w:num>
  <w:num w:numId="41">
    <w:abstractNumId w:val="31"/>
  </w:num>
  <w:num w:numId="42">
    <w:abstractNumId w:val="26"/>
  </w:num>
  <w:num w:numId="43">
    <w:abstractNumId w:val="47"/>
  </w:num>
  <w:num w:numId="44">
    <w:abstractNumId w:val="65"/>
  </w:num>
  <w:num w:numId="45">
    <w:abstractNumId w:val="5"/>
  </w:num>
  <w:num w:numId="46">
    <w:abstractNumId w:val="25"/>
  </w:num>
  <w:num w:numId="47">
    <w:abstractNumId w:val="14"/>
  </w:num>
  <w:num w:numId="48">
    <w:abstractNumId w:val="9"/>
  </w:num>
  <w:num w:numId="49">
    <w:abstractNumId w:val="51"/>
  </w:num>
  <w:num w:numId="50">
    <w:abstractNumId w:val="4"/>
  </w:num>
  <w:num w:numId="51">
    <w:abstractNumId w:val="78"/>
  </w:num>
  <w:num w:numId="52">
    <w:abstractNumId w:val="70"/>
  </w:num>
  <w:num w:numId="53">
    <w:abstractNumId w:val="38"/>
  </w:num>
  <w:num w:numId="54">
    <w:abstractNumId w:val="16"/>
  </w:num>
  <w:num w:numId="55">
    <w:abstractNumId w:val="58"/>
  </w:num>
  <w:num w:numId="56">
    <w:abstractNumId w:val="74"/>
  </w:num>
  <w:num w:numId="57">
    <w:abstractNumId w:val="59"/>
  </w:num>
  <w:num w:numId="58">
    <w:abstractNumId w:val="79"/>
  </w:num>
  <w:num w:numId="59">
    <w:abstractNumId w:val="34"/>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18"/>
  </w:num>
  <w:num w:numId="63">
    <w:abstractNumId w:val="20"/>
  </w:num>
  <w:num w:numId="64">
    <w:abstractNumId w:val="72"/>
  </w:num>
  <w:num w:numId="65">
    <w:abstractNumId w:val="49"/>
  </w:num>
  <w:num w:numId="66">
    <w:abstractNumId w:val="56"/>
  </w:num>
  <w:num w:numId="67">
    <w:abstractNumId w:val="0"/>
  </w:num>
  <w:num w:numId="68">
    <w:abstractNumId w:val="22"/>
  </w:num>
  <w:num w:numId="69">
    <w:abstractNumId w:val="71"/>
  </w:num>
  <w:num w:numId="70">
    <w:abstractNumId w:val="36"/>
  </w:num>
  <w:num w:numId="71">
    <w:abstractNumId w:val="46"/>
  </w:num>
  <w:num w:numId="72">
    <w:abstractNumId w:val="55"/>
  </w:num>
  <w:num w:numId="73">
    <w:abstractNumId w:val="12"/>
  </w:num>
  <w:num w:numId="74">
    <w:abstractNumId w:val="42"/>
  </w:num>
  <w:num w:numId="75">
    <w:abstractNumId w:val="27"/>
  </w:num>
  <w:num w:numId="76">
    <w:abstractNumId w:val="69"/>
  </w:num>
  <w:num w:numId="77">
    <w:abstractNumId w:val="30"/>
  </w:num>
  <w:num w:numId="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2"/>
  </w:num>
  <w:num w:numId="81">
    <w:abstractNumId w:val="44"/>
  </w:num>
  <w:num w:numId="82">
    <w:abstractNumId w:val="33"/>
  </w:num>
  <w:num w:numId="83">
    <w:abstractNumId w:val="10"/>
  </w:num>
  <w:num w:numId="84">
    <w:abstractNumId w:val="7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s592ea9tx9z58et9xkxszapwzx2svzz0wfx&quot;&gt;CHC&lt;record-ids&gt;&lt;item&gt;2&lt;/item&gt;&lt;item&gt;4&lt;/item&gt;&lt;item&gt;5&lt;/item&gt;&lt;item&gt;7&lt;/item&gt;&lt;item&gt;12&lt;/item&gt;&lt;item&gt;17&lt;/item&gt;&lt;item&gt;18&lt;/item&gt;&lt;item&gt;19&lt;/item&gt;&lt;item&gt;54&lt;/item&gt;&lt;item&gt;56&lt;/item&gt;&lt;item&gt;58&lt;/item&gt;&lt;item&gt;59&lt;/item&gt;&lt;item&gt;60&lt;/item&gt;&lt;item&gt;61&lt;/item&gt;&lt;item&gt;62&lt;/item&gt;&lt;item&gt;67&lt;/item&gt;&lt;item&gt;68&lt;/item&gt;&lt;item&gt;69&lt;/item&gt;&lt;item&gt;73&lt;/item&gt;&lt;item&gt;74&lt;/item&gt;&lt;item&gt;75&lt;/item&gt;&lt;item&gt;80&lt;/item&gt;&lt;item&gt;89&lt;/item&gt;&lt;item&gt;90&lt;/item&gt;&lt;item&gt;93&lt;/item&gt;&lt;item&gt;94&lt;/item&gt;&lt;item&gt;96&lt;/item&gt;&lt;item&gt;97&lt;/item&gt;&lt;item&gt;98&lt;/item&gt;&lt;item&gt;100&lt;/item&gt;&lt;item&gt;102&lt;/item&gt;&lt;item&gt;104&lt;/item&gt;&lt;item&gt;105&lt;/item&gt;&lt;item&gt;106&lt;/item&gt;&lt;item&gt;107&lt;/item&gt;&lt;item&gt;109&lt;/item&gt;&lt;item&gt;110&lt;/item&gt;&lt;item&gt;111&lt;/item&gt;&lt;item&gt;112&lt;/item&gt;&lt;item&gt;113&lt;/item&gt;&lt;item&gt;115&lt;/item&gt;&lt;item&gt;117&lt;/item&gt;&lt;item&gt;118&lt;/item&gt;&lt;item&gt;119&lt;/item&gt;&lt;item&gt;121&lt;/item&gt;&lt;item&gt;122&lt;/item&gt;&lt;item&gt;125&lt;/item&gt;&lt;item&gt;126&lt;/item&gt;&lt;item&gt;127&lt;/item&gt;&lt;item&gt;128&lt;/item&gt;&lt;item&gt;129&lt;/item&gt;&lt;item&gt;130&lt;/item&gt;&lt;item&gt;131&lt;/item&gt;&lt;item&gt;132&lt;/item&gt;&lt;item&gt;135&lt;/item&gt;&lt;/record-ids&gt;&lt;/item&gt;&lt;/Libraries&gt;"/>
  </w:docVars>
  <w:rsids>
    <w:rsidRoot w:val="00E65E79"/>
    <w:rsid w:val="000002AE"/>
    <w:rsid w:val="000003FF"/>
    <w:rsid w:val="00000790"/>
    <w:rsid w:val="0000110B"/>
    <w:rsid w:val="00003499"/>
    <w:rsid w:val="00003B96"/>
    <w:rsid w:val="0000408E"/>
    <w:rsid w:val="00005648"/>
    <w:rsid w:val="000062ED"/>
    <w:rsid w:val="0000630E"/>
    <w:rsid w:val="00006C4C"/>
    <w:rsid w:val="00007C5E"/>
    <w:rsid w:val="00007E29"/>
    <w:rsid w:val="000101B3"/>
    <w:rsid w:val="00010AB4"/>
    <w:rsid w:val="00010E4E"/>
    <w:rsid w:val="00011447"/>
    <w:rsid w:val="00011699"/>
    <w:rsid w:val="00011C12"/>
    <w:rsid w:val="00013100"/>
    <w:rsid w:val="00013247"/>
    <w:rsid w:val="00013364"/>
    <w:rsid w:val="000133C5"/>
    <w:rsid w:val="00013804"/>
    <w:rsid w:val="000142C7"/>
    <w:rsid w:val="000150DE"/>
    <w:rsid w:val="000151DD"/>
    <w:rsid w:val="00015886"/>
    <w:rsid w:val="000162EF"/>
    <w:rsid w:val="00016713"/>
    <w:rsid w:val="000167BC"/>
    <w:rsid w:val="00016C54"/>
    <w:rsid w:val="00016F1D"/>
    <w:rsid w:val="000170A7"/>
    <w:rsid w:val="000170DB"/>
    <w:rsid w:val="000178DA"/>
    <w:rsid w:val="000179A4"/>
    <w:rsid w:val="00017D5D"/>
    <w:rsid w:val="00020203"/>
    <w:rsid w:val="000215DB"/>
    <w:rsid w:val="000217AB"/>
    <w:rsid w:val="0002225F"/>
    <w:rsid w:val="00022E38"/>
    <w:rsid w:val="00022F4D"/>
    <w:rsid w:val="000231E9"/>
    <w:rsid w:val="00023498"/>
    <w:rsid w:val="00023763"/>
    <w:rsid w:val="00025B0C"/>
    <w:rsid w:val="00027D9D"/>
    <w:rsid w:val="00027E1F"/>
    <w:rsid w:val="0003015F"/>
    <w:rsid w:val="00030822"/>
    <w:rsid w:val="00030A3E"/>
    <w:rsid w:val="00030C7B"/>
    <w:rsid w:val="00030F5D"/>
    <w:rsid w:val="000317AE"/>
    <w:rsid w:val="00031D33"/>
    <w:rsid w:val="00031EA3"/>
    <w:rsid w:val="00032094"/>
    <w:rsid w:val="000329DC"/>
    <w:rsid w:val="000329FB"/>
    <w:rsid w:val="00032ABB"/>
    <w:rsid w:val="00033234"/>
    <w:rsid w:val="0003333E"/>
    <w:rsid w:val="00033CF2"/>
    <w:rsid w:val="00035304"/>
    <w:rsid w:val="0003681D"/>
    <w:rsid w:val="00037BA7"/>
    <w:rsid w:val="00040404"/>
    <w:rsid w:val="00040895"/>
    <w:rsid w:val="000413BD"/>
    <w:rsid w:val="00041B6D"/>
    <w:rsid w:val="00042566"/>
    <w:rsid w:val="000429D5"/>
    <w:rsid w:val="0004319B"/>
    <w:rsid w:val="00043678"/>
    <w:rsid w:val="0004390F"/>
    <w:rsid w:val="00043C37"/>
    <w:rsid w:val="00044A50"/>
    <w:rsid w:val="00044F4F"/>
    <w:rsid w:val="00044F60"/>
    <w:rsid w:val="00045075"/>
    <w:rsid w:val="0004534A"/>
    <w:rsid w:val="00045DF7"/>
    <w:rsid w:val="00045FC4"/>
    <w:rsid w:val="00046F23"/>
    <w:rsid w:val="0004735C"/>
    <w:rsid w:val="000504DA"/>
    <w:rsid w:val="00051A03"/>
    <w:rsid w:val="00051CB2"/>
    <w:rsid w:val="00051D80"/>
    <w:rsid w:val="00052184"/>
    <w:rsid w:val="00052B46"/>
    <w:rsid w:val="00053174"/>
    <w:rsid w:val="000544E3"/>
    <w:rsid w:val="000546D7"/>
    <w:rsid w:val="00056CD5"/>
    <w:rsid w:val="00057B0D"/>
    <w:rsid w:val="00060963"/>
    <w:rsid w:val="00060B2D"/>
    <w:rsid w:val="0006121A"/>
    <w:rsid w:val="000628EA"/>
    <w:rsid w:val="0006381C"/>
    <w:rsid w:val="00065864"/>
    <w:rsid w:val="00065B3C"/>
    <w:rsid w:val="0006627A"/>
    <w:rsid w:val="00067621"/>
    <w:rsid w:val="00070B38"/>
    <w:rsid w:val="00070F0C"/>
    <w:rsid w:val="00070F90"/>
    <w:rsid w:val="00071248"/>
    <w:rsid w:val="000720B9"/>
    <w:rsid w:val="000728F0"/>
    <w:rsid w:val="000732F5"/>
    <w:rsid w:val="0007497E"/>
    <w:rsid w:val="0007706F"/>
    <w:rsid w:val="00077235"/>
    <w:rsid w:val="0007773F"/>
    <w:rsid w:val="00077ACE"/>
    <w:rsid w:val="000812CA"/>
    <w:rsid w:val="00081D3E"/>
    <w:rsid w:val="00082207"/>
    <w:rsid w:val="000827A6"/>
    <w:rsid w:val="00082D20"/>
    <w:rsid w:val="00083773"/>
    <w:rsid w:val="0008418D"/>
    <w:rsid w:val="000845D5"/>
    <w:rsid w:val="000846E3"/>
    <w:rsid w:val="000852A0"/>
    <w:rsid w:val="00085FF7"/>
    <w:rsid w:val="00086009"/>
    <w:rsid w:val="0008624A"/>
    <w:rsid w:val="000863A2"/>
    <w:rsid w:val="000871DA"/>
    <w:rsid w:val="00087777"/>
    <w:rsid w:val="00087DA4"/>
    <w:rsid w:val="00090532"/>
    <w:rsid w:val="00090C7E"/>
    <w:rsid w:val="0009141A"/>
    <w:rsid w:val="0009162B"/>
    <w:rsid w:val="00091723"/>
    <w:rsid w:val="000919E1"/>
    <w:rsid w:val="000925D8"/>
    <w:rsid w:val="00092F6E"/>
    <w:rsid w:val="00094FBC"/>
    <w:rsid w:val="000A0829"/>
    <w:rsid w:val="000A0C6A"/>
    <w:rsid w:val="000A1AF7"/>
    <w:rsid w:val="000A3341"/>
    <w:rsid w:val="000A48A7"/>
    <w:rsid w:val="000A552B"/>
    <w:rsid w:val="000A57FC"/>
    <w:rsid w:val="000A5F80"/>
    <w:rsid w:val="000A7FF9"/>
    <w:rsid w:val="000B0066"/>
    <w:rsid w:val="000B1EA0"/>
    <w:rsid w:val="000B20A8"/>
    <w:rsid w:val="000B2A50"/>
    <w:rsid w:val="000B3243"/>
    <w:rsid w:val="000B3F4E"/>
    <w:rsid w:val="000B4D52"/>
    <w:rsid w:val="000B52B8"/>
    <w:rsid w:val="000B550C"/>
    <w:rsid w:val="000B5B07"/>
    <w:rsid w:val="000B5D2C"/>
    <w:rsid w:val="000B6982"/>
    <w:rsid w:val="000B6CA3"/>
    <w:rsid w:val="000C09F6"/>
    <w:rsid w:val="000C2167"/>
    <w:rsid w:val="000C3172"/>
    <w:rsid w:val="000C5919"/>
    <w:rsid w:val="000C6896"/>
    <w:rsid w:val="000C689C"/>
    <w:rsid w:val="000C6D91"/>
    <w:rsid w:val="000C76DC"/>
    <w:rsid w:val="000C7A11"/>
    <w:rsid w:val="000C7D8C"/>
    <w:rsid w:val="000C7EE5"/>
    <w:rsid w:val="000D0BFA"/>
    <w:rsid w:val="000D0E90"/>
    <w:rsid w:val="000D0FD5"/>
    <w:rsid w:val="000D17B7"/>
    <w:rsid w:val="000D193C"/>
    <w:rsid w:val="000D1BFC"/>
    <w:rsid w:val="000D1CCF"/>
    <w:rsid w:val="000D1D2D"/>
    <w:rsid w:val="000D3CFA"/>
    <w:rsid w:val="000D4018"/>
    <w:rsid w:val="000D433A"/>
    <w:rsid w:val="000D6BDF"/>
    <w:rsid w:val="000D722A"/>
    <w:rsid w:val="000D77B2"/>
    <w:rsid w:val="000D77CA"/>
    <w:rsid w:val="000E07A7"/>
    <w:rsid w:val="000E4400"/>
    <w:rsid w:val="000E5200"/>
    <w:rsid w:val="000E5793"/>
    <w:rsid w:val="000E5BBB"/>
    <w:rsid w:val="000F093F"/>
    <w:rsid w:val="000F1F3C"/>
    <w:rsid w:val="000F3D9B"/>
    <w:rsid w:val="000F408E"/>
    <w:rsid w:val="000F4395"/>
    <w:rsid w:val="000F4BB8"/>
    <w:rsid w:val="000F5062"/>
    <w:rsid w:val="000F51CC"/>
    <w:rsid w:val="000F7119"/>
    <w:rsid w:val="000F7127"/>
    <w:rsid w:val="000F7C85"/>
    <w:rsid w:val="00100B40"/>
    <w:rsid w:val="00100F8A"/>
    <w:rsid w:val="00102C61"/>
    <w:rsid w:val="00102E7B"/>
    <w:rsid w:val="00103832"/>
    <w:rsid w:val="00103C8C"/>
    <w:rsid w:val="00107615"/>
    <w:rsid w:val="00107720"/>
    <w:rsid w:val="0010799F"/>
    <w:rsid w:val="00107C0B"/>
    <w:rsid w:val="00107D06"/>
    <w:rsid w:val="0011032E"/>
    <w:rsid w:val="0011187E"/>
    <w:rsid w:val="00111E8D"/>
    <w:rsid w:val="0011225A"/>
    <w:rsid w:val="00112901"/>
    <w:rsid w:val="00112938"/>
    <w:rsid w:val="0011294D"/>
    <w:rsid w:val="00112961"/>
    <w:rsid w:val="001129E0"/>
    <w:rsid w:val="00113193"/>
    <w:rsid w:val="0011348B"/>
    <w:rsid w:val="00114B0D"/>
    <w:rsid w:val="001151BB"/>
    <w:rsid w:val="00115ED8"/>
    <w:rsid w:val="00120886"/>
    <w:rsid w:val="00120898"/>
    <w:rsid w:val="00120C8B"/>
    <w:rsid w:val="00120F01"/>
    <w:rsid w:val="00121799"/>
    <w:rsid w:val="00121EBA"/>
    <w:rsid w:val="001222FC"/>
    <w:rsid w:val="00124631"/>
    <w:rsid w:val="0012494A"/>
    <w:rsid w:val="00124A51"/>
    <w:rsid w:val="001250C9"/>
    <w:rsid w:val="00126621"/>
    <w:rsid w:val="001274A1"/>
    <w:rsid w:val="001301E9"/>
    <w:rsid w:val="0013028C"/>
    <w:rsid w:val="001320D9"/>
    <w:rsid w:val="00132355"/>
    <w:rsid w:val="00132540"/>
    <w:rsid w:val="001330D1"/>
    <w:rsid w:val="00134762"/>
    <w:rsid w:val="001358AF"/>
    <w:rsid w:val="00136313"/>
    <w:rsid w:val="00137367"/>
    <w:rsid w:val="00137479"/>
    <w:rsid w:val="00137645"/>
    <w:rsid w:val="0014015A"/>
    <w:rsid w:val="00140E99"/>
    <w:rsid w:val="00141A59"/>
    <w:rsid w:val="0014244C"/>
    <w:rsid w:val="00142BDA"/>
    <w:rsid w:val="00143A88"/>
    <w:rsid w:val="00144677"/>
    <w:rsid w:val="001453DC"/>
    <w:rsid w:val="00145540"/>
    <w:rsid w:val="001456B0"/>
    <w:rsid w:val="00145CC6"/>
    <w:rsid w:val="00150365"/>
    <w:rsid w:val="00150BBE"/>
    <w:rsid w:val="00150D64"/>
    <w:rsid w:val="0015106E"/>
    <w:rsid w:val="00151139"/>
    <w:rsid w:val="001516F9"/>
    <w:rsid w:val="00152162"/>
    <w:rsid w:val="00152555"/>
    <w:rsid w:val="00153AFB"/>
    <w:rsid w:val="00153B0D"/>
    <w:rsid w:val="00154448"/>
    <w:rsid w:val="00154BDA"/>
    <w:rsid w:val="00155278"/>
    <w:rsid w:val="0015553E"/>
    <w:rsid w:val="00155A05"/>
    <w:rsid w:val="00155AA7"/>
    <w:rsid w:val="0015693F"/>
    <w:rsid w:val="0015699E"/>
    <w:rsid w:val="00157130"/>
    <w:rsid w:val="00157B1B"/>
    <w:rsid w:val="0016117F"/>
    <w:rsid w:val="00161764"/>
    <w:rsid w:val="0016252C"/>
    <w:rsid w:val="00162629"/>
    <w:rsid w:val="00162913"/>
    <w:rsid w:val="00163572"/>
    <w:rsid w:val="00163A34"/>
    <w:rsid w:val="00163EFF"/>
    <w:rsid w:val="00163F95"/>
    <w:rsid w:val="00164B26"/>
    <w:rsid w:val="001661FB"/>
    <w:rsid w:val="00166322"/>
    <w:rsid w:val="0016662E"/>
    <w:rsid w:val="0016718D"/>
    <w:rsid w:val="001671AD"/>
    <w:rsid w:val="00167796"/>
    <w:rsid w:val="00172B60"/>
    <w:rsid w:val="00173ABF"/>
    <w:rsid w:val="00174330"/>
    <w:rsid w:val="001747C9"/>
    <w:rsid w:val="00174C3E"/>
    <w:rsid w:val="001756C6"/>
    <w:rsid w:val="00176016"/>
    <w:rsid w:val="0017679D"/>
    <w:rsid w:val="001803C1"/>
    <w:rsid w:val="001803FB"/>
    <w:rsid w:val="001808DC"/>
    <w:rsid w:val="001814C4"/>
    <w:rsid w:val="00182F59"/>
    <w:rsid w:val="00183294"/>
    <w:rsid w:val="0018377A"/>
    <w:rsid w:val="00183EA2"/>
    <w:rsid w:val="0018530F"/>
    <w:rsid w:val="00187485"/>
    <w:rsid w:val="0018752F"/>
    <w:rsid w:val="00190840"/>
    <w:rsid w:val="00191409"/>
    <w:rsid w:val="00192455"/>
    <w:rsid w:val="00192937"/>
    <w:rsid w:val="00193146"/>
    <w:rsid w:val="00195057"/>
    <w:rsid w:val="00195222"/>
    <w:rsid w:val="00196BDD"/>
    <w:rsid w:val="00196FED"/>
    <w:rsid w:val="001975D8"/>
    <w:rsid w:val="00197ED3"/>
    <w:rsid w:val="001A10B4"/>
    <w:rsid w:val="001A19CD"/>
    <w:rsid w:val="001A1F71"/>
    <w:rsid w:val="001A2E42"/>
    <w:rsid w:val="001A2E65"/>
    <w:rsid w:val="001A5E9E"/>
    <w:rsid w:val="001A6595"/>
    <w:rsid w:val="001A7235"/>
    <w:rsid w:val="001B0ABD"/>
    <w:rsid w:val="001B1328"/>
    <w:rsid w:val="001B1DE4"/>
    <w:rsid w:val="001B3443"/>
    <w:rsid w:val="001B37AB"/>
    <w:rsid w:val="001B454C"/>
    <w:rsid w:val="001B4E0D"/>
    <w:rsid w:val="001B4EED"/>
    <w:rsid w:val="001B6675"/>
    <w:rsid w:val="001B7390"/>
    <w:rsid w:val="001B7A64"/>
    <w:rsid w:val="001C07F8"/>
    <w:rsid w:val="001C10DD"/>
    <w:rsid w:val="001C263E"/>
    <w:rsid w:val="001C28F6"/>
    <w:rsid w:val="001C2E3C"/>
    <w:rsid w:val="001C4546"/>
    <w:rsid w:val="001C536C"/>
    <w:rsid w:val="001C6167"/>
    <w:rsid w:val="001C62C6"/>
    <w:rsid w:val="001C65EA"/>
    <w:rsid w:val="001C65F6"/>
    <w:rsid w:val="001C66E3"/>
    <w:rsid w:val="001C6B31"/>
    <w:rsid w:val="001C6E66"/>
    <w:rsid w:val="001D1301"/>
    <w:rsid w:val="001D13AD"/>
    <w:rsid w:val="001D19C8"/>
    <w:rsid w:val="001D23DB"/>
    <w:rsid w:val="001D3890"/>
    <w:rsid w:val="001D47C9"/>
    <w:rsid w:val="001D4C45"/>
    <w:rsid w:val="001D56A3"/>
    <w:rsid w:val="001D6247"/>
    <w:rsid w:val="001E0EA6"/>
    <w:rsid w:val="001E238E"/>
    <w:rsid w:val="001E2453"/>
    <w:rsid w:val="001E271A"/>
    <w:rsid w:val="001E2B1E"/>
    <w:rsid w:val="001E38F4"/>
    <w:rsid w:val="001E3E82"/>
    <w:rsid w:val="001E4AA3"/>
    <w:rsid w:val="001E52EB"/>
    <w:rsid w:val="001E6662"/>
    <w:rsid w:val="001E740C"/>
    <w:rsid w:val="001E7468"/>
    <w:rsid w:val="001F0899"/>
    <w:rsid w:val="001F1235"/>
    <w:rsid w:val="001F1291"/>
    <w:rsid w:val="001F1CB3"/>
    <w:rsid w:val="001F1DB3"/>
    <w:rsid w:val="001F2922"/>
    <w:rsid w:val="001F329F"/>
    <w:rsid w:val="001F351C"/>
    <w:rsid w:val="001F45B1"/>
    <w:rsid w:val="001F4A42"/>
    <w:rsid w:val="001F5599"/>
    <w:rsid w:val="001F6A9F"/>
    <w:rsid w:val="001F7361"/>
    <w:rsid w:val="001F7A1F"/>
    <w:rsid w:val="00201118"/>
    <w:rsid w:val="002018D4"/>
    <w:rsid w:val="00202F61"/>
    <w:rsid w:val="0020385F"/>
    <w:rsid w:val="00204597"/>
    <w:rsid w:val="00204B3D"/>
    <w:rsid w:val="00204D9F"/>
    <w:rsid w:val="00205F2C"/>
    <w:rsid w:val="00206D3B"/>
    <w:rsid w:val="00206E9F"/>
    <w:rsid w:val="00207019"/>
    <w:rsid w:val="00207021"/>
    <w:rsid w:val="00207D00"/>
    <w:rsid w:val="00207DD1"/>
    <w:rsid w:val="002105C1"/>
    <w:rsid w:val="002109D8"/>
    <w:rsid w:val="002128CB"/>
    <w:rsid w:val="002128E6"/>
    <w:rsid w:val="00213DEE"/>
    <w:rsid w:val="002165BF"/>
    <w:rsid w:val="0021709A"/>
    <w:rsid w:val="0021749D"/>
    <w:rsid w:val="00220D34"/>
    <w:rsid w:val="00220D85"/>
    <w:rsid w:val="00221A27"/>
    <w:rsid w:val="002229B6"/>
    <w:rsid w:val="00222B61"/>
    <w:rsid w:val="0022331D"/>
    <w:rsid w:val="00223734"/>
    <w:rsid w:val="00223B49"/>
    <w:rsid w:val="0022425C"/>
    <w:rsid w:val="002243DA"/>
    <w:rsid w:val="00224DD4"/>
    <w:rsid w:val="00226C4E"/>
    <w:rsid w:val="002309CC"/>
    <w:rsid w:val="00230A64"/>
    <w:rsid w:val="00230F8F"/>
    <w:rsid w:val="00232931"/>
    <w:rsid w:val="00232DDA"/>
    <w:rsid w:val="0023324F"/>
    <w:rsid w:val="002347D8"/>
    <w:rsid w:val="002356C9"/>
    <w:rsid w:val="0023750C"/>
    <w:rsid w:val="00237B7D"/>
    <w:rsid w:val="0024089F"/>
    <w:rsid w:val="002417B9"/>
    <w:rsid w:val="00241AB7"/>
    <w:rsid w:val="00242AE2"/>
    <w:rsid w:val="0024380A"/>
    <w:rsid w:val="00244CA8"/>
    <w:rsid w:val="00245B24"/>
    <w:rsid w:val="00245D89"/>
    <w:rsid w:val="00245E13"/>
    <w:rsid w:val="00246338"/>
    <w:rsid w:val="002477F2"/>
    <w:rsid w:val="00247CDC"/>
    <w:rsid w:val="0025154F"/>
    <w:rsid w:val="0025211C"/>
    <w:rsid w:val="002526E7"/>
    <w:rsid w:val="002528A8"/>
    <w:rsid w:val="002536B1"/>
    <w:rsid w:val="0025452C"/>
    <w:rsid w:val="0025489A"/>
    <w:rsid w:val="002549A1"/>
    <w:rsid w:val="00254DCF"/>
    <w:rsid w:val="0025534B"/>
    <w:rsid w:val="00255BB7"/>
    <w:rsid w:val="00255E35"/>
    <w:rsid w:val="0025672D"/>
    <w:rsid w:val="002568FF"/>
    <w:rsid w:val="00257E50"/>
    <w:rsid w:val="002600A6"/>
    <w:rsid w:val="002609BE"/>
    <w:rsid w:val="00261A0B"/>
    <w:rsid w:val="0026291C"/>
    <w:rsid w:val="00262A87"/>
    <w:rsid w:val="00264880"/>
    <w:rsid w:val="0026703C"/>
    <w:rsid w:val="00267509"/>
    <w:rsid w:val="00267BE6"/>
    <w:rsid w:val="0027065E"/>
    <w:rsid w:val="002707A9"/>
    <w:rsid w:val="00270A12"/>
    <w:rsid w:val="00271D5B"/>
    <w:rsid w:val="00271E1C"/>
    <w:rsid w:val="00272AA5"/>
    <w:rsid w:val="00273520"/>
    <w:rsid w:val="00273F9A"/>
    <w:rsid w:val="00274479"/>
    <w:rsid w:val="00275C5A"/>
    <w:rsid w:val="00276045"/>
    <w:rsid w:val="0027625A"/>
    <w:rsid w:val="00276BBB"/>
    <w:rsid w:val="0027749E"/>
    <w:rsid w:val="002778DE"/>
    <w:rsid w:val="00280115"/>
    <w:rsid w:val="0028021F"/>
    <w:rsid w:val="00280A51"/>
    <w:rsid w:val="00280FF2"/>
    <w:rsid w:val="00281014"/>
    <w:rsid w:val="00281DA7"/>
    <w:rsid w:val="0028256F"/>
    <w:rsid w:val="002825C7"/>
    <w:rsid w:val="00282AE1"/>
    <w:rsid w:val="002839F9"/>
    <w:rsid w:val="00283D1F"/>
    <w:rsid w:val="00284689"/>
    <w:rsid w:val="00284F84"/>
    <w:rsid w:val="002853FA"/>
    <w:rsid w:val="00285F8E"/>
    <w:rsid w:val="00286232"/>
    <w:rsid w:val="00287075"/>
    <w:rsid w:val="002871DC"/>
    <w:rsid w:val="00287481"/>
    <w:rsid w:val="002901FD"/>
    <w:rsid w:val="00290B43"/>
    <w:rsid w:val="00291250"/>
    <w:rsid w:val="00291600"/>
    <w:rsid w:val="00293199"/>
    <w:rsid w:val="00293223"/>
    <w:rsid w:val="0029504C"/>
    <w:rsid w:val="0029639E"/>
    <w:rsid w:val="002963EC"/>
    <w:rsid w:val="002968C3"/>
    <w:rsid w:val="00296FC6"/>
    <w:rsid w:val="00297A0C"/>
    <w:rsid w:val="002A0DDC"/>
    <w:rsid w:val="002A14AB"/>
    <w:rsid w:val="002A1A61"/>
    <w:rsid w:val="002A3628"/>
    <w:rsid w:val="002A47A6"/>
    <w:rsid w:val="002A52B3"/>
    <w:rsid w:val="002A6409"/>
    <w:rsid w:val="002A6604"/>
    <w:rsid w:val="002A677D"/>
    <w:rsid w:val="002B0204"/>
    <w:rsid w:val="002B0D77"/>
    <w:rsid w:val="002B1187"/>
    <w:rsid w:val="002B1514"/>
    <w:rsid w:val="002B1C1F"/>
    <w:rsid w:val="002B273E"/>
    <w:rsid w:val="002B2925"/>
    <w:rsid w:val="002B3071"/>
    <w:rsid w:val="002B30DF"/>
    <w:rsid w:val="002B3596"/>
    <w:rsid w:val="002B3CF6"/>
    <w:rsid w:val="002B432F"/>
    <w:rsid w:val="002B4485"/>
    <w:rsid w:val="002B4581"/>
    <w:rsid w:val="002B4F92"/>
    <w:rsid w:val="002B5994"/>
    <w:rsid w:val="002B6B83"/>
    <w:rsid w:val="002B6CCE"/>
    <w:rsid w:val="002B6DDF"/>
    <w:rsid w:val="002B7F55"/>
    <w:rsid w:val="002C1817"/>
    <w:rsid w:val="002C1D21"/>
    <w:rsid w:val="002C1DA7"/>
    <w:rsid w:val="002C2775"/>
    <w:rsid w:val="002C27C1"/>
    <w:rsid w:val="002C2AAC"/>
    <w:rsid w:val="002C38B9"/>
    <w:rsid w:val="002C6EA4"/>
    <w:rsid w:val="002C7403"/>
    <w:rsid w:val="002C78DE"/>
    <w:rsid w:val="002C7AC1"/>
    <w:rsid w:val="002D116D"/>
    <w:rsid w:val="002D1EDC"/>
    <w:rsid w:val="002D2228"/>
    <w:rsid w:val="002D22DD"/>
    <w:rsid w:val="002D27E1"/>
    <w:rsid w:val="002D3536"/>
    <w:rsid w:val="002D35C5"/>
    <w:rsid w:val="002D4415"/>
    <w:rsid w:val="002D4586"/>
    <w:rsid w:val="002D45D8"/>
    <w:rsid w:val="002D4BA3"/>
    <w:rsid w:val="002D6231"/>
    <w:rsid w:val="002D6384"/>
    <w:rsid w:val="002D68DD"/>
    <w:rsid w:val="002D6C70"/>
    <w:rsid w:val="002D6E0A"/>
    <w:rsid w:val="002D73E0"/>
    <w:rsid w:val="002D7733"/>
    <w:rsid w:val="002D7DED"/>
    <w:rsid w:val="002D7E46"/>
    <w:rsid w:val="002E0F99"/>
    <w:rsid w:val="002E1210"/>
    <w:rsid w:val="002E1D0B"/>
    <w:rsid w:val="002E237A"/>
    <w:rsid w:val="002E2DBD"/>
    <w:rsid w:val="002E2EAB"/>
    <w:rsid w:val="002E3A45"/>
    <w:rsid w:val="002E41D2"/>
    <w:rsid w:val="002E5312"/>
    <w:rsid w:val="002E53EA"/>
    <w:rsid w:val="002E5425"/>
    <w:rsid w:val="002E5A8F"/>
    <w:rsid w:val="002E5C7E"/>
    <w:rsid w:val="002E6C9A"/>
    <w:rsid w:val="002E6CC1"/>
    <w:rsid w:val="002F1BB8"/>
    <w:rsid w:val="002F2E3F"/>
    <w:rsid w:val="002F5F15"/>
    <w:rsid w:val="002F7197"/>
    <w:rsid w:val="002F7B61"/>
    <w:rsid w:val="00300E66"/>
    <w:rsid w:val="00301017"/>
    <w:rsid w:val="003039CA"/>
    <w:rsid w:val="00304AB2"/>
    <w:rsid w:val="00304C4B"/>
    <w:rsid w:val="00305CDD"/>
    <w:rsid w:val="0030662D"/>
    <w:rsid w:val="00306D51"/>
    <w:rsid w:val="00307594"/>
    <w:rsid w:val="00307604"/>
    <w:rsid w:val="0030786C"/>
    <w:rsid w:val="00307CD8"/>
    <w:rsid w:val="0031031A"/>
    <w:rsid w:val="00310535"/>
    <w:rsid w:val="00310981"/>
    <w:rsid w:val="00311EA5"/>
    <w:rsid w:val="00312C63"/>
    <w:rsid w:val="003134A2"/>
    <w:rsid w:val="003145D8"/>
    <w:rsid w:val="003146F9"/>
    <w:rsid w:val="00314B30"/>
    <w:rsid w:val="00315498"/>
    <w:rsid w:val="00316753"/>
    <w:rsid w:val="003167A8"/>
    <w:rsid w:val="003172F4"/>
    <w:rsid w:val="00320B17"/>
    <w:rsid w:val="0032121B"/>
    <w:rsid w:val="0032214E"/>
    <w:rsid w:val="0032353D"/>
    <w:rsid w:val="003236AA"/>
    <w:rsid w:val="003242DE"/>
    <w:rsid w:val="00325B14"/>
    <w:rsid w:val="003264D8"/>
    <w:rsid w:val="00326684"/>
    <w:rsid w:val="003268F6"/>
    <w:rsid w:val="0032696D"/>
    <w:rsid w:val="00326B41"/>
    <w:rsid w:val="00327279"/>
    <w:rsid w:val="00327BCA"/>
    <w:rsid w:val="00330761"/>
    <w:rsid w:val="00330B31"/>
    <w:rsid w:val="00330BBD"/>
    <w:rsid w:val="00331026"/>
    <w:rsid w:val="003310F3"/>
    <w:rsid w:val="00331F98"/>
    <w:rsid w:val="00335BE5"/>
    <w:rsid w:val="00335C6B"/>
    <w:rsid w:val="003366C9"/>
    <w:rsid w:val="0033686C"/>
    <w:rsid w:val="003371B0"/>
    <w:rsid w:val="003374B9"/>
    <w:rsid w:val="0034061E"/>
    <w:rsid w:val="0034164E"/>
    <w:rsid w:val="00341F6F"/>
    <w:rsid w:val="00342935"/>
    <w:rsid w:val="0034325C"/>
    <w:rsid w:val="0034375B"/>
    <w:rsid w:val="00344404"/>
    <w:rsid w:val="00344B54"/>
    <w:rsid w:val="00344CCA"/>
    <w:rsid w:val="003455F8"/>
    <w:rsid w:val="00345A73"/>
    <w:rsid w:val="00346033"/>
    <w:rsid w:val="003469AD"/>
    <w:rsid w:val="00346ABD"/>
    <w:rsid w:val="00346E29"/>
    <w:rsid w:val="0034721A"/>
    <w:rsid w:val="003473C1"/>
    <w:rsid w:val="00347474"/>
    <w:rsid w:val="0034771E"/>
    <w:rsid w:val="00347974"/>
    <w:rsid w:val="003479EB"/>
    <w:rsid w:val="0035115D"/>
    <w:rsid w:val="003520D3"/>
    <w:rsid w:val="003523D7"/>
    <w:rsid w:val="00352E10"/>
    <w:rsid w:val="00353685"/>
    <w:rsid w:val="0035374E"/>
    <w:rsid w:val="0035464D"/>
    <w:rsid w:val="003555CA"/>
    <w:rsid w:val="00355C9F"/>
    <w:rsid w:val="0035620E"/>
    <w:rsid w:val="003573A7"/>
    <w:rsid w:val="00360BDD"/>
    <w:rsid w:val="00361612"/>
    <w:rsid w:val="00361BD0"/>
    <w:rsid w:val="00362DDB"/>
    <w:rsid w:val="003631B9"/>
    <w:rsid w:val="00363993"/>
    <w:rsid w:val="0036436F"/>
    <w:rsid w:val="003651F8"/>
    <w:rsid w:val="00365342"/>
    <w:rsid w:val="003659A6"/>
    <w:rsid w:val="00365D71"/>
    <w:rsid w:val="003671FE"/>
    <w:rsid w:val="00367C5B"/>
    <w:rsid w:val="0037189F"/>
    <w:rsid w:val="003722BE"/>
    <w:rsid w:val="00372732"/>
    <w:rsid w:val="00372D66"/>
    <w:rsid w:val="00372EA6"/>
    <w:rsid w:val="0037388F"/>
    <w:rsid w:val="00373F3C"/>
    <w:rsid w:val="00374EC3"/>
    <w:rsid w:val="00375164"/>
    <w:rsid w:val="00375494"/>
    <w:rsid w:val="00376D35"/>
    <w:rsid w:val="003776BA"/>
    <w:rsid w:val="003779FD"/>
    <w:rsid w:val="00377D64"/>
    <w:rsid w:val="00377FB0"/>
    <w:rsid w:val="00381064"/>
    <w:rsid w:val="0038365C"/>
    <w:rsid w:val="0038369D"/>
    <w:rsid w:val="00390E0C"/>
    <w:rsid w:val="00390EF4"/>
    <w:rsid w:val="00393053"/>
    <w:rsid w:val="0039445E"/>
    <w:rsid w:val="0039466D"/>
    <w:rsid w:val="0039535F"/>
    <w:rsid w:val="00396A76"/>
    <w:rsid w:val="00396FD0"/>
    <w:rsid w:val="00397A58"/>
    <w:rsid w:val="003A0332"/>
    <w:rsid w:val="003A07EE"/>
    <w:rsid w:val="003A1A7A"/>
    <w:rsid w:val="003A1F6C"/>
    <w:rsid w:val="003A215A"/>
    <w:rsid w:val="003A2BD0"/>
    <w:rsid w:val="003A3938"/>
    <w:rsid w:val="003A475F"/>
    <w:rsid w:val="003A51A3"/>
    <w:rsid w:val="003A5AEE"/>
    <w:rsid w:val="003A5DB8"/>
    <w:rsid w:val="003A5E11"/>
    <w:rsid w:val="003A5E39"/>
    <w:rsid w:val="003A6C92"/>
    <w:rsid w:val="003A6DD1"/>
    <w:rsid w:val="003A7334"/>
    <w:rsid w:val="003A7A91"/>
    <w:rsid w:val="003B0BF7"/>
    <w:rsid w:val="003B164D"/>
    <w:rsid w:val="003B18A6"/>
    <w:rsid w:val="003B3E88"/>
    <w:rsid w:val="003B5785"/>
    <w:rsid w:val="003B79C0"/>
    <w:rsid w:val="003C06C2"/>
    <w:rsid w:val="003C0839"/>
    <w:rsid w:val="003C08A6"/>
    <w:rsid w:val="003C100E"/>
    <w:rsid w:val="003C1E8D"/>
    <w:rsid w:val="003C2708"/>
    <w:rsid w:val="003C2E8F"/>
    <w:rsid w:val="003C3341"/>
    <w:rsid w:val="003C3A19"/>
    <w:rsid w:val="003C4EB1"/>
    <w:rsid w:val="003C4FAC"/>
    <w:rsid w:val="003C57E9"/>
    <w:rsid w:val="003C5FE3"/>
    <w:rsid w:val="003C6336"/>
    <w:rsid w:val="003C7BFE"/>
    <w:rsid w:val="003C7E6A"/>
    <w:rsid w:val="003D0962"/>
    <w:rsid w:val="003D107E"/>
    <w:rsid w:val="003D1828"/>
    <w:rsid w:val="003D189A"/>
    <w:rsid w:val="003D2422"/>
    <w:rsid w:val="003D2945"/>
    <w:rsid w:val="003D30B5"/>
    <w:rsid w:val="003D34F1"/>
    <w:rsid w:val="003D468F"/>
    <w:rsid w:val="003D4774"/>
    <w:rsid w:val="003D6C2B"/>
    <w:rsid w:val="003D6D5F"/>
    <w:rsid w:val="003D7187"/>
    <w:rsid w:val="003E010E"/>
    <w:rsid w:val="003E1804"/>
    <w:rsid w:val="003E1FA6"/>
    <w:rsid w:val="003E24F1"/>
    <w:rsid w:val="003E253C"/>
    <w:rsid w:val="003E2969"/>
    <w:rsid w:val="003E32B5"/>
    <w:rsid w:val="003E477F"/>
    <w:rsid w:val="003E517E"/>
    <w:rsid w:val="003E7147"/>
    <w:rsid w:val="003F2147"/>
    <w:rsid w:val="003F35E7"/>
    <w:rsid w:val="003F4156"/>
    <w:rsid w:val="003F4392"/>
    <w:rsid w:val="003F4DDF"/>
    <w:rsid w:val="003F5016"/>
    <w:rsid w:val="003F612C"/>
    <w:rsid w:val="003F6694"/>
    <w:rsid w:val="003F6ED5"/>
    <w:rsid w:val="00400258"/>
    <w:rsid w:val="004003A0"/>
    <w:rsid w:val="004004AB"/>
    <w:rsid w:val="00401E94"/>
    <w:rsid w:val="00401FCE"/>
    <w:rsid w:val="004023B4"/>
    <w:rsid w:val="004025D0"/>
    <w:rsid w:val="00402CDC"/>
    <w:rsid w:val="00403D7F"/>
    <w:rsid w:val="0040467F"/>
    <w:rsid w:val="00406293"/>
    <w:rsid w:val="00407BFE"/>
    <w:rsid w:val="00410284"/>
    <w:rsid w:val="00410708"/>
    <w:rsid w:val="00410EC7"/>
    <w:rsid w:val="004113DC"/>
    <w:rsid w:val="0041270F"/>
    <w:rsid w:val="00414476"/>
    <w:rsid w:val="00414D44"/>
    <w:rsid w:val="0041556C"/>
    <w:rsid w:val="0041579C"/>
    <w:rsid w:val="004173FB"/>
    <w:rsid w:val="004203C8"/>
    <w:rsid w:val="004203E8"/>
    <w:rsid w:val="00420576"/>
    <w:rsid w:val="00420B9F"/>
    <w:rsid w:val="004221D1"/>
    <w:rsid w:val="004231DE"/>
    <w:rsid w:val="00423B17"/>
    <w:rsid w:val="00425331"/>
    <w:rsid w:val="00426119"/>
    <w:rsid w:val="0042703B"/>
    <w:rsid w:val="004311D4"/>
    <w:rsid w:val="004319AD"/>
    <w:rsid w:val="004319F8"/>
    <w:rsid w:val="00431A51"/>
    <w:rsid w:val="00431B27"/>
    <w:rsid w:val="00433044"/>
    <w:rsid w:val="00434052"/>
    <w:rsid w:val="004346F7"/>
    <w:rsid w:val="00435D51"/>
    <w:rsid w:val="00436227"/>
    <w:rsid w:val="00440DDC"/>
    <w:rsid w:val="00442908"/>
    <w:rsid w:val="00442A0A"/>
    <w:rsid w:val="00443604"/>
    <w:rsid w:val="004439F2"/>
    <w:rsid w:val="00443C17"/>
    <w:rsid w:val="004443A7"/>
    <w:rsid w:val="00444C04"/>
    <w:rsid w:val="00444C50"/>
    <w:rsid w:val="004464EB"/>
    <w:rsid w:val="00446B94"/>
    <w:rsid w:val="00446D06"/>
    <w:rsid w:val="00447DA9"/>
    <w:rsid w:val="004510CB"/>
    <w:rsid w:val="00451BDE"/>
    <w:rsid w:val="0045210C"/>
    <w:rsid w:val="0045283C"/>
    <w:rsid w:val="00453767"/>
    <w:rsid w:val="004552CD"/>
    <w:rsid w:val="00455CBC"/>
    <w:rsid w:val="00455D45"/>
    <w:rsid w:val="00457C88"/>
    <w:rsid w:val="0046078B"/>
    <w:rsid w:val="0046107B"/>
    <w:rsid w:val="00461470"/>
    <w:rsid w:val="00461F83"/>
    <w:rsid w:val="00464595"/>
    <w:rsid w:val="004675F2"/>
    <w:rsid w:val="00467DAE"/>
    <w:rsid w:val="00470648"/>
    <w:rsid w:val="00470A9D"/>
    <w:rsid w:val="00470C6E"/>
    <w:rsid w:val="00471EAA"/>
    <w:rsid w:val="0047247B"/>
    <w:rsid w:val="00472BEB"/>
    <w:rsid w:val="00473665"/>
    <w:rsid w:val="00473848"/>
    <w:rsid w:val="00473C88"/>
    <w:rsid w:val="004740C9"/>
    <w:rsid w:val="00474A7B"/>
    <w:rsid w:val="00474E9B"/>
    <w:rsid w:val="00476067"/>
    <w:rsid w:val="00476078"/>
    <w:rsid w:val="0047641B"/>
    <w:rsid w:val="00476D02"/>
    <w:rsid w:val="004773A6"/>
    <w:rsid w:val="00477780"/>
    <w:rsid w:val="0048062C"/>
    <w:rsid w:val="004807A9"/>
    <w:rsid w:val="0048150C"/>
    <w:rsid w:val="004818A4"/>
    <w:rsid w:val="00481A41"/>
    <w:rsid w:val="00481A68"/>
    <w:rsid w:val="00482D89"/>
    <w:rsid w:val="00484A90"/>
    <w:rsid w:val="00484F49"/>
    <w:rsid w:val="00485B04"/>
    <w:rsid w:val="004867E2"/>
    <w:rsid w:val="00487157"/>
    <w:rsid w:val="0048752C"/>
    <w:rsid w:val="00490A21"/>
    <w:rsid w:val="00490BF1"/>
    <w:rsid w:val="00491B3A"/>
    <w:rsid w:val="00491B9E"/>
    <w:rsid w:val="00491C38"/>
    <w:rsid w:val="00492629"/>
    <w:rsid w:val="004929D6"/>
    <w:rsid w:val="00492CFD"/>
    <w:rsid w:val="0049420A"/>
    <w:rsid w:val="0049434F"/>
    <w:rsid w:val="004949AB"/>
    <w:rsid w:val="00494D96"/>
    <w:rsid w:val="00495F6A"/>
    <w:rsid w:val="004962D2"/>
    <w:rsid w:val="004964AD"/>
    <w:rsid w:val="00497F39"/>
    <w:rsid w:val="004A06D9"/>
    <w:rsid w:val="004A0C27"/>
    <w:rsid w:val="004A0C60"/>
    <w:rsid w:val="004A0DA1"/>
    <w:rsid w:val="004A1B76"/>
    <w:rsid w:val="004A2723"/>
    <w:rsid w:val="004A3269"/>
    <w:rsid w:val="004A3CC2"/>
    <w:rsid w:val="004A3CFD"/>
    <w:rsid w:val="004A41A9"/>
    <w:rsid w:val="004A442A"/>
    <w:rsid w:val="004A4707"/>
    <w:rsid w:val="004A479A"/>
    <w:rsid w:val="004A4A23"/>
    <w:rsid w:val="004A5135"/>
    <w:rsid w:val="004A57DD"/>
    <w:rsid w:val="004A60F1"/>
    <w:rsid w:val="004A6597"/>
    <w:rsid w:val="004A7388"/>
    <w:rsid w:val="004A7585"/>
    <w:rsid w:val="004A7590"/>
    <w:rsid w:val="004B05ED"/>
    <w:rsid w:val="004B0FA8"/>
    <w:rsid w:val="004B13BA"/>
    <w:rsid w:val="004B1882"/>
    <w:rsid w:val="004B1B83"/>
    <w:rsid w:val="004B1CB4"/>
    <w:rsid w:val="004B2F18"/>
    <w:rsid w:val="004B3059"/>
    <w:rsid w:val="004B377F"/>
    <w:rsid w:val="004B3D46"/>
    <w:rsid w:val="004B3DDB"/>
    <w:rsid w:val="004B3FE3"/>
    <w:rsid w:val="004B44FD"/>
    <w:rsid w:val="004B48B6"/>
    <w:rsid w:val="004B579E"/>
    <w:rsid w:val="004B5CFC"/>
    <w:rsid w:val="004B62F2"/>
    <w:rsid w:val="004B6378"/>
    <w:rsid w:val="004B6AF5"/>
    <w:rsid w:val="004B6B54"/>
    <w:rsid w:val="004B6D58"/>
    <w:rsid w:val="004B6FE5"/>
    <w:rsid w:val="004B7A84"/>
    <w:rsid w:val="004B7F19"/>
    <w:rsid w:val="004C0D3F"/>
    <w:rsid w:val="004C12F3"/>
    <w:rsid w:val="004C1301"/>
    <w:rsid w:val="004C1E97"/>
    <w:rsid w:val="004C2352"/>
    <w:rsid w:val="004C24D6"/>
    <w:rsid w:val="004C359D"/>
    <w:rsid w:val="004C3643"/>
    <w:rsid w:val="004C4720"/>
    <w:rsid w:val="004C4AED"/>
    <w:rsid w:val="004C5558"/>
    <w:rsid w:val="004C5E43"/>
    <w:rsid w:val="004C5EDD"/>
    <w:rsid w:val="004C6039"/>
    <w:rsid w:val="004C63AC"/>
    <w:rsid w:val="004C730F"/>
    <w:rsid w:val="004D03D8"/>
    <w:rsid w:val="004D0F2E"/>
    <w:rsid w:val="004D1EF4"/>
    <w:rsid w:val="004D1F65"/>
    <w:rsid w:val="004D214F"/>
    <w:rsid w:val="004D2359"/>
    <w:rsid w:val="004D2A61"/>
    <w:rsid w:val="004D2D65"/>
    <w:rsid w:val="004D33EE"/>
    <w:rsid w:val="004D3F49"/>
    <w:rsid w:val="004D4613"/>
    <w:rsid w:val="004D5531"/>
    <w:rsid w:val="004D605C"/>
    <w:rsid w:val="004D61A5"/>
    <w:rsid w:val="004D6BF0"/>
    <w:rsid w:val="004E0EB8"/>
    <w:rsid w:val="004E0EDC"/>
    <w:rsid w:val="004E0F5E"/>
    <w:rsid w:val="004E1036"/>
    <w:rsid w:val="004E1A8E"/>
    <w:rsid w:val="004E1B68"/>
    <w:rsid w:val="004E1C2C"/>
    <w:rsid w:val="004E1CDD"/>
    <w:rsid w:val="004E1D16"/>
    <w:rsid w:val="004E21E9"/>
    <w:rsid w:val="004E2ADA"/>
    <w:rsid w:val="004E2ADC"/>
    <w:rsid w:val="004E2E70"/>
    <w:rsid w:val="004E2F55"/>
    <w:rsid w:val="004E3D47"/>
    <w:rsid w:val="004E43B2"/>
    <w:rsid w:val="004E4E1B"/>
    <w:rsid w:val="004E4F3E"/>
    <w:rsid w:val="004E5488"/>
    <w:rsid w:val="004E75CC"/>
    <w:rsid w:val="004E78BD"/>
    <w:rsid w:val="004F1997"/>
    <w:rsid w:val="004F1D02"/>
    <w:rsid w:val="004F2679"/>
    <w:rsid w:val="004F4499"/>
    <w:rsid w:val="004F5F91"/>
    <w:rsid w:val="004F6FDD"/>
    <w:rsid w:val="004F781F"/>
    <w:rsid w:val="004F7865"/>
    <w:rsid w:val="005005C6"/>
    <w:rsid w:val="0050133C"/>
    <w:rsid w:val="0050198D"/>
    <w:rsid w:val="0050388E"/>
    <w:rsid w:val="00503C29"/>
    <w:rsid w:val="00505218"/>
    <w:rsid w:val="005055DA"/>
    <w:rsid w:val="0050567B"/>
    <w:rsid w:val="00506928"/>
    <w:rsid w:val="00506D34"/>
    <w:rsid w:val="00506DC4"/>
    <w:rsid w:val="00506F72"/>
    <w:rsid w:val="005076A0"/>
    <w:rsid w:val="005076A2"/>
    <w:rsid w:val="00510A17"/>
    <w:rsid w:val="00511089"/>
    <w:rsid w:val="005114D5"/>
    <w:rsid w:val="0051179B"/>
    <w:rsid w:val="00511F73"/>
    <w:rsid w:val="00512563"/>
    <w:rsid w:val="00512B91"/>
    <w:rsid w:val="00512BBF"/>
    <w:rsid w:val="00513A37"/>
    <w:rsid w:val="005141D8"/>
    <w:rsid w:val="00514342"/>
    <w:rsid w:val="00515226"/>
    <w:rsid w:val="005152B5"/>
    <w:rsid w:val="00516007"/>
    <w:rsid w:val="00516FFB"/>
    <w:rsid w:val="0051720F"/>
    <w:rsid w:val="00517598"/>
    <w:rsid w:val="00517676"/>
    <w:rsid w:val="0051788B"/>
    <w:rsid w:val="005208DE"/>
    <w:rsid w:val="00520B3D"/>
    <w:rsid w:val="00520C85"/>
    <w:rsid w:val="00521319"/>
    <w:rsid w:val="00522067"/>
    <w:rsid w:val="0052297E"/>
    <w:rsid w:val="00522B9B"/>
    <w:rsid w:val="00523806"/>
    <w:rsid w:val="00523B4F"/>
    <w:rsid w:val="00523C28"/>
    <w:rsid w:val="00524B40"/>
    <w:rsid w:val="00526A40"/>
    <w:rsid w:val="00527D57"/>
    <w:rsid w:val="005301B3"/>
    <w:rsid w:val="00530516"/>
    <w:rsid w:val="005308A6"/>
    <w:rsid w:val="00530BB6"/>
    <w:rsid w:val="00531C08"/>
    <w:rsid w:val="00532CBC"/>
    <w:rsid w:val="005333CA"/>
    <w:rsid w:val="00533EF7"/>
    <w:rsid w:val="00533F71"/>
    <w:rsid w:val="005368CD"/>
    <w:rsid w:val="00536CAC"/>
    <w:rsid w:val="005371CA"/>
    <w:rsid w:val="00540088"/>
    <w:rsid w:val="00540157"/>
    <w:rsid w:val="005405C3"/>
    <w:rsid w:val="005415E9"/>
    <w:rsid w:val="00541E99"/>
    <w:rsid w:val="00542270"/>
    <w:rsid w:val="00542454"/>
    <w:rsid w:val="00542B51"/>
    <w:rsid w:val="005439A6"/>
    <w:rsid w:val="00543CE2"/>
    <w:rsid w:val="00543F0D"/>
    <w:rsid w:val="00544404"/>
    <w:rsid w:val="00544547"/>
    <w:rsid w:val="00544B24"/>
    <w:rsid w:val="00545EDF"/>
    <w:rsid w:val="0054640A"/>
    <w:rsid w:val="00546646"/>
    <w:rsid w:val="00547C70"/>
    <w:rsid w:val="00552BD3"/>
    <w:rsid w:val="00554891"/>
    <w:rsid w:val="00555109"/>
    <w:rsid w:val="0055562B"/>
    <w:rsid w:val="0056048B"/>
    <w:rsid w:val="0056131C"/>
    <w:rsid w:val="005619FA"/>
    <w:rsid w:val="00561B8E"/>
    <w:rsid w:val="00561E71"/>
    <w:rsid w:val="00561F2D"/>
    <w:rsid w:val="00562631"/>
    <w:rsid w:val="00564F2E"/>
    <w:rsid w:val="00564FAA"/>
    <w:rsid w:val="0056696F"/>
    <w:rsid w:val="00566F3F"/>
    <w:rsid w:val="00567BCC"/>
    <w:rsid w:val="00574AAE"/>
    <w:rsid w:val="0057561E"/>
    <w:rsid w:val="00575D8D"/>
    <w:rsid w:val="00575E9E"/>
    <w:rsid w:val="00576972"/>
    <w:rsid w:val="005772B7"/>
    <w:rsid w:val="00580205"/>
    <w:rsid w:val="005802A8"/>
    <w:rsid w:val="0058046D"/>
    <w:rsid w:val="005828BC"/>
    <w:rsid w:val="00583699"/>
    <w:rsid w:val="00583E9C"/>
    <w:rsid w:val="00584A50"/>
    <w:rsid w:val="00585F45"/>
    <w:rsid w:val="00586B75"/>
    <w:rsid w:val="00587097"/>
    <w:rsid w:val="0058713D"/>
    <w:rsid w:val="005902AF"/>
    <w:rsid w:val="00590536"/>
    <w:rsid w:val="00590C04"/>
    <w:rsid w:val="00590D18"/>
    <w:rsid w:val="00591352"/>
    <w:rsid w:val="005914D1"/>
    <w:rsid w:val="005917A3"/>
    <w:rsid w:val="005917FE"/>
    <w:rsid w:val="0059221A"/>
    <w:rsid w:val="005930F7"/>
    <w:rsid w:val="00593132"/>
    <w:rsid w:val="00595C69"/>
    <w:rsid w:val="00596021"/>
    <w:rsid w:val="00596585"/>
    <w:rsid w:val="00596BB8"/>
    <w:rsid w:val="00596C59"/>
    <w:rsid w:val="00596EF1"/>
    <w:rsid w:val="0059778D"/>
    <w:rsid w:val="00597C15"/>
    <w:rsid w:val="00597D17"/>
    <w:rsid w:val="005A0B2F"/>
    <w:rsid w:val="005A1247"/>
    <w:rsid w:val="005A1399"/>
    <w:rsid w:val="005A39F5"/>
    <w:rsid w:val="005A47B3"/>
    <w:rsid w:val="005A4D65"/>
    <w:rsid w:val="005A5449"/>
    <w:rsid w:val="005A6582"/>
    <w:rsid w:val="005A72B8"/>
    <w:rsid w:val="005A7CF2"/>
    <w:rsid w:val="005B0649"/>
    <w:rsid w:val="005B2063"/>
    <w:rsid w:val="005B2077"/>
    <w:rsid w:val="005B253E"/>
    <w:rsid w:val="005B2B9B"/>
    <w:rsid w:val="005B2F3A"/>
    <w:rsid w:val="005B3F3A"/>
    <w:rsid w:val="005B4105"/>
    <w:rsid w:val="005B4D5D"/>
    <w:rsid w:val="005B5857"/>
    <w:rsid w:val="005B5AFB"/>
    <w:rsid w:val="005B7808"/>
    <w:rsid w:val="005B7A54"/>
    <w:rsid w:val="005C0709"/>
    <w:rsid w:val="005C1B83"/>
    <w:rsid w:val="005C206C"/>
    <w:rsid w:val="005C2D94"/>
    <w:rsid w:val="005C3413"/>
    <w:rsid w:val="005C346B"/>
    <w:rsid w:val="005C45AB"/>
    <w:rsid w:val="005C4977"/>
    <w:rsid w:val="005C63BE"/>
    <w:rsid w:val="005C6B80"/>
    <w:rsid w:val="005C6BED"/>
    <w:rsid w:val="005C7F65"/>
    <w:rsid w:val="005D044D"/>
    <w:rsid w:val="005D0E22"/>
    <w:rsid w:val="005D18AD"/>
    <w:rsid w:val="005D22FB"/>
    <w:rsid w:val="005D2534"/>
    <w:rsid w:val="005D3822"/>
    <w:rsid w:val="005D4F29"/>
    <w:rsid w:val="005D519F"/>
    <w:rsid w:val="005D52DC"/>
    <w:rsid w:val="005D66B7"/>
    <w:rsid w:val="005D6D35"/>
    <w:rsid w:val="005E08C2"/>
    <w:rsid w:val="005E2379"/>
    <w:rsid w:val="005E2AD5"/>
    <w:rsid w:val="005E2EFD"/>
    <w:rsid w:val="005E3729"/>
    <w:rsid w:val="005E4417"/>
    <w:rsid w:val="005E4698"/>
    <w:rsid w:val="005E5075"/>
    <w:rsid w:val="005E5E7E"/>
    <w:rsid w:val="005E66C4"/>
    <w:rsid w:val="005E73C0"/>
    <w:rsid w:val="005E769F"/>
    <w:rsid w:val="005E7D8C"/>
    <w:rsid w:val="005E7EC3"/>
    <w:rsid w:val="005E7F6E"/>
    <w:rsid w:val="005F0075"/>
    <w:rsid w:val="005F01F8"/>
    <w:rsid w:val="005F17D0"/>
    <w:rsid w:val="005F18E3"/>
    <w:rsid w:val="005F1ECD"/>
    <w:rsid w:val="005F2706"/>
    <w:rsid w:val="005F28C8"/>
    <w:rsid w:val="005F2F9A"/>
    <w:rsid w:val="005F3009"/>
    <w:rsid w:val="005F379B"/>
    <w:rsid w:val="005F3FC9"/>
    <w:rsid w:val="005F4C2B"/>
    <w:rsid w:val="005F4F48"/>
    <w:rsid w:val="005F5368"/>
    <w:rsid w:val="005F5440"/>
    <w:rsid w:val="005F6426"/>
    <w:rsid w:val="005F6685"/>
    <w:rsid w:val="005F6A8F"/>
    <w:rsid w:val="005F763E"/>
    <w:rsid w:val="005F7B60"/>
    <w:rsid w:val="00600929"/>
    <w:rsid w:val="006022FB"/>
    <w:rsid w:val="00602A6B"/>
    <w:rsid w:val="00603DE6"/>
    <w:rsid w:val="00603DED"/>
    <w:rsid w:val="00603E54"/>
    <w:rsid w:val="00606B5C"/>
    <w:rsid w:val="00607669"/>
    <w:rsid w:val="00610D09"/>
    <w:rsid w:val="00612176"/>
    <w:rsid w:val="00612243"/>
    <w:rsid w:val="00612EDF"/>
    <w:rsid w:val="00612F97"/>
    <w:rsid w:val="006140DF"/>
    <w:rsid w:val="00615724"/>
    <w:rsid w:val="00615FF4"/>
    <w:rsid w:val="00616802"/>
    <w:rsid w:val="00617E12"/>
    <w:rsid w:val="0062025D"/>
    <w:rsid w:val="00621477"/>
    <w:rsid w:val="00622F74"/>
    <w:rsid w:val="006232F5"/>
    <w:rsid w:val="0062373D"/>
    <w:rsid w:val="0062490F"/>
    <w:rsid w:val="0062495E"/>
    <w:rsid w:val="006258DE"/>
    <w:rsid w:val="006261D2"/>
    <w:rsid w:val="00626918"/>
    <w:rsid w:val="00627236"/>
    <w:rsid w:val="00627A81"/>
    <w:rsid w:val="0063104E"/>
    <w:rsid w:val="0063199D"/>
    <w:rsid w:val="00631D6B"/>
    <w:rsid w:val="00632060"/>
    <w:rsid w:val="0063207F"/>
    <w:rsid w:val="00632720"/>
    <w:rsid w:val="0063307F"/>
    <w:rsid w:val="006336DD"/>
    <w:rsid w:val="00633944"/>
    <w:rsid w:val="006340C2"/>
    <w:rsid w:val="006342A9"/>
    <w:rsid w:val="0063479F"/>
    <w:rsid w:val="00634B13"/>
    <w:rsid w:val="00634F2A"/>
    <w:rsid w:val="0063579B"/>
    <w:rsid w:val="0063631D"/>
    <w:rsid w:val="006364A1"/>
    <w:rsid w:val="006372EB"/>
    <w:rsid w:val="00637B64"/>
    <w:rsid w:val="00637BFD"/>
    <w:rsid w:val="006409BF"/>
    <w:rsid w:val="006409CC"/>
    <w:rsid w:val="00641087"/>
    <w:rsid w:val="00641582"/>
    <w:rsid w:val="00641E27"/>
    <w:rsid w:val="006428C1"/>
    <w:rsid w:val="0064342C"/>
    <w:rsid w:val="00643606"/>
    <w:rsid w:val="00644503"/>
    <w:rsid w:val="0064457B"/>
    <w:rsid w:val="00645CF0"/>
    <w:rsid w:val="00646D8C"/>
    <w:rsid w:val="006471CC"/>
    <w:rsid w:val="006475F2"/>
    <w:rsid w:val="006478F5"/>
    <w:rsid w:val="006502DF"/>
    <w:rsid w:val="0065079F"/>
    <w:rsid w:val="006508B1"/>
    <w:rsid w:val="00652D3A"/>
    <w:rsid w:val="00653888"/>
    <w:rsid w:val="00654427"/>
    <w:rsid w:val="00654499"/>
    <w:rsid w:val="006551BD"/>
    <w:rsid w:val="0065592F"/>
    <w:rsid w:val="00656269"/>
    <w:rsid w:val="00656EB8"/>
    <w:rsid w:val="00657641"/>
    <w:rsid w:val="006577A7"/>
    <w:rsid w:val="00661AE3"/>
    <w:rsid w:val="0066250E"/>
    <w:rsid w:val="00663096"/>
    <w:rsid w:val="006630A6"/>
    <w:rsid w:val="006633EE"/>
    <w:rsid w:val="0066343B"/>
    <w:rsid w:val="006639F5"/>
    <w:rsid w:val="006641EB"/>
    <w:rsid w:val="00665E49"/>
    <w:rsid w:val="0066658E"/>
    <w:rsid w:val="00670248"/>
    <w:rsid w:val="006705E4"/>
    <w:rsid w:val="006719AD"/>
    <w:rsid w:val="006726FA"/>
    <w:rsid w:val="0067299E"/>
    <w:rsid w:val="0067439F"/>
    <w:rsid w:val="00674A1D"/>
    <w:rsid w:val="00674DD2"/>
    <w:rsid w:val="00674E42"/>
    <w:rsid w:val="00675798"/>
    <w:rsid w:val="0067593C"/>
    <w:rsid w:val="0068015E"/>
    <w:rsid w:val="00680A97"/>
    <w:rsid w:val="00680D56"/>
    <w:rsid w:val="00682111"/>
    <w:rsid w:val="00682112"/>
    <w:rsid w:val="0068368F"/>
    <w:rsid w:val="0068385B"/>
    <w:rsid w:val="00684C6B"/>
    <w:rsid w:val="00685666"/>
    <w:rsid w:val="006857C0"/>
    <w:rsid w:val="00685D82"/>
    <w:rsid w:val="00686C32"/>
    <w:rsid w:val="006872BA"/>
    <w:rsid w:val="00687DE6"/>
    <w:rsid w:val="00690181"/>
    <w:rsid w:val="0069025C"/>
    <w:rsid w:val="00690887"/>
    <w:rsid w:val="00690DC8"/>
    <w:rsid w:val="006916EE"/>
    <w:rsid w:val="006917D7"/>
    <w:rsid w:val="00691EE9"/>
    <w:rsid w:val="006924D1"/>
    <w:rsid w:val="00692A2B"/>
    <w:rsid w:val="0069434F"/>
    <w:rsid w:val="00694F44"/>
    <w:rsid w:val="006A1897"/>
    <w:rsid w:val="006A2A5A"/>
    <w:rsid w:val="006A3098"/>
    <w:rsid w:val="006A3BA6"/>
    <w:rsid w:val="006A479B"/>
    <w:rsid w:val="006A62A7"/>
    <w:rsid w:val="006A65C0"/>
    <w:rsid w:val="006A67A9"/>
    <w:rsid w:val="006A6B84"/>
    <w:rsid w:val="006B15AA"/>
    <w:rsid w:val="006B1EA7"/>
    <w:rsid w:val="006B2025"/>
    <w:rsid w:val="006B2ADA"/>
    <w:rsid w:val="006B3373"/>
    <w:rsid w:val="006B3917"/>
    <w:rsid w:val="006B3B4D"/>
    <w:rsid w:val="006B4C4C"/>
    <w:rsid w:val="006B5AD3"/>
    <w:rsid w:val="006B5B41"/>
    <w:rsid w:val="006B6EED"/>
    <w:rsid w:val="006B7714"/>
    <w:rsid w:val="006B7A22"/>
    <w:rsid w:val="006C1439"/>
    <w:rsid w:val="006C1D27"/>
    <w:rsid w:val="006C24F3"/>
    <w:rsid w:val="006C2A8E"/>
    <w:rsid w:val="006C46BC"/>
    <w:rsid w:val="006C4D62"/>
    <w:rsid w:val="006C5218"/>
    <w:rsid w:val="006C5E16"/>
    <w:rsid w:val="006C6244"/>
    <w:rsid w:val="006C6EB9"/>
    <w:rsid w:val="006D002D"/>
    <w:rsid w:val="006D0F88"/>
    <w:rsid w:val="006D14E9"/>
    <w:rsid w:val="006D224C"/>
    <w:rsid w:val="006D274C"/>
    <w:rsid w:val="006D3C7D"/>
    <w:rsid w:val="006D491A"/>
    <w:rsid w:val="006D5073"/>
    <w:rsid w:val="006D5C67"/>
    <w:rsid w:val="006D5D5F"/>
    <w:rsid w:val="006D6355"/>
    <w:rsid w:val="006D6D36"/>
    <w:rsid w:val="006D6DDF"/>
    <w:rsid w:val="006E008A"/>
    <w:rsid w:val="006E010D"/>
    <w:rsid w:val="006E0D80"/>
    <w:rsid w:val="006E16B3"/>
    <w:rsid w:val="006E2200"/>
    <w:rsid w:val="006E3A8D"/>
    <w:rsid w:val="006E475A"/>
    <w:rsid w:val="006E4CDF"/>
    <w:rsid w:val="006E5B9B"/>
    <w:rsid w:val="006E7D67"/>
    <w:rsid w:val="006F118F"/>
    <w:rsid w:val="006F1B4A"/>
    <w:rsid w:val="006F202E"/>
    <w:rsid w:val="006F2D6D"/>
    <w:rsid w:val="006F307F"/>
    <w:rsid w:val="006F3705"/>
    <w:rsid w:val="006F4211"/>
    <w:rsid w:val="006F48AD"/>
    <w:rsid w:val="006F4DC3"/>
    <w:rsid w:val="006F55F3"/>
    <w:rsid w:val="006F5C67"/>
    <w:rsid w:val="006F5FCE"/>
    <w:rsid w:val="006F63A5"/>
    <w:rsid w:val="006F67C1"/>
    <w:rsid w:val="006F6A8D"/>
    <w:rsid w:val="006F7460"/>
    <w:rsid w:val="006F78C9"/>
    <w:rsid w:val="0070038C"/>
    <w:rsid w:val="00700491"/>
    <w:rsid w:val="007004D9"/>
    <w:rsid w:val="00701029"/>
    <w:rsid w:val="0070103F"/>
    <w:rsid w:val="007016BE"/>
    <w:rsid w:val="00701E6C"/>
    <w:rsid w:val="00701FE3"/>
    <w:rsid w:val="0070276E"/>
    <w:rsid w:val="00702C71"/>
    <w:rsid w:val="00702F8F"/>
    <w:rsid w:val="00703BB0"/>
    <w:rsid w:val="00704AC5"/>
    <w:rsid w:val="00706774"/>
    <w:rsid w:val="007067E9"/>
    <w:rsid w:val="00706871"/>
    <w:rsid w:val="0071003E"/>
    <w:rsid w:val="00711466"/>
    <w:rsid w:val="00711A36"/>
    <w:rsid w:val="00711C48"/>
    <w:rsid w:val="00711D7F"/>
    <w:rsid w:val="00712A24"/>
    <w:rsid w:val="007143E6"/>
    <w:rsid w:val="00714F50"/>
    <w:rsid w:val="00714F85"/>
    <w:rsid w:val="00715977"/>
    <w:rsid w:val="00715F0A"/>
    <w:rsid w:val="00716231"/>
    <w:rsid w:val="00716781"/>
    <w:rsid w:val="0071691E"/>
    <w:rsid w:val="007172AD"/>
    <w:rsid w:val="00720090"/>
    <w:rsid w:val="007207D8"/>
    <w:rsid w:val="00720C4A"/>
    <w:rsid w:val="00721F95"/>
    <w:rsid w:val="00722E47"/>
    <w:rsid w:val="00723D54"/>
    <w:rsid w:val="0072416F"/>
    <w:rsid w:val="00724C75"/>
    <w:rsid w:val="00724E67"/>
    <w:rsid w:val="007255A4"/>
    <w:rsid w:val="00725DC4"/>
    <w:rsid w:val="00730822"/>
    <w:rsid w:val="00731391"/>
    <w:rsid w:val="00731EAA"/>
    <w:rsid w:val="00732390"/>
    <w:rsid w:val="007323FD"/>
    <w:rsid w:val="0073249A"/>
    <w:rsid w:val="00732CEC"/>
    <w:rsid w:val="00735328"/>
    <w:rsid w:val="007354D5"/>
    <w:rsid w:val="00735512"/>
    <w:rsid w:val="0073685B"/>
    <w:rsid w:val="00737A51"/>
    <w:rsid w:val="00740F60"/>
    <w:rsid w:val="0074148C"/>
    <w:rsid w:val="00741B9F"/>
    <w:rsid w:val="00742A67"/>
    <w:rsid w:val="00742B7D"/>
    <w:rsid w:val="00743498"/>
    <w:rsid w:val="0074396C"/>
    <w:rsid w:val="007449FF"/>
    <w:rsid w:val="0074584F"/>
    <w:rsid w:val="00746633"/>
    <w:rsid w:val="00747A0E"/>
    <w:rsid w:val="007505D8"/>
    <w:rsid w:val="007524E7"/>
    <w:rsid w:val="00754149"/>
    <w:rsid w:val="00754381"/>
    <w:rsid w:val="00755F4A"/>
    <w:rsid w:val="00760064"/>
    <w:rsid w:val="00760325"/>
    <w:rsid w:val="007605A4"/>
    <w:rsid w:val="00762090"/>
    <w:rsid w:val="007633CD"/>
    <w:rsid w:val="00764592"/>
    <w:rsid w:val="00765D62"/>
    <w:rsid w:val="007661E9"/>
    <w:rsid w:val="007662AA"/>
    <w:rsid w:val="00767976"/>
    <w:rsid w:val="0077000B"/>
    <w:rsid w:val="0077013C"/>
    <w:rsid w:val="007708DA"/>
    <w:rsid w:val="007715A6"/>
    <w:rsid w:val="00772051"/>
    <w:rsid w:val="00772604"/>
    <w:rsid w:val="0077283C"/>
    <w:rsid w:val="00772A51"/>
    <w:rsid w:val="007730F4"/>
    <w:rsid w:val="007743F4"/>
    <w:rsid w:val="007749B3"/>
    <w:rsid w:val="00774D89"/>
    <w:rsid w:val="00775B90"/>
    <w:rsid w:val="00775EE6"/>
    <w:rsid w:val="00776919"/>
    <w:rsid w:val="00776C08"/>
    <w:rsid w:val="00777124"/>
    <w:rsid w:val="007771EA"/>
    <w:rsid w:val="0077739D"/>
    <w:rsid w:val="0077791A"/>
    <w:rsid w:val="007809A5"/>
    <w:rsid w:val="00781590"/>
    <w:rsid w:val="00781618"/>
    <w:rsid w:val="00781DB0"/>
    <w:rsid w:val="00782285"/>
    <w:rsid w:val="0078309E"/>
    <w:rsid w:val="0078312F"/>
    <w:rsid w:val="00783F44"/>
    <w:rsid w:val="007849A7"/>
    <w:rsid w:val="00784A19"/>
    <w:rsid w:val="00787625"/>
    <w:rsid w:val="00790187"/>
    <w:rsid w:val="00792FA2"/>
    <w:rsid w:val="00793009"/>
    <w:rsid w:val="00793EFF"/>
    <w:rsid w:val="0079440D"/>
    <w:rsid w:val="00794572"/>
    <w:rsid w:val="00795FB8"/>
    <w:rsid w:val="007A08D1"/>
    <w:rsid w:val="007A0A12"/>
    <w:rsid w:val="007A0AEF"/>
    <w:rsid w:val="007A1384"/>
    <w:rsid w:val="007A23C6"/>
    <w:rsid w:val="007A23EF"/>
    <w:rsid w:val="007A3E74"/>
    <w:rsid w:val="007A4345"/>
    <w:rsid w:val="007A4928"/>
    <w:rsid w:val="007A5162"/>
    <w:rsid w:val="007A6587"/>
    <w:rsid w:val="007A6609"/>
    <w:rsid w:val="007A66DA"/>
    <w:rsid w:val="007A79D3"/>
    <w:rsid w:val="007A7B79"/>
    <w:rsid w:val="007B1C52"/>
    <w:rsid w:val="007B1E5A"/>
    <w:rsid w:val="007B2299"/>
    <w:rsid w:val="007B251D"/>
    <w:rsid w:val="007B2B42"/>
    <w:rsid w:val="007B3E13"/>
    <w:rsid w:val="007B4CA7"/>
    <w:rsid w:val="007B5F36"/>
    <w:rsid w:val="007B612D"/>
    <w:rsid w:val="007B77D1"/>
    <w:rsid w:val="007C0B22"/>
    <w:rsid w:val="007C0D13"/>
    <w:rsid w:val="007C141E"/>
    <w:rsid w:val="007C2577"/>
    <w:rsid w:val="007C2623"/>
    <w:rsid w:val="007C2EE6"/>
    <w:rsid w:val="007C31C5"/>
    <w:rsid w:val="007C361D"/>
    <w:rsid w:val="007C48D0"/>
    <w:rsid w:val="007C504E"/>
    <w:rsid w:val="007C5658"/>
    <w:rsid w:val="007C6605"/>
    <w:rsid w:val="007C69AC"/>
    <w:rsid w:val="007D043D"/>
    <w:rsid w:val="007D0B38"/>
    <w:rsid w:val="007D277E"/>
    <w:rsid w:val="007D31F5"/>
    <w:rsid w:val="007D3329"/>
    <w:rsid w:val="007D44EF"/>
    <w:rsid w:val="007D4C99"/>
    <w:rsid w:val="007D5945"/>
    <w:rsid w:val="007D72CF"/>
    <w:rsid w:val="007D777E"/>
    <w:rsid w:val="007D7E15"/>
    <w:rsid w:val="007E0471"/>
    <w:rsid w:val="007E0B4C"/>
    <w:rsid w:val="007E0EBC"/>
    <w:rsid w:val="007E18B4"/>
    <w:rsid w:val="007E1D60"/>
    <w:rsid w:val="007E2119"/>
    <w:rsid w:val="007E35FA"/>
    <w:rsid w:val="007E4531"/>
    <w:rsid w:val="007E4583"/>
    <w:rsid w:val="007E4E41"/>
    <w:rsid w:val="007E58AE"/>
    <w:rsid w:val="007E6F3D"/>
    <w:rsid w:val="007E796D"/>
    <w:rsid w:val="007F089F"/>
    <w:rsid w:val="007F1017"/>
    <w:rsid w:val="007F1115"/>
    <w:rsid w:val="007F20C8"/>
    <w:rsid w:val="007F2256"/>
    <w:rsid w:val="007F27FD"/>
    <w:rsid w:val="007F2908"/>
    <w:rsid w:val="007F310D"/>
    <w:rsid w:val="007F406C"/>
    <w:rsid w:val="007F4A3F"/>
    <w:rsid w:val="007F51EF"/>
    <w:rsid w:val="007F7326"/>
    <w:rsid w:val="00800604"/>
    <w:rsid w:val="00801306"/>
    <w:rsid w:val="008028D3"/>
    <w:rsid w:val="00804766"/>
    <w:rsid w:val="00805142"/>
    <w:rsid w:val="00806918"/>
    <w:rsid w:val="00806A69"/>
    <w:rsid w:val="0080777D"/>
    <w:rsid w:val="00807A8B"/>
    <w:rsid w:val="0081023B"/>
    <w:rsid w:val="00810B5C"/>
    <w:rsid w:val="00811431"/>
    <w:rsid w:val="00811C4F"/>
    <w:rsid w:val="00812149"/>
    <w:rsid w:val="0081256B"/>
    <w:rsid w:val="0081332C"/>
    <w:rsid w:val="00814D20"/>
    <w:rsid w:val="00814F8F"/>
    <w:rsid w:val="00815084"/>
    <w:rsid w:val="0081516D"/>
    <w:rsid w:val="008157FD"/>
    <w:rsid w:val="00815A1A"/>
    <w:rsid w:val="008166EF"/>
    <w:rsid w:val="00816992"/>
    <w:rsid w:val="00817C82"/>
    <w:rsid w:val="00817C8F"/>
    <w:rsid w:val="00820021"/>
    <w:rsid w:val="0082004F"/>
    <w:rsid w:val="0082160D"/>
    <w:rsid w:val="00821ACF"/>
    <w:rsid w:val="00822610"/>
    <w:rsid w:val="00822CA6"/>
    <w:rsid w:val="00822CE0"/>
    <w:rsid w:val="008234DF"/>
    <w:rsid w:val="008237EE"/>
    <w:rsid w:val="00823A3B"/>
    <w:rsid w:val="00824664"/>
    <w:rsid w:val="008247DF"/>
    <w:rsid w:val="008264EB"/>
    <w:rsid w:val="0082689F"/>
    <w:rsid w:val="008325A4"/>
    <w:rsid w:val="0083377E"/>
    <w:rsid w:val="00833B05"/>
    <w:rsid w:val="00834D3E"/>
    <w:rsid w:val="00835397"/>
    <w:rsid w:val="008355FF"/>
    <w:rsid w:val="00836AD0"/>
    <w:rsid w:val="00840CA2"/>
    <w:rsid w:val="00841BEA"/>
    <w:rsid w:val="00841D84"/>
    <w:rsid w:val="00842536"/>
    <w:rsid w:val="00843485"/>
    <w:rsid w:val="00843914"/>
    <w:rsid w:val="00843EB5"/>
    <w:rsid w:val="00844572"/>
    <w:rsid w:val="008452F5"/>
    <w:rsid w:val="00845C17"/>
    <w:rsid w:val="00846B3B"/>
    <w:rsid w:val="00846FF4"/>
    <w:rsid w:val="00847205"/>
    <w:rsid w:val="00850E61"/>
    <w:rsid w:val="00851667"/>
    <w:rsid w:val="00851D8E"/>
    <w:rsid w:val="00851DEE"/>
    <w:rsid w:val="008529A4"/>
    <w:rsid w:val="00852E92"/>
    <w:rsid w:val="00853F56"/>
    <w:rsid w:val="00855B8C"/>
    <w:rsid w:val="00856C68"/>
    <w:rsid w:val="00856E9A"/>
    <w:rsid w:val="0086005A"/>
    <w:rsid w:val="008610C0"/>
    <w:rsid w:val="00862096"/>
    <w:rsid w:val="00862196"/>
    <w:rsid w:val="00862460"/>
    <w:rsid w:val="00862502"/>
    <w:rsid w:val="008625BD"/>
    <w:rsid w:val="00863A09"/>
    <w:rsid w:val="0086440A"/>
    <w:rsid w:val="00864554"/>
    <w:rsid w:val="0086465D"/>
    <w:rsid w:val="0086466F"/>
    <w:rsid w:val="00866086"/>
    <w:rsid w:val="008666BA"/>
    <w:rsid w:val="00867548"/>
    <w:rsid w:val="00870E94"/>
    <w:rsid w:val="008710CC"/>
    <w:rsid w:val="00871E9D"/>
    <w:rsid w:val="008720DE"/>
    <w:rsid w:val="0087244D"/>
    <w:rsid w:val="0087354A"/>
    <w:rsid w:val="008741A5"/>
    <w:rsid w:val="00874C9F"/>
    <w:rsid w:val="00874D8E"/>
    <w:rsid w:val="00874FDA"/>
    <w:rsid w:val="008757B3"/>
    <w:rsid w:val="00877984"/>
    <w:rsid w:val="00877A67"/>
    <w:rsid w:val="008809FA"/>
    <w:rsid w:val="00880B4F"/>
    <w:rsid w:val="0088133B"/>
    <w:rsid w:val="00881684"/>
    <w:rsid w:val="00881993"/>
    <w:rsid w:val="0088244E"/>
    <w:rsid w:val="00882874"/>
    <w:rsid w:val="00882ABB"/>
    <w:rsid w:val="0088324D"/>
    <w:rsid w:val="00883522"/>
    <w:rsid w:val="0088369B"/>
    <w:rsid w:val="00883787"/>
    <w:rsid w:val="00884F35"/>
    <w:rsid w:val="008855D8"/>
    <w:rsid w:val="00885D23"/>
    <w:rsid w:val="00885DC1"/>
    <w:rsid w:val="00885FCC"/>
    <w:rsid w:val="00887170"/>
    <w:rsid w:val="008915DF"/>
    <w:rsid w:val="00891C2F"/>
    <w:rsid w:val="00893923"/>
    <w:rsid w:val="00893EC3"/>
    <w:rsid w:val="00893FA7"/>
    <w:rsid w:val="008940C9"/>
    <w:rsid w:val="008941DA"/>
    <w:rsid w:val="00894489"/>
    <w:rsid w:val="008946A5"/>
    <w:rsid w:val="00894C2E"/>
    <w:rsid w:val="0089542B"/>
    <w:rsid w:val="008954CC"/>
    <w:rsid w:val="00895B8F"/>
    <w:rsid w:val="00895C3E"/>
    <w:rsid w:val="00896194"/>
    <w:rsid w:val="008963A5"/>
    <w:rsid w:val="008A00D0"/>
    <w:rsid w:val="008A3104"/>
    <w:rsid w:val="008A32E0"/>
    <w:rsid w:val="008A3C3E"/>
    <w:rsid w:val="008A4A3E"/>
    <w:rsid w:val="008A4CFD"/>
    <w:rsid w:val="008A5426"/>
    <w:rsid w:val="008A5D03"/>
    <w:rsid w:val="008A61D8"/>
    <w:rsid w:val="008A64EB"/>
    <w:rsid w:val="008A6943"/>
    <w:rsid w:val="008A6FF2"/>
    <w:rsid w:val="008A773D"/>
    <w:rsid w:val="008A79DE"/>
    <w:rsid w:val="008B00B5"/>
    <w:rsid w:val="008B0D5B"/>
    <w:rsid w:val="008B1682"/>
    <w:rsid w:val="008B1E86"/>
    <w:rsid w:val="008B2362"/>
    <w:rsid w:val="008B2795"/>
    <w:rsid w:val="008B6232"/>
    <w:rsid w:val="008B644D"/>
    <w:rsid w:val="008B75E7"/>
    <w:rsid w:val="008B7655"/>
    <w:rsid w:val="008B7D7E"/>
    <w:rsid w:val="008B7DDA"/>
    <w:rsid w:val="008C0015"/>
    <w:rsid w:val="008C097F"/>
    <w:rsid w:val="008C0D2B"/>
    <w:rsid w:val="008C3481"/>
    <w:rsid w:val="008C4012"/>
    <w:rsid w:val="008C6AC1"/>
    <w:rsid w:val="008C6B46"/>
    <w:rsid w:val="008C7326"/>
    <w:rsid w:val="008C7ECB"/>
    <w:rsid w:val="008D06A3"/>
    <w:rsid w:val="008D0CDB"/>
    <w:rsid w:val="008D0DF9"/>
    <w:rsid w:val="008D10FE"/>
    <w:rsid w:val="008D2EEE"/>
    <w:rsid w:val="008D3AB6"/>
    <w:rsid w:val="008D3E52"/>
    <w:rsid w:val="008D4AA7"/>
    <w:rsid w:val="008D4D0B"/>
    <w:rsid w:val="008D51FD"/>
    <w:rsid w:val="008D5A72"/>
    <w:rsid w:val="008D5E2C"/>
    <w:rsid w:val="008D6DB5"/>
    <w:rsid w:val="008D7C7C"/>
    <w:rsid w:val="008E048F"/>
    <w:rsid w:val="008E08D4"/>
    <w:rsid w:val="008E1775"/>
    <w:rsid w:val="008E19D6"/>
    <w:rsid w:val="008E1B9E"/>
    <w:rsid w:val="008E2978"/>
    <w:rsid w:val="008E2E82"/>
    <w:rsid w:val="008E4F93"/>
    <w:rsid w:val="008E52F3"/>
    <w:rsid w:val="008E598F"/>
    <w:rsid w:val="008E6025"/>
    <w:rsid w:val="008E6F5C"/>
    <w:rsid w:val="008E753A"/>
    <w:rsid w:val="008E7B5D"/>
    <w:rsid w:val="008F09EC"/>
    <w:rsid w:val="008F0F02"/>
    <w:rsid w:val="008F0FD2"/>
    <w:rsid w:val="008F116E"/>
    <w:rsid w:val="008F120A"/>
    <w:rsid w:val="008F2148"/>
    <w:rsid w:val="008F3D87"/>
    <w:rsid w:val="008F48EB"/>
    <w:rsid w:val="008F4F0B"/>
    <w:rsid w:val="008F5DFE"/>
    <w:rsid w:val="008F7211"/>
    <w:rsid w:val="008F7B0A"/>
    <w:rsid w:val="00900410"/>
    <w:rsid w:val="00901408"/>
    <w:rsid w:val="009015D6"/>
    <w:rsid w:val="0090167E"/>
    <w:rsid w:val="00902128"/>
    <w:rsid w:val="00902EB1"/>
    <w:rsid w:val="00904191"/>
    <w:rsid w:val="00904CDA"/>
    <w:rsid w:val="00905CBC"/>
    <w:rsid w:val="009062A5"/>
    <w:rsid w:val="00906BE0"/>
    <w:rsid w:val="00907428"/>
    <w:rsid w:val="00911272"/>
    <w:rsid w:val="0091128E"/>
    <w:rsid w:val="009119E1"/>
    <w:rsid w:val="009127D5"/>
    <w:rsid w:val="00912C76"/>
    <w:rsid w:val="009148A2"/>
    <w:rsid w:val="0091518D"/>
    <w:rsid w:val="00915A11"/>
    <w:rsid w:val="00915FAB"/>
    <w:rsid w:val="00921785"/>
    <w:rsid w:val="0092182E"/>
    <w:rsid w:val="009220AD"/>
    <w:rsid w:val="00922B02"/>
    <w:rsid w:val="00923978"/>
    <w:rsid w:val="00923AB0"/>
    <w:rsid w:val="00923DD7"/>
    <w:rsid w:val="00923F22"/>
    <w:rsid w:val="009249E3"/>
    <w:rsid w:val="00925EB0"/>
    <w:rsid w:val="00926154"/>
    <w:rsid w:val="00926C96"/>
    <w:rsid w:val="009300C6"/>
    <w:rsid w:val="00930421"/>
    <w:rsid w:val="00930D5B"/>
    <w:rsid w:val="00931216"/>
    <w:rsid w:val="00931511"/>
    <w:rsid w:val="00931CAC"/>
    <w:rsid w:val="00931E26"/>
    <w:rsid w:val="00932037"/>
    <w:rsid w:val="0093314A"/>
    <w:rsid w:val="00937066"/>
    <w:rsid w:val="00940F34"/>
    <w:rsid w:val="00941608"/>
    <w:rsid w:val="00942837"/>
    <w:rsid w:val="00943183"/>
    <w:rsid w:val="00945F70"/>
    <w:rsid w:val="0094603D"/>
    <w:rsid w:val="009460A7"/>
    <w:rsid w:val="009460BA"/>
    <w:rsid w:val="0094704F"/>
    <w:rsid w:val="00947506"/>
    <w:rsid w:val="00947A64"/>
    <w:rsid w:val="0095084C"/>
    <w:rsid w:val="00950EAB"/>
    <w:rsid w:val="00951B74"/>
    <w:rsid w:val="00951B94"/>
    <w:rsid w:val="009524F6"/>
    <w:rsid w:val="00953C48"/>
    <w:rsid w:val="00954FE8"/>
    <w:rsid w:val="00955A8E"/>
    <w:rsid w:val="00956C15"/>
    <w:rsid w:val="0095717B"/>
    <w:rsid w:val="009576C8"/>
    <w:rsid w:val="00960FE7"/>
    <w:rsid w:val="00962013"/>
    <w:rsid w:val="009624CA"/>
    <w:rsid w:val="00962CB9"/>
    <w:rsid w:val="00962D81"/>
    <w:rsid w:val="00963CCF"/>
    <w:rsid w:val="00964312"/>
    <w:rsid w:val="009656D7"/>
    <w:rsid w:val="00965E42"/>
    <w:rsid w:val="00965FD4"/>
    <w:rsid w:val="009703BA"/>
    <w:rsid w:val="009709E1"/>
    <w:rsid w:val="00971217"/>
    <w:rsid w:val="00972159"/>
    <w:rsid w:val="00973635"/>
    <w:rsid w:val="00974559"/>
    <w:rsid w:val="009746A2"/>
    <w:rsid w:val="009748FB"/>
    <w:rsid w:val="00974B14"/>
    <w:rsid w:val="00974B3E"/>
    <w:rsid w:val="00976665"/>
    <w:rsid w:val="00976794"/>
    <w:rsid w:val="00976FA1"/>
    <w:rsid w:val="00981523"/>
    <w:rsid w:val="009819F2"/>
    <w:rsid w:val="0098241A"/>
    <w:rsid w:val="009835CA"/>
    <w:rsid w:val="0098376F"/>
    <w:rsid w:val="00983E57"/>
    <w:rsid w:val="0098434A"/>
    <w:rsid w:val="00985269"/>
    <w:rsid w:val="0098608D"/>
    <w:rsid w:val="00986531"/>
    <w:rsid w:val="00986C85"/>
    <w:rsid w:val="009900EB"/>
    <w:rsid w:val="0099061A"/>
    <w:rsid w:val="00990FB0"/>
    <w:rsid w:val="00992051"/>
    <w:rsid w:val="00994E75"/>
    <w:rsid w:val="009959BB"/>
    <w:rsid w:val="00996B1A"/>
    <w:rsid w:val="00997856"/>
    <w:rsid w:val="009A035C"/>
    <w:rsid w:val="009A043C"/>
    <w:rsid w:val="009A1294"/>
    <w:rsid w:val="009A1917"/>
    <w:rsid w:val="009A3E21"/>
    <w:rsid w:val="009A48F3"/>
    <w:rsid w:val="009A49F6"/>
    <w:rsid w:val="009A4FB1"/>
    <w:rsid w:val="009A552F"/>
    <w:rsid w:val="009A5BE9"/>
    <w:rsid w:val="009A5D5A"/>
    <w:rsid w:val="009B1070"/>
    <w:rsid w:val="009B13D5"/>
    <w:rsid w:val="009B1481"/>
    <w:rsid w:val="009B1651"/>
    <w:rsid w:val="009B2FE3"/>
    <w:rsid w:val="009B3459"/>
    <w:rsid w:val="009B3E26"/>
    <w:rsid w:val="009B43CD"/>
    <w:rsid w:val="009B4CCF"/>
    <w:rsid w:val="009B605B"/>
    <w:rsid w:val="009B66BF"/>
    <w:rsid w:val="009B7423"/>
    <w:rsid w:val="009C03A8"/>
    <w:rsid w:val="009C0CAD"/>
    <w:rsid w:val="009C0DC1"/>
    <w:rsid w:val="009C2256"/>
    <w:rsid w:val="009C23DC"/>
    <w:rsid w:val="009C2552"/>
    <w:rsid w:val="009C32AA"/>
    <w:rsid w:val="009C3A35"/>
    <w:rsid w:val="009C3ABC"/>
    <w:rsid w:val="009C44EE"/>
    <w:rsid w:val="009C4BAB"/>
    <w:rsid w:val="009C57AF"/>
    <w:rsid w:val="009C5D51"/>
    <w:rsid w:val="009C606C"/>
    <w:rsid w:val="009C78D7"/>
    <w:rsid w:val="009C7A50"/>
    <w:rsid w:val="009C7F0B"/>
    <w:rsid w:val="009D0446"/>
    <w:rsid w:val="009D2073"/>
    <w:rsid w:val="009D3B9E"/>
    <w:rsid w:val="009D54D0"/>
    <w:rsid w:val="009D5B91"/>
    <w:rsid w:val="009D6627"/>
    <w:rsid w:val="009D7743"/>
    <w:rsid w:val="009D7E51"/>
    <w:rsid w:val="009E0C68"/>
    <w:rsid w:val="009E0E35"/>
    <w:rsid w:val="009E136E"/>
    <w:rsid w:val="009E2A87"/>
    <w:rsid w:val="009E3B4F"/>
    <w:rsid w:val="009E4A39"/>
    <w:rsid w:val="009E4C07"/>
    <w:rsid w:val="009E52B6"/>
    <w:rsid w:val="009E5927"/>
    <w:rsid w:val="009E5D3F"/>
    <w:rsid w:val="009E5EE9"/>
    <w:rsid w:val="009E5F3C"/>
    <w:rsid w:val="009E65F9"/>
    <w:rsid w:val="009E65FF"/>
    <w:rsid w:val="009E6AA2"/>
    <w:rsid w:val="009F0DCE"/>
    <w:rsid w:val="009F1664"/>
    <w:rsid w:val="009F19B7"/>
    <w:rsid w:val="009F380E"/>
    <w:rsid w:val="009F3940"/>
    <w:rsid w:val="009F3A11"/>
    <w:rsid w:val="009F69AF"/>
    <w:rsid w:val="009F79B5"/>
    <w:rsid w:val="009F7A37"/>
    <w:rsid w:val="00A00042"/>
    <w:rsid w:val="00A00C29"/>
    <w:rsid w:val="00A00D46"/>
    <w:rsid w:val="00A00DBD"/>
    <w:rsid w:val="00A022DF"/>
    <w:rsid w:val="00A03570"/>
    <w:rsid w:val="00A03D43"/>
    <w:rsid w:val="00A03F04"/>
    <w:rsid w:val="00A04380"/>
    <w:rsid w:val="00A045E5"/>
    <w:rsid w:val="00A060BE"/>
    <w:rsid w:val="00A070BD"/>
    <w:rsid w:val="00A10C78"/>
    <w:rsid w:val="00A10DDD"/>
    <w:rsid w:val="00A112D8"/>
    <w:rsid w:val="00A114A5"/>
    <w:rsid w:val="00A11937"/>
    <w:rsid w:val="00A11F28"/>
    <w:rsid w:val="00A12114"/>
    <w:rsid w:val="00A1388E"/>
    <w:rsid w:val="00A13948"/>
    <w:rsid w:val="00A13AE2"/>
    <w:rsid w:val="00A14EAD"/>
    <w:rsid w:val="00A154F0"/>
    <w:rsid w:val="00A16765"/>
    <w:rsid w:val="00A2045A"/>
    <w:rsid w:val="00A20C6B"/>
    <w:rsid w:val="00A20DBE"/>
    <w:rsid w:val="00A20EEA"/>
    <w:rsid w:val="00A23AC5"/>
    <w:rsid w:val="00A240E4"/>
    <w:rsid w:val="00A25098"/>
    <w:rsid w:val="00A25C55"/>
    <w:rsid w:val="00A27117"/>
    <w:rsid w:val="00A27AEC"/>
    <w:rsid w:val="00A27DCE"/>
    <w:rsid w:val="00A27DFB"/>
    <w:rsid w:val="00A27F6B"/>
    <w:rsid w:val="00A3003D"/>
    <w:rsid w:val="00A3246D"/>
    <w:rsid w:val="00A32608"/>
    <w:rsid w:val="00A33764"/>
    <w:rsid w:val="00A339D6"/>
    <w:rsid w:val="00A3404D"/>
    <w:rsid w:val="00A3469D"/>
    <w:rsid w:val="00A34AA2"/>
    <w:rsid w:val="00A35337"/>
    <w:rsid w:val="00A3597C"/>
    <w:rsid w:val="00A35D16"/>
    <w:rsid w:val="00A35FDC"/>
    <w:rsid w:val="00A36AE8"/>
    <w:rsid w:val="00A3712E"/>
    <w:rsid w:val="00A372B1"/>
    <w:rsid w:val="00A40B73"/>
    <w:rsid w:val="00A41E93"/>
    <w:rsid w:val="00A43C59"/>
    <w:rsid w:val="00A45F3C"/>
    <w:rsid w:val="00A46CE4"/>
    <w:rsid w:val="00A47B68"/>
    <w:rsid w:val="00A47D5E"/>
    <w:rsid w:val="00A50ECD"/>
    <w:rsid w:val="00A5136F"/>
    <w:rsid w:val="00A5228A"/>
    <w:rsid w:val="00A526C8"/>
    <w:rsid w:val="00A52729"/>
    <w:rsid w:val="00A533F7"/>
    <w:rsid w:val="00A53675"/>
    <w:rsid w:val="00A56B6A"/>
    <w:rsid w:val="00A56BDC"/>
    <w:rsid w:val="00A57231"/>
    <w:rsid w:val="00A578DC"/>
    <w:rsid w:val="00A60359"/>
    <w:rsid w:val="00A6047C"/>
    <w:rsid w:val="00A6082D"/>
    <w:rsid w:val="00A60A70"/>
    <w:rsid w:val="00A60BDD"/>
    <w:rsid w:val="00A60C90"/>
    <w:rsid w:val="00A618A9"/>
    <w:rsid w:val="00A61D1D"/>
    <w:rsid w:val="00A625F0"/>
    <w:rsid w:val="00A6276C"/>
    <w:rsid w:val="00A6365B"/>
    <w:rsid w:val="00A6434A"/>
    <w:rsid w:val="00A6454A"/>
    <w:rsid w:val="00A6501B"/>
    <w:rsid w:val="00A651C2"/>
    <w:rsid w:val="00A65D4F"/>
    <w:rsid w:val="00A65D6E"/>
    <w:rsid w:val="00A66907"/>
    <w:rsid w:val="00A66A4C"/>
    <w:rsid w:val="00A6725B"/>
    <w:rsid w:val="00A673FF"/>
    <w:rsid w:val="00A67AA4"/>
    <w:rsid w:val="00A7039F"/>
    <w:rsid w:val="00A705D2"/>
    <w:rsid w:val="00A70707"/>
    <w:rsid w:val="00A70E5E"/>
    <w:rsid w:val="00A71F13"/>
    <w:rsid w:val="00A7223C"/>
    <w:rsid w:val="00A7271D"/>
    <w:rsid w:val="00A727EB"/>
    <w:rsid w:val="00A73555"/>
    <w:rsid w:val="00A73A2A"/>
    <w:rsid w:val="00A73C62"/>
    <w:rsid w:val="00A74180"/>
    <w:rsid w:val="00A74638"/>
    <w:rsid w:val="00A74838"/>
    <w:rsid w:val="00A7693E"/>
    <w:rsid w:val="00A8000F"/>
    <w:rsid w:val="00A80806"/>
    <w:rsid w:val="00A80F42"/>
    <w:rsid w:val="00A81078"/>
    <w:rsid w:val="00A814E3"/>
    <w:rsid w:val="00A819A3"/>
    <w:rsid w:val="00A833B2"/>
    <w:rsid w:val="00A83571"/>
    <w:rsid w:val="00A853AD"/>
    <w:rsid w:val="00A8574B"/>
    <w:rsid w:val="00A85EC5"/>
    <w:rsid w:val="00A86E8B"/>
    <w:rsid w:val="00A87BC6"/>
    <w:rsid w:val="00A908E3"/>
    <w:rsid w:val="00A914A9"/>
    <w:rsid w:val="00A91ADB"/>
    <w:rsid w:val="00A920FD"/>
    <w:rsid w:val="00A92756"/>
    <w:rsid w:val="00A93072"/>
    <w:rsid w:val="00A93188"/>
    <w:rsid w:val="00A9435E"/>
    <w:rsid w:val="00A959D8"/>
    <w:rsid w:val="00A9732A"/>
    <w:rsid w:val="00A973EC"/>
    <w:rsid w:val="00AA014F"/>
    <w:rsid w:val="00AA1505"/>
    <w:rsid w:val="00AA304B"/>
    <w:rsid w:val="00AA30E7"/>
    <w:rsid w:val="00AA3E58"/>
    <w:rsid w:val="00AA4B1B"/>
    <w:rsid w:val="00AA4B38"/>
    <w:rsid w:val="00AA4DB8"/>
    <w:rsid w:val="00AA4DBD"/>
    <w:rsid w:val="00AA511C"/>
    <w:rsid w:val="00AA6A0D"/>
    <w:rsid w:val="00AA7182"/>
    <w:rsid w:val="00AA760B"/>
    <w:rsid w:val="00AA7692"/>
    <w:rsid w:val="00AA7B08"/>
    <w:rsid w:val="00AB042A"/>
    <w:rsid w:val="00AB105C"/>
    <w:rsid w:val="00AB1095"/>
    <w:rsid w:val="00AB184A"/>
    <w:rsid w:val="00AB1EA4"/>
    <w:rsid w:val="00AB295B"/>
    <w:rsid w:val="00AB2D34"/>
    <w:rsid w:val="00AB3009"/>
    <w:rsid w:val="00AB3221"/>
    <w:rsid w:val="00AB3430"/>
    <w:rsid w:val="00AB485C"/>
    <w:rsid w:val="00AB49A3"/>
    <w:rsid w:val="00AB6000"/>
    <w:rsid w:val="00AB6FA5"/>
    <w:rsid w:val="00AB72E3"/>
    <w:rsid w:val="00AB734D"/>
    <w:rsid w:val="00AB7CFA"/>
    <w:rsid w:val="00AC0A98"/>
    <w:rsid w:val="00AC1135"/>
    <w:rsid w:val="00AC17BD"/>
    <w:rsid w:val="00AC21C3"/>
    <w:rsid w:val="00AC236C"/>
    <w:rsid w:val="00AC241A"/>
    <w:rsid w:val="00AC316B"/>
    <w:rsid w:val="00AC3AF9"/>
    <w:rsid w:val="00AC3BE2"/>
    <w:rsid w:val="00AC3FBE"/>
    <w:rsid w:val="00AC51F7"/>
    <w:rsid w:val="00AC5945"/>
    <w:rsid w:val="00AC7ACB"/>
    <w:rsid w:val="00AD035B"/>
    <w:rsid w:val="00AD2605"/>
    <w:rsid w:val="00AD27DA"/>
    <w:rsid w:val="00AD2D78"/>
    <w:rsid w:val="00AD30FB"/>
    <w:rsid w:val="00AD32C1"/>
    <w:rsid w:val="00AD55E3"/>
    <w:rsid w:val="00AD5F65"/>
    <w:rsid w:val="00AD6488"/>
    <w:rsid w:val="00AD719D"/>
    <w:rsid w:val="00AD736D"/>
    <w:rsid w:val="00AD7533"/>
    <w:rsid w:val="00AE241A"/>
    <w:rsid w:val="00AE2737"/>
    <w:rsid w:val="00AE30D8"/>
    <w:rsid w:val="00AE3308"/>
    <w:rsid w:val="00AE44B4"/>
    <w:rsid w:val="00AE4660"/>
    <w:rsid w:val="00AE6589"/>
    <w:rsid w:val="00AE66D4"/>
    <w:rsid w:val="00AE7618"/>
    <w:rsid w:val="00AF0207"/>
    <w:rsid w:val="00AF0548"/>
    <w:rsid w:val="00AF2E56"/>
    <w:rsid w:val="00AF4127"/>
    <w:rsid w:val="00AF41CA"/>
    <w:rsid w:val="00AF42AB"/>
    <w:rsid w:val="00AF4A33"/>
    <w:rsid w:val="00AF4A67"/>
    <w:rsid w:val="00AF5D7C"/>
    <w:rsid w:val="00AF7701"/>
    <w:rsid w:val="00B00E14"/>
    <w:rsid w:val="00B03765"/>
    <w:rsid w:val="00B03B2F"/>
    <w:rsid w:val="00B0436B"/>
    <w:rsid w:val="00B057EC"/>
    <w:rsid w:val="00B0628D"/>
    <w:rsid w:val="00B07216"/>
    <w:rsid w:val="00B07888"/>
    <w:rsid w:val="00B101E1"/>
    <w:rsid w:val="00B1056D"/>
    <w:rsid w:val="00B10C77"/>
    <w:rsid w:val="00B111F1"/>
    <w:rsid w:val="00B11DD3"/>
    <w:rsid w:val="00B1229E"/>
    <w:rsid w:val="00B15A97"/>
    <w:rsid w:val="00B207FE"/>
    <w:rsid w:val="00B20C6A"/>
    <w:rsid w:val="00B2126A"/>
    <w:rsid w:val="00B212DB"/>
    <w:rsid w:val="00B213B8"/>
    <w:rsid w:val="00B21531"/>
    <w:rsid w:val="00B22BD8"/>
    <w:rsid w:val="00B2322E"/>
    <w:rsid w:val="00B24047"/>
    <w:rsid w:val="00B24BC9"/>
    <w:rsid w:val="00B255C7"/>
    <w:rsid w:val="00B25967"/>
    <w:rsid w:val="00B2634A"/>
    <w:rsid w:val="00B277FA"/>
    <w:rsid w:val="00B27921"/>
    <w:rsid w:val="00B317D1"/>
    <w:rsid w:val="00B31BE1"/>
    <w:rsid w:val="00B31C2D"/>
    <w:rsid w:val="00B3309E"/>
    <w:rsid w:val="00B3351F"/>
    <w:rsid w:val="00B33F63"/>
    <w:rsid w:val="00B347DC"/>
    <w:rsid w:val="00B34A72"/>
    <w:rsid w:val="00B37990"/>
    <w:rsid w:val="00B417DC"/>
    <w:rsid w:val="00B41E66"/>
    <w:rsid w:val="00B421A4"/>
    <w:rsid w:val="00B42851"/>
    <w:rsid w:val="00B42A85"/>
    <w:rsid w:val="00B42E9C"/>
    <w:rsid w:val="00B4405A"/>
    <w:rsid w:val="00B447C9"/>
    <w:rsid w:val="00B4526C"/>
    <w:rsid w:val="00B4554E"/>
    <w:rsid w:val="00B466B6"/>
    <w:rsid w:val="00B46D83"/>
    <w:rsid w:val="00B46FCE"/>
    <w:rsid w:val="00B4742B"/>
    <w:rsid w:val="00B476F7"/>
    <w:rsid w:val="00B47E4D"/>
    <w:rsid w:val="00B47F55"/>
    <w:rsid w:val="00B5010C"/>
    <w:rsid w:val="00B5041A"/>
    <w:rsid w:val="00B50779"/>
    <w:rsid w:val="00B50DB8"/>
    <w:rsid w:val="00B51A6D"/>
    <w:rsid w:val="00B527DC"/>
    <w:rsid w:val="00B53836"/>
    <w:rsid w:val="00B53905"/>
    <w:rsid w:val="00B53E1A"/>
    <w:rsid w:val="00B53F5B"/>
    <w:rsid w:val="00B54911"/>
    <w:rsid w:val="00B54B5B"/>
    <w:rsid w:val="00B5562E"/>
    <w:rsid w:val="00B5638D"/>
    <w:rsid w:val="00B566AD"/>
    <w:rsid w:val="00B56DE7"/>
    <w:rsid w:val="00B56DEE"/>
    <w:rsid w:val="00B57000"/>
    <w:rsid w:val="00B57860"/>
    <w:rsid w:val="00B607A2"/>
    <w:rsid w:val="00B60939"/>
    <w:rsid w:val="00B60AFD"/>
    <w:rsid w:val="00B6165A"/>
    <w:rsid w:val="00B619C7"/>
    <w:rsid w:val="00B61A9B"/>
    <w:rsid w:val="00B61C2E"/>
    <w:rsid w:val="00B62715"/>
    <w:rsid w:val="00B62B3E"/>
    <w:rsid w:val="00B64090"/>
    <w:rsid w:val="00B64544"/>
    <w:rsid w:val="00B64726"/>
    <w:rsid w:val="00B647EC"/>
    <w:rsid w:val="00B64802"/>
    <w:rsid w:val="00B6483C"/>
    <w:rsid w:val="00B65621"/>
    <w:rsid w:val="00B669BE"/>
    <w:rsid w:val="00B66B24"/>
    <w:rsid w:val="00B675D1"/>
    <w:rsid w:val="00B67C5F"/>
    <w:rsid w:val="00B7086E"/>
    <w:rsid w:val="00B7165C"/>
    <w:rsid w:val="00B72FDA"/>
    <w:rsid w:val="00B7378B"/>
    <w:rsid w:val="00B73ECE"/>
    <w:rsid w:val="00B745F0"/>
    <w:rsid w:val="00B7485A"/>
    <w:rsid w:val="00B749E1"/>
    <w:rsid w:val="00B74ACD"/>
    <w:rsid w:val="00B7632E"/>
    <w:rsid w:val="00B76A72"/>
    <w:rsid w:val="00B8131D"/>
    <w:rsid w:val="00B8153D"/>
    <w:rsid w:val="00B818A4"/>
    <w:rsid w:val="00B81E04"/>
    <w:rsid w:val="00B828BE"/>
    <w:rsid w:val="00B83E26"/>
    <w:rsid w:val="00B85F3F"/>
    <w:rsid w:val="00B8649C"/>
    <w:rsid w:val="00B87321"/>
    <w:rsid w:val="00B90479"/>
    <w:rsid w:val="00B91A0C"/>
    <w:rsid w:val="00B92D0B"/>
    <w:rsid w:val="00B93617"/>
    <w:rsid w:val="00B93ADA"/>
    <w:rsid w:val="00B93ECD"/>
    <w:rsid w:val="00B9426D"/>
    <w:rsid w:val="00B94945"/>
    <w:rsid w:val="00B95D26"/>
    <w:rsid w:val="00B95DEA"/>
    <w:rsid w:val="00B96F21"/>
    <w:rsid w:val="00B975A5"/>
    <w:rsid w:val="00B9763D"/>
    <w:rsid w:val="00B97F95"/>
    <w:rsid w:val="00BA0C8C"/>
    <w:rsid w:val="00BA14CC"/>
    <w:rsid w:val="00BA16CE"/>
    <w:rsid w:val="00BA1E16"/>
    <w:rsid w:val="00BA2466"/>
    <w:rsid w:val="00BA4733"/>
    <w:rsid w:val="00BA47C9"/>
    <w:rsid w:val="00BA6129"/>
    <w:rsid w:val="00BA71A1"/>
    <w:rsid w:val="00BA720C"/>
    <w:rsid w:val="00BB06BE"/>
    <w:rsid w:val="00BB2983"/>
    <w:rsid w:val="00BB5627"/>
    <w:rsid w:val="00BB59D6"/>
    <w:rsid w:val="00BB5A4B"/>
    <w:rsid w:val="00BB5DD6"/>
    <w:rsid w:val="00BB6B45"/>
    <w:rsid w:val="00BB6E5F"/>
    <w:rsid w:val="00BB7405"/>
    <w:rsid w:val="00BC01ED"/>
    <w:rsid w:val="00BC0221"/>
    <w:rsid w:val="00BC053A"/>
    <w:rsid w:val="00BC1EF4"/>
    <w:rsid w:val="00BC3954"/>
    <w:rsid w:val="00BC5B3C"/>
    <w:rsid w:val="00BC5DD3"/>
    <w:rsid w:val="00BC6B86"/>
    <w:rsid w:val="00BC6FDA"/>
    <w:rsid w:val="00BC7287"/>
    <w:rsid w:val="00BD03D3"/>
    <w:rsid w:val="00BD0AFE"/>
    <w:rsid w:val="00BD1E3A"/>
    <w:rsid w:val="00BD219F"/>
    <w:rsid w:val="00BD23C4"/>
    <w:rsid w:val="00BD242B"/>
    <w:rsid w:val="00BD243A"/>
    <w:rsid w:val="00BD2F72"/>
    <w:rsid w:val="00BD3D24"/>
    <w:rsid w:val="00BD42F0"/>
    <w:rsid w:val="00BD5D16"/>
    <w:rsid w:val="00BD6CF3"/>
    <w:rsid w:val="00BD70C4"/>
    <w:rsid w:val="00BD7647"/>
    <w:rsid w:val="00BE1595"/>
    <w:rsid w:val="00BE2180"/>
    <w:rsid w:val="00BE231E"/>
    <w:rsid w:val="00BE2512"/>
    <w:rsid w:val="00BE29EF"/>
    <w:rsid w:val="00BE3694"/>
    <w:rsid w:val="00BE4275"/>
    <w:rsid w:val="00BE4852"/>
    <w:rsid w:val="00BE4996"/>
    <w:rsid w:val="00BE5079"/>
    <w:rsid w:val="00BE5D28"/>
    <w:rsid w:val="00BE6164"/>
    <w:rsid w:val="00BE6B17"/>
    <w:rsid w:val="00BE78D4"/>
    <w:rsid w:val="00BF06D5"/>
    <w:rsid w:val="00BF0AD2"/>
    <w:rsid w:val="00BF2207"/>
    <w:rsid w:val="00BF2433"/>
    <w:rsid w:val="00BF2DB4"/>
    <w:rsid w:val="00BF3B2D"/>
    <w:rsid w:val="00BF4A9B"/>
    <w:rsid w:val="00BF4F13"/>
    <w:rsid w:val="00BF5E0F"/>
    <w:rsid w:val="00BF61C9"/>
    <w:rsid w:val="00BF6EB0"/>
    <w:rsid w:val="00BF74EC"/>
    <w:rsid w:val="00BF75B6"/>
    <w:rsid w:val="00BF7993"/>
    <w:rsid w:val="00C00E0B"/>
    <w:rsid w:val="00C017AD"/>
    <w:rsid w:val="00C02E88"/>
    <w:rsid w:val="00C04D74"/>
    <w:rsid w:val="00C052F9"/>
    <w:rsid w:val="00C05658"/>
    <w:rsid w:val="00C057E7"/>
    <w:rsid w:val="00C063E7"/>
    <w:rsid w:val="00C06B26"/>
    <w:rsid w:val="00C111AC"/>
    <w:rsid w:val="00C12861"/>
    <w:rsid w:val="00C12C51"/>
    <w:rsid w:val="00C12F87"/>
    <w:rsid w:val="00C13489"/>
    <w:rsid w:val="00C139AB"/>
    <w:rsid w:val="00C14004"/>
    <w:rsid w:val="00C15C32"/>
    <w:rsid w:val="00C160DB"/>
    <w:rsid w:val="00C1617E"/>
    <w:rsid w:val="00C16409"/>
    <w:rsid w:val="00C164BE"/>
    <w:rsid w:val="00C17516"/>
    <w:rsid w:val="00C2021A"/>
    <w:rsid w:val="00C20AD6"/>
    <w:rsid w:val="00C20D68"/>
    <w:rsid w:val="00C21067"/>
    <w:rsid w:val="00C21E78"/>
    <w:rsid w:val="00C2269D"/>
    <w:rsid w:val="00C233FB"/>
    <w:rsid w:val="00C2385B"/>
    <w:rsid w:val="00C24067"/>
    <w:rsid w:val="00C253C7"/>
    <w:rsid w:val="00C25418"/>
    <w:rsid w:val="00C25D9C"/>
    <w:rsid w:val="00C26071"/>
    <w:rsid w:val="00C264BD"/>
    <w:rsid w:val="00C2670F"/>
    <w:rsid w:val="00C26D3E"/>
    <w:rsid w:val="00C26EB4"/>
    <w:rsid w:val="00C27885"/>
    <w:rsid w:val="00C3022C"/>
    <w:rsid w:val="00C31649"/>
    <w:rsid w:val="00C3204D"/>
    <w:rsid w:val="00C322B3"/>
    <w:rsid w:val="00C3281F"/>
    <w:rsid w:val="00C32FDD"/>
    <w:rsid w:val="00C33FCC"/>
    <w:rsid w:val="00C354B2"/>
    <w:rsid w:val="00C355A0"/>
    <w:rsid w:val="00C35983"/>
    <w:rsid w:val="00C362F0"/>
    <w:rsid w:val="00C36393"/>
    <w:rsid w:val="00C36535"/>
    <w:rsid w:val="00C36D6E"/>
    <w:rsid w:val="00C37784"/>
    <w:rsid w:val="00C40385"/>
    <w:rsid w:val="00C41543"/>
    <w:rsid w:val="00C41664"/>
    <w:rsid w:val="00C41C3F"/>
    <w:rsid w:val="00C41CD5"/>
    <w:rsid w:val="00C43E7C"/>
    <w:rsid w:val="00C44294"/>
    <w:rsid w:val="00C44968"/>
    <w:rsid w:val="00C45278"/>
    <w:rsid w:val="00C45354"/>
    <w:rsid w:val="00C459BE"/>
    <w:rsid w:val="00C47A21"/>
    <w:rsid w:val="00C50D64"/>
    <w:rsid w:val="00C517BC"/>
    <w:rsid w:val="00C51A4A"/>
    <w:rsid w:val="00C52250"/>
    <w:rsid w:val="00C52702"/>
    <w:rsid w:val="00C53472"/>
    <w:rsid w:val="00C545DA"/>
    <w:rsid w:val="00C54B42"/>
    <w:rsid w:val="00C54D2C"/>
    <w:rsid w:val="00C551F9"/>
    <w:rsid w:val="00C56256"/>
    <w:rsid w:val="00C56EFC"/>
    <w:rsid w:val="00C57CBE"/>
    <w:rsid w:val="00C61CDE"/>
    <w:rsid w:val="00C62256"/>
    <w:rsid w:val="00C6261D"/>
    <w:rsid w:val="00C62D69"/>
    <w:rsid w:val="00C6369B"/>
    <w:rsid w:val="00C6373C"/>
    <w:rsid w:val="00C63A58"/>
    <w:rsid w:val="00C63F70"/>
    <w:rsid w:val="00C645A5"/>
    <w:rsid w:val="00C64EA7"/>
    <w:rsid w:val="00C65072"/>
    <w:rsid w:val="00C651D4"/>
    <w:rsid w:val="00C6535E"/>
    <w:rsid w:val="00C65576"/>
    <w:rsid w:val="00C66165"/>
    <w:rsid w:val="00C663C1"/>
    <w:rsid w:val="00C67067"/>
    <w:rsid w:val="00C67685"/>
    <w:rsid w:val="00C67739"/>
    <w:rsid w:val="00C70141"/>
    <w:rsid w:val="00C70801"/>
    <w:rsid w:val="00C70CC8"/>
    <w:rsid w:val="00C70F69"/>
    <w:rsid w:val="00C737EA"/>
    <w:rsid w:val="00C74061"/>
    <w:rsid w:val="00C750C8"/>
    <w:rsid w:val="00C75C2E"/>
    <w:rsid w:val="00C76DDE"/>
    <w:rsid w:val="00C76E90"/>
    <w:rsid w:val="00C7735C"/>
    <w:rsid w:val="00C776D7"/>
    <w:rsid w:val="00C77814"/>
    <w:rsid w:val="00C77AB7"/>
    <w:rsid w:val="00C803CD"/>
    <w:rsid w:val="00C818AF"/>
    <w:rsid w:val="00C81D5A"/>
    <w:rsid w:val="00C8213F"/>
    <w:rsid w:val="00C822CF"/>
    <w:rsid w:val="00C84609"/>
    <w:rsid w:val="00C855F1"/>
    <w:rsid w:val="00C860B0"/>
    <w:rsid w:val="00C8797A"/>
    <w:rsid w:val="00C91D64"/>
    <w:rsid w:val="00C92022"/>
    <w:rsid w:val="00C92CCC"/>
    <w:rsid w:val="00C92EF1"/>
    <w:rsid w:val="00C938CF"/>
    <w:rsid w:val="00C93D1C"/>
    <w:rsid w:val="00C95CEF"/>
    <w:rsid w:val="00C9616F"/>
    <w:rsid w:val="00C96235"/>
    <w:rsid w:val="00C97038"/>
    <w:rsid w:val="00C97067"/>
    <w:rsid w:val="00C9718C"/>
    <w:rsid w:val="00CA0182"/>
    <w:rsid w:val="00CA145C"/>
    <w:rsid w:val="00CA1766"/>
    <w:rsid w:val="00CA183B"/>
    <w:rsid w:val="00CA38EB"/>
    <w:rsid w:val="00CA3B12"/>
    <w:rsid w:val="00CA3FE7"/>
    <w:rsid w:val="00CA470D"/>
    <w:rsid w:val="00CA4807"/>
    <w:rsid w:val="00CA5030"/>
    <w:rsid w:val="00CA5245"/>
    <w:rsid w:val="00CA5FD2"/>
    <w:rsid w:val="00CA7B09"/>
    <w:rsid w:val="00CB00EE"/>
    <w:rsid w:val="00CB0ACC"/>
    <w:rsid w:val="00CB0C0E"/>
    <w:rsid w:val="00CB125B"/>
    <w:rsid w:val="00CB17BE"/>
    <w:rsid w:val="00CB20E1"/>
    <w:rsid w:val="00CB243C"/>
    <w:rsid w:val="00CB3323"/>
    <w:rsid w:val="00CB3936"/>
    <w:rsid w:val="00CB3D9B"/>
    <w:rsid w:val="00CB46A0"/>
    <w:rsid w:val="00CB5001"/>
    <w:rsid w:val="00CB5840"/>
    <w:rsid w:val="00CB5B1A"/>
    <w:rsid w:val="00CB6D42"/>
    <w:rsid w:val="00CC102E"/>
    <w:rsid w:val="00CC318E"/>
    <w:rsid w:val="00CC3C26"/>
    <w:rsid w:val="00CC4C43"/>
    <w:rsid w:val="00CC5B53"/>
    <w:rsid w:val="00CC5BBB"/>
    <w:rsid w:val="00CC76E6"/>
    <w:rsid w:val="00CD017F"/>
    <w:rsid w:val="00CD06AE"/>
    <w:rsid w:val="00CD0B49"/>
    <w:rsid w:val="00CD2F88"/>
    <w:rsid w:val="00CD3373"/>
    <w:rsid w:val="00CD57E2"/>
    <w:rsid w:val="00CD6ADC"/>
    <w:rsid w:val="00CD72FF"/>
    <w:rsid w:val="00CD7FCA"/>
    <w:rsid w:val="00CE03C6"/>
    <w:rsid w:val="00CE0696"/>
    <w:rsid w:val="00CE07EA"/>
    <w:rsid w:val="00CE0D3B"/>
    <w:rsid w:val="00CE1D32"/>
    <w:rsid w:val="00CE1E9F"/>
    <w:rsid w:val="00CE2E16"/>
    <w:rsid w:val="00CE3479"/>
    <w:rsid w:val="00CE400B"/>
    <w:rsid w:val="00CE425B"/>
    <w:rsid w:val="00CE4266"/>
    <w:rsid w:val="00CE48D9"/>
    <w:rsid w:val="00CE5216"/>
    <w:rsid w:val="00CE6274"/>
    <w:rsid w:val="00CE75E3"/>
    <w:rsid w:val="00CE7814"/>
    <w:rsid w:val="00CF014A"/>
    <w:rsid w:val="00CF0607"/>
    <w:rsid w:val="00CF138D"/>
    <w:rsid w:val="00CF1AFC"/>
    <w:rsid w:val="00CF1DD5"/>
    <w:rsid w:val="00CF307A"/>
    <w:rsid w:val="00CF31ED"/>
    <w:rsid w:val="00CF36A2"/>
    <w:rsid w:val="00CF456B"/>
    <w:rsid w:val="00CF5A22"/>
    <w:rsid w:val="00CF7981"/>
    <w:rsid w:val="00D003AF"/>
    <w:rsid w:val="00D006C1"/>
    <w:rsid w:val="00D0145B"/>
    <w:rsid w:val="00D01DD1"/>
    <w:rsid w:val="00D0262E"/>
    <w:rsid w:val="00D03170"/>
    <w:rsid w:val="00D042B5"/>
    <w:rsid w:val="00D04318"/>
    <w:rsid w:val="00D0593B"/>
    <w:rsid w:val="00D05C20"/>
    <w:rsid w:val="00D05DD6"/>
    <w:rsid w:val="00D066AF"/>
    <w:rsid w:val="00D06A70"/>
    <w:rsid w:val="00D06A9F"/>
    <w:rsid w:val="00D06BC3"/>
    <w:rsid w:val="00D06CC6"/>
    <w:rsid w:val="00D10247"/>
    <w:rsid w:val="00D10DFD"/>
    <w:rsid w:val="00D110BD"/>
    <w:rsid w:val="00D11411"/>
    <w:rsid w:val="00D1141C"/>
    <w:rsid w:val="00D11561"/>
    <w:rsid w:val="00D118BF"/>
    <w:rsid w:val="00D136A2"/>
    <w:rsid w:val="00D13C76"/>
    <w:rsid w:val="00D13E28"/>
    <w:rsid w:val="00D14A1D"/>
    <w:rsid w:val="00D14B7C"/>
    <w:rsid w:val="00D1561E"/>
    <w:rsid w:val="00D15ACE"/>
    <w:rsid w:val="00D16115"/>
    <w:rsid w:val="00D166BA"/>
    <w:rsid w:val="00D16C18"/>
    <w:rsid w:val="00D17214"/>
    <w:rsid w:val="00D1739B"/>
    <w:rsid w:val="00D17D6C"/>
    <w:rsid w:val="00D2000D"/>
    <w:rsid w:val="00D208EF"/>
    <w:rsid w:val="00D21335"/>
    <w:rsid w:val="00D21AF5"/>
    <w:rsid w:val="00D23CA9"/>
    <w:rsid w:val="00D2415D"/>
    <w:rsid w:val="00D24E75"/>
    <w:rsid w:val="00D250A6"/>
    <w:rsid w:val="00D252E9"/>
    <w:rsid w:val="00D2677A"/>
    <w:rsid w:val="00D267A7"/>
    <w:rsid w:val="00D275ED"/>
    <w:rsid w:val="00D3031C"/>
    <w:rsid w:val="00D33CD6"/>
    <w:rsid w:val="00D357FF"/>
    <w:rsid w:val="00D3659F"/>
    <w:rsid w:val="00D367CB"/>
    <w:rsid w:val="00D36DC1"/>
    <w:rsid w:val="00D36E6D"/>
    <w:rsid w:val="00D373CC"/>
    <w:rsid w:val="00D413F3"/>
    <w:rsid w:val="00D415A3"/>
    <w:rsid w:val="00D42704"/>
    <w:rsid w:val="00D432D5"/>
    <w:rsid w:val="00D4365C"/>
    <w:rsid w:val="00D43ACE"/>
    <w:rsid w:val="00D44343"/>
    <w:rsid w:val="00D44426"/>
    <w:rsid w:val="00D465EC"/>
    <w:rsid w:val="00D47E5C"/>
    <w:rsid w:val="00D50134"/>
    <w:rsid w:val="00D502FB"/>
    <w:rsid w:val="00D5422A"/>
    <w:rsid w:val="00D5444D"/>
    <w:rsid w:val="00D547B1"/>
    <w:rsid w:val="00D54867"/>
    <w:rsid w:val="00D54F4E"/>
    <w:rsid w:val="00D55873"/>
    <w:rsid w:val="00D56948"/>
    <w:rsid w:val="00D573C6"/>
    <w:rsid w:val="00D57C9A"/>
    <w:rsid w:val="00D60285"/>
    <w:rsid w:val="00D60C1E"/>
    <w:rsid w:val="00D6235C"/>
    <w:rsid w:val="00D63F4B"/>
    <w:rsid w:val="00D64DBF"/>
    <w:rsid w:val="00D65132"/>
    <w:rsid w:val="00D651B0"/>
    <w:rsid w:val="00D6616B"/>
    <w:rsid w:val="00D70753"/>
    <w:rsid w:val="00D743F6"/>
    <w:rsid w:val="00D74773"/>
    <w:rsid w:val="00D74CF6"/>
    <w:rsid w:val="00D756FE"/>
    <w:rsid w:val="00D7637F"/>
    <w:rsid w:val="00D7642C"/>
    <w:rsid w:val="00D76557"/>
    <w:rsid w:val="00D76791"/>
    <w:rsid w:val="00D76A44"/>
    <w:rsid w:val="00D76C13"/>
    <w:rsid w:val="00D80F5B"/>
    <w:rsid w:val="00D817DC"/>
    <w:rsid w:val="00D81B0F"/>
    <w:rsid w:val="00D839AD"/>
    <w:rsid w:val="00D83C80"/>
    <w:rsid w:val="00D844F4"/>
    <w:rsid w:val="00D84C11"/>
    <w:rsid w:val="00D84ECB"/>
    <w:rsid w:val="00D87067"/>
    <w:rsid w:val="00D871E9"/>
    <w:rsid w:val="00D87531"/>
    <w:rsid w:val="00D8773F"/>
    <w:rsid w:val="00D87CC0"/>
    <w:rsid w:val="00D87EEC"/>
    <w:rsid w:val="00D90512"/>
    <w:rsid w:val="00D914CA"/>
    <w:rsid w:val="00D91E56"/>
    <w:rsid w:val="00D92569"/>
    <w:rsid w:val="00D929EE"/>
    <w:rsid w:val="00D92A19"/>
    <w:rsid w:val="00D92C2E"/>
    <w:rsid w:val="00D9348D"/>
    <w:rsid w:val="00D93753"/>
    <w:rsid w:val="00D93D39"/>
    <w:rsid w:val="00D93F1C"/>
    <w:rsid w:val="00D93F3F"/>
    <w:rsid w:val="00D9435F"/>
    <w:rsid w:val="00D94384"/>
    <w:rsid w:val="00D94EE3"/>
    <w:rsid w:val="00D95533"/>
    <w:rsid w:val="00D9554C"/>
    <w:rsid w:val="00D967FB"/>
    <w:rsid w:val="00D96845"/>
    <w:rsid w:val="00D97E30"/>
    <w:rsid w:val="00DA0486"/>
    <w:rsid w:val="00DA2674"/>
    <w:rsid w:val="00DA64D5"/>
    <w:rsid w:val="00DA77A5"/>
    <w:rsid w:val="00DA7B89"/>
    <w:rsid w:val="00DB124F"/>
    <w:rsid w:val="00DB16ED"/>
    <w:rsid w:val="00DB1E90"/>
    <w:rsid w:val="00DB2D34"/>
    <w:rsid w:val="00DB2D38"/>
    <w:rsid w:val="00DB4B3F"/>
    <w:rsid w:val="00DB4F16"/>
    <w:rsid w:val="00DB511A"/>
    <w:rsid w:val="00DB5458"/>
    <w:rsid w:val="00DB59F4"/>
    <w:rsid w:val="00DB77C0"/>
    <w:rsid w:val="00DC0ABE"/>
    <w:rsid w:val="00DC0F3C"/>
    <w:rsid w:val="00DC11AF"/>
    <w:rsid w:val="00DC2541"/>
    <w:rsid w:val="00DC270F"/>
    <w:rsid w:val="00DC28C0"/>
    <w:rsid w:val="00DC2A1C"/>
    <w:rsid w:val="00DC2B5C"/>
    <w:rsid w:val="00DC31C6"/>
    <w:rsid w:val="00DC5074"/>
    <w:rsid w:val="00DC5501"/>
    <w:rsid w:val="00DC5523"/>
    <w:rsid w:val="00DC642F"/>
    <w:rsid w:val="00DC656A"/>
    <w:rsid w:val="00DC6B17"/>
    <w:rsid w:val="00DC790E"/>
    <w:rsid w:val="00DD0092"/>
    <w:rsid w:val="00DD00AF"/>
    <w:rsid w:val="00DD0916"/>
    <w:rsid w:val="00DD157C"/>
    <w:rsid w:val="00DD188B"/>
    <w:rsid w:val="00DD2238"/>
    <w:rsid w:val="00DD30BE"/>
    <w:rsid w:val="00DD3221"/>
    <w:rsid w:val="00DD3B32"/>
    <w:rsid w:val="00DD3B9B"/>
    <w:rsid w:val="00DD3F28"/>
    <w:rsid w:val="00DD4537"/>
    <w:rsid w:val="00DD4AEA"/>
    <w:rsid w:val="00DD4E15"/>
    <w:rsid w:val="00DD5C4B"/>
    <w:rsid w:val="00DD5C5C"/>
    <w:rsid w:val="00DD6B7B"/>
    <w:rsid w:val="00DD7EBB"/>
    <w:rsid w:val="00DD7F40"/>
    <w:rsid w:val="00DE04FE"/>
    <w:rsid w:val="00DE08F1"/>
    <w:rsid w:val="00DE14F9"/>
    <w:rsid w:val="00DE2466"/>
    <w:rsid w:val="00DE2762"/>
    <w:rsid w:val="00DE35F9"/>
    <w:rsid w:val="00DE4D74"/>
    <w:rsid w:val="00DE4FCB"/>
    <w:rsid w:val="00DE5444"/>
    <w:rsid w:val="00DE59D8"/>
    <w:rsid w:val="00DE5A8D"/>
    <w:rsid w:val="00DF0849"/>
    <w:rsid w:val="00DF0991"/>
    <w:rsid w:val="00DF0B0D"/>
    <w:rsid w:val="00DF1066"/>
    <w:rsid w:val="00DF1169"/>
    <w:rsid w:val="00DF2466"/>
    <w:rsid w:val="00DF2BF3"/>
    <w:rsid w:val="00DF5D2B"/>
    <w:rsid w:val="00DF5DFB"/>
    <w:rsid w:val="00DF5EC3"/>
    <w:rsid w:val="00DF68C5"/>
    <w:rsid w:val="00DF6B87"/>
    <w:rsid w:val="00DF7237"/>
    <w:rsid w:val="00DF7947"/>
    <w:rsid w:val="00DF7C0D"/>
    <w:rsid w:val="00E00B03"/>
    <w:rsid w:val="00E017DE"/>
    <w:rsid w:val="00E02C9A"/>
    <w:rsid w:val="00E0352D"/>
    <w:rsid w:val="00E03A77"/>
    <w:rsid w:val="00E03F90"/>
    <w:rsid w:val="00E0696A"/>
    <w:rsid w:val="00E10149"/>
    <w:rsid w:val="00E10E41"/>
    <w:rsid w:val="00E117EC"/>
    <w:rsid w:val="00E11BA5"/>
    <w:rsid w:val="00E11CB4"/>
    <w:rsid w:val="00E11DB7"/>
    <w:rsid w:val="00E11E25"/>
    <w:rsid w:val="00E12572"/>
    <w:rsid w:val="00E135B9"/>
    <w:rsid w:val="00E135C1"/>
    <w:rsid w:val="00E136DB"/>
    <w:rsid w:val="00E1403A"/>
    <w:rsid w:val="00E15224"/>
    <w:rsid w:val="00E16372"/>
    <w:rsid w:val="00E206C9"/>
    <w:rsid w:val="00E20ED6"/>
    <w:rsid w:val="00E21358"/>
    <w:rsid w:val="00E222B3"/>
    <w:rsid w:val="00E2249B"/>
    <w:rsid w:val="00E22583"/>
    <w:rsid w:val="00E22A0D"/>
    <w:rsid w:val="00E22CBD"/>
    <w:rsid w:val="00E23149"/>
    <w:rsid w:val="00E25194"/>
    <w:rsid w:val="00E255C8"/>
    <w:rsid w:val="00E2762F"/>
    <w:rsid w:val="00E2771E"/>
    <w:rsid w:val="00E27FAB"/>
    <w:rsid w:val="00E31439"/>
    <w:rsid w:val="00E31E58"/>
    <w:rsid w:val="00E3308F"/>
    <w:rsid w:val="00E33706"/>
    <w:rsid w:val="00E33A02"/>
    <w:rsid w:val="00E33CEC"/>
    <w:rsid w:val="00E34598"/>
    <w:rsid w:val="00E34714"/>
    <w:rsid w:val="00E35F0A"/>
    <w:rsid w:val="00E36904"/>
    <w:rsid w:val="00E36CA4"/>
    <w:rsid w:val="00E37569"/>
    <w:rsid w:val="00E413AB"/>
    <w:rsid w:val="00E413EC"/>
    <w:rsid w:val="00E4145E"/>
    <w:rsid w:val="00E41592"/>
    <w:rsid w:val="00E41E30"/>
    <w:rsid w:val="00E4365C"/>
    <w:rsid w:val="00E43D70"/>
    <w:rsid w:val="00E4486E"/>
    <w:rsid w:val="00E4686A"/>
    <w:rsid w:val="00E472B0"/>
    <w:rsid w:val="00E476C2"/>
    <w:rsid w:val="00E47B2C"/>
    <w:rsid w:val="00E51560"/>
    <w:rsid w:val="00E51A7C"/>
    <w:rsid w:val="00E51DE8"/>
    <w:rsid w:val="00E53043"/>
    <w:rsid w:val="00E53E8C"/>
    <w:rsid w:val="00E5528F"/>
    <w:rsid w:val="00E55424"/>
    <w:rsid w:val="00E55BB5"/>
    <w:rsid w:val="00E56687"/>
    <w:rsid w:val="00E570EE"/>
    <w:rsid w:val="00E611C9"/>
    <w:rsid w:val="00E61BDD"/>
    <w:rsid w:val="00E61D1F"/>
    <w:rsid w:val="00E62E88"/>
    <w:rsid w:val="00E62F54"/>
    <w:rsid w:val="00E6525C"/>
    <w:rsid w:val="00E65401"/>
    <w:rsid w:val="00E656DA"/>
    <w:rsid w:val="00E65778"/>
    <w:rsid w:val="00E657B9"/>
    <w:rsid w:val="00E65C5D"/>
    <w:rsid w:val="00E65E25"/>
    <w:rsid w:val="00E65E79"/>
    <w:rsid w:val="00E67416"/>
    <w:rsid w:val="00E678AC"/>
    <w:rsid w:val="00E70BBC"/>
    <w:rsid w:val="00E718B6"/>
    <w:rsid w:val="00E71A55"/>
    <w:rsid w:val="00E73581"/>
    <w:rsid w:val="00E7483C"/>
    <w:rsid w:val="00E75B56"/>
    <w:rsid w:val="00E76227"/>
    <w:rsid w:val="00E764B0"/>
    <w:rsid w:val="00E76668"/>
    <w:rsid w:val="00E7669F"/>
    <w:rsid w:val="00E800D2"/>
    <w:rsid w:val="00E80407"/>
    <w:rsid w:val="00E80661"/>
    <w:rsid w:val="00E80690"/>
    <w:rsid w:val="00E80A05"/>
    <w:rsid w:val="00E80ACA"/>
    <w:rsid w:val="00E80F17"/>
    <w:rsid w:val="00E810EF"/>
    <w:rsid w:val="00E819BF"/>
    <w:rsid w:val="00E81D00"/>
    <w:rsid w:val="00E81FC5"/>
    <w:rsid w:val="00E83A9B"/>
    <w:rsid w:val="00E83BDF"/>
    <w:rsid w:val="00E84653"/>
    <w:rsid w:val="00E8592A"/>
    <w:rsid w:val="00E8629B"/>
    <w:rsid w:val="00E86E49"/>
    <w:rsid w:val="00E87AA7"/>
    <w:rsid w:val="00E87AE2"/>
    <w:rsid w:val="00E87BD8"/>
    <w:rsid w:val="00E91851"/>
    <w:rsid w:val="00E91F5A"/>
    <w:rsid w:val="00E92D25"/>
    <w:rsid w:val="00E9357A"/>
    <w:rsid w:val="00E9515B"/>
    <w:rsid w:val="00E95F40"/>
    <w:rsid w:val="00E9607B"/>
    <w:rsid w:val="00E96089"/>
    <w:rsid w:val="00E96568"/>
    <w:rsid w:val="00E965C3"/>
    <w:rsid w:val="00E966F1"/>
    <w:rsid w:val="00EA05D2"/>
    <w:rsid w:val="00EA0A63"/>
    <w:rsid w:val="00EA11DE"/>
    <w:rsid w:val="00EA15E3"/>
    <w:rsid w:val="00EA161B"/>
    <w:rsid w:val="00EA1AA6"/>
    <w:rsid w:val="00EA3864"/>
    <w:rsid w:val="00EA46DC"/>
    <w:rsid w:val="00EA4B3F"/>
    <w:rsid w:val="00EA6EB9"/>
    <w:rsid w:val="00EB0D8F"/>
    <w:rsid w:val="00EB15B6"/>
    <w:rsid w:val="00EB17A9"/>
    <w:rsid w:val="00EB21B9"/>
    <w:rsid w:val="00EB3213"/>
    <w:rsid w:val="00EB375C"/>
    <w:rsid w:val="00EB3BBB"/>
    <w:rsid w:val="00EB48E1"/>
    <w:rsid w:val="00EB4916"/>
    <w:rsid w:val="00EB791E"/>
    <w:rsid w:val="00EC0057"/>
    <w:rsid w:val="00EC00C9"/>
    <w:rsid w:val="00EC00F0"/>
    <w:rsid w:val="00EC1C67"/>
    <w:rsid w:val="00EC20EE"/>
    <w:rsid w:val="00EC3B19"/>
    <w:rsid w:val="00EC47D9"/>
    <w:rsid w:val="00EC4AC3"/>
    <w:rsid w:val="00EC5B03"/>
    <w:rsid w:val="00EC63F4"/>
    <w:rsid w:val="00EC7163"/>
    <w:rsid w:val="00ED1093"/>
    <w:rsid w:val="00ED1DCC"/>
    <w:rsid w:val="00ED2EBB"/>
    <w:rsid w:val="00ED3FD9"/>
    <w:rsid w:val="00ED4068"/>
    <w:rsid w:val="00ED4224"/>
    <w:rsid w:val="00ED569F"/>
    <w:rsid w:val="00ED56D5"/>
    <w:rsid w:val="00ED59DA"/>
    <w:rsid w:val="00ED5B30"/>
    <w:rsid w:val="00ED7420"/>
    <w:rsid w:val="00ED7ADD"/>
    <w:rsid w:val="00ED7C85"/>
    <w:rsid w:val="00EE0184"/>
    <w:rsid w:val="00EE0485"/>
    <w:rsid w:val="00EE07D3"/>
    <w:rsid w:val="00EE0B99"/>
    <w:rsid w:val="00EE105A"/>
    <w:rsid w:val="00EE1908"/>
    <w:rsid w:val="00EE1F06"/>
    <w:rsid w:val="00EE223A"/>
    <w:rsid w:val="00EE2513"/>
    <w:rsid w:val="00EE2E6A"/>
    <w:rsid w:val="00EE357D"/>
    <w:rsid w:val="00EE7112"/>
    <w:rsid w:val="00EE7559"/>
    <w:rsid w:val="00EF1799"/>
    <w:rsid w:val="00EF1E16"/>
    <w:rsid w:val="00EF21CA"/>
    <w:rsid w:val="00EF2DAA"/>
    <w:rsid w:val="00EF36EF"/>
    <w:rsid w:val="00EF3774"/>
    <w:rsid w:val="00EF465B"/>
    <w:rsid w:val="00EF529B"/>
    <w:rsid w:val="00EF562C"/>
    <w:rsid w:val="00EF5FB3"/>
    <w:rsid w:val="00EF627F"/>
    <w:rsid w:val="00EF6836"/>
    <w:rsid w:val="00EF699C"/>
    <w:rsid w:val="00EF7F1B"/>
    <w:rsid w:val="00F00AD3"/>
    <w:rsid w:val="00F01DD9"/>
    <w:rsid w:val="00F02D70"/>
    <w:rsid w:val="00F03233"/>
    <w:rsid w:val="00F042A7"/>
    <w:rsid w:val="00F0467B"/>
    <w:rsid w:val="00F047BB"/>
    <w:rsid w:val="00F067A2"/>
    <w:rsid w:val="00F07F89"/>
    <w:rsid w:val="00F10519"/>
    <w:rsid w:val="00F10524"/>
    <w:rsid w:val="00F108FD"/>
    <w:rsid w:val="00F10A3B"/>
    <w:rsid w:val="00F11107"/>
    <w:rsid w:val="00F112EE"/>
    <w:rsid w:val="00F11448"/>
    <w:rsid w:val="00F1192A"/>
    <w:rsid w:val="00F12E21"/>
    <w:rsid w:val="00F130B4"/>
    <w:rsid w:val="00F14D83"/>
    <w:rsid w:val="00F15677"/>
    <w:rsid w:val="00F157E5"/>
    <w:rsid w:val="00F15B20"/>
    <w:rsid w:val="00F167B8"/>
    <w:rsid w:val="00F17034"/>
    <w:rsid w:val="00F17316"/>
    <w:rsid w:val="00F17634"/>
    <w:rsid w:val="00F20732"/>
    <w:rsid w:val="00F20B03"/>
    <w:rsid w:val="00F2142B"/>
    <w:rsid w:val="00F215CE"/>
    <w:rsid w:val="00F225F0"/>
    <w:rsid w:val="00F229E4"/>
    <w:rsid w:val="00F22DCD"/>
    <w:rsid w:val="00F24837"/>
    <w:rsid w:val="00F250C7"/>
    <w:rsid w:val="00F2517D"/>
    <w:rsid w:val="00F2575F"/>
    <w:rsid w:val="00F25A6C"/>
    <w:rsid w:val="00F25BA6"/>
    <w:rsid w:val="00F25BFE"/>
    <w:rsid w:val="00F2619F"/>
    <w:rsid w:val="00F26B8E"/>
    <w:rsid w:val="00F27BB7"/>
    <w:rsid w:val="00F27C36"/>
    <w:rsid w:val="00F30829"/>
    <w:rsid w:val="00F32A11"/>
    <w:rsid w:val="00F32A48"/>
    <w:rsid w:val="00F32AF4"/>
    <w:rsid w:val="00F3312C"/>
    <w:rsid w:val="00F33D30"/>
    <w:rsid w:val="00F33DE9"/>
    <w:rsid w:val="00F33EB4"/>
    <w:rsid w:val="00F341AE"/>
    <w:rsid w:val="00F34286"/>
    <w:rsid w:val="00F34D14"/>
    <w:rsid w:val="00F35793"/>
    <w:rsid w:val="00F35A5F"/>
    <w:rsid w:val="00F35BD6"/>
    <w:rsid w:val="00F3619A"/>
    <w:rsid w:val="00F36FB0"/>
    <w:rsid w:val="00F37476"/>
    <w:rsid w:val="00F3767F"/>
    <w:rsid w:val="00F37ABB"/>
    <w:rsid w:val="00F37E4E"/>
    <w:rsid w:val="00F37F79"/>
    <w:rsid w:val="00F40047"/>
    <w:rsid w:val="00F415C4"/>
    <w:rsid w:val="00F41D87"/>
    <w:rsid w:val="00F42880"/>
    <w:rsid w:val="00F45225"/>
    <w:rsid w:val="00F45981"/>
    <w:rsid w:val="00F45FAE"/>
    <w:rsid w:val="00F46CB6"/>
    <w:rsid w:val="00F474C6"/>
    <w:rsid w:val="00F47AC6"/>
    <w:rsid w:val="00F47B2A"/>
    <w:rsid w:val="00F51288"/>
    <w:rsid w:val="00F51B23"/>
    <w:rsid w:val="00F52EA8"/>
    <w:rsid w:val="00F53B33"/>
    <w:rsid w:val="00F54C3F"/>
    <w:rsid w:val="00F54E18"/>
    <w:rsid w:val="00F5528E"/>
    <w:rsid w:val="00F554D9"/>
    <w:rsid w:val="00F5554C"/>
    <w:rsid w:val="00F55583"/>
    <w:rsid w:val="00F55C60"/>
    <w:rsid w:val="00F55E73"/>
    <w:rsid w:val="00F5656F"/>
    <w:rsid w:val="00F56E37"/>
    <w:rsid w:val="00F60092"/>
    <w:rsid w:val="00F600D9"/>
    <w:rsid w:val="00F61700"/>
    <w:rsid w:val="00F6232C"/>
    <w:rsid w:val="00F62DB5"/>
    <w:rsid w:val="00F6585C"/>
    <w:rsid w:val="00F65B21"/>
    <w:rsid w:val="00F65B64"/>
    <w:rsid w:val="00F70B2E"/>
    <w:rsid w:val="00F70C52"/>
    <w:rsid w:val="00F70EEA"/>
    <w:rsid w:val="00F71600"/>
    <w:rsid w:val="00F733B3"/>
    <w:rsid w:val="00F73491"/>
    <w:rsid w:val="00F73EB5"/>
    <w:rsid w:val="00F745FD"/>
    <w:rsid w:val="00F74B49"/>
    <w:rsid w:val="00F7557A"/>
    <w:rsid w:val="00F758FA"/>
    <w:rsid w:val="00F75CD8"/>
    <w:rsid w:val="00F75EF7"/>
    <w:rsid w:val="00F762C9"/>
    <w:rsid w:val="00F76574"/>
    <w:rsid w:val="00F76AFF"/>
    <w:rsid w:val="00F77D42"/>
    <w:rsid w:val="00F80E5D"/>
    <w:rsid w:val="00F81EA8"/>
    <w:rsid w:val="00F82C67"/>
    <w:rsid w:val="00F84226"/>
    <w:rsid w:val="00F84B18"/>
    <w:rsid w:val="00F851CE"/>
    <w:rsid w:val="00F860B9"/>
    <w:rsid w:val="00F864B6"/>
    <w:rsid w:val="00F867D9"/>
    <w:rsid w:val="00F86BA6"/>
    <w:rsid w:val="00F86E9A"/>
    <w:rsid w:val="00F877D2"/>
    <w:rsid w:val="00F90303"/>
    <w:rsid w:val="00F90C57"/>
    <w:rsid w:val="00F91649"/>
    <w:rsid w:val="00F91FB0"/>
    <w:rsid w:val="00F93EB4"/>
    <w:rsid w:val="00F941D3"/>
    <w:rsid w:val="00F9523B"/>
    <w:rsid w:val="00F95F18"/>
    <w:rsid w:val="00F961E3"/>
    <w:rsid w:val="00F976E6"/>
    <w:rsid w:val="00F97A78"/>
    <w:rsid w:val="00F97B1A"/>
    <w:rsid w:val="00FA0DC2"/>
    <w:rsid w:val="00FA1DB2"/>
    <w:rsid w:val="00FA1FFB"/>
    <w:rsid w:val="00FA24E7"/>
    <w:rsid w:val="00FA3843"/>
    <w:rsid w:val="00FA40AE"/>
    <w:rsid w:val="00FA4528"/>
    <w:rsid w:val="00FA5739"/>
    <w:rsid w:val="00FA614B"/>
    <w:rsid w:val="00FA62D1"/>
    <w:rsid w:val="00FA6BF1"/>
    <w:rsid w:val="00FA6C12"/>
    <w:rsid w:val="00FA6E04"/>
    <w:rsid w:val="00FA771A"/>
    <w:rsid w:val="00FB0852"/>
    <w:rsid w:val="00FB0F9A"/>
    <w:rsid w:val="00FB199F"/>
    <w:rsid w:val="00FB267A"/>
    <w:rsid w:val="00FB2B26"/>
    <w:rsid w:val="00FB2FCB"/>
    <w:rsid w:val="00FB44DC"/>
    <w:rsid w:val="00FB5019"/>
    <w:rsid w:val="00FB6507"/>
    <w:rsid w:val="00FB73AD"/>
    <w:rsid w:val="00FB7BD3"/>
    <w:rsid w:val="00FC022F"/>
    <w:rsid w:val="00FC033B"/>
    <w:rsid w:val="00FC07E4"/>
    <w:rsid w:val="00FC0E43"/>
    <w:rsid w:val="00FC1074"/>
    <w:rsid w:val="00FC1884"/>
    <w:rsid w:val="00FC279B"/>
    <w:rsid w:val="00FC2F84"/>
    <w:rsid w:val="00FC3A82"/>
    <w:rsid w:val="00FC41EA"/>
    <w:rsid w:val="00FC438F"/>
    <w:rsid w:val="00FC4CAD"/>
    <w:rsid w:val="00FC5134"/>
    <w:rsid w:val="00FC7B20"/>
    <w:rsid w:val="00FC7E1A"/>
    <w:rsid w:val="00FD0362"/>
    <w:rsid w:val="00FD0648"/>
    <w:rsid w:val="00FD127A"/>
    <w:rsid w:val="00FD2100"/>
    <w:rsid w:val="00FD2E54"/>
    <w:rsid w:val="00FD3C37"/>
    <w:rsid w:val="00FD446D"/>
    <w:rsid w:val="00FD4602"/>
    <w:rsid w:val="00FD4E8A"/>
    <w:rsid w:val="00FD58D9"/>
    <w:rsid w:val="00FD5B24"/>
    <w:rsid w:val="00FD5D3F"/>
    <w:rsid w:val="00FD5DAA"/>
    <w:rsid w:val="00FD7F44"/>
    <w:rsid w:val="00FD7FA5"/>
    <w:rsid w:val="00FE00F1"/>
    <w:rsid w:val="00FE075E"/>
    <w:rsid w:val="00FE14A8"/>
    <w:rsid w:val="00FE22C2"/>
    <w:rsid w:val="00FE2391"/>
    <w:rsid w:val="00FE25AC"/>
    <w:rsid w:val="00FE2F77"/>
    <w:rsid w:val="00FE3056"/>
    <w:rsid w:val="00FE390F"/>
    <w:rsid w:val="00FE3C29"/>
    <w:rsid w:val="00FE3F76"/>
    <w:rsid w:val="00FE52EA"/>
    <w:rsid w:val="00FE55B1"/>
    <w:rsid w:val="00FF12C2"/>
    <w:rsid w:val="00FF17E6"/>
    <w:rsid w:val="00FF1DF4"/>
    <w:rsid w:val="00FF2590"/>
    <w:rsid w:val="00FF2615"/>
    <w:rsid w:val="00FF2694"/>
    <w:rsid w:val="00FF276E"/>
    <w:rsid w:val="00FF34D9"/>
    <w:rsid w:val="00FF3DCF"/>
    <w:rsid w:val="00FF5AA3"/>
    <w:rsid w:val="00FF5BD8"/>
    <w:rsid w:val="00FF606D"/>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7"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E2DBD"/>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3F6694"/>
    <w:pPr>
      <w:tabs>
        <w:tab w:val="left" w:pos="-426"/>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3631B9"/>
    <w:rPr>
      <w:color w:val="000000" w:themeColor="text1"/>
      <w:u w:val="non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EE7559"/>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D97E30"/>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Footnote">
    <w:name w:val="Table Footnote"/>
    <w:basedOn w:val="BodyText"/>
    <w:next w:val="BodyText"/>
    <w:rsid w:val="00E80690"/>
    <w:pPr>
      <w:widowControl/>
      <w:spacing w:before="20" w:after="20"/>
      <w:jc w:val="both"/>
    </w:pPr>
    <w:rPr>
      <w:rFonts w:cs="Times New Roman"/>
      <w:snapToGrid/>
      <w:sz w:val="16"/>
      <w:szCs w:val="24"/>
    </w:rPr>
  </w:style>
  <w:style w:type="paragraph" w:styleId="FootnoteText">
    <w:name w:val="footnote text"/>
    <w:basedOn w:val="Normal"/>
    <w:link w:val="FootnoteTextChar"/>
    <w:semiHidden/>
    <w:unhideWhenUsed/>
    <w:rsid w:val="00580205"/>
    <w:rPr>
      <w:sz w:val="20"/>
    </w:rPr>
  </w:style>
  <w:style w:type="character" w:customStyle="1" w:styleId="FootnoteTextChar">
    <w:name w:val="Footnote Text Char"/>
    <w:basedOn w:val="DefaultParagraphFont"/>
    <w:link w:val="FootnoteText"/>
    <w:semiHidden/>
    <w:rsid w:val="00580205"/>
    <w:rPr>
      <w:rFonts w:ascii="Arial" w:hAnsi="Arial" w:cs="Arial"/>
      <w:snapToGrid w:val="0"/>
      <w:lang w:eastAsia="en-US"/>
    </w:rPr>
  </w:style>
  <w:style w:type="character" w:styleId="FootnoteReference">
    <w:name w:val="footnote reference"/>
    <w:basedOn w:val="DefaultParagraphFont"/>
    <w:semiHidden/>
    <w:unhideWhenUsed/>
    <w:rsid w:val="00580205"/>
    <w:rPr>
      <w:vertAlign w:val="superscript"/>
    </w:rPr>
  </w:style>
  <w:style w:type="paragraph" w:customStyle="1" w:styleId="TableFigureFootnote">
    <w:name w:val="Table &amp; Figure Footnote"/>
    <w:basedOn w:val="BodyText"/>
    <w:next w:val="BodyText"/>
    <w:qFormat/>
    <w:rsid w:val="00155AA7"/>
    <w:pPr>
      <w:widowControl/>
      <w:spacing w:before="20" w:after="20"/>
      <w:jc w:val="both"/>
    </w:pPr>
    <w:rPr>
      <w:rFonts w:cs="Times New Roman"/>
      <w:snapToGrid/>
      <w:sz w:val="16"/>
      <w:szCs w:val="24"/>
    </w:rPr>
  </w:style>
  <w:style w:type="character" w:customStyle="1" w:styleId="TableTextChar0">
    <w:name w:val="TableText Char"/>
    <w:basedOn w:val="DefaultParagraphFont"/>
    <w:link w:val="TableText0"/>
    <w:rsid w:val="00155AA7"/>
    <w:rPr>
      <w:rFonts w:ascii="Arial Narrow" w:hAnsi="Arial Narrow" w:cs="Arial Narrow"/>
      <w:lang w:eastAsia="en-US"/>
    </w:rPr>
  </w:style>
  <w:style w:type="paragraph" w:customStyle="1" w:styleId="TableText2centerheaderrow">
    <w:name w:val="Table Text 2 (center) header row"/>
    <w:basedOn w:val="Normal"/>
    <w:rsid w:val="000D0BF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0D0BF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0D0BF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customStyle="1" w:styleId="TableText1">
    <w:name w:val="Table Text"/>
    <w:basedOn w:val="Normal"/>
    <w:next w:val="BodyText"/>
    <w:qFormat/>
    <w:rsid w:val="00FB5019"/>
    <w:pPr>
      <w:widowControl/>
      <w:spacing w:before="40" w:after="40"/>
    </w:pPr>
    <w:rPr>
      <w:rFonts w:cs="Times New Roman"/>
      <w:snapToGrid/>
      <w:sz w:val="18"/>
      <w:szCs w:val="24"/>
    </w:rPr>
  </w:style>
  <w:style w:type="table" w:customStyle="1" w:styleId="TableGrid2">
    <w:name w:val="Table Grid2"/>
    <w:basedOn w:val="TableNormal"/>
    <w:next w:val="TableGrid"/>
    <w:uiPriority w:val="59"/>
    <w:rsid w:val="00285F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C">
    <w:name w:val="Table Title C"/>
    <w:next w:val="BodyText"/>
    <w:qFormat/>
    <w:rsid w:val="00285F8E"/>
    <w:pPr>
      <w:numPr>
        <w:numId w:val="44"/>
      </w:numPr>
      <w:tabs>
        <w:tab w:val="clear" w:pos="1505"/>
        <w:tab w:val="num" w:pos="1134"/>
        <w:tab w:val="num" w:pos="1364"/>
      </w:tabs>
      <w:spacing w:after="120"/>
      <w:ind w:left="1134" w:hanging="1134"/>
    </w:pPr>
    <w:rPr>
      <w:rFonts w:ascii="Verdana" w:hAnsi="Verdana"/>
      <w:b/>
      <w:szCs w:val="24"/>
    </w:rPr>
  </w:style>
  <w:style w:type="paragraph" w:styleId="DocumentMap">
    <w:name w:val="Document Map"/>
    <w:basedOn w:val="Normal"/>
    <w:link w:val="DocumentMapChar"/>
    <w:semiHidden/>
    <w:unhideWhenUsed/>
    <w:rsid w:val="00285F8E"/>
    <w:rPr>
      <w:rFonts w:ascii="Lucida Grande" w:hAnsi="Lucida Grande"/>
      <w:sz w:val="24"/>
      <w:szCs w:val="24"/>
    </w:rPr>
  </w:style>
  <w:style w:type="character" w:customStyle="1" w:styleId="DocumentMapChar">
    <w:name w:val="Document Map Char"/>
    <w:basedOn w:val="DefaultParagraphFont"/>
    <w:link w:val="DocumentMap"/>
    <w:semiHidden/>
    <w:rsid w:val="00285F8E"/>
    <w:rPr>
      <w:rFonts w:ascii="Lucida Grande" w:hAnsi="Lucida Grande" w:cs="Arial"/>
      <w:snapToGrid w:val="0"/>
      <w:sz w:val="24"/>
      <w:szCs w:val="24"/>
      <w:lang w:eastAsia="en-US"/>
    </w:rPr>
  </w:style>
  <w:style w:type="character" w:customStyle="1" w:styleId="ListParagraphChar">
    <w:name w:val="List Paragraph Char"/>
    <w:link w:val="ListParagraph"/>
    <w:uiPriority w:val="72"/>
    <w:locked/>
    <w:rsid w:val="00285F8E"/>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B66B24"/>
    <w:pPr>
      <w:jc w:val="center"/>
    </w:pPr>
    <w:rPr>
      <w:noProof/>
      <w:lang w:val="en-US"/>
    </w:rPr>
  </w:style>
  <w:style w:type="character" w:customStyle="1" w:styleId="EndNoteBibliographyTitleChar">
    <w:name w:val="EndNote Bibliography Title Char"/>
    <w:basedOn w:val="ListParagraphChar"/>
    <w:link w:val="EndNoteBibliographyTitle"/>
    <w:rsid w:val="00B66B24"/>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B66B24"/>
    <w:rPr>
      <w:noProof/>
      <w:lang w:val="en-US"/>
    </w:rPr>
  </w:style>
  <w:style w:type="character" w:customStyle="1" w:styleId="EndNoteBibliographyChar">
    <w:name w:val="EndNote Bibliography Char"/>
    <w:basedOn w:val="ListParagraphChar"/>
    <w:link w:val="EndNoteBibliography"/>
    <w:rsid w:val="00B66B24"/>
    <w:rPr>
      <w:rFonts w:ascii="Arial" w:hAnsi="Arial" w:cs="Arial"/>
      <w:noProof/>
      <w:snapToGrid w:val="0"/>
      <w:sz w:val="22"/>
      <w:lang w:val="en-US" w:eastAsia="en-US"/>
    </w:rPr>
  </w:style>
  <w:style w:type="character" w:customStyle="1" w:styleId="TableFooterChar">
    <w:name w:val="Table Footer Char"/>
    <w:link w:val="TableFooter"/>
    <w:uiPriority w:val="4"/>
    <w:rsid w:val="00FC41EA"/>
    <w:rPr>
      <w:rFonts w:ascii="Arial Narrow" w:hAnsi="Arial Narrow" w:cs="Arial"/>
      <w:snapToGrid w:val="0"/>
      <w:sz w:val="18"/>
      <w:lang w:eastAsia="en-US"/>
    </w:rPr>
  </w:style>
  <w:style w:type="paragraph" w:customStyle="1" w:styleId="Char">
    <w:name w:val="Char"/>
    <w:basedOn w:val="Normal"/>
    <w:rsid w:val="00E966F1"/>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E010D"/>
    <w:pPr>
      <w:autoSpaceDE w:val="0"/>
      <w:autoSpaceDN w:val="0"/>
      <w:adjustRightInd w:val="0"/>
    </w:pPr>
    <w:rPr>
      <w:rFonts w:ascii="Garamond" w:hAnsi="Garamond" w:cs="Garamond"/>
      <w:color w:val="000000"/>
      <w:sz w:val="24"/>
      <w:szCs w:val="24"/>
    </w:rPr>
  </w:style>
  <w:style w:type="table" w:customStyle="1" w:styleId="TableGrid11">
    <w:name w:val="Table Grid11"/>
    <w:basedOn w:val="TableNormal"/>
    <w:next w:val="TableGrid"/>
    <w:rsid w:val="00B3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212DB"/>
    <w:pPr>
      <w:ind w:left="720" w:hanging="720"/>
    </w:pPr>
    <w:rPr>
      <w:rFonts w:ascii="Arial" w:hAnsi="Arial" w:cs="Arial"/>
      <w:snapToGrid w:val="0"/>
      <w:sz w:val="22"/>
      <w:szCs w:val="22"/>
      <w:lang w:eastAsia="en-US"/>
    </w:rPr>
  </w:style>
  <w:style w:type="character" w:customStyle="1" w:styleId="NonObjectiveBulletsChar">
    <w:name w:val="NonObjectiveBullets Char"/>
    <w:basedOn w:val="DefaultParagraphFont"/>
    <w:link w:val="NonObjectiveBullets"/>
    <w:locked/>
    <w:rsid w:val="006409BF"/>
    <w:rPr>
      <w:rFonts w:ascii="Tahoma" w:hAnsi="Tahoma" w:cs="Tahoma"/>
      <w:sz w:val="22"/>
    </w:rPr>
  </w:style>
  <w:style w:type="paragraph" w:customStyle="1" w:styleId="NonObjectiveBullets">
    <w:name w:val="NonObjectiveBullets"/>
    <w:basedOn w:val="Normal"/>
    <w:link w:val="NonObjectiveBulletsChar"/>
    <w:rsid w:val="006409BF"/>
    <w:pPr>
      <w:widowControl/>
      <w:numPr>
        <w:numId w:val="83"/>
      </w:numPr>
      <w:spacing w:line="360" w:lineRule="auto"/>
      <w:jc w:val="left"/>
    </w:pPr>
    <w:rPr>
      <w:rFonts w:ascii="Tahoma" w:hAnsi="Tahoma" w:cs="Tahoma"/>
      <w:snapToGrid/>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7"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E2DBD"/>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3F6694"/>
    <w:pPr>
      <w:tabs>
        <w:tab w:val="left" w:pos="-426"/>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3631B9"/>
    <w:rPr>
      <w:color w:val="000000" w:themeColor="text1"/>
      <w:u w:val="non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EE7559"/>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D97E30"/>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Footnote">
    <w:name w:val="Table Footnote"/>
    <w:basedOn w:val="BodyText"/>
    <w:next w:val="BodyText"/>
    <w:rsid w:val="00E80690"/>
    <w:pPr>
      <w:widowControl/>
      <w:spacing w:before="20" w:after="20"/>
      <w:jc w:val="both"/>
    </w:pPr>
    <w:rPr>
      <w:rFonts w:cs="Times New Roman"/>
      <w:snapToGrid/>
      <w:sz w:val="16"/>
      <w:szCs w:val="24"/>
    </w:rPr>
  </w:style>
  <w:style w:type="paragraph" w:styleId="FootnoteText">
    <w:name w:val="footnote text"/>
    <w:basedOn w:val="Normal"/>
    <w:link w:val="FootnoteTextChar"/>
    <w:semiHidden/>
    <w:unhideWhenUsed/>
    <w:rsid w:val="00580205"/>
    <w:rPr>
      <w:sz w:val="20"/>
    </w:rPr>
  </w:style>
  <w:style w:type="character" w:customStyle="1" w:styleId="FootnoteTextChar">
    <w:name w:val="Footnote Text Char"/>
    <w:basedOn w:val="DefaultParagraphFont"/>
    <w:link w:val="FootnoteText"/>
    <w:semiHidden/>
    <w:rsid w:val="00580205"/>
    <w:rPr>
      <w:rFonts w:ascii="Arial" w:hAnsi="Arial" w:cs="Arial"/>
      <w:snapToGrid w:val="0"/>
      <w:lang w:eastAsia="en-US"/>
    </w:rPr>
  </w:style>
  <w:style w:type="character" w:styleId="FootnoteReference">
    <w:name w:val="footnote reference"/>
    <w:basedOn w:val="DefaultParagraphFont"/>
    <w:semiHidden/>
    <w:unhideWhenUsed/>
    <w:rsid w:val="00580205"/>
    <w:rPr>
      <w:vertAlign w:val="superscript"/>
    </w:rPr>
  </w:style>
  <w:style w:type="paragraph" w:customStyle="1" w:styleId="TableFigureFootnote">
    <w:name w:val="Table &amp; Figure Footnote"/>
    <w:basedOn w:val="BodyText"/>
    <w:next w:val="BodyText"/>
    <w:qFormat/>
    <w:rsid w:val="00155AA7"/>
    <w:pPr>
      <w:widowControl/>
      <w:spacing w:before="20" w:after="20"/>
      <w:jc w:val="both"/>
    </w:pPr>
    <w:rPr>
      <w:rFonts w:cs="Times New Roman"/>
      <w:snapToGrid/>
      <w:sz w:val="16"/>
      <w:szCs w:val="24"/>
    </w:rPr>
  </w:style>
  <w:style w:type="character" w:customStyle="1" w:styleId="TableTextChar0">
    <w:name w:val="TableText Char"/>
    <w:basedOn w:val="DefaultParagraphFont"/>
    <w:link w:val="TableText0"/>
    <w:rsid w:val="00155AA7"/>
    <w:rPr>
      <w:rFonts w:ascii="Arial Narrow" w:hAnsi="Arial Narrow" w:cs="Arial Narrow"/>
      <w:lang w:eastAsia="en-US"/>
    </w:rPr>
  </w:style>
  <w:style w:type="paragraph" w:customStyle="1" w:styleId="TableText2centerheaderrow">
    <w:name w:val="Table Text 2 (center) header row"/>
    <w:basedOn w:val="Normal"/>
    <w:rsid w:val="000D0BF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0D0BF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0D0BF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customStyle="1" w:styleId="TableText1">
    <w:name w:val="Table Text"/>
    <w:basedOn w:val="Normal"/>
    <w:next w:val="BodyText"/>
    <w:qFormat/>
    <w:rsid w:val="00FB5019"/>
    <w:pPr>
      <w:widowControl/>
      <w:spacing w:before="40" w:after="40"/>
    </w:pPr>
    <w:rPr>
      <w:rFonts w:cs="Times New Roman"/>
      <w:snapToGrid/>
      <w:sz w:val="18"/>
      <w:szCs w:val="24"/>
    </w:rPr>
  </w:style>
  <w:style w:type="table" w:customStyle="1" w:styleId="TableGrid2">
    <w:name w:val="Table Grid2"/>
    <w:basedOn w:val="TableNormal"/>
    <w:next w:val="TableGrid"/>
    <w:uiPriority w:val="59"/>
    <w:rsid w:val="00285F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C">
    <w:name w:val="Table Title C"/>
    <w:next w:val="BodyText"/>
    <w:qFormat/>
    <w:rsid w:val="00285F8E"/>
    <w:pPr>
      <w:numPr>
        <w:numId w:val="44"/>
      </w:numPr>
      <w:tabs>
        <w:tab w:val="clear" w:pos="1505"/>
        <w:tab w:val="num" w:pos="1134"/>
        <w:tab w:val="num" w:pos="1364"/>
      </w:tabs>
      <w:spacing w:after="120"/>
      <w:ind w:left="1134" w:hanging="1134"/>
    </w:pPr>
    <w:rPr>
      <w:rFonts w:ascii="Verdana" w:hAnsi="Verdana"/>
      <w:b/>
      <w:szCs w:val="24"/>
    </w:rPr>
  </w:style>
  <w:style w:type="paragraph" w:styleId="DocumentMap">
    <w:name w:val="Document Map"/>
    <w:basedOn w:val="Normal"/>
    <w:link w:val="DocumentMapChar"/>
    <w:semiHidden/>
    <w:unhideWhenUsed/>
    <w:rsid w:val="00285F8E"/>
    <w:rPr>
      <w:rFonts w:ascii="Lucida Grande" w:hAnsi="Lucida Grande"/>
      <w:sz w:val="24"/>
      <w:szCs w:val="24"/>
    </w:rPr>
  </w:style>
  <w:style w:type="character" w:customStyle="1" w:styleId="DocumentMapChar">
    <w:name w:val="Document Map Char"/>
    <w:basedOn w:val="DefaultParagraphFont"/>
    <w:link w:val="DocumentMap"/>
    <w:semiHidden/>
    <w:rsid w:val="00285F8E"/>
    <w:rPr>
      <w:rFonts w:ascii="Lucida Grande" w:hAnsi="Lucida Grande" w:cs="Arial"/>
      <w:snapToGrid w:val="0"/>
      <w:sz w:val="24"/>
      <w:szCs w:val="24"/>
      <w:lang w:eastAsia="en-US"/>
    </w:rPr>
  </w:style>
  <w:style w:type="character" w:customStyle="1" w:styleId="ListParagraphChar">
    <w:name w:val="List Paragraph Char"/>
    <w:link w:val="ListParagraph"/>
    <w:uiPriority w:val="72"/>
    <w:locked/>
    <w:rsid w:val="00285F8E"/>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B66B24"/>
    <w:pPr>
      <w:jc w:val="center"/>
    </w:pPr>
    <w:rPr>
      <w:noProof/>
      <w:lang w:val="en-US"/>
    </w:rPr>
  </w:style>
  <w:style w:type="character" w:customStyle="1" w:styleId="EndNoteBibliographyTitleChar">
    <w:name w:val="EndNote Bibliography Title Char"/>
    <w:basedOn w:val="ListParagraphChar"/>
    <w:link w:val="EndNoteBibliographyTitle"/>
    <w:rsid w:val="00B66B24"/>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B66B24"/>
    <w:rPr>
      <w:noProof/>
      <w:lang w:val="en-US"/>
    </w:rPr>
  </w:style>
  <w:style w:type="character" w:customStyle="1" w:styleId="EndNoteBibliographyChar">
    <w:name w:val="EndNote Bibliography Char"/>
    <w:basedOn w:val="ListParagraphChar"/>
    <w:link w:val="EndNoteBibliography"/>
    <w:rsid w:val="00B66B24"/>
    <w:rPr>
      <w:rFonts w:ascii="Arial" w:hAnsi="Arial" w:cs="Arial"/>
      <w:noProof/>
      <w:snapToGrid w:val="0"/>
      <w:sz w:val="22"/>
      <w:lang w:val="en-US" w:eastAsia="en-US"/>
    </w:rPr>
  </w:style>
  <w:style w:type="character" w:customStyle="1" w:styleId="TableFooterChar">
    <w:name w:val="Table Footer Char"/>
    <w:link w:val="TableFooter"/>
    <w:uiPriority w:val="4"/>
    <w:rsid w:val="00FC41EA"/>
    <w:rPr>
      <w:rFonts w:ascii="Arial Narrow" w:hAnsi="Arial Narrow" w:cs="Arial"/>
      <w:snapToGrid w:val="0"/>
      <w:sz w:val="18"/>
      <w:lang w:eastAsia="en-US"/>
    </w:rPr>
  </w:style>
  <w:style w:type="paragraph" w:customStyle="1" w:styleId="Char">
    <w:name w:val="Char"/>
    <w:basedOn w:val="Normal"/>
    <w:rsid w:val="00E966F1"/>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E010D"/>
    <w:pPr>
      <w:autoSpaceDE w:val="0"/>
      <w:autoSpaceDN w:val="0"/>
      <w:adjustRightInd w:val="0"/>
    </w:pPr>
    <w:rPr>
      <w:rFonts w:ascii="Garamond" w:hAnsi="Garamond" w:cs="Garamond"/>
      <w:color w:val="000000"/>
      <w:sz w:val="24"/>
      <w:szCs w:val="24"/>
    </w:rPr>
  </w:style>
  <w:style w:type="table" w:customStyle="1" w:styleId="TableGrid11">
    <w:name w:val="Table Grid11"/>
    <w:basedOn w:val="TableNormal"/>
    <w:next w:val="TableGrid"/>
    <w:rsid w:val="00B3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212DB"/>
    <w:pPr>
      <w:ind w:left="720" w:hanging="720"/>
    </w:pPr>
    <w:rPr>
      <w:rFonts w:ascii="Arial" w:hAnsi="Arial" w:cs="Arial"/>
      <w:snapToGrid w:val="0"/>
      <w:sz w:val="22"/>
      <w:szCs w:val="22"/>
      <w:lang w:eastAsia="en-US"/>
    </w:rPr>
  </w:style>
  <w:style w:type="character" w:customStyle="1" w:styleId="NonObjectiveBulletsChar">
    <w:name w:val="NonObjectiveBullets Char"/>
    <w:basedOn w:val="DefaultParagraphFont"/>
    <w:link w:val="NonObjectiveBullets"/>
    <w:locked/>
    <w:rsid w:val="006409BF"/>
    <w:rPr>
      <w:rFonts w:ascii="Tahoma" w:hAnsi="Tahoma" w:cs="Tahoma"/>
      <w:sz w:val="22"/>
    </w:rPr>
  </w:style>
  <w:style w:type="paragraph" w:customStyle="1" w:styleId="NonObjectiveBullets">
    <w:name w:val="NonObjectiveBullets"/>
    <w:basedOn w:val="Normal"/>
    <w:link w:val="NonObjectiveBulletsChar"/>
    <w:rsid w:val="006409BF"/>
    <w:pPr>
      <w:widowControl/>
      <w:numPr>
        <w:numId w:val="83"/>
      </w:numPr>
      <w:spacing w:line="360" w:lineRule="auto"/>
      <w:jc w:val="left"/>
    </w:pPr>
    <w:rPr>
      <w:rFonts w:ascii="Tahoma" w:hAnsi="Tahoma" w:cs="Tahoma"/>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6973">
      <w:bodyDiv w:val="1"/>
      <w:marLeft w:val="0"/>
      <w:marRight w:val="0"/>
      <w:marTop w:val="0"/>
      <w:marBottom w:val="0"/>
      <w:divBdr>
        <w:top w:val="none" w:sz="0" w:space="0" w:color="auto"/>
        <w:left w:val="none" w:sz="0" w:space="0" w:color="auto"/>
        <w:bottom w:val="none" w:sz="0" w:space="0" w:color="auto"/>
        <w:right w:val="none" w:sz="0" w:space="0" w:color="auto"/>
      </w:divBdr>
    </w:div>
    <w:div w:id="229342622">
      <w:bodyDiv w:val="1"/>
      <w:marLeft w:val="0"/>
      <w:marRight w:val="0"/>
      <w:marTop w:val="0"/>
      <w:marBottom w:val="0"/>
      <w:divBdr>
        <w:top w:val="none" w:sz="0" w:space="0" w:color="auto"/>
        <w:left w:val="none" w:sz="0" w:space="0" w:color="auto"/>
        <w:bottom w:val="none" w:sz="0" w:space="0" w:color="auto"/>
        <w:right w:val="none" w:sz="0" w:space="0" w:color="auto"/>
      </w:divBdr>
    </w:div>
    <w:div w:id="339040786">
      <w:bodyDiv w:val="1"/>
      <w:marLeft w:val="0"/>
      <w:marRight w:val="0"/>
      <w:marTop w:val="0"/>
      <w:marBottom w:val="0"/>
      <w:divBdr>
        <w:top w:val="none" w:sz="0" w:space="0" w:color="auto"/>
        <w:left w:val="none" w:sz="0" w:space="0" w:color="auto"/>
        <w:bottom w:val="none" w:sz="0" w:space="0" w:color="auto"/>
        <w:right w:val="none" w:sz="0" w:space="0" w:color="auto"/>
      </w:divBdr>
    </w:div>
    <w:div w:id="1397781166">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9849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C346-7B5B-4FBE-9DAF-D062D3B0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8464</Words>
  <Characters>49361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2016-01-05T00:59:00Z</dcterms:created>
  <dcterms:modified xsi:type="dcterms:W3CDTF">2016-02-18T03:18:00Z</dcterms:modified>
</cp:coreProperties>
</file>